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4EF16D" w14:textId="2C3DE98E" w:rsidR="00D010E3" w:rsidRDefault="003F5277" w:rsidP="00C12C14">
      <w:pPr>
        <w:rPr>
          <w:b/>
          <w:sz w:val="36"/>
          <w:szCs w:val="36"/>
        </w:rPr>
      </w:pPr>
      <w:r w:rsidRPr="00AB2AFD">
        <w:rPr>
          <w:b/>
          <w:sz w:val="36"/>
          <w:szCs w:val="36"/>
        </w:rPr>
        <w:t>5.07</w:t>
      </w:r>
      <w:r w:rsidR="00B60939" w:rsidRPr="00AB2AFD">
        <w:rPr>
          <w:b/>
          <w:sz w:val="36"/>
          <w:szCs w:val="36"/>
        </w:rPr>
        <w:tab/>
      </w:r>
      <w:r w:rsidR="00976B81">
        <w:rPr>
          <w:b/>
          <w:sz w:val="36"/>
          <w:szCs w:val="36"/>
        </w:rPr>
        <w:t>DOSTARLIMAB</w:t>
      </w:r>
      <w:r w:rsidR="00B60939" w:rsidRPr="00FF79DB">
        <w:rPr>
          <w:b/>
          <w:sz w:val="36"/>
          <w:szCs w:val="36"/>
        </w:rPr>
        <w:t>,</w:t>
      </w:r>
    </w:p>
    <w:p w14:paraId="5B17B1B4" w14:textId="615BC848" w:rsidR="00D010E3" w:rsidRDefault="00D010E3" w:rsidP="0072233D">
      <w:pPr>
        <w:ind w:left="709"/>
        <w:rPr>
          <w:b/>
          <w:sz w:val="36"/>
          <w:szCs w:val="36"/>
        </w:rPr>
      </w:pPr>
      <w:r w:rsidRPr="0072233D">
        <w:rPr>
          <w:b/>
          <w:sz w:val="36"/>
          <w:szCs w:val="36"/>
        </w:rPr>
        <w:t>Solution concentrate for I.V. infusion 500</w:t>
      </w:r>
      <w:r w:rsidR="00151478">
        <w:rPr>
          <w:b/>
          <w:sz w:val="36"/>
          <w:szCs w:val="36"/>
        </w:rPr>
        <w:t> </w:t>
      </w:r>
      <w:r w:rsidRPr="0072233D">
        <w:rPr>
          <w:b/>
          <w:sz w:val="36"/>
          <w:szCs w:val="36"/>
        </w:rPr>
        <w:t xml:space="preserve">mg in </w:t>
      </w:r>
      <w:r w:rsidR="00151478" w:rsidRPr="0072233D">
        <w:rPr>
          <w:b/>
          <w:sz w:val="36"/>
          <w:szCs w:val="36"/>
        </w:rPr>
        <w:t>10</w:t>
      </w:r>
      <w:r w:rsidR="00151478">
        <w:rPr>
          <w:b/>
          <w:sz w:val="36"/>
          <w:szCs w:val="36"/>
        </w:rPr>
        <w:t> </w:t>
      </w:r>
      <w:r w:rsidRPr="0072233D">
        <w:rPr>
          <w:b/>
          <w:sz w:val="36"/>
          <w:szCs w:val="36"/>
        </w:rPr>
        <w:t>mL</w:t>
      </w:r>
      <w:r w:rsidR="00B60939" w:rsidRPr="00FF79DB">
        <w:rPr>
          <w:b/>
          <w:sz w:val="36"/>
          <w:szCs w:val="36"/>
        </w:rPr>
        <w:t>,</w:t>
      </w:r>
    </w:p>
    <w:p w14:paraId="1DFAD17D" w14:textId="0B0E2FB7" w:rsidR="0072233D" w:rsidRDefault="00744903" w:rsidP="0072233D">
      <w:pPr>
        <w:ind w:left="709"/>
        <w:rPr>
          <w:b/>
          <w:sz w:val="36"/>
          <w:szCs w:val="36"/>
        </w:rPr>
      </w:pPr>
      <w:proofErr w:type="spellStart"/>
      <w:r w:rsidRPr="00FF79DB">
        <w:rPr>
          <w:b/>
          <w:sz w:val="36"/>
          <w:szCs w:val="36"/>
        </w:rPr>
        <w:t>Jemperli</w:t>
      </w:r>
      <w:proofErr w:type="spellEnd"/>
      <w:r w:rsidR="00B60939" w:rsidRPr="00FF79DB">
        <w:rPr>
          <w:b/>
          <w:sz w:val="36"/>
          <w:szCs w:val="36"/>
          <w:vertAlign w:val="superscript"/>
        </w:rPr>
        <w:t>®</w:t>
      </w:r>
      <w:r w:rsidR="00B60939" w:rsidRPr="00FF79DB">
        <w:rPr>
          <w:b/>
          <w:sz w:val="36"/>
          <w:szCs w:val="36"/>
        </w:rPr>
        <w:t xml:space="preserve">, </w:t>
      </w:r>
    </w:p>
    <w:p w14:paraId="51C6701A" w14:textId="07B3F641" w:rsidR="00B60939" w:rsidRPr="00FF79DB" w:rsidRDefault="00744903" w:rsidP="0072233D">
      <w:pPr>
        <w:ind w:left="709"/>
        <w:rPr>
          <w:b/>
          <w:sz w:val="36"/>
          <w:szCs w:val="36"/>
        </w:rPr>
      </w:pPr>
      <w:r w:rsidRPr="00FF79DB">
        <w:rPr>
          <w:b/>
          <w:sz w:val="36"/>
          <w:szCs w:val="36"/>
        </w:rPr>
        <w:t>GlaxoSmithKline Australia Pty Ltd</w:t>
      </w:r>
      <w:r w:rsidR="00B60939" w:rsidRPr="00FF79DB">
        <w:rPr>
          <w:b/>
          <w:sz w:val="36"/>
          <w:szCs w:val="36"/>
        </w:rPr>
        <w:t>.</w:t>
      </w:r>
    </w:p>
    <w:p w14:paraId="56172426" w14:textId="77777777" w:rsidR="006710E4" w:rsidRPr="006710E4" w:rsidRDefault="006710E4" w:rsidP="006710E4">
      <w:pPr>
        <w:jc w:val="center"/>
        <w:rPr>
          <w:rFonts w:asciiTheme="minorHAnsi" w:hAnsiTheme="minorHAnsi"/>
          <w:b/>
          <w:sz w:val="28"/>
          <w:szCs w:val="28"/>
        </w:rPr>
      </w:pPr>
    </w:p>
    <w:p w14:paraId="11C00795" w14:textId="0FD8DB8A" w:rsidR="00B50DB8" w:rsidRPr="006710E4" w:rsidRDefault="00B50DB8" w:rsidP="00BD6CF3">
      <w:pPr>
        <w:pStyle w:val="PBACHeading1"/>
      </w:pPr>
      <w:bookmarkStart w:id="0" w:name="_Toc93481973"/>
      <w:r w:rsidRPr="006710E4">
        <w:t xml:space="preserve">Purpose of </w:t>
      </w:r>
      <w:r w:rsidR="00CD416A" w:rsidRPr="006710E4">
        <w:t>submission</w:t>
      </w:r>
      <w:bookmarkEnd w:id="0"/>
    </w:p>
    <w:p w14:paraId="51C67B58" w14:textId="77777777" w:rsidR="00B60939" w:rsidRPr="006710E4" w:rsidRDefault="00B60939" w:rsidP="00B60939"/>
    <w:p w14:paraId="346F0219" w14:textId="5E3CFF6E" w:rsidR="007429E5" w:rsidRPr="006710E4" w:rsidRDefault="007429E5" w:rsidP="00667DC5">
      <w:pPr>
        <w:pStyle w:val="ListParagraph"/>
        <w:widowControl/>
        <w:numPr>
          <w:ilvl w:val="1"/>
          <w:numId w:val="2"/>
        </w:numPr>
      </w:pPr>
      <w:r w:rsidRPr="006710E4">
        <w:t xml:space="preserve">The </w:t>
      </w:r>
      <w:r w:rsidR="004F5F9D" w:rsidRPr="006710E4">
        <w:t xml:space="preserve">Category 1 </w:t>
      </w:r>
      <w:r w:rsidRPr="006710E4">
        <w:t>submission requested a Section 100 (Efficient Funding of Chemotherapy</w:t>
      </w:r>
      <w:r w:rsidR="00667DC5" w:rsidRPr="006710E4">
        <w:t xml:space="preserve"> Program</w:t>
      </w:r>
      <w:r w:rsidRPr="006710E4">
        <w:t xml:space="preserve">) Authority Required </w:t>
      </w:r>
      <w:r w:rsidR="00667DC5" w:rsidRPr="006710E4">
        <w:t>(STREAMLINED) listing for the treatment of advanced or recurrent (A/R) mismatch repair deficient (</w:t>
      </w:r>
      <w:proofErr w:type="spellStart"/>
      <w:r w:rsidR="00667DC5" w:rsidRPr="006710E4">
        <w:t>dMMR</w:t>
      </w:r>
      <w:proofErr w:type="spellEnd"/>
      <w:r w:rsidR="00667DC5" w:rsidRPr="006710E4">
        <w:t xml:space="preserve">) endometrial cancer (EC) that has progressed on or following prior treatment with a platinum-containing regimen. </w:t>
      </w:r>
      <w:r w:rsidRPr="006710E4">
        <w:t xml:space="preserve">This was the first submission for </w:t>
      </w:r>
      <w:proofErr w:type="spellStart"/>
      <w:r w:rsidRPr="006710E4">
        <w:t>dostarlimab</w:t>
      </w:r>
      <w:proofErr w:type="spellEnd"/>
      <w:r w:rsidRPr="006710E4">
        <w:t xml:space="preserve">. </w:t>
      </w:r>
    </w:p>
    <w:p w14:paraId="4E9FBCB5" w14:textId="4CB0306F" w:rsidR="00C2778B" w:rsidRPr="006710E4" w:rsidRDefault="007429E5" w:rsidP="00E24AE9">
      <w:pPr>
        <w:pStyle w:val="ListParagraph"/>
        <w:widowControl/>
        <w:numPr>
          <w:ilvl w:val="1"/>
          <w:numId w:val="2"/>
        </w:numPr>
        <w:spacing w:after="120"/>
      </w:pPr>
      <w:r w:rsidRPr="006710E4">
        <w:t xml:space="preserve">The requested basis of listing </w:t>
      </w:r>
      <w:r w:rsidR="008F7F6E" w:rsidRPr="006710E4">
        <w:t>was</w:t>
      </w:r>
      <w:r w:rsidRPr="006710E4">
        <w:t xml:space="preserve"> a cost-effectiveness analysis compared to standard of care (SoC) consisting of </w:t>
      </w:r>
      <w:r w:rsidR="008F7F6E" w:rsidRPr="006710E4">
        <w:t xml:space="preserve">single agent </w:t>
      </w:r>
      <w:r w:rsidRPr="006710E4">
        <w:t xml:space="preserve">chemotherapy </w:t>
      </w:r>
      <w:r w:rsidR="008F7F6E" w:rsidRPr="006710E4">
        <w:t xml:space="preserve">and </w:t>
      </w:r>
      <w:r w:rsidR="00667DC5" w:rsidRPr="006710E4">
        <w:t>platinum-based chemotherapy (PBC)</w:t>
      </w:r>
      <w:r w:rsidRPr="006710E4">
        <w:t xml:space="preserve">. </w:t>
      </w:r>
      <w:r w:rsidR="0072022B" w:rsidRPr="006710E4">
        <w:fldChar w:fldCharType="begin"/>
      </w:r>
      <w:r w:rsidR="0072022B" w:rsidRPr="006710E4">
        <w:instrText xml:space="preserve"> REF _Ref91961502 \h  \* MERGEFORMAT </w:instrText>
      </w:r>
      <w:r w:rsidR="0072022B" w:rsidRPr="006710E4">
        <w:fldChar w:fldCharType="separate"/>
      </w:r>
      <w:r w:rsidR="004975AD" w:rsidRPr="004975AD">
        <w:t>Table 1</w:t>
      </w:r>
      <w:r w:rsidR="0072022B" w:rsidRPr="006710E4">
        <w:fldChar w:fldCharType="end"/>
      </w:r>
      <w:r w:rsidRPr="006710E4">
        <w:t xml:space="preserve"> presents the key components of the clinical issue addressed by the submission. </w:t>
      </w:r>
    </w:p>
    <w:p w14:paraId="3718DE61" w14:textId="0EA40933" w:rsidR="008B1757" w:rsidRPr="006710E4" w:rsidRDefault="008B1757" w:rsidP="00FB149E">
      <w:pPr>
        <w:keepNext/>
        <w:keepLines/>
        <w:rPr>
          <w:rStyle w:val="CommentReference"/>
        </w:rPr>
      </w:pPr>
      <w:bookmarkStart w:id="1" w:name="_Ref91961502"/>
      <w:r w:rsidRPr="006710E4">
        <w:rPr>
          <w:rStyle w:val="CommentReference"/>
        </w:rPr>
        <w:t xml:space="preserve">Table </w:t>
      </w:r>
      <w:r w:rsidR="0072022B" w:rsidRPr="006710E4">
        <w:rPr>
          <w:rStyle w:val="CommentReference"/>
        </w:rPr>
        <w:fldChar w:fldCharType="begin"/>
      </w:r>
      <w:r w:rsidR="0072022B" w:rsidRPr="006710E4">
        <w:rPr>
          <w:rStyle w:val="CommentReference"/>
        </w:rPr>
        <w:instrText xml:space="preserve"> SEQ Table \* ARABIC </w:instrText>
      </w:r>
      <w:r w:rsidR="0072022B" w:rsidRPr="006710E4">
        <w:rPr>
          <w:rStyle w:val="CommentReference"/>
        </w:rPr>
        <w:fldChar w:fldCharType="separate"/>
      </w:r>
      <w:r w:rsidR="004975AD">
        <w:rPr>
          <w:rStyle w:val="CommentReference"/>
          <w:noProof/>
        </w:rPr>
        <w:t>1</w:t>
      </w:r>
      <w:r w:rsidR="0072022B" w:rsidRPr="006710E4">
        <w:rPr>
          <w:rStyle w:val="CommentReference"/>
        </w:rPr>
        <w:fldChar w:fldCharType="end"/>
      </w:r>
      <w:bookmarkEnd w:id="1"/>
      <w:r w:rsidR="00026B41" w:rsidRPr="006710E4">
        <w:rPr>
          <w:rStyle w:val="CommentReference"/>
        </w:rPr>
        <w:t xml:space="preserve">: </w:t>
      </w:r>
      <w:r w:rsidRPr="006710E4">
        <w:rPr>
          <w:rStyle w:val="CommentReference"/>
        </w:rPr>
        <w:t>Key components of the clinical issue addressed by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7749"/>
      </w:tblGrid>
      <w:tr w:rsidR="004C0DFE" w:rsidRPr="006710E4" w14:paraId="7CBF4ED1" w14:textId="77777777" w:rsidTr="00ED261D">
        <w:tc>
          <w:tcPr>
            <w:tcW w:w="1271" w:type="dxa"/>
            <w:vAlign w:val="center"/>
          </w:tcPr>
          <w:p w14:paraId="3B61FC08" w14:textId="77777777" w:rsidR="004C0DFE" w:rsidRPr="006710E4" w:rsidRDefault="004C0DFE" w:rsidP="00FB149E">
            <w:pPr>
              <w:pStyle w:val="Tabletext"/>
              <w:keepNext/>
              <w:keepLines/>
              <w:rPr>
                <w:b/>
              </w:rPr>
            </w:pPr>
            <w:r w:rsidRPr="006710E4">
              <w:rPr>
                <w:b/>
              </w:rPr>
              <w:t>Component</w:t>
            </w:r>
          </w:p>
        </w:tc>
        <w:tc>
          <w:tcPr>
            <w:tcW w:w="7885" w:type="dxa"/>
            <w:vAlign w:val="center"/>
          </w:tcPr>
          <w:p w14:paraId="390E82DE" w14:textId="77777777" w:rsidR="004C0DFE" w:rsidRPr="006710E4" w:rsidRDefault="004C0DFE" w:rsidP="00FB149E">
            <w:pPr>
              <w:pStyle w:val="Tabletext"/>
              <w:keepNext/>
              <w:keepLines/>
              <w:jc w:val="center"/>
              <w:rPr>
                <w:b/>
              </w:rPr>
            </w:pPr>
            <w:r w:rsidRPr="006710E4">
              <w:rPr>
                <w:b/>
              </w:rPr>
              <w:t>Description</w:t>
            </w:r>
          </w:p>
        </w:tc>
      </w:tr>
      <w:tr w:rsidR="004C0DFE" w:rsidRPr="006710E4" w14:paraId="64A113C1" w14:textId="77777777" w:rsidTr="00ED261D">
        <w:tc>
          <w:tcPr>
            <w:tcW w:w="1271" w:type="dxa"/>
            <w:vAlign w:val="center"/>
          </w:tcPr>
          <w:p w14:paraId="523FB5C4" w14:textId="77777777" w:rsidR="004C0DFE" w:rsidRPr="006710E4" w:rsidRDefault="004C0DFE" w:rsidP="00FB149E">
            <w:pPr>
              <w:pStyle w:val="Tabletext"/>
              <w:keepNext/>
              <w:keepLines/>
            </w:pPr>
            <w:r w:rsidRPr="006710E4">
              <w:t>Population</w:t>
            </w:r>
          </w:p>
        </w:tc>
        <w:tc>
          <w:tcPr>
            <w:tcW w:w="7885" w:type="dxa"/>
          </w:tcPr>
          <w:p w14:paraId="712CF432" w14:textId="77777777" w:rsidR="004C0DFE" w:rsidRPr="006710E4" w:rsidRDefault="004C0DFE" w:rsidP="00FB149E">
            <w:pPr>
              <w:pStyle w:val="Tabletext"/>
              <w:keepNext/>
              <w:keepLines/>
            </w:pPr>
            <w:r w:rsidRPr="006710E4">
              <w:t>Patients with advanced or recurrent (A/R) mismatch repair deficient (</w:t>
            </w:r>
            <w:proofErr w:type="spellStart"/>
            <w:r w:rsidRPr="006710E4">
              <w:t>dMMR</w:t>
            </w:r>
            <w:proofErr w:type="spellEnd"/>
            <w:r w:rsidRPr="006710E4">
              <w:t>) endometrial cancer (EC) that has progressed on or following prior treatment with a platinum-containing regimen.</w:t>
            </w:r>
          </w:p>
        </w:tc>
      </w:tr>
      <w:tr w:rsidR="004C0DFE" w:rsidRPr="006710E4" w14:paraId="68853FE5" w14:textId="77777777" w:rsidTr="00ED261D">
        <w:tc>
          <w:tcPr>
            <w:tcW w:w="1271" w:type="dxa"/>
            <w:vAlign w:val="center"/>
          </w:tcPr>
          <w:p w14:paraId="127FBB0B" w14:textId="77777777" w:rsidR="004C0DFE" w:rsidRPr="006710E4" w:rsidRDefault="004C0DFE" w:rsidP="00FB149E">
            <w:pPr>
              <w:pStyle w:val="Tabletext"/>
              <w:keepNext/>
              <w:keepLines/>
            </w:pPr>
            <w:r w:rsidRPr="006710E4">
              <w:t>Intervention</w:t>
            </w:r>
          </w:p>
        </w:tc>
        <w:tc>
          <w:tcPr>
            <w:tcW w:w="7885" w:type="dxa"/>
          </w:tcPr>
          <w:p w14:paraId="49374600" w14:textId="77777777" w:rsidR="004C0DFE" w:rsidRPr="006710E4" w:rsidRDefault="004C0DFE" w:rsidP="00FB149E">
            <w:pPr>
              <w:pStyle w:val="Tabletext"/>
              <w:keepNext/>
              <w:keepLines/>
            </w:pPr>
            <w:proofErr w:type="spellStart"/>
            <w:r w:rsidRPr="006710E4">
              <w:t>Dostarlimab</w:t>
            </w:r>
            <w:proofErr w:type="spellEnd"/>
            <w:r w:rsidRPr="006710E4">
              <w:t xml:space="preserve"> 500 mg Q3W for the first four doses, followed by 1,000 mg Q6W for all cycles thereafter for up to 2 years.</w:t>
            </w:r>
          </w:p>
        </w:tc>
      </w:tr>
      <w:tr w:rsidR="004C0DFE" w:rsidRPr="006710E4" w14:paraId="6D83654E" w14:textId="77777777" w:rsidTr="00ED261D">
        <w:tc>
          <w:tcPr>
            <w:tcW w:w="1271" w:type="dxa"/>
            <w:vAlign w:val="center"/>
          </w:tcPr>
          <w:p w14:paraId="5AF1227C" w14:textId="77777777" w:rsidR="004C0DFE" w:rsidRPr="006710E4" w:rsidRDefault="004C0DFE" w:rsidP="00FB149E">
            <w:pPr>
              <w:pStyle w:val="Tabletext"/>
              <w:keepNext/>
              <w:keepLines/>
            </w:pPr>
            <w:r w:rsidRPr="006710E4">
              <w:t>Comparator</w:t>
            </w:r>
          </w:p>
        </w:tc>
        <w:tc>
          <w:tcPr>
            <w:tcW w:w="7885" w:type="dxa"/>
          </w:tcPr>
          <w:p w14:paraId="6FC4D745" w14:textId="02C1D709" w:rsidR="004C0DFE" w:rsidRPr="006710E4" w:rsidRDefault="004C0DFE" w:rsidP="00FB149E">
            <w:pPr>
              <w:pStyle w:val="Tabletext"/>
              <w:keepNext/>
              <w:keepLines/>
            </w:pPr>
            <w:r w:rsidRPr="006710E4">
              <w:t>Standard of care (SoC) comprising single-agent and platinum-based chemotherapies.</w:t>
            </w:r>
          </w:p>
        </w:tc>
      </w:tr>
      <w:tr w:rsidR="004C0DFE" w:rsidRPr="006710E4" w14:paraId="37E0DF86" w14:textId="77777777" w:rsidTr="00ED261D">
        <w:tc>
          <w:tcPr>
            <w:tcW w:w="1271" w:type="dxa"/>
            <w:vAlign w:val="center"/>
          </w:tcPr>
          <w:p w14:paraId="64D24942" w14:textId="77777777" w:rsidR="004C0DFE" w:rsidRPr="006710E4" w:rsidRDefault="004C0DFE" w:rsidP="00FB149E">
            <w:pPr>
              <w:pStyle w:val="Tabletext"/>
              <w:keepNext/>
              <w:keepLines/>
            </w:pPr>
            <w:r w:rsidRPr="006710E4">
              <w:t>Outcomes</w:t>
            </w:r>
          </w:p>
        </w:tc>
        <w:tc>
          <w:tcPr>
            <w:tcW w:w="7885" w:type="dxa"/>
          </w:tcPr>
          <w:p w14:paraId="725166C7" w14:textId="77777777" w:rsidR="004C0DFE" w:rsidRPr="006710E4" w:rsidRDefault="004C0DFE" w:rsidP="00FB149E">
            <w:pPr>
              <w:pStyle w:val="Tabletext"/>
              <w:keepNext/>
              <w:keepLines/>
            </w:pPr>
            <w:r w:rsidRPr="006710E4">
              <w:t>Objective response rate, duration of response, progression-free survival, overall survival, safety.</w:t>
            </w:r>
          </w:p>
        </w:tc>
      </w:tr>
      <w:tr w:rsidR="004C0DFE" w:rsidRPr="006710E4" w14:paraId="4B4E973A" w14:textId="77777777" w:rsidTr="00ED261D">
        <w:tc>
          <w:tcPr>
            <w:tcW w:w="1271" w:type="dxa"/>
            <w:vAlign w:val="center"/>
          </w:tcPr>
          <w:p w14:paraId="48EBDBA4" w14:textId="77777777" w:rsidR="004C0DFE" w:rsidRPr="006710E4" w:rsidRDefault="004C0DFE" w:rsidP="00FB149E">
            <w:pPr>
              <w:pStyle w:val="Tabletext"/>
              <w:keepNext/>
              <w:keepLines/>
            </w:pPr>
            <w:r w:rsidRPr="006710E4">
              <w:t>Clinical claim</w:t>
            </w:r>
          </w:p>
        </w:tc>
        <w:tc>
          <w:tcPr>
            <w:tcW w:w="7885" w:type="dxa"/>
          </w:tcPr>
          <w:p w14:paraId="1B55F2C1" w14:textId="77777777" w:rsidR="004C0DFE" w:rsidRPr="006710E4" w:rsidRDefault="004C0DFE" w:rsidP="00FB149E">
            <w:pPr>
              <w:pStyle w:val="Tabletext"/>
              <w:keepNext/>
              <w:keepLines/>
            </w:pPr>
            <w:r w:rsidRPr="006710E4">
              <w:t xml:space="preserve">In patients with A/R </w:t>
            </w:r>
            <w:proofErr w:type="spellStart"/>
            <w:r w:rsidRPr="006710E4">
              <w:t>dMMR</w:t>
            </w:r>
            <w:proofErr w:type="spellEnd"/>
            <w:r w:rsidRPr="006710E4">
              <w:t xml:space="preserve"> EC that has progressed on or following prior treatment with a platinum-containing regimen, </w:t>
            </w:r>
            <w:proofErr w:type="spellStart"/>
            <w:r w:rsidRPr="006710E4">
              <w:t>dostarlimab</w:t>
            </w:r>
            <w:proofErr w:type="spellEnd"/>
            <w:r w:rsidRPr="006710E4">
              <w:t xml:space="preserve"> is superior in terms of efficacy compared to standard chemotherapy, with a manageable and non-inferior safety profile.</w:t>
            </w:r>
          </w:p>
        </w:tc>
      </w:tr>
    </w:tbl>
    <w:p w14:paraId="210C5FFE" w14:textId="77777777" w:rsidR="004C0DFE" w:rsidRPr="006710E4" w:rsidRDefault="004C0DFE" w:rsidP="00FB149E">
      <w:pPr>
        <w:pStyle w:val="TableFooter"/>
        <w:keepNext/>
        <w:keepLines/>
      </w:pPr>
      <w:r w:rsidRPr="006710E4">
        <w:t>Source: Table 1, p19 of the submission.</w:t>
      </w:r>
    </w:p>
    <w:p w14:paraId="0706E0A4" w14:textId="7A75F6C7" w:rsidR="004C0DFE" w:rsidRPr="006710E4" w:rsidRDefault="004C0DFE" w:rsidP="00FB149E">
      <w:pPr>
        <w:pStyle w:val="TableFooter"/>
        <w:keepNext/>
        <w:keepLines/>
        <w:rPr>
          <w:rStyle w:val="CommentReference"/>
          <w:b w:val="0"/>
          <w:sz w:val="18"/>
          <w:szCs w:val="22"/>
        </w:rPr>
      </w:pPr>
      <w:r w:rsidRPr="006710E4">
        <w:t xml:space="preserve">A/R = recurrent or advanced; </w:t>
      </w:r>
      <w:proofErr w:type="spellStart"/>
      <w:r w:rsidRPr="006710E4">
        <w:t>dMMR</w:t>
      </w:r>
      <w:proofErr w:type="spellEnd"/>
      <w:r w:rsidRPr="006710E4">
        <w:t xml:space="preserve"> = mismatch repair deficient; EC = endometrial cancer; Q3W = every 3 weeks; Q6W = every 6 weeks</w:t>
      </w:r>
    </w:p>
    <w:p w14:paraId="527CA7F0" w14:textId="125263FD" w:rsidR="004E43B2" w:rsidRPr="006710E4" w:rsidRDefault="004E43B2" w:rsidP="004B1CB4"/>
    <w:p w14:paraId="56980591" w14:textId="77777777" w:rsidR="003D4B33" w:rsidRPr="006710E4" w:rsidRDefault="003D4B33" w:rsidP="002D5868">
      <w:pPr>
        <w:pStyle w:val="PBACHeading1"/>
        <w:keepNext/>
      </w:pPr>
      <w:bookmarkStart w:id="2" w:name="_Toc93481974"/>
      <w:r w:rsidRPr="006710E4">
        <w:t>Background</w:t>
      </w:r>
      <w:bookmarkEnd w:id="2"/>
    </w:p>
    <w:p w14:paraId="211A7327" w14:textId="77777777" w:rsidR="003D4B33" w:rsidRPr="006710E4" w:rsidRDefault="003D4B33" w:rsidP="002D5868">
      <w:pPr>
        <w:keepNext/>
        <w:rPr>
          <w:b/>
          <w:i/>
          <w:sz w:val="28"/>
          <w:szCs w:val="28"/>
        </w:rPr>
      </w:pPr>
      <w:r w:rsidRPr="006710E4">
        <w:rPr>
          <w:b/>
          <w:i/>
          <w:sz w:val="28"/>
          <w:szCs w:val="28"/>
        </w:rPr>
        <w:t>Registration status</w:t>
      </w:r>
    </w:p>
    <w:p w14:paraId="53C945DF" w14:textId="2FB2B126" w:rsidR="000D5948" w:rsidRPr="000D5948" w:rsidRDefault="000D5948" w:rsidP="002D5868">
      <w:pPr>
        <w:keepNext/>
        <w:widowControl/>
      </w:pPr>
    </w:p>
    <w:p w14:paraId="4F0D5C15" w14:textId="09CE5218" w:rsidR="003D4B33" w:rsidRPr="006710E4" w:rsidRDefault="003D4B33" w:rsidP="002D5868">
      <w:pPr>
        <w:pStyle w:val="ListParagraph"/>
        <w:keepNext/>
        <w:widowControl/>
        <w:numPr>
          <w:ilvl w:val="1"/>
          <w:numId w:val="2"/>
        </w:numPr>
      </w:pPr>
      <w:r w:rsidRPr="006710E4">
        <w:t xml:space="preserve">This submission was lodged under the TGA-PBAC parallel process. </w:t>
      </w:r>
      <w:proofErr w:type="spellStart"/>
      <w:r w:rsidR="00CE2195" w:rsidRPr="007F19E8">
        <w:rPr>
          <w:lang w:bidi="en-US"/>
        </w:rPr>
        <w:t>Dostarlimab</w:t>
      </w:r>
      <w:proofErr w:type="spellEnd"/>
      <w:r w:rsidR="00CE2195" w:rsidRPr="007F19E8">
        <w:rPr>
          <w:lang w:bidi="en-US"/>
        </w:rPr>
        <w:t xml:space="preserve"> </w:t>
      </w:r>
      <w:r w:rsidR="00CE2195">
        <w:rPr>
          <w:lang w:bidi="en-US"/>
        </w:rPr>
        <w:t>received TGA provisional approval</w:t>
      </w:r>
      <w:r w:rsidR="00F324F8">
        <w:rPr>
          <w:lang w:bidi="en-US"/>
        </w:rPr>
        <w:t xml:space="preserve"> </w:t>
      </w:r>
      <w:r w:rsidR="00CE2195" w:rsidRPr="007F19E8">
        <w:rPr>
          <w:lang w:bidi="en-US"/>
        </w:rPr>
        <w:t>on 15</w:t>
      </w:r>
      <w:r w:rsidR="00CE2195" w:rsidRPr="00CE2195">
        <w:rPr>
          <w:vertAlign w:val="superscript"/>
          <w:lang w:bidi="en-US"/>
        </w:rPr>
        <w:t>th</w:t>
      </w:r>
      <w:r w:rsidR="00CE2195">
        <w:rPr>
          <w:lang w:bidi="en-US"/>
        </w:rPr>
        <w:t xml:space="preserve"> </w:t>
      </w:r>
      <w:r w:rsidR="00CE2195" w:rsidRPr="007F19E8">
        <w:rPr>
          <w:lang w:bidi="en-US"/>
        </w:rPr>
        <w:t xml:space="preserve">February 2022 for the treatment of A/R </w:t>
      </w:r>
      <w:proofErr w:type="spellStart"/>
      <w:r w:rsidR="00CE2195" w:rsidRPr="007F19E8">
        <w:rPr>
          <w:lang w:bidi="en-US"/>
        </w:rPr>
        <w:t>dMMR</w:t>
      </w:r>
      <w:proofErr w:type="spellEnd"/>
      <w:r w:rsidR="00CE2195" w:rsidRPr="007F19E8">
        <w:rPr>
          <w:lang w:bidi="en-US"/>
        </w:rPr>
        <w:t xml:space="preserve"> EC following PBC</w:t>
      </w:r>
      <w:r w:rsidR="00CE2195">
        <w:rPr>
          <w:lang w:bidi="en-US"/>
        </w:rPr>
        <w:t xml:space="preserve"> with </w:t>
      </w:r>
      <w:r w:rsidRPr="00CE2195">
        <w:rPr>
          <w:snapToGrid/>
        </w:rPr>
        <w:t xml:space="preserve">the following indication: </w:t>
      </w:r>
    </w:p>
    <w:p w14:paraId="4E92689F" w14:textId="77777777" w:rsidR="003D4B33" w:rsidRPr="006710E4" w:rsidRDefault="003D4B33" w:rsidP="003D4B33">
      <w:pPr>
        <w:pStyle w:val="ListParagraph"/>
        <w:widowControl/>
      </w:pPr>
      <w:r w:rsidRPr="006710E4">
        <w:t>“JEMPERLI is indicated as monotherapy for the treatment of adult patients with recurrent or advanced mismatch repair deficient (</w:t>
      </w:r>
      <w:proofErr w:type="spellStart"/>
      <w:r w:rsidRPr="006710E4">
        <w:t>dMMR</w:t>
      </w:r>
      <w:proofErr w:type="spellEnd"/>
      <w:r w:rsidRPr="006710E4">
        <w:t>) endometrial cancer (EC) that has progressed on or following prior treatment with a platinum-containing regimen.</w:t>
      </w:r>
    </w:p>
    <w:p w14:paraId="61C4712E" w14:textId="77777777" w:rsidR="003D4B33" w:rsidRPr="006710E4" w:rsidRDefault="003D4B33" w:rsidP="003D4B33">
      <w:pPr>
        <w:pStyle w:val="ListParagraph"/>
        <w:widowControl/>
      </w:pPr>
      <w:r w:rsidRPr="006710E4">
        <w:lastRenderedPageBreak/>
        <w:t>This medicine and indication have provisional approval, based on objective response rate and duration of response in a single-arm trial. Full registration for this indication depends on verification and description of clinical benefit in confirmatory trials.”</w:t>
      </w:r>
    </w:p>
    <w:p w14:paraId="547F3BBD" w14:textId="2D15CDF8" w:rsidR="00791788" w:rsidRPr="006710E4" w:rsidRDefault="003D4B33" w:rsidP="003D4B33">
      <w:pPr>
        <w:pStyle w:val="ListParagraph"/>
        <w:widowControl/>
        <w:numPr>
          <w:ilvl w:val="1"/>
          <w:numId w:val="2"/>
        </w:numPr>
      </w:pPr>
      <w:r w:rsidRPr="006710E4">
        <w:t>The</w:t>
      </w:r>
      <w:r w:rsidR="00791788" w:rsidRPr="006710E4">
        <w:t xml:space="preserve"> </w:t>
      </w:r>
      <w:r w:rsidR="00135F12">
        <w:t>TGA approval document</w:t>
      </w:r>
      <w:r w:rsidR="00791788" w:rsidRPr="006710E4">
        <w:t xml:space="preserve"> stated that confirmatory trial data must be provided</w:t>
      </w:r>
      <w:r w:rsidR="00135F12">
        <w:t xml:space="preserve"> from the GARNET and RUBY trials.</w:t>
      </w:r>
    </w:p>
    <w:p w14:paraId="2E87D723" w14:textId="14003DDE" w:rsidR="00C578D3" w:rsidRPr="006710E4" w:rsidRDefault="00C578D3" w:rsidP="00D010E3">
      <w:pPr>
        <w:pStyle w:val="ListParagraph"/>
        <w:widowControl/>
        <w:numPr>
          <w:ilvl w:val="0"/>
          <w:numId w:val="10"/>
        </w:numPr>
        <w:ind w:left="1077" w:hanging="357"/>
        <w:contextualSpacing/>
      </w:pPr>
      <w:r w:rsidRPr="006710E4">
        <w:t>GARNET</w:t>
      </w:r>
      <w:r w:rsidR="00135F12">
        <w:t>:</w:t>
      </w:r>
      <w:r w:rsidRPr="006710E4">
        <w:t xml:space="preserve"> The submission stated that </w:t>
      </w:r>
      <w:r w:rsidR="003D4B33" w:rsidRPr="006710E4">
        <w:t>additional patients with A</w:t>
      </w:r>
      <w:r w:rsidRPr="006710E4">
        <w:t xml:space="preserve">/R </w:t>
      </w:r>
      <w:proofErr w:type="spellStart"/>
      <w:r w:rsidRPr="006710E4">
        <w:t>dMMR</w:t>
      </w:r>
      <w:proofErr w:type="spellEnd"/>
      <w:r w:rsidRPr="006710E4">
        <w:t xml:space="preserve">/MSI-H EC following PBC </w:t>
      </w:r>
      <w:r w:rsidR="003D4B33" w:rsidRPr="006710E4">
        <w:t xml:space="preserve">will continue to be enrolled in Cohort A1 of GARNET. </w:t>
      </w:r>
    </w:p>
    <w:p w14:paraId="79932D3C" w14:textId="685226AB" w:rsidR="003D4B33" w:rsidRPr="006710E4" w:rsidRDefault="003D4B33" w:rsidP="00791788">
      <w:pPr>
        <w:pStyle w:val="ListParagraph"/>
        <w:widowControl/>
        <w:numPr>
          <w:ilvl w:val="0"/>
          <w:numId w:val="10"/>
        </w:numPr>
      </w:pPr>
      <w:r w:rsidRPr="006710E4">
        <w:t>RUBY (NCT03981796)</w:t>
      </w:r>
      <w:r w:rsidR="00135F12">
        <w:t>:</w:t>
      </w:r>
      <w:r w:rsidRPr="006710E4">
        <w:t xml:space="preserve"> a randomised, double-blind phase III study of </w:t>
      </w:r>
      <w:proofErr w:type="spellStart"/>
      <w:r w:rsidRPr="006710E4">
        <w:t>dostarlimab</w:t>
      </w:r>
      <w:proofErr w:type="spellEnd"/>
      <w:r w:rsidRPr="006710E4">
        <w:t xml:space="preserve"> in combination with chemotherapy versus chemotherapy alone in patients with recurrent (first recurrence only) or primary advanced (Stage III or IV) EC, as the confirmatory study. </w:t>
      </w:r>
      <w:r w:rsidR="00C578D3" w:rsidRPr="006710E4">
        <w:t>T</w:t>
      </w:r>
      <w:r w:rsidRPr="006710E4">
        <w:t xml:space="preserve">he submission </w:t>
      </w:r>
      <w:r w:rsidR="00C578D3" w:rsidRPr="006710E4">
        <w:t>considered</w:t>
      </w:r>
      <w:r w:rsidRPr="006710E4">
        <w:t xml:space="preserve"> that longer term follow-up of GARNET </w:t>
      </w:r>
      <w:r w:rsidR="00C578D3" w:rsidRPr="006710E4">
        <w:t>was</w:t>
      </w:r>
      <w:r w:rsidRPr="006710E4">
        <w:t xml:space="preserve"> more relevant </w:t>
      </w:r>
      <w:r w:rsidR="00C578D3" w:rsidRPr="006710E4">
        <w:t xml:space="preserve">(than RUBY) </w:t>
      </w:r>
      <w:r w:rsidRPr="006710E4">
        <w:t xml:space="preserve">for </w:t>
      </w:r>
      <w:r w:rsidR="00C578D3" w:rsidRPr="006710E4">
        <w:t xml:space="preserve">the requested PBS listing </w:t>
      </w:r>
      <w:r w:rsidRPr="006710E4">
        <w:t xml:space="preserve">due to differences in use (monotherapy versus combination) and line of therapy (2L versus 1L). </w:t>
      </w:r>
    </w:p>
    <w:p w14:paraId="76E4EF3C" w14:textId="6300F075" w:rsidR="00B60939" w:rsidRPr="00FF79DB" w:rsidRDefault="00B50DB8" w:rsidP="00AF4F54">
      <w:pPr>
        <w:pStyle w:val="PBACHeading1"/>
        <w:spacing w:after="160"/>
      </w:pPr>
      <w:bookmarkStart w:id="3" w:name="_Toc93481975"/>
      <w:r w:rsidRPr="00FF79DB">
        <w:t>Requested listing</w:t>
      </w:r>
      <w:bookmarkEnd w:id="3"/>
    </w:p>
    <w:p w14:paraId="550EE776" w14:textId="4B18103B" w:rsidR="006710E4" w:rsidRPr="00240F63" w:rsidRDefault="001148DE" w:rsidP="006710E4">
      <w:pPr>
        <w:pStyle w:val="ListParagraph"/>
        <w:widowControl/>
        <w:numPr>
          <w:ilvl w:val="1"/>
          <w:numId w:val="2"/>
        </w:numPr>
        <w:rPr>
          <w:iCs/>
        </w:rPr>
      </w:pPr>
      <w:r w:rsidRPr="00240F63">
        <w:rPr>
          <w:iCs/>
        </w:rPr>
        <w:t>The sponsor’s proposed listing</w:t>
      </w:r>
      <w:r w:rsidR="00240F63">
        <w:rPr>
          <w:iCs/>
        </w:rPr>
        <w:t xml:space="preserve"> is shown below</w:t>
      </w:r>
      <w:r w:rsidRPr="00240F63">
        <w:rPr>
          <w:iCs/>
        </w:rPr>
        <w:t>, with</w:t>
      </w:r>
      <w:r w:rsidR="00434F23" w:rsidRPr="00240F63">
        <w:rPr>
          <w:iCs/>
        </w:rPr>
        <w:t xml:space="preserve"> changes to the restriction wording as suggested by the Secretariat</w:t>
      </w:r>
      <w:r w:rsidRPr="00240F63">
        <w:rPr>
          <w:iCs/>
        </w:rPr>
        <w:t xml:space="preserve"> </w:t>
      </w:r>
      <w:r w:rsidR="00434F23" w:rsidRPr="00240F63">
        <w:rPr>
          <w:iCs/>
        </w:rPr>
        <w:t>shown in italics</w:t>
      </w:r>
      <w:r w:rsidR="006710E4" w:rsidRPr="00240F63">
        <w:rPr>
          <w:iCs/>
        </w:rPr>
        <w:t>.</w:t>
      </w:r>
    </w:p>
    <w:tbl>
      <w:tblPr>
        <w:tblW w:w="4977" w:type="pct"/>
        <w:tblInd w:w="28" w:type="dxa"/>
        <w:tblCellMar>
          <w:left w:w="28" w:type="dxa"/>
          <w:right w:w="28" w:type="dxa"/>
        </w:tblCellMar>
        <w:tblLook w:val="0000" w:firstRow="0" w:lastRow="0" w:firstColumn="0" w:lastColumn="0" w:noHBand="0" w:noVBand="0"/>
      </w:tblPr>
      <w:tblGrid>
        <w:gridCol w:w="1805"/>
        <w:gridCol w:w="1092"/>
        <w:gridCol w:w="695"/>
        <w:gridCol w:w="683"/>
        <w:gridCol w:w="2667"/>
        <w:gridCol w:w="2043"/>
      </w:tblGrid>
      <w:tr w:rsidR="00345D6E" w:rsidRPr="00FF79DB" w14:paraId="3F3E5DD2" w14:textId="77777777" w:rsidTr="00201781">
        <w:trPr>
          <w:cantSplit/>
          <w:trHeight w:val="463"/>
        </w:trPr>
        <w:tc>
          <w:tcPr>
            <w:tcW w:w="1623" w:type="pct"/>
            <w:gridSpan w:val="2"/>
            <w:tcBorders>
              <w:top w:val="single" w:sz="4" w:space="0" w:color="auto"/>
              <w:bottom w:val="single" w:sz="4" w:space="0" w:color="auto"/>
            </w:tcBorders>
            <w:vAlign w:val="center"/>
          </w:tcPr>
          <w:p w14:paraId="0F6E847E" w14:textId="77777777" w:rsidR="00617E12" w:rsidRPr="00FF79DB" w:rsidRDefault="00617E12" w:rsidP="002D5868">
            <w:pPr>
              <w:keepNext/>
              <w:jc w:val="left"/>
              <w:rPr>
                <w:rFonts w:ascii="Arial Narrow" w:hAnsi="Arial Narrow"/>
                <w:b/>
                <w:sz w:val="20"/>
              </w:rPr>
            </w:pPr>
            <w:r w:rsidRPr="00FF79DB">
              <w:rPr>
                <w:rFonts w:ascii="Arial Narrow" w:hAnsi="Arial Narrow"/>
                <w:b/>
                <w:sz w:val="20"/>
              </w:rPr>
              <w:t>Name, Restriction,</w:t>
            </w:r>
          </w:p>
          <w:p w14:paraId="1DDDA174" w14:textId="77777777" w:rsidR="00617E12" w:rsidRPr="00FF79DB" w:rsidRDefault="00617E12" w:rsidP="002D5868">
            <w:pPr>
              <w:keepNext/>
              <w:jc w:val="left"/>
              <w:rPr>
                <w:rFonts w:ascii="Arial Narrow" w:hAnsi="Arial Narrow"/>
                <w:b/>
                <w:sz w:val="20"/>
              </w:rPr>
            </w:pPr>
            <w:r w:rsidRPr="00FF79DB">
              <w:rPr>
                <w:rFonts w:ascii="Arial Narrow" w:hAnsi="Arial Narrow"/>
                <w:b/>
                <w:sz w:val="20"/>
              </w:rPr>
              <w:t>Manner of administration and form</w:t>
            </w:r>
          </w:p>
        </w:tc>
        <w:tc>
          <w:tcPr>
            <w:tcW w:w="361" w:type="pct"/>
            <w:tcBorders>
              <w:top w:val="single" w:sz="4" w:space="0" w:color="auto"/>
              <w:bottom w:val="single" w:sz="4" w:space="0" w:color="auto"/>
            </w:tcBorders>
            <w:vAlign w:val="center"/>
          </w:tcPr>
          <w:p w14:paraId="20B12ACF" w14:textId="565F49B1" w:rsidR="00617E12" w:rsidRPr="00FF79DB" w:rsidRDefault="008B1757" w:rsidP="002D5868">
            <w:pPr>
              <w:keepNext/>
              <w:jc w:val="center"/>
              <w:rPr>
                <w:rFonts w:ascii="Arial Narrow" w:hAnsi="Arial Narrow"/>
                <w:b/>
                <w:sz w:val="20"/>
              </w:rPr>
            </w:pPr>
            <w:r w:rsidRPr="00FF79DB">
              <w:rPr>
                <w:rFonts w:ascii="Arial Narrow" w:hAnsi="Arial Narrow"/>
                <w:b/>
                <w:sz w:val="20"/>
              </w:rPr>
              <w:t>Max Amt</w:t>
            </w:r>
          </w:p>
        </w:tc>
        <w:tc>
          <w:tcPr>
            <w:tcW w:w="385" w:type="pct"/>
            <w:tcBorders>
              <w:top w:val="single" w:sz="4" w:space="0" w:color="auto"/>
              <w:bottom w:val="single" w:sz="4" w:space="0" w:color="auto"/>
            </w:tcBorders>
            <w:vAlign w:val="center"/>
          </w:tcPr>
          <w:p w14:paraId="4959D822" w14:textId="280A9A22" w:rsidR="00617E12" w:rsidRPr="00FF79DB" w:rsidRDefault="00617E12" w:rsidP="002D5868">
            <w:pPr>
              <w:keepNext/>
              <w:jc w:val="center"/>
              <w:rPr>
                <w:rFonts w:ascii="Arial Narrow" w:hAnsi="Arial Narrow"/>
                <w:b/>
                <w:sz w:val="20"/>
              </w:rPr>
            </w:pPr>
            <w:r w:rsidRPr="00FF79DB">
              <w:rPr>
                <w:rFonts w:ascii="Arial Narrow" w:hAnsi="Arial Narrow" w:cs="Times New Roman"/>
                <w:b/>
                <w:sz w:val="20"/>
              </w:rPr>
              <w:t>№</w:t>
            </w:r>
            <w:r w:rsidRPr="00FF79DB">
              <w:rPr>
                <w:rFonts w:ascii="Arial Narrow" w:hAnsi="Arial Narrow"/>
                <w:b/>
                <w:sz w:val="20"/>
              </w:rPr>
              <w:t>.</w:t>
            </w:r>
            <w:r w:rsidR="002D5868">
              <w:rPr>
                <w:rFonts w:ascii="Arial Narrow" w:hAnsi="Arial Narrow"/>
                <w:b/>
                <w:sz w:val="20"/>
              </w:rPr>
              <w:t xml:space="preserve"> </w:t>
            </w:r>
            <w:r w:rsidRPr="00FF79DB">
              <w:rPr>
                <w:rFonts w:ascii="Arial Narrow" w:hAnsi="Arial Narrow"/>
                <w:b/>
                <w:sz w:val="20"/>
              </w:rPr>
              <w:t>of</w:t>
            </w:r>
            <w:r w:rsidR="00CA4C43" w:rsidRPr="00FF79DB">
              <w:rPr>
                <w:rFonts w:ascii="Arial Narrow" w:hAnsi="Arial Narrow"/>
                <w:b/>
                <w:sz w:val="20"/>
              </w:rPr>
              <w:t xml:space="preserve"> </w:t>
            </w:r>
            <w:proofErr w:type="spellStart"/>
            <w:r w:rsidRPr="00FF79DB">
              <w:rPr>
                <w:rFonts w:ascii="Arial Narrow" w:hAnsi="Arial Narrow"/>
                <w:b/>
                <w:sz w:val="20"/>
              </w:rPr>
              <w:t>Rpts</w:t>
            </w:r>
            <w:proofErr w:type="spellEnd"/>
          </w:p>
        </w:tc>
        <w:tc>
          <w:tcPr>
            <w:tcW w:w="1489" w:type="pct"/>
            <w:tcBorders>
              <w:top w:val="single" w:sz="4" w:space="0" w:color="auto"/>
              <w:bottom w:val="single" w:sz="4" w:space="0" w:color="auto"/>
            </w:tcBorders>
            <w:vAlign w:val="center"/>
          </w:tcPr>
          <w:p w14:paraId="16C5700A" w14:textId="75CBD82D" w:rsidR="00617E12" w:rsidRPr="00FF79DB" w:rsidRDefault="00CA4C43" w:rsidP="002D5868">
            <w:pPr>
              <w:keepNext/>
              <w:jc w:val="center"/>
              <w:rPr>
                <w:rFonts w:ascii="Arial Narrow" w:hAnsi="Arial Narrow"/>
                <w:b/>
                <w:sz w:val="20"/>
              </w:rPr>
            </w:pPr>
            <w:r w:rsidRPr="00FF79DB">
              <w:rPr>
                <w:rFonts w:ascii="Arial Narrow" w:hAnsi="Arial Narrow"/>
                <w:b/>
                <w:sz w:val="20"/>
              </w:rPr>
              <w:t>Dispensed Price Max Amt</w:t>
            </w:r>
          </w:p>
        </w:tc>
        <w:tc>
          <w:tcPr>
            <w:tcW w:w="1142" w:type="pct"/>
            <w:tcBorders>
              <w:top w:val="single" w:sz="4" w:space="0" w:color="auto"/>
              <w:bottom w:val="single" w:sz="4" w:space="0" w:color="auto"/>
            </w:tcBorders>
            <w:vAlign w:val="center"/>
          </w:tcPr>
          <w:p w14:paraId="2F67E163" w14:textId="77777777" w:rsidR="00617E12" w:rsidRPr="00FF79DB" w:rsidRDefault="00617E12" w:rsidP="002D5868">
            <w:pPr>
              <w:keepNext/>
              <w:jc w:val="center"/>
              <w:rPr>
                <w:rFonts w:ascii="Arial Narrow" w:hAnsi="Arial Narrow"/>
                <w:b/>
                <w:sz w:val="20"/>
              </w:rPr>
            </w:pPr>
            <w:r w:rsidRPr="00FF79DB">
              <w:rPr>
                <w:rFonts w:ascii="Arial Narrow" w:hAnsi="Arial Narrow"/>
                <w:b/>
                <w:sz w:val="20"/>
              </w:rPr>
              <w:t>Proprietary Name and Manufacturer</w:t>
            </w:r>
          </w:p>
        </w:tc>
      </w:tr>
      <w:tr w:rsidR="00345D6E" w:rsidRPr="00FF79DB" w14:paraId="7FCBB5F3" w14:textId="77777777" w:rsidTr="002D5868">
        <w:trPr>
          <w:cantSplit/>
          <w:trHeight w:val="567"/>
        </w:trPr>
        <w:tc>
          <w:tcPr>
            <w:tcW w:w="1623" w:type="pct"/>
            <w:gridSpan w:val="2"/>
            <w:tcBorders>
              <w:top w:val="single" w:sz="4" w:space="0" w:color="auto"/>
              <w:bottom w:val="single" w:sz="4" w:space="0" w:color="auto"/>
            </w:tcBorders>
          </w:tcPr>
          <w:p w14:paraId="260CEE67" w14:textId="76DC877C" w:rsidR="00CA4C43" w:rsidRPr="00FF79DB" w:rsidRDefault="00345D6E" w:rsidP="002D5868">
            <w:pPr>
              <w:keepNext/>
              <w:jc w:val="left"/>
              <w:rPr>
                <w:rFonts w:ascii="Arial Narrow" w:hAnsi="Arial Narrow"/>
                <w:smallCaps/>
                <w:sz w:val="20"/>
              </w:rPr>
            </w:pPr>
            <w:r w:rsidRPr="00FF79DB">
              <w:rPr>
                <w:rFonts w:ascii="Arial Narrow" w:hAnsi="Arial Narrow"/>
                <w:smallCaps/>
                <w:sz w:val="20"/>
              </w:rPr>
              <w:t>INITIAL</w:t>
            </w:r>
          </w:p>
          <w:p w14:paraId="56A2065F" w14:textId="0C256B85" w:rsidR="00CA4C43" w:rsidRPr="00FF79DB" w:rsidRDefault="00CA4C43" w:rsidP="002D5868">
            <w:pPr>
              <w:keepNext/>
              <w:jc w:val="left"/>
              <w:rPr>
                <w:rFonts w:ascii="Arial Narrow" w:hAnsi="Arial Narrow"/>
                <w:sz w:val="20"/>
              </w:rPr>
            </w:pPr>
            <w:proofErr w:type="spellStart"/>
            <w:r w:rsidRPr="00FF79DB">
              <w:rPr>
                <w:rFonts w:ascii="Arial Narrow" w:hAnsi="Arial Narrow"/>
                <w:smallCaps/>
                <w:sz w:val="20"/>
              </w:rPr>
              <w:t>Dostarlimab</w:t>
            </w:r>
            <w:proofErr w:type="spellEnd"/>
          </w:p>
          <w:p w14:paraId="20DB567C" w14:textId="7A29DFD2" w:rsidR="00CA4C43" w:rsidRPr="00FF79DB" w:rsidRDefault="00CA4C43" w:rsidP="002D5868">
            <w:pPr>
              <w:keepNext/>
              <w:jc w:val="left"/>
              <w:rPr>
                <w:rFonts w:ascii="Arial Narrow" w:hAnsi="Arial Narrow"/>
                <w:sz w:val="20"/>
              </w:rPr>
            </w:pPr>
            <w:r w:rsidRPr="00FF79DB">
              <w:rPr>
                <w:rFonts w:ascii="Arial Narrow" w:hAnsi="Arial Narrow"/>
                <w:sz w:val="20"/>
              </w:rPr>
              <w:t>500</w:t>
            </w:r>
            <w:r w:rsidR="00151478">
              <w:rPr>
                <w:rFonts w:ascii="Arial Narrow" w:hAnsi="Arial Narrow"/>
                <w:sz w:val="20"/>
              </w:rPr>
              <w:t> </w:t>
            </w:r>
            <w:r w:rsidRPr="00FF79DB">
              <w:rPr>
                <w:rFonts w:ascii="Arial Narrow" w:hAnsi="Arial Narrow"/>
                <w:sz w:val="20"/>
              </w:rPr>
              <w:t>mg/10</w:t>
            </w:r>
            <w:r w:rsidR="00151478">
              <w:rPr>
                <w:rFonts w:ascii="Arial Narrow" w:hAnsi="Arial Narrow"/>
                <w:sz w:val="20"/>
              </w:rPr>
              <w:t> </w:t>
            </w:r>
            <w:r w:rsidRPr="00FF79DB">
              <w:rPr>
                <w:rFonts w:ascii="Arial Narrow" w:hAnsi="Arial Narrow"/>
                <w:sz w:val="20"/>
              </w:rPr>
              <w:t>mL injection</w:t>
            </w:r>
            <w:r w:rsidR="00345D6E" w:rsidRPr="00FF79DB">
              <w:rPr>
                <w:rFonts w:ascii="Arial Narrow" w:hAnsi="Arial Narrow"/>
                <w:sz w:val="20"/>
              </w:rPr>
              <w:t xml:space="preserve"> 1 x 10</w:t>
            </w:r>
            <w:r w:rsidR="00151478">
              <w:rPr>
                <w:rFonts w:ascii="Arial Narrow" w:hAnsi="Arial Narrow"/>
                <w:sz w:val="20"/>
              </w:rPr>
              <w:t> </w:t>
            </w:r>
            <w:r w:rsidR="00345D6E" w:rsidRPr="00FF79DB">
              <w:rPr>
                <w:rFonts w:ascii="Arial Narrow" w:hAnsi="Arial Narrow"/>
                <w:sz w:val="20"/>
              </w:rPr>
              <w:t>mL vial</w:t>
            </w:r>
          </w:p>
        </w:tc>
        <w:tc>
          <w:tcPr>
            <w:tcW w:w="361" w:type="pct"/>
            <w:tcBorders>
              <w:top w:val="single" w:sz="4" w:space="0" w:color="auto"/>
              <w:bottom w:val="single" w:sz="4" w:space="0" w:color="auto"/>
            </w:tcBorders>
          </w:tcPr>
          <w:p w14:paraId="0329C315" w14:textId="04F0CE42" w:rsidR="00CA4C43" w:rsidRPr="00FF79DB" w:rsidRDefault="00CA4C43" w:rsidP="002D5868">
            <w:pPr>
              <w:keepNext/>
              <w:jc w:val="center"/>
              <w:rPr>
                <w:rFonts w:ascii="Arial Narrow" w:hAnsi="Arial Narrow"/>
                <w:sz w:val="20"/>
              </w:rPr>
            </w:pPr>
            <w:r w:rsidRPr="00FF79DB">
              <w:rPr>
                <w:rFonts w:ascii="Arial Narrow" w:hAnsi="Arial Narrow"/>
                <w:sz w:val="20"/>
              </w:rPr>
              <w:t>500</w:t>
            </w:r>
            <w:r w:rsidR="00151478">
              <w:rPr>
                <w:rFonts w:ascii="Arial Narrow" w:hAnsi="Arial Narrow"/>
                <w:sz w:val="20"/>
              </w:rPr>
              <w:t> </w:t>
            </w:r>
            <w:r w:rsidRPr="00FF79DB">
              <w:rPr>
                <w:rFonts w:ascii="Arial Narrow" w:hAnsi="Arial Narrow"/>
                <w:sz w:val="20"/>
              </w:rPr>
              <w:t>mg</w:t>
            </w:r>
          </w:p>
        </w:tc>
        <w:tc>
          <w:tcPr>
            <w:tcW w:w="385" w:type="pct"/>
            <w:tcBorders>
              <w:top w:val="single" w:sz="4" w:space="0" w:color="auto"/>
              <w:bottom w:val="single" w:sz="4" w:space="0" w:color="auto"/>
            </w:tcBorders>
          </w:tcPr>
          <w:p w14:paraId="1822E97A" w14:textId="1651CA85" w:rsidR="00CA4C43" w:rsidRPr="00FF79DB" w:rsidRDefault="00CA4C43" w:rsidP="002D5868">
            <w:pPr>
              <w:keepNext/>
              <w:jc w:val="center"/>
              <w:rPr>
                <w:rFonts w:ascii="Arial Narrow" w:hAnsi="Arial Narrow"/>
                <w:sz w:val="20"/>
              </w:rPr>
            </w:pPr>
            <w:r w:rsidRPr="00FF79DB">
              <w:rPr>
                <w:rFonts w:ascii="Arial Narrow" w:hAnsi="Arial Narrow"/>
                <w:sz w:val="20"/>
              </w:rPr>
              <w:t>3</w:t>
            </w:r>
          </w:p>
        </w:tc>
        <w:tc>
          <w:tcPr>
            <w:tcW w:w="1489" w:type="pct"/>
            <w:tcBorders>
              <w:top w:val="single" w:sz="4" w:space="0" w:color="auto"/>
              <w:bottom w:val="single" w:sz="4" w:space="0" w:color="auto"/>
            </w:tcBorders>
            <w:vAlign w:val="center"/>
          </w:tcPr>
          <w:p w14:paraId="5D190057" w14:textId="2045F436" w:rsidR="00CA4C43" w:rsidRPr="00FF79DB" w:rsidRDefault="00CA4C43" w:rsidP="002D5868">
            <w:pPr>
              <w:keepNext/>
              <w:jc w:val="center"/>
              <w:rPr>
                <w:rFonts w:ascii="Arial Narrow" w:hAnsi="Arial Narrow"/>
                <w:sz w:val="20"/>
              </w:rPr>
            </w:pPr>
            <w:r w:rsidRPr="00FF79DB">
              <w:rPr>
                <w:rFonts w:ascii="Arial Narrow" w:hAnsi="Arial Narrow"/>
                <w:sz w:val="20"/>
              </w:rPr>
              <w:t>$</w:t>
            </w:r>
            <w:r w:rsidR="00217797" w:rsidRPr="00217797">
              <w:rPr>
                <w:rFonts w:ascii="Arial Narrow" w:hAnsi="Arial Narrow"/>
                <w:color w:val="000000"/>
                <w:sz w:val="20"/>
                <w:shd w:val="solid" w:color="000000" w:fill="000000"/>
                <w14:textFill>
                  <w14:solidFill>
                    <w14:srgbClr w14:val="000000">
                      <w14:alpha w14:val="100000"/>
                    </w14:srgbClr>
                  </w14:solidFill>
                </w14:textFill>
              </w:rPr>
              <w:t>|</w:t>
            </w:r>
            <w:r w:rsidRPr="00FF79DB">
              <w:rPr>
                <w:rFonts w:ascii="Arial Narrow" w:hAnsi="Arial Narrow"/>
                <w:sz w:val="20"/>
              </w:rPr>
              <w:t xml:space="preserve"> (public, published)</w:t>
            </w:r>
          </w:p>
          <w:p w14:paraId="232EE52C" w14:textId="17C657DE" w:rsidR="00CA4C43" w:rsidRPr="00FF79DB" w:rsidRDefault="00CA4C43" w:rsidP="002D5868">
            <w:pPr>
              <w:keepNext/>
              <w:jc w:val="center"/>
              <w:rPr>
                <w:rFonts w:ascii="Arial Narrow" w:hAnsi="Arial Narrow"/>
                <w:sz w:val="20"/>
              </w:rPr>
            </w:pPr>
            <w:r w:rsidRPr="00FF79DB">
              <w:rPr>
                <w:rFonts w:ascii="Arial Narrow" w:hAnsi="Arial Narrow"/>
                <w:sz w:val="20"/>
              </w:rPr>
              <w:t>$</w:t>
            </w:r>
            <w:r w:rsidR="00217797" w:rsidRPr="004975AD">
              <w:rPr>
                <w:rFonts w:ascii="Arial Narrow" w:hAnsi="Arial Narrow" w:hint="eastAsia"/>
                <w:color w:val="000000"/>
                <w:w w:val="15"/>
                <w:sz w:val="20"/>
                <w:shd w:val="solid" w:color="000000" w:fill="000000"/>
                <w:fitText w:val="15" w:id="-1502445568"/>
                <w14:textFill>
                  <w14:solidFill>
                    <w14:srgbClr w14:val="000000">
                      <w14:alpha w14:val="100000"/>
                    </w14:srgbClr>
                  </w14:solidFill>
                </w14:textFill>
              </w:rPr>
              <w:t xml:space="preserve">　</w:t>
            </w:r>
            <w:proofErr w:type="gramStart"/>
            <w:r w:rsidR="00217797" w:rsidRPr="004975AD">
              <w:rPr>
                <w:rFonts w:ascii="Arial Narrow" w:hAnsi="Arial Narrow"/>
                <w:color w:val="000000"/>
                <w:w w:val="15"/>
                <w:sz w:val="20"/>
                <w:shd w:val="solid" w:color="000000" w:fill="000000"/>
                <w:fitText w:val="15" w:id="-1502445568"/>
                <w14:textFill>
                  <w14:solidFill>
                    <w14:srgbClr w14:val="000000">
                      <w14:alpha w14:val="100000"/>
                    </w14:srgbClr>
                  </w14:solidFill>
                </w14:textFill>
              </w:rPr>
              <w:t>|</w:t>
            </w:r>
            <w:r w:rsidR="00217797" w:rsidRPr="004975AD">
              <w:rPr>
                <w:rFonts w:ascii="Arial Narrow" w:hAnsi="Arial Narrow" w:hint="eastAsia"/>
                <w:color w:val="000000"/>
                <w:spacing w:val="-50"/>
                <w:w w:val="15"/>
                <w:sz w:val="20"/>
                <w:shd w:val="solid" w:color="000000" w:fill="000000"/>
                <w:fitText w:val="15" w:id="-1502445568"/>
                <w14:textFill>
                  <w14:solidFill>
                    <w14:srgbClr w14:val="000000">
                      <w14:alpha w14:val="100000"/>
                    </w14:srgbClr>
                  </w14:solidFill>
                </w14:textFill>
              </w:rPr>
              <w:t xml:space="preserve">　</w:t>
            </w:r>
            <w:r w:rsidRPr="00FF79DB">
              <w:rPr>
                <w:rFonts w:ascii="Arial Narrow" w:hAnsi="Arial Narrow"/>
                <w:sz w:val="20"/>
              </w:rPr>
              <w:t xml:space="preserve"> (</w:t>
            </w:r>
            <w:proofErr w:type="gramEnd"/>
            <w:r w:rsidRPr="00FF79DB">
              <w:rPr>
                <w:rFonts w:ascii="Arial Narrow" w:hAnsi="Arial Narrow"/>
                <w:sz w:val="20"/>
              </w:rPr>
              <w:t>private, published)</w:t>
            </w:r>
          </w:p>
          <w:p w14:paraId="591A7B1C" w14:textId="6A11651D" w:rsidR="00CA4C43" w:rsidRPr="00FF79DB" w:rsidRDefault="00CA4C43" w:rsidP="002D5868">
            <w:pPr>
              <w:keepNext/>
              <w:jc w:val="center"/>
              <w:rPr>
                <w:rFonts w:ascii="Arial Narrow" w:hAnsi="Arial Narrow"/>
                <w:sz w:val="20"/>
              </w:rPr>
            </w:pPr>
            <w:r w:rsidRPr="00FF79DB">
              <w:rPr>
                <w:rFonts w:ascii="Arial Narrow" w:hAnsi="Arial Narrow"/>
                <w:sz w:val="20"/>
              </w:rPr>
              <w:t>$</w:t>
            </w:r>
            <w:r w:rsidR="00217797" w:rsidRPr="00217797">
              <w:rPr>
                <w:rFonts w:ascii="Arial Narrow" w:hAnsi="Arial Narrow"/>
                <w:color w:val="000000"/>
                <w:sz w:val="20"/>
                <w:shd w:val="solid" w:color="000000" w:fill="000000"/>
                <w14:textFill>
                  <w14:solidFill>
                    <w14:srgbClr w14:val="000000">
                      <w14:alpha w14:val="100000"/>
                    </w14:srgbClr>
                  </w14:solidFill>
                </w14:textFill>
              </w:rPr>
              <w:t>|</w:t>
            </w:r>
            <w:r w:rsidRPr="00FF79DB">
              <w:rPr>
                <w:rFonts w:ascii="Arial Narrow" w:hAnsi="Arial Narrow"/>
                <w:sz w:val="20"/>
              </w:rPr>
              <w:t xml:space="preserve"> (public, effective)</w:t>
            </w:r>
          </w:p>
          <w:p w14:paraId="2097F2B6" w14:textId="2D73B38E" w:rsidR="00CA4C43" w:rsidRPr="00FF79DB" w:rsidRDefault="00CA4C43" w:rsidP="002D5868">
            <w:pPr>
              <w:keepNext/>
              <w:jc w:val="center"/>
              <w:rPr>
                <w:rFonts w:ascii="Arial Narrow" w:hAnsi="Arial Narrow"/>
                <w:sz w:val="20"/>
              </w:rPr>
            </w:pPr>
            <w:r w:rsidRPr="00FF79DB">
              <w:rPr>
                <w:rFonts w:ascii="Arial Narrow" w:hAnsi="Arial Narrow"/>
                <w:sz w:val="20"/>
              </w:rPr>
              <w:t>$</w:t>
            </w:r>
            <w:r w:rsidR="00217797" w:rsidRPr="00217797">
              <w:rPr>
                <w:rFonts w:ascii="Arial Narrow" w:hAnsi="Arial Narrow"/>
                <w:color w:val="000000"/>
                <w:sz w:val="20"/>
                <w:shd w:val="solid" w:color="000000" w:fill="000000"/>
                <w14:textFill>
                  <w14:solidFill>
                    <w14:srgbClr w14:val="000000">
                      <w14:alpha w14:val="100000"/>
                    </w14:srgbClr>
                  </w14:solidFill>
                </w14:textFill>
              </w:rPr>
              <w:t>|</w:t>
            </w:r>
            <w:r w:rsidRPr="00FF79DB">
              <w:rPr>
                <w:rFonts w:ascii="Arial Narrow" w:hAnsi="Arial Narrow"/>
                <w:sz w:val="20"/>
              </w:rPr>
              <w:t xml:space="preserve"> (private, effective)</w:t>
            </w:r>
          </w:p>
        </w:tc>
        <w:tc>
          <w:tcPr>
            <w:tcW w:w="1142" w:type="pct"/>
            <w:tcBorders>
              <w:top w:val="single" w:sz="4" w:space="0" w:color="auto"/>
              <w:bottom w:val="single" w:sz="4" w:space="0" w:color="auto"/>
            </w:tcBorders>
          </w:tcPr>
          <w:p w14:paraId="3F3C1A5A" w14:textId="5EC5298D" w:rsidR="00CA4C43" w:rsidRPr="00FF79DB" w:rsidRDefault="00CA4C43" w:rsidP="002D5868">
            <w:pPr>
              <w:keepNext/>
              <w:jc w:val="center"/>
              <w:rPr>
                <w:rFonts w:ascii="Arial Narrow" w:hAnsi="Arial Narrow"/>
                <w:sz w:val="20"/>
              </w:rPr>
            </w:pPr>
            <w:proofErr w:type="spellStart"/>
            <w:r w:rsidRPr="00FF79DB">
              <w:rPr>
                <w:rFonts w:ascii="Arial Narrow" w:hAnsi="Arial Narrow"/>
                <w:sz w:val="20"/>
              </w:rPr>
              <w:t>Jemperli</w:t>
            </w:r>
            <w:proofErr w:type="spellEnd"/>
            <w:r w:rsidRPr="00FF79DB">
              <w:rPr>
                <w:rFonts w:ascii="Arial Narrow" w:hAnsi="Arial Narrow"/>
                <w:sz w:val="20"/>
              </w:rPr>
              <w:t>, GlaxoSmithKline Australia Pty Ltd</w:t>
            </w:r>
          </w:p>
        </w:tc>
      </w:tr>
      <w:tr w:rsidR="00345D6E" w:rsidRPr="00FF79DB" w14:paraId="2E99E6DD" w14:textId="77777777" w:rsidTr="002D5868">
        <w:trPr>
          <w:cantSplit/>
          <w:trHeight w:val="567"/>
        </w:trPr>
        <w:tc>
          <w:tcPr>
            <w:tcW w:w="1623" w:type="pct"/>
            <w:gridSpan w:val="2"/>
            <w:tcBorders>
              <w:top w:val="single" w:sz="4" w:space="0" w:color="auto"/>
            </w:tcBorders>
          </w:tcPr>
          <w:p w14:paraId="78F120A3" w14:textId="0A5448FA" w:rsidR="00345D6E" w:rsidRPr="00FF79DB" w:rsidRDefault="00345D6E" w:rsidP="002D5868">
            <w:pPr>
              <w:keepNext/>
              <w:jc w:val="left"/>
              <w:rPr>
                <w:rFonts w:ascii="Arial Narrow" w:hAnsi="Arial Narrow"/>
                <w:smallCaps/>
                <w:sz w:val="20"/>
              </w:rPr>
            </w:pPr>
            <w:r w:rsidRPr="00FF79DB">
              <w:rPr>
                <w:rFonts w:ascii="Arial Narrow" w:hAnsi="Arial Narrow"/>
                <w:smallCaps/>
                <w:sz w:val="20"/>
              </w:rPr>
              <w:t>CONTINUING</w:t>
            </w:r>
          </w:p>
          <w:p w14:paraId="557E09AB" w14:textId="77777777" w:rsidR="00345D6E" w:rsidRPr="00FF79DB" w:rsidRDefault="00345D6E" w:rsidP="002D5868">
            <w:pPr>
              <w:keepNext/>
              <w:jc w:val="left"/>
              <w:rPr>
                <w:rFonts w:ascii="Arial Narrow" w:hAnsi="Arial Narrow"/>
                <w:sz w:val="20"/>
              </w:rPr>
            </w:pPr>
            <w:proofErr w:type="spellStart"/>
            <w:r w:rsidRPr="00FF79DB">
              <w:rPr>
                <w:rFonts w:ascii="Arial Narrow" w:hAnsi="Arial Narrow"/>
                <w:smallCaps/>
                <w:sz w:val="20"/>
              </w:rPr>
              <w:t>Dostarlimab</w:t>
            </w:r>
            <w:proofErr w:type="spellEnd"/>
          </w:p>
          <w:p w14:paraId="5015DBA7" w14:textId="1FE7EE1F" w:rsidR="00345D6E" w:rsidRPr="00FF79DB" w:rsidRDefault="00345D6E" w:rsidP="002D5868">
            <w:pPr>
              <w:keepNext/>
              <w:jc w:val="left"/>
              <w:rPr>
                <w:rFonts w:ascii="Arial Narrow" w:hAnsi="Arial Narrow"/>
                <w:smallCaps/>
                <w:sz w:val="20"/>
              </w:rPr>
            </w:pPr>
            <w:r w:rsidRPr="00FF79DB">
              <w:rPr>
                <w:rFonts w:ascii="Arial Narrow" w:hAnsi="Arial Narrow"/>
                <w:sz w:val="20"/>
              </w:rPr>
              <w:t>500</w:t>
            </w:r>
            <w:r w:rsidR="00151478">
              <w:rPr>
                <w:rFonts w:ascii="Arial Narrow" w:hAnsi="Arial Narrow"/>
                <w:sz w:val="20"/>
              </w:rPr>
              <w:t> </w:t>
            </w:r>
            <w:r w:rsidRPr="00FF79DB">
              <w:rPr>
                <w:rFonts w:ascii="Arial Narrow" w:hAnsi="Arial Narrow"/>
                <w:sz w:val="20"/>
              </w:rPr>
              <w:t>mg/10</w:t>
            </w:r>
            <w:r w:rsidR="00151478">
              <w:rPr>
                <w:rFonts w:ascii="Arial Narrow" w:hAnsi="Arial Narrow"/>
                <w:sz w:val="20"/>
              </w:rPr>
              <w:t> </w:t>
            </w:r>
            <w:r w:rsidRPr="00FF79DB">
              <w:rPr>
                <w:rFonts w:ascii="Arial Narrow" w:hAnsi="Arial Narrow"/>
                <w:sz w:val="20"/>
              </w:rPr>
              <w:t>mL injection 1 x 10</w:t>
            </w:r>
            <w:r w:rsidR="00151478">
              <w:rPr>
                <w:rFonts w:ascii="Arial Narrow" w:hAnsi="Arial Narrow"/>
                <w:sz w:val="20"/>
              </w:rPr>
              <w:t> </w:t>
            </w:r>
            <w:r w:rsidRPr="00FF79DB">
              <w:rPr>
                <w:rFonts w:ascii="Arial Narrow" w:hAnsi="Arial Narrow"/>
                <w:sz w:val="20"/>
              </w:rPr>
              <w:t>mL vial</w:t>
            </w:r>
          </w:p>
        </w:tc>
        <w:tc>
          <w:tcPr>
            <w:tcW w:w="361" w:type="pct"/>
            <w:tcBorders>
              <w:top w:val="single" w:sz="4" w:space="0" w:color="auto"/>
            </w:tcBorders>
          </w:tcPr>
          <w:p w14:paraId="7198731A" w14:textId="1FA6E392" w:rsidR="00345D6E" w:rsidRPr="00FF79DB" w:rsidRDefault="00345D6E" w:rsidP="002D5868">
            <w:pPr>
              <w:keepNext/>
              <w:jc w:val="center"/>
              <w:rPr>
                <w:rFonts w:ascii="Arial Narrow" w:hAnsi="Arial Narrow"/>
                <w:sz w:val="20"/>
              </w:rPr>
            </w:pPr>
            <w:r w:rsidRPr="00FF79DB">
              <w:rPr>
                <w:rFonts w:ascii="Arial Narrow" w:hAnsi="Arial Narrow"/>
                <w:sz w:val="20"/>
              </w:rPr>
              <w:t>1000</w:t>
            </w:r>
            <w:r w:rsidR="00151478">
              <w:rPr>
                <w:rFonts w:ascii="Arial Narrow" w:hAnsi="Arial Narrow"/>
                <w:sz w:val="20"/>
              </w:rPr>
              <w:t> </w:t>
            </w:r>
            <w:r w:rsidRPr="00FF79DB">
              <w:rPr>
                <w:rFonts w:ascii="Arial Narrow" w:hAnsi="Arial Narrow"/>
                <w:sz w:val="20"/>
              </w:rPr>
              <w:t>mg</w:t>
            </w:r>
          </w:p>
        </w:tc>
        <w:tc>
          <w:tcPr>
            <w:tcW w:w="385" w:type="pct"/>
            <w:tcBorders>
              <w:top w:val="single" w:sz="4" w:space="0" w:color="auto"/>
            </w:tcBorders>
          </w:tcPr>
          <w:p w14:paraId="008499B2" w14:textId="506A845E" w:rsidR="00345D6E" w:rsidRPr="00FF79DB" w:rsidRDefault="00345D6E" w:rsidP="002D5868">
            <w:pPr>
              <w:keepNext/>
              <w:jc w:val="center"/>
              <w:rPr>
                <w:rFonts w:ascii="Arial Narrow" w:hAnsi="Arial Narrow"/>
                <w:sz w:val="20"/>
              </w:rPr>
            </w:pPr>
            <w:r w:rsidRPr="00FF79DB">
              <w:rPr>
                <w:rFonts w:ascii="Arial Narrow" w:hAnsi="Arial Narrow"/>
                <w:sz w:val="20"/>
              </w:rPr>
              <w:t>3</w:t>
            </w:r>
          </w:p>
        </w:tc>
        <w:tc>
          <w:tcPr>
            <w:tcW w:w="1489" w:type="pct"/>
            <w:tcBorders>
              <w:top w:val="single" w:sz="4" w:space="0" w:color="auto"/>
            </w:tcBorders>
            <w:vAlign w:val="center"/>
          </w:tcPr>
          <w:p w14:paraId="4F0C6F0C" w14:textId="1719050D" w:rsidR="00680B5C" w:rsidRPr="00FF79DB" w:rsidRDefault="00680B5C" w:rsidP="002D5868">
            <w:pPr>
              <w:keepNext/>
              <w:jc w:val="center"/>
              <w:rPr>
                <w:rFonts w:ascii="Arial Narrow" w:hAnsi="Arial Narrow"/>
                <w:sz w:val="20"/>
              </w:rPr>
            </w:pPr>
            <w:r w:rsidRPr="00FF79DB">
              <w:rPr>
                <w:rFonts w:ascii="Arial Narrow" w:hAnsi="Arial Narrow"/>
                <w:sz w:val="20"/>
              </w:rPr>
              <w:t>$</w:t>
            </w:r>
            <w:r w:rsidR="00217797" w:rsidRPr="00217797">
              <w:rPr>
                <w:rFonts w:ascii="Arial Narrow" w:hAnsi="Arial Narrow"/>
                <w:color w:val="000000"/>
                <w:sz w:val="20"/>
                <w:shd w:val="solid" w:color="000000" w:fill="000000"/>
                <w14:textFill>
                  <w14:solidFill>
                    <w14:srgbClr w14:val="000000">
                      <w14:alpha w14:val="100000"/>
                    </w14:srgbClr>
                  </w14:solidFill>
                </w14:textFill>
              </w:rPr>
              <w:t>|</w:t>
            </w:r>
            <w:r w:rsidRPr="00FF79DB">
              <w:rPr>
                <w:rFonts w:ascii="Arial Narrow" w:hAnsi="Arial Narrow"/>
                <w:sz w:val="20"/>
              </w:rPr>
              <w:t xml:space="preserve"> (public, published)</w:t>
            </w:r>
          </w:p>
          <w:p w14:paraId="2B0D0437" w14:textId="41365412" w:rsidR="00680B5C" w:rsidRPr="00FF79DB" w:rsidRDefault="00680B5C" w:rsidP="002D5868">
            <w:pPr>
              <w:keepNext/>
              <w:jc w:val="center"/>
              <w:rPr>
                <w:rFonts w:ascii="Arial Narrow" w:hAnsi="Arial Narrow"/>
                <w:sz w:val="20"/>
              </w:rPr>
            </w:pPr>
            <w:r w:rsidRPr="00FF79DB">
              <w:rPr>
                <w:rFonts w:ascii="Arial Narrow" w:hAnsi="Arial Narrow"/>
                <w:sz w:val="20"/>
              </w:rPr>
              <w:t>$</w:t>
            </w:r>
            <w:r w:rsidR="00217797" w:rsidRPr="004975AD">
              <w:rPr>
                <w:rFonts w:ascii="Arial Narrow" w:hAnsi="Arial Narrow" w:hint="eastAsia"/>
                <w:color w:val="000000"/>
                <w:w w:val="15"/>
                <w:sz w:val="20"/>
                <w:shd w:val="solid" w:color="000000" w:fill="000000"/>
                <w:fitText w:val="15" w:id="-1502445567"/>
                <w14:textFill>
                  <w14:solidFill>
                    <w14:srgbClr w14:val="000000">
                      <w14:alpha w14:val="100000"/>
                    </w14:srgbClr>
                  </w14:solidFill>
                </w14:textFill>
              </w:rPr>
              <w:t xml:space="preserve">　</w:t>
            </w:r>
            <w:proofErr w:type="gramStart"/>
            <w:r w:rsidR="00217797" w:rsidRPr="004975AD">
              <w:rPr>
                <w:rFonts w:ascii="Arial Narrow" w:hAnsi="Arial Narrow"/>
                <w:color w:val="000000"/>
                <w:w w:val="15"/>
                <w:sz w:val="20"/>
                <w:shd w:val="solid" w:color="000000" w:fill="000000"/>
                <w:fitText w:val="15" w:id="-1502445567"/>
                <w14:textFill>
                  <w14:solidFill>
                    <w14:srgbClr w14:val="000000">
                      <w14:alpha w14:val="100000"/>
                    </w14:srgbClr>
                  </w14:solidFill>
                </w14:textFill>
              </w:rPr>
              <w:t>|</w:t>
            </w:r>
            <w:r w:rsidR="00217797" w:rsidRPr="004975AD">
              <w:rPr>
                <w:rFonts w:ascii="Arial Narrow" w:hAnsi="Arial Narrow" w:hint="eastAsia"/>
                <w:color w:val="000000"/>
                <w:spacing w:val="-50"/>
                <w:w w:val="15"/>
                <w:sz w:val="20"/>
                <w:shd w:val="solid" w:color="000000" w:fill="000000"/>
                <w:fitText w:val="15" w:id="-1502445567"/>
                <w14:textFill>
                  <w14:solidFill>
                    <w14:srgbClr w14:val="000000">
                      <w14:alpha w14:val="100000"/>
                    </w14:srgbClr>
                  </w14:solidFill>
                </w14:textFill>
              </w:rPr>
              <w:t xml:space="preserve">　</w:t>
            </w:r>
            <w:r w:rsidRPr="00FF79DB">
              <w:rPr>
                <w:rFonts w:ascii="Arial Narrow" w:hAnsi="Arial Narrow"/>
                <w:sz w:val="20"/>
              </w:rPr>
              <w:t xml:space="preserve"> (</w:t>
            </w:r>
            <w:proofErr w:type="gramEnd"/>
            <w:r w:rsidRPr="00FF79DB">
              <w:rPr>
                <w:rFonts w:ascii="Arial Narrow" w:hAnsi="Arial Narrow"/>
                <w:sz w:val="20"/>
              </w:rPr>
              <w:t>private, published)</w:t>
            </w:r>
          </w:p>
          <w:p w14:paraId="2D677831" w14:textId="7B47E062" w:rsidR="00680B5C" w:rsidRPr="00FF79DB" w:rsidRDefault="00680B5C" w:rsidP="002D5868">
            <w:pPr>
              <w:keepNext/>
              <w:jc w:val="center"/>
              <w:rPr>
                <w:rFonts w:ascii="Arial Narrow" w:hAnsi="Arial Narrow"/>
                <w:sz w:val="20"/>
              </w:rPr>
            </w:pPr>
            <w:r w:rsidRPr="00FF79DB">
              <w:rPr>
                <w:rFonts w:ascii="Arial Narrow" w:hAnsi="Arial Narrow"/>
                <w:sz w:val="20"/>
              </w:rPr>
              <w:t>$</w:t>
            </w:r>
            <w:r w:rsidR="00217797" w:rsidRPr="00217797">
              <w:rPr>
                <w:rFonts w:ascii="Arial Narrow" w:hAnsi="Arial Narrow"/>
                <w:color w:val="000000"/>
                <w:sz w:val="20"/>
                <w:shd w:val="solid" w:color="000000" w:fill="000000"/>
                <w14:textFill>
                  <w14:solidFill>
                    <w14:srgbClr w14:val="000000">
                      <w14:alpha w14:val="100000"/>
                    </w14:srgbClr>
                  </w14:solidFill>
                </w14:textFill>
              </w:rPr>
              <w:t>|</w:t>
            </w:r>
            <w:r w:rsidRPr="00FF79DB">
              <w:rPr>
                <w:rFonts w:ascii="Arial Narrow" w:hAnsi="Arial Narrow"/>
                <w:sz w:val="20"/>
              </w:rPr>
              <w:t xml:space="preserve"> (public, effective)</w:t>
            </w:r>
          </w:p>
          <w:p w14:paraId="37D07B5B" w14:textId="577A424B" w:rsidR="00345D6E" w:rsidRDefault="00680B5C" w:rsidP="002D5868">
            <w:pPr>
              <w:keepNext/>
              <w:jc w:val="center"/>
              <w:rPr>
                <w:rFonts w:ascii="Arial Narrow" w:hAnsi="Arial Narrow"/>
                <w:sz w:val="20"/>
              </w:rPr>
            </w:pPr>
            <w:r w:rsidRPr="00FF79DB">
              <w:rPr>
                <w:rFonts w:ascii="Arial Narrow" w:hAnsi="Arial Narrow"/>
                <w:sz w:val="20"/>
              </w:rPr>
              <w:t>$</w:t>
            </w:r>
            <w:r w:rsidR="00217797" w:rsidRPr="00217797">
              <w:rPr>
                <w:rFonts w:ascii="Arial Narrow" w:hAnsi="Arial Narrow"/>
                <w:color w:val="000000"/>
                <w:sz w:val="20"/>
                <w:shd w:val="solid" w:color="000000" w:fill="000000"/>
                <w14:textFill>
                  <w14:solidFill>
                    <w14:srgbClr w14:val="000000">
                      <w14:alpha w14:val="100000"/>
                    </w14:srgbClr>
                  </w14:solidFill>
                </w14:textFill>
              </w:rPr>
              <w:t>|</w:t>
            </w:r>
            <w:r w:rsidRPr="00FF79DB">
              <w:rPr>
                <w:rFonts w:ascii="Arial Narrow" w:hAnsi="Arial Narrow"/>
                <w:sz w:val="20"/>
              </w:rPr>
              <w:t xml:space="preserve"> (private, effective)</w:t>
            </w:r>
          </w:p>
          <w:p w14:paraId="7A08EED8" w14:textId="2856F8E2" w:rsidR="002D5868" w:rsidRPr="00FF79DB" w:rsidRDefault="002D5868" w:rsidP="002D5868">
            <w:pPr>
              <w:keepNext/>
              <w:jc w:val="center"/>
              <w:rPr>
                <w:rFonts w:ascii="Arial Narrow" w:hAnsi="Arial Narrow"/>
                <w:sz w:val="20"/>
              </w:rPr>
            </w:pPr>
          </w:p>
        </w:tc>
        <w:tc>
          <w:tcPr>
            <w:tcW w:w="1142" w:type="pct"/>
            <w:tcBorders>
              <w:top w:val="single" w:sz="4" w:space="0" w:color="auto"/>
              <w:bottom w:val="single" w:sz="4" w:space="0" w:color="auto"/>
            </w:tcBorders>
          </w:tcPr>
          <w:p w14:paraId="43BFC29D" w14:textId="4E7ACBBB" w:rsidR="00345D6E" w:rsidRPr="00FF79DB" w:rsidRDefault="00345D6E" w:rsidP="002D5868">
            <w:pPr>
              <w:keepNext/>
              <w:jc w:val="center"/>
              <w:rPr>
                <w:rFonts w:ascii="Arial Narrow" w:hAnsi="Arial Narrow"/>
                <w:sz w:val="20"/>
              </w:rPr>
            </w:pPr>
            <w:proofErr w:type="spellStart"/>
            <w:r w:rsidRPr="00FF79DB">
              <w:rPr>
                <w:rFonts w:ascii="Arial Narrow" w:hAnsi="Arial Narrow"/>
                <w:sz w:val="20"/>
              </w:rPr>
              <w:t>Jemperli</w:t>
            </w:r>
            <w:proofErr w:type="spellEnd"/>
            <w:r w:rsidRPr="00FF79DB">
              <w:rPr>
                <w:rFonts w:ascii="Arial Narrow" w:hAnsi="Arial Narrow"/>
                <w:sz w:val="20"/>
              </w:rPr>
              <w:t>, GlaxoSmithKline Australia Pty Ltd</w:t>
            </w:r>
          </w:p>
        </w:tc>
      </w:tr>
      <w:tr w:rsidR="00542C2D" w:rsidRPr="00FF79DB" w14:paraId="714ABA0E" w14:textId="77777777" w:rsidTr="00667D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010" w:type="pct"/>
            <w:tcBorders>
              <w:top w:val="single" w:sz="4" w:space="0" w:color="auto"/>
              <w:left w:val="single" w:sz="4" w:space="0" w:color="auto"/>
              <w:bottom w:val="single" w:sz="4" w:space="0" w:color="auto"/>
              <w:right w:val="single" w:sz="4" w:space="0" w:color="auto"/>
            </w:tcBorders>
            <w:hideMark/>
          </w:tcPr>
          <w:p w14:paraId="37D692F1" w14:textId="1D344C53" w:rsidR="00542C2D" w:rsidRPr="00FF79DB" w:rsidRDefault="00591957" w:rsidP="002D5868">
            <w:pPr>
              <w:pStyle w:val="Tabletext"/>
              <w:keepNext/>
              <w:rPr>
                <w:lang w:eastAsia="en-AU"/>
              </w:rPr>
            </w:pPr>
            <w:r w:rsidRPr="00FF79DB">
              <w:rPr>
                <w:lang w:eastAsia="en-AU"/>
              </w:rPr>
              <w:t>Category/Program:</w:t>
            </w:r>
          </w:p>
        </w:tc>
        <w:tc>
          <w:tcPr>
            <w:tcW w:w="3990" w:type="pct"/>
            <w:gridSpan w:val="5"/>
            <w:tcBorders>
              <w:top w:val="single" w:sz="4" w:space="0" w:color="auto"/>
              <w:left w:val="single" w:sz="4" w:space="0" w:color="auto"/>
              <w:bottom w:val="single" w:sz="4" w:space="0" w:color="auto"/>
              <w:right w:val="single" w:sz="4" w:space="0" w:color="auto"/>
            </w:tcBorders>
          </w:tcPr>
          <w:p w14:paraId="3DD00B35" w14:textId="077A3BE2" w:rsidR="00542C2D" w:rsidRPr="00FF79DB" w:rsidRDefault="00FE059F" w:rsidP="002D5868">
            <w:pPr>
              <w:pStyle w:val="Tabletext"/>
              <w:keepNext/>
              <w:rPr>
                <w:lang w:eastAsia="en-AU"/>
              </w:rPr>
            </w:pPr>
            <w:r w:rsidRPr="00FF79DB">
              <w:rPr>
                <w:lang w:eastAsia="en-AU"/>
              </w:rPr>
              <w:t>Section 100</w:t>
            </w:r>
            <w:r w:rsidR="006A29CF" w:rsidRPr="00FF79DB">
              <w:rPr>
                <w:lang w:eastAsia="en-AU"/>
              </w:rPr>
              <w:t xml:space="preserve"> (Efficient Funding of Chemotherapy)</w:t>
            </w:r>
          </w:p>
        </w:tc>
      </w:tr>
      <w:tr w:rsidR="00542C2D" w:rsidRPr="00FF79DB" w14:paraId="6A82E2AD" w14:textId="77777777" w:rsidTr="00667D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010" w:type="pct"/>
            <w:tcBorders>
              <w:top w:val="single" w:sz="4" w:space="0" w:color="auto"/>
              <w:left w:val="single" w:sz="4" w:space="0" w:color="auto"/>
              <w:bottom w:val="single" w:sz="4" w:space="0" w:color="auto"/>
              <w:right w:val="single" w:sz="4" w:space="0" w:color="auto"/>
            </w:tcBorders>
            <w:hideMark/>
          </w:tcPr>
          <w:p w14:paraId="5AD0A811" w14:textId="4DA0756A" w:rsidR="00542C2D" w:rsidRPr="00FF79DB" w:rsidRDefault="00591957" w:rsidP="002D5868">
            <w:pPr>
              <w:pStyle w:val="Tabletext"/>
              <w:keepNext/>
              <w:rPr>
                <w:lang w:eastAsia="en-AU"/>
              </w:rPr>
            </w:pPr>
            <w:r w:rsidRPr="00FF79DB">
              <w:rPr>
                <w:lang w:eastAsia="en-AU"/>
              </w:rPr>
              <w:t>PBS indication:</w:t>
            </w:r>
          </w:p>
        </w:tc>
        <w:tc>
          <w:tcPr>
            <w:tcW w:w="3990" w:type="pct"/>
            <w:gridSpan w:val="5"/>
            <w:tcBorders>
              <w:top w:val="single" w:sz="4" w:space="0" w:color="auto"/>
              <w:left w:val="single" w:sz="4" w:space="0" w:color="auto"/>
              <w:bottom w:val="single" w:sz="4" w:space="0" w:color="auto"/>
              <w:right w:val="single" w:sz="4" w:space="0" w:color="auto"/>
            </w:tcBorders>
          </w:tcPr>
          <w:p w14:paraId="11CC6D1E" w14:textId="56BBA436" w:rsidR="00542C2D" w:rsidRPr="00FF79DB" w:rsidRDefault="00201781" w:rsidP="002D5868">
            <w:pPr>
              <w:pStyle w:val="Tabletext"/>
              <w:keepNext/>
              <w:rPr>
                <w:lang w:eastAsia="en-AU"/>
              </w:rPr>
            </w:pPr>
            <w:r w:rsidRPr="00FF79DB">
              <w:rPr>
                <w:lang w:eastAsia="en-AU"/>
              </w:rPr>
              <w:t>Recurrent or advanced mismatch repair deficient (</w:t>
            </w:r>
            <w:proofErr w:type="spellStart"/>
            <w:r w:rsidRPr="00FF79DB">
              <w:rPr>
                <w:lang w:eastAsia="en-AU"/>
              </w:rPr>
              <w:t>dMMR</w:t>
            </w:r>
            <w:proofErr w:type="spellEnd"/>
            <w:r w:rsidRPr="00FF79DB">
              <w:rPr>
                <w:lang w:eastAsia="en-AU"/>
              </w:rPr>
              <w:t>) endometrial cancer</w:t>
            </w:r>
          </w:p>
        </w:tc>
      </w:tr>
      <w:tr w:rsidR="00542C2D" w:rsidRPr="00FF79DB" w14:paraId="3B73A389" w14:textId="77777777" w:rsidTr="00667D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010" w:type="pct"/>
            <w:tcBorders>
              <w:top w:val="single" w:sz="4" w:space="0" w:color="auto"/>
              <w:left w:val="single" w:sz="4" w:space="0" w:color="auto"/>
              <w:bottom w:val="single" w:sz="4" w:space="0" w:color="auto"/>
              <w:right w:val="single" w:sz="4" w:space="0" w:color="auto"/>
            </w:tcBorders>
            <w:hideMark/>
          </w:tcPr>
          <w:p w14:paraId="3A3EEB54" w14:textId="6CEC0FB5" w:rsidR="00542C2D" w:rsidRPr="00FF79DB" w:rsidRDefault="00591957" w:rsidP="002D5868">
            <w:pPr>
              <w:pStyle w:val="Tabletext"/>
              <w:keepNext/>
              <w:rPr>
                <w:lang w:eastAsia="en-AU"/>
              </w:rPr>
            </w:pPr>
            <w:r w:rsidRPr="00FF79DB">
              <w:rPr>
                <w:lang w:eastAsia="en-AU"/>
              </w:rPr>
              <w:t>Treatment phase:</w:t>
            </w:r>
          </w:p>
        </w:tc>
        <w:tc>
          <w:tcPr>
            <w:tcW w:w="3990" w:type="pct"/>
            <w:gridSpan w:val="5"/>
            <w:tcBorders>
              <w:top w:val="single" w:sz="4" w:space="0" w:color="auto"/>
              <w:left w:val="single" w:sz="4" w:space="0" w:color="auto"/>
              <w:bottom w:val="single" w:sz="4" w:space="0" w:color="auto"/>
              <w:right w:val="single" w:sz="4" w:space="0" w:color="auto"/>
            </w:tcBorders>
          </w:tcPr>
          <w:p w14:paraId="1AD6BF3F" w14:textId="2856BE32" w:rsidR="00542C2D" w:rsidRPr="00FF79DB" w:rsidRDefault="00201781" w:rsidP="002D5868">
            <w:pPr>
              <w:pStyle w:val="Tabletext"/>
              <w:keepNext/>
              <w:rPr>
                <w:lang w:eastAsia="en-AU"/>
              </w:rPr>
            </w:pPr>
            <w:r w:rsidRPr="00FF79DB">
              <w:rPr>
                <w:lang w:eastAsia="en-AU"/>
              </w:rPr>
              <w:t>Initial and continuing</w:t>
            </w:r>
          </w:p>
        </w:tc>
      </w:tr>
      <w:tr w:rsidR="00542C2D" w:rsidRPr="00FF79DB" w14:paraId="06EC54A9" w14:textId="77777777" w:rsidTr="00667D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010" w:type="pct"/>
            <w:tcBorders>
              <w:top w:val="single" w:sz="4" w:space="0" w:color="auto"/>
              <w:left w:val="single" w:sz="4" w:space="0" w:color="auto"/>
              <w:bottom w:val="single" w:sz="4" w:space="0" w:color="auto"/>
              <w:right w:val="single" w:sz="4" w:space="0" w:color="auto"/>
            </w:tcBorders>
            <w:hideMark/>
          </w:tcPr>
          <w:p w14:paraId="5E559BD4" w14:textId="37238FA9" w:rsidR="00542C2D" w:rsidRPr="00FF79DB" w:rsidRDefault="00542C2D" w:rsidP="002D5868">
            <w:pPr>
              <w:pStyle w:val="Tabletext"/>
              <w:keepNext/>
              <w:rPr>
                <w:lang w:eastAsia="en-AU"/>
              </w:rPr>
            </w:pPr>
            <w:r w:rsidRPr="00FF79DB">
              <w:rPr>
                <w:lang w:eastAsia="en-AU"/>
              </w:rPr>
              <w:t>Restriction</w:t>
            </w:r>
            <w:r w:rsidR="00591957" w:rsidRPr="00FF79DB">
              <w:rPr>
                <w:lang w:eastAsia="en-AU"/>
              </w:rPr>
              <w:t>:</w:t>
            </w:r>
          </w:p>
        </w:tc>
        <w:tc>
          <w:tcPr>
            <w:tcW w:w="3990" w:type="pct"/>
            <w:gridSpan w:val="5"/>
            <w:tcBorders>
              <w:top w:val="single" w:sz="4" w:space="0" w:color="auto"/>
              <w:left w:val="single" w:sz="4" w:space="0" w:color="auto"/>
              <w:bottom w:val="single" w:sz="4" w:space="0" w:color="auto"/>
              <w:right w:val="single" w:sz="4" w:space="0" w:color="auto"/>
            </w:tcBorders>
          </w:tcPr>
          <w:p w14:paraId="154804C9" w14:textId="392456E5" w:rsidR="00542C2D" w:rsidRPr="00FF79DB" w:rsidRDefault="00851A74" w:rsidP="002D5868">
            <w:pPr>
              <w:pStyle w:val="Tabletext"/>
              <w:keepNext/>
              <w:rPr>
                <w:lang w:eastAsia="en-AU"/>
              </w:rPr>
            </w:pPr>
            <w:r w:rsidRPr="00FF79DB">
              <w:rPr>
                <w:lang w:eastAsia="en-AU"/>
              </w:rPr>
              <w:t xml:space="preserve">Streamlined </w:t>
            </w:r>
          </w:p>
        </w:tc>
      </w:tr>
      <w:tr w:rsidR="00542C2D" w:rsidRPr="00FF79DB" w14:paraId="0479F7D8" w14:textId="77777777" w:rsidTr="00667D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010" w:type="pct"/>
            <w:tcBorders>
              <w:top w:val="single" w:sz="4" w:space="0" w:color="auto"/>
              <w:left w:val="single" w:sz="4" w:space="0" w:color="auto"/>
              <w:bottom w:val="single" w:sz="4" w:space="0" w:color="auto"/>
              <w:right w:val="single" w:sz="4" w:space="0" w:color="auto"/>
            </w:tcBorders>
            <w:hideMark/>
          </w:tcPr>
          <w:p w14:paraId="33B5F61F" w14:textId="5DF57CEB" w:rsidR="00542C2D" w:rsidRPr="00FF79DB" w:rsidRDefault="00542C2D" w:rsidP="00591957">
            <w:pPr>
              <w:pStyle w:val="Tabletext"/>
              <w:rPr>
                <w:lang w:eastAsia="en-AU"/>
              </w:rPr>
            </w:pPr>
            <w:r w:rsidRPr="00FF79DB">
              <w:rPr>
                <w:lang w:eastAsia="en-AU"/>
              </w:rPr>
              <w:t>Clinical criteria</w:t>
            </w:r>
            <w:r w:rsidR="00591957" w:rsidRPr="00FF79DB">
              <w:rPr>
                <w:lang w:eastAsia="en-AU"/>
              </w:rPr>
              <w:t>:</w:t>
            </w:r>
          </w:p>
        </w:tc>
        <w:tc>
          <w:tcPr>
            <w:tcW w:w="3990" w:type="pct"/>
            <w:gridSpan w:val="5"/>
            <w:tcBorders>
              <w:top w:val="single" w:sz="4" w:space="0" w:color="auto"/>
              <w:left w:val="single" w:sz="4" w:space="0" w:color="auto"/>
              <w:bottom w:val="single" w:sz="4" w:space="0" w:color="auto"/>
              <w:right w:val="single" w:sz="4" w:space="0" w:color="auto"/>
            </w:tcBorders>
          </w:tcPr>
          <w:p w14:paraId="15FB6339" w14:textId="77777777" w:rsidR="00542C2D" w:rsidRPr="00FF79DB" w:rsidRDefault="00201781" w:rsidP="00591957">
            <w:pPr>
              <w:pStyle w:val="Tabletext"/>
              <w:rPr>
                <w:u w:val="single"/>
                <w:lang w:eastAsia="en-AU"/>
              </w:rPr>
            </w:pPr>
            <w:r w:rsidRPr="00FF79DB">
              <w:rPr>
                <w:u w:val="single"/>
                <w:lang w:eastAsia="en-AU"/>
              </w:rPr>
              <w:t>Initial</w:t>
            </w:r>
          </w:p>
          <w:p w14:paraId="37EA3E0A" w14:textId="77777777" w:rsidR="00201781" w:rsidRPr="009D49EA" w:rsidRDefault="00201781" w:rsidP="00201781">
            <w:pPr>
              <w:pStyle w:val="Tabletext"/>
              <w:rPr>
                <w:strike/>
                <w:lang w:eastAsia="en-AU"/>
              </w:rPr>
            </w:pPr>
            <w:r w:rsidRPr="009D49EA">
              <w:rPr>
                <w:strike/>
                <w:lang w:eastAsia="en-AU"/>
              </w:rPr>
              <w:t>Patient must have progressed on or following prior treatment with a platinum-containing regimen,</w:t>
            </w:r>
          </w:p>
          <w:p w14:paraId="0DBF7D35" w14:textId="6733B3CA" w:rsidR="009D49EA" w:rsidRPr="009D49EA" w:rsidRDefault="009D49EA" w:rsidP="00201781">
            <w:pPr>
              <w:pStyle w:val="Tabletext"/>
              <w:rPr>
                <w:i/>
                <w:lang w:eastAsia="en-AU"/>
              </w:rPr>
            </w:pPr>
            <w:r w:rsidRPr="009D49EA">
              <w:rPr>
                <w:i/>
                <w:szCs w:val="20"/>
              </w:rPr>
              <w:t>Patient must have received a prior platinum-based chemotherapy regimen for this condition</w:t>
            </w:r>
            <w:r>
              <w:rPr>
                <w:i/>
                <w:szCs w:val="20"/>
              </w:rPr>
              <w:t>,</w:t>
            </w:r>
          </w:p>
          <w:p w14:paraId="305AD0F0" w14:textId="1E99CFA4" w:rsidR="00201781" w:rsidRPr="00FF79DB" w:rsidRDefault="00201781" w:rsidP="00201781">
            <w:pPr>
              <w:pStyle w:val="Tabletext"/>
              <w:rPr>
                <w:lang w:eastAsia="en-AU"/>
              </w:rPr>
            </w:pPr>
            <w:r w:rsidRPr="00FF79DB">
              <w:rPr>
                <w:lang w:eastAsia="en-AU"/>
              </w:rPr>
              <w:t>AND</w:t>
            </w:r>
          </w:p>
          <w:p w14:paraId="270E4FB8" w14:textId="77777777" w:rsidR="00201781" w:rsidRPr="00FF79DB" w:rsidRDefault="00201781" w:rsidP="00201781">
            <w:pPr>
              <w:pStyle w:val="Tabletext"/>
              <w:rPr>
                <w:lang w:eastAsia="en-AU"/>
              </w:rPr>
            </w:pPr>
            <w:r w:rsidRPr="00FF79DB">
              <w:rPr>
                <w:lang w:eastAsia="en-AU"/>
              </w:rPr>
              <w:t>Patient must have an ECOG performance status of 0 or 1,</w:t>
            </w:r>
          </w:p>
          <w:p w14:paraId="6B151916" w14:textId="77777777" w:rsidR="00201781" w:rsidRPr="00FF79DB" w:rsidRDefault="00201781" w:rsidP="00201781">
            <w:pPr>
              <w:pStyle w:val="Tabletext"/>
              <w:rPr>
                <w:lang w:eastAsia="en-AU"/>
              </w:rPr>
            </w:pPr>
            <w:r w:rsidRPr="00FF79DB">
              <w:rPr>
                <w:lang w:eastAsia="en-AU"/>
              </w:rPr>
              <w:t>AND</w:t>
            </w:r>
          </w:p>
          <w:p w14:paraId="206D299C" w14:textId="6802E9EB" w:rsidR="00201781" w:rsidRDefault="00201781" w:rsidP="00201781">
            <w:pPr>
              <w:pStyle w:val="Tabletext"/>
              <w:rPr>
                <w:lang w:eastAsia="en-AU"/>
              </w:rPr>
            </w:pPr>
            <w:r w:rsidRPr="00FF79DB">
              <w:rPr>
                <w:lang w:eastAsia="en-AU"/>
              </w:rPr>
              <w:t>Patient must have mismatch repair deficient (</w:t>
            </w:r>
            <w:proofErr w:type="spellStart"/>
            <w:r w:rsidRPr="00FF79DB">
              <w:rPr>
                <w:lang w:eastAsia="en-AU"/>
              </w:rPr>
              <w:t>dMMR</w:t>
            </w:r>
            <w:proofErr w:type="spellEnd"/>
            <w:r w:rsidRPr="00FF79DB">
              <w:rPr>
                <w:lang w:eastAsia="en-AU"/>
              </w:rPr>
              <w:t>) endometrial cancer, as determined by immunohistochemistry test.</w:t>
            </w:r>
          </w:p>
          <w:p w14:paraId="52D4CBB7" w14:textId="355E3DB0" w:rsidR="00434F23" w:rsidRDefault="00434F23" w:rsidP="00201781">
            <w:pPr>
              <w:pStyle w:val="Tabletext"/>
              <w:rPr>
                <w:lang w:eastAsia="en-AU"/>
              </w:rPr>
            </w:pPr>
            <w:r>
              <w:rPr>
                <w:lang w:eastAsia="en-AU"/>
              </w:rPr>
              <w:t>AND</w:t>
            </w:r>
          </w:p>
          <w:p w14:paraId="7B714F24" w14:textId="3130A6C4" w:rsidR="00434F23" w:rsidRPr="00FF79DB" w:rsidRDefault="00434F23" w:rsidP="00201781">
            <w:pPr>
              <w:pStyle w:val="Tabletext"/>
              <w:rPr>
                <w:lang w:eastAsia="en-AU"/>
              </w:rPr>
            </w:pPr>
            <w:r w:rsidRPr="002E5150">
              <w:rPr>
                <w:i/>
                <w:szCs w:val="20"/>
                <w:lang w:eastAsia="en-AU"/>
              </w:rPr>
              <w:t>Patient must not have received prior treatment with a programmed cell death-1 (PD-1) inhibitor or a programmed cell death ligand-1 (PD-L1) inhibitor for endometrial cancer</w:t>
            </w:r>
          </w:p>
          <w:p w14:paraId="7D8A5843" w14:textId="77777777" w:rsidR="00201781" w:rsidRPr="00FF79DB" w:rsidRDefault="00201781" w:rsidP="00591957">
            <w:pPr>
              <w:pStyle w:val="Tabletext"/>
              <w:rPr>
                <w:lang w:eastAsia="en-AU"/>
              </w:rPr>
            </w:pPr>
          </w:p>
          <w:p w14:paraId="202EA645" w14:textId="02EC897D" w:rsidR="00201781" w:rsidRPr="00FF79DB" w:rsidRDefault="00201781" w:rsidP="00591957">
            <w:pPr>
              <w:pStyle w:val="Tabletext"/>
              <w:rPr>
                <w:u w:val="single"/>
                <w:lang w:eastAsia="en-AU"/>
              </w:rPr>
            </w:pPr>
            <w:r w:rsidRPr="00FF79DB">
              <w:rPr>
                <w:u w:val="single"/>
                <w:lang w:eastAsia="en-AU"/>
              </w:rPr>
              <w:t xml:space="preserve">Continuing </w:t>
            </w:r>
          </w:p>
          <w:p w14:paraId="16885E3A" w14:textId="77777777" w:rsidR="006F76D7" w:rsidRPr="00FF79DB" w:rsidRDefault="006F76D7" w:rsidP="006F76D7">
            <w:pPr>
              <w:pStyle w:val="Tabletext"/>
              <w:rPr>
                <w:lang w:eastAsia="en-AU"/>
              </w:rPr>
            </w:pPr>
            <w:r w:rsidRPr="00FF79DB">
              <w:rPr>
                <w:lang w:eastAsia="en-AU"/>
              </w:rPr>
              <w:t>Patient must have previously received PBS-subsidised treatment with this drug for this condition,</w:t>
            </w:r>
          </w:p>
          <w:p w14:paraId="089399AF" w14:textId="77777777" w:rsidR="006F76D7" w:rsidRPr="00FF79DB" w:rsidRDefault="006F76D7" w:rsidP="006F76D7">
            <w:pPr>
              <w:pStyle w:val="Tabletext"/>
              <w:rPr>
                <w:lang w:eastAsia="en-AU"/>
              </w:rPr>
            </w:pPr>
            <w:r w:rsidRPr="00FF79DB">
              <w:rPr>
                <w:lang w:eastAsia="en-AU"/>
              </w:rPr>
              <w:lastRenderedPageBreak/>
              <w:t>AND</w:t>
            </w:r>
          </w:p>
          <w:p w14:paraId="217B9469" w14:textId="75337B20" w:rsidR="006F76D7" w:rsidRPr="00FF79DB" w:rsidRDefault="006F76D7" w:rsidP="006F76D7">
            <w:pPr>
              <w:pStyle w:val="Tabletext"/>
              <w:rPr>
                <w:lang w:eastAsia="en-AU"/>
              </w:rPr>
            </w:pPr>
            <w:r w:rsidRPr="00FF79DB">
              <w:rPr>
                <w:lang w:eastAsia="en-AU"/>
              </w:rPr>
              <w:t>Patient must not have</w:t>
            </w:r>
            <w:r w:rsidR="00434F23">
              <w:rPr>
                <w:lang w:eastAsia="en-AU"/>
              </w:rPr>
              <w:t xml:space="preserve"> </w:t>
            </w:r>
            <w:r w:rsidR="00434F23" w:rsidRPr="00434F23">
              <w:rPr>
                <w:i/>
                <w:iCs/>
                <w:lang w:eastAsia="en-AU"/>
              </w:rPr>
              <w:t>developed</w:t>
            </w:r>
            <w:r w:rsidRPr="00434F23">
              <w:rPr>
                <w:i/>
                <w:iCs/>
                <w:lang w:eastAsia="en-AU"/>
              </w:rPr>
              <w:t xml:space="preserve"> </w:t>
            </w:r>
            <w:r w:rsidR="00434F23" w:rsidRPr="00434F23">
              <w:rPr>
                <w:i/>
                <w:iCs/>
                <w:lang w:eastAsia="en-AU"/>
              </w:rPr>
              <w:t>disease progression</w:t>
            </w:r>
            <w:r w:rsidRPr="00FF79DB">
              <w:rPr>
                <w:lang w:eastAsia="en-AU"/>
              </w:rPr>
              <w:t xml:space="preserve"> while receiving PBS-subsidised treatment with this drug for this condition,</w:t>
            </w:r>
          </w:p>
          <w:p w14:paraId="1CF93EB6" w14:textId="77777777" w:rsidR="006F76D7" w:rsidRPr="00FF79DB" w:rsidRDefault="006F76D7" w:rsidP="006F76D7">
            <w:pPr>
              <w:pStyle w:val="Tabletext"/>
              <w:rPr>
                <w:lang w:eastAsia="en-AU"/>
              </w:rPr>
            </w:pPr>
            <w:r w:rsidRPr="00FF79DB">
              <w:rPr>
                <w:lang w:eastAsia="en-AU"/>
              </w:rPr>
              <w:t>AND</w:t>
            </w:r>
          </w:p>
          <w:p w14:paraId="66AFE1E5" w14:textId="530776B5" w:rsidR="00201781" w:rsidRPr="00FF79DB" w:rsidRDefault="006F76D7" w:rsidP="00591957">
            <w:pPr>
              <w:pStyle w:val="Tabletext"/>
              <w:rPr>
                <w:lang w:eastAsia="en-AU"/>
              </w:rPr>
            </w:pPr>
            <w:r w:rsidRPr="00FF79DB">
              <w:rPr>
                <w:lang w:eastAsia="en-AU"/>
              </w:rPr>
              <w:t xml:space="preserve">The treatment must not exceed </w:t>
            </w:r>
            <w:r w:rsidR="00434F23">
              <w:rPr>
                <w:lang w:eastAsia="en-AU"/>
              </w:rPr>
              <w:t xml:space="preserve">a </w:t>
            </w:r>
            <w:r w:rsidR="00434F23" w:rsidRPr="00434F23">
              <w:rPr>
                <w:i/>
                <w:iCs/>
                <w:lang w:eastAsia="en-AU"/>
              </w:rPr>
              <w:t>maximum total of 24 months in a lifetime</w:t>
            </w:r>
            <w:r w:rsidRPr="00FF79DB">
              <w:rPr>
                <w:lang w:eastAsia="en-AU"/>
              </w:rPr>
              <w:t xml:space="preserve"> for this condition.</w:t>
            </w:r>
          </w:p>
        </w:tc>
      </w:tr>
      <w:tr w:rsidR="00542C2D" w:rsidRPr="00FF79DB" w14:paraId="00531E8B" w14:textId="77777777" w:rsidTr="00667D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010" w:type="pct"/>
            <w:tcBorders>
              <w:top w:val="single" w:sz="4" w:space="0" w:color="auto"/>
              <w:left w:val="single" w:sz="4" w:space="0" w:color="auto"/>
              <w:bottom w:val="single" w:sz="4" w:space="0" w:color="auto"/>
              <w:right w:val="single" w:sz="4" w:space="0" w:color="auto"/>
            </w:tcBorders>
            <w:hideMark/>
          </w:tcPr>
          <w:p w14:paraId="5625D14A" w14:textId="5190BC41" w:rsidR="00542C2D" w:rsidRPr="00FF79DB" w:rsidRDefault="006F76D7" w:rsidP="00591957">
            <w:pPr>
              <w:pStyle w:val="Tabletext"/>
              <w:rPr>
                <w:lang w:eastAsia="en-AU"/>
              </w:rPr>
            </w:pPr>
            <w:r w:rsidRPr="00FF79DB">
              <w:rPr>
                <w:lang w:eastAsia="en-AU"/>
              </w:rPr>
              <w:lastRenderedPageBreak/>
              <w:t>Administrative advice:</w:t>
            </w:r>
          </w:p>
        </w:tc>
        <w:tc>
          <w:tcPr>
            <w:tcW w:w="3990" w:type="pct"/>
            <w:gridSpan w:val="5"/>
            <w:tcBorders>
              <w:top w:val="single" w:sz="4" w:space="0" w:color="auto"/>
              <w:left w:val="single" w:sz="4" w:space="0" w:color="auto"/>
              <w:bottom w:val="single" w:sz="4" w:space="0" w:color="auto"/>
              <w:right w:val="single" w:sz="4" w:space="0" w:color="auto"/>
            </w:tcBorders>
          </w:tcPr>
          <w:p w14:paraId="48E8B310" w14:textId="77777777" w:rsidR="006F76D7" w:rsidRPr="00FF79DB" w:rsidRDefault="006F76D7" w:rsidP="006F76D7">
            <w:pPr>
              <w:pStyle w:val="Tabletext"/>
              <w:rPr>
                <w:color w:val="000000"/>
                <w:szCs w:val="24"/>
                <w:lang w:eastAsia="en-AU"/>
              </w:rPr>
            </w:pPr>
            <w:r w:rsidRPr="00FF79DB">
              <w:rPr>
                <w:color w:val="000000"/>
                <w:szCs w:val="24"/>
                <w:lang w:eastAsia="en-AU"/>
              </w:rPr>
              <w:t>In the first few months after start of immunotherapy, some patients can have a transient tumour flare with subsequent disease response. When progression is suspected, this should be confirmed through a confirmatory scan, taken at least 4 weeks later.</w:t>
            </w:r>
          </w:p>
          <w:p w14:paraId="222A3FAF" w14:textId="77777777" w:rsidR="006F76D7" w:rsidRPr="00FF79DB" w:rsidRDefault="006F76D7" w:rsidP="006F76D7">
            <w:pPr>
              <w:pStyle w:val="Tabletext"/>
              <w:rPr>
                <w:color w:val="000000"/>
                <w:szCs w:val="24"/>
                <w:lang w:eastAsia="en-AU"/>
              </w:rPr>
            </w:pPr>
          </w:p>
          <w:p w14:paraId="49D9F25E" w14:textId="77777777" w:rsidR="006F76D7" w:rsidRPr="00FF79DB" w:rsidRDefault="006F76D7" w:rsidP="006F76D7">
            <w:pPr>
              <w:pStyle w:val="Tabletext"/>
              <w:rPr>
                <w:color w:val="000000"/>
                <w:szCs w:val="24"/>
                <w:lang w:eastAsia="en-AU"/>
              </w:rPr>
            </w:pPr>
            <w:r w:rsidRPr="00FF79DB">
              <w:rPr>
                <w:color w:val="000000"/>
                <w:szCs w:val="24"/>
                <w:lang w:eastAsia="en-AU"/>
              </w:rPr>
              <w:t>No increase in the maximum number of repeats may be authorised.</w:t>
            </w:r>
          </w:p>
          <w:p w14:paraId="4933D92A" w14:textId="77777777" w:rsidR="006F76D7" w:rsidRPr="00FF79DB" w:rsidRDefault="006F76D7" w:rsidP="006F76D7">
            <w:pPr>
              <w:pStyle w:val="Tabletext"/>
              <w:rPr>
                <w:color w:val="000000"/>
                <w:szCs w:val="24"/>
                <w:lang w:eastAsia="en-AU"/>
              </w:rPr>
            </w:pPr>
          </w:p>
          <w:p w14:paraId="03DAEA17" w14:textId="651EF201" w:rsidR="00542C2D" w:rsidRPr="00FF79DB" w:rsidRDefault="006F76D7" w:rsidP="006F76D7">
            <w:pPr>
              <w:pStyle w:val="Tabletext"/>
              <w:rPr>
                <w:color w:val="000000"/>
                <w:szCs w:val="24"/>
                <w:lang w:eastAsia="en-AU"/>
              </w:rPr>
            </w:pPr>
            <w:r w:rsidRPr="00FF79DB">
              <w:rPr>
                <w:color w:val="000000"/>
                <w:szCs w:val="24"/>
                <w:lang w:eastAsia="en-AU"/>
              </w:rPr>
              <w:t>Special Pricing Arrangements apply.</w:t>
            </w:r>
          </w:p>
        </w:tc>
      </w:tr>
    </w:tbl>
    <w:p w14:paraId="63E28AE7" w14:textId="77777777" w:rsidR="00B60939" w:rsidRPr="00FF79DB" w:rsidRDefault="00B60939" w:rsidP="004B1CB4"/>
    <w:p w14:paraId="0AB6EC78" w14:textId="7DC8F6D0" w:rsidR="000D5948" w:rsidRPr="00AE3BEB" w:rsidRDefault="000D5948" w:rsidP="000D5948">
      <w:pPr>
        <w:pStyle w:val="ListParagraph"/>
        <w:widowControl/>
        <w:numPr>
          <w:ilvl w:val="1"/>
          <w:numId w:val="2"/>
        </w:numPr>
        <w:rPr>
          <w:iCs/>
        </w:rPr>
      </w:pPr>
      <w:r w:rsidRPr="00AE3BEB">
        <w:rPr>
          <w:iCs/>
        </w:rPr>
        <w:t xml:space="preserve">The </w:t>
      </w:r>
      <w:r w:rsidR="0098357A">
        <w:t>Pre-Sub-Committee Response</w:t>
      </w:r>
      <w:r w:rsidR="0098357A" w:rsidRPr="00AE3BEB">
        <w:rPr>
          <w:iCs/>
        </w:rPr>
        <w:t xml:space="preserve"> </w:t>
      </w:r>
      <w:r w:rsidR="0098357A">
        <w:rPr>
          <w:iCs/>
        </w:rPr>
        <w:t>(</w:t>
      </w:r>
      <w:r w:rsidRPr="00AE3BEB">
        <w:rPr>
          <w:iCs/>
        </w:rPr>
        <w:t>PSCR</w:t>
      </w:r>
      <w:r w:rsidR="0098357A">
        <w:rPr>
          <w:iCs/>
        </w:rPr>
        <w:t>)</w:t>
      </w:r>
      <w:r w:rsidRPr="00AE3BEB">
        <w:rPr>
          <w:iCs/>
        </w:rPr>
        <w:t xml:space="preserve"> proposed a </w:t>
      </w:r>
      <w:r w:rsidRPr="00E34E56">
        <w:rPr>
          <w:iCs/>
        </w:rPr>
        <w:t>16.8</w:t>
      </w:r>
      <w:r w:rsidRPr="00AE3BEB">
        <w:rPr>
          <w:iCs/>
        </w:rPr>
        <w:t>% lower vial price than was proposed in the submission (an ex-manufacturer price of $</w:t>
      </w:r>
      <w:proofErr w:type="gramStart"/>
      <w:r w:rsidR="00217797" w:rsidRPr="004975AD">
        <w:rPr>
          <w:iCs/>
          <w:color w:val="000000"/>
          <w:w w:val="15"/>
          <w:shd w:val="solid" w:color="000000" w:fill="000000"/>
          <w:fitText w:val="-20" w:id="-1502445566"/>
          <w14:textFill>
            <w14:solidFill>
              <w14:srgbClr w14:val="000000">
                <w14:alpha w14:val="100000"/>
              </w14:srgbClr>
            </w14:solidFill>
          </w14:textFill>
        </w:rPr>
        <w:t xml:space="preserve">|  </w:t>
      </w:r>
      <w:r w:rsidR="00217797" w:rsidRPr="004975AD">
        <w:rPr>
          <w:iCs/>
          <w:color w:val="000000"/>
          <w:spacing w:val="-69"/>
          <w:w w:val="15"/>
          <w:shd w:val="solid" w:color="000000" w:fill="000000"/>
          <w:fitText w:val="-20" w:id="-1502445566"/>
          <w14:textFill>
            <w14:solidFill>
              <w14:srgbClr w14:val="000000">
                <w14:alpha w14:val="100000"/>
              </w14:srgbClr>
            </w14:solidFill>
          </w14:textFill>
        </w:rPr>
        <w:t>|</w:t>
      </w:r>
      <w:proofErr w:type="gramEnd"/>
      <w:r w:rsidRPr="00AE3BEB">
        <w:rPr>
          <w:iCs/>
        </w:rPr>
        <w:t xml:space="preserve"> per </w:t>
      </w:r>
      <w:r w:rsidR="0098357A" w:rsidRPr="00AE3BEB">
        <w:rPr>
          <w:iCs/>
        </w:rPr>
        <w:t>500</w:t>
      </w:r>
      <w:r w:rsidR="0098357A">
        <w:rPr>
          <w:iCs/>
        </w:rPr>
        <w:t> </w:t>
      </w:r>
      <w:r w:rsidRPr="00AE3BEB">
        <w:rPr>
          <w:iCs/>
        </w:rPr>
        <w:t>mg vial was proposed in the PSCR, compared with $</w:t>
      </w:r>
      <w:r w:rsidR="00217797" w:rsidRPr="004975AD">
        <w:rPr>
          <w:iCs/>
          <w:color w:val="000000"/>
          <w:w w:val="15"/>
          <w:shd w:val="solid" w:color="000000" w:fill="000000"/>
          <w:fitText w:val="-20" w:id="-1502445565"/>
          <w14:textFill>
            <w14:solidFill>
              <w14:srgbClr w14:val="000000">
                <w14:alpha w14:val="100000"/>
              </w14:srgbClr>
            </w14:solidFill>
          </w14:textFill>
        </w:rPr>
        <w:t xml:space="preserve">|  </w:t>
      </w:r>
      <w:r w:rsidR="00217797" w:rsidRPr="004975AD">
        <w:rPr>
          <w:iCs/>
          <w:color w:val="000000"/>
          <w:spacing w:val="-69"/>
          <w:w w:val="15"/>
          <w:shd w:val="solid" w:color="000000" w:fill="000000"/>
          <w:fitText w:val="-20" w:id="-1502445565"/>
          <w14:textFill>
            <w14:solidFill>
              <w14:srgbClr w14:val="000000">
                <w14:alpha w14:val="100000"/>
              </w14:srgbClr>
            </w14:solidFill>
          </w14:textFill>
        </w:rPr>
        <w:t>|</w:t>
      </w:r>
      <w:r w:rsidRPr="00AE3BEB">
        <w:rPr>
          <w:iCs/>
        </w:rPr>
        <w:t xml:space="preserve"> in the submission).</w:t>
      </w:r>
      <w:r w:rsidR="001148DE">
        <w:rPr>
          <w:iCs/>
        </w:rPr>
        <w:t xml:space="preserve"> Acknowledging the advice from </w:t>
      </w:r>
      <w:r w:rsidR="00B82496" w:rsidRPr="00B82496">
        <w:rPr>
          <w:iCs/>
        </w:rPr>
        <w:t>Evaluation Sub-committee</w:t>
      </w:r>
      <w:r w:rsidR="00B82496">
        <w:rPr>
          <w:iCs/>
        </w:rPr>
        <w:t xml:space="preserve"> (</w:t>
      </w:r>
      <w:r w:rsidR="001148DE">
        <w:rPr>
          <w:iCs/>
        </w:rPr>
        <w:t>ESC</w:t>
      </w:r>
      <w:r w:rsidR="00B82496">
        <w:rPr>
          <w:iCs/>
        </w:rPr>
        <w:t>)</w:t>
      </w:r>
      <w:r w:rsidR="001148DE">
        <w:rPr>
          <w:iCs/>
        </w:rPr>
        <w:t>, the pre-PBAC response proposed an ex-manufacturer price of $</w:t>
      </w:r>
      <w:proofErr w:type="gramStart"/>
      <w:r w:rsidR="00217797" w:rsidRPr="004975AD">
        <w:rPr>
          <w:iCs/>
          <w:color w:val="000000"/>
          <w:w w:val="15"/>
          <w:shd w:val="solid" w:color="000000" w:fill="000000"/>
          <w:fitText w:val="-20" w:id="-1502445564"/>
          <w14:textFill>
            <w14:solidFill>
              <w14:srgbClr w14:val="000000">
                <w14:alpha w14:val="100000"/>
              </w14:srgbClr>
            </w14:solidFill>
          </w14:textFill>
        </w:rPr>
        <w:t xml:space="preserve">|  </w:t>
      </w:r>
      <w:r w:rsidR="00217797" w:rsidRPr="004975AD">
        <w:rPr>
          <w:iCs/>
          <w:color w:val="000000"/>
          <w:spacing w:val="-69"/>
          <w:w w:val="15"/>
          <w:shd w:val="solid" w:color="000000" w:fill="000000"/>
          <w:fitText w:val="-20" w:id="-1502445564"/>
          <w14:textFill>
            <w14:solidFill>
              <w14:srgbClr w14:val="000000">
                <w14:alpha w14:val="100000"/>
              </w14:srgbClr>
            </w14:solidFill>
          </w14:textFill>
        </w:rPr>
        <w:t>|</w:t>
      </w:r>
      <w:proofErr w:type="gramEnd"/>
      <w:r w:rsidR="001148DE">
        <w:rPr>
          <w:iCs/>
        </w:rPr>
        <w:t xml:space="preserve"> per 500</w:t>
      </w:r>
      <w:r w:rsidR="0098357A">
        <w:rPr>
          <w:iCs/>
        </w:rPr>
        <w:t> </w:t>
      </w:r>
      <w:r w:rsidR="001148DE">
        <w:rPr>
          <w:iCs/>
        </w:rPr>
        <w:t xml:space="preserve">mg vial, a </w:t>
      </w:r>
      <w:r w:rsidR="001148DE" w:rsidRPr="00E34E56">
        <w:rPr>
          <w:iCs/>
        </w:rPr>
        <w:t>39.1</w:t>
      </w:r>
      <w:r w:rsidR="001148DE">
        <w:rPr>
          <w:iCs/>
        </w:rPr>
        <w:t>% reduction compared to the price proposed in the submission.</w:t>
      </w:r>
    </w:p>
    <w:p w14:paraId="45109F44" w14:textId="1E57E150" w:rsidR="00B75F28" w:rsidRPr="006710E4" w:rsidRDefault="00B5641F" w:rsidP="00E24AE9">
      <w:pPr>
        <w:pStyle w:val="ListParagraph"/>
        <w:widowControl/>
        <w:numPr>
          <w:ilvl w:val="1"/>
          <w:numId w:val="2"/>
        </w:numPr>
      </w:pPr>
      <w:r w:rsidRPr="006710E4">
        <w:t>T</w:t>
      </w:r>
      <w:r w:rsidR="00B75F28" w:rsidRPr="006710E4">
        <w:t xml:space="preserve">he </w:t>
      </w:r>
      <w:r w:rsidR="00240F63">
        <w:t xml:space="preserve">proposed </w:t>
      </w:r>
      <w:r w:rsidR="00B75F28" w:rsidRPr="006710E4">
        <w:t>clinical criteria require that a “patient must have mismatch repair deficient (</w:t>
      </w:r>
      <w:proofErr w:type="spellStart"/>
      <w:r w:rsidR="00B75F28" w:rsidRPr="006710E4">
        <w:t>dMMR</w:t>
      </w:r>
      <w:proofErr w:type="spellEnd"/>
      <w:r w:rsidR="00B75F28" w:rsidRPr="006710E4">
        <w:t>) endometrial cancer</w:t>
      </w:r>
      <w:r w:rsidR="0098357A">
        <w:t xml:space="preserve"> (EC)</w:t>
      </w:r>
      <w:r w:rsidR="00B75F28" w:rsidRPr="006710E4">
        <w:t>, as determined by immunohistochemistry test”.</w:t>
      </w:r>
      <w:r w:rsidR="009603E3" w:rsidRPr="006710E4">
        <w:t xml:space="preserve"> The submission noted that in its consideration of </w:t>
      </w:r>
      <w:r w:rsidR="0098357A" w:rsidRPr="0098357A">
        <w:t xml:space="preserve">Medical Services Advisory Committee </w:t>
      </w:r>
      <w:r w:rsidR="0098357A">
        <w:t>(</w:t>
      </w:r>
      <w:r w:rsidR="009603E3" w:rsidRPr="006710E4">
        <w:t>MSAC</w:t>
      </w:r>
      <w:r w:rsidR="0098357A">
        <w:t>)</w:t>
      </w:r>
      <w:r w:rsidR="009603E3" w:rsidRPr="006710E4">
        <w:t xml:space="preserve"> Application 1674 at the 12-13 August 2021 meeting, the</w:t>
      </w:r>
      <w:r w:rsidR="0098357A">
        <w:t xml:space="preserve"> </w:t>
      </w:r>
      <w:r w:rsidR="0098357A" w:rsidRPr="0098357A">
        <w:t>PICO Advisory Sub-Committee</w:t>
      </w:r>
      <w:r w:rsidR="009603E3" w:rsidRPr="006710E4">
        <w:t xml:space="preserve"> </w:t>
      </w:r>
      <w:r w:rsidR="0098357A">
        <w:t>(</w:t>
      </w:r>
      <w:r w:rsidR="009603E3" w:rsidRPr="006710E4">
        <w:t>PASC</w:t>
      </w:r>
      <w:r w:rsidR="0098357A">
        <w:t>)</w:t>
      </w:r>
      <w:r w:rsidR="009603E3" w:rsidRPr="006710E4">
        <w:t xml:space="preserve"> accepted advice from multiple sources that </w:t>
      </w:r>
      <w:r w:rsidR="00C33F1F" w:rsidRPr="006710E4">
        <w:t>immunohistochemistry (</w:t>
      </w:r>
      <w:r w:rsidR="009603E3" w:rsidRPr="006710E4">
        <w:t>IHC</w:t>
      </w:r>
      <w:r w:rsidR="00C33F1F" w:rsidRPr="006710E4">
        <w:t>)</w:t>
      </w:r>
      <w:r w:rsidR="009603E3" w:rsidRPr="006710E4">
        <w:t xml:space="preserve"> </w:t>
      </w:r>
      <w:r w:rsidR="00C33F1F" w:rsidRPr="006710E4">
        <w:t>mismatch repair (</w:t>
      </w:r>
      <w:r w:rsidR="009603E3" w:rsidRPr="006710E4">
        <w:t>MMR</w:t>
      </w:r>
      <w:r w:rsidR="00C33F1F" w:rsidRPr="006710E4">
        <w:t>)</w:t>
      </w:r>
      <w:r w:rsidR="009603E3" w:rsidRPr="006710E4">
        <w:t xml:space="preserve"> testing is now routine clinical and pathology practice in EC, and so considered that the basis for requiring a </w:t>
      </w:r>
      <w:proofErr w:type="spellStart"/>
      <w:r w:rsidR="009603E3" w:rsidRPr="006710E4">
        <w:t>codependent</w:t>
      </w:r>
      <w:proofErr w:type="spellEnd"/>
      <w:r w:rsidR="009603E3" w:rsidRPr="006710E4">
        <w:t xml:space="preserve"> submission was not met (Ratified PICO Confirmation – Application 1674). Similarly, the MSAC Executive agreed with the PASC conclusion to no longer require a </w:t>
      </w:r>
      <w:proofErr w:type="spellStart"/>
      <w:r w:rsidR="009603E3" w:rsidRPr="006710E4">
        <w:t>codependent</w:t>
      </w:r>
      <w:proofErr w:type="spellEnd"/>
      <w:r w:rsidR="009603E3" w:rsidRPr="006710E4">
        <w:t xml:space="preserve"> submission for IHC-based testing for </w:t>
      </w:r>
      <w:proofErr w:type="spellStart"/>
      <w:r w:rsidR="009603E3" w:rsidRPr="006710E4">
        <w:t>dMMR</w:t>
      </w:r>
      <w:proofErr w:type="spellEnd"/>
      <w:r w:rsidR="009603E3" w:rsidRPr="006710E4">
        <w:t xml:space="preserve"> in EC to help determine eligibility for PBS-subsidised medicines.</w:t>
      </w:r>
    </w:p>
    <w:p w14:paraId="2FE7DE59" w14:textId="3616862D" w:rsidR="0031609A" w:rsidRPr="006710E4" w:rsidRDefault="0031609A" w:rsidP="00E24AE9">
      <w:pPr>
        <w:pStyle w:val="ListParagraph"/>
        <w:widowControl/>
        <w:numPr>
          <w:ilvl w:val="1"/>
          <w:numId w:val="2"/>
        </w:numPr>
      </w:pPr>
      <w:r w:rsidRPr="006710E4">
        <w:t>The requested restriction was narrower than the</w:t>
      </w:r>
      <w:r w:rsidR="00D929EE" w:rsidRPr="006710E4">
        <w:t xml:space="preserve"> </w:t>
      </w:r>
      <w:r w:rsidR="00E16031" w:rsidRPr="006710E4">
        <w:t>proposed</w:t>
      </w:r>
      <w:r w:rsidRPr="006710E4">
        <w:t xml:space="preserve"> TGA indication</w:t>
      </w:r>
      <w:r w:rsidR="00D010E3" w:rsidRPr="006710E4">
        <w:t xml:space="preserve"> as t</w:t>
      </w:r>
      <w:r w:rsidR="002D3F41" w:rsidRPr="006710E4">
        <w:t xml:space="preserve">he </w:t>
      </w:r>
      <w:r w:rsidR="00E16031" w:rsidRPr="006710E4">
        <w:t>proposed</w:t>
      </w:r>
      <w:r w:rsidR="00D929EE" w:rsidRPr="006710E4">
        <w:t xml:space="preserve"> </w:t>
      </w:r>
      <w:r w:rsidR="002D3F41" w:rsidRPr="006710E4">
        <w:t>TGA indication</w:t>
      </w:r>
      <w:r w:rsidRPr="006710E4">
        <w:t xml:space="preserve"> did not:</w:t>
      </w:r>
    </w:p>
    <w:p w14:paraId="3B9E20FA" w14:textId="50EE24E4" w:rsidR="00D37326" w:rsidRPr="006710E4" w:rsidRDefault="000C6721" w:rsidP="00E24AE9">
      <w:pPr>
        <w:pStyle w:val="ListParagraph"/>
        <w:widowControl/>
        <w:numPr>
          <w:ilvl w:val="0"/>
          <w:numId w:val="7"/>
        </w:numPr>
        <w:spacing w:after="0"/>
        <w:ind w:left="993" w:hanging="284"/>
      </w:pPr>
      <w:r>
        <w:t>Require p</w:t>
      </w:r>
      <w:r w:rsidR="0031609A" w:rsidRPr="006710E4">
        <w:t xml:space="preserve">atients </w:t>
      </w:r>
      <w:r>
        <w:t>to have</w:t>
      </w:r>
      <w:r w:rsidR="0031609A" w:rsidRPr="006710E4">
        <w:t xml:space="preserve"> an </w:t>
      </w:r>
      <w:bookmarkStart w:id="4" w:name="_Hlk92733486"/>
      <w:r w:rsidR="008D1F8A" w:rsidRPr="006710E4">
        <w:t>Eastern Cooperative Oncology Group (</w:t>
      </w:r>
      <w:r w:rsidR="0031609A" w:rsidRPr="006710E4">
        <w:t>EC</w:t>
      </w:r>
      <w:r w:rsidR="00D37326" w:rsidRPr="006710E4">
        <w:t>OG</w:t>
      </w:r>
      <w:r w:rsidR="008D1F8A" w:rsidRPr="006710E4">
        <w:t>)</w:t>
      </w:r>
      <w:r w:rsidR="00D37326" w:rsidRPr="006710E4">
        <w:t xml:space="preserve"> performance status of 0 or 1. </w:t>
      </w:r>
      <w:bookmarkEnd w:id="4"/>
      <w:r w:rsidR="00D37326" w:rsidRPr="006710E4">
        <w:t>This criterion was aligned to the circumstance</w:t>
      </w:r>
      <w:r w:rsidR="003D0B3C" w:rsidRPr="006710E4">
        <w:t xml:space="preserve"> of use in </w:t>
      </w:r>
      <w:r w:rsidR="00C700C4" w:rsidRPr="006710E4">
        <w:t xml:space="preserve">the </w:t>
      </w:r>
      <w:r w:rsidR="003D0B3C" w:rsidRPr="006710E4">
        <w:t>GARNET Cohort A1</w:t>
      </w:r>
      <w:r w:rsidR="00C700C4" w:rsidRPr="006710E4">
        <w:t xml:space="preserve"> study</w:t>
      </w:r>
      <w:r w:rsidR="00A237C0">
        <w:t xml:space="preserve">. </w:t>
      </w:r>
      <w:r w:rsidR="00A237C0" w:rsidRPr="002B72DE">
        <w:rPr>
          <w:iCs/>
        </w:rPr>
        <w:t xml:space="preserve">The ESC considered that it may be </w:t>
      </w:r>
      <w:r w:rsidR="00972F0F" w:rsidRPr="002B72DE">
        <w:rPr>
          <w:iCs/>
        </w:rPr>
        <w:t>reasonable</w:t>
      </w:r>
      <w:r w:rsidR="00A237C0" w:rsidRPr="002B72DE">
        <w:rPr>
          <w:iCs/>
        </w:rPr>
        <w:t xml:space="preserve"> to allow use in patient</w:t>
      </w:r>
      <w:r w:rsidR="003971BF" w:rsidRPr="002B72DE">
        <w:rPr>
          <w:iCs/>
        </w:rPr>
        <w:t>s</w:t>
      </w:r>
      <w:r w:rsidR="00A237C0" w:rsidRPr="002B72DE">
        <w:rPr>
          <w:iCs/>
        </w:rPr>
        <w:t xml:space="preserve"> with an ECOG performance status of 2 or lower</w:t>
      </w:r>
      <w:r w:rsidR="00D37326" w:rsidRPr="006710E4">
        <w:t>;</w:t>
      </w:r>
      <w:r w:rsidR="007C1D21" w:rsidRPr="007C1D21">
        <w:t xml:space="preserve"> </w:t>
      </w:r>
      <w:r w:rsidR="007C1D21" w:rsidRPr="006710E4">
        <w:t>and</w:t>
      </w:r>
    </w:p>
    <w:p w14:paraId="420F45A9" w14:textId="59738FF5" w:rsidR="0031609A" w:rsidRPr="006710E4" w:rsidRDefault="000C6721" w:rsidP="00E24AE9">
      <w:pPr>
        <w:pStyle w:val="ListParagraph"/>
        <w:widowControl/>
        <w:numPr>
          <w:ilvl w:val="0"/>
          <w:numId w:val="7"/>
        </w:numPr>
        <w:ind w:left="993" w:hanging="284"/>
      </w:pPr>
      <w:r>
        <w:t xml:space="preserve">Specify a maximum </w:t>
      </w:r>
      <w:r w:rsidR="0031609A" w:rsidRPr="006710E4">
        <w:t xml:space="preserve">treatment period </w:t>
      </w:r>
      <w:r>
        <w:t>of</w:t>
      </w:r>
      <w:r w:rsidR="0031609A" w:rsidRPr="006710E4">
        <w:t xml:space="preserve"> </w:t>
      </w:r>
      <w:r w:rsidR="008A595F" w:rsidRPr="006710E4">
        <w:t>two</w:t>
      </w:r>
      <w:r w:rsidR="0031609A" w:rsidRPr="006710E4">
        <w:t xml:space="preserve"> years. It</w:t>
      </w:r>
      <w:r w:rsidR="00851A74" w:rsidRPr="006710E4">
        <w:t xml:space="preserve"> was noted that in GARNET Cohort A1</w:t>
      </w:r>
      <w:r w:rsidR="0031609A" w:rsidRPr="006710E4">
        <w:t xml:space="preserve">, patients may be treated for up to </w:t>
      </w:r>
      <w:r w:rsidR="008A595F" w:rsidRPr="006710E4">
        <w:t>two</w:t>
      </w:r>
      <w:r w:rsidR="0031609A" w:rsidRPr="006710E4">
        <w:t xml:space="preserve"> </w:t>
      </w:r>
      <w:proofErr w:type="gramStart"/>
      <w:r w:rsidR="0031609A" w:rsidRPr="006710E4">
        <w:t>years</w:t>
      </w:r>
      <w:proofErr w:type="gramEnd"/>
      <w:r w:rsidR="0031609A" w:rsidRPr="006710E4">
        <w:t xml:space="preserve"> but treatment may continue beyond </w:t>
      </w:r>
      <w:r w:rsidR="008A595F" w:rsidRPr="006710E4">
        <w:t>two</w:t>
      </w:r>
      <w:r w:rsidR="0031609A" w:rsidRPr="006710E4">
        <w:t xml:space="preserve"> years if the treating physician and the sponsor agreed that the patient would continue to benefit from the treatment.</w:t>
      </w:r>
    </w:p>
    <w:p w14:paraId="5838A33B" w14:textId="532579FD" w:rsidR="0029683A" w:rsidRPr="006710E4" w:rsidRDefault="0029683A" w:rsidP="00D010E3">
      <w:pPr>
        <w:widowControl/>
        <w:spacing w:after="120"/>
        <w:ind w:left="709"/>
      </w:pPr>
      <w:r w:rsidRPr="006710E4">
        <w:t>However</w:t>
      </w:r>
      <w:r w:rsidR="002D5868">
        <w:t>,</w:t>
      </w:r>
      <w:r w:rsidRPr="006710E4">
        <w:t xml:space="preserve"> these criteria were consistent with other listings for </w:t>
      </w:r>
      <w:r w:rsidR="00045AF1" w:rsidRPr="006710E4">
        <w:t xml:space="preserve">programmed cell death </w:t>
      </w:r>
      <w:r w:rsidR="002B72DE">
        <w:noBreakHyphen/>
      </w:r>
      <w:r w:rsidR="00045AF1" w:rsidRPr="006710E4">
        <w:t>1 (</w:t>
      </w:r>
      <w:r w:rsidRPr="006710E4">
        <w:t>PD-1</w:t>
      </w:r>
      <w:r w:rsidR="00045AF1" w:rsidRPr="006710E4">
        <w:t>) or PD Ligand (</w:t>
      </w:r>
      <w:r w:rsidRPr="006710E4">
        <w:t>PD-L1</w:t>
      </w:r>
      <w:r w:rsidR="00045AF1" w:rsidRPr="006710E4">
        <w:t>) checkpoint inhibitors listed on the PBS.</w:t>
      </w:r>
    </w:p>
    <w:p w14:paraId="289424FD" w14:textId="396D8549" w:rsidR="001B54E3" w:rsidRDefault="00D010E3" w:rsidP="00E24AE9">
      <w:pPr>
        <w:pStyle w:val="ListParagraph"/>
        <w:widowControl/>
        <w:numPr>
          <w:ilvl w:val="1"/>
          <w:numId w:val="2"/>
        </w:numPr>
      </w:pPr>
      <w:r w:rsidRPr="006710E4">
        <w:lastRenderedPageBreak/>
        <w:t>T</w:t>
      </w:r>
      <w:r w:rsidR="00E118C1" w:rsidRPr="006710E4">
        <w:t xml:space="preserve">he proposed PBS listing did not specifically restrict use of </w:t>
      </w:r>
      <w:proofErr w:type="spellStart"/>
      <w:r w:rsidR="00E118C1" w:rsidRPr="006710E4">
        <w:t>dostarlimab</w:t>
      </w:r>
      <w:proofErr w:type="spellEnd"/>
      <w:r w:rsidR="00E118C1" w:rsidRPr="006710E4">
        <w:t xml:space="preserve"> to</w:t>
      </w:r>
      <w:r w:rsidR="00CB72B2" w:rsidRPr="006710E4">
        <w:t xml:space="preserve"> second line (</w:t>
      </w:r>
      <w:r w:rsidR="00E118C1" w:rsidRPr="006710E4">
        <w:t>2L</w:t>
      </w:r>
      <w:r w:rsidR="00CB72B2" w:rsidRPr="006710E4">
        <w:t>)</w:t>
      </w:r>
      <w:r w:rsidR="00E118C1" w:rsidRPr="006710E4">
        <w:t xml:space="preserve"> only. </w:t>
      </w:r>
      <w:r w:rsidR="002B72DE">
        <w:t>A</w:t>
      </w:r>
      <w:r w:rsidR="00E118C1" w:rsidRPr="006710E4">
        <w:t xml:space="preserve"> small subset of patients (15/129 (11.6%)) with ≥3 prior anticancer regimens were enrolled in GARNET Cohort A1, but no subgroup results for patients with ≥3 prior anticancer regimens were presented. </w:t>
      </w:r>
      <w:r w:rsidR="002B72DE">
        <w:t>O</w:t>
      </w:r>
      <w:r w:rsidR="002B68E5" w:rsidRPr="006710E4">
        <w:t>bjective response rate (</w:t>
      </w:r>
      <w:r w:rsidR="00E118C1" w:rsidRPr="006710E4">
        <w:t>ORR</w:t>
      </w:r>
      <w:r w:rsidR="002B68E5" w:rsidRPr="006710E4">
        <w:t>)</w:t>
      </w:r>
      <w:r w:rsidR="00E118C1" w:rsidRPr="006710E4">
        <w:t xml:space="preserve"> in patients who received </w:t>
      </w:r>
      <w:r w:rsidR="00133AA1" w:rsidRPr="006710E4">
        <w:t xml:space="preserve">only </w:t>
      </w:r>
      <w:r w:rsidR="00E118C1" w:rsidRPr="006710E4">
        <w:t xml:space="preserve">one line of prior anticancer therapy was higher than in patients who received two or more lines of prior anticancer therapies in GARNET Cohort A1. </w:t>
      </w:r>
    </w:p>
    <w:p w14:paraId="1CDE809A" w14:textId="5FC5BFDE" w:rsidR="00745BF1" w:rsidRDefault="00745BF1" w:rsidP="00745BF1">
      <w:pPr>
        <w:pStyle w:val="ListParagraph"/>
        <w:widowControl/>
        <w:numPr>
          <w:ilvl w:val="1"/>
          <w:numId w:val="2"/>
        </w:numPr>
        <w:rPr>
          <w:iCs/>
        </w:rPr>
      </w:pPr>
      <w:r w:rsidRPr="002B72DE">
        <w:rPr>
          <w:iCs/>
        </w:rPr>
        <w:t>The proposed PBS listing did not specify that the patient has not received prior PD</w:t>
      </w:r>
      <w:r w:rsidR="00135F12">
        <w:rPr>
          <w:iCs/>
        </w:rPr>
        <w:noBreakHyphen/>
      </w:r>
      <w:r w:rsidR="00135F12" w:rsidRPr="002B72DE">
        <w:rPr>
          <w:iCs/>
        </w:rPr>
        <w:t>(</w:t>
      </w:r>
      <w:r w:rsidRPr="002B72DE">
        <w:rPr>
          <w:iCs/>
        </w:rPr>
        <w:t>L)1 therapy for this condition</w:t>
      </w:r>
      <w:r w:rsidR="00151652" w:rsidRPr="002B72DE">
        <w:rPr>
          <w:iCs/>
        </w:rPr>
        <w:t>. ESC considered that addition of this criterion would be appropriate and consistent with listings for other PD-(L)1 inhibitors.</w:t>
      </w:r>
    </w:p>
    <w:p w14:paraId="33836D9E" w14:textId="77777777" w:rsidR="00803C8F" w:rsidRPr="00803C8F" w:rsidRDefault="00803C8F" w:rsidP="00803C8F">
      <w:pPr>
        <w:pStyle w:val="BodyText"/>
        <w:ind w:firstLine="720"/>
        <w:rPr>
          <w:i/>
          <w:iCs/>
        </w:rPr>
      </w:pPr>
      <w:r w:rsidRPr="00803C8F">
        <w:rPr>
          <w:i/>
          <w:iCs/>
        </w:rPr>
        <w:t>For more detail on PBAC’s view, see section 7 PBAC outcome.</w:t>
      </w:r>
    </w:p>
    <w:p w14:paraId="22911947" w14:textId="77777777" w:rsidR="00803C8F" w:rsidRPr="00803C8F" w:rsidRDefault="00803C8F" w:rsidP="00803C8F">
      <w:pPr>
        <w:widowControl/>
        <w:rPr>
          <w:iCs/>
        </w:rPr>
      </w:pPr>
    </w:p>
    <w:p w14:paraId="7075B85C" w14:textId="267A78F2" w:rsidR="00B50DB8" w:rsidRPr="00FF79DB" w:rsidRDefault="00203181" w:rsidP="002D5868">
      <w:pPr>
        <w:pStyle w:val="PBACHeading1"/>
        <w:keepNext/>
      </w:pPr>
      <w:bookmarkStart w:id="5" w:name="_Toc93481976"/>
      <w:r w:rsidRPr="00FF79DB">
        <w:t xml:space="preserve">Population and </w:t>
      </w:r>
      <w:r w:rsidR="008E0D3C" w:rsidRPr="00FF79DB">
        <w:t>d</w:t>
      </w:r>
      <w:r w:rsidRPr="00FF79DB">
        <w:t>isease</w:t>
      </w:r>
      <w:bookmarkEnd w:id="5"/>
    </w:p>
    <w:p w14:paraId="7D83E5E1" w14:textId="01C40BC6" w:rsidR="00B60939" w:rsidRPr="00FF79DB" w:rsidRDefault="00B60939" w:rsidP="002D5868">
      <w:pPr>
        <w:keepNext/>
      </w:pPr>
    </w:p>
    <w:p w14:paraId="477AAB6D" w14:textId="48D9B090" w:rsidR="00B75F28" w:rsidRPr="00FF79DB" w:rsidRDefault="004A4DE5" w:rsidP="002D5868">
      <w:pPr>
        <w:pStyle w:val="ListParagraph"/>
        <w:keepNext/>
        <w:widowControl/>
        <w:numPr>
          <w:ilvl w:val="1"/>
          <w:numId w:val="2"/>
        </w:numPr>
      </w:pPr>
      <w:r w:rsidRPr="00FF79DB">
        <w:t>EC is a malignancy of the endometrium, the inner lining of the uterus (uterine corpus).</w:t>
      </w:r>
      <w:r w:rsidR="005777EB" w:rsidRPr="00FF79DB">
        <w:t xml:space="preserve"> EC is the most common type of cancer of the uterus and accounts for about 95% of all cases of uterine cancer, the most common gynaecological cancer diagnosed in Australian women (AIHW, 2021; Cancer Council, 2021). </w:t>
      </w:r>
      <w:r w:rsidR="00FB2DA1" w:rsidRPr="00FF79DB">
        <w:t>T</w:t>
      </w:r>
      <w:r w:rsidR="005777EB" w:rsidRPr="00FF79DB">
        <w:t xml:space="preserve">he age-standardised incidence rate </w:t>
      </w:r>
      <w:r w:rsidR="00FB2DA1" w:rsidRPr="00FF79DB">
        <w:t xml:space="preserve">of uterine cancer in Australia </w:t>
      </w:r>
      <w:r w:rsidR="005777EB" w:rsidRPr="00FF79DB">
        <w:t xml:space="preserve">has increased from 14 to 20 cases per 100,000 women </w:t>
      </w:r>
      <w:r w:rsidR="00FB2DA1" w:rsidRPr="00FF79DB">
        <w:t xml:space="preserve">from 1982 to 2021 </w:t>
      </w:r>
      <w:r w:rsidR="005777EB" w:rsidRPr="00FF79DB">
        <w:t>(AIHW, 2021). In 2017, the average age at first diagnosis of uterine cancer in women was 65.1 years (AIHW, 2021).</w:t>
      </w:r>
      <w:r w:rsidR="00FB2DA1" w:rsidRPr="00FF79DB">
        <w:t xml:space="preserve"> In Australia, the 5-year relative survival rate for women diagnosed with uterine cancer overall was 83.5% between 2013-2017 (AIHW, 2021) though survival rates by stages were not available. </w:t>
      </w:r>
      <w:r w:rsidR="00B552FA" w:rsidRPr="00FF79DB">
        <w:t xml:space="preserve">Advanced stages (stage III/IV) are associated with worse prognosis. </w:t>
      </w:r>
      <w:r w:rsidR="00FB2DA1" w:rsidRPr="00FF79DB">
        <w:t>In the UK (England), 5-year relative survival rates for Stage I, II, III and IV were 92%, 74%, 48%, and 15%, respectively for women diagnosed during 2013-2017 (Cancer Research UK, 2021b).</w:t>
      </w:r>
      <w:r w:rsidR="009B0DBA" w:rsidRPr="00FF79DB">
        <w:t xml:space="preserve"> Despite treatment, an estimated 13% of patients with EC will experience disease recurrence (Fung-Kee-Fung, 2006), while a recent study by Francis (2019) of 2,691 women with early stage (stage I/II) EC diagnosed from 2000 to 2016, reported an overall recurrence rate of 7.2% (194/2691), with a median follow-up of 6.1 years.</w:t>
      </w:r>
    </w:p>
    <w:p w14:paraId="4CC6153F" w14:textId="405E8323" w:rsidR="00E46F92" w:rsidRDefault="00E46F92" w:rsidP="00E24AE9">
      <w:pPr>
        <w:pStyle w:val="ListParagraph"/>
        <w:widowControl/>
        <w:numPr>
          <w:ilvl w:val="1"/>
          <w:numId w:val="2"/>
        </w:numPr>
      </w:pPr>
      <w:r w:rsidRPr="00FF79DB">
        <w:t xml:space="preserve">Endometrial cancers may be </w:t>
      </w:r>
      <w:r w:rsidR="00750EA0" w:rsidRPr="00FF79DB">
        <w:t xml:space="preserve">classified </w:t>
      </w:r>
      <w:r w:rsidR="00F6089D" w:rsidRPr="00FF79DB">
        <w:t xml:space="preserve">based on the MMR status, </w:t>
      </w:r>
      <w:r w:rsidRPr="00FF79DB">
        <w:t>with normal (proficient) mismatch repair (</w:t>
      </w:r>
      <w:proofErr w:type="spellStart"/>
      <w:r w:rsidRPr="00FF79DB">
        <w:t>pMMR</w:t>
      </w:r>
      <w:proofErr w:type="spellEnd"/>
      <w:r w:rsidRPr="00FF79DB">
        <w:t xml:space="preserve">) or </w:t>
      </w:r>
      <w:proofErr w:type="spellStart"/>
      <w:r w:rsidRPr="00FF79DB">
        <w:t>dMMR</w:t>
      </w:r>
      <w:proofErr w:type="spellEnd"/>
      <w:r w:rsidR="00750EA0" w:rsidRPr="00FF79DB">
        <w:t xml:space="preserve"> tumours</w:t>
      </w:r>
      <w:r w:rsidRPr="00FF79DB">
        <w:t xml:space="preserve">. </w:t>
      </w:r>
      <w:r w:rsidR="00943A48" w:rsidRPr="00FF79DB">
        <w:t xml:space="preserve">EC is associated with </w:t>
      </w:r>
      <w:proofErr w:type="spellStart"/>
      <w:r w:rsidR="00F6089D" w:rsidRPr="00FF79DB">
        <w:t>d</w:t>
      </w:r>
      <w:r w:rsidR="00943A48" w:rsidRPr="00FF79DB">
        <w:t>MMR</w:t>
      </w:r>
      <w:proofErr w:type="spellEnd"/>
      <w:r w:rsidR="00943A48" w:rsidRPr="00FF79DB">
        <w:t xml:space="preserve"> in up to 33% of cases and has one of the highest rates of </w:t>
      </w:r>
      <w:proofErr w:type="spellStart"/>
      <w:r w:rsidR="00943A48" w:rsidRPr="00FF79DB">
        <w:t>dMMR</w:t>
      </w:r>
      <w:proofErr w:type="spellEnd"/>
      <w:r w:rsidR="00943A48" w:rsidRPr="00FF79DB">
        <w:t xml:space="preserve"> across all cancer types (Morona, 2020; Scarpa, 2016)</w:t>
      </w:r>
      <w:r w:rsidR="0017307A">
        <w:t xml:space="preserve"> </w:t>
      </w:r>
      <w:r w:rsidR="0017307A" w:rsidRPr="002B72DE">
        <w:rPr>
          <w:iCs/>
        </w:rPr>
        <w:t xml:space="preserve">although ESC noted that the rate of </w:t>
      </w:r>
      <w:proofErr w:type="spellStart"/>
      <w:r w:rsidR="0017307A" w:rsidRPr="002B72DE">
        <w:rPr>
          <w:iCs/>
        </w:rPr>
        <w:t>dMMR</w:t>
      </w:r>
      <w:proofErr w:type="spellEnd"/>
      <w:r w:rsidR="0017307A" w:rsidRPr="002B72DE">
        <w:rPr>
          <w:iCs/>
        </w:rPr>
        <w:t xml:space="preserve"> in advanced endometrial cancer has been reported to be lower at around 18%</w:t>
      </w:r>
      <w:r w:rsidR="0017307A" w:rsidRPr="002B72DE">
        <w:rPr>
          <w:rStyle w:val="FootnoteReference"/>
          <w:iCs/>
        </w:rPr>
        <w:footnoteReference w:id="1"/>
      </w:r>
      <w:r w:rsidR="00943A48" w:rsidRPr="002B72DE">
        <w:rPr>
          <w:iCs/>
        </w:rPr>
        <w:t>.</w:t>
      </w:r>
      <w:r w:rsidR="003B1A65" w:rsidRPr="00FF79DB">
        <w:t xml:space="preserve"> Tumours with MMR deficiency can develop microsatellite instability (MSI), which is a change in the length of repetitive sequences in tumour DNA compared with normal DNA. Therefore, MSI-H is the observable characteristic (phenotype) displayed when errors occur in the </w:t>
      </w:r>
      <w:r w:rsidR="003B1A65" w:rsidRPr="00FF79DB">
        <w:lastRenderedPageBreak/>
        <w:t>DNA MMR system (</w:t>
      </w:r>
      <w:proofErr w:type="spellStart"/>
      <w:r w:rsidR="003B1A65" w:rsidRPr="00FF79DB">
        <w:t>Luchini</w:t>
      </w:r>
      <w:proofErr w:type="spellEnd"/>
      <w:r w:rsidR="003B1A65" w:rsidRPr="00FF79DB">
        <w:t>, 2019).</w:t>
      </w:r>
      <w:r w:rsidR="002626C4" w:rsidRPr="00FF79DB">
        <w:t xml:space="preserve"> The submission claimed that </w:t>
      </w:r>
      <w:proofErr w:type="spellStart"/>
      <w:r w:rsidR="002626C4" w:rsidRPr="00FF79DB">
        <w:t>dMMR</w:t>
      </w:r>
      <w:proofErr w:type="spellEnd"/>
      <w:r w:rsidR="002626C4" w:rsidRPr="00FF79DB">
        <w:t xml:space="preserve"> status is predictive of clinical benefit from PD-1 inhibitors that block PD-1’s interaction with its ligands, restoring cytotoxic T-cell activity and freeing the T-cell to kill the tumour cell (Le, 2017; Zhao, 2019).</w:t>
      </w:r>
    </w:p>
    <w:p w14:paraId="11DA998B" w14:textId="793C76E9" w:rsidR="00F43B12" w:rsidRPr="00FF79DB" w:rsidRDefault="00F43B12" w:rsidP="00F43B12">
      <w:pPr>
        <w:pStyle w:val="ListParagraph"/>
        <w:widowControl/>
        <w:numPr>
          <w:ilvl w:val="1"/>
          <w:numId w:val="2"/>
        </w:numPr>
      </w:pPr>
      <w:proofErr w:type="spellStart"/>
      <w:r w:rsidRPr="00F43B12">
        <w:t>Dostarlimab</w:t>
      </w:r>
      <w:proofErr w:type="spellEnd"/>
      <w:r w:rsidRPr="00F43B12">
        <w:t xml:space="preserve"> is a humanised, monoclonal antibody of the immunoglobulin G4 isotype that binds to PD-1, resulting in inhibition of binding to PD-L1 and PD-L2. This results in the release of inhibition of PD-1 pathway-mediated immune responses, including the anti-tumour immune response</w:t>
      </w:r>
      <w:r>
        <w:t>.</w:t>
      </w:r>
    </w:p>
    <w:p w14:paraId="51E5AE96" w14:textId="77777777" w:rsidR="00B50DB8" w:rsidRPr="00FF79DB" w:rsidRDefault="00B50DB8" w:rsidP="002D5868">
      <w:pPr>
        <w:pStyle w:val="PBACHeading1"/>
        <w:keepNext/>
      </w:pPr>
      <w:bookmarkStart w:id="6" w:name="_Toc93481977"/>
      <w:r w:rsidRPr="00FF79DB">
        <w:t>Comparator</w:t>
      </w:r>
      <w:bookmarkEnd w:id="6"/>
    </w:p>
    <w:p w14:paraId="7762414D" w14:textId="77777777" w:rsidR="00B60939" w:rsidRPr="00FF79DB" w:rsidRDefault="00B60939" w:rsidP="002D5868">
      <w:pPr>
        <w:keepNext/>
      </w:pPr>
    </w:p>
    <w:p w14:paraId="7CA787EF" w14:textId="6E878690" w:rsidR="000B0C07" w:rsidRPr="006710E4" w:rsidRDefault="000D16C4" w:rsidP="002D5868">
      <w:pPr>
        <w:pStyle w:val="ListParagraph"/>
        <w:keepNext/>
        <w:widowControl/>
        <w:numPr>
          <w:ilvl w:val="1"/>
          <w:numId w:val="2"/>
        </w:numPr>
      </w:pPr>
      <w:r w:rsidRPr="006710E4">
        <w:t>The submission nominated</w:t>
      </w:r>
      <w:r w:rsidR="00B82496">
        <w:t xml:space="preserve"> standard of care (</w:t>
      </w:r>
      <w:r w:rsidR="00A532AE" w:rsidRPr="006710E4">
        <w:t>SoC</w:t>
      </w:r>
      <w:r w:rsidR="00B82496">
        <w:t>)</w:t>
      </w:r>
      <w:r w:rsidRPr="006710E4">
        <w:t xml:space="preserve"> comprising single-agent chemotherapy and PBC as the main comparator. </w:t>
      </w:r>
      <w:r w:rsidR="00B5641F" w:rsidRPr="006710E4">
        <w:t>N</w:t>
      </w:r>
      <w:r w:rsidR="00195C28" w:rsidRPr="006710E4">
        <w:t xml:space="preserve">o </w:t>
      </w:r>
      <w:r w:rsidRPr="006710E4">
        <w:t>specific drug(s) were nominated by the submission. However, the search strategy conducted by the submission indicated that the following treatments were included as comparators: paclitaxel; doxorubicin; carboplatin; cisplatin. The main arguments provided in support of this nomination were:</w:t>
      </w:r>
    </w:p>
    <w:p w14:paraId="74154F6C" w14:textId="3B6A9FDB" w:rsidR="00F72E20" w:rsidRPr="006710E4" w:rsidRDefault="00F72E20" w:rsidP="00E24AE9">
      <w:pPr>
        <w:pStyle w:val="ListParagraph"/>
        <w:widowControl/>
        <w:numPr>
          <w:ilvl w:val="0"/>
          <w:numId w:val="7"/>
        </w:numPr>
        <w:spacing w:after="0"/>
        <w:ind w:left="993" w:hanging="284"/>
      </w:pPr>
      <w:r w:rsidRPr="006710E4">
        <w:t xml:space="preserve">There is currently no standard treatment for patients with A/R </w:t>
      </w:r>
      <w:proofErr w:type="spellStart"/>
      <w:r w:rsidRPr="006710E4">
        <w:t>dMMR</w:t>
      </w:r>
      <w:proofErr w:type="spellEnd"/>
      <w:r w:rsidRPr="006710E4">
        <w:t xml:space="preserve"> EC following 1L PBC. The choice of treatment in this setting is highly individualised and based on shared decision-making, </w:t>
      </w:r>
      <w:proofErr w:type="gramStart"/>
      <w:r w:rsidRPr="006710E4">
        <w:t>taking into account</w:t>
      </w:r>
      <w:proofErr w:type="gramEnd"/>
      <w:r w:rsidRPr="006710E4">
        <w:t xml:space="preserve"> the patient’s clinical status, expected response, and prior and expected toxicities; and</w:t>
      </w:r>
    </w:p>
    <w:p w14:paraId="77E5FD41" w14:textId="3354C5C7" w:rsidR="00F72E20" w:rsidRPr="006710E4" w:rsidRDefault="00F72E20" w:rsidP="00E24AE9">
      <w:pPr>
        <w:pStyle w:val="ListParagraph"/>
        <w:widowControl/>
        <w:numPr>
          <w:ilvl w:val="0"/>
          <w:numId w:val="7"/>
        </w:numPr>
        <w:ind w:left="993" w:hanging="284"/>
      </w:pPr>
      <w:r w:rsidRPr="006710E4">
        <w:t>Single-agent chemotherapy such as doxorubicin and paclitaxel are considered the most active therapies and is particularly useful for those who are less likely to tolerate combination therapies. Re-administrating carboplatin and paclitaxel may be considered in some patients if there has been a substantial amount of time since the initial administration, usually greater than six months (</w:t>
      </w:r>
      <w:proofErr w:type="spellStart"/>
      <w:r w:rsidRPr="006710E4">
        <w:t>Concin</w:t>
      </w:r>
      <w:proofErr w:type="spellEnd"/>
      <w:r w:rsidRPr="006710E4">
        <w:t>, 2021).</w:t>
      </w:r>
    </w:p>
    <w:p w14:paraId="65F6137A" w14:textId="2736BAB7" w:rsidR="00EF6979" w:rsidRPr="006710E4" w:rsidRDefault="00EF6979" w:rsidP="00E24AE9">
      <w:pPr>
        <w:pStyle w:val="ListParagraph"/>
        <w:widowControl/>
        <w:numPr>
          <w:ilvl w:val="1"/>
          <w:numId w:val="2"/>
        </w:numPr>
      </w:pPr>
      <w:r w:rsidRPr="006710E4">
        <w:t>The submission presented results from an ancillary analysis from five Gynaecologic Oncology Group (GOG) 1L trials (published between 2004-2006), which evaluated 2L treatment in 586 patients with A/R EC following primary chemotherapy (consisting of single-agent or combination, PBC and non-PBC) in which 184/586 patients (31%) received platinum-based 2L treatment and 402/586 patients (69%) received non-platinum-based 2L treatment (Moore, 2010). Moore 2010 found no significant difference in OS based on the type of 2L therapy (HR=0.92; 95% CI 0.77-1.11; p=0.392) and results remained consistent when the analysis was restricted to patients who had primary (prior) treatment with PBC (N=483).</w:t>
      </w:r>
    </w:p>
    <w:p w14:paraId="41A412AA" w14:textId="33A4DCC6" w:rsidR="00622A04" w:rsidRPr="006710E4" w:rsidRDefault="0092158E" w:rsidP="00E24AE9">
      <w:pPr>
        <w:pStyle w:val="ListParagraph"/>
        <w:widowControl/>
        <w:numPr>
          <w:ilvl w:val="1"/>
          <w:numId w:val="2"/>
        </w:numPr>
      </w:pPr>
      <w:r w:rsidRPr="006710E4">
        <w:t xml:space="preserve">From the UK </w:t>
      </w:r>
      <w:r w:rsidR="00AE1172" w:rsidRPr="006710E4">
        <w:t>real world evidence (</w:t>
      </w:r>
      <w:r w:rsidRPr="006710E4">
        <w:t>RWE</w:t>
      </w:r>
      <w:r w:rsidR="00AE1172" w:rsidRPr="006710E4">
        <w:t>)</w:t>
      </w:r>
      <w:r w:rsidRPr="006710E4">
        <w:t xml:space="preserve"> cohort study commissioned by the sponsor, </w:t>
      </w:r>
      <w:r w:rsidR="00307B30" w:rsidRPr="006710E4">
        <w:t>PBC accounted for the majority (67%) of 2L treatment</w:t>
      </w:r>
      <w:r w:rsidR="00C2547D" w:rsidRPr="006710E4">
        <w:t>, and a high proportion of patients used</w:t>
      </w:r>
      <w:r w:rsidR="00AE1172" w:rsidRPr="006710E4">
        <w:t xml:space="preserve"> combination chemotherapy (the two most common regimens were carboplatin + paclitaxel</w:t>
      </w:r>
      <w:r w:rsidR="00EA78FD" w:rsidRPr="006710E4">
        <w:t xml:space="preserve"> at 27.9% and carboplatin + doxorubicin at 14.1%)</w:t>
      </w:r>
      <w:r w:rsidR="00307B30" w:rsidRPr="006710E4">
        <w:t xml:space="preserve">. </w:t>
      </w:r>
      <w:r w:rsidR="00F01473" w:rsidRPr="006710E4">
        <w:rPr>
          <w:iCs/>
        </w:rPr>
        <w:t>The relative usage of chemotherapy fr</w:t>
      </w:r>
      <w:r w:rsidR="000D564C" w:rsidRPr="006710E4">
        <w:rPr>
          <w:iCs/>
        </w:rPr>
        <w:t>o</w:t>
      </w:r>
      <w:r w:rsidR="00F01473" w:rsidRPr="006710E4">
        <w:rPr>
          <w:iCs/>
        </w:rPr>
        <w:t xml:space="preserve">m the UK RWE was used to inform the financial estimates. </w:t>
      </w:r>
      <w:r w:rsidR="00135F12">
        <w:rPr>
          <w:iCs/>
        </w:rPr>
        <w:t>T</w:t>
      </w:r>
      <w:r w:rsidR="00307B30" w:rsidRPr="006710E4">
        <w:rPr>
          <w:iCs/>
        </w:rPr>
        <w:t xml:space="preserve">he </w:t>
      </w:r>
      <w:r w:rsidR="00C2547D" w:rsidRPr="006710E4">
        <w:rPr>
          <w:iCs/>
        </w:rPr>
        <w:t xml:space="preserve">only </w:t>
      </w:r>
      <w:r w:rsidR="00EA78FD" w:rsidRPr="006710E4">
        <w:rPr>
          <w:iCs/>
        </w:rPr>
        <w:t xml:space="preserve">comparators considered </w:t>
      </w:r>
      <w:r w:rsidR="00412E6A" w:rsidRPr="006710E4">
        <w:rPr>
          <w:iCs/>
        </w:rPr>
        <w:t xml:space="preserve">in the clinical evidence (doxorubicin or paclitaxel) </w:t>
      </w:r>
      <w:r w:rsidR="00412E6A" w:rsidRPr="006710E4">
        <w:rPr>
          <w:iCs/>
        </w:rPr>
        <w:lastRenderedPageBreak/>
        <w:t xml:space="preserve">and economic model (doxorubicin only in the base case) </w:t>
      </w:r>
      <w:r w:rsidR="00307B30" w:rsidRPr="006710E4">
        <w:rPr>
          <w:iCs/>
        </w:rPr>
        <w:t xml:space="preserve">were </w:t>
      </w:r>
      <w:r w:rsidR="00EA78FD" w:rsidRPr="006710E4">
        <w:rPr>
          <w:iCs/>
        </w:rPr>
        <w:t>single agent chemotherapies</w:t>
      </w:r>
      <w:r w:rsidR="00307B30" w:rsidRPr="006710E4">
        <w:rPr>
          <w:iCs/>
        </w:rPr>
        <w:t xml:space="preserve">. Any differences in </w:t>
      </w:r>
      <w:r w:rsidR="0017307A">
        <w:rPr>
          <w:iCs/>
        </w:rPr>
        <w:t xml:space="preserve">the </w:t>
      </w:r>
      <w:r w:rsidR="00307B30" w:rsidRPr="006710E4">
        <w:rPr>
          <w:iCs/>
        </w:rPr>
        <w:t xml:space="preserve">distribution of 2L regimens use between the SoC studies and the Australian clinical setting may represent a potential applicability issue if there </w:t>
      </w:r>
      <w:r w:rsidR="00EF6979" w:rsidRPr="006710E4">
        <w:rPr>
          <w:iCs/>
        </w:rPr>
        <w:t>we</w:t>
      </w:r>
      <w:r w:rsidR="00307B30" w:rsidRPr="006710E4">
        <w:rPr>
          <w:iCs/>
        </w:rPr>
        <w:t xml:space="preserve">re differences in efficacy between each of the nominated therapies which comprise </w:t>
      </w:r>
      <w:proofErr w:type="spellStart"/>
      <w:r w:rsidR="00307B30" w:rsidRPr="006710E4">
        <w:rPr>
          <w:iCs/>
        </w:rPr>
        <w:t>SoC</w:t>
      </w:r>
      <w:r w:rsidR="00C17C7F" w:rsidRPr="006710E4">
        <w:rPr>
          <w:iCs/>
        </w:rPr>
        <w:t>.</w:t>
      </w:r>
      <w:proofErr w:type="spellEnd"/>
    </w:p>
    <w:p w14:paraId="4B72141A" w14:textId="475DF29A" w:rsidR="001D12DC" w:rsidRPr="00240F63" w:rsidRDefault="000D564C" w:rsidP="00240F63">
      <w:pPr>
        <w:pStyle w:val="ListParagraph"/>
        <w:widowControl/>
        <w:numPr>
          <w:ilvl w:val="1"/>
          <w:numId w:val="2"/>
        </w:numPr>
      </w:pPr>
      <w:r w:rsidRPr="00240F63">
        <w:t>N</w:t>
      </w:r>
      <w:r w:rsidR="00ED4590" w:rsidRPr="006710E4">
        <w:t>o near market comparator</w:t>
      </w:r>
      <w:r w:rsidR="00B5641F" w:rsidRPr="006710E4">
        <w:t>s</w:t>
      </w:r>
      <w:r w:rsidR="00ED4590" w:rsidRPr="006710E4">
        <w:t xml:space="preserve"> w</w:t>
      </w:r>
      <w:r w:rsidR="00B5641F" w:rsidRPr="006710E4">
        <w:t>ere</w:t>
      </w:r>
      <w:r w:rsidR="00ED4590" w:rsidRPr="006710E4">
        <w:t xml:space="preserve"> proposed in the submission, despite the use of pembrolizumab in the proposed population with the corresponding KEYNOTE-775 trial being acknowledged by the submission</w:t>
      </w:r>
      <w:r w:rsidR="00520B23">
        <w:t xml:space="preserve"> (though this was addressed in the PSCR)</w:t>
      </w:r>
      <w:r w:rsidR="00ED4590" w:rsidRPr="006710E4">
        <w:t xml:space="preserve">. Pembrolizumab in combination with </w:t>
      </w:r>
      <w:proofErr w:type="spellStart"/>
      <w:r w:rsidR="00ED4590" w:rsidRPr="006710E4">
        <w:t>lenvatinib</w:t>
      </w:r>
      <w:proofErr w:type="spellEnd"/>
      <w:r w:rsidR="00ED4590" w:rsidRPr="006710E4">
        <w:t xml:space="preserve"> for the treatment of patients with </w:t>
      </w:r>
      <w:r w:rsidR="00B5641F" w:rsidRPr="006710E4">
        <w:t>advanced</w:t>
      </w:r>
      <w:r w:rsidR="00ED4590" w:rsidRPr="006710E4">
        <w:t xml:space="preserve"> EC </w:t>
      </w:r>
      <w:r w:rsidR="00B5641F" w:rsidRPr="006710E4">
        <w:t>who</w:t>
      </w:r>
      <w:r w:rsidR="00ED4590" w:rsidRPr="006710E4">
        <w:t xml:space="preserve"> have progressed on prior </w:t>
      </w:r>
      <w:r w:rsidR="00B5641F" w:rsidRPr="006710E4">
        <w:t>systemic therapy</w:t>
      </w:r>
      <w:r w:rsidR="00ED4590" w:rsidRPr="006710E4">
        <w:t xml:space="preserve"> (irrespective of MMR status) and pembrolizumab as monotherapy for th</w:t>
      </w:r>
      <w:r w:rsidR="00B5641F" w:rsidRPr="006710E4">
        <w:t>os</w:t>
      </w:r>
      <w:r w:rsidR="00ED4590" w:rsidRPr="006710E4">
        <w:t xml:space="preserve">e </w:t>
      </w:r>
      <w:r w:rsidR="00B5641F" w:rsidRPr="006710E4">
        <w:t xml:space="preserve">with </w:t>
      </w:r>
      <w:proofErr w:type="spellStart"/>
      <w:r w:rsidR="00ED4590" w:rsidRPr="006710E4">
        <w:t>dMMR</w:t>
      </w:r>
      <w:proofErr w:type="spellEnd"/>
      <w:r w:rsidR="00ED4590" w:rsidRPr="006710E4">
        <w:t xml:space="preserve"> </w:t>
      </w:r>
      <w:r w:rsidR="00B5641F" w:rsidRPr="006710E4">
        <w:t>tumo</w:t>
      </w:r>
      <w:r w:rsidR="000B231D" w:rsidRPr="006710E4">
        <w:t>u</w:t>
      </w:r>
      <w:r w:rsidR="00B5641F" w:rsidRPr="006710E4">
        <w:t>rs</w:t>
      </w:r>
      <w:r w:rsidR="00ED4590" w:rsidRPr="006710E4">
        <w:t xml:space="preserve"> </w:t>
      </w:r>
      <w:r w:rsidR="00E638BF" w:rsidRPr="006710E4">
        <w:t xml:space="preserve">was </w:t>
      </w:r>
      <w:r w:rsidR="004D5FA7" w:rsidRPr="006710E4">
        <w:t xml:space="preserve">also scheduled to be </w:t>
      </w:r>
      <w:r w:rsidR="00ED4590" w:rsidRPr="006710E4">
        <w:t>considered during the March 2022</w:t>
      </w:r>
      <w:r w:rsidR="004D5FA7" w:rsidRPr="006710E4">
        <w:t xml:space="preserve"> PBAC meeting</w:t>
      </w:r>
      <w:r w:rsidR="00ED4590" w:rsidRPr="006710E4">
        <w:t>.</w:t>
      </w:r>
      <w:r w:rsidR="001A7CD8">
        <w:t xml:space="preserve"> </w:t>
      </w:r>
    </w:p>
    <w:p w14:paraId="5B817C15" w14:textId="77777777" w:rsidR="00240F63" w:rsidRPr="006710E4" w:rsidRDefault="00240F63" w:rsidP="00240F63">
      <w:pPr>
        <w:pStyle w:val="ListParagraph"/>
        <w:widowControl/>
        <w:numPr>
          <w:ilvl w:val="1"/>
          <w:numId w:val="2"/>
        </w:numPr>
      </w:pPr>
      <w:r w:rsidRPr="006710E4">
        <w:t xml:space="preserve">Overall, the </w:t>
      </w:r>
      <w:r>
        <w:t xml:space="preserve">PBAC considered that the </w:t>
      </w:r>
      <w:r w:rsidRPr="006710E4">
        <w:t>nominated comparator was appropriate</w:t>
      </w:r>
      <w:r>
        <w:t xml:space="preserve">, however noted that, should pembrolizumab </w:t>
      </w:r>
      <w:r>
        <w:rPr>
          <w:rFonts w:cs="Calibri"/>
        </w:rPr>
        <w:t>±</w:t>
      </w:r>
      <w:r>
        <w:t xml:space="preserve"> </w:t>
      </w:r>
      <w:proofErr w:type="spellStart"/>
      <w:r>
        <w:t>lenvatinib</w:t>
      </w:r>
      <w:proofErr w:type="spellEnd"/>
      <w:r>
        <w:t xml:space="preserve"> be PBS listed in this indication, it would become the relevant comparator for </w:t>
      </w:r>
      <w:proofErr w:type="spellStart"/>
      <w:r>
        <w:t>dostarlimab</w:t>
      </w:r>
      <w:proofErr w:type="spellEnd"/>
      <w:r w:rsidRPr="006710E4">
        <w:t xml:space="preserve">. </w:t>
      </w:r>
    </w:p>
    <w:p w14:paraId="7279F9FE" w14:textId="16BDF77E" w:rsidR="001D12DC" w:rsidRPr="001D12DC" w:rsidRDefault="001D12DC" w:rsidP="001D12DC">
      <w:pPr>
        <w:pStyle w:val="PBACHeading1"/>
        <w:numPr>
          <w:ilvl w:val="0"/>
          <w:numId w:val="0"/>
        </w:numPr>
        <w:ind w:left="720"/>
        <w:rPr>
          <w:b w:val="0"/>
          <w:i/>
          <w:sz w:val="24"/>
        </w:rPr>
      </w:pPr>
      <w:r w:rsidRPr="001D12DC">
        <w:rPr>
          <w:b w:val="0"/>
          <w:i/>
          <w:sz w:val="24"/>
        </w:rPr>
        <w:t>For more detail on PBAC’s view, see section 7 PBAC outcome.</w:t>
      </w:r>
    </w:p>
    <w:p w14:paraId="1B3145E7" w14:textId="77777777" w:rsidR="001D12DC" w:rsidRPr="006710E4" w:rsidRDefault="001D12DC" w:rsidP="002D5868">
      <w:pPr>
        <w:widowControl/>
      </w:pPr>
    </w:p>
    <w:p w14:paraId="30A067BB" w14:textId="45C7B315" w:rsidR="00B50DB8" w:rsidRPr="00FF79DB" w:rsidRDefault="00BD6CF3" w:rsidP="00BD6CF3">
      <w:pPr>
        <w:pStyle w:val="PBACHeading1"/>
      </w:pPr>
      <w:bookmarkStart w:id="7" w:name="_Toc93481978"/>
      <w:r w:rsidRPr="00FF79DB">
        <w:t>C</w:t>
      </w:r>
      <w:r w:rsidR="00B50DB8" w:rsidRPr="00FF79DB">
        <w:t>onsideration of the evidence</w:t>
      </w:r>
      <w:bookmarkEnd w:id="7"/>
    </w:p>
    <w:p w14:paraId="70F776F8" w14:textId="77777777" w:rsidR="00B60939" w:rsidRPr="00FF79DB" w:rsidRDefault="00B60939" w:rsidP="004B1CB4"/>
    <w:p w14:paraId="22EB43B3" w14:textId="77777777" w:rsidR="001D12DC" w:rsidRPr="00676C6D" w:rsidRDefault="001D12DC" w:rsidP="001D12DC">
      <w:pPr>
        <w:pStyle w:val="Heading2"/>
      </w:pPr>
      <w:bookmarkStart w:id="8" w:name="_Toc93481979"/>
      <w:r w:rsidRPr="00676C6D">
        <w:t>Sponsor hearing</w:t>
      </w:r>
    </w:p>
    <w:p w14:paraId="3690E453" w14:textId="372B2B47" w:rsidR="001D12DC" w:rsidRPr="00ED6EDE" w:rsidRDefault="001D12DC" w:rsidP="001D12DC">
      <w:pPr>
        <w:pStyle w:val="ListParagraph"/>
        <w:widowControl/>
        <w:numPr>
          <w:ilvl w:val="1"/>
          <w:numId w:val="2"/>
        </w:numPr>
        <w:spacing w:after="120"/>
      </w:pPr>
      <w:r w:rsidRPr="00ED6EDE">
        <w:t>The</w:t>
      </w:r>
      <w:r w:rsidR="00463DFE">
        <w:t xml:space="preserve">re </w:t>
      </w:r>
      <w:r w:rsidR="00AD3A8D">
        <w:t>was no hearing for this item.</w:t>
      </w:r>
    </w:p>
    <w:p w14:paraId="6F9403C4" w14:textId="77777777" w:rsidR="001D12DC" w:rsidRPr="00676C6D" w:rsidRDefault="001D12DC" w:rsidP="001D12DC">
      <w:pPr>
        <w:pStyle w:val="Heading2"/>
      </w:pPr>
      <w:r w:rsidRPr="00676C6D">
        <w:t>Consumer comments</w:t>
      </w:r>
    </w:p>
    <w:p w14:paraId="203F9FFE" w14:textId="42C5CC05" w:rsidR="001D12DC" w:rsidRPr="00ED6EDE" w:rsidRDefault="001D12DC" w:rsidP="00151478">
      <w:pPr>
        <w:pStyle w:val="ListParagraph"/>
        <w:widowControl/>
        <w:numPr>
          <w:ilvl w:val="1"/>
          <w:numId w:val="2"/>
        </w:numPr>
        <w:spacing w:after="120"/>
      </w:pPr>
      <w:r w:rsidRPr="00ED6EDE">
        <w:t xml:space="preserve">The PBAC noted </w:t>
      </w:r>
      <w:r w:rsidR="008E73B7">
        <w:t xml:space="preserve">and welcomed the input from an organisation via the Consumer Comments facility on the PBS website. </w:t>
      </w:r>
      <w:r w:rsidRPr="00ED6EDE">
        <w:t>The Medical Oncology</w:t>
      </w:r>
      <w:r w:rsidR="008E73B7">
        <w:t xml:space="preserve"> Group of Australia (MOGA) </w:t>
      </w:r>
      <w:r w:rsidRPr="00ED6EDE">
        <w:t xml:space="preserve">expressed its strong support for the </w:t>
      </w:r>
      <w:proofErr w:type="spellStart"/>
      <w:r w:rsidR="00F05009">
        <w:t>dosta</w:t>
      </w:r>
      <w:r w:rsidR="00C23A97">
        <w:t>r</w:t>
      </w:r>
      <w:r w:rsidR="00F05009">
        <w:t>limab</w:t>
      </w:r>
      <w:proofErr w:type="spellEnd"/>
      <w:r w:rsidRPr="00ED6EDE">
        <w:t xml:space="preserve"> submission, categorising it as one of the therapies of “highest priority for PBS listing” </w:t>
      </w:r>
      <w:proofErr w:type="gramStart"/>
      <w:r w:rsidRPr="00ED6EDE">
        <w:t>on the basis of</w:t>
      </w:r>
      <w:proofErr w:type="gramEnd"/>
      <w:r w:rsidRPr="00ED6EDE">
        <w:t xml:space="preserve"> the </w:t>
      </w:r>
      <w:r w:rsidR="00F05009">
        <w:t>GARNET</w:t>
      </w:r>
      <w:r w:rsidRPr="00ED6EDE">
        <w:t xml:space="preserve"> </w:t>
      </w:r>
      <w:r w:rsidR="00F05009">
        <w:t>study</w:t>
      </w:r>
      <w:r w:rsidRPr="00ED6EDE">
        <w:t xml:space="preserve">. The PBAC noted that the MOGA presented a European Society for Medical Oncology Magnitude of Clinical Benefit Scale (ESMO-MCBS) for </w:t>
      </w:r>
      <w:proofErr w:type="spellStart"/>
      <w:r w:rsidR="00F05009">
        <w:t>dostarlimab</w:t>
      </w:r>
      <w:proofErr w:type="spellEnd"/>
      <w:r w:rsidRPr="00ED6EDE">
        <w:t xml:space="preserve">, which was limited to </w:t>
      </w:r>
      <w:r w:rsidR="00F05009">
        <w:t>3</w:t>
      </w:r>
      <w:r w:rsidRPr="00ED6EDE">
        <w:t xml:space="preserve"> (out of a maximum of 5, where 5 and 4 represent the grades with substantial improvement)</w:t>
      </w:r>
      <w:r w:rsidR="00F05009">
        <w:rPr>
          <w:rStyle w:val="FootnoteReference"/>
        </w:rPr>
        <w:footnoteReference w:id="2"/>
      </w:r>
      <w:r w:rsidRPr="00ED6EDE">
        <w:t xml:space="preserve">, based on a </w:t>
      </w:r>
      <w:r w:rsidR="00C23A97">
        <w:t>single arm study</w:t>
      </w:r>
      <w:r w:rsidRPr="00ED6EDE">
        <w:t xml:space="preserve">. </w:t>
      </w:r>
      <w:bookmarkStart w:id="9" w:name="_Hlk99962298"/>
    </w:p>
    <w:bookmarkEnd w:id="9"/>
    <w:p w14:paraId="609C0765" w14:textId="0C70B19F" w:rsidR="00B60939" w:rsidRPr="00FF79DB" w:rsidRDefault="00B60939" w:rsidP="00C9624D">
      <w:pPr>
        <w:pStyle w:val="Heading2"/>
      </w:pPr>
      <w:r w:rsidRPr="00FF79DB">
        <w:t>Clinical trials</w:t>
      </w:r>
      <w:bookmarkEnd w:id="8"/>
    </w:p>
    <w:p w14:paraId="6FBF7D40" w14:textId="3ACE2B13" w:rsidR="002462FB" w:rsidRPr="00FF79DB" w:rsidRDefault="00CF772C" w:rsidP="00E24AE9">
      <w:pPr>
        <w:pStyle w:val="ListParagraph"/>
        <w:widowControl/>
        <w:numPr>
          <w:ilvl w:val="1"/>
          <w:numId w:val="2"/>
        </w:numPr>
      </w:pPr>
      <w:r w:rsidRPr="00FF79DB">
        <w:t>No head-to-head trial</w:t>
      </w:r>
      <w:r w:rsidR="00B5641F">
        <w:t>s</w:t>
      </w:r>
      <w:r w:rsidRPr="00FF79DB">
        <w:t xml:space="preserve"> </w:t>
      </w:r>
      <w:r w:rsidR="00BD5F09" w:rsidRPr="00FF79DB">
        <w:t xml:space="preserve">comparing </w:t>
      </w:r>
      <w:proofErr w:type="spellStart"/>
      <w:r w:rsidR="00BD5F09" w:rsidRPr="00FF79DB">
        <w:t>dostarlimab</w:t>
      </w:r>
      <w:proofErr w:type="spellEnd"/>
      <w:r w:rsidR="00BD5F09" w:rsidRPr="00FF79DB">
        <w:t xml:space="preserve"> with SoC w</w:t>
      </w:r>
      <w:r w:rsidR="00B5641F">
        <w:t>ere</w:t>
      </w:r>
      <w:r w:rsidR="00BD5F09" w:rsidRPr="00FF79DB">
        <w:t xml:space="preserve"> identified</w:t>
      </w:r>
      <w:r w:rsidRPr="00FF79DB">
        <w:t xml:space="preserve">. Instead, </w:t>
      </w:r>
      <w:r w:rsidR="002457B0" w:rsidRPr="00FF79DB">
        <w:t xml:space="preserve">indirect comparisons were </w:t>
      </w:r>
      <w:r w:rsidRPr="00FF79DB">
        <w:t xml:space="preserve">constructed using </w:t>
      </w:r>
      <w:r w:rsidR="0039080B" w:rsidRPr="00FF79DB">
        <w:t xml:space="preserve">the single arm </w:t>
      </w:r>
      <w:r w:rsidR="00463E59" w:rsidRPr="00FF79DB">
        <w:t xml:space="preserve">GARNET study </w:t>
      </w:r>
      <w:r w:rsidR="00FE08D8" w:rsidRPr="00FF79DB">
        <w:t xml:space="preserve">and </w:t>
      </w:r>
      <w:r w:rsidRPr="00FF79DB">
        <w:t xml:space="preserve">individual </w:t>
      </w:r>
      <w:r w:rsidR="001B1AF2" w:rsidRPr="00FF79DB">
        <w:t xml:space="preserve">comparator </w:t>
      </w:r>
      <w:r w:rsidRPr="00FF79DB">
        <w:t xml:space="preserve">arms of </w:t>
      </w:r>
      <w:r w:rsidR="001B1AF2" w:rsidRPr="00FF79DB">
        <w:t xml:space="preserve">four </w:t>
      </w:r>
      <w:r w:rsidRPr="00FF79DB">
        <w:t>different trials</w:t>
      </w:r>
      <w:r w:rsidR="002462FB" w:rsidRPr="00FF79DB">
        <w:t xml:space="preserve"> </w:t>
      </w:r>
      <w:r w:rsidR="001B1AF2" w:rsidRPr="00FF79DB">
        <w:t>(</w:t>
      </w:r>
      <w:proofErr w:type="spellStart"/>
      <w:r w:rsidR="001B1AF2" w:rsidRPr="00FF79DB">
        <w:t>ZoptEC</w:t>
      </w:r>
      <w:proofErr w:type="spellEnd"/>
      <w:r w:rsidR="001B1AF2" w:rsidRPr="00FF79DB">
        <w:t xml:space="preserve">, </w:t>
      </w:r>
      <w:r w:rsidR="00990BA7" w:rsidRPr="00FF79DB">
        <w:t xml:space="preserve">IXAMPLE2, KEYNOTE-775 and </w:t>
      </w:r>
      <w:proofErr w:type="spellStart"/>
      <w:r w:rsidR="00990BA7" w:rsidRPr="00FF79DB">
        <w:t>Scamb</w:t>
      </w:r>
      <w:r w:rsidR="00003B83" w:rsidRPr="00FF79DB">
        <w:t>i</w:t>
      </w:r>
      <w:r w:rsidR="00990BA7" w:rsidRPr="00FF79DB">
        <w:t>a</w:t>
      </w:r>
      <w:proofErr w:type="spellEnd"/>
      <w:r w:rsidR="00990BA7" w:rsidRPr="00FF79DB">
        <w:t xml:space="preserve"> 2020) </w:t>
      </w:r>
      <w:r w:rsidR="002462FB" w:rsidRPr="00FF79DB">
        <w:t>identified in the literature search</w:t>
      </w:r>
      <w:r w:rsidRPr="00FF79DB">
        <w:t>.</w:t>
      </w:r>
      <w:r w:rsidR="006A1490" w:rsidRPr="00FF79DB">
        <w:t xml:space="preserve"> </w:t>
      </w:r>
      <w:r w:rsidR="00440FD9" w:rsidRPr="00FF79DB">
        <w:t>In addition, a</w:t>
      </w:r>
      <w:r w:rsidR="0090222A">
        <w:t xml:space="preserve"> descriptive, non-</w:t>
      </w:r>
      <w:r w:rsidR="0090222A">
        <w:lastRenderedPageBreak/>
        <w:t>interventional</w:t>
      </w:r>
      <w:r w:rsidR="00440FD9" w:rsidRPr="00FF79DB">
        <w:t xml:space="preserve"> cohort study in the UK </w:t>
      </w:r>
      <w:r w:rsidR="00AE1172" w:rsidRPr="00FF79DB">
        <w:t>RWE</w:t>
      </w:r>
      <w:r w:rsidR="00440FD9" w:rsidRPr="00FF79DB">
        <w:t xml:space="preserve"> was identified via t</w:t>
      </w:r>
      <w:r w:rsidR="00AD5264" w:rsidRPr="00FF79DB">
        <w:t>he sponsor’s internal database</w:t>
      </w:r>
      <w:r w:rsidR="006B08B6" w:rsidRPr="00FF79DB">
        <w:t>, outside of the systematic literature search</w:t>
      </w:r>
      <w:r w:rsidR="00AD5264" w:rsidRPr="00FF79DB">
        <w:t>.</w:t>
      </w:r>
    </w:p>
    <w:p w14:paraId="26B20901" w14:textId="7058CA12" w:rsidR="00A30DD9" w:rsidRPr="00FF79DB" w:rsidRDefault="00D80F3F" w:rsidP="00E24AE9">
      <w:pPr>
        <w:pStyle w:val="ListParagraph"/>
        <w:widowControl/>
        <w:numPr>
          <w:ilvl w:val="1"/>
          <w:numId w:val="2"/>
        </w:numPr>
      </w:pPr>
      <w:r w:rsidRPr="00FF79DB">
        <w:t xml:space="preserve">A summary of the included trials and studies and the relevant arms used to inform the current submission is presented in </w:t>
      </w:r>
      <w:r w:rsidR="00C362CF" w:rsidRPr="00FF79DB">
        <w:fldChar w:fldCharType="begin"/>
      </w:r>
      <w:r w:rsidR="00C362CF" w:rsidRPr="00FF79DB">
        <w:instrText xml:space="preserve"> REF _Ref92225241 \h  \* MERGEFORMAT </w:instrText>
      </w:r>
      <w:r w:rsidR="00C362CF" w:rsidRPr="00FF79DB">
        <w:fldChar w:fldCharType="separate"/>
      </w:r>
      <w:r w:rsidR="004975AD" w:rsidRPr="004975AD">
        <w:t>Table 2</w:t>
      </w:r>
      <w:r w:rsidR="00C362CF" w:rsidRPr="00FF79DB">
        <w:fldChar w:fldCharType="end"/>
      </w:r>
      <w:r w:rsidR="00C362CF" w:rsidRPr="00FF79DB">
        <w:t xml:space="preserve"> </w:t>
      </w:r>
      <w:r w:rsidR="00440FD9" w:rsidRPr="00FF79DB">
        <w:t>below</w:t>
      </w:r>
      <w:r w:rsidR="00AD5264" w:rsidRPr="00FF79DB">
        <w:t>.</w:t>
      </w:r>
    </w:p>
    <w:p w14:paraId="117A2814" w14:textId="3534B385" w:rsidR="006A1490" w:rsidRPr="00FF79DB" w:rsidRDefault="006A1490" w:rsidP="006B08B6">
      <w:pPr>
        <w:keepNext/>
        <w:keepLines/>
        <w:rPr>
          <w:rStyle w:val="CommentReference"/>
        </w:rPr>
      </w:pPr>
      <w:bookmarkStart w:id="10" w:name="_Ref92225241"/>
      <w:r w:rsidRPr="00FF79DB">
        <w:rPr>
          <w:rStyle w:val="CommentReference"/>
        </w:rPr>
        <w:t xml:space="preserve">Table </w:t>
      </w:r>
      <w:r w:rsidR="00026B41" w:rsidRPr="00FF79DB">
        <w:rPr>
          <w:rStyle w:val="CommentReference"/>
        </w:rPr>
        <w:fldChar w:fldCharType="begin"/>
      </w:r>
      <w:r w:rsidR="00026B41" w:rsidRPr="00FF79DB">
        <w:rPr>
          <w:rStyle w:val="CommentReference"/>
        </w:rPr>
        <w:instrText xml:space="preserve"> SEQ Table \* ARABIC </w:instrText>
      </w:r>
      <w:r w:rsidR="00026B41" w:rsidRPr="00FF79DB">
        <w:rPr>
          <w:rStyle w:val="CommentReference"/>
        </w:rPr>
        <w:fldChar w:fldCharType="separate"/>
      </w:r>
      <w:r w:rsidR="004975AD">
        <w:rPr>
          <w:rStyle w:val="CommentReference"/>
          <w:noProof/>
        </w:rPr>
        <w:t>2</w:t>
      </w:r>
      <w:r w:rsidR="00026B41" w:rsidRPr="00FF79DB">
        <w:rPr>
          <w:rStyle w:val="CommentReference"/>
        </w:rPr>
        <w:fldChar w:fldCharType="end"/>
      </w:r>
      <w:bookmarkEnd w:id="10"/>
      <w:r w:rsidRPr="00FF79DB">
        <w:rPr>
          <w:rStyle w:val="CommentReference"/>
        </w:rPr>
        <w:t>: Summary of identified trials and studies</w:t>
      </w:r>
    </w:p>
    <w:tbl>
      <w:tblPr>
        <w:tblStyle w:val="TableGrid"/>
        <w:tblW w:w="0" w:type="auto"/>
        <w:tblLook w:val="04A0" w:firstRow="1" w:lastRow="0" w:firstColumn="1" w:lastColumn="0" w:noHBand="0" w:noVBand="1"/>
      </w:tblPr>
      <w:tblGrid>
        <w:gridCol w:w="1413"/>
        <w:gridCol w:w="3402"/>
        <w:gridCol w:w="4201"/>
      </w:tblGrid>
      <w:tr w:rsidR="006A1490" w:rsidRPr="00FF79DB" w14:paraId="69EC7897" w14:textId="77777777" w:rsidTr="0011004C">
        <w:tc>
          <w:tcPr>
            <w:tcW w:w="1413" w:type="dxa"/>
            <w:vAlign w:val="center"/>
          </w:tcPr>
          <w:p w14:paraId="1D6446A1" w14:textId="77777777" w:rsidR="006A1490" w:rsidRPr="00FF79DB" w:rsidRDefault="006A1490" w:rsidP="006B08B6">
            <w:pPr>
              <w:pStyle w:val="Tabletext"/>
              <w:keepNext/>
              <w:keepLines/>
              <w:rPr>
                <w:b/>
              </w:rPr>
            </w:pPr>
            <w:r w:rsidRPr="00FF79DB">
              <w:rPr>
                <w:b/>
              </w:rPr>
              <w:t>Study/trial</w:t>
            </w:r>
          </w:p>
        </w:tc>
        <w:tc>
          <w:tcPr>
            <w:tcW w:w="3402" w:type="dxa"/>
            <w:vAlign w:val="center"/>
          </w:tcPr>
          <w:p w14:paraId="2AF64BB5" w14:textId="77777777" w:rsidR="006A1490" w:rsidRPr="00FF79DB" w:rsidRDefault="006A1490" w:rsidP="006B08B6">
            <w:pPr>
              <w:keepNext/>
              <w:keepLines/>
              <w:jc w:val="center"/>
              <w:rPr>
                <w:rFonts w:ascii="Arial Narrow" w:hAnsi="Arial Narrow"/>
                <w:b/>
                <w:bCs/>
                <w:sz w:val="20"/>
                <w:szCs w:val="20"/>
              </w:rPr>
            </w:pPr>
            <w:r w:rsidRPr="00FF79DB">
              <w:rPr>
                <w:rFonts w:ascii="Arial Narrow" w:hAnsi="Arial Narrow"/>
                <w:b/>
                <w:bCs/>
                <w:sz w:val="20"/>
                <w:szCs w:val="20"/>
              </w:rPr>
              <w:t>Intervention (n)</w:t>
            </w:r>
          </w:p>
        </w:tc>
        <w:tc>
          <w:tcPr>
            <w:tcW w:w="4201" w:type="dxa"/>
            <w:vAlign w:val="center"/>
          </w:tcPr>
          <w:p w14:paraId="45C32197" w14:textId="77777777" w:rsidR="006A1490" w:rsidRPr="00FF79DB" w:rsidRDefault="006A1490" w:rsidP="006B08B6">
            <w:pPr>
              <w:keepNext/>
              <w:keepLines/>
              <w:jc w:val="center"/>
              <w:rPr>
                <w:rFonts w:ascii="Arial Narrow" w:hAnsi="Arial Narrow"/>
                <w:b/>
                <w:bCs/>
                <w:sz w:val="20"/>
                <w:szCs w:val="20"/>
              </w:rPr>
            </w:pPr>
            <w:r w:rsidRPr="00FF79DB">
              <w:rPr>
                <w:rFonts w:ascii="Arial Narrow" w:hAnsi="Arial Narrow"/>
                <w:b/>
                <w:bCs/>
                <w:sz w:val="20"/>
                <w:szCs w:val="20"/>
              </w:rPr>
              <w:t>Comparator (n)</w:t>
            </w:r>
          </w:p>
        </w:tc>
      </w:tr>
      <w:tr w:rsidR="006A1490" w:rsidRPr="00FF79DB" w14:paraId="0D54BD73" w14:textId="77777777" w:rsidTr="0011004C">
        <w:tc>
          <w:tcPr>
            <w:tcW w:w="1413" w:type="dxa"/>
            <w:vAlign w:val="center"/>
          </w:tcPr>
          <w:p w14:paraId="2FDB37C9" w14:textId="77777777" w:rsidR="006A1490" w:rsidRPr="00FF79DB" w:rsidRDefault="006A1490" w:rsidP="006B08B6">
            <w:pPr>
              <w:keepNext/>
              <w:keepLines/>
              <w:jc w:val="left"/>
              <w:rPr>
                <w:rFonts w:ascii="Arial Narrow" w:hAnsi="Arial Narrow"/>
                <w:sz w:val="20"/>
                <w:szCs w:val="20"/>
              </w:rPr>
            </w:pPr>
            <w:r w:rsidRPr="00FF79DB">
              <w:rPr>
                <w:rFonts w:ascii="Arial Narrow" w:hAnsi="Arial Narrow"/>
                <w:sz w:val="20"/>
                <w:szCs w:val="20"/>
              </w:rPr>
              <w:t>GARNET</w:t>
            </w:r>
          </w:p>
        </w:tc>
        <w:tc>
          <w:tcPr>
            <w:tcW w:w="3402" w:type="dxa"/>
            <w:shd w:val="clear" w:color="auto" w:fill="D9D9D9" w:themeFill="background1" w:themeFillShade="D9"/>
            <w:vAlign w:val="center"/>
          </w:tcPr>
          <w:p w14:paraId="07F7E853" w14:textId="77777777" w:rsidR="006A1490" w:rsidRPr="00FF79DB" w:rsidRDefault="006A1490" w:rsidP="006B08B6">
            <w:pPr>
              <w:keepNext/>
              <w:keepLines/>
              <w:jc w:val="center"/>
              <w:rPr>
                <w:rFonts w:ascii="Arial Narrow" w:hAnsi="Arial Narrow"/>
                <w:sz w:val="20"/>
                <w:szCs w:val="20"/>
              </w:rPr>
            </w:pPr>
            <w:proofErr w:type="spellStart"/>
            <w:r w:rsidRPr="00FF79DB">
              <w:rPr>
                <w:rFonts w:ascii="Arial Narrow" w:hAnsi="Arial Narrow"/>
                <w:sz w:val="20"/>
                <w:szCs w:val="20"/>
              </w:rPr>
              <w:t>Dostarlimab</w:t>
            </w:r>
            <w:proofErr w:type="spellEnd"/>
            <w:r w:rsidRPr="00FF79DB">
              <w:rPr>
                <w:rFonts w:ascii="Arial Narrow" w:hAnsi="Arial Narrow"/>
                <w:sz w:val="20"/>
                <w:szCs w:val="20"/>
              </w:rPr>
              <w:t xml:space="preserve"> (Cohort A1 n=129)</w:t>
            </w:r>
          </w:p>
        </w:tc>
        <w:tc>
          <w:tcPr>
            <w:tcW w:w="4201" w:type="dxa"/>
            <w:vAlign w:val="center"/>
          </w:tcPr>
          <w:p w14:paraId="4C986482" w14:textId="77777777" w:rsidR="006A1490" w:rsidRPr="00FF79DB" w:rsidRDefault="006A1490" w:rsidP="006B08B6">
            <w:pPr>
              <w:keepNext/>
              <w:keepLines/>
              <w:jc w:val="center"/>
              <w:rPr>
                <w:rFonts w:ascii="Arial Narrow" w:hAnsi="Arial Narrow"/>
                <w:sz w:val="20"/>
                <w:szCs w:val="20"/>
              </w:rPr>
            </w:pPr>
            <w:r w:rsidRPr="00FF79DB">
              <w:rPr>
                <w:rFonts w:ascii="Arial Narrow" w:hAnsi="Arial Narrow"/>
                <w:sz w:val="20"/>
                <w:szCs w:val="20"/>
              </w:rPr>
              <w:t>NA</w:t>
            </w:r>
          </w:p>
        </w:tc>
      </w:tr>
      <w:tr w:rsidR="006A1490" w:rsidRPr="00FF79DB" w14:paraId="5FFD00F1" w14:textId="77777777" w:rsidTr="0011004C">
        <w:tc>
          <w:tcPr>
            <w:tcW w:w="1413" w:type="dxa"/>
            <w:vAlign w:val="center"/>
          </w:tcPr>
          <w:p w14:paraId="06F49FAD" w14:textId="77777777" w:rsidR="006A1490" w:rsidRPr="00FF79DB" w:rsidRDefault="006A1490" w:rsidP="006B08B6">
            <w:pPr>
              <w:keepNext/>
              <w:keepLines/>
              <w:jc w:val="left"/>
              <w:rPr>
                <w:rFonts w:ascii="Arial Narrow" w:hAnsi="Arial Narrow"/>
                <w:sz w:val="20"/>
                <w:szCs w:val="20"/>
              </w:rPr>
            </w:pPr>
            <w:proofErr w:type="spellStart"/>
            <w:r w:rsidRPr="00FF79DB">
              <w:rPr>
                <w:rFonts w:ascii="Arial Narrow" w:hAnsi="Arial Narrow"/>
                <w:sz w:val="20"/>
                <w:szCs w:val="20"/>
              </w:rPr>
              <w:t>ZoptEC</w:t>
            </w:r>
            <w:proofErr w:type="spellEnd"/>
          </w:p>
        </w:tc>
        <w:tc>
          <w:tcPr>
            <w:tcW w:w="3402" w:type="dxa"/>
            <w:vAlign w:val="center"/>
          </w:tcPr>
          <w:p w14:paraId="719E5A7B" w14:textId="77777777" w:rsidR="006A1490" w:rsidRPr="00FF79DB" w:rsidRDefault="006A1490" w:rsidP="006B08B6">
            <w:pPr>
              <w:keepNext/>
              <w:keepLines/>
              <w:jc w:val="center"/>
              <w:rPr>
                <w:rFonts w:ascii="Arial Narrow" w:hAnsi="Arial Narrow"/>
                <w:sz w:val="20"/>
                <w:szCs w:val="20"/>
              </w:rPr>
            </w:pPr>
            <w:proofErr w:type="spellStart"/>
            <w:r w:rsidRPr="00FF79DB">
              <w:rPr>
                <w:rFonts w:ascii="Arial Narrow" w:hAnsi="Arial Narrow"/>
                <w:sz w:val="20"/>
                <w:szCs w:val="20"/>
              </w:rPr>
              <w:t>Zoptarelin</w:t>
            </w:r>
            <w:proofErr w:type="spellEnd"/>
            <w:r w:rsidRPr="00FF79DB">
              <w:rPr>
                <w:rFonts w:ascii="Arial Narrow" w:hAnsi="Arial Narrow"/>
                <w:sz w:val="20"/>
                <w:szCs w:val="20"/>
              </w:rPr>
              <w:t xml:space="preserve"> doxorubicin (n=256)</w:t>
            </w:r>
          </w:p>
        </w:tc>
        <w:tc>
          <w:tcPr>
            <w:tcW w:w="4201" w:type="dxa"/>
            <w:shd w:val="clear" w:color="auto" w:fill="D9D9D9" w:themeFill="background1" w:themeFillShade="D9"/>
            <w:vAlign w:val="center"/>
          </w:tcPr>
          <w:p w14:paraId="63020815" w14:textId="77777777" w:rsidR="006A1490" w:rsidRPr="00FF79DB" w:rsidRDefault="006A1490" w:rsidP="006B08B6">
            <w:pPr>
              <w:keepNext/>
              <w:keepLines/>
              <w:jc w:val="center"/>
              <w:rPr>
                <w:rFonts w:ascii="Arial Narrow" w:hAnsi="Arial Narrow"/>
                <w:sz w:val="20"/>
                <w:szCs w:val="20"/>
              </w:rPr>
            </w:pPr>
            <w:r w:rsidRPr="00FF79DB">
              <w:rPr>
                <w:rFonts w:ascii="Arial Narrow" w:hAnsi="Arial Narrow"/>
                <w:sz w:val="20"/>
                <w:szCs w:val="20"/>
              </w:rPr>
              <w:t xml:space="preserve">Doxorubicin (n=255) </w:t>
            </w:r>
          </w:p>
        </w:tc>
      </w:tr>
      <w:tr w:rsidR="006A1490" w:rsidRPr="00FF79DB" w14:paraId="778C991F" w14:textId="77777777" w:rsidTr="0011004C">
        <w:tc>
          <w:tcPr>
            <w:tcW w:w="1413" w:type="dxa"/>
            <w:vAlign w:val="center"/>
          </w:tcPr>
          <w:p w14:paraId="081A0C4C" w14:textId="77777777" w:rsidR="006A1490" w:rsidRPr="00FF79DB" w:rsidRDefault="006A1490" w:rsidP="006B08B6">
            <w:pPr>
              <w:keepNext/>
              <w:keepLines/>
              <w:jc w:val="left"/>
              <w:rPr>
                <w:rFonts w:ascii="Arial Narrow" w:hAnsi="Arial Narrow"/>
                <w:sz w:val="20"/>
                <w:szCs w:val="20"/>
              </w:rPr>
            </w:pPr>
            <w:r w:rsidRPr="00FF79DB">
              <w:rPr>
                <w:rFonts w:ascii="Arial Narrow" w:hAnsi="Arial Narrow"/>
                <w:sz w:val="20"/>
                <w:szCs w:val="20"/>
              </w:rPr>
              <w:t>IXAMPLE2</w:t>
            </w:r>
          </w:p>
        </w:tc>
        <w:tc>
          <w:tcPr>
            <w:tcW w:w="3402" w:type="dxa"/>
            <w:vAlign w:val="center"/>
          </w:tcPr>
          <w:p w14:paraId="6A5684EA" w14:textId="77777777" w:rsidR="006A1490" w:rsidRPr="00FF79DB" w:rsidRDefault="006A1490" w:rsidP="006B08B6">
            <w:pPr>
              <w:keepNext/>
              <w:keepLines/>
              <w:jc w:val="center"/>
              <w:rPr>
                <w:rFonts w:ascii="Arial Narrow" w:hAnsi="Arial Narrow"/>
                <w:sz w:val="20"/>
                <w:szCs w:val="20"/>
              </w:rPr>
            </w:pPr>
            <w:r w:rsidRPr="00FF79DB">
              <w:rPr>
                <w:rFonts w:ascii="Arial Narrow" w:hAnsi="Arial Narrow"/>
                <w:sz w:val="20"/>
                <w:szCs w:val="20"/>
              </w:rPr>
              <w:t>Ixabepilone (n=248)</w:t>
            </w:r>
          </w:p>
        </w:tc>
        <w:tc>
          <w:tcPr>
            <w:tcW w:w="4201" w:type="dxa"/>
            <w:shd w:val="clear" w:color="auto" w:fill="D9D9D9" w:themeFill="background1" w:themeFillShade="D9"/>
            <w:vAlign w:val="center"/>
          </w:tcPr>
          <w:p w14:paraId="143605E3" w14:textId="77777777" w:rsidR="006A1490" w:rsidRPr="00FF79DB" w:rsidRDefault="006A1490" w:rsidP="006B08B6">
            <w:pPr>
              <w:keepNext/>
              <w:keepLines/>
              <w:jc w:val="center"/>
              <w:rPr>
                <w:rFonts w:ascii="Arial Narrow" w:hAnsi="Arial Narrow"/>
                <w:sz w:val="20"/>
                <w:szCs w:val="20"/>
              </w:rPr>
            </w:pPr>
            <w:r w:rsidRPr="00FF79DB">
              <w:rPr>
                <w:rFonts w:ascii="Arial Narrow" w:hAnsi="Arial Narrow"/>
                <w:sz w:val="20"/>
                <w:szCs w:val="20"/>
              </w:rPr>
              <w:t>Paclitaxel or doxorubicin (n=248)</w:t>
            </w:r>
          </w:p>
        </w:tc>
      </w:tr>
      <w:tr w:rsidR="006A1490" w:rsidRPr="00FF79DB" w14:paraId="680B9DEF" w14:textId="77777777" w:rsidTr="0011004C">
        <w:tc>
          <w:tcPr>
            <w:tcW w:w="1413" w:type="dxa"/>
            <w:vAlign w:val="center"/>
          </w:tcPr>
          <w:p w14:paraId="67DB3B49" w14:textId="52B0A1E3" w:rsidR="006A1490" w:rsidRPr="00FF79DB" w:rsidRDefault="006A1490" w:rsidP="006B08B6">
            <w:pPr>
              <w:keepNext/>
              <w:keepLines/>
              <w:jc w:val="left"/>
              <w:rPr>
                <w:rFonts w:ascii="Arial Narrow" w:hAnsi="Arial Narrow"/>
                <w:sz w:val="20"/>
                <w:szCs w:val="20"/>
              </w:rPr>
            </w:pPr>
            <w:r w:rsidRPr="00FF79DB">
              <w:rPr>
                <w:rFonts w:ascii="Arial Narrow" w:hAnsi="Arial Narrow"/>
                <w:sz w:val="20"/>
                <w:szCs w:val="20"/>
              </w:rPr>
              <w:t>K</w:t>
            </w:r>
            <w:r w:rsidR="00661CFF" w:rsidRPr="00FF79DB">
              <w:rPr>
                <w:rFonts w:ascii="Arial Narrow" w:hAnsi="Arial Narrow"/>
                <w:sz w:val="20"/>
                <w:szCs w:val="20"/>
              </w:rPr>
              <w:t>EYNOTE</w:t>
            </w:r>
            <w:r w:rsidRPr="00FF79DB">
              <w:rPr>
                <w:rFonts w:ascii="Arial Narrow" w:hAnsi="Arial Narrow"/>
                <w:sz w:val="20"/>
                <w:szCs w:val="20"/>
              </w:rPr>
              <w:t>-775</w:t>
            </w:r>
          </w:p>
        </w:tc>
        <w:tc>
          <w:tcPr>
            <w:tcW w:w="3402" w:type="dxa"/>
            <w:vAlign w:val="center"/>
          </w:tcPr>
          <w:p w14:paraId="607E57A1" w14:textId="1588EE65" w:rsidR="006A1490" w:rsidRPr="00FF79DB" w:rsidRDefault="006A1490" w:rsidP="006B08B6">
            <w:pPr>
              <w:keepNext/>
              <w:keepLines/>
              <w:jc w:val="center"/>
              <w:rPr>
                <w:rFonts w:ascii="Arial Narrow" w:hAnsi="Arial Narrow"/>
                <w:sz w:val="20"/>
                <w:szCs w:val="20"/>
              </w:rPr>
            </w:pPr>
            <w:r w:rsidRPr="00FF79DB">
              <w:rPr>
                <w:rFonts w:ascii="Arial Narrow" w:hAnsi="Arial Narrow"/>
                <w:sz w:val="20"/>
                <w:szCs w:val="20"/>
              </w:rPr>
              <w:t>P</w:t>
            </w:r>
            <w:r w:rsidR="002D164B" w:rsidRPr="00FF79DB">
              <w:rPr>
                <w:rFonts w:ascii="Arial Narrow" w:hAnsi="Arial Narrow"/>
                <w:sz w:val="20"/>
                <w:szCs w:val="20"/>
              </w:rPr>
              <w:t xml:space="preserve">embrolizumab + </w:t>
            </w:r>
            <w:proofErr w:type="spellStart"/>
            <w:r w:rsidR="002D164B" w:rsidRPr="00FF79DB">
              <w:rPr>
                <w:rFonts w:ascii="Arial Narrow" w:hAnsi="Arial Narrow"/>
                <w:sz w:val="20"/>
                <w:szCs w:val="20"/>
              </w:rPr>
              <w:t>l</w:t>
            </w:r>
            <w:r w:rsidRPr="00FF79DB">
              <w:rPr>
                <w:rFonts w:ascii="Arial Narrow" w:hAnsi="Arial Narrow"/>
                <w:sz w:val="20"/>
                <w:szCs w:val="20"/>
              </w:rPr>
              <w:t>envatinib</w:t>
            </w:r>
            <w:proofErr w:type="spellEnd"/>
            <w:r w:rsidRPr="00FF79DB">
              <w:rPr>
                <w:rFonts w:ascii="Arial Narrow" w:hAnsi="Arial Narrow"/>
                <w:sz w:val="20"/>
                <w:szCs w:val="20"/>
              </w:rPr>
              <w:t xml:space="preserve"> (n=411)</w:t>
            </w:r>
          </w:p>
        </w:tc>
        <w:tc>
          <w:tcPr>
            <w:tcW w:w="4201" w:type="dxa"/>
            <w:shd w:val="clear" w:color="auto" w:fill="D9D9D9" w:themeFill="background1" w:themeFillShade="D9"/>
            <w:vAlign w:val="center"/>
          </w:tcPr>
          <w:p w14:paraId="69F49BD8" w14:textId="77777777" w:rsidR="006A1490" w:rsidRPr="00FF79DB" w:rsidRDefault="006A1490" w:rsidP="006B08B6">
            <w:pPr>
              <w:keepNext/>
              <w:keepLines/>
              <w:jc w:val="center"/>
              <w:rPr>
                <w:rFonts w:ascii="Arial Narrow" w:hAnsi="Arial Narrow"/>
                <w:sz w:val="20"/>
                <w:szCs w:val="20"/>
              </w:rPr>
            </w:pPr>
            <w:r w:rsidRPr="00FF79DB">
              <w:rPr>
                <w:rFonts w:ascii="Arial Narrow" w:hAnsi="Arial Narrow"/>
                <w:sz w:val="20"/>
                <w:szCs w:val="20"/>
              </w:rPr>
              <w:t>Paclitaxel or doxorubicin (n=416)</w:t>
            </w:r>
          </w:p>
        </w:tc>
      </w:tr>
      <w:tr w:rsidR="006A1490" w:rsidRPr="00FF79DB" w14:paraId="256BFD7B" w14:textId="77777777" w:rsidTr="0011004C">
        <w:tc>
          <w:tcPr>
            <w:tcW w:w="1413" w:type="dxa"/>
            <w:vAlign w:val="center"/>
          </w:tcPr>
          <w:p w14:paraId="20B6CC51" w14:textId="77777777" w:rsidR="006A1490" w:rsidRPr="00FF79DB" w:rsidRDefault="006A1490" w:rsidP="006B08B6">
            <w:pPr>
              <w:keepNext/>
              <w:keepLines/>
              <w:jc w:val="left"/>
              <w:rPr>
                <w:rFonts w:ascii="Arial Narrow" w:hAnsi="Arial Narrow"/>
                <w:sz w:val="20"/>
                <w:szCs w:val="20"/>
              </w:rPr>
            </w:pPr>
            <w:proofErr w:type="spellStart"/>
            <w:r w:rsidRPr="00FF79DB">
              <w:rPr>
                <w:rFonts w:ascii="Arial Narrow" w:hAnsi="Arial Narrow"/>
                <w:sz w:val="20"/>
                <w:szCs w:val="20"/>
              </w:rPr>
              <w:t>Scambia</w:t>
            </w:r>
            <w:proofErr w:type="spellEnd"/>
            <w:r w:rsidRPr="00FF79DB">
              <w:rPr>
                <w:rFonts w:ascii="Arial Narrow" w:hAnsi="Arial Narrow"/>
                <w:sz w:val="20"/>
                <w:szCs w:val="20"/>
              </w:rPr>
              <w:t xml:space="preserve"> 2020</w:t>
            </w:r>
          </w:p>
        </w:tc>
        <w:tc>
          <w:tcPr>
            <w:tcW w:w="3402" w:type="dxa"/>
            <w:vAlign w:val="center"/>
          </w:tcPr>
          <w:p w14:paraId="1FC907E2" w14:textId="77777777" w:rsidR="006A1490" w:rsidRPr="00FF79DB" w:rsidRDefault="006A1490" w:rsidP="006B08B6">
            <w:pPr>
              <w:keepNext/>
              <w:keepLines/>
              <w:jc w:val="center"/>
              <w:rPr>
                <w:rFonts w:ascii="Arial Narrow" w:hAnsi="Arial Narrow"/>
                <w:sz w:val="20"/>
                <w:szCs w:val="20"/>
              </w:rPr>
            </w:pPr>
            <w:proofErr w:type="spellStart"/>
            <w:r w:rsidRPr="00FF79DB">
              <w:rPr>
                <w:rFonts w:ascii="Arial Narrow" w:hAnsi="Arial Narrow"/>
                <w:sz w:val="20"/>
                <w:szCs w:val="20"/>
              </w:rPr>
              <w:t>Sapanisertib</w:t>
            </w:r>
            <w:proofErr w:type="spellEnd"/>
            <w:r w:rsidRPr="00FF79DB">
              <w:rPr>
                <w:rFonts w:ascii="Arial Narrow" w:hAnsi="Arial Narrow"/>
                <w:sz w:val="20"/>
                <w:szCs w:val="20"/>
              </w:rPr>
              <w:t xml:space="preserve"> + paclitaxel (n=90)</w:t>
            </w:r>
          </w:p>
          <w:p w14:paraId="7E403560" w14:textId="77777777" w:rsidR="006A1490" w:rsidRPr="00FF79DB" w:rsidRDefault="006A1490" w:rsidP="006B08B6">
            <w:pPr>
              <w:keepNext/>
              <w:keepLines/>
              <w:jc w:val="center"/>
              <w:rPr>
                <w:rFonts w:ascii="Arial Narrow" w:hAnsi="Arial Narrow"/>
                <w:sz w:val="20"/>
                <w:szCs w:val="20"/>
              </w:rPr>
            </w:pPr>
            <w:proofErr w:type="spellStart"/>
            <w:r w:rsidRPr="00FF79DB">
              <w:rPr>
                <w:rFonts w:ascii="Arial Narrow" w:hAnsi="Arial Narrow"/>
                <w:sz w:val="20"/>
                <w:szCs w:val="20"/>
              </w:rPr>
              <w:t>Sapanisertib</w:t>
            </w:r>
            <w:proofErr w:type="spellEnd"/>
            <w:r w:rsidRPr="00FF79DB">
              <w:rPr>
                <w:rFonts w:ascii="Arial Narrow" w:hAnsi="Arial Narrow"/>
                <w:sz w:val="20"/>
                <w:szCs w:val="20"/>
              </w:rPr>
              <w:t xml:space="preserve"> (n=41)</w:t>
            </w:r>
          </w:p>
          <w:p w14:paraId="004CA0A3" w14:textId="77777777" w:rsidR="006A1490" w:rsidRPr="00FF79DB" w:rsidRDefault="006A1490" w:rsidP="006B08B6">
            <w:pPr>
              <w:keepNext/>
              <w:keepLines/>
              <w:jc w:val="center"/>
              <w:rPr>
                <w:rFonts w:ascii="Arial Narrow" w:hAnsi="Arial Narrow"/>
                <w:sz w:val="20"/>
                <w:szCs w:val="20"/>
              </w:rPr>
            </w:pPr>
            <w:proofErr w:type="spellStart"/>
            <w:r w:rsidRPr="00FF79DB">
              <w:rPr>
                <w:rFonts w:ascii="Arial Narrow" w:hAnsi="Arial Narrow"/>
                <w:sz w:val="20"/>
                <w:szCs w:val="20"/>
              </w:rPr>
              <w:t>Sapanisertib</w:t>
            </w:r>
            <w:proofErr w:type="spellEnd"/>
            <w:r w:rsidRPr="00FF79DB">
              <w:rPr>
                <w:rFonts w:ascii="Arial Narrow" w:hAnsi="Arial Narrow"/>
                <w:sz w:val="20"/>
                <w:szCs w:val="20"/>
              </w:rPr>
              <w:t xml:space="preserve"> + </w:t>
            </w:r>
            <w:proofErr w:type="spellStart"/>
            <w:r w:rsidRPr="00FF79DB">
              <w:rPr>
                <w:rFonts w:ascii="Arial Narrow" w:hAnsi="Arial Narrow"/>
                <w:sz w:val="20"/>
                <w:szCs w:val="20"/>
              </w:rPr>
              <w:t>serabelisib</w:t>
            </w:r>
            <w:proofErr w:type="spellEnd"/>
            <w:r w:rsidRPr="00FF79DB">
              <w:rPr>
                <w:rFonts w:ascii="Arial Narrow" w:hAnsi="Arial Narrow"/>
                <w:sz w:val="20"/>
                <w:szCs w:val="20"/>
              </w:rPr>
              <w:t xml:space="preserve"> (n=20)</w:t>
            </w:r>
          </w:p>
        </w:tc>
        <w:tc>
          <w:tcPr>
            <w:tcW w:w="4201" w:type="dxa"/>
            <w:shd w:val="clear" w:color="auto" w:fill="D9D9D9" w:themeFill="background1" w:themeFillShade="D9"/>
            <w:vAlign w:val="center"/>
          </w:tcPr>
          <w:p w14:paraId="16BB2AF7" w14:textId="77777777" w:rsidR="006A1490" w:rsidRPr="00FF79DB" w:rsidRDefault="006A1490" w:rsidP="006B08B6">
            <w:pPr>
              <w:keepNext/>
              <w:keepLines/>
              <w:jc w:val="center"/>
              <w:rPr>
                <w:rFonts w:ascii="Arial Narrow" w:hAnsi="Arial Narrow"/>
                <w:sz w:val="20"/>
                <w:szCs w:val="20"/>
              </w:rPr>
            </w:pPr>
            <w:r w:rsidRPr="00FF79DB">
              <w:rPr>
                <w:rFonts w:ascii="Arial Narrow" w:hAnsi="Arial Narrow"/>
                <w:sz w:val="20"/>
                <w:szCs w:val="20"/>
              </w:rPr>
              <w:t>Paclitaxel (n=90)</w:t>
            </w:r>
          </w:p>
        </w:tc>
      </w:tr>
      <w:tr w:rsidR="006A1490" w:rsidRPr="00FF79DB" w14:paraId="45A9B781" w14:textId="77777777" w:rsidTr="0011004C">
        <w:tc>
          <w:tcPr>
            <w:tcW w:w="1413" w:type="dxa"/>
            <w:vAlign w:val="center"/>
          </w:tcPr>
          <w:p w14:paraId="3AE81EEC" w14:textId="77777777" w:rsidR="006A1490" w:rsidRPr="00FF79DB" w:rsidRDefault="006A1490" w:rsidP="006B08B6">
            <w:pPr>
              <w:keepNext/>
              <w:keepLines/>
              <w:jc w:val="left"/>
              <w:rPr>
                <w:rFonts w:ascii="Arial Narrow" w:hAnsi="Arial Narrow"/>
                <w:sz w:val="20"/>
                <w:szCs w:val="20"/>
              </w:rPr>
            </w:pPr>
            <w:r w:rsidRPr="00FF79DB">
              <w:rPr>
                <w:rFonts w:ascii="Arial Narrow" w:hAnsi="Arial Narrow"/>
                <w:sz w:val="20"/>
                <w:szCs w:val="20"/>
              </w:rPr>
              <w:t>UK RWE</w:t>
            </w:r>
          </w:p>
        </w:tc>
        <w:tc>
          <w:tcPr>
            <w:tcW w:w="3402" w:type="dxa"/>
            <w:vAlign w:val="center"/>
          </w:tcPr>
          <w:p w14:paraId="75F71B79" w14:textId="77777777" w:rsidR="006A1490" w:rsidRPr="00FF79DB" w:rsidRDefault="006A1490" w:rsidP="006B08B6">
            <w:pPr>
              <w:keepNext/>
              <w:keepLines/>
              <w:jc w:val="center"/>
              <w:rPr>
                <w:rFonts w:ascii="Arial Narrow" w:hAnsi="Arial Narrow"/>
                <w:sz w:val="20"/>
                <w:szCs w:val="20"/>
              </w:rPr>
            </w:pPr>
            <w:r w:rsidRPr="00FF79DB">
              <w:rPr>
                <w:rFonts w:ascii="Arial Narrow" w:hAnsi="Arial Narrow"/>
                <w:sz w:val="20"/>
                <w:szCs w:val="20"/>
              </w:rPr>
              <w:t>NA</w:t>
            </w:r>
          </w:p>
        </w:tc>
        <w:tc>
          <w:tcPr>
            <w:tcW w:w="4201" w:type="dxa"/>
            <w:shd w:val="clear" w:color="auto" w:fill="D9D9D9" w:themeFill="background1" w:themeFillShade="D9"/>
            <w:vAlign w:val="center"/>
          </w:tcPr>
          <w:p w14:paraId="23E5E5B3" w14:textId="5C8F2CF0" w:rsidR="006A1490" w:rsidRPr="00FF79DB" w:rsidRDefault="006A1490" w:rsidP="00972F0F">
            <w:pPr>
              <w:keepNext/>
              <w:keepLines/>
              <w:jc w:val="center"/>
              <w:rPr>
                <w:rFonts w:ascii="Arial Narrow" w:hAnsi="Arial Narrow"/>
                <w:sz w:val="20"/>
                <w:szCs w:val="20"/>
              </w:rPr>
            </w:pPr>
            <w:r w:rsidRPr="00FF79DB">
              <w:rPr>
                <w:rFonts w:ascii="Arial Narrow" w:hAnsi="Arial Narrow"/>
                <w:sz w:val="20"/>
                <w:szCs w:val="20"/>
              </w:rPr>
              <w:t>Single agent and combination platinum and non</w:t>
            </w:r>
            <w:r w:rsidR="00972F0F">
              <w:rPr>
                <w:rFonts w:ascii="Arial Narrow" w:hAnsi="Arial Narrow"/>
                <w:sz w:val="20"/>
                <w:szCs w:val="20"/>
              </w:rPr>
              <w:noBreakHyphen/>
            </w:r>
            <w:r w:rsidRPr="00FF79DB">
              <w:rPr>
                <w:rFonts w:ascii="Arial Narrow" w:hAnsi="Arial Narrow"/>
                <w:sz w:val="20"/>
                <w:szCs w:val="20"/>
              </w:rPr>
              <w:t>platinum chemotherapy</w:t>
            </w:r>
            <w:r w:rsidR="002D164B" w:rsidRPr="00FF79DB">
              <w:rPr>
                <w:rFonts w:ascii="Arial Narrow" w:hAnsi="Arial Narrow"/>
                <w:sz w:val="20"/>
                <w:szCs w:val="20"/>
              </w:rPr>
              <w:t>.</w:t>
            </w:r>
            <w:r w:rsidRPr="00FF79DB">
              <w:rPr>
                <w:rFonts w:ascii="Arial Narrow" w:hAnsi="Arial Narrow"/>
                <w:sz w:val="20"/>
                <w:szCs w:val="20"/>
              </w:rPr>
              <w:t xml:space="preserve"> </w:t>
            </w:r>
            <w:r w:rsidR="00F14AEE" w:rsidRPr="00FF79DB">
              <w:rPr>
                <w:rFonts w:ascii="Arial Narrow" w:hAnsi="Arial Narrow"/>
                <w:sz w:val="20"/>
                <w:szCs w:val="20"/>
              </w:rPr>
              <w:t xml:space="preserve">(n=999) </w:t>
            </w:r>
          </w:p>
        </w:tc>
      </w:tr>
    </w:tbl>
    <w:p w14:paraId="1AF1A18A" w14:textId="391BF39C" w:rsidR="006A1490" w:rsidRPr="00FF79DB" w:rsidRDefault="006A1490" w:rsidP="006B08B6">
      <w:pPr>
        <w:pStyle w:val="TableFooter"/>
        <w:keepNext/>
        <w:keepLines/>
      </w:pPr>
      <w:r w:rsidRPr="00FF79DB">
        <w:t>Source: constructed during evaluation.</w:t>
      </w:r>
    </w:p>
    <w:p w14:paraId="005D7680" w14:textId="0534CB16" w:rsidR="00661CFF" w:rsidRPr="00FF79DB" w:rsidRDefault="00091B11" w:rsidP="006B08B6">
      <w:pPr>
        <w:pStyle w:val="TableFooter"/>
        <w:keepNext/>
        <w:keepLines/>
      </w:pPr>
      <w:r w:rsidRPr="00FF79DB">
        <w:t>N</w:t>
      </w:r>
      <w:r w:rsidR="00661CFF" w:rsidRPr="00FF79DB">
        <w:t xml:space="preserve"> = number of participants; NA = not applicable. </w:t>
      </w:r>
    </w:p>
    <w:p w14:paraId="42CEDE29" w14:textId="77777777" w:rsidR="006A1490" w:rsidRPr="00FF79DB" w:rsidRDefault="006A1490" w:rsidP="006B08B6">
      <w:pPr>
        <w:pStyle w:val="TableFooter"/>
        <w:keepNext/>
        <w:keepLines/>
      </w:pPr>
      <w:r w:rsidRPr="00FF79DB">
        <w:t xml:space="preserve">Shaded cells indicate evidence used to support submission. </w:t>
      </w:r>
    </w:p>
    <w:p w14:paraId="2B54BAAD" w14:textId="1AFA4A0D" w:rsidR="004427A7" w:rsidRPr="00FF79DB" w:rsidRDefault="004427A7" w:rsidP="004427A7">
      <w:pPr>
        <w:widowControl/>
      </w:pPr>
    </w:p>
    <w:p w14:paraId="77EC820A" w14:textId="3855A919" w:rsidR="00D80F3F" w:rsidRPr="00FF79DB" w:rsidRDefault="00D80F3F" w:rsidP="00E24AE9">
      <w:pPr>
        <w:pStyle w:val="ListParagraph"/>
        <w:widowControl/>
        <w:numPr>
          <w:ilvl w:val="1"/>
          <w:numId w:val="2"/>
        </w:numPr>
      </w:pPr>
      <w:r w:rsidRPr="00FF79DB">
        <w:t xml:space="preserve">The submission presented the following </w:t>
      </w:r>
      <w:r w:rsidR="00091B11" w:rsidRPr="00FF79DB">
        <w:t xml:space="preserve">indirect </w:t>
      </w:r>
      <w:r w:rsidRPr="00FF79DB">
        <w:t xml:space="preserve">comparisons: </w:t>
      </w:r>
    </w:p>
    <w:p w14:paraId="4745AEE5" w14:textId="7BBBDC75" w:rsidR="00D80F3F" w:rsidRPr="00FF79DB" w:rsidRDefault="00D80F3F" w:rsidP="00E24AE9">
      <w:pPr>
        <w:pStyle w:val="ListParagraph"/>
        <w:widowControl/>
        <w:numPr>
          <w:ilvl w:val="0"/>
          <w:numId w:val="7"/>
        </w:numPr>
        <w:spacing w:after="0"/>
        <w:ind w:left="993" w:hanging="284"/>
      </w:pPr>
      <w:r w:rsidRPr="00FF79DB">
        <w:t xml:space="preserve">A naïve indirect comparison </w:t>
      </w:r>
      <w:r w:rsidR="00255486">
        <w:t>of</w:t>
      </w:r>
      <w:r w:rsidR="00255486" w:rsidRPr="00FF79DB">
        <w:t xml:space="preserve"> </w:t>
      </w:r>
      <w:r w:rsidRPr="00FF79DB">
        <w:t xml:space="preserve">the </w:t>
      </w:r>
      <w:proofErr w:type="spellStart"/>
      <w:r w:rsidRPr="00FF79DB">
        <w:t>dostarlimab</w:t>
      </w:r>
      <w:proofErr w:type="spellEnd"/>
      <w:r w:rsidRPr="00FF79DB">
        <w:t xml:space="preserve"> arm of the GARNET (Cohort A1) study with the SoC arms of four randomised trials: </w:t>
      </w:r>
      <w:proofErr w:type="spellStart"/>
      <w:r w:rsidRPr="00FF79DB">
        <w:t>ZoptEC</w:t>
      </w:r>
      <w:proofErr w:type="spellEnd"/>
      <w:r w:rsidRPr="00FF79DB">
        <w:t xml:space="preserve">, IXAMPLE2, KEYNOTE-775, and </w:t>
      </w:r>
      <w:proofErr w:type="spellStart"/>
      <w:r w:rsidRPr="00FF79DB">
        <w:t>Scambia</w:t>
      </w:r>
      <w:proofErr w:type="spellEnd"/>
      <w:r w:rsidRPr="00FF79DB">
        <w:t xml:space="preserve"> </w:t>
      </w:r>
      <w:proofErr w:type="gramStart"/>
      <w:r w:rsidRPr="00FF79DB">
        <w:t>2020;</w:t>
      </w:r>
      <w:proofErr w:type="gramEnd"/>
    </w:p>
    <w:p w14:paraId="57536B5F" w14:textId="107069A5" w:rsidR="00D80F3F" w:rsidRPr="00FF79DB" w:rsidRDefault="00D80F3F" w:rsidP="00E24AE9">
      <w:pPr>
        <w:pStyle w:val="ListParagraph"/>
        <w:widowControl/>
        <w:numPr>
          <w:ilvl w:val="0"/>
          <w:numId w:val="7"/>
        </w:numPr>
        <w:spacing w:after="0"/>
        <w:ind w:left="993" w:hanging="284"/>
      </w:pPr>
      <w:r w:rsidRPr="00FF79DB">
        <w:t xml:space="preserve">A naïve indirect comparison </w:t>
      </w:r>
      <w:r w:rsidR="00255486">
        <w:t>of</w:t>
      </w:r>
      <w:r w:rsidR="00255486" w:rsidRPr="00FF79DB">
        <w:t xml:space="preserve"> </w:t>
      </w:r>
      <w:r w:rsidRPr="00FF79DB">
        <w:t xml:space="preserve">the </w:t>
      </w:r>
      <w:proofErr w:type="spellStart"/>
      <w:r w:rsidRPr="00FF79DB">
        <w:t>dostarlimab</w:t>
      </w:r>
      <w:proofErr w:type="spellEnd"/>
      <w:r w:rsidR="00AD5264" w:rsidRPr="00FF79DB">
        <w:t xml:space="preserve"> arm of GARNET (Cohort A1) with</w:t>
      </w:r>
      <w:r w:rsidRPr="00FF79DB">
        <w:t xml:space="preserve"> the UK RWE study</w:t>
      </w:r>
      <w:r w:rsidR="00074C8D">
        <w:rPr>
          <w:rStyle w:val="FootnoteReference"/>
        </w:rPr>
        <w:footnoteReference w:id="3"/>
      </w:r>
      <w:r w:rsidRPr="00FF79DB">
        <w:t xml:space="preserve">; and </w:t>
      </w:r>
    </w:p>
    <w:p w14:paraId="364AEFBB" w14:textId="55EB0E4D" w:rsidR="00D80F3F" w:rsidRPr="006710E4" w:rsidRDefault="00D80F3F" w:rsidP="00E24AE9">
      <w:pPr>
        <w:pStyle w:val="ListParagraph"/>
        <w:widowControl/>
        <w:numPr>
          <w:ilvl w:val="0"/>
          <w:numId w:val="7"/>
        </w:numPr>
        <w:ind w:left="993" w:hanging="284"/>
      </w:pPr>
      <w:r w:rsidRPr="00FF79DB">
        <w:t xml:space="preserve">An inverse probability of treatment weighting (IPTW) analysis using available individual patient data (IPD) comparing </w:t>
      </w:r>
      <w:proofErr w:type="spellStart"/>
      <w:r w:rsidRPr="00FF79DB">
        <w:t>dostarlimab</w:t>
      </w:r>
      <w:proofErr w:type="spellEnd"/>
      <w:r w:rsidRPr="00FF79DB">
        <w:t xml:space="preserve"> (informed by the GARNET study (Cohort A1) study, which included only patients with </w:t>
      </w:r>
      <w:proofErr w:type="spellStart"/>
      <w:r w:rsidRPr="00FF79DB">
        <w:t>dMMR</w:t>
      </w:r>
      <w:proofErr w:type="spellEnd"/>
      <w:r w:rsidRPr="00FF79DB">
        <w:t xml:space="preserve"> status) to </w:t>
      </w:r>
      <w:r w:rsidRPr="006710E4">
        <w:t xml:space="preserve">doxorubicin (informed by the SoC arm of the </w:t>
      </w:r>
      <w:proofErr w:type="spellStart"/>
      <w:r w:rsidRPr="006710E4">
        <w:t>ZoptEC</w:t>
      </w:r>
      <w:proofErr w:type="spellEnd"/>
      <w:r w:rsidRPr="006710E4">
        <w:t xml:space="preserve"> trial)</w:t>
      </w:r>
      <w:r w:rsidR="0092600D">
        <w:rPr>
          <w:rStyle w:val="FootnoteReference"/>
        </w:rPr>
        <w:footnoteReference w:id="4"/>
      </w:r>
      <w:r w:rsidRPr="006710E4">
        <w:t xml:space="preserve">. </w:t>
      </w:r>
    </w:p>
    <w:p w14:paraId="2B59ABAC" w14:textId="2D8B1FE3" w:rsidR="00862502" w:rsidRPr="00FF79DB" w:rsidRDefault="00A73134" w:rsidP="00E24AE9">
      <w:pPr>
        <w:pStyle w:val="ListParagraph"/>
        <w:widowControl/>
        <w:numPr>
          <w:ilvl w:val="1"/>
          <w:numId w:val="2"/>
        </w:numPr>
      </w:pPr>
      <w:r w:rsidRPr="00FF79DB">
        <w:rPr>
          <w:rFonts w:cs="Calibri"/>
          <w:snapToGrid/>
          <w:szCs w:val="24"/>
          <w:lang w:eastAsia="en-AU"/>
        </w:rPr>
        <w:t xml:space="preserve">Details of the trials </w:t>
      </w:r>
      <w:r w:rsidR="00A22B7C" w:rsidRPr="00FF79DB">
        <w:rPr>
          <w:rFonts w:cs="Calibri"/>
          <w:snapToGrid/>
          <w:szCs w:val="24"/>
          <w:lang w:eastAsia="en-AU"/>
        </w:rPr>
        <w:t xml:space="preserve">and study identified by the submission’s literature search and </w:t>
      </w:r>
      <w:r w:rsidRPr="00FF79DB">
        <w:rPr>
          <w:rFonts w:cs="Calibri"/>
          <w:snapToGrid/>
          <w:szCs w:val="24"/>
          <w:lang w:eastAsia="en-AU"/>
        </w:rPr>
        <w:t>presented in the submission ar</w:t>
      </w:r>
      <w:r w:rsidR="00676680" w:rsidRPr="00FF79DB">
        <w:rPr>
          <w:rFonts w:cs="Calibri"/>
          <w:snapToGrid/>
          <w:szCs w:val="24"/>
          <w:lang w:eastAsia="en-AU"/>
        </w:rPr>
        <w:t>e provided in the table below.</w:t>
      </w:r>
    </w:p>
    <w:p w14:paraId="7DE3A286" w14:textId="03ECFAF5" w:rsidR="008E0D3C" w:rsidRPr="00FF79DB" w:rsidRDefault="008E0D3C" w:rsidP="00240908">
      <w:pPr>
        <w:keepNext/>
        <w:keepLines/>
        <w:rPr>
          <w:rStyle w:val="CommentReference"/>
        </w:rPr>
      </w:pPr>
      <w:r w:rsidRPr="00FF79DB">
        <w:rPr>
          <w:rStyle w:val="CommentReference"/>
        </w:rPr>
        <w:lastRenderedPageBreak/>
        <w:t xml:space="preserve">Table </w:t>
      </w:r>
      <w:r w:rsidR="00026B41" w:rsidRPr="00FF79DB">
        <w:rPr>
          <w:rStyle w:val="CommentReference"/>
        </w:rPr>
        <w:fldChar w:fldCharType="begin"/>
      </w:r>
      <w:r w:rsidR="00026B41" w:rsidRPr="00FF79DB">
        <w:rPr>
          <w:rStyle w:val="CommentReference"/>
        </w:rPr>
        <w:instrText xml:space="preserve"> SEQ Table \* ARABIC </w:instrText>
      </w:r>
      <w:r w:rsidR="00026B41" w:rsidRPr="00FF79DB">
        <w:rPr>
          <w:rStyle w:val="CommentReference"/>
        </w:rPr>
        <w:fldChar w:fldCharType="separate"/>
      </w:r>
      <w:r w:rsidR="004975AD">
        <w:rPr>
          <w:rStyle w:val="CommentReference"/>
          <w:noProof/>
        </w:rPr>
        <w:t>3</w:t>
      </w:r>
      <w:r w:rsidR="00026B41" w:rsidRPr="00FF79DB">
        <w:rPr>
          <w:rStyle w:val="CommentReference"/>
        </w:rPr>
        <w:fldChar w:fldCharType="end"/>
      </w:r>
      <w:r w:rsidR="00026B41" w:rsidRPr="00FF79DB">
        <w:rPr>
          <w:rStyle w:val="CommentReference"/>
        </w:rPr>
        <w:t xml:space="preserve">: </w:t>
      </w:r>
      <w:r w:rsidRPr="00FF79DB">
        <w:rPr>
          <w:rStyle w:val="CommentReference"/>
        </w:rPr>
        <w:t>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5"/>
        <w:gridCol w:w="5459"/>
        <w:gridCol w:w="2123"/>
      </w:tblGrid>
      <w:tr w:rsidR="00365F42" w:rsidRPr="00FF79DB" w14:paraId="788E2B06" w14:textId="77777777" w:rsidTr="002D5868">
        <w:trPr>
          <w:cantSplit/>
          <w:tblHeader/>
        </w:trPr>
        <w:tc>
          <w:tcPr>
            <w:tcW w:w="796" w:type="pct"/>
            <w:vAlign w:val="center"/>
          </w:tcPr>
          <w:p w14:paraId="234F5F6A" w14:textId="77777777" w:rsidR="00365F42" w:rsidRPr="00FF79DB" w:rsidRDefault="00365F42" w:rsidP="00240908">
            <w:pPr>
              <w:pStyle w:val="Tabletext"/>
              <w:keepNext/>
              <w:keepLines/>
              <w:rPr>
                <w:b/>
              </w:rPr>
            </w:pPr>
            <w:r w:rsidRPr="00FF79DB">
              <w:rPr>
                <w:b/>
              </w:rPr>
              <w:t>Trial ID</w:t>
            </w:r>
          </w:p>
        </w:tc>
        <w:tc>
          <w:tcPr>
            <w:tcW w:w="3027" w:type="pct"/>
            <w:tcBorders>
              <w:bottom w:val="single" w:sz="4" w:space="0" w:color="auto"/>
            </w:tcBorders>
            <w:vAlign w:val="center"/>
          </w:tcPr>
          <w:p w14:paraId="370C2EB7" w14:textId="77777777" w:rsidR="00365F42" w:rsidRPr="00FF79DB" w:rsidRDefault="00365F42" w:rsidP="00240908">
            <w:pPr>
              <w:pStyle w:val="Tabletext"/>
              <w:keepNext/>
              <w:keepLines/>
              <w:jc w:val="center"/>
              <w:rPr>
                <w:b/>
              </w:rPr>
            </w:pPr>
            <w:r w:rsidRPr="00FF79DB">
              <w:rPr>
                <w:b/>
              </w:rPr>
              <w:t>Protocol title/ Publication title</w:t>
            </w:r>
          </w:p>
        </w:tc>
        <w:tc>
          <w:tcPr>
            <w:tcW w:w="1177" w:type="pct"/>
            <w:tcBorders>
              <w:bottom w:val="single" w:sz="4" w:space="0" w:color="auto"/>
            </w:tcBorders>
            <w:vAlign w:val="center"/>
          </w:tcPr>
          <w:p w14:paraId="6968E7B6" w14:textId="77777777" w:rsidR="00365F42" w:rsidRPr="00FF79DB" w:rsidRDefault="00365F42" w:rsidP="00240908">
            <w:pPr>
              <w:pStyle w:val="Tabletext"/>
              <w:keepNext/>
              <w:keepLines/>
              <w:jc w:val="center"/>
              <w:rPr>
                <w:b/>
              </w:rPr>
            </w:pPr>
            <w:r w:rsidRPr="00FF79DB">
              <w:rPr>
                <w:b/>
              </w:rPr>
              <w:t>Publication citation</w:t>
            </w:r>
          </w:p>
        </w:tc>
      </w:tr>
      <w:tr w:rsidR="00676680" w:rsidRPr="00FF79DB" w14:paraId="7548C4ED" w14:textId="77777777" w:rsidTr="002D5868">
        <w:trPr>
          <w:cantSplit/>
        </w:trPr>
        <w:tc>
          <w:tcPr>
            <w:tcW w:w="796" w:type="pct"/>
            <w:vMerge w:val="restart"/>
            <w:vAlign w:val="center"/>
          </w:tcPr>
          <w:p w14:paraId="01157354" w14:textId="49321337" w:rsidR="00676680" w:rsidRPr="00FF79DB" w:rsidRDefault="00676680" w:rsidP="00240908">
            <w:pPr>
              <w:pStyle w:val="Tabletext"/>
              <w:keepNext/>
              <w:keepLines/>
            </w:pPr>
            <w:r w:rsidRPr="00FF79DB">
              <w:t>GARNET</w:t>
            </w:r>
          </w:p>
        </w:tc>
        <w:tc>
          <w:tcPr>
            <w:tcW w:w="3027" w:type="pct"/>
            <w:tcBorders>
              <w:bottom w:val="nil"/>
            </w:tcBorders>
          </w:tcPr>
          <w:p w14:paraId="2EF61198" w14:textId="77777777" w:rsidR="00676680" w:rsidRPr="00FF79DB" w:rsidRDefault="00676680" w:rsidP="00240908">
            <w:pPr>
              <w:pStyle w:val="Tabletext"/>
              <w:keepNext/>
              <w:keepLines/>
              <w:rPr>
                <w:szCs w:val="18"/>
              </w:rPr>
            </w:pPr>
            <w:r w:rsidRPr="00FF79DB">
              <w:t xml:space="preserve">A Phase 1 Dose Escalation and Cohort Expansion Study of TSR-042, an Anti-PD-1 Monoclonal Antibody, in Patients with Advanced Solid </w:t>
            </w:r>
            <w:proofErr w:type="spellStart"/>
            <w:r w:rsidRPr="00FF79DB">
              <w:t>Tumors</w:t>
            </w:r>
            <w:proofErr w:type="spellEnd"/>
            <w:r w:rsidRPr="00FF79DB">
              <w:t xml:space="preserve"> - Part 2B, Endometrial Cancer (Cohorts A1 and A2).</w:t>
            </w:r>
          </w:p>
        </w:tc>
        <w:tc>
          <w:tcPr>
            <w:tcW w:w="1177" w:type="pct"/>
            <w:tcBorders>
              <w:bottom w:val="nil"/>
            </w:tcBorders>
          </w:tcPr>
          <w:p w14:paraId="310DB0EA" w14:textId="77777777" w:rsidR="00676680" w:rsidRPr="00FF79DB" w:rsidRDefault="00676680" w:rsidP="00240908">
            <w:pPr>
              <w:pStyle w:val="Tabletext"/>
              <w:keepNext/>
              <w:keepLines/>
              <w:rPr>
                <w:rFonts w:ascii="Times" w:hAnsi="Times"/>
              </w:rPr>
            </w:pPr>
            <w:r w:rsidRPr="00FF79DB">
              <w:t>Clinical Study Report dated 16 November 2020</w:t>
            </w:r>
          </w:p>
        </w:tc>
      </w:tr>
      <w:tr w:rsidR="00676680" w:rsidRPr="00FF79DB" w14:paraId="2A2A95FC" w14:textId="77777777" w:rsidTr="002D5868">
        <w:trPr>
          <w:cantSplit/>
        </w:trPr>
        <w:tc>
          <w:tcPr>
            <w:tcW w:w="796" w:type="pct"/>
            <w:vMerge/>
            <w:vAlign w:val="center"/>
          </w:tcPr>
          <w:p w14:paraId="43C2B304" w14:textId="77777777" w:rsidR="00676680" w:rsidRPr="00FF79DB" w:rsidRDefault="00676680" w:rsidP="00240908">
            <w:pPr>
              <w:pStyle w:val="Tabletext"/>
              <w:keepNext/>
              <w:keepLines/>
            </w:pPr>
          </w:p>
        </w:tc>
        <w:tc>
          <w:tcPr>
            <w:tcW w:w="3027" w:type="pct"/>
            <w:tcBorders>
              <w:top w:val="nil"/>
              <w:bottom w:val="nil"/>
            </w:tcBorders>
          </w:tcPr>
          <w:p w14:paraId="1F5A7EF1" w14:textId="77777777" w:rsidR="00676680" w:rsidRPr="00FF79DB" w:rsidRDefault="00676680" w:rsidP="00240908">
            <w:pPr>
              <w:pStyle w:val="Tabletext"/>
              <w:keepNext/>
              <w:keepLines/>
              <w:rPr>
                <w:szCs w:val="18"/>
                <w:lang w:eastAsia="en-AU"/>
              </w:rPr>
            </w:pPr>
            <w:proofErr w:type="spellStart"/>
            <w:r w:rsidRPr="00FF79DB">
              <w:t>Oaknin</w:t>
            </w:r>
            <w:proofErr w:type="spellEnd"/>
            <w:r w:rsidRPr="00FF79DB">
              <w:t xml:space="preserve"> A, Tinker AV, Gilbert L, </w:t>
            </w:r>
            <w:proofErr w:type="spellStart"/>
            <w:r w:rsidRPr="00FF79DB">
              <w:t>Samouëlian</w:t>
            </w:r>
            <w:proofErr w:type="spellEnd"/>
            <w:r w:rsidRPr="00FF79DB">
              <w:t xml:space="preserve"> V, Mathews C, Brown J, et al. Clinical Activity and Safety of the Anti-Programmed Death 1 Monoclonal Antibody </w:t>
            </w:r>
            <w:proofErr w:type="spellStart"/>
            <w:r w:rsidRPr="00FF79DB">
              <w:t>Dostarlimab</w:t>
            </w:r>
            <w:proofErr w:type="spellEnd"/>
            <w:r w:rsidRPr="00FF79DB">
              <w:t xml:space="preserve"> for Patients with Recurrent or Advanced Mismatch Repair-Deficient Endometrial Cancer: A Nonrandomized Phase 1 Clinical Trial.</w:t>
            </w:r>
          </w:p>
        </w:tc>
        <w:tc>
          <w:tcPr>
            <w:tcW w:w="1177" w:type="pct"/>
            <w:tcBorders>
              <w:top w:val="nil"/>
              <w:bottom w:val="nil"/>
            </w:tcBorders>
          </w:tcPr>
          <w:p w14:paraId="6DC498E6" w14:textId="77777777" w:rsidR="00676680" w:rsidRPr="00FF79DB" w:rsidRDefault="00676680" w:rsidP="00240908">
            <w:pPr>
              <w:pStyle w:val="Tabletext"/>
              <w:keepNext/>
              <w:keepLines/>
              <w:rPr>
                <w:i/>
                <w:szCs w:val="18"/>
                <w:lang w:eastAsia="en-AU"/>
              </w:rPr>
            </w:pPr>
            <w:r w:rsidRPr="00FF79DB">
              <w:t>Full publication.</w:t>
            </w:r>
            <w:r w:rsidRPr="00FF79DB">
              <w:rPr>
                <w:i/>
              </w:rPr>
              <w:t xml:space="preserve"> JAMA Oncology </w:t>
            </w:r>
            <w:r w:rsidRPr="00FF79DB">
              <w:t>2020;6(11):1766-72.</w:t>
            </w:r>
          </w:p>
        </w:tc>
      </w:tr>
      <w:tr w:rsidR="00676680" w:rsidRPr="00FF79DB" w14:paraId="1DDBDFE8" w14:textId="77777777" w:rsidTr="002D5868">
        <w:trPr>
          <w:cantSplit/>
        </w:trPr>
        <w:tc>
          <w:tcPr>
            <w:tcW w:w="796" w:type="pct"/>
            <w:vMerge/>
            <w:tcBorders>
              <w:bottom w:val="single" w:sz="4" w:space="0" w:color="auto"/>
            </w:tcBorders>
            <w:vAlign w:val="center"/>
          </w:tcPr>
          <w:p w14:paraId="35061329" w14:textId="77777777" w:rsidR="00676680" w:rsidRPr="00FF79DB" w:rsidRDefault="00676680" w:rsidP="00240908">
            <w:pPr>
              <w:pStyle w:val="Tabletext"/>
              <w:keepNext/>
              <w:keepLines/>
            </w:pPr>
          </w:p>
        </w:tc>
        <w:tc>
          <w:tcPr>
            <w:tcW w:w="3027" w:type="pct"/>
            <w:tcBorders>
              <w:top w:val="nil"/>
              <w:bottom w:val="single" w:sz="4" w:space="0" w:color="auto"/>
            </w:tcBorders>
          </w:tcPr>
          <w:p w14:paraId="4519DFF7" w14:textId="77777777" w:rsidR="00676680" w:rsidRPr="00FF79DB" w:rsidRDefault="00676680" w:rsidP="00240908">
            <w:pPr>
              <w:pStyle w:val="Tabletext"/>
              <w:keepNext/>
              <w:keepLines/>
              <w:rPr>
                <w:szCs w:val="18"/>
                <w:lang w:eastAsia="en-AU"/>
              </w:rPr>
            </w:pPr>
            <w:proofErr w:type="spellStart"/>
            <w:r w:rsidRPr="00FF79DB">
              <w:t>Nct</w:t>
            </w:r>
            <w:proofErr w:type="spellEnd"/>
            <w:r w:rsidRPr="00FF79DB">
              <w:t xml:space="preserve">. Study of TSR-042, an Anti-programmed Cell Death-1 Receptor (PD-1) Monoclonal Antibody, in Participants </w:t>
            </w:r>
            <w:proofErr w:type="gramStart"/>
            <w:r w:rsidRPr="00FF79DB">
              <w:t>With</w:t>
            </w:r>
            <w:proofErr w:type="gramEnd"/>
            <w:r w:rsidRPr="00FF79DB">
              <w:t xml:space="preserve"> Advanced Solid </w:t>
            </w:r>
            <w:proofErr w:type="spellStart"/>
            <w:r w:rsidRPr="00FF79DB">
              <w:t>Tumors</w:t>
            </w:r>
            <w:proofErr w:type="spellEnd"/>
            <w:r w:rsidRPr="00FF79DB">
              <w:t xml:space="preserve"> (GARNET). https://clinicaltrials.gov/ct2/show/NCT02715284. </w:t>
            </w:r>
          </w:p>
        </w:tc>
        <w:tc>
          <w:tcPr>
            <w:tcW w:w="1177" w:type="pct"/>
            <w:tcBorders>
              <w:top w:val="nil"/>
              <w:bottom w:val="single" w:sz="4" w:space="0" w:color="auto"/>
            </w:tcBorders>
          </w:tcPr>
          <w:p w14:paraId="0CB1D8EE" w14:textId="77777777" w:rsidR="00676680" w:rsidRPr="00FF79DB" w:rsidRDefault="00676680" w:rsidP="00240908">
            <w:pPr>
              <w:pStyle w:val="Tabletext"/>
              <w:keepNext/>
              <w:keepLines/>
              <w:rPr>
                <w:i/>
                <w:szCs w:val="18"/>
                <w:lang w:eastAsia="en-AU"/>
              </w:rPr>
            </w:pPr>
            <w:r w:rsidRPr="00FF79DB">
              <w:t>NCT record 2016.</w:t>
            </w:r>
          </w:p>
        </w:tc>
      </w:tr>
      <w:tr w:rsidR="00365F42" w:rsidRPr="00FF79DB" w14:paraId="1B716BB7" w14:textId="77777777" w:rsidTr="002D5868">
        <w:trPr>
          <w:cantSplit/>
        </w:trPr>
        <w:tc>
          <w:tcPr>
            <w:tcW w:w="796" w:type="pct"/>
            <w:vMerge w:val="restart"/>
            <w:tcBorders>
              <w:bottom w:val="single" w:sz="4" w:space="0" w:color="auto"/>
            </w:tcBorders>
            <w:vAlign w:val="center"/>
          </w:tcPr>
          <w:p w14:paraId="172978A9" w14:textId="77777777" w:rsidR="00365F42" w:rsidRPr="00FF79DB" w:rsidRDefault="00365F42" w:rsidP="00240908">
            <w:pPr>
              <w:pStyle w:val="Tabletext"/>
              <w:keepNext/>
              <w:keepLines/>
              <w:rPr>
                <w:rFonts w:ascii="Times" w:hAnsi="Times"/>
              </w:rPr>
            </w:pPr>
            <w:proofErr w:type="spellStart"/>
            <w:r w:rsidRPr="00FF79DB">
              <w:t>ZoptEC</w:t>
            </w:r>
            <w:proofErr w:type="spellEnd"/>
          </w:p>
        </w:tc>
        <w:tc>
          <w:tcPr>
            <w:tcW w:w="3027" w:type="pct"/>
            <w:tcBorders>
              <w:bottom w:val="nil"/>
            </w:tcBorders>
          </w:tcPr>
          <w:p w14:paraId="2D06B9C5" w14:textId="77777777" w:rsidR="00365F42" w:rsidRPr="00FF79DB" w:rsidRDefault="00365F42" w:rsidP="00240908">
            <w:pPr>
              <w:pStyle w:val="Tabletext"/>
              <w:keepNext/>
              <w:keepLines/>
              <w:rPr>
                <w:rFonts w:ascii="Times" w:hAnsi="Times"/>
              </w:rPr>
            </w:pPr>
            <w:proofErr w:type="spellStart"/>
            <w:r w:rsidRPr="00FF79DB">
              <w:t>Aeterna</w:t>
            </w:r>
            <w:proofErr w:type="spellEnd"/>
            <w:r w:rsidRPr="00FF79DB">
              <w:t xml:space="preserve"> </w:t>
            </w:r>
            <w:proofErr w:type="spellStart"/>
            <w:r w:rsidRPr="00FF79DB">
              <w:t>Zentaris</w:t>
            </w:r>
            <w:proofErr w:type="spellEnd"/>
            <w:r w:rsidRPr="00FF79DB">
              <w:t xml:space="preserve">. STUDY CODE: AEZS-108-050. Randomized controlled study comparing AEZS 108 with doxorubicin as second line therapy for locally advanced, </w:t>
            </w:r>
            <w:proofErr w:type="gramStart"/>
            <w:r w:rsidRPr="00FF79DB">
              <w:t>recurrent</w:t>
            </w:r>
            <w:proofErr w:type="gramEnd"/>
            <w:r w:rsidRPr="00FF79DB">
              <w:t xml:space="preserve"> or metastatic endometrial cancer. Report of Statistical Results – Tables and Graphs </w:t>
            </w:r>
          </w:p>
        </w:tc>
        <w:tc>
          <w:tcPr>
            <w:tcW w:w="1177" w:type="pct"/>
            <w:tcBorders>
              <w:bottom w:val="nil"/>
            </w:tcBorders>
          </w:tcPr>
          <w:p w14:paraId="76119441" w14:textId="77777777" w:rsidR="00365F42" w:rsidRPr="00FF79DB" w:rsidRDefault="00365F42" w:rsidP="00240908">
            <w:pPr>
              <w:pStyle w:val="Tabletext"/>
              <w:keepNext/>
              <w:keepLines/>
            </w:pPr>
            <w:r w:rsidRPr="00FF79DB">
              <w:t>Individual patient data 09 May 2017.</w:t>
            </w:r>
          </w:p>
        </w:tc>
      </w:tr>
      <w:tr w:rsidR="00365F42" w:rsidRPr="00FF79DB" w14:paraId="4A823379" w14:textId="77777777" w:rsidTr="002D5868">
        <w:trPr>
          <w:cantSplit/>
        </w:trPr>
        <w:tc>
          <w:tcPr>
            <w:tcW w:w="796" w:type="pct"/>
            <w:vMerge/>
            <w:tcBorders>
              <w:top w:val="nil"/>
              <w:bottom w:val="single" w:sz="4" w:space="0" w:color="auto"/>
            </w:tcBorders>
            <w:vAlign w:val="center"/>
          </w:tcPr>
          <w:p w14:paraId="693E06BF" w14:textId="77777777" w:rsidR="00365F42" w:rsidRPr="00FF79DB" w:rsidRDefault="00365F42" w:rsidP="00240908">
            <w:pPr>
              <w:pStyle w:val="Tabletext"/>
              <w:keepNext/>
              <w:keepLines/>
            </w:pPr>
          </w:p>
        </w:tc>
        <w:tc>
          <w:tcPr>
            <w:tcW w:w="3027" w:type="pct"/>
            <w:tcBorders>
              <w:top w:val="nil"/>
              <w:bottom w:val="nil"/>
            </w:tcBorders>
          </w:tcPr>
          <w:p w14:paraId="0B95C13B" w14:textId="77777777" w:rsidR="00365F42" w:rsidRPr="00FF79DB" w:rsidRDefault="00365F42" w:rsidP="00240908">
            <w:pPr>
              <w:pStyle w:val="Tabletext"/>
              <w:keepNext/>
              <w:keepLines/>
              <w:rPr>
                <w:szCs w:val="18"/>
              </w:rPr>
            </w:pPr>
            <w:r w:rsidRPr="00FF79DB">
              <w:t xml:space="preserve">Miller D, </w:t>
            </w:r>
            <w:proofErr w:type="spellStart"/>
            <w:r w:rsidRPr="00FF79DB">
              <w:t>Scambia</w:t>
            </w:r>
            <w:proofErr w:type="spellEnd"/>
            <w:r w:rsidRPr="00FF79DB">
              <w:t xml:space="preserve"> G, </w:t>
            </w:r>
            <w:proofErr w:type="spellStart"/>
            <w:r w:rsidRPr="00FF79DB">
              <w:t>Bondarenkop</w:t>
            </w:r>
            <w:proofErr w:type="spellEnd"/>
            <w:r w:rsidRPr="00FF79DB">
              <w:t xml:space="preserve"> I, Westermann A, </w:t>
            </w:r>
            <w:proofErr w:type="spellStart"/>
            <w:r w:rsidRPr="00FF79DB">
              <w:t>Oaknin</w:t>
            </w:r>
            <w:proofErr w:type="spellEnd"/>
            <w:r w:rsidRPr="00FF79DB">
              <w:t xml:space="preserve"> A, </w:t>
            </w:r>
            <w:proofErr w:type="spellStart"/>
            <w:r w:rsidRPr="00FF79DB">
              <w:t>Oza</w:t>
            </w:r>
            <w:proofErr w:type="spellEnd"/>
            <w:r w:rsidRPr="00FF79DB">
              <w:t xml:space="preserve"> A, et al. </w:t>
            </w:r>
            <w:proofErr w:type="spellStart"/>
            <w:r w:rsidRPr="00FF79DB">
              <w:t>ZoptEC</w:t>
            </w:r>
            <w:proofErr w:type="spellEnd"/>
            <w:r w:rsidRPr="00FF79DB">
              <w:t xml:space="preserve">: Phase III randomized controlled study comparing </w:t>
            </w:r>
            <w:proofErr w:type="spellStart"/>
            <w:r w:rsidRPr="00FF79DB">
              <w:t>zoptarelin</w:t>
            </w:r>
            <w:proofErr w:type="spellEnd"/>
            <w:r w:rsidRPr="00FF79DB">
              <w:t xml:space="preserve"> with doxorubicin as second line therapy for locally advanced, recurrent, or metastatic endometrial cancer (NCT01767155).</w:t>
            </w:r>
          </w:p>
        </w:tc>
        <w:tc>
          <w:tcPr>
            <w:tcW w:w="1177" w:type="pct"/>
            <w:tcBorders>
              <w:top w:val="nil"/>
              <w:bottom w:val="nil"/>
            </w:tcBorders>
          </w:tcPr>
          <w:p w14:paraId="0B22A0DF" w14:textId="77777777" w:rsidR="00365F42" w:rsidRPr="00FF79DB" w:rsidRDefault="00365F42" w:rsidP="00240908">
            <w:pPr>
              <w:pStyle w:val="Tabletext"/>
              <w:keepNext/>
              <w:keepLines/>
              <w:rPr>
                <w:i/>
              </w:rPr>
            </w:pPr>
            <w:r w:rsidRPr="00FF79DB">
              <w:t xml:space="preserve">Conference abstract 5503. </w:t>
            </w:r>
            <w:r w:rsidRPr="00FF79DB">
              <w:rPr>
                <w:i/>
              </w:rPr>
              <w:t>Journal of Clinical Oncology</w:t>
            </w:r>
            <w:r w:rsidRPr="00FF79DB">
              <w:t xml:space="preserve"> 2018;36(15; supplement).</w:t>
            </w:r>
          </w:p>
        </w:tc>
      </w:tr>
      <w:tr w:rsidR="00365F42" w:rsidRPr="00FF79DB" w14:paraId="5397B23F" w14:textId="77777777" w:rsidTr="002D5868">
        <w:trPr>
          <w:cantSplit/>
        </w:trPr>
        <w:tc>
          <w:tcPr>
            <w:tcW w:w="796" w:type="pct"/>
            <w:vMerge/>
            <w:tcBorders>
              <w:top w:val="nil"/>
              <w:bottom w:val="single" w:sz="4" w:space="0" w:color="auto"/>
            </w:tcBorders>
            <w:vAlign w:val="center"/>
          </w:tcPr>
          <w:p w14:paraId="7FFD8617" w14:textId="77777777" w:rsidR="00365F42" w:rsidRPr="00FF79DB" w:rsidRDefault="00365F42" w:rsidP="00240908">
            <w:pPr>
              <w:pStyle w:val="Tabletext"/>
              <w:keepNext/>
              <w:keepLines/>
            </w:pPr>
          </w:p>
        </w:tc>
        <w:tc>
          <w:tcPr>
            <w:tcW w:w="3027" w:type="pct"/>
            <w:tcBorders>
              <w:top w:val="nil"/>
              <w:bottom w:val="nil"/>
            </w:tcBorders>
          </w:tcPr>
          <w:p w14:paraId="3C0E1817" w14:textId="77777777" w:rsidR="00365F42" w:rsidRPr="00FF79DB" w:rsidRDefault="00365F42" w:rsidP="00240908">
            <w:pPr>
              <w:pStyle w:val="Tabletext"/>
              <w:keepNext/>
              <w:keepLines/>
              <w:rPr>
                <w:szCs w:val="18"/>
              </w:rPr>
            </w:pPr>
            <w:r w:rsidRPr="00FF79DB">
              <w:t xml:space="preserve">Miller DS, </w:t>
            </w:r>
            <w:proofErr w:type="spellStart"/>
            <w:r w:rsidRPr="00FF79DB">
              <w:t>Gabra</w:t>
            </w:r>
            <w:proofErr w:type="spellEnd"/>
            <w:r w:rsidRPr="00FF79DB">
              <w:t xml:space="preserve"> H, </w:t>
            </w:r>
            <w:proofErr w:type="spellStart"/>
            <w:r w:rsidRPr="00FF79DB">
              <w:t>Emons</w:t>
            </w:r>
            <w:proofErr w:type="spellEnd"/>
            <w:r w:rsidRPr="00FF79DB">
              <w:t xml:space="preserve"> G, McMeekin DS, </w:t>
            </w:r>
            <w:proofErr w:type="spellStart"/>
            <w:r w:rsidRPr="00FF79DB">
              <w:t>Oza</w:t>
            </w:r>
            <w:proofErr w:type="spellEnd"/>
            <w:r w:rsidRPr="00FF79DB">
              <w:t xml:space="preserve"> AM, Temkin SM, et al. </w:t>
            </w:r>
            <w:proofErr w:type="spellStart"/>
            <w:r w:rsidRPr="00FF79DB">
              <w:t>ZoptEC</w:t>
            </w:r>
            <w:proofErr w:type="spellEnd"/>
            <w:r w:rsidRPr="00FF79DB">
              <w:t xml:space="preserve">: Phase III study of </w:t>
            </w:r>
            <w:proofErr w:type="spellStart"/>
            <w:r w:rsidRPr="00FF79DB">
              <w:t>zoptarelin</w:t>
            </w:r>
            <w:proofErr w:type="spellEnd"/>
            <w:r w:rsidRPr="00FF79DB">
              <w:t xml:space="preserve"> doxorubicin (AEZS-108) in platinum-</w:t>
            </w:r>
            <w:proofErr w:type="spellStart"/>
            <w:r w:rsidRPr="00FF79DB">
              <w:t>taxane</w:t>
            </w:r>
            <w:proofErr w:type="spellEnd"/>
            <w:r w:rsidRPr="00FF79DB">
              <w:t xml:space="preserve"> </w:t>
            </w:r>
            <w:proofErr w:type="spellStart"/>
            <w:r w:rsidRPr="00FF79DB">
              <w:t>pretreated</w:t>
            </w:r>
            <w:proofErr w:type="spellEnd"/>
            <w:r w:rsidRPr="00FF79DB">
              <w:t xml:space="preserve"> endometrial cancer (Study AEZS-108-050).</w:t>
            </w:r>
          </w:p>
        </w:tc>
        <w:tc>
          <w:tcPr>
            <w:tcW w:w="1177" w:type="pct"/>
            <w:tcBorders>
              <w:top w:val="nil"/>
              <w:bottom w:val="nil"/>
            </w:tcBorders>
          </w:tcPr>
          <w:p w14:paraId="03BF0E64" w14:textId="77777777" w:rsidR="00365F42" w:rsidRPr="00FF79DB" w:rsidRDefault="00365F42" w:rsidP="00240908">
            <w:pPr>
              <w:pStyle w:val="Tabletext"/>
              <w:keepNext/>
              <w:keepLines/>
              <w:rPr>
                <w:rFonts w:ascii="Times" w:hAnsi="Times"/>
              </w:rPr>
            </w:pPr>
            <w:r w:rsidRPr="00FF79DB">
              <w:t xml:space="preserve">Conference abstract. </w:t>
            </w:r>
            <w:r w:rsidRPr="00FF79DB">
              <w:rPr>
                <w:i/>
              </w:rPr>
              <w:t>Journal of Clinical Oncology</w:t>
            </w:r>
            <w:r w:rsidRPr="00FF79DB">
              <w:t xml:space="preserve"> 2014;32(15).</w:t>
            </w:r>
          </w:p>
        </w:tc>
      </w:tr>
      <w:tr w:rsidR="00365F42" w:rsidRPr="00FF79DB" w14:paraId="1E971A92" w14:textId="77777777" w:rsidTr="002D5868">
        <w:trPr>
          <w:cantSplit/>
        </w:trPr>
        <w:tc>
          <w:tcPr>
            <w:tcW w:w="796" w:type="pct"/>
            <w:vMerge/>
            <w:tcBorders>
              <w:top w:val="nil"/>
              <w:bottom w:val="single" w:sz="4" w:space="0" w:color="auto"/>
            </w:tcBorders>
            <w:vAlign w:val="center"/>
          </w:tcPr>
          <w:p w14:paraId="7D9E0342" w14:textId="77777777" w:rsidR="00365F42" w:rsidRPr="00FF79DB" w:rsidRDefault="00365F42" w:rsidP="00240908">
            <w:pPr>
              <w:pStyle w:val="Tabletext"/>
              <w:keepNext/>
              <w:keepLines/>
            </w:pPr>
          </w:p>
        </w:tc>
        <w:tc>
          <w:tcPr>
            <w:tcW w:w="3027" w:type="pct"/>
            <w:tcBorders>
              <w:top w:val="nil"/>
              <w:bottom w:val="nil"/>
            </w:tcBorders>
          </w:tcPr>
          <w:p w14:paraId="31EFFC27" w14:textId="77777777" w:rsidR="00365F42" w:rsidRPr="00FF79DB" w:rsidRDefault="00365F42" w:rsidP="00240908">
            <w:pPr>
              <w:pStyle w:val="Tabletext"/>
              <w:keepNext/>
              <w:keepLines/>
              <w:rPr>
                <w:szCs w:val="18"/>
              </w:rPr>
            </w:pPr>
            <w:proofErr w:type="spellStart"/>
            <w:r w:rsidRPr="00FF79DB">
              <w:t>Nct</w:t>
            </w:r>
            <w:proofErr w:type="spellEnd"/>
            <w:r w:rsidRPr="00FF79DB">
              <w:t xml:space="preserve">. </w:t>
            </w:r>
            <w:proofErr w:type="spellStart"/>
            <w:r w:rsidRPr="00FF79DB">
              <w:t>Zoptarelin</w:t>
            </w:r>
            <w:proofErr w:type="spellEnd"/>
            <w:r w:rsidRPr="00FF79DB">
              <w:t xml:space="preserve"> doxorubicin (AEZS 108) as second line therapy for endometrial cancer (</w:t>
            </w:r>
            <w:proofErr w:type="spellStart"/>
            <w:r w:rsidRPr="00FF79DB">
              <w:t>ZoptEC</w:t>
            </w:r>
            <w:proofErr w:type="spellEnd"/>
            <w:r w:rsidRPr="00FF79DB">
              <w:t xml:space="preserve">). </w:t>
            </w:r>
          </w:p>
        </w:tc>
        <w:tc>
          <w:tcPr>
            <w:tcW w:w="1177" w:type="pct"/>
            <w:tcBorders>
              <w:top w:val="nil"/>
              <w:bottom w:val="nil"/>
            </w:tcBorders>
          </w:tcPr>
          <w:p w14:paraId="5EA943B3" w14:textId="77777777" w:rsidR="00365F42" w:rsidRPr="00FF79DB" w:rsidRDefault="00365F42" w:rsidP="00240908">
            <w:pPr>
              <w:pStyle w:val="Tabletext"/>
              <w:keepNext/>
              <w:keepLines/>
              <w:rPr>
                <w:rFonts w:ascii="Times" w:hAnsi="Times"/>
              </w:rPr>
            </w:pPr>
            <w:r w:rsidRPr="00FF79DB">
              <w:t>NCT record 2013.</w:t>
            </w:r>
          </w:p>
        </w:tc>
      </w:tr>
      <w:tr w:rsidR="00365F42" w:rsidRPr="00FF79DB" w14:paraId="6F4BB1BE" w14:textId="77777777" w:rsidTr="002D5868">
        <w:trPr>
          <w:cantSplit/>
        </w:trPr>
        <w:tc>
          <w:tcPr>
            <w:tcW w:w="796" w:type="pct"/>
            <w:vMerge/>
            <w:tcBorders>
              <w:top w:val="nil"/>
              <w:bottom w:val="single" w:sz="4" w:space="0" w:color="auto"/>
            </w:tcBorders>
            <w:vAlign w:val="center"/>
          </w:tcPr>
          <w:p w14:paraId="25E32623" w14:textId="77777777" w:rsidR="00365F42" w:rsidRPr="00FF79DB" w:rsidRDefault="00365F42" w:rsidP="00240908">
            <w:pPr>
              <w:pStyle w:val="Tabletext"/>
              <w:keepNext/>
              <w:keepLines/>
            </w:pPr>
          </w:p>
        </w:tc>
        <w:tc>
          <w:tcPr>
            <w:tcW w:w="3027" w:type="pct"/>
            <w:tcBorders>
              <w:top w:val="nil"/>
              <w:bottom w:val="single" w:sz="4" w:space="0" w:color="auto"/>
            </w:tcBorders>
          </w:tcPr>
          <w:p w14:paraId="163AD10D" w14:textId="77777777" w:rsidR="00365F42" w:rsidRPr="00FF79DB" w:rsidRDefault="00365F42" w:rsidP="00240908">
            <w:pPr>
              <w:pStyle w:val="Tabletext"/>
              <w:keepNext/>
              <w:keepLines/>
              <w:rPr>
                <w:szCs w:val="18"/>
              </w:rPr>
            </w:pPr>
            <w:proofErr w:type="spellStart"/>
            <w:r w:rsidRPr="00FF79DB">
              <w:t>Euctr</w:t>
            </w:r>
            <w:proofErr w:type="spellEnd"/>
            <w:r w:rsidRPr="00FF79DB">
              <w:t xml:space="preserve"> IT. Trial with AEZS-108 in a certain stage of endometrial </w:t>
            </w:r>
            <w:proofErr w:type="spellStart"/>
            <w:r w:rsidRPr="00FF79DB">
              <w:t>tumor</w:t>
            </w:r>
            <w:proofErr w:type="spellEnd"/>
            <w:r w:rsidRPr="00FF79DB">
              <w:t xml:space="preserve">. http://wwwwhoint/trialsearch/Trial2aspx?TrialID=EUCTR2012-005546-38-IT. </w:t>
            </w:r>
          </w:p>
        </w:tc>
        <w:tc>
          <w:tcPr>
            <w:tcW w:w="1177" w:type="pct"/>
            <w:tcBorders>
              <w:top w:val="nil"/>
              <w:bottom w:val="single" w:sz="4" w:space="0" w:color="auto"/>
            </w:tcBorders>
          </w:tcPr>
          <w:p w14:paraId="6972AC5F" w14:textId="77777777" w:rsidR="00365F42" w:rsidRPr="00FF79DB" w:rsidRDefault="00365F42" w:rsidP="00240908">
            <w:pPr>
              <w:pStyle w:val="Tabletext"/>
              <w:keepNext/>
              <w:keepLines/>
              <w:rPr>
                <w:rFonts w:ascii="Times" w:hAnsi="Times"/>
              </w:rPr>
            </w:pPr>
            <w:r w:rsidRPr="00FF79DB">
              <w:t>EUCTR record 2013.</w:t>
            </w:r>
          </w:p>
        </w:tc>
      </w:tr>
      <w:tr w:rsidR="00365F42" w:rsidRPr="00FF79DB" w14:paraId="14AFE9AD" w14:textId="77777777" w:rsidTr="002D5868">
        <w:trPr>
          <w:cantSplit/>
        </w:trPr>
        <w:tc>
          <w:tcPr>
            <w:tcW w:w="796" w:type="pct"/>
            <w:vMerge w:val="restart"/>
            <w:tcBorders>
              <w:top w:val="single" w:sz="4" w:space="0" w:color="auto"/>
            </w:tcBorders>
            <w:vAlign w:val="center"/>
          </w:tcPr>
          <w:p w14:paraId="45EEC22E" w14:textId="77777777" w:rsidR="00365F42" w:rsidRPr="00FF79DB" w:rsidRDefault="00365F42" w:rsidP="00A22B7C">
            <w:pPr>
              <w:pStyle w:val="Tabletext"/>
            </w:pPr>
            <w:r w:rsidRPr="00FF79DB">
              <w:t>IXAMPLE2</w:t>
            </w:r>
          </w:p>
        </w:tc>
        <w:tc>
          <w:tcPr>
            <w:tcW w:w="3027" w:type="pct"/>
            <w:tcBorders>
              <w:bottom w:val="nil"/>
            </w:tcBorders>
          </w:tcPr>
          <w:p w14:paraId="739C37CC" w14:textId="77777777" w:rsidR="00365F42" w:rsidRPr="00FF79DB" w:rsidRDefault="00365F42" w:rsidP="00A22B7C">
            <w:pPr>
              <w:pStyle w:val="Tabletext"/>
              <w:rPr>
                <w:szCs w:val="18"/>
              </w:rPr>
            </w:pPr>
            <w:r w:rsidRPr="00FF79DB">
              <w:t xml:space="preserve">McMeekin S, </w:t>
            </w:r>
            <w:proofErr w:type="spellStart"/>
            <w:r w:rsidRPr="00FF79DB">
              <w:t>Dizon</w:t>
            </w:r>
            <w:proofErr w:type="spellEnd"/>
            <w:r w:rsidRPr="00FF79DB">
              <w:t xml:space="preserve"> D, Barter J, </w:t>
            </w:r>
            <w:proofErr w:type="spellStart"/>
            <w:r w:rsidRPr="00FF79DB">
              <w:t>Scambia</w:t>
            </w:r>
            <w:proofErr w:type="spellEnd"/>
            <w:r w:rsidRPr="00FF79DB">
              <w:t xml:space="preserve"> G, </w:t>
            </w:r>
            <w:proofErr w:type="spellStart"/>
            <w:r w:rsidRPr="00FF79DB">
              <w:t>Manzyuk</w:t>
            </w:r>
            <w:proofErr w:type="spellEnd"/>
            <w:r w:rsidRPr="00FF79DB">
              <w:t xml:space="preserve"> L, </w:t>
            </w:r>
            <w:proofErr w:type="spellStart"/>
            <w:r w:rsidRPr="00FF79DB">
              <w:t>Lisyanskaya</w:t>
            </w:r>
            <w:proofErr w:type="spellEnd"/>
            <w:r w:rsidRPr="00FF79DB">
              <w:t xml:space="preserve"> A, et al. Phase III randomized trial of </w:t>
            </w:r>
            <w:proofErr w:type="gramStart"/>
            <w:r w:rsidRPr="00FF79DB">
              <w:t>second-line</w:t>
            </w:r>
            <w:proofErr w:type="gramEnd"/>
            <w:r w:rsidRPr="00FF79DB">
              <w:t xml:space="preserve"> ixabepilone versus paclitaxel or doxorubicin in women with advanced endometrial cancer. </w:t>
            </w:r>
          </w:p>
        </w:tc>
        <w:tc>
          <w:tcPr>
            <w:tcW w:w="1177" w:type="pct"/>
            <w:tcBorders>
              <w:bottom w:val="nil"/>
            </w:tcBorders>
          </w:tcPr>
          <w:p w14:paraId="4B158C30" w14:textId="77777777" w:rsidR="00365F42" w:rsidRPr="00FF79DB" w:rsidRDefault="00365F42" w:rsidP="00A22B7C">
            <w:pPr>
              <w:pStyle w:val="Tabletext"/>
            </w:pPr>
            <w:r w:rsidRPr="00FF79DB">
              <w:t xml:space="preserve">Full publication </w:t>
            </w:r>
            <w:proofErr w:type="spellStart"/>
            <w:r w:rsidRPr="00FF79DB">
              <w:rPr>
                <w:i/>
              </w:rPr>
              <w:t>Gynecologic</w:t>
            </w:r>
            <w:proofErr w:type="spellEnd"/>
            <w:r w:rsidRPr="00FF79DB">
              <w:rPr>
                <w:i/>
              </w:rPr>
              <w:t xml:space="preserve"> Oncology</w:t>
            </w:r>
            <w:r w:rsidRPr="00FF79DB">
              <w:t xml:space="preserve"> 2015;138(1):18-23.</w:t>
            </w:r>
          </w:p>
        </w:tc>
      </w:tr>
      <w:tr w:rsidR="00365F42" w:rsidRPr="00FF79DB" w14:paraId="52789C78" w14:textId="77777777" w:rsidTr="002D5868">
        <w:trPr>
          <w:cantSplit/>
        </w:trPr>
        <w:tc>
          <w:tcPr>
            <w:tcW w:w="796" w:type="pct"/>
            <w:vMerge/>
            <w:tcBorders>
              <w:top w:val="nil"/>
            </w:tcBorders>
            <w:vAlign w:val="center"/>
          </w:tcPr>
          <w:p w14:paraId="3BA45C54" w14:textId="77777777" w:rsidR="00365F42" w:rsidRPr="00FF79DB" w:rsidRDefault="00365F42" w:rsidP="00A22B7C">
            <w:pPr>
              <w:pStyle w:val="Tabletext"/>
            </w:pPr>
          </w:p>
        </w:tc>
        <w:tc>
          <w:tcPr>
            <w:tcW w:w="3027" w:type="pct"/>
            <w:tcBorders>
              <w:top w:val="nil"/>
              <w:bottom w:val="nil"/>
            </w:tcBorders>
          </w:tcPr>
          <w:p w14:paraId="2B76CB1F" w14:textId="77777777" w:rsidR="00365F42" w:rsidRPr="00FF79DB" w:rsidRDefault="00365F42" w:rsidP="00A22B7C">
            <w:pPr>
              <w:pStyle w:val="Tabletext"/>
              <w:rPr>
                <w:szCs w:val="18"/>
              </w:rPr>
            </w:pPr>
            <w:proofErr w:type="spellStart"/>
            <w:r w:rsidRPr="00FF79DB">
              <w:t>Nct</w:t>
            </w:r>
            <w:proofErr w:type="spellEnd"/>
            <w:r w:rsidRPr="00FF79DB">
              <w:t xml:space="preserve">. A Study of Ixabepilone as Second-line Therapy for Locally Advanced, Recurrent, or Metastatic Endometrial Cancer. https://clinicaltrialsgov/show/NCT00883116. </w:t>
            </w:r>
          </w:p>
        </w:tc>
        <w:tc>
          <w:tcPr>
            <w:tcW w:w="1177" w:type="pct"/>
            <w:tcBorders>
              <w:top w:val="nil"/>
              <w:bottom w:val="nil"/>
            </w:tcBorders>
          </w:tcPr>
          <w:p w14:paraId="075B3E7B" w14:textId="77777777" w:rsidR="00365F42" w:rsidRPr="00FF79DB" w:rsidRDefault="00365F42" w:rsidP="00A22B7C">
            <w:pPr>
              <w:pStyle w:val="Tabletext"/>
            </w:pPr>
            <w:r w:rsidRPr="00FF79DB">
              <w:t>NCT record 2009.</w:t>
            </w:r>
          </w:p>
        </w:tc>
      </w:tr>
      <w:tr w:rsidR="00365F42" w:rsidRPr="00FF79DB" w14:paraId="681DB97A" w14:textId="77777777" w:rsidTr="002D5868">
        <w:trPr>
          <w:cantSplit/>
        </w:trPr>
        <w:tc>
          <w:tcPr>
            <w:tcW w:w="796" w:type="pct"/>
            <w:vMerge/>
            <w:tcBorders>
              <w:top w:val="nil"/>
              <w:bottom w:val="single" w:sz="4" w:space="0" w:color="auto"/>
            </w:tcBorders>
            <w:vAlign w:val="center"/>
          </w:tcPr>
          <w:p w14:paraId="781792BD" w14:textId="77777777" w:rsidR="00365F42" w:rsidRPr="00FF79DB" w:rsidRDefault="00365F42" w:rsidP="00A22B7C">
            <w:pPr>
              <w:pStyle w:val="Tabletext"/>
            </w:pPr>
          </w:p>
        </w:tc>
        <w:tc>
          <w:tcPr>
            <w:tcW w:w="3027" w:type="pct"/>
            <w:tcBorders>
              <w:top w:val="nil"/>
              <w:bottom w:val="single" w:sz="4" w:space="0" w:color="auto"/>
            </w:tcBorders>
          </w:tcPr>
          <w:p w14:paraId="3B65531F" w14:textId="77777777" w:rsidR="00365F42" w:rsidRPr="00FF79DB" w:rsidRDefault="00365F42" w:rsidP="00A22B7C">
            <w:pPr>
              <w:pStyle w:val="Tabletext"/>
              <w:rPr>
                <w:szCs w:val="18"/>
              </w:rPr>
            </w:pPr>
            <w:proofErr w:type="spellStart"/>
            <w:r w:rsidRPr="00FF79DB">
              <w:t>Euctr</w:t>
            </w:r>
            <w:proofErr w:type="spellEnd"/>
            <w:r w:rsidRPr="00FF79DB">
              <w:t xml:space="preserve"> IT. A Phase III Open Label, Randomized, 2 Arm Study of Ixabepilone Administered Every 21 Days Versus Paclitaxel or Doxorubicin Administered Every 21 Days in Women with Advanced Endometrial Cancer Who Have Previously Been Treated with Chemotherapy. - ND. http://wwwwhoint/trialsearch/Trial2aspx?TrialID=EUCTR2008-007167-16-IT. </w:t>
            </w:r>
          </w:p>
        </w:tc>
        <w:tc>
          <w:tcPr>
            <w:tcW w:w="1177" w:type="pct"/>
            <w:tcBorders>
              <w:top w:val="nil"/>
              <w:bottom w:val="single" w:sz="4" w:space="0" w:color="auto"/>
            </w:tcBorders>
          </w:tcPr>
          <w:p w14:paraId="3932ACD8" w14:textId="77777777" w:rsidR="00365F42" w:rsidRPr="00FF79DB" w:rsidRDefault="00365F42" w:rsidP="00A22B7C">
            <w:pPr>
              <w:pStyle w:val="Tabletext"/>
            </w:pPr>
            <w:r w:rsidRPr="00FF79DB">
              <w:t>EUCTR record 2009.</w:t>
            </w:r>
          </w:p>
        </w:tc>
      </w:tr>
      <w:tr w:rsidR="00365F42" w:rsidRPr="00FF79DB" w14:paraId="76DA58A7" w14:textId="77777777" w:rsidTr="002D5868">
        <w:trPr>
          <w:cantSplit/>
        </w:trPr>
        <w:tc>
          <w:tcPr>
            <w:tcW w:w="796" w:type="pct"/>
            <w:vMerge w:val="restart"/>
            <w:tcBorders>
              <w:top w:val="single" w:sz="4" w:space="0" w:color="auto"/>
            </w:tcBorders>
            <w:vAlign w:val="center"/>
          </w:tcPr>
          <w:p w14:paraId="57616372" w14:textId="77777777" w:rsidR="00365F42" w:rsidRPr="00FF79DB" w:rsidRDefault="00365F42" w:rsidP="00A22B7C">
            <w:pPr>
              <w:pStyle w:val="Tabletext"/>
            </w:pPr>
            <w:r w:rsidRPr="00FF79DB">
              <w:t>KEYNOTE-775</w:t>
            </w:r>
          </w:p>
        </w:tc>
        <w:tc>
          <w:tcPr>
            <w:tcW w:w="3027" w:type="pct"/>
            <w:tcBorders>
              <w:bottom w:val="nil"/>
            </w:tcBorders>
          </w:tcPr>
          <w:p w14:paraId="4E30FC5B" w14:textId="77777777" w:rsidR="00365F42" w:rsidRPr="00FF79DB" w:rsidRDefault="00365F42" w:rsidP="00A22B7C">
            <w:pPr>
              <w:pStyle w:val="Tabletext"/>
              <w:rPr>
                <w:szCs w:val="18"/>
              </w:rPr>
            </w:pPr>
            <w:proofErr w:type="spellStart"/>
            <w:r w:rsidRPr="00FF79DB">
              <w:t>Makker</w:t>
            </w:r>
            <w:proofErr w:type="spellEnd"/>
            <w:r w:rsidRPr="00FF79DB">
              <w:t xml:space="preserve"> V, Colombo N, </w:t>
            </w:r>
            <w:proofErr w:type="spellStart"/>
            <w:r w:rsidRPr="00FF79DB">
              <w:t>Herráez</w:t>
            </w:r>
            <w:proofErr w:type="spellEnd"/>
            <w:r w:rsidRPr="00FF79DB">
              <w:t xml:space="preserve"> AC, </w:t>
            </w:r>
            <w:proofErr w:type="spellStart"/>
            <w:r w:rsidRPr="00FF79DB">
              <w:t>Santin</w:t>
            </w:r>
            <w:proofErr w:type="spellEnd"/>
            <w:r w:rsidRPr="00FF79DB">
              <w:t xml:space="preserve"> A, </w:t>
            </w:r>
            <w:proofErr w:type="spellStart"/>
            <w:r w:rsidRPr="00FF79DB">
              <w:t>Colomba</w:t>
            </w:r>
            <w:proofErr w:type="spellEnd"/>
            <w:r w:rsidRPr="00FF79DB">
              <w:t xml:space="preserve"> E, Miller D, et al. A </w:t>
            </w:r>
            <w:proofErr w:type="spellStart"/>
            <w:r w:rsidRPr="00FF79DB">
              <w:t>multicenter</w:t>
            </w:r>
            <w:proofErr w:type="spellEnd"/>
            <w:r w:rsidRPr="00FF79DB">
              <w:t xml:space="preserve">, </w:t>
            </w:r>
            <w:proofErr w:type="gramStart"/>
            <w:r w:rsidRPr="00FF79DB">
              <w:t>open-label</w:t>
            </w:r>
            <w:proofErr w:type="gramEnd"/>
            <w:r w:rsidRPr="00FF79DB">
              <w:t xml:space="preserve">, randomized, phase III study to compare the efficacy and safety of </w:t>
            </w:r>
            <w:proofErr w:type="spellStart"/>
            <w:r w:rsidRPr="00FF79DB">
              <w:t>lenvatinib</w:t>
            </w:r>
            <w:proofErr w:type="spellEnd"/>
            <w:r w:rsidRPr="00FF79DB">
              <w:t xml:space="preserve"> in combination with pembrolizumab versus treatment of physician's choice in patients with advanced endometrial cancer. </w:t>
            </w:r>
          </w:p>
        </w:tc>
        <w:tc>
          <w:tcPr>
            <w:tcW w:w="1177" w:type="pct"/>
            <w:tcBorders>
              <w:bottom w:val="nil"/>
            </w:tcBorders>
          </w:tcPr>
          <w:p w14:paraId="484E1722" w14:textId="77777777" w:rsidR="00365F42" w:rsidRPr="00FF79DB" w:rsidRDefault="00365F42" w:rsidP="00A22B7C">
            <w:pPr>
              <w:pStyle w:val="Tabletext"/>
            </w:pPr>
            <w:r w:rsidRPr="00FF79DB">
              <w:t xml:space="preserve">Conference abstract </w:t>
            </w:r>
            <w:proofErr w:type="spellStart"/>
            <w:r w:rsidRPr="00FF79DB">
              <w:rPr>
                <w:i/>
              </w:rPr>
              <w:t>Gynecologic</w:t>
            </w:r>
            <w:proofErr w:type="spellEnd"/>
            <w:r w:rsidRPr="00FF79DB">
              <w:rPr>
                <w:i/>
              </w:rPr>
              <w:t xml:space="preserve"> Oncology</w:t>
            </w:r>
            <w:r w:rsidRPr="00FF79DB">
              <w:t xml:space="preserve"> 2021;</w:t>
            </w:r>
            <w:proofErr w:type="gramStart"/>
            <w:r w:rsidRPr="00FF79DB">
              <w:t>162:S</w:t>
            </w:r>
            <w:proofErr w:type="gramEnd"/>
            <w:r w:rsidRPr="00FF79DB">
              <w:t>4.</w:t>
            </w:r>
          </w:p>
        </w:tc>
      </w:tr>
      <w:tr w:rsidR="00365F42" w:rsidRPr="00FF79DB" w14:paraId="38A32C0D" w14:textId="77777777" w:rsidTr="002D5868">
        <w:trPr>
          <w:cantSplit/>
        </w:trPr>
        <w:tc>
          <w:tcPr>
            <w:tcW w:w="796" w:type="pct"/>
            <w:vMerge/>
            <w:vAlign w:val="center"/>
          </w:tcPr>
          <w:p w14:paraId="3187EEB0" w14:textId="77777777" w:rsidR="00365F42" w:rsidRPr="00FF79DB" w:rsidRDefault="00365F42" w:rsidP="00A22B7C">
            <w:pPr>
              <w:pStyle w:val="Tabletext"/>
            </w:pPr>
          </w:p>
        </w:tc>
        <w:tc>
          <w:tcPr>
            <w:tcW w:w="3027" w:type="pct"/>
            <w:tcBorders>
              <w:top w:val="nil"/>
              <w:bottom w:val="nil"/>
            </w:tcBorders>
          </w:tcPr>
          <w:p w14:paraId="46DC9EB1" w14:textId="77777777" w:rsidR="00365F42" w:rsidRPr="00FF79DB" w:rsidRDefault="00365F42" w:rsidP="00A22B7C">
            <w:pPr>
              <w:pStyle w:val="Tabletext"/>
              <w:rPr>
                <w:szCs w:val="18"/>
              </w:rPr>
            </w:pPr>
            <w:proofErr w:type="spellStart"/>
            <w:r w:rsidRPr="00FF79DB">
              <w:t>Makker</w:t>
            </w:r>
            <w:proofErr w:type="spellEnd"/>
            <w:r w:rsidRPr="00FF79DB">
              <w:t xml:space="preserve"> V, </w:t>
            </w:r>
            <w:proofErr w:type="spellStart"/>
            <w:r w:rsidRPr="00FF79DB">
              <w:t>Herraez</w:t>
            </w:r>
            <w:proofErr w:type="spellEnd"/>
            <w:r w:rsidRPr="00FF79DB">
              <w:t xml:space="preserve"> AC, </w:t>
            </w:r>
            <w:proofErr w:type="spellStart"/>
            <w:r w:rsidRPr="00FF79DB">
              <w:t>Aghajanian</w:t>
            </w:r>
            <w:proofErr w:type="spellEnd"/>
            <w:r w:rsidRPr="00FF79DB">
              <w:t xml:space="preserve"> C, Fujiwara K, </w:t>
            </w:r>
            <w:proofErr w:type="spellStart"/>
            <w:r w:rsidRPr="00FF79DB">
              <w:t>Pignata</w:t>
            </w:r>
            <w:proofErr w:type="spellEnd"/>
            <w:r w:rsidRPr="00FF79DB">
              <w:t xml:space="preserve"> S, Penson RT, et al. A phase 3 trial evaluating efficacy and safety of </w:t>
            </w:r>
            <w:proofErr w:type="spellStart"/>
            <w:r w:rsidRPr="00FF79DB">
              <w:t>lenvatinib</w:t>
            </w:r>
            <w:proofErr w:type="spellEnd"/>
            <w:r w:rsidRPr="00FF79DB">
              <w:t xml:space="preserve"> in combination with pembrolizumab in patients with advanced endometrial cancer. </w:t>
            </w:r>
          </w:p>
        </w:tc>
        <w:tc>
          <w:tcPr>
            <w:tcW w:w="1177" w:type="pct"/>
            <w:tcBorders>
              <w:top w:val="nil"/>
              <w:bottom w:val="nil"/>
            </w:tcBorders>
          </w:tcPr>
          <w:p w14:paraId="18C0D474" w14:textId="77777777" w:rsidR="00365F42" w:rsidRPr="00FF79DB" w:rsidRDefault="00365F42" w:rsidP="00A22B7C">
            <w:pPr>
              <w:pStyle w:val="Tabletext"/>
            </w:pPr>
            <w:r w:rsidRPr="00FF79DB">
              <w:t>Conference abstract Journal of Clinical Oncology 2019;37.</w:t>
            </w:r>
          </w:p>
        </w:tc>
      </w:tr>
      <w:tr w:rsidR="00365F42" w:rsidRPr="00FF79DB" w14:paraId="2E19BF77" w14:textId="77777777" w:rsidTr="002D5868">
        <w:trPr>
          <w:cantSplit/>
        </w:trPr>
        <w:tc>
          <w:tcPr>
            <w:tcW w:w="796" w:type="pct"/>
            <w:vMerge/>
            <w:vAlign w:val="center"/>
          </w:tcPr>
          <w:p w14:paraId="66DDB441" w14:textId="77777777" w:rsidR="00365F42" w:rsidRPr="00FF79DB" w:rsidRDefault="00365F42" w:rsidP="00A22B7C">
            <w:pPr>
              <w:pStyle w:val="Tabletext"/>
            </w:pPr>
          </w:p>
        </w:tc>
        <w:tc>
          <w:tcPr>
            <w:tcW w:w="3027" w:type="pct"/>
            <w:tcBorders>
              <w:top w:val="nil"/>
              <w:bottom w:val="nil"/>
            </w:tcBorders>
          </w:tcPr>
          <w:p w14:paraId="62591108" w14:textId="77777777" w:rsidR="00365F42" w:rsidRPr="00FF79DB" w:rsidRDefault="00365F42" w:rsidP="00A22B7C">
            <w:pPr>
              <w:pStyle w:val="Tabletext"/>
              <w:rPr>
                <w:szCs w:val="18"/>
              </w:rPr>
            </w:pPr>
            <w:proofErr w:type="spellStart"/>
            <w:r w:rsidRPr="00FF79DB">
              <w:t>Lorusso</w:t>
            </w:r>
            <w:proofErr w:type="spellEnd"/>
            <w:r w:rsidRPr="00FF79DB">
              <w:t xml:space="preserve"> D, Colombo N, </w:t>
            </w:r>
            <w:proofErr w:type="spellStart"/>
            <w:r w:rsidRPr="00FF79DB">
              <w:t>Herraez</w:t>
            </w:r>
            <w:proofErr w:type="spellEnd"/>
            <w:r w:rsidRPr="00FF79DB">
              <w:t xml:space="preserve"> AC, </w:t>
            </w:r>
            <w:proofErr w:type="spellStart"/>
            <w:r w:rsidRPr="00FF79DB">
              <w:t>Santin</w:t>
            </w:r>
            <w:proofErr w:type="spellEnd"/>
            <w:r w:rsidRPr="00FF79DB">
              <w:t xml:space="preserve"> A, </w:t>
            </w:r>
            <w:proofErr w:type="spellStart"/>
            <w:r w:rsidRPr="00FF79DB">
              <w:t>Colomba</w:t>
            </w:r>
            <w:proofErr w:type="spellEnd"/>
            <w:r w:rsidRPr="00FF79DB">
              <w:t xml:space="preserve"> E, Miller DS, et al. Health-related quality of life (</w:t>
            </w:r>
            <w:proofErr w:type="spellStart"/>
            <w:r w:rsidRPr="00FF79DB">
              <w:t>HRQoL</w:t>
            </w:r>
            <w:proofErr w:type="spellEnd"/>
            <w:r w:rsidRPr="00FF79DB">
              <w:t>) in advanced endometrial cancer (</w:t>
            </w:r>
            <w:proofErr w:type="spellStart"/>
            <w:r w:rsidRPr="00FF79DB">
              <w:t>aEC</w:t>
            </w:r>
            <w:proofErr w:type="spellEnd"/>
            <w:r w:rsidRPr="00FF79DB">
              <w:t xml:space="preserve">) patients (pts) treated with </w:t>
            </w:r>
            <w:proofErr w:type="spellStart"/>
            <w:r w:rsidRPr="00FF79DB">
              <w:t>lenvatinib</w:t>
            </w:r>
            <w:proofErr w:type="spellEnd"/>
            <w:r w:rsidRPr="00FF79DB">
              <w:t xml:space="preserve"> plus pembrolizumab or treatment of physician's choice (TPC). </w:t>
            </w:r>
          </w:p>
        </w:tc>
        <w:tc>
          <w:tcPr>
            <w:tcW w:w="1177" w:type="pct"/>
            <w:tcBorders>
              <w:top w:val="nil"/>
              <w:bottom w:val="nil"/>
            </w:tcBorders>
          </w:tcPr>
          <w:p w14:paraId="0DEF3D92" w14:textId="77777777" w:rsidR="00365F42" w:rsidRPr="00FF79DB" w:rsidRDefault="00365F42" w:rsidP="00A22B7C">
            <w:pPr>
              <w:pStyle w:val="Tabletext"/>
            </w:pPr>
            <w:r w:rsidRPr="00FF79DB">
              <w:t xml:space="preserve">Conference abstract </w:t>
            </w:r>
            <w:r w:rsidRPr="00FF79DB">
              <w:rPr>
                <w:i/>
              </w:rPr>
              <w:t xml:space="preserve">Journal of Clinical Oncology </w:t>
            </w:r>
            <w:r w:rsidRPr="00FF79DB">
              <w:t>2021;39(15 SUPPL).</w:t>
            </w:r>
          </w:p>
        </w:tc>
      </w:tr>
      <w:tr w:rsidR="00365F42" w:rsidRPr="00FF79DB" w14:paraId="1D6E030F" w14:textId="77777777" w:rsidTr="002D5868">
        <w:trPr>
          <w:cantSplit/>
        </w:trPr>
        <w:tc>
          <w:tcPr>
            <w:tcW w:w="796" w:type="pct"/>
            <w:vMerge/>
            <w:vAlign w:val="center"/>
          </w:tcPr>
          <w:p w14:paraId="2CD2FF44" w14:textId="77777777" w:rsidR="00365F42" w:rsidRPr="00FF79DB" w:rsidRDefault="00365F42" w:rsidP="00A22B7C">
            <w:pPr>
              <w:pStyle w:val="Tabletext"/>
            </w:pPr>
          </w:p>
        </w:tc>
        <w:tc>
          <w:tcPr>
            <w:tcW w:w="3027" w:type="pct"/>
            <w:tcBorders>
              <w:top w:val="nil"/>
              <w:bottom w:val="nil"/>
            </w:tcBorders>
          </w:tcPr>
          <w:p w14:paraId="35978EAC" w14:textId="77777777" w:rsidR="00365F42" w:rsidRPr="00FF79DB" w:rsidRDefault="00365F42" w:rsidP="00A22B7C">
            <w:pPr>
              <w:pStyle w:val="Tabletext"/>
              <w:rPr>
                <w:szCs w:val="18"/>
              </w:rPr>
            </w:pPr>
            <w:proofErr w:type="spellStart"/>
            <w:r w:rsidRPr="00FF79DB">
              <w:t>Nct</w:t>
            </w:r>
            <w:proofErr w:type="spellEnd"/>
            <w:r w:rsidRPr="00FF79DB">
              <w:t xml:space="preserve">. Lenvatinib in Combination </w:t>
            </w:r>
            <w:proofErr w:type="gramStart"/>
            <w:r w:rsidRPr="00FF79DB">
              <w:t>With</w:t>
            </w:r>
            <w:proofErr w:type="gramEnd"/>
            <w:r w:rsidRPr="00FF79DB">
              <w:t xml:space="preserve"> Pembrolizumab Versus Treatment of Physician's Choice in Participants With Advanced Endometrial Cancer (MK-3475-775/E7080-G000-309 Per Merck Standard Convention [KEYNOTE-775]). https://clinicaltrialsgov/show/NCT03517449. </w:t>
            </w:r>
          </w:p>
        </w:tc>
        <w:tc>
          <w:tcPr>
            <w:tcW w:w="1177" w:type="pct"/>
            <w:tcBorders>
              <w:top w:val="nil"/>
              <w:bottom w:val="nil"/>
            </w:tcBorders>
          </w:tcPr>
          <w:p w14:paraId="12493474" w14:textId="77777777" w:rsidR="00365F42" w:rsidRPr="00FF79DB" w:rsidRDefault="00365F42" w:rsidP="00A22B7C">
            <w:pPr>
              <w:pStyle w:val="Tabletext"/>
            </w:pPr>
            <w:r w:rsidRPr="00FF79DB">
              <w:t>NCT record 2018.</w:t>
            </w:r>
          </w:p>
        </w:tc>
      </w:tr>
      <w:tr w:rsidR="00365F42" w:rsidRPr="00FF79DB" w14:paraId="7C75AB2E" w14:textId="77777777" w:rsidTr="002D5868">
        <w:trPr>
          <w:cantSplit/>
        </w:trPr>
        <w:tc>
          <w:tcPr>
            <w:tcW w:w="796" w:type="pct"/>
            <w:vMerge/>
            <w:vAlign w:val="center"/>
          </w:tcPr>
          <w:p w14:paraId="207823C7" w14:textId="77777777" w:rsidR="00365F42" w:rsidRPr="00FF79DB" w:rsidRDefault="00365F42" w:rsidP="00A22B7C">
            <w:pPr>
              <w:pStyle w:val="Tabletext"/>
            </w:pPr>
          </w:p>
        </w:tc>
        <w:tc>
          <w:tcPr>
            <w:tcW w:w="3027" w:type="pct"/>
            <w:tcBorders>
              <w:top w:val="nil"/>
              <w:bottom w:val="nil"/>
            </w:tcBorders>
          </w:tcPr>
          <w:p w14:paraId="3C014E27" w14:textId="77777777" w:rsidR="00365F42" w:rsidRPr="00FF79DB" w:rsidRDefault="00365F42" w:rsidP="00A22B7C">
            <w:pPr>
              <w:pStyle w:val="Tabletext"/>
              <w:rPr>
                <w:szCs w:val="18"/>
              </w:rPr>
            </w:pPr>
            <w:proofErr w:type="spellStart"/>
            <w:r w:rsidRPr="00FF79DB">
              <w:t>Makker</w:t>
            </w:r>
            <w:proofErr w:type="spellEnd"/>
            <w:r w:rsidRPr="00FF79DB">
              <w:t xml:space="preserve"> V, Colombo N, </w:t>
            </w:r>
            <w:proofErr w:type="spellStart"/>
            <w:r w:rsidRPr="00FF79DB">
              <w:t>Herráez</w:t>
            </w:r>
            <w:proofErr w:type="spellEnd"/>
            <w:r w:rsidRPr="00FF79DB">
              <w:t xml:space="preserve"> AC, et al. A </w:t>
            </w:r>
            <w:proofErr w:type="spellStart"/>
            <w:r w:rsidRPr="00FF79DB">
              <w:t>multicenter</w:t>
            </w:r>
            <w:proofErr w:type="spellEnd"/>
            <w:r w:rsidRPr="00FF79DB">
              <w:t xml:space="preserve">, open-label, randomized, phase 3 study to compare the efficacy and safety of </w:t>
            </w:r>
            <w:proofErr w:type="spellStart"/>
            <w:r w:rsidRPr="00FF79DB">
              <w:t>lenvatinib</w:t>
            </w:r>
            <w:proofErr w:type="spellEnd"/>
            <w:r w:rsidRPr="00FF79DB">
              <w:t xml:space="preserve"> in combination with pembrolizumab vs treatment of physician’s choice in patients with advanced endometrial cancer: Study 309/KEYNOTE-775. </w:t>
            </w:r>
          </w:p>
        </w:tc>
        <w:tc>
          <w:tcPr>
            <w:tcW w:w="1177" w:type="pct"/>
            <w:tcBorders>
              <w:top w:val="nil"/>
              <w:bottom w:val="nil"/>
            </w:tcBorders>
          </w:tcPr>
          <w:p w14:paraId="1920053D" w14:textId="77777777" w:rsidR="00365F42" w:rsidRPr="00FF79DB" w:rsidRDefault="00365F42" w:rsidP="00A22B7C">
            <w:pPr>
              <w:pStyle w:val="Tabletext"/>
            </w:pPr>
            <w:r w:rsidRPr="00FF79DB">
              <w:t xml:space="preserve">Conference presentation Society of </w:t>
            </w:r>
            <w:proofErr w:type="spellStart"/>
            <w:r w:rsidRPr="00FF79DB">
              <w:t>Gynecologic</w:t>
            </w:r>
            <w:proofErr w:type="spellEnd"/>
            <w:r w:rsidRPr="00FF79DB">
              <w:t xml:space="preserve"> Oncology. Virtual Annual Meeting on Women’s Cancer 2021.</w:t>
            </w:r>
          </w:p>
        </w:tc>
      </w:tr>
      <w:tr w:rsidR="00365F42" w:rsidRPr="00FF79DB" w14:paraId="22792B52" w14:textId="77777777" w:rsidTr="002D5868">
        <w:trPr>
          <w:cantSplit/>
        </w:trPr>
        <w:tc>
          <w:tcPr>
            <w:tcW w:w="796" w:type="pct"/>
            <w:vMerge/>
            <w:tcBorders>
              <w:bottom w:val="nil"/>
            </w:tcBorders>
            <w:vAlign w:val="center"/>
          </w:tcPr>
          <w:p w14:paraId="4935027D" w14:textId="77777777" w:rsidR="00365F42" w:rsidRPr="00FF79DB" w:rsidRDefault="00365F42" w:rsidP="00A22B7C">
            <w:pPr>
              <w:pStyle w:val="Tabletext"/>
            </w:pPr>
          </w:p>
        </w:tc>
        <w:tc>
          <w:tcPr>
            <w:tcW w:w="3027" w:type="pct"/>
            <w:tcBorders>
              <w:top w:val="nil"/>
              <w:bottom w:val="single" w:sz="4" w:space="0" w:color="auto"/>
            </w:tcBorders>
          </w:tcPr>
          <w:p w14:paraId="11AD5C24" w14:textId="77777777" w:rsidR="00365F42" w:rsidRPr="00FF79DB" w:rsidRDefault="00365F42" w:rsidP="00A22B7C">
            <w:pPr>
              <w:pStyle w:val="Tabletext"/>
              <w:rPr>
                <w:szCs w:val="18"/>
              </w:rPr>
            </w:pPr>
            <w:proofErr w:type="spellStart"/>
            <w:r w:rsidRPr="00FF79DB">
              <w:t>Makker</w:t>
            </w:r>
            <w:proofErr w:type="spellEnd"/>
            <w:r w:rsidRPr="00FF79DB">
              <w:t xml:space="preserve"> V, Colombo N, Casado </w:t>
            </w:r>
            <w:proofErr w:type="spellStart"/>
            <w:r w:rsidRPr="00FF79DB">
              <w:t>Herraez</w:t>
            </w:r>
            <w:proofErr w:type="spellEnd"/>
            <w:r w:rsidRPr="00FF79DB">
              <w:t xml:space="preserve"> A, et al. Randomized phase 3 study of </w:t>
            </w:r>
            <w:proofErr w:type="spellStart"/>
            <w:r w:rsidRPr="00FF79DB">
              <w:t>lenvatinib</w:t>
            </w:r>
            <w:proofErr w:type="spellEnd"/>
            <w:r w:rsidRPr="00FF79DB">
              <w:t xml:space="preserve"> plus pembrolizumab for advanced endometrial cancer: subgroup analysis of patients with DNA mismatch repair-deficient </w:t>
            </w:r>
            <w:proofErr w:type="spellStart"/>
            <w:r w:rsidRPr="00FF79DB">
              <w:t>tumors</w:t>
            </w:r>
            <w:proofErr w:type="spellEnd"/>
            <w:r w:rsidRPr="00FF79DB">
              <w:t xml:space="preserve">. Study 309/KEYNOTE-775. </w:t>
            </w:r>
          </w:p>
        </w:tc>
        <w:tc>
          <w:tcPr>
            <w:tcW w:w="1177" w:type="pct"/>
            <w:tcBorders>
              <w:top w:val="nil"/>
              <w:bottom w:val="single" w:sz="4" w:space="0" w:color="auto"/>
            </w:tcBorders>
          </w:tcPr>
          <w:p w14:paraId="42B485AE" w14:textId="77777777" w:rsidR="00365F42" w:rsidRPr="00FF79DB" w:rsidRDefault="00365F42" w:rsidP="00A22B7C">
            <w:pPr>
              <w:pStyle w:val="Tabletext"/>
            </w:pPr>
            <w:r w:rsidRPr="00FF79DB">
              <w:t>Conference abstract 43/ID O002 presented at: 2021 IGCS Annual Global Meeting; August 30-September 2, 2021; virtual. Plenary 1.</w:t>
            </w:r>
          </w:p>
        </w:tc>
      </w:tr>
      <w:tr w:rsidR="00365F42" w:rsidRPr="00FF79DB" w14:paraId="17249C6F" w14:textId="77777777" w:rsidTr="002D5868">
        <w:trPr>
          <w:cantSplit/>
        </w:trPr>
        <w:tc>
          <w:tcPr>
            <w:tcW w:w="796" w:type="pct"/>
            <w:vMerge w:val="restart"/>
            <w:vAlign w:val="center"/>
          </w:tcPr>
          <w:p w14:paraId="1D7FAABA" w14:textId="77777777" w:rsidR="00365F42" w:rsidRPr="00FF79DB" w:rsidRDefault="00365F42" w:rsidP="00A22B7C">
            <w:pPr>
              <w:pStyle w:val="Tabletext"/>
            </w:pPr>
            <w:proofErr w:type="spellStart"/>
            <w:r w:rsidRPr="00FF79DB">
              <w:t>Scambia</w:t>
            </w:r>
            <w:proofErr w:type="spellEnd"/>
            <w:r w:rsidRPr="00FF79DB">
              <w:t xml:space="preserve"> 2020</w:t>
            </w:r>
          </w:p>
          <w:p w14:paraId="45C5756A" w14:textId="77777777" w:rsidR="00365F42" w:rsidRPr="00FF79DB" w:rsidRDefault="00365F42" w:rsidP="00A22B7C">
            <w:pPr>
              <w:pStyle w:val="Tabletext"/>
            </w:pPr>
            <w:r w:rsidRPr="00FF79DB">
              <w:t>(NCT02725268)</w:t>
            </w:r>
          </w:p>
        </w:tc>
        <w:tc>
          <w:tcPr>
            <w:tcW w:w="3027" w:type="pct"/>
            <w:tcBorders>
              <w:bottom w:val="nil"/>
            </w:tcBorders>
          </w:tcPr>
          <w:p w14:paraId="4336472A" w14:textId="77777777" w:rsidR="00365F42" w:rsidRPr="00FF79DB" w:rsidRDefault="00365F42" w:rsidP="00A22B7C">
            <w:pPr>
              <w:pStyle w:val="Tabletext"/>
              <w:rPr>
                <w:rFonts w:ascii="Times" w:hAnsi="Times"/>
              </w:rPr>
            </w:pPr>
            <w:proofErr w:type="spellStart"/>
            <w:r w:rsidRPr="00FF79DB">
              <w:t>Scambia</w:t>
            </w:r>
            <w:proofErr w:type="spellEnd"/>
            <w:r w:rsidRPr="00FF79DB">
              <w:t xml:space="preserve"> G, Han SN, </w:t>
            </w:r>
            <w:proofErr w:type="spellStart"/>
            <w:r w:rsidRPr="00FF79DB">
              <w:t>Oza</w:t>
            </w:r>
            <w:proofErr w:type="spellEnd"/>
            <w:r w:rsidRPr="00FF79DB">
              <w:t xml:space="preserve"> AM, Colombo N, </w:t>
            </w:r>
            <w:proofErr w:type="spellStart"/>
            <w:r w:rsidRPr="00FF79DB">
              <w:t>Oaknin</w:t>
            </w:r>
            <w:proofErr w:type="spellEnd"/>
            <w:r w:rsidRPr="00FF79DB">
              <w:t xml:space="preserve"> A, </w:t>
            </w:r>
            <w:proofErr w:type="spellStart"/>
            <w:r w:rsidRPr="00FF79DB">
              <w:t>Raspagliesi</w:t>
            </w:r>
            <w:proofErr w:type="spellEnd"/>
            <w:r w:rsidRPr="00FF79DB">
              <w:t xml:space="preserve"> F, et al. Randomized phase II study of </w:t>
            </w:r>
            <w:proofErr w:type="spellStart"/>
            <w:r w:rsidRPr="00FF79DB">
              <w:t>sapanisertib</w:t>
            </w:r>
            <w:proofErr w:type="spellEnd"/>
            <w:r w:rsidRPr="00FF79DB">
              <w:t xml:space="preserve"> (SAP) + paclitaxel (PAC) versus PAC alone in patients (pts) with advanced, recurrent, or persistent endometrial cancer.</w:t>
            </w:r>
          </w:p>
        </w:tc>
        <w:tc>
          <w:tcPr>
            <w:tcW w:w="1177" w:type="pct"/>
            <w:tcBorders>
              <w:bottom w:val="nil"/>
            </w:tcBorders>
          </w:tcPr>
          <w:p w14:paraId="1454E011" w14:textId="77777777" w:rsidR="00365F42" w:rsidRPr="00FF79DB" w:rsidRDefault="00365F42" w:rsidP="00A22B7C">
            <w:pPr>
              <w:pStyle w:val="Tabletext"/>
              <w:rPr>
                <w:rFonts w:ascii="Times" w:hAnsi="Times"/>
              </w:rPr>
            </w:pPr>
            <w:r w:rsidRPr="00FF79DB">
              <w:t>Conference abstract</w:t>
            </w:r>
            <w:r w:rsidRPr="00FF79DB">
              <w:rPr>
                <w:i/>
              </w:rPr>
              <w:t xml:space="preserve"> Journal of Clinical Oncology </w:t>
            </w:r>
            <w:r w:rsidRPr="00FF79DB">
              <w:t>2020; 38, (15 SUPPL).</w:t>
            </w:r>
          </w:p>
        </w:tc>
      </w:tr>
      <w:tr w:rsidR="00365F42" w:rsidRPr="00FF79DB" w14:paraId="14D869EA" w14:textId="77777777" w:rsidTr="002D5868">
        <w:trPr>
          <w:cantSplit/>
        </w:trPr>
        <w:tc>
          <w:tcPr>
            <w:tcW w:w="796" w:type="pct"/>
            <w:vMerge/>
            <w:tcBorders>
              <w:bottom w:val="single" w:sz="4" w:space="0" w:color="auto"/>
            </w:tcBorders>
            <w:vAlign w:val="center"/>
          </w:tcPr>
          <w:p w14:paraId="729200E6" w14:textId="77777777" w:rsidR="00365F42" w:rsidRPr="00FF79DB" w:rsidRDefault="00365F42" w:rsidP="00A22B7C">
            <w:pPr>
              <w:pStyle w:val="Tabletext"/>
            </w:pPr>
          </w:p>
        </w:tc>
        <w:tc>
          <w:tcPr>
            <w:tcW w:w="3027" w:type="pct"/>
            <w:tcBorders>
              <w:top w:val="nil"/>
            </w:tcBorders>
          </w:tcPr>
          <w:p w14:paraId="663968B2" w14:textId="77777777" w:rsidR="00365F42" w:rsidRPr="00FF79DB" w:rsidRDefault="00365F42" w:rsidP="00A22B7C">
            <w:pPr>
              <w:pStyle w:val="Tabletext"/>
              <w:rPr>
                <w:szCs w:val="18"/>
              </w:rPr>
            </w:pPr>
            <w:proofErr w:type="spellStart"/>
            <w:r w:rsidRPr="00FF79DB">
              <w:t>Nct</w:t>
            </w:r>
            <w:proofErr w:type="spellEnd"/>
            <w:r w:rsidRPr="00FF79DB">
              <w:t xml:space="preserve">. Phase 2 Study of MLN0128, Combination of MLN0128 With MLN1117, Paclitaxel and Combination of MLN0128 With Paclitaxel in Women </w:t>
            </w:r>
            <w:proofErr w:type="gramStart"/>
            <w:r w:rsidRPr="00FF79DB">
              <w:t>With</w:t>
            </w:r>
            <w:proofErr w:type="gramEnd"/>
            <w:r w:rsidRPr="00FF79DB">
              <w:t xml:space="preserve"> Endometrial Cancer. https://clinicaltrialsgov/show/NCT02725268. </w:t>
            </w:r>
          </w:p>
        </w:tc>
        <w:tc>
          <w:tcPr>
            <w:tcW w:w="1177" w:type="pct"/>
            <w:tcBorders>
              <w:top w:val="nil"/>
            </w:tcBorders>
          </w:tcPr>
          <w:p w14:paraId="4372594B" w14:textId="77777777" w:rsidR="00365F42" w:rsidRPr="00FF79DB" w:rsidRDefault="00365F42" w:rsidP="00A22B7C">
            <w:pPr>
              <w:pStyle w:val="Tabletext"/>
            </w:pPr>
            <w:r w:rsidRPr="00FF79DB">
              <w:t>NCT record 2016.</w:t>
            </w:r>
          </w:p>
        </w:tc>
      </w:tr>
    </w:tbl>
    <w:p w14:paraId="055B104D" w14:textId="69E2CDB5" w:rsidR="00365F42" w:rsidRPr="00FF79DB" w:rsidRDefault="00365F42" w:rsidP="00676680">
      <w:pPr>
        <w:pStyle w:val="TableFooter"/>
        <w:rPr>
          <w:rStyle w:val="CommentReference"/>
          <w:b w:val="0"/>
          <w:szCs w:val="22"/>
        </w:rPr>
      </w:pPr>
      <w:r w:rsidRPr="00FF79DB">
        <w:t xml:space="preserve">Source: Table 17, pp58-60 of the submission. </w:t>
      </w:r>
    </w:p>
    <w:p w14:paraId="0D4857B6" w14:textId="77777777" w:rsidR="00862502" w:rsidRPr="00FF79DB" w:rsidRDefault="00862502" w:rsidP="008F120A">
      <w:pPr>
        <w:widowControl/>
      </w:pPr>
    </w:p>
    <w:p w14:paraId="1DD06D7D" w14:textId="383CB111" w:rsidR="007F1017" w:rsidRPr="006710E4" w:rsidRDefault="008F120A" w:rsidP="00E24AE9">
      <w:pPr>
        <w:pStyle w:val="ListParagraph"/>
        <w:widowControl/>
        <w:numPr>
          <w:ilvl w:val="1"/>
          <w:numId w:val="2"/>
        </w:numPr>
      </w:pPr>
      <w:r w:rsidRPr="006710E4">
        <w:t>The key features</w:t>
      </w:r>
      <w:r w:rsidR="00AD5264" w:rsidRPr="006710E4">
        <w:t xml:space="preserve"> of the included trials and studies</w:t>
      </w:r>
      <w:r w:rsidRPr="006710E4">
        <w:t xml:space="preserve"> are </w:t>
      </w:r>
      <w:r w:rsidR="00D7464E" w:rsidRPr="006710E4">
        <w:t xml:space="preserve">summarised in </w:t>
      </w:r>
      <w:r w:rsidR="00D7464E" w:rsidRPr="006710E4">
        <w:fldChar w:fldCharType="begin"/>
      </w:r>
      <w:r w:rsidR="00D7464E" w:rsidRPr="006710E4">
        <w:instrText xml:space="preserve"> REF _Ref92128677 \h  \* MERGEFORMAT </w:instrText>
      </w:r>
      <w:r w:rsidR="00D7464E" w:rsidRPr="006710E4">
        <w:fldChar w:fldCharType="separate"/>
      </w:r>
      <w:r w:rsidR="004975AD" w:rsidRPr="004975AD">
        <w:t>Table 4</w:t>
      </w:r>
      <w:r w:rsidR="00D7464E" w:rsidRPr="006710E4">
        <w:fldChar w:fldCharType="end"/>
      </w:r>
      <w:r w:rsidR="002462FB" w:rsidRPr="006710E4">
        <w:t>.</w:t>
      </w:r>
    </w:p>
    <w:p w14:paraId="355E2F15" w14:textId="57A8729C" w:rsidR="007F1017" w:rsidRPr="006710E4" w:rsidRDefault="007F1017" w:rsidP="006615AD">
      <w:pPr>
        <w:keepNext/>
        <w:keepLines/>
        <w:rPr>
          <w:rStyle w:val="CommentReference"/>
        </w:rPr>
      </w:pPr>
      <w:bookmarkStart w:id="11" w:name="_Ref92128677"/>
      <w:r w:rsidRPr="006710E4">
        <w:rPr>
          <w:rStyle w:val="CommentReference"/>
        </w:rPr>
        <w:lastRenderedPageBreak/>
        <w:t xml:space="preserve">Table </w:t>
      </w:r>
      <w:r w:rsidR="000E52C3" w:rsidRPr="006710E4">
        <w:rPr>
          <w:rStyle w:val="CommentReference"/>
        </w:rPr>
        <w:fldChar w:fldCharType="begin"/>
      </w:r>
      <w:r w:rsidR="000E52C3" w:rsidRPr="006710E4">
        <w:rPr>
          <w:rStyle w:val="CommentReference"/>
        </w:rPr>
        <w:instrText xml:space="preserve"> SEQ Table \* ARABIC </w:instrText>
      </w:r>
      <w:r w:rsidR="000E52C3" w:rsidRPr="006710E4">
        <w:rPr>
          <w:rStyle w:val="CommentReference"/>
        </w:rPr>
        <w:fldChar w:fldCharType="separate"/>
      </w:r>
      <w:r w:rsidR="004975AD">
        <w:rPr>
          <w:rStyle w:val="CommentReference"/>
          <w:noProof/>
        </w:rPr>
        <w:t>4</w:t>
      </w:r>
      <w:r w:rsidR="000E52C3" w:rsidRPr="006710E4">
        <w:rPr>
          <w:rStyle w:val="CommentReference"/>
        </w:rPr>
        <w:fldChar w:fldCharType="end"/>
      </w:r>
      <w:bookmarkEnd w:id="11"/>
      <w:r w:rsidRPr="006710E4">
        <w:rPr>
          <w:rStyle w:val="CommentReference"/>
        </w:rPr>
        <w:t>: Key features of the included evidence</w:t>
      </w:r>
    </w:p>
    <w:tbl>
      <w:tblPr>
        <w:tblStyle w:val="TableGrid"/>
        <w:tblW w:w="5000" w:type="pct"/>
        <w:tblLayout w:type="fixed"/>
        <w:tblCellMar>
          <w:left w:w="28" w:type="dxa"/>
          <w:right w:w="28" w:type="dxa"/>
        </w:tblCellMar>
        <w:tblLook w:val="04A0" w:firstRow="1" w:lastRow="0" w:firstColumn="1" w:lastColumn="0" w:noHBand="0" w:noVBand="1"/>
      </w:tblPr>
      <w:tblGrid>
        <w:gridCol w:w="846"/>
        <w:gridCol w:w="992"/>
        <w:gridCol w:w="2693"/>
        <w:gridCol w:w="1418"/>
        <w:gridCol w:w="850"/>
        <w:gridCol w:w="993"/>
        <w:gridCol w:w="1225"/>
      </w:tblGrid>
      <w:tr w:rsidR="00270A1F" w:rsidRPr="006710E4" w14:paraId="69BEB1CA" w14:textId="77777777" w:rsidTr="00ED261D">
        <w:trPr>
          <w:tblHeader/>
        </w:trPr>
        <w:tc>
          <w:tcPr>
            <w:tcW w:w="846" w:type="dxa"/>
            <w:tcBorders>
              <w:top w:val="single" w:sz="4" w:space="0" w:color="auto"/>
              <w:left w:val="single" w:sz="4" w:space="0" w:color="auto"/>
              <w:bottom w:val="single" w:sz="4" w:space="0" w:color="auto"/>
              <w:right w:val="single" w:sz="4" w:space="0" w:color="auto"/>
            </w:tcBorders>
            <w:vAlign w:val="center"/>
            <w:hideMark/>
          </w:tcPr>
          <w:p w14:paraId="6AA7E4B3" w14:textId="77777777" w:rsidR="00270A1F" w:rsidRPr="006710E4" w:rsidRDefault="00270A1F" w:rsidP="006615AD">
            <w:pPr>
              <w:pStyle w:val="Tabletext"/>
              <w:keepNext/>
              <w:keepLines/>
              <w:rPr>
                <w:b/>
              </w:rPr>
            </w:pPr>
            <w:r w:rsidRPr="006710E4">
              <w:rPr>
                <w:b/>
              </w:rPr>
              <w:t xml:space="preserve">Study, N </w:t>
            </w:r>
            <w:r w:rsidRPr="006710E4">
              <w:rPr>
                <w:b/>
                <w:vertAlign w:val="superscript"/>
              </w:rPr>
              <w:t>a</w:t>
            </w:r>
          </w:p>
        </w:tc>
        <w:tc>
          <w:tcPr>
            <w:tcW w:w="992" w:type="dxa"/>
            <w:tcBorders>
              <w:top w:val="single" w:sz="4" w:space="0" w:color="auto"/>
              <w:left w:val="single" w:sz="4" w:space="0" w:color="auto"/>
              <w:bottom w:val="single" w:sz="4" w:space="0" w:color="auto"/>
              <w:right w:val="single" w:sz="4" w:space="0" w:color="auto"/>
            </w:tcBorders>
            <w:vAlign w:val="center"/>
            <w:hideMark/>
          </w:tcPr>
          <w:p w14:paraId="45FD88F5" w14:textId="77777777" w:rsidR="00270A1F" w:rsidRPr="006710E4" w:rsidRDefault="00270A1F" w:rsidP="006615AD">
            <w:pPr>
              <w:pStyle w:val="Tabletext"/>
              <w:keepNext/>
              <w:keepLines/>
              <w:jc w:val="center"/>
              <w:rPr>
                <w:b/>
              </w:rPr>
            </w:pPr>
            <w:r w:rsidRPr="006710E4">
              <w:rPr>
                <w:b/>
              </w:rPr>
              <w:t>Study Design</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A7C085B" w14:textId="77777777" w:rsidR="00270A1F" w:rsidRPr="006710E4" w:rsidRDefault="00270A1F" w:rsidP="006615AD">
            <w:pPr>
              <w:pStyle w:val="Tabletext"/>
              <w:keepNext/>
              <w:keepLines/>
              <w:jc w:val="center"/>
              <w:rPr>
                <w:b/>
              </w:rPr>
            </w:pPr>
            <w:r w:rsidRPr="006710E4">
              <w:rPr>
                <w:b/>
              </w:rPr>
              <w:t>Interventions</w:t>
            </w:r>
            <w:r w:rsidRPr="006710E4">
              <w:rPr>
                <w:b/>
                <w:vertAlign w:val="superscript"/>
              </w:rPr>
              <w:t xml:space="preserve"> b</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3594D5E" w14:textId="77777777" w:rsidR="00270A1F" w:rsidRPr="006710E4" w:rsidRDefault="00270A1F" w:rsidP="006615AD">
            <w:pPr>
              <w:pStyle w:val="Tabletext"/>
              <w:keepNext/>
              <w:keepLines/>
              <w:jc w:val="center"/>
              <w:rPr>
                <w:b/>
              </w:rPr>
            </w:pPr>
            <w:r w:rsidRPr="006710E4">
              <w:rPr>
                <w:b/>
              </w:rPr>
              <w:t>Population</w:t>
            </w:r>
          </w:p>
        </w:tc>
        <w:tc>
          <w:tcPr>
            <w:tcW w:w="850" w:type="dxa"/>
            <w:tcBorders>
              <w:top w:val="single" w:sz="4" w:space="0" w:color="auto"/>
              <w:left w:val="single" w:sz="4" w:space="0" w:color="auto"/>
              <w:bottom w:val="single" w:sz="4" w:space="0" w:color="auto"/>
              <w:right w:val="single" w:sz="4" w:space="0" w:color="auto"/>
            </w:tcBorders>
            <w:vAlign w:val="center"/>
            <w:hideMark/>
          </w:tcPr>
          <w:p w14:paraId="399C3726" w14:textId="77777777" w:rsidR="00270A1F" w:rsidRPr="006710E4" w:rsidRDefault="00270A1F" w:rsidP="006615AD">
            <w:pPr>
              <w:pStyle w:val="Tabletext"/>
              <w:keepNext/>
              <w:keepLines/>
              <w:jc w:val="center"/>
              <w:rPr>
                <w:b/>
              </w:rPr>
            </w:pPr>
            <w:r w:rsidRPr="006710E4">
              <w:rPr>
                <w:b/>
              </w:rPr>
              <w:t>Main Outcomes</w:t>
            </w:r>
          </w:p>
        </w:tc>
        <w:tc>
          <w:tcPr>
            <w:tcW w:w="993" w:type="dxa"/>
            <w:tcBorders>
              <w:top w:val="single" w:sz="4" w:space="0" w:color="auto"/>
              <w:left w:val="single" w:sz="4" w:space="0" w:color="auto"/>
              <w:bottom w:val="single" w:sz="4" w:space="0" w:color="auto"/>
              <w:right w:val="single" w:sz="4" w:space="0" w:color="auto"/>
            </w:tcBorders>
            <w:vAlign w:val="center"/>
          </w:tcPr>
          <w:p w14:paraId="7B32687E" w14:textId="77777777" w:rsidR="00270A1F" w:rsidRPr="006710E4" w:rsidRDefault="00270A1F" w:rsidP="006615AD">
            <w:pPr>
              <w:pStyle w:val="Tabletext"/>
              <w:keepNext/>
              <w:keepLines/>
              <w:jc w:val="center"/>
              <w:rPr>
                <w:b/>
              </w:rPr>
            </w:pPr>
            <w:r w:rsidRPr="006710E4">
              <w:rPr>
                <w:b/>
              </w:rPr>
              <w:t>Use in modelled evaluation</w:t>
            </w:r>
          </w:p>
        </w:tc>
        <w:tc>
          <w:tcPr>
            <w:tcW w:w="1225" w:type="dxa"/>
            <w:tcBorders>
              <w:top w:val="single" w:sz="4" w:space="0" w:color="auto"/>
              <w:left w:val="single" w:sz="4" w:space="0" w:color="auto"/>
              <w:bottom w:val="single" w:sz="4" w:space="0" w:color="auto"/>
              <w:right w:val="single" w:sz="4" w:space="0" w:color="auto"/>
            </w:tcBorders>
            <w:vAlign w:val="center"/>
          </w:tcPr>
          <w:p w14:paraId="43FA05D6" w14:textId="2B377751" w:rsidR="00270A1F" w:rsidRPr="006710E4" w:rsidRDefault="006917AF" w:rsidP="006615AD">
            <w:pPr>
              <w:pStyle w:val="Tabletext"/>
              <w:keepNext/>
              <w:keepLines/>
              <w:jc w:val="center"/>
              <w:rPr>
                <w:b/>
              </w:rPr>
            </w:pPr>
            <w:r w:rsidRPr="006710E4">
              <w:rPr>
                <w:b/>
              </w:rPr>
              <w:t>Median d</w:t>
            </w:r>
            <w:r w:rsidR="00270A1F" w:rsidRPr="006710E4">
              <w:rPr>
                <w:b/>
              </w:rPr>
              <w:t>uration of follow-up</w:t>
            </w:r>
            <w:r w:rsidR="004B34F5" w:rsidRPr="006710E4">
              <w:rPr>
                <w:b/>
              </w:rPr>
              <w:t xml:space="preserve"> (months)</w:t>
            </w:r>
          </w:p>
        </w:tc>
      </w:tr>
      <w:tr w:rsidR="00270A1F" w:rsidRPr="006710E4" w14:paraId="3FBCC598" w14:textId="77777777" w:rsidTr="00ED261D">
        <w:trPr>
          <w:tblHeader/>
        </w:trPr>
        <w:tc>
          <w:tcPr>
            <w:tcW w:w="846" w:type="dxa"/>
            <w:vAlign w:val="center"/>
          </w:tcPr>
          <w:p w14:paraId="53B7846C" w14:textId="77777777" w:rsidR="00270A1F" w:rsidRPr="006710E4" w:rsidRDefault="00270A1F" w:rsidP="006615AD">
            <w:pPr>
              <w:pStyle w:val="Tabletext"/>
              <w:keepNext/>
              <w:keepLines/>
            </w:pPr>
            <w:r w:rsidRPr="006710E4">
              <w:t xml:space="preserve">GARNET Cohort A1 &amp; </w:t>
            </w:r>
          </w:p>
          <w:p w14:paraId="42600E9B" w14:textId="77777777" w:rsidR="00270A1F" w:rsidRPr="006710E4" w:rsidRDefault="00270A1F" w:rsidP="006615AD">
            <w:pPr>
              <w:pStyle w:val="Tabletext"/>
              <w:keepNext/>
              <w:keepLines/>
            </w:pPr>
            <w:r w:rsidRPr="006710E4">
              <w:t>Cohort A2 (N=290)</w:t>
            </w:r>
          </w:p>
        </w:tc>
        <w:tc>
          <w:tcPr>
            <w:tcW w:w="992" w:type="dxa"/>
            <w:vAlign w:val="center"/>
          </w:tcPr>
          <w:p w14:paraId="7A1D354F" w14:textId="77777777" w:rsidR="00270A1F" w:rsidRPr="006710E4" w:rsidRDefault="00270A1F" w:rsidP="006615AD">
            <w:pPr>
              <w:pStyle w:val="Tabletext"/>
              <w:keepNext/>
              <w:keepLines/>
              <w:jc w:val="center"/>
            </w:pPr>
            <w:r w:rsidRPr="006710E4">
              <w:t>Single-arm, open-label, Phase I/II</w:t>
            </w:r>
          </w:p>
        </w:tc>
        <w:tc>
          <w:tcPr>
            <w:tcW w:w="2693" w:type="dxa"/>
            <w:tcBorders>
              <w:top w:val="single" w:sz="4" w:space="0" w:color="auto"/>
              <w:left w:val="single" w:sz="4" w:space="0" w:color="auto"/>
              <w:bottom w:val="single" w:sz="4" w:space="0" w:color="auto"/>
              <w:right w:val="single" w:sz="4" w:space="0" w:color="auto"/>
            </w:tcBorders>
            <w:vAlign w:val="center"/>
          </w:tcPr>
          <w:p w14:paraId="0B968E47" w14:textId="77777777" w:rsidR="00270A1F" w:rsidRDefault="00270A1F" w:rsidP="006615AD">
            <w:pPr>
              <w:pStyle w:val="Tabletext"/>
              <w:keepNext/>
              <w:keepLines/>
              <w:jc w:val="center"/>
            </w:pPr>
            <w:proofErr w:type="spellStart"/>
            <w:r w:rsidRPr="006710E4">
              <w:t>Dostarlimab</w:t>
            </w:r>
            <w:proofErr w:type="spellEnd"/>
            <w:r w:rsidRPr="006710E4">
              <w:t xml:space="preserve"> (Cohort A1 n=129; Cohort A2 n=161): 500 mg Q3W for the first 4 cycles followed by 1,000 mg Q6W for all subsequent cycles.</w:t>
            </w:r>
          </w:p>
          <w:p w14:paraId="4D931235" w14:textId="7C5BF6F9" w:rsidR="00490ECC" w:rsidRPr="00135F12" w:rsidRDefault="00490ECC" w:rsidP="006615AD">
            <w:pPr>
              <w:pStyle w:val="Tabletext"/>
              <w:keepNext/>
              <w:keepLines/>
              <w:jc w:val="center"/>
              <w:rPr>
                <w:iCs/>
                <w:highlight w:val="yellow"/>
              </w:rPr>
            </w:pPr>
            <w:r w:rsidRPr="00135F12">
              <w:rPr>
                <w:iCs/>
              </w:rPr>
              <w:t>IA-3 data cut-off provided with PSCR: Cohort A1, n = 153</w:t>
            </w:r>
          </w:p>
        </w:tc>
        <w:tc>
          <w:tcPr>
            <w:tcW w:w="1418" w:type="dxa"/>
            <w:vAlign w:val="center"/>
          </w:tcPr>
          <w:p w14:paraId="1E2E547F" w14:textId="1A6873F8" w:rsidR="00270A1F" w:rsidRPr="006710E4" w:rsidRDefault="00823AF9" w:rsidP="006615AD">
            <w:pPr>
              <w:pStyle w:val="Tabletext"/>
              <w:keepNext/>
              <w:keepLines/>
              <w:jc w:val="center"/>
            </w:pPr>
            <w:r w:rsidRPr="006710E4">
              <w:t xml:space="preserve">A/R EC following PBC (Cohort A1: </w:t>
            </w:r>
            <w:proofErr w:type="spellStart"/>
            <w:r w:rsidRPr="006710E4">
              <w:t>dMMR</w:t>
            </w:r>
            <w:proofErr w:type="spellEnd"/>
            <w:r w:rsidRPr="006710E4">
              <w:t xml:space="preserve">; Cohort A2: </w:t>
            </w:r>
            <w:proofErr w:type="spellStart"/>
            <w:r w:rsidRPr="006710E4">
              <w:t>pMMR</w:t>
            </w:r>
            <w:proofErr w:type="spellEnd"/>
            <w:r w:rsidRPr="006710E4">
              <w:t>)</w:t>
            </w:r>
          </w:p>
        </w:tc>
        <w:tc>
          <w:tcPr>
            <w:tcW w:w="850" w:type="dxa"/>
            <w:vAlign w:val="center"/>
          </w:tcPr>
          <w:p w14:paraId="4C7D7D53" w14:textId="77777777" w:rsidR="00270A1F" w:rsidRPr="006710E4" w:rsidRDefault="00270A1F" w:rsidP="006615AD">
            <w:pPr>
              <w:pStyle w:val="Tabletext"/>
              <w:keepNext/>
              <w:keepLines/>
              <w:jc w:val="center"/>
            </w:pPr>
            <w:r w:rsidRPr="006710E4">
              <w:t>OS, ORR, PFS</w:t>
            </w:r>
          </w:p>
        </w:tc>
        <w:tc>
          <w:tcPr>
            <w:tcW w:w="993" w:type="dxa"/>
            <w:vAlign w:val="center"/>
          </w:tcPr>
          <w:p w14:paraId="204E6176" w14:textId="77777777" w:rsidR="00270A1F" w:rsidRPr="006710E4" w:rsidRDefault="00270A1F" w:rsidP="006615AD">
            <w:pPr>
              <w:pStyle w:val="Tabletext"/>
              <w:keepNext/>
              <w:keepLines/>
              <w:jc w:val="center"/>
            </w:pPr>
            <w:r w:rsidRPr="006710E4">
              <w:t>Yes, in the base case</w:t>
            </w:r>
          </w:p>
        </w:tc>
        <w:tc>
          <w:tcPr>
            <w:tcW w:w="1225" w:type="dxa"/>
            <w:vAlign w:val="center"/>
          </w:tcPr>
          <w:p w14:paraId="0218175F" w14:textId="775F5415" w:rsidR="00270A1F" w:rsidRPr="006710E4" w:rsidRDefault="00291699" w:rsidP="006615AD">
            <w:pPr>
              <w:pStyle w:val="Tabletext"/>
              <w:keepNext/>
              <w:keepLines/>
              <w:jc w:val="center"/>
            </w:pPr>
            <w:r w:rsidRPr="006710E4">
              <w:t xml:space="preserve">Cohort A1: 12.5 </w:t>
            </w:r>
            <w:r w:rsidR="004B34F5" w:rsidRPr="006710E4">
              <w:t>(ITT)</w:t>
            </w:r>
            <w:proofErr w:type="spellStart"/>
            <w:proofErr w:type="gramStart"/>
            <w:r w:rsidRPr="006710E4">
              <w:rPr>
                <w:vertAlign w:val="superscript"/>
              </w:rPr>
              <w:t>d</w:t>
            </w:r>
            <w:r w:rsidR="00074C8D">
              <w:rPr>
                <w:vertAlign w:val="superscript"/>
              </w:rPr>
              <w:t>,e</w:t>
            </w:r>
            <w:proofErr w:type="spellEnd"/>
            <w:proofErr w:type="gramEnd"/>
            <w:r w:rsidR="004B34F5" w:rsidRPr="006710E4">
              <w:t xml:space="preserve"> or 16.3</w:t>
            </w:r>
            <w:r w:rsidRPr="006710E4">
              <w:t xml:space="preserve"> </w:t>
            </w:r>
            <w:r w:rsidR="004B34F5" w:rsidRPr="006710E4">
              <w:t>(</w:t>
            </w:r>
            <w:r w:rsidRPr="006710E4">
              <w:t>PES</w:t>
            </w:r>
            <w:r w:rsidR="004B34F5" w:rsidRPr="006710E4">
              <w:t>);</w:t>
            </w:r>
          </w:p>
          <w:p w14:paraId="7935A01C" w14:textId="77777777" w:rsidR="00291699" w:rsidRDefault="00291699" w:rsidP="006615AD">
            <w:pPr>
              <w:pStyle w:val="Tabletext"/>
              <w:keepNext/>
              <w:keepLines/>
              <w:jc w:val="center"/>
            </w:pPr>
            <w:r w:rsidRPr="006710E4">
              <w:t>Cohort A</w:t>
            </w:r>
            <w:r w:rsidR="004B34F5" w:rsidRPr="006710E4">
              <w:t>2</w:t>
            </w:r>
            <w:r w:rsidRPr="006710E4">
              <w:t>: N/R</w:t>
            </w:r>
            <w:r w:rsidR="004B34F5" w:rsidRPr="006710E4">
              <w:t xml:space="preserve"> (ITT) or 11.5 (PES)</w:t>
            </w:r>
          </w:p>
          <w:p w14:paraId="726C4C6C" w14:textId="2FB294F3" w:rsidR="00490ECC" w:rsidRPr="00135F12" w:rsidRDefault="00490ECC" w:rsidP="006615AD">
            <w:pPr>
              <w:pStyle w:val="Tabletext"/>
              <w:keepNext/>
              <w:keepLines/>
              <w:jc w:val="center"/>
              <w:rPr>
                <w:iCs/>
              </w:rPr>
            </w:pPr>
            <w:r w:rsidRPr="00135F12">
              <w:rPr>
                <w:iCs/>
              </w:rPr>
              <w:t>IA-3 data cut-off provided with PSCR: Cohort A1 (PES) 29.4 months</w:t>
            </w:r>
          </w:p>
        </w:tc>
      </w:tr>
      <w:tr w:rsidR="00270A1F" w:rsidRPr="006710E4" w14:paraId="780F5186" w14:textId="77777777" w:rsidTr="00ED261D">
        <w:trPr>
          <w:tblHeader/>
        </w:trPr>
        <w:tc>
          <w:tcPr>
            <w:tcW w:w="846" w:type="dxa"/>
            <w:vAlign w:val="center"/>
          </w:tcPr>
          <w:p w14:paraId="47F52386" w14:textId="77777777" w:rsidR="00270A1F" w:rsidRPr="006710E4" w:rsidRDefault="00270A1F" w:rsidP="006615AD">
            <w:pPr>
              <w:pStyle w:val="Tabletext"/>
              <w:keepNext/>
              <w:keepLines/>
            </w:pPr>
            <w:proofErr w:type="spellStart"/>
            <w:r w:rsidRPr="006710E4">
              <w:t>ZoptEC</w:t>
            </w:r>
            <w:proofErr w:type="spellEnd"/>
          </w:p>
          <w:p w14:paraId="22609436" w14:textId="77777777" w:rsidR="00270A1F" w:rsidRPr="006710E4" w:rsidRDefault="00270A1F" w:rsidP="006615AD">
            <w:pPr>
              <w:pStyle w:val="Tabletext"/>
              <w:keepNext/>
              <w:keepLines/>
            </w:pPr>
            <w:r w:rsidRPr="006710E4">
              <w:t>N=511</w:t>
            </w:r>
          </w:p>
        </w:tc>
        <w:tc>
          <w:tcPr>
            <w:tcW w:w="992" w:type="dxa"/>
            <w:vAlign w:val="center"/>
          </w:tcPr>
          <w:p w14:paraId="6E22AEDC" w14:textId="77777777" w:rsidR="00270A1F" w:rsidRPr="006710E4" w:rsidRDefault="00270A1F" w:rsidP="006615AD">
            <w:pPr>
              <w:pStyle w:val="Tabletext"/>
              <w:keepNext/>
              <w:keepLines/>
              <w:jc w:val="center"/>
            </w:pPr>
            <w:proofErr w:type="gramStart"/>
            <w:r w:rsidRPr="006710E4">
              <w:t>Open-label</w:t>
            </w:r>
            <w:proofErr w:type="gramEnd"/>
            <w:r w:rsidRPr="006710E4">
              <w:t>, randomised, Phase III</w:t>
            </w:r>
          </w:p>
        </w:tc>
        <w:tc>
          <w:tcPr>
            <w:tcW w:w="2693" w:type="dxa"/>
            <w:tcBorders>
              <w:top w:val="single" w:sz="4" w:space="0" w:color="auto"/>
              <w:left w:val="single" w:sz="4" w:space="0" w:color="auto"/>
              <w:bottom w:val="single" w:sz="4" w:space="0" w:color="auto"/>
              <w:right w:val="single" w:sz="4" w:space="0" w:color="auto"/>
            </w:tcBorders>
            <w:vAlign w:val="center"/>
          </w:tcPr>
          <w:p w14:paraId="439B268E" w14:textId="77777777" w:rsidR="00270A1F" w:rsidRPr="006710E4" w:rsidRDefault="00270A1F" w:rsidP="006615AD">
            <w:pPr>
              <w:pStyle w:val="Tabletext"/>
              <w:keepNext/>
              <w:keepLines/>
              <w:jc w:val="center"/>
              <w:rPr>
                <w:highlight w:val="yellow"/>
              </w:rPr>
            </w:pPr>
            <w:r w:rsidRPr="006710E4">
              <w:t>Doxorubicin (n=255): 60 mg/m</w:t>
            </w:r>
            <w:r w:rsidRPr="006710E4">
              <w:rPr>
                <w:vertAlign w:val="superscript"/>
              </w:rPr>
              <w:t>2</w:t>
            </w:r>
            <w:r w:rsidRPr="006710E4">
              <w:t xml:space="preserve"> by intravenous bolus injection or 1-hour IV infusion, on Day 1 of 21-day (3-week) cycles.</w:t>
            </w:r>
          </w:p>
        </w:tc>
        <w:tc>
          <w:tcPr>
            <w:tcW w:w="1418" w:type="dxa"/>
            <w:vAlign w:val="center"/>
          </w:tcPr>
          <w:p w14:paraId="32230083" w14:textId="77777777" w:rsidR="00270A1F" w:rsidRPr="006710E4" w:rsidRDefault="00270A1F" w:rsidP="006615AD">
            <w:pPr>
              <w:pStyle w:val="Tabletext"/>
              <w:keepNext/>
              <w:keepLines/>
              <w:jc w:val="center"/>
            </w:pPr>
            <w:r w:rsidRPr="006710E4">
              <w:t xml:space="preserve">Locally advanced, recurrent, or metastatic EC, following platinum plus </w:t>
            </w:r>
            <w:proofErr w:type="spellStart"/>
            <w:r w:rsidRPr="006710E4">
              <w:t>taxane</w:t>
            </w:r>
            <w:proofErr w:type="spellEnd"/>
            <w:r w:rsidRPr="006710E4">
              <w:t xml:space="preserve"> therapy.</w:t>
            </w:r>
          </w:p>
        </w:tc>
        <w:tc>
          <w:tcPr>
            <w:tcW w:w="850" w:type="dxa"/>
            <w:vAlign w:val="center"/>
          </w:tcPr>
          <w:p w14:paraId="62866829" w14:textId="77777777" w:rsidR="00270A1F" w:rsidRPr="006710E4" w:rsidRDefault="00270A1F" w:rsidP="006615AD">
            <w:pPr>
              <w:pStyle w:val="Tabletext"/>
              <w:keepNext/>
              <w:keepLines/>
              <w:jc w:val="center"/>
            </w:pPr>
            <w:r w:rsidRPr="006710E4">
              <w:t>OS, ORR, PFS</w:t>
            </w:r>
          </w:p>
        </w:tc>
        <w:tc>
          <w:tcPr>
            <w:tcW w:w="993" w:type="dxa"/>
            <w:vAlign w:val="center"/>
          </w:tcPr>
          <w:p w14:paraId="0FAF53EF" w14:textId="77777777" w:rsidR="00270A1F" w:rsidRPr="006710E4" w:rsidRDefault="00270A1F" w:rsidP="006615AD">
            <w:pPr>
              <w:pStyle w:val="Tabletext"/>
              <w:keepNext/>
              <w:keepLines/>
              <w:jc w:val="center"/>
            </w:pPr>
            <w:r w:rsidRPr="006710E4">
              <w:t>Yes, in the base case</w:t>
            </w:r>
          </w:p>
        </w:tc>
        <w:tc>
          <w:tcPr>
            <w:tcW w:w="1225" w:type="dxa"/>
            <w:vAlign w:val="center"/>
          </w:tcPr>
          <w:p w14:paraId="03D75CCA" w14:textId="1F299D78" w:rsidR="00270A1F" w:rsidRPr="006710E4" w:rsidRDefault="004B34F5" w:rsidP="006615AD">
            <w:pPr>
              <w:pStyle w:val="Tabletext"/>
              <w:keepNext/>
              <w:keepLines/>
              <w:jc w:val="center"/>
            </w:pPr>
            <w:r w:rsidRPr="006710E4">
              <w:t>Planned for 12</w:t>
            </w:r>
            <w:r w:rsidR="00135F12">
              <w:t> </w:t>
            </w:r>
            <w:r w:rsidR="00074C8D">
              <w:rPr>
                <w:vertAlign w:val="superscript"/>
              </w:rPr>
              <w:t>f</w:t>
            </w:r>
            <w:r w:rsidRPr="006710E4">
              <w:t xml:space="preserve">, </w:t>
            </w:r>
            <w:r w:rsidR="006917AF" w:rsidRPr="006710E4">
              <w:t xml:space="preserve">but </w:t>
            </w:r>
            <w:r w:rsidRPr="006710E4">
              <w:t xml:space="preserve">IPD indicated </w:t>
            </w:r>
            <w:r w:rsidR="006917AF" w:rsidRPr="006710E4">
              <w:t>a duration of 26.7</w:t>
            </w:r>
            <w:r w:rsidR="00074C8D">
              <w:rPr>
                <w:vertAlign w:val="superscript"/>
              </w:rPr>
              <w:t>g</w:t>
            </w:r>
          </w:p>
        </w:tc>
      </w:tr>
      <w:tr w:rsidR="00270A1F" w:rsidRPr="006710E4" w14:paraId="27A63627" w14:textId="77777777" w:rsidTr="00ED261D">
        <w:trPr>
          <w:tblHeader/>
        </w:trPr>
        <w:tc>
          <w:tcPr>
            <w:tcW w:w="846" w:type="dxa"/>
            <w:vAlign w:val="center"/>
          </w:tcPr>
          <w:p w14:paraId="7EB77EF5" w14:textId="77777777" w:rsidR="00270A1F" w:rsidRPr="006710E4" w:rsidRDefault="00270A1F" w:rsidP="006615AD">
            <w:pPr>
              <w:pStyle w:val="Tabletext"/>
              <w:keepNext/>
              <w:keepLines/>
            </w:pPr>
            <w:r w:rsidRPr="006710E4">
              <w:t>IXAMPLE2</w:t>
            </w:r>
          </w:p>
          <w:p w14:paraId="608E71D1" w14:textId="77777777" w:rsidR="00270A1F" w:rsidRPr="006710E4" w:rsidRDefault="00270A1F" w:rsidP="006615AD">
            <w:pPr>
              <w:pStyle w:val="Tabletext"/>
              <w:keepNext/>
              <w:keepLines/>
            </w:pPr>
            <w:r w:rsidRPr="006710E4">
              <w:t>N=496</w:t>
            </w:r>
          </w:p>
        </w:tc>
        <w:tc>
          <w:tcPr>
            <w:tcW w:w="992" w:type="dxa"/>
            <w:vAlign w:val="center"/>
          </w:tcPr>
          <w:p w14:paraId="53B13FA8" w14:textId="77777777" w:rsidR="00270A1F" w:rsidRPr="006710E4" w:rsidRDefault="00270A1F" w:rsidP="006615AD">
            <w:pPr>
              <w:pStyle w:val="Tabletext"/>
              <w:keepNext/>
              <w:keepLines/>
              <w:jc w:val="center"/>
            </w:pPr>
            <w:proofErr w:type="gramStart"/>
            <w:r w:rsidRPr="006710E4">
              <w:t>Open-label</w:t>
            </w:r>
            <w:proofErr w:type="gramEnd"/>
            <w:r w:rsidRPr="006710E4">
              <w:t>, randomised, Phase III</w:t>
            </w:r>
          </w:p>
        </w:tc>
        <w:tc>
          <w:tcPr>
            <w:tcW w:w="2693" w:type="dxa"/>
            <w:tcBorders>
              <w:top w:val="single" w:sz="4" w:space="0" w:color="auto"/>
              <w:left w:val="single" w:sz="4" w:space="0" w:color="auto"/>
              <w:bottom w:val="single" w:sz="4" w:space="0" w:color="auto"/>
              <w:right w:val="single" w:sz="4" w:space="0" w:color="auto"/>
            </w:tcBorders>
            <w:vAlign w:val="center"/>
          </w:tcPr>
          <w:p w14:paraId="51E3FCFA" w14:textId="77777777" w:rsidR="00270A1F" w:rsidRPr="006710E4" w:rsidRDefault="00270A1F" w:rsidP="006615AD">
            <w:pPr>
              <w:pStyle w:val="Tabletext"/>
              <w:keepNext/>
              <w:keepLines/>
              <w:jc w:val="center"/>
            </w:pPr>
            <w:r w:rsidRPr="006710E4">
              <w:t>Paclitaxel/doxorubicin (n=248)</w:t>
            </w:r>
          </w:p>
          <w:p w14:paraId="326CE0B5" w14:textId="77777777" w:rsidR="00270A1F" w:rsidRPr="006710E4" w:rsidRDefault="00270A1F" w:rsidP="006615AD">
            <w:pPr>
              <w:pStyle w:val="Tabletext"/>
              <w:keepNext/>
              <w:keepLines/>
              <w:jc w:val="center"/>
            </w:pPr>
            <w:r w:rsidRPr="006710E4">
              <w:t>Paclitaxel: 175 mg/m</w:t>
            </w:r>
            <w:r w:rsidRPr="006710E4">
              <w:rPr>
                <w:vertAlign w:val="superscript"/>
              </w:rPr>
              <w:t xml:space="preserve">2 </w:t>
            </w:r>
            <w:r w:rsidRPr="006710E4">
              <w:t>given IV over 3 hours, or per institutional guidelines but not exceeding 3 hours, every 21 days</w:t>
            </w:r>
          </w:p>
          <w:p w14:paraId="15F54A16" w14:textId="77777777" w:rsidR="00270A1F" w:rsidRPr="006710E4" w:rsidRDefault="00270A1F" w:rsidP="006615AD">
            <w:pPr>
              <w:pStyle w:val="Tabletext"/>
              <w:keepNext/>
              <w:keepLines/>
              <w:jc w:val="center"/>
            </w:pPr>
            <w:r w:rsidRPr="006710E4">
              <w:t>OR</w:t>
            </w:r>
          </w:p>
          <w:p w14:paraId="7E27E8A8" w14:textId="77777777" w:rsidR="00270A1F" w:rsidRPr="006710E4" w:rsidRDefault="00270A1F" w:rsidP="006615AD">
            <w:pPr>
              <w:pStyle w:val="Tabletext"/>
              <w:keepNext/>
              <w:keepLines/>
              <w:jc w:val="center"/>
              <w:rPr>
                <w:highlight w:val="yellow"/>
              </w:rPr>
            </w:pPr>
            <w:r w:rsidRPr="006710E4">
              <w:t>Doxorubicin: 60 mg/m</w:t>
            </w:r>
            <w:r w:rsidRPr="006710E4">
              <w:rPr>
                <w:vertAlign w:val="superscript"/>
              </w:rPr>
              <w:t>2</w:t>
            </w:r>
            <w:r w:rsidRPr="006710E4">
              <w:t xml:space="preserve"> given IV per institutional guidelines every 21 days, depending on the prior therapy received.</w:t>
            </w:r>
          </w:p>
        </w:tc>
        <w:tc>
          <w:tcPr>
            <w:tcW w:w="1418" w:type="dxa"/>
            <w:vAlign w:val="center"/>
          </w:tcPr>
          <w:p w14:paraId="5C157DD9" w14:textId="77777777" w:rsidR="00270A1F" w:rsidRPr="006710E4" w:rsidRDefault="00270A1F" w:rsidP="006615AD">
            <w:pPr>
              <w:pStyle w:val="Tabletext"/>
              <w:keepNext/>
              <w:keepLines/>
              <w:jc w:val="center"/>
            </w:pPr>
            <w:r w:rsidRPr="006710E4">
              <w:t>Locally advanced, recurrent, or metastatic EC, following PBC.</w:t>
            </w:r>
          </w:p>
        </w:tc>
        <w:tc>
          <w:tcPr>
            <w:tcW w:w="850" w:type="dxa"/>
            <w:vAlign w:val="center"/>
          </w:tcPr>
          <w:p w14:paraId="6C5592D7" w14:textId="77777777" w:rsidR="00270A1F" w:rsidRPr="006710E4" w:rsidRDefault="00270A1F" w:rsidP="006615AD">
            <w:pPr>
              <w:pStyle w:val="Tabletext"/>
              <w:keepNext/>
              <w:keepLines/>
              <w:jc w:val="center"/>
            </w:pPr>
            <w:r w:rsidRPr="006710E4">
              <w:t>OS, ORR, PFS</w:t>
            </w:r>
          </w:p>
        </w:tc>
        <w:tc>
          <w:tcPr>
            <w:tcW w:w="993" w:type="dxa"/>
            <w:vAlign w:val="center"/>
          </w:tcPr>
          <w:p w14:paraId="6C835AAC" w14:textId="77777777" w:rsidR="00270A1F" w:rsidRPr="006710E4" w:rsidRDefault="00270A1F" w:rsidP="006615AD">
            <w:pPr>
              <w:pStyle w:val="Tabletext"/>
              <w:keepNext/>
              <w:keepLines/>
              <w:jc w:val="center"/>
            </w:pPr>
            <w:r w:rsidRPr="006710E4">
              <w:t>Used in sensitivity analyses</w:t>
            </w:r>
          </w:p>
        </w:tc>
        <w:tc>
          <w:tcPr>
            <w:tcW w:w="1225" w:type="dxa"/>
            <w:vAlign w:val="center"/>
          </w:tcPr>
          <w:p w14:paraId="3F89E1BF" w14:textId="1A8AD78B" w:rsidR="00270A1F" w:rsidRPr="006710E4" w:rsidRDefault="004B34F5" w:rsidP="006615AD">
            <w:pPr>
              <w:pStyle w:val="Tabletext"/>
              <w:keepNext/>
              <w:keepLines/>
              <w:jc w:val="center"/>
            </w:pPr>
            <w:r w:rsidRPr="006710E4">
              <w:t xml:space="preserve">Planned for 6 </w:t>
            </w:r>
            <w:r w:rsidR="00074C8D">
              <w:rPr>
                <w:vertAlign w:val="superscript"/>
              </w:rPr>
              <w:t>h</w:t>
            </w:r>
          </w:p>
        </w:tc>
      </w:tr>
      <w:tr w:rsidR="00270A1F" w:rsidRPr="006710E4" w14:paraId="68ACA64F" w14:textId="77777777" w:rsidTr="00ED261D">
        <w:trPr>
          <w:tblHeader/>
        </w:trPr>
        <w:tc>
          <w:tcPr>
            <w:tcW w:w="846" w:type="dxa"/>
            <w:vAlign w:val="center"/>
          </w:tcPr>
          <w:p w14:paraId="2E7840DF" w14:textId="77777777" w:rsidR="00270A1F" w:rsidRPr="006710E4" w:rsidRDefault="00270A1F" w:rsidP="006615AD">
            <w:pPr>
              <w:pStyle w:val="Tabletext"/>
              <w:keepNext/>
              <w:keepLines/>
            </w:pPr>
            <w:r w:rsidRPr="006710E4">
              <w:t>KEYNOTE-775</w:t>
            </w:r>
          </w:p>
          <w:p w14:paraId="565D8885" w14:textId="77777777" w:rsidR="00270A1F" w:rsidRPr="006710E4" w:rsidRDefault="00270A1F" w:rsidP="006615AD">
            <w:pPr>
              <w:pStyle w:val="Tabletext"/>
              <w:keepNext/>
              <w:keepLines/>
            </w:pPr>
            <w:r w:rsidRPr="006710E4">
              <w:t>N=827</w:t>
            </w:r>
          </w:p>
        </w:tc>
        <w:tc>
          <w:tcPr>
            <w:tcW w:w="992" w:type="dxa"/>
            <w:vAlign w:val="center"/>
          </w:tcPr>
          <w:p w14:paraId="5D4B4A87" w14:textId="77777777" w:rsidR="00270A1F" w:rsidRPr="006710E4" w:rsidRDefault="00270A1F" w:rsidP="006615AD">
            <w:pPr>
              <w:pStyle w:val="Tabletext"/>
              <w:keepNext/>
              <w:keepLines/>
              <w:jc w:val="center"/>
            </w:pPr>
            <w:proofErr w:type="gramStart"/>
            <w:r w:rsidRPr="006710E4">
              <w:t>Open-label</w:t>
            </w:r>
            <w:proofErr w:type="gramEnd"/>
            <w:r w:rsidRPr="006710E4">
              <w:t>, randomised, Phase III</w:t>
            </w:r>
          </w:p>
        </w:tc>
        <w:tc>
          <w:tcPr>
            <w:tcW w:w="2693" w:type="dxa"/>
            <w:tcBorders>
              <w:top w:val="single" w:sz="4" w:space="0" w:color="auto"/>
              <w:left w:val="single" w:sz="4" w:space="0" w:color="auto"/>
              <w:bottom w:val="single" w:sz="4" w:space="0" w:color="auto"/>
              <w:right w:val="single" w:sz="4" w:space="0" w:color="auto"/>
            </w:tcBorders>
            <w:vAlign w:val="center"/>
          </w:tcPr>
          <w:p w14:paraId="2C7712AF" w14:textId="77777777" w:rsidR="00270A1F" w:rsidRPr="006710E4" w:rsidRDefault="00270A1F" w:rsidP="006615AD">
            <w:pPr>
              <w:pStyle w:val="Tabletext"/>
              <w:keepNext/>
              <w:keepLines/>
              <w:jc w:val="center"/>
            </w:pPr>
            <w:r w:rsidRPr="006710E4">
              <w:t>Paclitaxel/doxorubicin (n=416)</w:t>
            </w:r>
          </w:p>
          <w:p w14:paraId="6F147DCA" w14:textId="77777777" w:rsidR="00270A1F" w:rsidRPr="006710E4" w:rsidRDefault="00270A1F" w:rsidP="006615AD">
            <w:pPr>
              <w:pStyle w:val="Tabletext"/>
              <w:keepNext/>
              <w:keepLines/>
              <w:jc w:val="center"/>
            </w:pPr>
            <w:r w:rsidRPr="006710E4">
              <w:t>Paclitaxel: 80 mg/m</w:t>
            </w:r>
            <w:r w:rsidRPr="006710E4">
              <w:rPr>
                <w:vertAlign w:val="superscript"/>
              </w:rPr>
              <w:t>2</w:t>
            </w:r>
            <w:r w:rsidRPr="006710E4">
              <w:t xml:space="preserve"> given IV QW, three weeks out of every four</w:t>
            </w:r>
          </w:p>
          <w:p w14:paraId="002AB3C2" w14:textId="77777777" w:rsidR="00270A1F" w:rsidRPr="006710E4" w:rsidRDefault="00270A1F" w:rsidP="006615AD">
            <w:pPr>
              <w:pStyle w:val="Tabletext"/>
              <w:keepNext/>
              <w:keepLines/>
              <w:jc w:val="center"/>
            </w:pPr>
            <w:r w:rsidRPr="006710E4">
              <w:t>OR</w:t>
            </w:r>
          </w:p>
          <w:p w14:paraId="013ED93F" w14:textId="77777777" w:rsidR="00270A1F" w:rsidRPr="006710E4" w:rsidRDefault="00270A1F" w:rsidP="006615AD">
            <w:pPr>
              <w:pStyle w:val="Tabletext"/>
              <w:keepNext/>
              <w:keepLines/>
              <w:jc w:val="center"/>
              <w:rPr>
                <w:highlight w:val="yellow"/>
              </w:rPr>
            </w:pPr>
            <w:r w:rsidRPr="006710E4">
              <w:t>Doxorubicin: 60 mg/m</w:t>
            </w:r>
            <w:r w:rsidRPr="006710E4">
              <w:rPr>
                <w:vertAlign w:val="superscript"/>
              </w:rPr>
              <w:t>2</w:t>
            </w:r>
            <w:r w:rsidRPr="006710E4">
              <w:t xml:space="preserve"> given IV Q3W (up to a maximum cumulative dose of 500 mg/m</w:t>
            </w:r>
            <w:r w:rsidRPr="006710E4">
              <w:rPr>
                <w:vertAlign w:val="superscript"/>
              </w:rPr>
              <w:t>2</w:t>
            </w:r>
            <w:r w:rsidRPr="006710E4">
              <w:t>).</w:t>
            </w:r>
          </w:p>
        </w:tc>
        <w:tc>
          <w:tcPr>
            <w:tcW w:w="1418" w:type="dxa"/>
            <w:vAlign w:val="center"/>
          </w:tcPr>
          <w:p w14:paraId="6320E91A" w14:textId="77777777" w:rsidR="00270A1F" w:rsidRPr="006710E4" w:rsidRDefault="00270A1F" w:rsidP="006615AD">
            <w:pPr>
              <w:pStyle w:val="Tabletext"/>
              <w:keepNext/>
              <w:keepLines/>
              <w:jc w:val="center"/>
            </w:pPr>
            <w:r w:rsidRPr="006710E4">
              <w:t xml:space="preserve">Advanced, </w:t>
            </w:r>
            <w:proofErr w:type="gramStart"/>
            <w:r w:rsidRPr="006710E4">
              <w:t>recurrent</w:t>
            </w:r>
            <w:proofErr w:type="gramEnd"/>
            <w:r w:rsidRPr="006710E4">
              <w:t xml:space="preserve"> or metastatic EC, following PBC.</w:t>
            </w:r>
          </w:p>
        </w:tc>
        <w:tc>
          <w:tcPr>
            <w:tcW w:w="850" w:type="dxa"/>
            <w:vAlign w:val="center"/>
          </w:tcPr>
          <w:p w14:paraId="253309B1" w14:textId="77777777" w:rsidR="00270A1F" w:rsidRPr="006710E4" w:rsidRDefault="00270A1F" w:rsidP="006615AD">
            <w:pPr>
              <w:pStyle w:val="Tabletext"/>
              <w:keepNext/>
              <w:keepLines/>
              <w:jc w:val="center"/>
            </w:pPr>
            <w:r w:rsidRPr="006710E4">
              <w:t>OS, ORR, PFS</w:t>
            </w:r>
          </w:p>
        </w:tc>
        <w:tc>
          <w:tcPr>
            <w:tcW w:w="993" w:type="dxa"/>
            <w:vAlign w:val="center"/>
          </w:tcPr>
          <w:p w14:paraId="49C3506A" w14:textId="77777777" w:rsidR="00270A1F" w:rsidRPr="006710E4" w:rsidRDefault="00270A1F" w:rsidP="006615AD">
            <w:pPr>
              <w:pStyle w:val="Tabletext"/>
              <w:keepNext/>
              <w:keepLines/>
              <w:jc w:val="center"/>
            </w:pPr>
            <w:r w:rsidRPr="006710E4">
              <w:t>Used in sensitivity analyses</w:t>
            </w:r>
          </w:p>
        </w:tc>
        <w:tc>
          <w:tcPr>
            <w:tcW w:w="1225" w:type="dxa"/>
            <w:vAlign w:val="center"/>
          </w:tcPr>
          <w:p w14:paraId="009B80E6" w14:textId="5B7BA5E5" w:rsidR="00270A1F" w:rsidRPr="006710E4" w:rsidRDefault="004B34F5" w:rsidP="006615AD">
            <w:pPr>
              <w:pStyle w:val="Tabletext"/>
              <w:keepNext/>
              <w:keepLines/>
              <w:jc w:val="center"/>
            </w:pPr>
            <w:r w:rsidRPr="006710E4">
              <w:t xml:space="preserve">10.7 </w:t>
            </w:r>
            <w:proofErr w:type="spellStart"/>
            <w:r w:rsidR="00074C8D">
              <w:rPr>
                <w:vertAlign w:val="superscript"/>
              </w:rPr>
              <w:t>i</w:t>
            </w:r>
            <w:proofErr w:type="spellEnd"/>
          </w:p>
        </w:tc>
      </w:tr>
      <w:tr w:rsidR="00270A1F" w:rsidRPr="006710E4" w14:paraId="51241B98" w14:textId="77777777" w:rsidTr="00ED261D">
        <w:trPr>
          <w:tblHeader/>
        </w:trPr>
        <w:tc>
          <w:tcPr>
            <w:tcW w:w="846" w:type="dxa"/>
            <w:vAlign w:val="center"/>
          </w:tcPr>
          <w:p w14:paraId="42750BBA" w14:textId="77777777" w:rsidR="00270A1F" w:rsidRPr="006710E4" w:rsidRDefault="00270A1F" w:rsidP="006615AD">
            <w:pPr>
              <w:pStyle w:val="Tabletext"/>
              <w:keepNext/>
              <w:keepLines/>
            </w:pPr>
            <w:proofErr w:type="spellStart"/>
            <w:r w:rsidRPr="006710E4">
              <w:t>Scambia</w:t>
            </w:r>
            <w:proofErr w:type="spellEnd"/>
            <w:r w:rsidRPr="006710E4">
              <w:t xml:space="preserve"> 2020</w:t>
            </w:r>
          </w:p>
          <w:p w14:paraId="1F4FBA82" w14:textId="77777777" w:rsidR="00270A1F" w:rsidRPr="006710E4" w:rsidRDefault="00270A1F" w:rsidP="006615AD">
            <w:pPr>
              <w:pStyle w:val="Tabletext"/>
              <w:keepNext/>
              <w:keepLines/>
            </w:pPr>
            <w:r w:rsidRPr="006710E4">
              <w:t>N=241</w:t>
            </w:r>
          </w:p>
        </w:tc>
        <w:tc>
          <w:tcPr>
            <w:tcW w:w="992" w:type="dxa"/>
            <w:vAlign w:val="center"/>
          </w:tcPr>
          <w:p w14:paraId="50B2E232" w14:textId="77777777" w:rsidR="00270A1F" w:rsidRPr="006710E4" w:rsidRDefault="00270A1F" w:rsidP="006615AD">
            <w:pPr>
              <w:pStyle w:val="Tabletext"/>
              <w:keepNext/>
              <w:keepLines/>
              <w:jc w:val="center"/>
            </w:pPr>
            <w:proofErr w:type="gramStart"/>
            <w:r w:rsidRPr="006710E4">
              <w:t>Open-label</w:t>
            </w:r>
            <w:proofErr w:type="gramEnd"/>
            <w:r w:rsidRPr="006710E4">
              <w:t>, randomised, Phase III</w:t>
            </w:r>
          </w:p>
        </w:tc>
        <w:tc>
          <w:tcPr>
            <w:tcW w:w="2693" w:type="dxa"/>
            <w:tcBorders>
              <w:top w:val="single" w:sz="4" w:space="0" w:color="auto"/>
              <w:left w:val="single" w:sz="4" w:space="0" w:color="auto"/>
              <w:bottom w:val="single" w:sz="4" w:space="0" w:color="auto"/>
              <w:right w:val="single" w:sz="4" w:space="0" w:color="auto"/>
            </w:tcBorders>
            <w:vAlign w:val="center"/>
          </w:tcPr>
          <w:p w14:paraId="799C7140" w14:textId="77777777" w:rsidR="00270A1F" w:rsidRPr="006710E4" w:rsidRDefault="00270A1F" w:rsidP="006615AD">
            <w:pPr>
              <w:pStyle w:val="Tabletext"/>
              <w:keepNext/>
              <w:keepLines/>
              <w:jc w:val="center"/>
            </w:pPr>
            <w:r w:rsidRPr="006710E4">
              <w:t>Paclitaxel (n=90): 80 mg/m</w:t>
            </w:r>
            <w:r w:rsidRPr="006710E4">
              <w:rPr>
                <w:vertAlign w:val="superscript"/>
              </w:rPr>
              <w:t>2</w:t>
            </w:r>
            <w:r w:rsidRPr="006710E4">
              <w:t>, IV, weekly on Days 1, 8 and 15 of 28-day cycles.</w:t>
            </w:r>
          </w:p>
        </w:tc>
        <w:tc>
          <w:tcPr>
            <w:tcW w:w="1418" w:type="dxa"/>
            <w:vAlign w:val="center"/>
          </w:tcPr>
          <w:p w14:paraId="01B1A355" w14:textId="77777777" w:rsidR="00270A1F" w:rsidRPr="006710E4" w:rsidRDefault="00270A1F" w:rsidP="006615AD">
            <w:pPr>
              <w:pStyle w:val="Tabletext"/>
              <w:keepNext/>
              <w:keepLines/>
              <w:jc w:val="center"/>
            </w:pPr>
            <w:r w:rsidRPr="006710E4">
              <w:t>Advanced, recurrent, or persistent EC, following PBC.</w:t>
            </w:r>
          </w:p>
        </w:tc>
        <w:tc>
          <w:tcPr>
            <w:tcW w:w="850" w:type="dxa"/>
            <w:vAlign w:val="center"/>
          </w:tcPr>
          <w:p w14:paraId="2D971635" w14:textId="77777777" w:rsidR="00270A1F" w:rsidRPr="006710E4" w:rsidRDefault="00270A1F" w:rsidP="006615AD">
            <w:pPr>
              <w:pStyle w:val="Tabletext"/>
              <w:keepNext/>
              <w:keepLines/>
              <w:jc w:val="center"/>
            </w:pPr>
            <w:r w:rsidRPr="006710E4">
              <w:t>OS, ORR, PFS</w:t>
            </w:r>
          </w:p>
        </w:tc>
        <w:tc>
          <w:tcPr>
            <w:tcW w:w="993" w:type="dxa"/>
            <w:vAlign w:val="center"/>
          </w:tcPr>
          <w:p w14:paraId="3C719860" w14:textId="77777777" w:rsidR="00270A1F" w:rsidRPr="006710E4" w:rsidRDefault="00270A1F" w:rsidP="006615AD">
            <w:pPr>
              <w:pStyle w:val="Tabletext"/>
              <w:keepNext/>
              <w:keepLines/>
              <w:jc w:val="center"/>
            </w:pPr>
            <w:r w:rsidRPr="006710E4">
              <w:t>Not used</w:t>
            </w:r>
          </w:p>
        </w:tc>
        <w:tc>
          <w:tcPr>
            <w:tcW w:w="1225" w:type="dxa"/>
            <w:vAlign w:val="center"/>
          </w:tcPr>
          <w:p w14:paraId="16D3A9C1" w14:textId="31981716" w:rsidR="00270A1F" w:rsidRPr="006710E4" w:rsidRDefault="006917AF" w:rsidP="006615AD">
            <w:pPr>
              <w:pStyle w:val="Tabletext"/>
              <w:keepNext/>
              <w:keepLines/>
              <w:jc w:val="center"/>
            </w:pPr>
            <w:r w:rsidRPr="006710E4">
              <w:t>14.4</w:t>
            </w:r>
            <w:r w:rsidR="004B34F5" w:rsidRPr="006710E4">
              <w:t xml:space="preserve"> </w:t>
            </w:r>
            <w:r w:rsidR="00074C8D">
              <w:rPr>
                <w:vertAlign w:val="superscript"/>
              </w:rPr>
              <w:t>j</w:t>
            </w:r>
          </w:p>
        </w:tc>
      </w:tr>
      <w:tr w:rsidR="00270A1F" w:rsidRPr="006710E4" w14:paraId="3E1ECCF9" w14:textId="77777777" w:rsidTr="00ED261D">
        <w:trPr>
          <w:tblHeader/>
        </w:trPr>
        <w:tc>
          <w:tcPr>
            <w:tcW w:w="846" w:type="dxa"/>
            <w:vAlign w:val="center"/>
          </w:tcPr>
          <w:p w14:paraId="714375D3" w14:textId="77777777" w:rsidR="00270A1F" w:rsidRPr="006710E4" w:rsidRDefault="00270A1F" w:rsidP="006615AD">
            <w:pPr>
              <w:pStyle w:val="Tabletext"/>
              <w:keepNext/>
              <w:keepLines/>
            </w:pPr>
            <w:r w:rsidRPr="006710E4">
              <w:t>UK RWE</w:t>
            </w:r>
          </w:p>
          <w:p w14:paraId="440C172A" w14:textId="77777777" w:rsidR="00270A1F" w:rsidRPr="006710E4" w:rsidRDefault="00270A1F" w:rsidP="006615AD">
            <w:pPr>
              <w:pStyle w:val="Tabletext"/>
              <w:keepNext/>
              <w:keepLines/>
            </w:pPr>
            <w:r w:rsidRPr="006710E4">
              <w:t>N=45,494</w:t>
            </w:r>
          </w:p>
        </w:tc>
        <w:tc>
          <w:tcPr>
            <w:tcW w:w="992" w:type="dxa"/>
            <w:vAlign w:val="center"/>
          </w:tcPr>
          <w:p w14:paraId="1EE1754F" w14:textId="77777777" w:rsidR="00270A1F" w:rsidRPr="006710E4" w:rsidRDefault="00270A1F" w:rsidP="006615AD">
            <w:pPr>
              <w:pStyle w:val="Tabletext"/>
              <w:keepNext/>
              <w:keepLines/>
              <w:jc w:val="center"/>
            </w:pPr>
            <w:r w:rsidRPr="006710E4">
              <w:t>Descriptive, non-interventional</w:t>
            </w:r>
          </w:p>
        </w:tc>
        <w:tc>
          <w:tcPr>
            <w:tcW w:w="2693" w:type="dxa"/>
            <w:tcBorders>
              <w:top w:val="single" w:sz="4" w:space="0" w:color="auto"/>
              <w:left w:val="single" w:sz="4" w:space="0" w:color="auto"/>
              <w:bottom w:val="single" w:sz="4" w:space="0" w:color="auto"/>
              <w:right w:val="single" w:sz="4" w:space="0" w:color="auto"/>
            </w:tcBorders>
            <w:vAlign w:val="center"/>
          </w:tcPr>
          <w:p w14:paraId="4A5E2360" w14:textId="3BBA7AA6" w:rsidR="00270A1F" w:rsidRPr="006710E4" w:rsidRDefault="00A462F1" w:rsidP="006615AD">
            <w:pPr>
              <w:pStyle w:val="Tabletext"/>
              <w:keepNext/>
              <w:keepLines/>
              <w:jc w:val="center"/>
            </w:pPr>
            <w:r w:rsidRPr="006710E4">
              <w:t>Single agent or combination chemotherapy regimens</w:t>
            </w:r>
            <w:r w:rsidR="006E5A1C" w:rsidRPr="006710E4">
              <w:t xml:space="preserve"> including (but not limited to) carboplatin, cisplatin, paclitaxel, </w:t>
            </w:r>
            <w:proofErr w:type="gramStart"/>
            <w:r w:rsidR="006E5A1C" w:rsidRPr="006710E4">
              <w:t>doxorubicin</w:t>
            </w:r>
            <w:proofErr w:type="gramEnd"/>
            <w:r w:rsidR="006E5A1C" w:rsidRPr="006710E4">
              <w:t xml:space="preserve"> and gemcitabine</w:t>
            </w:r>
            <w:r w:rsidRPr="006710E4">
              <w:t>. Dosages not reported.</w:t>
            </w:r>
          </w:p>
        </w:tc>
        <w:tc>
          <w:tcPr>
            <w:tcW w:w="1418" w:type="dxa"/>
            <w:vAlign w:val="center"/>
          </w:tcPr>
          <w:p w14:paraId="18800540" w14:textId="77777777" w:rsidR="00270A1F" w:rsidRPr="006710E4" w:rsidRDefault="00270A1F" w:rsidP="006615AD">
            <w:pPr>
              <w:pStyle w:val="Tabletext"/>
              <w:keepNext/>
              <w:keepLines/>
              <w:jc w:val="center"/>
            </w:pPr>
            <w:r w:rsidRPr="006710E4">
              <w:t xml:space="preserve">Patients diagnosed with between 01/01/2013 and 31/12/2018 in England </w:t>
            </w:r>
            <w:r w:rsidRPr="006710E4">
              <w:rPr>
                <w:vertAlign w:val="superscript"/>
              </w:rPr>
              <w:t>c</w:t>
            </w:r>
            <w:r w:rsidRPr="006710E4">
              <w:t>.</w:t>
            </w:r>
          </w:p>
        </w:tc>
        <w:tc>
          <w:tcPr>
            <w:tcW w:w="850" w:type="dxa"/>
            <w:vAlign w:val="center"/>
          </w:tcPr>
          <w:p w14:paraId="5112C63B" w14:textId="77777777" w:rsidR="00270A1F" w:rsidRPr="006710E4" w:rsidRDefault="00270A1F" w:rsidP="006615AD">
            <w:pPr>
              <w:pStyle w:val="Tabletext"/>
              <w:keepNext/>
              <w:keepLines/>
              <w:jc w:val="center"/>
            </w:pPr>
            <w:r w:rsidRPr="006710E4">
              <w:t>OS, TTNT, TTD</w:t>
            </w:r>
          </w:p>
        </w:tc>
        <w:tc>
          <w:tcPr>
            <w:tcW w:w="993" w:type="dxa"/>
            <w:vAlign w:val="center"/>
          </w:tcPr>
          <w:p w14:paraId="6837E3C3" w14:textId="77777777" w:rsidR="00270A1F" w:rsidRPr="006710E4" w:rsidRDefault="00270A1F" w:rsidP="006615AD">
            <w:pPr>
              <w:pStyle w:val="Tabletext"/>
              <w:keepNext/>
              <w:keepLines/>
              <w:jc w:val="center"/>
            </w:pPr>
            <w:r w:rsidRPr="006710E4">
              <w:t>Used in sensitivity analyses</w:t>
            </w:r>
          </w:p>
        </w:tc>
        <w:tc>
          <w:tcPr>
            <w:tcW w:w="1225" w:type="dxa"/>
            <w:vAlign w:val="center"/>
          </w:tcPr>
          <w:p w14:paraId="4209885E" w14:textId="6DA74438" w:rsidR="00270A1F" w:rsidRPr="006710E4" w:rsidRDefault="006917AF" w:rsidP="006615AD">
            <w:pPr>
              <w:pStyle w:val="Tabletext"/>
              <w:keepNext/>
              <w:keepLines/>
              <w:jc w:val="center"/>
            </w:pPr>
            <w:r w:rsidRPr="006710E4">
              <w:t xml:space="preserve">GARNET-like loose cohort: </w:t>
            </w:r>
            <w:proofErr w:type="gramStart"/>
            <w:r w:rsidRPr="006710E4">
              <w:t>27.4;</w:t>
            </w:r>
            <w:proofErr w:type="gramEnd"/>
          </w:p>
          <w:p w14:paraId="025626E5" w14:textId="4830EAC3" w:rsidR="004B34F5" w:rsidRPr="006710E4" w:rsidRDefault="006917AF" w:rsidP="006615AD">
            <w:pPr>
              <w:pStyle w:val="Tabletext"/>
              <w:keepNext/>
              <w:keepLines/>
              <w:jc w:val="center"/>
            </w:pPr>
            <w:r w:rsidRPr="006710E4">
              <w:t xml:space="preserve">GARNET-like strict cohort: </w:t>
            </w:r>
            <w:r w:rsidR="004B34F5" w:rsidRPr="006710E4">
              <w:t>27.0</w:t>
            </w:r>
          </w:p>
        </w:tc>
      </w:tr>
    </w:tbl>
    <w:p w14:paraId="3EAA45A0" w14:textId="77777777" w:rsidR="00AD5264" w:rsidRPr="006710E4" w:rsidRDefault="00AD5264" w:rsidP="006615AD">
      <w:pPr>
        <w:pStyle w:val="TableFooter"/>
        <w:keepNext/>
        <w:keepLines/>
      </w:pPr>
      <w:r w:rsidRPr="006710E4">
        <w:t>Source: Table 18, p63 of the submission.</w:t>
      </w:r>
    </w:p>
    <w:p w14:paraId="253DDB73" w14:textId="2B6E1750" w:rsidR="00AD5264" w:rsidRPr="006710E4" w:rsidRDefault="00AD5264" w:rsidP="006615AD">
      <w:pPr>
        <w:pStyle w:val="TableFooter"/>
        <w:keepNext/>
        <w:keepLines/>
      </w:pPr>
      <w:r w:rsidRPr="006710E4">
        <w:t xml:space="preserve">A/R = advanced or recurrent; </w:t>
      </w:r>
      <w:proofErr w:type="spellStart"/>
      <w:r w:rsidRPr="006710E4">
        <w:t>dMMR</w:t>
      </w:r>
      <w:proofErr w:type="spellEnd"/>
      <w:r w:rsidRPr="006710E4">
        <w:t xml:space="preserve"> = mismatch repair deficient; EC = endometrial cancer;</w:t>
      </w:r>
      <w:r w:rsidR="009651D5" w:rsidRPr="006710E4">
        <w:t xml:space="preserve"> IPD = individual patient data; ITT = intention-to-treat;</w:t>
      </w:r>
      <w:r w:rsidRPr="006710E4">
        <w:t xml:space="preserve"> N/A = not applicable; </w:t>
      </w:r>
      <w:r w:rsidR="009651D5" w:rsidRPr="006710E4">
        <w:t xml:space="preserve">N/R = not reported; </w:t>
      </w:r>
      <w:r w:rsidRPr="006710E4">
        <w:t xml:space="preserve">ORR = objective response rate; OS = overall response; PBC = platinum-based chemotherapy; </w:t>
      </w:r>
      <w:r w:rsidR="009651D5" w:rsidRPr="006710E4">
        <w:t xml:space="preserve">PES = primary efficacy set; </w:t>
      </w:r>
      <w:r w:rsidRPr="006710E4">
        <w:t xml:space="preserve">PFS = progression-free survival; RWE = real world evidence; TTD = time to treatment discontinuation; TTNT = time to next treatment. </w:t>
      </w:r>
    </w:p>
    <w:p w14:paraId="511899D3" w14:textId="77777777" w:rsidR="00AD5264" w:rsidRPr="006710E4" w:rsidRDefault="00AD5264" w:rsidP="006615AD">
      <w:pPr>
        <w:pStyle w:val="TableFooter"/>
        <w:keepNext/>
        <w:keepLines/>
      </w:pPr>
      <w:r w:rsidRPr="006710E4">
        <w:t xml:space="preserve">a </w:t>
      </w:r>
      <w:proofErr w:type="gramStart"/>
      <w:r w:rsidRPr="006710E4">
        <w:t>Total patients</w:t>
      </w:r>
      <w:proofErr w:type="gramEnd"/>
      <w:r w:rsidRPr="006710E4">
        <w:t xml:space="preserve"> in the intent-to-treat population included in all arms of the study/trial. </w:t>
      </w:r>
    </w:p>
    <w:p w14:paraId="37D225B2" w14:textId="77777777" w:rsidR="00AD5264" w:rsidRPr="006710E4" w:rsidRDefault="00AD5264" w:rsidP="006615AD">
      <w:pPr>
        <w:pStyle w:val="TableFooter"/>
        <w:keepNext/>
        <w:keepLines/>
      </w:pPr>
      <w:r w:rsidRPr="006710E4">
        <w:lastRenderedPageBreak/>
        <w:t xml:space="preserve">b </w:t>
      </w:r>
      <w:proofErr w:type="gramStart"/>
      <w:r w:rsidRPr="006710E4">
        <w:t>The</w:t>
      </w:r>
      <w:proofErr w:type="gramEnd"/>
      <w:r w:rsidRPr="006710E4">
        <w:t xml:space="preserve"> complete arms of the SoC trials were as follows: </w:t>
      </w:r>
      <w:proofErr w:type="spellStart"/>
      <w:r w:rsidRPr="006710E4">
        <w:t>ZoptEC</w:t>
      </w:r>
      <w:proofErr w:type="spellEnd"/>
      <w:r w:rsidRPr="006710E4">
        <w:t xml:space="preserve">: </w:t>
      </w:r>
      <w:proofErr w:type="spellStart"/>
      <w:r w:rsidRPr="006710E4">
        <w:t>zoptarelin</w:t>
      </w:r>
      <w:proofErr w:type="spellEnd"/>
      <w:r w:rsidRPr="006710E4">
        <w:t xml:space="preserve"> doxorubicin vs. doxorubicin; IXAMPLE2: ixabepilone vs. paclitaxel or doxorubicin; KEYNOTE-775: </w:t>
      </w:r>
      <w:proofErr w:type="spellStart"/>
      <w:r w:rsidRPr="006710E4">
        <w:t>lenvatinib</w:t>
      </w:r>
      <w:proofErr w:type="spellEnd"/>
      <w:r w:rsidRPr="006710E4">
        <w:t xml:space="preserve"> plus pembrolizumab vs. paclitaxel or doxorubicin; </w:t>
      </w:r>
      <w:proofErr w:type="spellStart"/>
      <w:r w:rsidRPr="006710E4">
        <w:t>Scambia</w:t>
      </w:r>
      <w:proofErr w:type="spellEnd"/>
      <w:r w:rsidRPr="006710E4">
        <w:t xml:space="preserve"> 2020: Paclitaxel plus </w:t>
      </w:r>
      <w:proofErr w:type="spellStart"/>
      <w:r w:rsidRPr="006710E4">
        <w:t>sapanisertib</w:t>
      </w:r>
      <w:proofErr w:type="spellEnd"/>
      <w:r w:rsidRPr="006710E4">
        <w:t xml:space="preserve"> vs. </w:t>
      </w:r>
      <w:proofErr w:type="spellStart"/>
      <w:r w:rsidRPr="006710E4">
        <w:t>sapanisertib</w:t>
      </w:r>
      <w:proofErr w:type="spellEnd"/>
      <w:r w:rsidRPr="006710E4">
        <w:t xml:space="preserve"> vs. </w:t>
      </w:r>
      <w:proofErr w:type="spellStart"/>
      <w:r w:rsidRPr="006710E4">
        <w:t>sapanisertib</w:t>
      </w:r>
      <w:proofErr w:type="spellEnd"/>
      <w:r w:rsidRPr="006710E4">
        <w:t xml:space="preserve"> plus </w:t>
      </w:r>
      <w:proofErr w:type="spellStart"/>
      <w:r w:rsidRPr="006710E4">
        <w:t>serabelisib</w:t>
      </w:r>
      <w:proofErr w:type="spellEnd"/>
      <w:r w:rsidRPr="006710E4">
        <w:t xml:space="preserve"> vs. paclitaxel. </w:t>
      </w:r>
    </w:p>
    <w:p w14:paraId="6C01437E" w14:textId="15D308C4" w:rsidR="007F1017" w:rsidRPr="006710E4" w:rsidRDefault="00AD5264" w:rsidP="006615AD">
      <w:pPr>
        <w:pStyle w:val="TableFooter"/>
        <w:keepNext/>
        <w:keepLines/>
      </w:pPr>
      <w:r w:rsidRPr="006710E4">
        <w:t>c Inclusion and exclusion criteria were applied to the population by the submission to derive GARNET-like cohorts (</w:t>
      </w:r>
      <w:proofErr w:type="gramStart"/>
      <w:r w:rsidRPr="006710E4">
        <w:t>i.e.</w:t>
      </w:r>
      <w:proofErr w:type="gramEnd"/>
      <w:r w:rsidRPr="006710E4">
        <w:t xml:space="preserve"> advanced or recurrent disease, and confirmed receipt of prior platinum-doublet therapy).</w:t>
      </w:r>
    </w:p>
    <w:p w14:paraId="43E97682" w14:textId="77777777" w:rsidR="00074C8D" w:rsidRDefault="00B562E6" w:rsidP="006615AD">
      <w:pPr>
        <w:pStyle w:val="TableFooter"/>
        <w:keepNext/>
        <w:keepLines/>
      </w:pPr>
      <w:r w:rsidRPr="006710E4">
        <w:t>d Indicated by the submission (p104) and used in the submission’s economic model, but could not be verified during the evaluation</w:t>
      </w:r>
    </w:p>
    <w:p w14:paraId="5B7DC989" w14:textId="77777777" w:rsidR="00074C8D" w:rsidRPr="00074C8D" w:rsidRDefault="00074C8D" w:rsidP="00074C8D">
      <w:pPr>
        <w:pStyle w:val="TableFooter"/>
        <w:keepNext/>
        <w:keepLines/>
      </w:pPr>
      <w:r>
        <w:t>e</w:t>
      </w:r>
      <w:r w:rsidR="00B562E6" w:rsidRPr="006710E4">
        <w:t xml:space="preserve"> </w:t>
      </w:r>
      <w:r w:rsidRPr="00074C8D">
        <w:t>Note that the median duration of follow-up based on ITT was derived from a post-hoc analysis performed specifically for the purposes of informing the PBAC consideration. This analysis was not part of the pre-specified statistical plan for GARNET. Interpretation of the results and their application should therefore be limited to seeking to understand the basis for the PBAC outcome and should not be used for any other purpose.</w:t>
      </w:r>
    </w:p>
    <w:p w14:paraId="339103D5" w14:textId="32BA791D" w:rsidR="00B562E6" w:rsidRPr="006710E4" w:rsidRDefault="00074C8D" w:rsidP="006615AD">
      <w:pPr>
        <w:pStyle w:val="TableFooter"/>
        <w:keepNext/>
        <w:keepLines/>
      </w:pPr>
      <w:r>
        <w:t>f</w:t>
      </w:r>
      <w:r w:rsidR="00B562E6" w:rsidRPr="006710E4">
        <w:t xml:space="preserve"> It was expected that approximately 500 patients will be enrolled during an estimated 24-month recruitment period and will then be followed for 12 months to observe a total of approximately 384 death events (</w:t>
      </w:r>
      <w:proofErr w:type="spellStart"/>
      <w:r w:rsidR="00B562E6" w:rsidRPr="006710E4">
        <w:t>ZoptEC</w:t>
      </w:r>
      <w:proofErr w:type="spellEnd"/>
      <w:r w:rsidR="00B562E6" w:rsidRPr="006710E4">
        <w:t xml:space="preserve"> protocol, p60)</w:t>
      </w:r>
    </w:p>
    <w:p w14:paraId="773021B1" w14:textId="5E5D8BDC" w:rsidR="00074C8D" w:rsidRDefault="00074C8D" w:rsidP="006615AD">
      <w:pPr>
        <w:pStyle w:val="TableFooter"/>
        <w:keepNext/>
        <w:keepLines/>
      </w:pPr>
      <w:r>
        <w:t xml:space="preserve">g </w:t>
      </w:r>
      <w:r w:rsidRPr="00074C8D">
        <w:t>Note that the median duration of follow-up was presented specifically for the purposes of informing the PBAC consideration. Interpretation of the results and their application should therefore be limited to seeking to understand the basis for the PBAC outcome and should not be used for any other purpose.</w:t>
      </w:r>
    </w:p>
    <w:p w14:paraId="5C03F4AF" w14:textId="36C52A5F" w:rsidR="00B562E6" w:rsidRPr="006710E4" w:rsidRDefault="00074C8D" w:rsidP="006615AD">
      <w:pPr>
        <w:pStyle w:val="TableFooter"/>
        <w:keepNext/>
        <w:keepLines/>
      </w:pPr>
      <w:r>
        <w:t>h</w:t>
      </w:r>
      <w:r w:rsidR="00B562E6" w:rsidRPr="006710E4">
        <w:t xml:space="preserve"> </w:t>
      </w:r>
      <w:proofErr w:type="gramStart"/>
      <w:r w:rsidR="00B562E6" w:rsidRPr="006710E4">
        <w:t>An</w:t>
      </w:r>
      <w:proofErr w:type="gramEnd"/>
      <w:r w:rsidR="00B562E6" w:rsidRPr="006710E4">
        <w:t xml:space="preserve"> interim analysis was conducted after 176 deaths had been observed or 300 patients had been randomized and followed for 6 months, whichever came earlier (IXAMPLE2 publication McMeekin 2015, p3).</w:t>
      </w:r>
    </w:p>
    <w:p w14:paraId="0DF66367" w14:textId="44F75A60" w:rsidR="00B562E6" w:rsidRPr="006710E4" w:rsidRDefault="00074C8D" w:rsidP="006615AD">
      <w:pPr>
        <w:pStyle w:val="TableFooter"/>
        <w:keepNext/>
        <w:keepLines/>
      </w:pPr>
      <w:proofErr w:type="spellStart"/>
      <w:r>
        <w:t>i</w:t>
      </w:r>
      <w:proofErr w:type="spellEnd"/>
      <w:r w:rsidR="00B562E6" w:rsidRPr="006710E4">
        <w:t xml:space="preserve"> </w:t>
      </w:r>
      <w:proofErr w:type="gramStart"/>
      <w:r w:rsidR="00B562E6" w:rsidRPr="006710E4">
        <w:t>For</w:t>
      </w:r>
      <w:proofErr w:type="gramEnd"/>
      <w:r w:rsidR="00B562E6" w:rsidRPr="006710E4">
        <w:t xml:space="preserve"> pts randomized to treatment of physician’s choice (i.e. paclitaxel or doxorubicin) based on data </w:t>
      </w:r>
      <w:proofErr w:type="spellStart"/>
      <w:r w:rsidR="00B562E6" w:rsidRPr="006710E4">
        <w:t>cutoff</w:t>
      </w:r>
      <w:proofErr w:type="spellEnd"/>
      <w:r w:rsidR="00B562E6" w:rsidRPr="006710E4">
        <w:t xml:space="preserve"> of October 26, 2020 (</w:t>
      </w:r>
      <w:proofErr w:type="spellStart"/>
      <w:r w:rsidR="00B562E6" w:rsidRPr="006710E4">
        <w:t>Makker</w:t>
      </w:r>
      <w:proofErr w:type="spellEnd"/>
      <w:r w:rsidR="00B562E6" w:rsidRPr="006710E4">
        <w:t xml:space="preserve"> 2021). Median follow-up for the treatment of physician’s choice arm of the </w:t>
      </w:r>
      <w:proofErr w:type="spellStart"/>
      <w:r w:rsidR="00B562E6" w:rsidRPr="006710E4">
        <w:t>dMMR</w:t>
      </w:r>
      <w:proofErr w:type="spellEnd"/>
      <w:r w:rsidR="00B562E6" w:rsidRPr="006710E4">
        <w:t xml:space="preserve"> subgroup was 8.8 months based on data </w:t>
      </w:r>
      <w:proofErr w:type="spellStart"/>
      <w:r w:rsidR="00B562E6" w:rsidRPr="006710E4">
        <w:t>cutoff</w:t>
      </w:r>
      <w:proofErr w:type="spellEnd"/>
      <w:r w:rsidR="00B562E6" w:rsidRPr="006710E4">
        <w:t xml:space="preserve"> of October 26, 2020 (</w:t>
      </w:r>
      <w:proofErr w:type="spellStart"/>
      <w:r w:rsidR="00B562E6" w:rsidRPr="006710E4">
        <w:t>Makker</w:t>
      </w:r>
      <w:proofErr w:type="spellEnd"/>
      <w:r w:rsidR="00B562E6" w:rsidRPr="006710E4">
        <w:t xml:space="preserve"> 2021b).</w:t>
      </w:r>
    </w:p>
    <w:p w14:paraId="788AF60A" w14:textId="6052E2E0" w:rsidR="00B562E6" w:rsidRPr="006710E4" w:rsidRDefault="00074C8D" w:rsidP="006615AD">
      <w:pPr>
        <w:pStyle w:val="TableFooter"/>
        <w:keepNext/>
        <w:keepLines/>
      </w:pPr>
      <w:r>
        <w:t>j</w:t>
      </w:r>
      <w:r w:rsidR="00B562E6" w:rsidRPr="006710E4">
        <w:t xml:space="preserve"> Based on data </w:t>
      </w:r>
      <w:proofErr w:type="spellStart"/>
      <w:r w:rsidR="00B562E6" w:rsidRPr="006710E4">
        <w:t>cutoff</w:t>
      </w:r>
      <w:proofErr w:type="spellEnd"/>
      <w:r w:rsidR="00B562E6" w:rsidRPr="006710E4">
        <w:t xml:space="preserve"> of </w:t>
      </w:r>
      <w:r w:rsidR="002D5868">
        <w:t xml:space="preserve">30 </w:t>
      </w:r>
      <w:r w:rsidR="00B562E6" w:rsidRPr="006710E4">
        <w:t>July 2019 (</w:t>
      </w:r>
      <w:proofErr w:type="spellStart"/>
      <w:r w:rsidR="00B562E6" w:rsidRPr="006710E4">
        <w:t>Scambia</w:t>
      </w:r>
      <w:proofErr w:type="spellEnd"/>
      <w:r w:rsidR="00B562E6" w:rsidRPr="006710E4">
        <w:t xml:space="preserve"> 2020)</w:t>
      </w:r>
    </w:p>
    <w:p w14:paraId="6FBCF39C" w14:textId="77777777" w:rsidR="00B51E7C" w:rsidRPr="006710E4" w:rsidRDefault="00B51E7C" w:rsidP="00B51E7C"/>
    <w:p w14:paraId="360F2C30" w14:textId="35F99C60" w:rsidR="008822EE" w:rsidRPr="006710E4" w:rsidRDefault="008822EE" w:rsidP="00E24AE9">
      <w:pPr>
        <w:pStyle w:val="ListParagraph"/>
        <w:widowControl/>
        <w:numPr>
          <w:ilvl w:val="1"/>
          <w:numId w:val="2"/>
        </w:numPr>
      </w:pPr>
      <w:r w:rsidRPr="006710E4">
        <w:t xml:space="preserve">GARNET is an on-going, single-arm, open-label, first-in-human phase I/II study of </w:t>
      </w:r>
      <w:proofErr w:type="spellStart"/>
      <w:r w:rsidRPr="006710E4">
        <w:t>dostarlimab</w:t>
      </w:r>
      <w:proofErr w:type="spellEnd"/>
      <w:r w:rsidRPr="006710E4">
        <w:t xml:space="preserve"> in patients with advanced solid tumours. The GARNET study had several patient cohorts. Of these, Cohort A1 and A2 were most relevant to the submission: </w:t>
      </w:r>
    </w:p>
    <w:p w14:paraId="7F1EF810" w14:textId="61355919" w:rsidR="008822EE" w:rsidRPr="006710E4" w:rsidRDefault="008822EE" w:rsidP="00E24AE9">
      <w:pPr>
        <w:pStyle w:val="ListParagraph"/>
        <w:widowControl/>
        <w:numPr>
          <w:ilvl w:val="0"/>
          <w:numId w:val="7"/>
        </w:numPr>
        <w:spacing w:after="0"/>
        <w:ind w:left="993" w:hanging="284"/>
      </w:pPr>
      <w:r w:rsidRPr="006710E4">
        <w:t>Cohort A1 (n=129</w:t>
      </w:r>
      <w:r w:rsidR="00216ABC">
        <w:t xml:space="preserve"> in submission data-cut; n = 153 in PSCR data-cut</w:t>
      </w:r>
      <w:r w:rsidRPr="006710E4">
        <w:t xml:space="preserve">): </w:t>
      </w:r>
      <w:proofErr w:type="spellStart"/>
      <w:r w:rsidRPr="006710E4">
        <w:t>dMMR</w:t>
      </w:r>
      <w:proofErr w:type="spellEnd"/>
      <w:r w:rsidRPr="006710E4">
        <w:t>/MSI-H EC patients who have progressed on or after platinum doublet therapy; and</w:t>
      </w:r>
    </w:p>
    <w:p w14:paraId="621F7AB7" w14:textId="1E0DB556" w:rsidR="008822EE" w:rsidRPr="006710E4" w:rsidRDefault="008822EE" w:rsidP="00E24AE9">
      <w:pPr>
        <w:pStyle w:val="ListParagraph"/>
        <w:widowControl/>
        <w:numPr>
          <w:ilvl w:val="0"/>
          <w:numId w:val="7"/>
        </w:numPr>
        <w:ind w:left="993" w:hanging="284"/>
      </w:pPr>
      <w:r w:rsidRPr="006710E4">
        <w:t xml:space="preserve">Cohort A2 (n=161): </w:t>
      </w:r>
      <w:proofErr w:type="spellStart"/>
      <w:r w:rsidRPr="006710E4">
        <w:t>pMMR</w:t>
      </w:r>
      <w:proofErr w:type="spellEnd"/>
      <w:r w:rsidRPr="006710E4">
        <w:t>/microsatellite stable (MSS) EC patients who have progressed on or after platinum doublet therapy.</w:t>
      </w:r>
    </w:p>
    <w:p w14:paraId="0EF262E3" w14:textId="04045D8E" w:rsidR="001474F6" w:rsidRPr="006710E4" w:rsidRDefault="001474F6" w:rsidP="001474F6">
      <w:pPr>
        <w:pStyle w:val="ListParagraph"/>
        <w:widowControl/>
      </w:pPr>
      <w:r w:rsidRPr="006710E4">
        <w:t>Other cohorts (E, F, and G) involved other types of solid tumours (such as non-small cell lung cancer and primary peritoneal cancer) and were therefore not included as clini</w:t>
      </w:r>
      <w:r w:rsidR="0056565B" w:rsidRPr="006710E4">
        <w:t>cal evidence in the submission.</w:t>
      </w:r>
    </w:p>
    <w:p w14:paraId="4B83BBF3" w14:textId="634307D2" w:rsidR="00045017" w:rsidRPr="006710E4" w:rsidRDefault="008372A0" w:rsidP="00E24AE9">
      <w:pPr>
        <w:pStyle w:val="ListParagraph"/>
        <w:widowControl/>
        <w:numPr>
          <w:ilvl w:val="1"/>
          <w:numId w:val="2"/>
        </w:numPr>
      </w:pPr>
      <w:r w:rsidRPr="006710E4">
        <w:t xml:space="preserve">The UK RWE was a </w:t>
      </w:r>
      <w:r w:rsidR="0028357D">
        <w:t xml:space="preserve">sponsor-commissioned, </w:t>
      </w:r>
      <w:r w:rsidRPr="006710E4">
        <w:t>descriptive, non-interventional, study using data available through the National Cancer Registration and Analysis Service (NCRAS) in England. The study in</w:t>
      </w:r>
      <w:r w:rsidR="0062650E" w:rsidRPr="006710E4">
        <w:t xml:space="preserve">cluded patients diagnosed with A/R EC between 2013 and 2018. From study entry, patients were followed prospectively to the occurrence of events of interest, such as treatment or death. </w:t>
      </w:r>
      <w:r w:rsidR="008D5466">
        <w:rPr>
          <w:iCs/>
        </w:rPr>
        <w:t>O</w:t>
      </w:r>
      <w:r w:rsidR="00E86227" w:rsidRPr="006710E4">
        <w:t xml:space="preserve">nly selected results were provided. </w:t>
      </w:r>
    </w:p>
    <w:p w14:paraId="06333C96" w14:textId="66726EA7" w:rsidR="008D1F8A" w:rsidRPr="006710E4" w:rsidRDefault="008D1F8A" w:rsidP="00E24AE9">
      <w:pPr>
        <w:pStyle w:val="ListParagraph"/>
        <w:widowControl/>
        <w:numPr>
          <w:ilvl w:val="1"/>
          <w:numId w:val="2"/>
        </w:numPr>
      </w:pPr>
      <w:r w:rsidRPr="006710E4">
        <w:rPr>
          <w:iCs/>
        </w:rPr>
        <w:t xml:space="preserve">From the UK RWE, </w:t>
      </w:r>
      <w:r w:rsidRPr="006710E4">
        <w:t xml:space="preserve">a “GARNET-like cohort”, matched to GARNET Cohort A1 was created </w:t>
      </w:r>
      <w:r w:rsidRPr="008D5466">
        <w:rPr>
          <w:i/>
          <w:iCs/>
        </w:rPr>
        <w:t>post hoc</w:t>
      </w:r>
      <w:r w:rsidRPr="006710E4">
        <w:rPr>
          <w:iCs/>
        </w:rPr>
        <w:t>.</w:t>
      </w:r>
      <w:r w:rsidRPr="006710E4">
        <w:t xml:space="preserve"> Two sub-cohorts, referred to as the “GARNET-like (loose) cohort” (include</w:t>
      </w:r>
      <w:r w:rsidR="007310F1" w:rsidRPr="006710E4">
        <w:t>d</w:t>
      </w:r>
      <w:r w:rsidRPr="006710E4">
        <w:t xml:space="preserve"> patients with baseline </w:t>
      </w:r>
      <w:r w:rsidR="007310F1" w:rsidRPr="006710E4">
        <w:t xml:space="preserve">PS </w:t>
      </w:r>
      <w:r w:rsidR="007310F1" w:rsidRPr="006710E4">
        <w:rPr>
          <w:rFonts w:cs="Calibri"/>
        </w:rPr>
        <w:t>≤</w:t>
      </w:r>
      <w:r w:rsidR="007310F1" w:rsidRPr="006710E4">
        <w:t>1 or missing data)</w:t>
      </w:r>
      <w:r w:rsidRPr="006710E4">
        <w:t xml:space="preserve"> and the “GARNET-like (strict) cohort”</w:t>
      </w:r>
      <w:r w:rsidR="007310F1" w:rsidRPr="006710E4">
        <w:t xml:space="preserve"> (included only patients with baseline PS </w:t>
      </w:r>
      <w:r w:rsidR="007310F1" w:rsidRPr="006710E4">
        <w:rPr>
          <w:rFonts w:cs="Calibri"/>
        </w:rPr>
        <w:t>≤</w:t>
      </w:r>
      <w:r w:rsidR="007310F1" w:rsidRPr="006710E4">
        <w:t>1)</w:t>
      </w:r>
      <w:r w:rsidRPr="006710E4">
        <w:t xml:space="preserve">, were used in the naïve comparison to </w:t>
      </w:r>
      <w:proofErr w:type="spellStart"/>
      <w:r w:rsidRPr="006710E4">
        <w:t>dostarlimab</w:t>
      </w:r>
      <w:proofErr w:type="spellEnd"/>
      <w:r w:rsidRPr="006710E4">
        <w:t xml:space="preserve"> by the submission.</w:t>
      </w:r>
    </w:p>
    <w:p w14:paraId="3F82CE26" w14:textId="0B392CF2" w:rsidR="00D50336" w:rsidRPr="006710E4" w:rsidRDefault="004E28F1" w:rsidP="00F34DC5">
      <w:pPr>
        <w:pStyle w:val="ListParagraph"/>
        <w:widowControl/>
        <w:numPr>
          <w:ilvl w:val="1"/>
          <w:numId w:val="2"/>
        </w:numPr>
      </w:pPr>
      <w:r w:rsidRPr="006710E4">
        <w:t>N</w:t>
      </w:r>
      <w:r w:rsidR="00131A74" w:rsidRPr="006710E4">
        <w:t xml:space="preserve">one of the trials </w:t>
      </w:r>
      <w:r w:rsidR="009867E0" w:rsidRPr="006710E4">
        <w:t xml:space="preserve">that informed SoC </w:t>
      </w:r>
      <w:r w:rsidR="00131A74" w:rsidRPr="006710E4">
        <w:t>restricted patient enrolment by MMR status</w:t>
      </w:r>
      <w:r w:rsidR="00D123E9" w:rsidRPr="00D123E9">
        <w:t xml:space="preserve"> </w:t>
      </w:r>
      <w:r w:rsidR="00D123E9">
        <w:t>(</w:t>
      </w:r>
      <w:r w:rsidR="00D123E9" w:rsidRPr="006710E4">
        <w:t>MMR status was only assessed in GARNET and KEYNOTE-775</w:t>
      </w:r>
      <w:r w:rsidR="00D123E9">
        <w:t>)</w:t>
      </w:r>
      <w:r w:rsidRPr="006710E4">
        <w:t>. However, the submission</w:t>
      </w:r>
      <w:r w:rsidR="00131A74" w:rsidRPr="006710E4">
        <w:t xml:space="preserve"> </w:t>
      </w:r>
      <w:r w:rsidR="0033298E" w:rsidRPr="006710E4">
        <w:t xml:space="preserve">considered that </w:t>
      </w:r>
      <w:r w:rsidR="00D123E9">
        <w:t xml:space="preserve">this would not affect the exchangeability of the studies as it claimed </w:t>
      </w:r>
      <w:r w:rsidR="0033298E" w:rsidRPr="006710E4">
        <w:t>MMR status was not a treatment effect modifier for chemotherapy</w:t>
      </w:r>
      <w:r w:rsidR="00D123E9">
        <w:t xml:space="preserve">, based on systematic literature reviews </w:t>
      </w:r>
      <w:r w:rsidR="0033298E" w:rsidRPr="006710E4">
        <w:t xml:space="preserve">and </w:t>
      </w:r>
      <w:r w:rsidR="00D123E9">
        <w:t xml:space="preserve">the </w:t>
      </w:r>
      <w:r w:rsidR="00D123E9" w:rsidRPr="006710E4">
        <w:t xml:space="preserve">fact that the OS confidence interval in </w:t>
      </w:r>
      <w:proofErr w:type="spellStart"/>
      <w:r w:rsidR="00D123E9" w:rsidRPr="006710E4">
        <w:t>dMMR</w:t>
      </w:r>
      <w:proofErr w:type="spellEnd"/>
      <w:r w:rsidR="00D123E9" w:rsidRPr="006710E4">
        <w:t xml:space="preserve"> </w:t>
      </w:r>
      <w:r w:rsidR="00D123E9" w:rsidRPr="006710E4">
        <w:lastRenderedPageBreak/>
        <w:t xml:space="preserve">and </w:t>
      </w:r>
      <w:proofErr w:type="spellStart"/>
      <w:r w:rsidR="00D123E9" w:rsidRPr="006710E4">
        <w:t>pMMR</w:t>
      </w:r>
      <w:proofErr w:type="spellEnd"/>
      <w:r w:rsidR="00D123E9" w:rsidRPr="006710E4">
        <w:t xml:space="preserve"> patients treated with SoC in KEYNOTE-775 overlapped </w:t>
      </w:r>
      <w:r w:rsidR="00D123E9" w:rsidRPr="006710E4">
        <w:rPr>
          <w:iCs/>
        </w:rPr>
        <w:t xml:space="preserve">(see paragraph </w:t>
      </w:r>
      <w:r w:rsidR="00D123E9" w:rsidRPr="006710E4">
        <w:rPr>
          <w:iCs/>
        </w:rPr>
        <w:fldChar w:fldCharType="begin"/>
      </w:r>
      <w:r w:rsidR="00D123E9" w:rsidRPr="006710E4">
        <w:rPr>
          <w:iCs/>
        </w:rPr>
        <w:instrText xml:space="preserve"> REF _Ref93090868 \r \h  \* MERGEFORMAT </w:instrText>
      </w:r>
      <w:r w:rsidR="00D123E9" w:rsidRPr="006710E4">
        <w:rPr>
          <w:iCs/>
        </w:rPr>
      </w:r>
      <w:r w:rsidR="00D123E9" w:rsidRPr="006710E4">
        <w:rPr>
          <w:iCs/>
        </w:rPr>
        <w:fldChar w:fldCharType="separate"/>
      </w:r>
      <w:r w:rsidR="004975AD">
        <w:rPr>
          <w:iCs/>
        </w:rPr>
        <w:t>6.18</w:t>
      </w:r>
      <w:r w:rsidR="00D123E9" w:rsidRPr="006710E4">
        <w:rPr>
          <w:iCs/>
        </w:rPr>
        <w:fldChar w:fldCharType="end"/>
      </w:r>
      <w:r w:rsidR="00D123E9" w:rsidRPr="006710E4">
        <w:rPr>
          <w:iCs/>
        </w:rPr>
        <w:t>)</w:t>
      </w:r>
      <w:r w:rsidR="00D123E9">
        <w:rPr>
          <w:iCs/>
        </w:rPr>
        <w:t xml:space="preserve">. </w:t>
      </w:r>
      <w:r w:rsidR="0033298E" w:rsidRPr="006710E4">
        <w:t xml:space="preserve">Overall, </w:t>
      </w:r>
      <w:r w:rsidR="00133E3B" w:rsidRPr="006710E4">
        <w:t xml:space="preserve">the evidence presented </w:t>
      </w:r>
      <w:r w:rsidR="00336F98" w:rsidRPr="006710E4">
        <w:t xml:space="preserve">by the submission </w:t>
      </w:r>
      <w:r w:rsidR="00730D88" w:rsidRPr="006710E4">
        <w:t xml:space="preserve">to support the assertion that MMR status was not a treatment effect modifier for chemotherapy </w:t>
      </w:r>
      <w:r w:rsidR="00133E3B" w:rsidRPr="006710E4">
        <w:t xml:space="preserve">was inconsistent and limited by the heterogeneity of studies </w:t>
      </w:r>
      <w:r w:rsidR="00A17E91" w:rsidRPr="006710E4">
        <w:t xml:space="preserve">included in the literature reviews </w:t>
      </w:r>
      <w:r w:rsidR="00133E3B" w:rsidRPr="006710E4">
        <w:t>and sample size issues</w:t>
      </w:r>
      <w:r w:rsidR="0033298E" w:rsidRPr="006710E4">
        <w:t xml:space="preserve">. </w:t>
      </w:r>
      <w:r w:rsidR="00517E72" w:rsidRPr="001A7CD8">
        <w:rPr>
          <w:iCs/>
        </w:rPr>
        <w:t xml:space="preserve">The ESC </w:t>
      </w:r>
      <w:r w:rsidR="002D5868">
        <w:rPr>
          <w:iCs/>
        </w:rPr>
        <w:t>noted</w:t>
      </w:r>
      <w:r w:rsidR="00517E72" w:rsidRPr="001A7CD8">
        <w:rPr>
          <w:iCs/>
        </w:rPr>
        <w:t xml:space="preserve"> that there was a lack of evidence regarding </w:t>
      </w:r>
      <w:proofErr w:type="gramStart"/>
      <w:r w:rsidR="00517E72" w:rsidRPr="001A7CD8">
        <w:rPr>
          <w:iCs/>
        </w:rPr>
        <w:t>whether or not</w:t>
      </w:r>
      <w:proofErr w:type="gramEnd"/>
      <w:r w:rsidR="00517E72" w:rsidRPr="001A7CD8">
        <w:rPr>
          <w:iCs/>
        </w:rPr>
        <w:t xml:space="preserve"> MMR status was a treatment effect modifier</w:t>
      </w:r>
      <w:r w:rsidR="00D123E9" w:rsidRPr="001A7CD8">
        <w:rPr>
          <w:iCs/>
        </w:rPr>
        <w:t xml:space="preserve"> for chemotherapy</w:t>
      </w:r>
      <w:r w:rsidR="00517E72" w:rsidRPr="001A7CD8">
        <w:rPr>
          <w:iCs/>
        </w:rPr>
        <w:t xml:space="preserve"> but considered the fact that the comparator </w:t>
      </w:r>
      <w:r w:rsidR="0023267E" w:rsidRPr="001A7CD8">
        <w:rPr>
          <w:iCs/>
        </w:rPr>
        <w:t>studie</w:t>
      </w:r>
      <w:r w:rsidR="00517E72" w:rsidRPr="001A7CD8">
        <w:rPr>
          <w:iCs/>
        </w:rPr>
        <w:t xml:space="preserve">s included all-comers (rather than being restricted to </w:t>
      </w:r>
      <w:proofErr w:type="spellStart"/>
      <w:r w:rsidR="00517E72" w:rsidRPr="001A7CD8">
        <w:rPr>
          <w:iCs/>
        </w:rPr>
        <w:t>dMMR</w:t>
      </w:r>
      <w:proofErr w:type="spellEnd"/>
      <w:r w:rsidR="00517E72" w:rsidRPr="001A7CD8">
        <w:rPr>
          <w:iCs/>
        </w:rPr>
        <w:t xml:space="preserve"> patients)</w:t>
      </w:r>
      <w:r w:rsidR="00AF4F54" w:rsidRPr="001A7CD8">
        <w:rPr>
          <w:iCs/>
        </w:rPr>
        <w:t xml:space="preserve"> may have biased against </w:t>
      </w:r>
      <w:proofErr w:type="spellStart"/>
      <w:r w:rsidR="00AF4F54" w:rsidRPr="001A7CD8">
        <w:rPr>
          <w:iCs/>
        </w:rPr>
        <w:t>dostarlimab</w:t>
      </w:r>
      <w:proofErr w:type="spellEnd"/>
      <w:r w:rsidR="00AF4F54" w:rsidRPr="001A7CD8">
        <w:rPr>
          <w:iCs/>
        </w:rPr>
        <w:t xml:space="preserve"> given the limited evidence available</w:t>
      </w:r>
      <w:r w:rsidR="0023267E" w:rsidRPr="001A7CD8">
        <w:rPr>
          <w:iCs/>
        </w:rPr>
        <w:t xml:space="preserve"> from KEYNOTE-775</w:t>
      </w:r>
      <w:r w:rsidR="00AF4F54" w:rsidRPr="001A7CD8">
        <w:rPr>
          <w:iCs/>
        </w:rPr>
        <w:t xml:space="preserve"> tended to indicate that patients with </w:t>
      </w:r>
      <w:proofErr w:type="spellStart"/>
      <w:r w:rsidR="00AF4F54" w:rsidRPr="001A7CD8">
        <w:rPr>
          <w:iCs/>
        </w:rPr>
        <w:t>dMMR</w:t>
      </w:r>
      <w:proofErr w:type="spellEnd"/>
      <w:r w:rsidR="00AF4F54" w:rsidRPr="001A7CD8">
        <w:rPr>
          <w:iCs/>
        </w:rPr>
        <w:t xml:space="preserve"> status </w:t>
      </w:r>
      <w:r w:rsidR="0023267E" w:rsidRPr="001A7CD8">
        <w:rPr>
          <w:iCs/>
        </w:rPr>
        <w:t xml:space="preserve">may have </w:t>
      </w:r>
      <w:r w:rsidR="00AF4F54" w:rsidRPr="001A7CD8">
        <w:rPr>
          <w:iCs/>
        </w:rPr>
        <w:t xml:space="preserve">had poorer outcomes with chemotherapy than those with </w:t>
      </w:r>
      <w:proofErr w:type="spellStart"/>
      <w:r w:rsidR="00AF4F54" w:rsidRPr="001A7CD8">
        <w:rPr>
          <w:iCs/>
        </w:rPr>
        <w:t>pMMR</w:t>
      </w:r>
      <w:proofErr w:type="spellEnd"/>
      <w:r w:rsidR="00AF4F54" w:rsidRPr="001A7CD8">
        <w:rPr>
          <w:iCs/>
        </w:rPr>
        <w:t>.</w:t>
      </w:r>
    </w:p>
    <w:p w14:paraId="3C7ABF50" w14:textId="436CB678" w:rsidR="00C3771F" w:rsidRPr="006710E4" w:rsidRDefault="00C57DDF" w:rsidP="00E24AE9">
      <w:pPr>
        <w:pStyle w:val="ListParagraph"/>
        <w:widowControl/>
        <w:numPr>
          <w:ilvl w:val="1"/>
          <w:numId w:val="2"/>
        </w:numPr>
      </w:pPr>
      <w:r w:rsidRPr="006710E4">
        <w:t>In GARNET Cohort A1 and A2, t</w:t>
      </w:r>
      <w:r w:rsidR="009D0560" w:rsidRPr="006710E4">
        <w:t>he primary efficacy set</w:t>
      </w:r>
      <w:r w:rsidR="00626514" w:rsidRPr="006710E4">
        <w:t xml:space="preserve"> (n=105</w:t>
      </w:r>
      <w:r w:rsidR="00301974">
        <w:t xml:space="preserve"> in the data-cut provided in the submission</w:t>
      </w:r>
      <w:r w:rsidR="00626514" w:rsidRPr="006710E4">
        <w:t>)</w:t>
      </w:r>
      <w:r w:rsidR="009D0560" w:rsidRPr="006710E4">
        <w:t xml:space="preserve">, defined as all patients who received any amount of study drug with measurable disease at baseline who had the opportunity for at least 24 weeks of tumour assessment at the time of analysis, was used for the assessment of </w:t>
      </w:r>
      <w:r w:rsidR="00684C89" w:rsidRPr="006710E4">
        <w:t>the primary outcome of ORR</w:t>
      </w:r>
      <w:r w:rsidR="00626514" w:rsidRPr="006710E4">
        <w:t xml:space="preserve"> instead of the ITT population (n=129)</w:t>
      </w:r>
      <w:r w:rsidR="00684C89" w:rsidRPr="006710E4">
        <w:t xml:space="preserve">. </w:t>
      </w:r>
      <w:r w:rsidR="00255486">
        <w:t>I</w:t>
      </w:r>
      <w:r w:rsidR="00684C89" w:rsidRPr="006710E4">
        <w:t xml:space="preserve">t was unclear if the </w:t>
      </w:r>
      <w:r w:rsidR="00EE5EF2" w:rsidRPr="006710E4">
        <w:t>trade</w:t>
      </w:r>
      <w:r w:rsidR="00D23AB6" w:rsidRPr="006710E4">
        <w:t>-</w:t>
      </w:r>
      <w:r w:rsidR="00EE5EF2" w:rsidRPr="006710E4">
        <w:t xml:space="preserve">off </w:t>
      </w:r>
      <w:r w:rsidR="00D23AB6" w:rsidRPr="006710E4">
        <w:t xml:space="preserve">between </w:t>
      </w:r>
      <w:r w:rsidR="00EE5EF2" w:rsidRPr="006710E4">
        <w:t xml:space="preserve">a longer duration </w:t>
      </w:r>
      <w:r w:rsidR="00612105" w:rsidRPr="006710E4">
        <w:t xml:space="preserve">of </w:t>
      </w:r>
      <w:r w:rsidR="00EE5EF2" w:rsidRPr="006710E4">
        <w:t>follow</w:t>
      </w:r>
      <w:r w:rsidR="00612105" w:rsidRPr="006710E4">
        <w:t>-</w:t>
      </w:r>
      <w:r w:rsidR="00EE5EF2" w:rsidRPr="006710E4">
        <w:t xml:space="preserve">up </w:t>
      </w:r>
      <w:r w:rsidR="00D23AB6" w:rsidRPr="006710E4">
        <w:t xml:space="preserve">for a smaller sample size would provide more </w:t>
      </w:r>
      <w:r w:rsidR="00612105" w:rsidRPr="006710E4">
        <w:t xml:space="preserve">reliable </w:t>
      </w:r>
      <w:r w:rsidR="00D23AB6" w:rsidRPr="006710E4">
        <w:t xml:space="preserve">data or </w:t>
      </w:r>
      <w:r w:rsidR="00684C89" w:rsidRPr="006710E4">
        <w:t>if the loss of statistical power would introduce more uncertainty in the result</w:t>
      </w:r>
      <w:r w:rsidR="00612105" w:rsidRPr="006710E4">
        <w:t xml:space="preserve">, </w:t>
      </w:r>
      <w:r w:rsidR="00255486">
        <w:t xml:space="preserve">however </w:t>
      </w:r>
      <w:r w:rsidR="00684C89" w:rsidRPr="006710E4">
        <w:t xml:space="preserve">the ITT results were more favourable for </w:t>
      </w:r>
      <w:proofErr w:type="spellStart"/>
      <w:r w:rsidR="00684C89" w:rsidRPr="006710E4">
        <w:t>dostarlimab</w:t>
      </w:r>
      <w:proofErr w:type="spellEnd"/>
      <w:r w:rsidR="00684C89" w:rsidRPr="006710E4">
        <w:t xml:space="preserve"> compared to the primary efficacy set results for OS and PFS.</w:t>
      </w:r>
    </w:p>
    <w:p w14:paraId="3F0680F6" w14:textId="027AE7F2" w:rsidR="00A77A04" w:rsidRPr="006710E4" w:rsidRDefault="00A77A04" w:rsidP="00E24AE9">
      <w:pPr>
        <w:pStyle w:val="ListParagraph"/>
        <w:widowControl/>
        <w:numPr>
          <w:ilvl w:val="1"/>
          <w:numId w:val="2"/>
        </w:numPr>
      </w:pPr>
      <w:bookmarkStart w:id="12" w:name="_Ref92666712"/>
      <w:r w:rsidRPr="006710E4">
        <w:rPr>
          <w:iCs/>
        </w:rPr>
        <w:t>The submission also defined a main analysis set from GARNET Cohort A1</w:t>
      </w:r>
      <w:r w:rsidR="006030D6" w:rsidRPr="006710E4">
        <w:rPr>
          <w:iCs/>
        </w:rPr>
        <w:t xml:space="preserve"> which was used to inform the IPTW with doxorubicin. </w:t>
      </w:r>
      <w:r w:rsidR="00F6756D" w:rsidRPr="006710E4">
        <w:rPr>
          <w:iCs/>
        </w:rPr>
        <w:t xml:space="preserve">The main analysis set (N=325, with 92 patients from GARNET </w:t>
      </w:r>
      <w:r w:rsidR="005F143C" w:rsidRPr="006710E4">
        <w:rPr>
          <w:iCs/>
        </w:rPr>
        <w:t xml:space="preserve">Cohort A1 </w:t>
      </w:r>
      <w:r w:rsidR="00F6756D" w:rsidRPr="006710E4">
        <w:rPr>
          <w:iCs/>
        </w:rPr>
        <w:t xml:space="preserve">and 233 from </w:t>
      </w:r>
      <w:proofErr w:type="spellStart"/>
      <w:r w:rsidR="00F6756D" w:rsidRPr="006710E4">
        <w:rPr>
          <w:iCs/>
        </w:rPr>
        <w:t>ZoptEC</w:t>
      </w:r>
      <w:proofErr w:type="spellEnd"/>
      <w:r w:rsidR="00F6756D" w:rsidRPr="006710E4">
        <w:rPr>
          <w:iCs/>
        </w:rPr>
        <w:t xml:space="preserve">) was constructed </w:t>
      </w:r>
      <w:proofErr w:type="gramStart"/>
      <w:r w:rsidR="00F6756D" w:rsidRPr="006710E4">
        <w:rPr>
          <w:iCs/>
        </w:rPr>
        <w:t>in an attempt to</w:t>
      </w:r>
      <w:proofErr w:type="gramEnd"/>
      <w:r w:rsidR="00F6756D" w:rsidRPr="006710E4">
        <w:rPr>
          <w:iCs/>
        </w:rPr>
        <w:t xml:space="preserve"> balance baseline characteristics between GARNET Cohort A1 and </w:t>
      </w:r>
      <w:proofErr w:type="spellStart"/>
      <w:r w:rsidR="00F6756D" w:rsidRPr="006710E4">
        <w:rPr>
          <w:iCs/>
        </w:rPr>
        <w:t>ZoptEC</w:t>
      </w:r>
      <w:proofErr w:type="spellEnd"/>
      <w:r w:rsidR="00F6756D" w:rsidRPr="006710E4">
        <w:rPr>
          <w:iCs/>
        </w:rPr>
        <w:t xml:space="preserve"> by excluding patients who did not have an ECOG score of 0 or 1, had previously received more than one prior platinum</w:t>
      </w:r>
      <w:r w:rsidR="002D5868">
        <w:rPr>
          <w:iCs/>
        </w:rPr>
        <w:t>-</w:t>
      </w:r>
      <w:r w:rsidR="00F6756D" w:rsidRPr="006710E4">
        <w:rPr>
          <w:iCs/>
        </w:rPr>
        <w:t xml:space="preserve">based therapy, or had a follow up greater than 36 months in </w:t>
      </w:r>
      <w:proofErr w:type="spellStart"/>
      <w:r w:rsidR="00F6756D" w:rsidRPr="006710E4">
        <w:rPr>
          <w:iCs/>
        </w:rPr>
        <w:t>ZoptEC</w:t>
      </w:r>
      <w:proofErr w:type="spellEnd"/>
      <w:r w:rsidR="00F6756D" w:rsidRPr="006710E4">
        <w:rPr>
          <w:iCs/>
        </w:rPr>
        <w:t>.</w:t>
      </w:r>
      <w:bookmarkEnd w:id="12"/>
      <w:r w:rsidR="00F6756D" w:rsidRPr="006710E4">
        <w:rPr>
          <w:iCs/>
        </w:rPr>
        <w:t xml:space="preserve"> </w:t>
      </w:r>
    </w:p>
    <w:p w14:paraId="4A4FE085" w14:textId="77777777" w:rsidR="00B60939" w:rsidRPr="00FF79DB" w:rsidRDefault="00B60939" w:rsidP="00C9624D">
      <w:pPr>
        <w:pStyle w:val="Heading2"/>
      </w:pPr>
      <w:bookmarkStart w:id="13" w:name="_Toc93481980"/>
      <w:r w:rsidRPr="00FF79DB">
        <w:t>Comparative effectiveness</w:t>
      </w:r>
      <w:bookmarkEnd w:id="13"/>
    </w:p>
    <w:p w14:paraId="756527DA" w14:textId="5E7B8FA0" w:rsidR="00B60939" w:rsidRPr="00FF79DB" w:rsidRDefault="00B60939" w:rsidP="00B60939"/>
    <w:p w14:paraId="4541C5B1" w14:textId="1635D9D5" w:rsidR="0089332C" w:rsidRPr="00FF79DB" w:rsidRDefault="0089332C" w:rsidP="0089332C">
      <w:pPr>
        <w:pStyle w:val="Heading3"/>
      </w:pPr>
      <w:r w:rsidRPr="00FF79DB">
        <w:t>Key outcomes presented by the submission</w:t>
      </w:r>
    </w:p>
    <w:p w14:paraId="2AF29067" w14:textId="33847B11" w:rsidR="0089332C" w:rsidRPr="001A7CD8" w:rsidRDefault="00126995" w:rsidP="00126995">
      <w:pPr>
        <w:pStyle w:val="ListParagraph"/>
        <w:widowControl/>
        <w:numPr>
          <w:ilvl w:val="1"/>
          <w:numId w:val="2"/>
        </w:numPr>
        <w:rPr>
          <w:iCs/>
        </w:rPr>
      </w:pPr>
      <w:r w:rsidRPr="001A7CD8">
        <w:rPr>
          <w:iCs/>
        </w:rPr>
        <w:t xml:space="preserve">The PSCR presented OS data from a more recent data-cut of GARNET, interim analysis 3 (IA-3) </w:t>
      </w:r>
      <w:r w:rsidR="0089244D" w:rsidRPr="001A7CD8">
        <w:rPr>
          <w:iCs/>
        </w:rPr>
        <w:t xml:space="preserve">which was </w:t>
      </w:r>
      <w:r w:rsidRPr="001A7CD8">
        <w:rPr>
          <w:iCs/>
        </w:rPr>
        <w:t>based on a data cut-off date of 1 November 2021, as shown in the figure below.</w:t>
      </w:r>
    </w:p>
    <w:p w14:paraId="35B7EE69" w14:textId="77777777" w:rsidR="00126995" w:rsidRPr="00FF79DB" w:rsidRDefault="00126995" w:rsidP="0089332C"/>
    <w:p w14:paraId="70EFB035" w14:textId="4D6B3B56" w:rsidR="00126995" w:rsidRPr="001A7CD8" w:rsidRDefault="00126995" w:rsidP="00C329CF">
      <w:pPr>
        <w:pStyle w:val="Caption"/>
        <w:keepNext/>
        <w:keepLines/>
        <w:spacing w:after="0"/>
        <w:rPr>
          <w:rFonts w:ascii="Arial Narrow" w:hAnsi="Arial Narrow" w:cstheme="minorBidi"/>
          <w:iCs/>
          <w:snapToGrid/>
          <w:color w:val="auto"/>
          <w:sz w:val="20"/>
          <w:szCs w:val="20"/>
        </w:rPr>
      </w:pPr>
      <w:r w:rsidRPr="001A7CD8">
        <w:rPr>
          <w:rFonts w:ascii="Arial Narrow" w:hAnsi="Arial Narrow"/>
          <w:iCs/>
          <w:color w:val="auto"/>
          <w:sz w:val="20"/>
          <w:szCs w:val="20"/>
        </w:rPr>
        <w:lastRenderedPageBreak/>
        <w:t xml:space="preserve">Figure </w:t>
      </w:r>
      <w:bookmarkStart w:id="14" w:name="_Ref95481902"/>
      <w:r w:rsidRPr="001A7CD8">
        <w:rPr>
          <w:rFonts w:ascii="Arial Narrow" w:hAnsi="Arial Narrow"/>
          <w:iCs/>
          <w:color w:val="auto"/>
          <w:sz w:val="20"/>
          <w:szCs w:val="20"/>
        </w:rPr>
        <w:fldChar w:fldCharType="begin"/>
      </w:r>
      <w:r w:rsidRPr="001A7CD8">
        <w:rPr>
          <w:rFonts w:ascii="Arial Narrow" w:hAnsi="Arial Narrow"/>
          <w:iCs/>
          <w:color w:val="auto"/>
          <w:sz w:val="20"/>
          <w:szCs w:val="20"/>
        </w:rPr>
        <w:instrText xml:space="preserve"> SEQ Figure \* ARABIC </w:instrText>
      </w:r>
      <w:r w:rsidRPr="001A7CD8">
        <w:rPr>
          <w:rFonts w:ascii="Arial Narrow" w:hAnsi="Arial Narrow"/>
          <w:iCs/>
          <w:color w:val="auto"/>
          <w:sz w:val="20"/>
          <w:szCs w:val="20"/>
        </w:rPr>
        <w:fldChar w:fldCharType="separate"/>
      </w:r>
      <w:r w:rsidR="004975AD">
        <w:rPr>
          <w:rFonts w:ascii="Arial Narrow" w:hAnsi="Arial Narrow"/>
          <w:iCs/>
          <w:noProof/>
          <w:color w:val="auto"/>
          <w:sz w:val="20"/>
          <w:szCs w:val="20"/>
        </w:rPr>
        <w:t>1</w:t>
      </w:r>
      <w:r w:rsidRPr="001A7CD8">
        <w:rPr>
          <w:rFonts w:ascii="Arial Narrow" w:hAnsi="Arial Narrow"/>
          <w:iCs/>
          <w:color w:val="auto"/>
          <w:sz w:val="20"/>
          <w:szCs w:val="20"/>
        </w:rPr>
        <w:fldChar w:fldCharType="end"/>
      </w:r>
      <w:bookmarkEnd w:id="14"/>
      <w:r w:rsidRPr="001A7CD8">
        <w:rPr>
          <w:rFonts w:ascii="Arial Narrow" w:hAnsi="Arial Narrow"/>
          <w:iCs/>
          <w:color w:val="auto"/>
          <w:sz w:val="20"/>
          <w:szCs w:val="20"/>
        </w:rPr>
        <w:t>: Kaplan-Meier OS from GARNET Cohort A1</w:t>
      </w:r>
      <w:r w:rsidR="00C329CF" w:rsidRPr="001A7CD8">
        <w:rPr>
          <w:rFonts w:ascii="Arial Narrow" w:hAnsi="Arial Narrow"/>
          <w:iCs/>
          <w:color w:val="auto"/>
          <w:sz w:val="20"/>
          <w:szCs w:val="20"/>
        </w:rPr>
        <w:t xml:space="preserve"> (data cut-off 1 November 2021</w:t>
      </w:r>
      <w:r w:rsidRPr="001A7CD8">
        <w:rPr>
          <w:rFonts w:ascii="Arial Narrow" w:hAnsi="Arial Narrow"/>
          <w:iCs/>
          <w:color w:val="auto"/>
          <w:sz w:val="20"/>
          <w:szCs w:val="20"/>
        </w:rPr>
        <w:t>)</w:t>
      </w:r>
    </w:p>
    <w:p w14:paraId="3647C7FC" w14:textId="48AA54F6" w:rsidR="00126995" w:rsidRDefault="00126995" w:rsidP="00C329CF">
      <w:pPr>
        <w:keepNext/>
        <w:keepLines/>
      </w:pPr>
      <w:r>
        <w:rPr>
          <w:noProof/>
          <w:lang w:eastAsia="en-AU"/>
        </w:rPr>
        <w:drawing>
          <wp:inline distT="0" distB="0" distL="0" distR="0" wp14:anchorId="00CDC448" wp14:editId="118F651E">
            <wp:extent cx="5695950" cy="3317195"/>
            <wp:effectExtent l="0" t="0" r="0" b="0"/>
            <wp:docPr id="3" name="Picture 3" descr="Figure 1: Kaplan-Meier OS from GARNET Cohort A1 (data cut-off 1 November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igure 1: Kaplan-Meier OS from GARNET Cohort A1 (data cut-off 1 November 20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1735" cy="3332212"/>
                    </a:xfrm>
                    <a:prstGeom prst="rect">
                      <a:avLst/>
                    </a:prstGeom>
                    <a:noFill/>
                    <a:ln>
                      <a:noFill/>
                    </a:ln>
                  </pic:spPr>
                </pic:pic>
              </a:graphicData>
            </a:graphic>
          </wp:inline>
        </w:drawing>
      </w:r>
    </w:p>
    <w:p w14:paraId="6CC17C64" w14:textId="2A07062D" w:rsidR="00126995" w:rsidRPr="00126995" w:rsidRDefault="00126995" w:rsidP="00C329CF">
      <w:pPr>
        <w:keepNext/>
        <w:keepLines/>
        <w:widowControl/>
        <w:rPr>
          <w:rFonts w:ascii="Arial Narrow" w:hAnsi="Arial Narrow"/>
          <w:sz w:val="18"/>
          <w:szCs w:val="18"/>
        </w:rPr>
      </w:pPr>
      <w:r w:rsidRPr="00126995">
        <w:rPr>
          <w:rFonts w:ascii="Arial Narrow" w:hAnsi="Arial Narrow"/>
          <w:sz w:val="18"/>
          <w:szCs w:val="18"/>
        </w:rPr>
        <w:t xml:space="preserve">Source: Figure 1, p2 of the PSCR. </w:t>
      </w:r>
    </w:p>
    <w:p w14:paraId="7ACFCEC2" w14:textId="77777777" w:rsidR="00126995" w:rsidRPr="00126995" w:rsidRDefault="00126995" w:rsidP="00C329CF">
      <w:pPr>
        <w:keepNext/>
        <w:keepLines/>
        <w:rPr>
          <w:rFonts w:ascii="Arial Narrow" w:hAnsi="Arial Narrow"/>
          <w:sz w:val="18"/>
          <w:szCs w:val="18"/>
        </w:rPr>
      </w:pPr>
      <w:r w:rsidRPr="00126995">
        <w:rPr>
          <w:rFonts w:ascii="Arial Narrow" w:hAnsi="Arial Narrow"/>
          <w:sz w:val="18"/>
          <w:szCs w:val="18"/>
        </w:rPr>
        <w:t xml:space="preserve">CI = confidence interval; </w:t>
      </w:r>
      <w:proofErr w:type="spellStart"/>
      <w:r w:rsidRPr="00126995">
        <w:rPr>
          <w:rFonts w:ascii="Arial Narrow" w:hAnsi="Arial Narrow"/>
          <w:sz w:val="18"/>
          <w:szCs w:val="18"/>
        </w:rPr>
        <w:t>dMMR</w:t>
      </w:r>
      <w:proofErr w:type="spellEnd"/>
      <w:r w:rsidRPr="00126995">
        <w:rPr>
          <w:rFonts w:ascii="Arial Narrow" w:hAnsi="Arial Narrow"/>
          <w:sz w:val="18"/>
          <w:szCs w:val="18"/>
        </w:rPr>
        <w:t xml:space="preserve"> = mismatch repair deficient; EC = endometrial cancer; MSI-H = Microsatellite Instability High.</w:t>
      </w:r>
    </w:p>
    <w:p w14:paraId="262A18AD" w14:textId="77777777" w:rsidR="00126995" w:rsidRDefault="00126995" w:rsidP="00C329CF">
      <w:pPr>
        <w:keepNext/>
        <w:keepLines/>
        <w:widowControl/>
      </w:pPr>
    </w:p>
    <w:p w14:paraId="4FDCEF59" w14:textId="07E64337" w:rsidR="00D05B58" w:rsidRPr="006710E4" w:rsidRDefault="00297F2B" w:rsidP="00E24AE9">
      <w:pPr>
        <w:pStyle w:val="ListParagraph"/>
        <w:widowControl/>
        <w:numPr>
          <w:ilvl w:val="1"/>
          <w:numId w:val="2"/>
        </w:numPr>
      </w:pPr>
      <w:r w:rsidRPr="006710E4">
        <w:t>The OS Kaplan-Meier curves</w:t>
      </w:r>
      <w:r w:rsidR="00143421" w:rsidRPr="006710E4">
        <w:t xml:space="preserve"> of the relevant arms of the included trials and studies</w:t>
      </w:r>
      <w:r w:rsidRPr="006710E4">
        <w:t xml:space="preserve"> and key OS outcomes </w:t>
      </w:r>
      <w:r w:rsidR="00A00E30" w:rsidRPr="006710E4">
        <w:t>are presented in</w:t>
      </w:r>
      <w:r w:rsidRPr="006710E4">
        <w:t xml:space="preserve"> </w:t>
      </w:r>
      <w:r w:rsidR="00A00E30" w:rsidRPr="006710E4">
        <w:fldChar w:fldCharType="begin"/>
      </w:r>
      <w:r w:rsidR="00A00E30" w:rsidRPr="006710E4">
        <w:instrText xml:space="preserve"> REF _Ref92009053 \h  \* MERGEFORMAT </w:instrText>
      </w:r>
      <w:r w:rsidR="00A00E30" w:rsidRPr="006710E4">
        <w:fldChar w:fldCharType="separate"/>
      </w:r>
      <w:r w:rsidR="004975AD" w:rsidRPr="004975AD">
        <w:t>Figure 2</w:t>
      </w:r>
      <w:r w:rsidR="00A00E30" w:rsidRPr="006710E4">
        <w:fldChar w:fldCharType="end"/>
      </w:r>
      <w:r w:rsidR="00BF58F1" w:rsidRPr="006710E4">
        <w:t xml:space="preserve"> </w:t>
      </w:r>
      <w:r w:rsidRPr="006710E4">
        <w:t xml:space="preserve">and </w:t>
      </w:r>
      <w:r w:rsidR="00A00E30" w:rsidRPr="006710E4">
        <w:fldChar w:fldCharType="begin"/>
      </w:r>
      <w:r w:rsidR="00A00E30" w:rsidRPr="006710E4">
        <w:instrText xml:space="preserve"> REF _Ref92009072 \h  \* MERGEFORMAT </w:instrText>
      </w:r>
      <w:r w:rsidR="00A00E30" w:rsidRPr="006710E4">
        <w:fldChar w:fldCharType="separate"/>
      </w:r>
      <w:r w:rsidR="004975AD" w:rsidRPr="004975AD">
        <w:t>Table 5</w:t>
      </w:r>
      <w:r w:rsidR="00A00E30" w:rsidRPr="006710E4">
        <w:fldChar w:fldCharType="end"/>
      </w:r>
      <w:r w:rsidRPr="006710E4">
        <w:t>.</w:t>
      </w:r>
      <w:r w:rsidR="00EF20C5">
        <w:t xml:space="preserve"> </w:t>
      </w:r>
    </w:p>
    <w:p w14:paraId="6F15D44C" w14:textId="32F363E9" w:rsidR="00D05B58" w:rsidRPr="001A7CD8" w:rsidRDefault="00D05B58" w:rsidP="00B648A4">
      <w:pPr>
        <w:keepNext/>
        <w:rPr>
          <w:rStyle w:val="CommentReference"/>
          <w:iCs/>
        </w:rPr>
      </w:pPr>
      <w:bookmarkStart w:id="15" w:name="_Ref92009053"/>
      <w:bookmarkStart w:id="16" w:name="_Ref95732995"/>
      <w:r w:rsidRPr="001A7CD8">
        <w:rPr>
          <w:rStyle w:val="CommentReference"/>
          <w:iCs/>
        </w:rPr>
        <w:t xml:space="preserve">Figure </w:t>
      </w:r>
      <w:r w:rsidRPr="001A7CD8">
        <w:rPr>
          <w:rStyle w:val="CommentReference"/>
          <w:iCs/>
        </w:rPr>
        <w:fldChar w:fldCharType="begin"/>
      </w:r>
      <w:r w:rsidRPr="001A7CD8">
        <w:rPr>
          <w:rStyle w:val="CommentReference"/>
          <w:iCs/>
        </w:rPr>
        <w:instrText xml:space="preserve"> SEQ Figure \* ARABIC </w:instrText>
      </w:r>
      <w:r w:rsidRPr="001A7CD8">
        <w:rPr>
          <w:rStyle w:val="CommentReference"/>
          <w:iCs/>
        </w:rPr>
        <w:fldChar w:fldCharType="separate"/>
      </w:r>
      <w:r w:rsidR="004975AD">
        <w:rPr>
          <w:rStyle w:val="CommentReference"/>
          <w:iCs/>
          <w:noProof/>
        </w:rPr>
        <w:t>2</w:t>
      </w:r>
      <w:r w:rsidRPr="001A7CD8">
        <w:rPr>
          <w:rStyle w:val="CommentReference"/>
          <w:iCs/>
        </w:rPr>
        <w:fldChar w:fldCharType="end"/>
      </w:r>
      <w:bookmarkEnd w:id="15"/>
      <w:r w:rsidRPr="001A7CD8">
        <w:rPr>
          <w:rStyle w:val="CommentReference"/>
          <w:iCs/>
        </w:rPr>
        <w:t xml:space="preserve">: </w:t>
      </w:r>
      <w:bookmarkStart w:id="17" w:name="_Ref95733002"/>
      <w:r w:rsidRPr="001A7CD8">
        <w:rPr>
          <w:rStyle w:val="CommentReference"/>
          <w:iCs/>
        </w:rPr>
        <w:t xml:space="preserve">Kaplan-Meier overall survival curves from GARNET Cohort A1 and comparator </w:t>
      </w:r>
      <w:r w:rsidRPr="001A7CD8">
        <w:rPr>
          <w:rStyle w:val="CommentReference"/>
          <w:iCs/>
        </w:rPr>
        <w:lastRenderedPageBreak/>
        <w:t>studies</w:t>
      </w:r>
      <w:bookmarkEnd w:id="16"/>
      <w:bookmarkEnd w:id="17"/>
    </w:p>
    <w:p w14:paraId="021EB41C" w14:textId="668D4615" w:rsidR="00D05B58" w:rsidRPr="006710E4" w:rsidRDefault="00EF20C5" w:rsidP="00B648A4">
      <w:pPr>
        <w:keepNext/>
        <w:widowControl/>
      </w:pPr>
      <w:r>
        <w:rPr>
          <w:noProof/>
          <w:lang w:eastAsia="en-AU"/>
        </w:rPr>
        <w:drawing>
          <wp:inline distT="0" distB="0" distL="0" distR="0" wp14:anchorId="7DEA258A" wp14:editId="63D3DAD3">
            <wp:extent cx="5656575" cy="2667000"/>
            <wp:effectExtent l="0" t="0" r="1905" b="0"/>
            <wp:docPr id="5" name="Picture 5" descr="Figure 2: Kaplan-Meier overall survival curves from GARNET Cohort A1 and comparator stud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Figure 2: Kaplan-Meier overall survival curves from GARNET Cohort A1 and comparator studi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69525" cy="2673106"/>
                    </a:xfrm>
                    <a:prstGeom prst="rect">
                      <a:avLst/>
                    </a:prstGeom>
                    <a:noFill/>
                  </pic:spPr>
                </pic:pic>
              </a:graphicData>
            </a:graphic>
          </wp:inline>
        </w:drawing>
      </w:r>
    </w:p>
    <w:p w14:paraId="782A4BA0" w14:textId="7C565C1B" w:rsidR="00D05B58" w:rsidRPr="001A7CD8" w:rsidRDefault="00D05B58" w:rsidP="0074677B">
      <w:pPr>
        <w:pStyle w:val="TableFooter"/>
        <w:keepNext/>
        <w:widowControl/>
      </w:pPr>
      <w:r w:rsidRPr="001A7CD8">
        <w:t xml:space="preserve">Source: Figure </w:t>
      </w:r>
      <w:r w:rsidR="00EF20C5" w:rsidRPr="001A7CD8">
        <w:t xml:space="preserve">2, p2 of the PSCR </w:t>
      </w:r>
    </w:p>
    <w:p w14:paraId="09A441CC" w14:textId="528651EF" w:rsidR="00D05B58" w:rsidRPr="006710E4" w:rsidRDefault="00D05B58" w:rsidP="0074677B">
      <w:pPr>
        <w:pStyle w:val="TableFooter"/>
        <w:keepNext/>
        <w:widowControl/>
      </w:pPr>
      <w:proofErr w:type="spellStart"/>
      <w:r w:rsidRPr="001A7CD8">
        <w:t>dMMR</w:t>
      </w:r>
      <w:proofErr w:type="spellEnd"/>
      <w:r w:rsidRPr="001A7CD8">
        <w:t xml:space="preserve"> = mismatch repair deficient; </w:t>
      </w:r>
      <w:r w:rsidR="00EF20C5" w:rsidRPr="001A7CD8">
        <w:t xml:space="preserve">IA-3 = interim analysis 3; </w:t>
      </w:r>
      <w:r w:rsidRPr="001A7CD8">
        <w:t xml:space="preserve">ITT = intention-to-treat; </w:t>
      </w:r>
      <w:proofErr w:type="spellStart"/>
      <w:r w:rsidRPr="001A7CD8">
        <w:t>mITT</w:t>
      </w:r>
      <w:proofErr w:type="spellEnd"/>
      <w:r w:rsidRPr="001A7CD8">
        <w:t xml:space="preserve"> = modified intention-to-treat; RWE = real-world</w:t>
      </w:r>
      <w:r w:rsidRPr="006710E4">
        <w:t xml:space="preserve"> evidence.</w:t>
      </w:r>
    </w:p>
    <w:p w14:paraId="7D7CEE92" w14:textId="75DC77F9" w:rsidR="00D05B58" w:rsidRDefault="00D05B58" w:rsidP="0074677B">
      <w:pPr>
        <w:pStyle w:val="TableFooter"/>
        <w:keepNext/>
        <w:widowControl/>
      </w:pPr>
      <w:r w:rsidRPr="006710E4">
        <w:t xml:space="preserve">Note: OS curves were generated via the digitising of KM curves reported. OS KM curves were not available for </w:t>
      </w:r>
      <w:proofErr w:type="spellStart"/>
      <w:r w:rsidRPr="006710E4">
        <w:t>Scambia</w:t>
      </w:r>
      <w:proofErr w:type="spellEnd"/>
      <w:r w:rsidRPr="006710E4">
        <w:t xml:space="preserve"> 2020. </w:t>
      </w:r>
    </w:p>
    <w:p w14:paraId="423EE51F" w14:textId="77777777" w:rsidR="0009250D" w:rsidRPr="0009250D" w:rsidRDefault="0009250D" w:rsidP="0074677B">
      <w:pPr>
        <w:pStyle w:val="TableFooter"/>
        <w:keepNext/>
        <w:widowControl/>
      </w:pPr>
      <w:r w:rsidRPr="0009250D">
        <w:t>Note that the Kaplan-Meier plots depicted in Figure 2 are presented specifically for the purposes of informing the PBAC consideration. Their interpretation and application should therefore be limited to seeking to understand the basis for the PBAC outcome and should not be used for any other purpose.</w:t>
      </w:r>
    </w:p>
    <w:p w14:paraId="25F38D89" w14:textId="77777777" w:rsidR="0009250D" w:rsidRPr="006710E4" w:rsidRDefault="0009250D" w:rsidP="00B648A4">
      <w:pPr>
        <w:pStyle w:val="TableFooter"/>
        <w:keepNext/>
      </w:pPr>
    </w:p>
    <w:p w14:paraId="322A4370" w14:textId="512EF0BE" w:rsidR="00D05B58" w:rsidRPr="006710E4" w:rsidRDefault="00D05B58" w:rsidP="00D73255"/>
    <w:p w14:paraId="3B89CB15" w14:textId="0572DD34" w:rsidR="00D73255" w:rsidRPr="006710E4" w:rsidRDefault="00D73255" w:rsidP="00143421">
      <w:pPr>
        <w:keepNext/>
        <w:keepLines/>
        <w:rPr>
          <w:rStyle w:val="CommentReference"/>
        </w:rPr>
      </w:pPr>
      <w:bookmarkStart w:id="18" w:name="_Ref92009072"/>
      <w:r w:rsidRPr="006710E4">
        <w:rPr>
          <w:rStyle w:val="CommentReference"/>
        </w:rPr>
        <w:lastRenderedPageBreak/>
        <w:t xml:space="preserve">Table </w:t>
      </w:r>
      <w:r w:rsidR="00B562DD" w:rsidRPr="006710E4">
        <w:rPr>
          <w:rStyle w:val="CommentReference"/>
        </w:rPr>
        <w:fldChar w:fldCharType="begin"/>
      </w:r>
      <w:r w:rsidR="00B562DD" w:rsidRPr="006710E4">
        <w:rPr>
          <w:rStyle w:val="CommentReference"/>
        </w:rPr>
        <w:instrText xml:space="preserve"> SEQ Table \* ARABIC </w:instrText>
      </w:r>
      <w:r w:rsidR="00B562DD" w:rsidRPr="006710E4">
        <w:rPr>
          <w:rStyle w:val="CommentReference"/>
        </w:rPr>
        <w:fldChar w:fldCharType="separate"/>
      </w:r>
      <w:r w:rsidR="004975AD">
        <w:rPr>
          <w:rStyle w:val="CommentReference"/>
          <w:noProof/>
        </w:rPr>
        <w:t>5</w:t>
      </w:r>
      <w:r w:rsidR="00B562DD" w:rsidRPr="006710E4">
        <w:rPr>
          <w:rStyle w:val="CommentReference"/>
        </w:rPr>
        <w:fldChar w:fldCharType="end"/>
      </w:r>
      <w:bookmarkEnd w:id="18"/>
      <w:r w:rsidR="001D0829" w:rsidRPr="006710E4">
        <w:rPr>
          <w:rStyle w:val="CommentReference"/>
        </w:rPr>
        <w:t>:</w:t>
      </w:r>
      <w:r w:rsidR="00A11F99" w:rsidRPr="006710E4">
        <w:rPr>
          <w:rStyle w:val="CommentReference"/>
        </w:rPr>
        <w:t xml:space="preserve"> </w:t>
      </w:r>
      <w:r w:rsidRPr="006710E4">
        <w:rPr>
          <w:rStyle w:val="CommentReference"/>
        </w:rPr>
        <w:t xml:space="preserve">Summary of </w:t>
      </w:r>
      <w:r w:rsidR="00805710" w:rsidRPr="006710E4">
        <w:rPr>
          <w:rStyle w:val="CommentReference"/>
        </w:rPr>
        <w:t xml:space="preserve">deaths </w:t>
      </w:r>
      <w:r w:rsidRPr="006710E4">
        <w:rPr>
          <w:rStyle w:val="CommentReference"/>
        </w:rPr>
        <w:t xml:space="preserve">in the relevant arms of included trials and studies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4"/>
        <w:gridCol w:w="1892"/>
        <w:gridCol w:w="727"/>
        <w:gridCol w:w="993"/>
        <w:gridCol w:w="1045"/>
        <w:gridCol w:w="1746"/>
      </w:tblGrid>
      <w:tr w:rsidR="00D73255" w:rsidRPr="006710E4" w14:paraId="3E2D99CF" w14:textId="77777777" w:rsidTr="00EF20C5">
        <w:trPr>
          <w:trHeight w:val="20"/>
        </w:trPr>
        <w:tc>
          <w:tcPr>
            <w:tcW w:w="2614" w:type="dxa"/>
            <w:vAlign w:val="center"/>
          </w:tcPr>
          <w:p w14:paraId="3040A61E" w14:textId="77777777" w:rsidR="00D73255" w:rsidRPr="006710E4" w:rsidRDefault="00D73255" w:rsidP="00143421">
            <w:pPr>
              <w:keepNext/>
              <w:keepLines/>
              <w:rPr>
                <w:rFonts w:ascii="Arial Narrow" w:hAnsi="Arial Narrow" w:cs="Calibri"/>
                <w:b/>
                <w:bCs/>
                <w:sz w:val="20"/>
                <w:szCs w:val="20"/>
                <w:lang w:eastAsia="en-AU"/>
              </w:rPr>
            </w:pPr>
            <w:r w:rsidRPr="006710E4">
              <w:rPr>
                <w:rFonts w:ascii="Arial Narrow" w:hAnsi="Arial Narrow" w:cs="Calibri"/>
                <w:b/>
                <w:bCs/>
                <w:sz w:val="20"/>
                <w:szCs w:val="20"/>
                <w:lang w:eastAsia="en-AU"/>
              </w:rPr>
              <w:t>Trial</w:t>
            </w:r>
          </w:p>
        </w:tc>
        <w:tc>
          <w:tcPr>
            <w:tcW w:w="1892" w:type="dxa"/>
            <w:shd w:val="clear" w:color="auto" w:fill="auto"/>
            <w:noWrap/>
            <w:vAlign w:val="center"/>
            <w:hideMark/>
          </w:tcPr>
          <w:p w14:paraId="3B319D4C" w14:textId="77777777" w:rsidR="00D73255" w:rsidRPr="006710E4" w:rsidRDefault="00D73255" w:rsidP="00143421">
            <w:pPr>
              <w:keepNext/>
              <w:keepLines/>
              <w:jc w:val="center"/>
              <w:rPr>
                <w:rFonts w:ascii="Arial Narrow" w:hAnsi="Arial Narrow" w:cs="Calibri"/>
                <w:b/>
                <w:bCs/>
                <w:sz w:val="20"/>
                <w:szCs w:val="20"/>
                <w:lang w:eastAsia="en-AU"/>
              </w:rPr>
            </w:pPr>
            <w:r w:rsidRPr="006710E4">
              <w:rPr>
                <w:rFonts w:ascii="Arial Narrow" w:hAnsi="Arial Narrow" w:cs="Calibri"/>
                <w:b/>
                <w:bCs/>
                <w:sz w:val="20"/>
                <w:szCs w:val="20"/>
                <w:lang w:eastAsia="en-AU"/>
              </w:rPr>
              <w:t>Analysis set</w:t>
            </w:r>
          </w:p>
        </w:tc>
        <w:tc>
          <w:tcPr>
            <w:tcW w:w="727" w:type="dxa"/>
            <w:shd w:val="clear" w:color="auto" w:fill="auto"/>
            <w:noWrap/>
            <w:vAlign w:val="center"/>
            <w:hideMark/>
          </w:tcPr>
          <w:p w14:paraId="796C42A0" w14:textId="77777777" w:rsidR="00D73255" w:rsidRPr="006710E4" w:rsidRDefault="00D73255" w:rsidP="00143421">
            <w:pPr>
              <w:keepNext/>
              <w:keepLines/>
              <w:jc w:val="center"/>
              <w:rPr>
                <w:rFonts w:ascii="Arial Narrow" w:hAnsi="Arial Narrow" w:cs="Calibri"/>
                <w:b/>
                <w:bCs/>
                <w:sz w:val="20"/>
                <w:szCs w:val="20"/>
                <w:lang w:eastAsia="en-AU"/>
              </w:rPr>
            </w:pPr>
            <w:r w:rsidRPr="006710E4">
              <w:rPr>
                <w:rFonts w:ascii="Arial Narrow" w:hAnsi="Arial Narrow" w:cs="Calibri"/>
                <w:b/>
                <w:bCs/>
                <w:sz w:val="20"/>
                <w:szCs w:val="20"/>
                <w:lang w:eastAsia="en-AU"/>
              </w:rPr>
              <w:t>N</w:t>
            </w:r>
          </w:p>
        </w:tc>
        <w:tc>
          <w:tcPr>
            <w:tcW w:w="993" w:type="dxa"/>
            <w:shd w:val="clear" w:color="auto" w:fill="auto"/>
            <w:noWrap/>
            <w:vAlign w:val="center"/>
            <w:hideMark/>
          </w:tcPr>
          <w:p w14:paraId="4944E20B" w14:textId="13DF3007" w:rsidR="00D73255" w:rsidRPr="006710E4" w:rsidRDefault="00805710" w:rsidP="00143421">
            <w:pPr>
              <w:keepNext/>
              <w:keepLines/>
              <w:jc w:val="center"/>
              <w:rPr>
                <w:rFonts w:ascii="Arial Narrow" w:hAnsi="Arial Narrow" w:cs="Calibri"/>
                <w:b/>
                <w:bCs/>
                <w:sz w:val="20"/>
                <w:szCs w:val="20"/>
                <w:lang w:eastAsia="en-AU"/>
              </w:rPr>
            </w:pPr>
            <w:r w:rsidRPr="006710E4">
              <w:rPr>
                <w:rFonts w:ascii="Arial Narrow" w:hAnsi="Arial Narrow" w:cs="Calibri"/>
                <w:b/>
                <w:bCs/>
                <w:sz w:val="20"/>
                <w:szCs w:val="20"/>
                <w:lang w:eastAsia="en-AU"/>
              </w:rPr>
              <w:t>Deaths</w:t>
            </w:r>
            <w:r w:rsidR="00D73255" w:rsidRPr="006710E4">
              <w:rPr>
                <w:rFonts w:ascii="Arial Narrow" w:hAnsi="Arial Narrow" w:cs="Calibri"/>
                <w:b/>
                <w:bCs/>
                <w:sz w:val="20"/>
                <w:szCs w:val="20"/>
                <w:lang w:eastAsia="en-AU"/>
              </w:rPr>
              <w:t>, n (%)</w:t>
            </w:r>
          </w:p>
        </w:tc>
        <w:tc>
          <w:tcPr>
            <w:tcW w:w="1045" w:type="dxa"/>
            <w:shd w:val="clear" w:color="auto" w:fill="auto"/>
            <w:noWrap/>
            <w:vAlign w:val="center"/>
            <w:hideMark/>
          </w:tcPr>
          <w:p w14:paraId="72A0ABD1" w14:textId="77777777" w:rsidR="00D73255" w:rsidRPr="006710E4" w:rsidRDefault="00D73255" w:rsidP="00143421">
            <w:pPr>
              <w:keepNext/>
              <w:keepLines/>
              <w:jc w:val="center"/>
              <w:rPr>
                <w:rFonts w:ascii="Arial Narrow" w:hAnsi="Arial Narrow" w:cs="Calibri"/>
                <w:b/>
                <w:bCs/>
                <w:sz w:val="20"/>
                <w:szCs w:val="20"/>
                <w:lang w:eastAsia="en-AU"/>
              </w:rPr>
            </w:pPr>
            <w:r w:rsidRPr="006710E4">
              <w:rPr>
                <w:rFonts w:ascii="Arial Narrow" w:hAnsi="Arial Narrow" w:cs="Calibri"/>
                <w:b/>
                <w:bCs/>
                <w:sz w:val="20"/>
                <w:szCs w:val="20"/>
                <w:lang w:eastAsia="en-AU"/>
              </w:rPr>
              <w:t>Censored, n (%)</w:t>
            </w:r>
          </w:p>
        </w:tc>
        <w:tc>
          <w:tcPr>
            <w:tcW w:w="1746" w:type="dxa"/>
            <w:shd w:val="clear" w:color="auto" w:fill="auto"/>
            <w:noWrap/>
            <w:vAlign w:val="center"/>
            <w:hideMark/>
          </w:tcPr>
          <w:p w14:paraId="18EC5961" w14:textId="77777777" w:rsidR="00D73255" w:rsidRPr="006710E4" w:rsidRDefault="00D73255" w:rsidP="00143421">
            <w:pPr>
              <w:keepNext/>
              <w:keepLines/>
              <w:jc w:val="center"/>
              <w:rPr>
                <w:rFonts w:ascii="Arial Narrow" w:hAnsi="Arial Narrow" w:cs="Calibri"/>
                <w:b/>
                <w:bCs/>
                <w:sz w:val="20"/>
                <w:szCs w:val="20"/>
                <w:lang w:eastAsia="en-AU"/>
              </w:rPr>
            </w:pPr>
            <w:r w:rsidRPr="006710E4">
              <w:rPr>
                <w:rFonts w:ascii="Arial Narrow" w:hAnsi="Arial Narrow" w:cs="Calibri"/>
                <w:b/>
                <w:bCs/>
                <w:sz w:val="20"/>
                <w:szCs w:val="20"/>
                <w:lang w:eastAsia="en-AU"/>
              </w:rPr>
              <w:t>Median, months (95%CI)</w:t>
            </w:r>
          </w:p>
        </w:tc>
      </w:tr>
      <w:tr w:rsidR="00D73255" w:rsidRPr="007632C3" w14:paraId="1C6DBCC0" w14:textId="77777777" w:rsidTr="00EF20C5">
        <w:trPr>
          <w:trHeight w:val="20"/>
        </w:trPr>
        <w:tc>
          <w:tcPr>
            <w:tcW w:w="9017" w:type="dxa"/>
            <w:gridSpan w:val="6"/>
            <w:vAlign w:val="center"/>
          </w:tcPr>
          <w:p w14:paraId="76725D2F" w14:textId="4F0BDFCC" w:rsidR="00D73255" w:rsidRPr="007632C3" w:rsidRDefault="00D73255" w:rsidP="00143421">
            <w:pPr>
              <w:keepNext/>
              <w:keepLines/>
              <w:rPr>
                <w:rFonts w:ascii="Arial Narrow" w:hAnsi="Arial Narrow" w:cs="Calibri"/>
                <w:b/>
                <w:bCs/>
                <w:sz w:val="20"/>
                <w:szCs w:val="20"/>
                <w:lang w:eastAsia="en-AU"/>
              </w:rPr>
            </w:pPr>
            <w:proofErr w:type="spellStart"/>
            <w:r w:rsidRPr="007632C3">
              <w:rPr>
                <w:rFonts w:ascii="Arial Narrow" w:hAnsi="Arial Narrow" w:cs="Calibri"/>
                <w:b/>
                <w:bCs/>
                <w:sz w:val="20"/>
                <w:szCs w:val="20"/>
                <w:lang w:eastAsia="en-AU"/>
              </w:rPr>
              <w:t>Dostarlimab</w:t>
            </w:r>
            <w:proofErr w:type="spellEnd"/>
          </w:p>
        </w:tc>
      </w:tr>
      <w:tr w:rsidR="00D73255" w:rsidRPr="006710E4" w14:paraId="7FCF2687" w14:textId="77777777" w:rsidTr="00EF20C5">
        <w:trPr>
          <w:trHeight w:val="20"/>
        </w:trPr>
        <w:tc>
          <w:tcPr>
            <w:tcW w:w="2614" w:type="dxa"/>
            <w:vMerge w:val="restart"/>
            <w:vAlign w:val="center"/>
          </w:tcPr>
          <w:p w14:paraId="38EEE226" w14:textId="77777777" w:rsidR="00D73255" w:rsidRPr="006710E4" w:rsidRDefault="00D73255" w:rsidP="00143421">
            <w:pPr>
              <w:keepNext/>
              <w:keepLines/>
              <w:rPr>
                <w:rFonts w:ascii="Arial Narrow" w:hAnsi="Arial Narrow" w:cs="Calibri"/>
                <w:sz w:val="20"/>
                <w:szCs w:val="20"/>
                <w:lang w:eastAsia="en-AU"/>
              </w:rPr>
            </w:pPr>
            <w:r w:rsidRPr="006710E4">
              <w:rPr>
                <w:rFonts w:ascii="Arial Narrow" w:hAnsi="Arial Narrow" w:cs="Calibri"/>
                <w:sz w:val="20"/>
                <w:szCs w:val="20"/>
                <w:lang w:eastAsia="en-AU"/>
              </w:rPr>
              <w:t>GARNET Cohort A1</w:t>
            </w:r>
          </w:p>
        </w:tc>
        <w:tc>
          <w:tcPr>
            <w:tcW w:w="1892" w:type="dxa"/>
            <w:shd w:val="clear" w:color="auto" w:fill="auto"/>
            <w:noWrap/>
            <w:vAlign w:val="center"/>
            <w:hideMark/>
          </w:tcPr>
          <w:p w14:paraId="3F66A1D3" w14:textId="77777777" w:rsidR="00D73255" w:rsidRPr="006710E4" w:rsidRDefault="00D73255" w:rsidP="00143421">
            <w:pPr>
              <w:keepNext/>
              <w:keepLines/>
              <w:jc w:val="center"/>
              <w:rPr>
                <w:rFonts w:ascii="Arial Narrow" w:hAnsi="Arial Narrow" w:cs="Calibri"/>
                <w:sz w:val="20"/>
                <w:szCs w:val="20"/>
                <w:lang w:eastAsia="en-AU"/>
              </w:rPr>
            </w:pPr>
            <w:r w:rsidRPr="006710E4">
              <w:rPr>
                <w:rFonts w:ascii="Arial Narrow" w:hAnsi="Arial Narrow" w:cs="Calibri"/>
                <w:sz w:val="20"/>
                <w:szCs w:val="20"/>
                <w:lang w:eastAsia="en-AU"/>
              </w:rPr>
              <w:t>ITT</w:t>
            </w:r>
          </w:p>
        </w:tc>
        <w:tc>
          <w:tcPr>
            <w:tcW w:w="727" w:type="dxa"/>
            <w:shd w:val="clear" w:color="auto" w:fill="auto"/>
            <w:noWrap/>
            <w:vAlign w:val="center"/>
            <w:hideMark/>
          </w:tcPr>
          <w:p w14:paraId="5F5AE335" w14:textId="77777777" w:rsidR="00D73255" w:rsidRPr="006710E4" w:rsidRDefault="00D73255" w:rsidP="00143421">
            <w:pPr>
              <w:keepNext/>
              <w:keepLines/>
              <w:jc w:val="center"/>
              <w:rPr>
                <w:rFonts w:ascii="Arial Narrow" w:hAnsi="Arial Narrow" w:cs="Calibri"/>
                <w:sz w:val="20"/>
                <w:szCs w:val="20"/>
                <w:lang w:eastAsia="en-AU"/>
              </w:rPr>
            </w:pPr>
            <w:r w:rsidRPr="006710E4">
              <w:rPr>
                <w:rFonts w:ascii="Arial Narrow" w:hAnsi="Arial Narrow" w:cs="Calibri"/>
                <w:sz w:val="20"/>
                <w:szCs w:val="20"/>
                <w:lang w:eastAsia="en-AU"/>
              </w:rPr>
              <w:t>129</w:t>
            </w:r>
          </w:p>
        </w:tc>
        <w:tc>
          <w:tcPr>
            <w:tcW w:w="993" w:type="dxa"/>
            <w:shd w:val="clear" w:color="auto" w:fill="auto"/>
            <w:noWrap/>
            <w:vAlign w:val="center"/>
            <w:hideMark/>
          </w:tcPr>
          <w:p w14:paraId="3CCB5400" w14:textId="77777777" w:rsidR="00D73255" w:rsidRPr="006710E4" w:rsidRDefault="00D73255" w:rsidP="00143421">
            <w:pPr>
              <w:keepNext/>
              <w:keepLines/>
              <w:jc w:val="center"/>
              <w:rPr>
                <w:rFonts w:ascii="Arial Narrow" w:hAnsi="Arial Narrow" w:cs="Calibri"/>
                <w:sz w:val="20"/>
                <w:szCs w:val="20"/>
                <w:lang w:eastAsia="en-AU"/>
              </w:rPr>
            </w:pPr>
            <w:r w:rsidRPr="006710E4">
              <w:rPr>
                <w:rFonts w:ascii="Arial Narrow" w:hAnsi="Arial Narrow" w:cs="Calibri"/>
                <w:sz w:val="20"/>
                <w:szCs w:val="20"/>
                <w:lang w:eastAsia="en-AU"/>
              </w:rPr>
              <w:t>36 (27.9)</w:t>
            </w:r>
          </w:p>
        </w:tc>
        <w:tc>
          <w:tcPr>
            <w:tcW w:w="1045" w:type="dxa"/>
            <w:shd w:val="clear" w:color="auto" w:fill="auto"/>
            <w:noWrap/>
            <w:vAlign w:val="center"/>
            <w:hideMark/>
          </w:tcPr>
          <w:p w14:paraId="5F62657B" w14:textId="77777777" w:rsidR="00D73255" w:rsidRPr="006710E4" w:rsidRDefault="00D73255" w:rsidP="00143421">
            <w:pPr>
              <w:keepNext/>
              <w:keepLines/>
              <w:jc w:val="center"/>
              <w:rPr>
                <w:rFonts w:ascii="Arial Narrow" w:hAnsi="Arial Narrow" w:cs="Calibri"/>
                <w:sz w:val="20"/>
                <w:szCs w:val="20"/>
                <w:lang w:eastAsia="en-AU"/>
              </w:rPr>
            </w:pPr>
            <w:r w:rsidRPr="006710E4">
              <w:rPr>
                <w:rFonts w:ascii="Arial Narrow" w:hAnsi="Arial Narrow" w:cs="Calibri"/>
                <w:sz w:val="20"/>
                <w:szCs w:val="20"/>
                <w:lang w:eastAsia="en-AU"/>
              </w:rPr>
              <w:t>93 (72.1)</w:t>
            </w:r>
          </w:p>
        </w:tc>
        <w:tc>
          <w:tcPr>
            <w:tcW w:w="1746" w:type="dxa"/>
            <w:shd w:val="clear" w:color="auto" w:fill="auto"/>
            <w:noWrap/>
            <w:vAlign w:val="center"/>
            <w:hideMark/>
          </w:tcPr>
          <w:p w14:paraId="5CDC0596" w14:textId="77777777" w:rsidR="00D73255" w:rsidRPr="006710E4" w:rsidRDefault="00D73255" w:rsidP="00143421">
            <w:pPr>
              <w:keepNext/>
              <w:keepLines/>
              <w:jc w:val="center"/>
              <w:rPr>
                <w:rFonts w:ascii="Arial Narrow" w:hAnsi="Arial Narrow" w:cs="Calibri"/>
                <w:sz w:val="20"/>
                <w:szCs w:val="20"/>
                <w:lang w:eastAsia="en-AU"/>
              </w:rPr>
            </w:pPr>
            <w:r w:rsidRPr="006710E4">
              <w:rPr>
                <w:rFonts w:ascii="Arial Narrow" w:hAnsi="Arial Narrow" w:cs="Calibri"/>
                <w:sz w:val="20"/>
                <w:szCs w:val="20"/>
                <w:lang w:eastAsia="en-AU"/>
              </w:rPr>
              <w:t>NR (18.4, NR)</w:t>
            </w:r>
          </w:p>
        </w:tc>
      </w:tr>
      <w:tr w:rsidR="00D73255" w:rsidRPr="006710E4" w14:paraId="4BBACCF6" w14:textId="77777777" w:rsidTr="00EF20C5">
        <w:trPr>
          <w:trHeight w:val="20"/>
        </w:trPr>
        <w:tc>
          <w:tcPr>
            <w:tcW w:w="2614" w:type="dxa"/>
            <w:vMerge/>
            <w:vAlign w:val="center"/>
          </w:tcPr>
          <w:p w14:paraId="4905FD7B" w14:textId="77777777" w:rsidR="00D73255" w:rsidRPr="006710E4" w:rsidRDefault="00D73255" w:rsidP="00143421">
            <w:pPr>
              <w:keepNext/>
              <w:keepLines/>
              <w:rPr>
                <w:rFonts w:ascii="Arial Narrow" w:hAnsi="Arial Narrow" w:cs="Calibri"/>
                <w:sz w:val="20"/>
                <w:szCs w:val="20"/>
                <w:lang w:eastAsia="en-AU"/>
              </w:rPr>
            </w:pPr>
          </w:p>
        </w:tc>
        <w:tc>
          <w:tcPr>
            <w:tcW w:w="1892" w:type="dxa"/>
            <w:shd w:val="clear" w:color="auto" w:fill="auto"/>
            <w:noWrap/>
            <w:vAlign w:val="center"/>
            <w:hideMark/>
          </w:tcPr>
          <w:p w14:paraId="05DA3C04" w14:textId="77777777" w:rsidR="00D73255" w:rsidRPr="006710E4" w:rsidRDefault="00D73255" w:rsidP="00143421">
            <w:pPr>
              <w:keepNext/>
              <w:keepLines/>
              <w:jc w:val="center"/>
              <w:rPr>
                <w:rFonts w:ascii="Arial Narrow" w:hAnsi="Arial Narrow" w:cs="Calibri"/>
                <w:sz w:val="20"/>
                <w:szCs w:val="20"/>
                <w:lang w:eastAsia="en-AU"/>
              </w:rPr>
            </w:pPr>
            <w:r w:rsidRPr="006710E4">
              <w:rPr>
                <w:rFonts w:ascii="Arial Narrow" w:hAnsi="Arial Narrow" w:cs="Calibri"/>
                <w:sz w:val="20"/>
                <w:szCs w:val="20"/>
                <w:lang w:eastAsia="en-AU"/>
              </w:rPr>
              <w:t>PES</w:t>
            </w:r>
          </w:p>
        </w:tc>
        <w:tc>
          <w:tcPr>
            <w:tcW w:w="727" w:type="dxa"/>
            <w:shd w:val="clear" w:color="auto" w:fill="auto"/>
            <w:noWrap/>
            <w:vAlign w:val="center"/>
            <w:hideMark/>
          </w:tcPr>
          <w:p w14:paraId="203D2140" w14:textId="77777777" w:rsidR="00D73255" w:rsidRPr="006710E4" w:rsidRDefault="00D73255" w:rsidP="00143421">
            <w:pPr>
              <w:keepNext/>
              <w:keepLines/>
              <w:jc w:val="center"/>
              <w:rPr>
                <w:rFonts w:ascii="Arial Narrow" w:hAnsi="Arial Narrow" w:cs="Calibri"/>
                <w:sz w:val="20"/>
                <w:szCs w:val="20"/>
                <w:lang w:eastAsia="en-AU"/>
              </w:rPr>
            </w:pPr>
            <w:r w:rsidRPr="006710E4">
              <w:rPr>
                <w:rFonts w:ascii="Arial Narrow" w:hAnsi="Arial Narrow" w:cs="Calibri"/>
                <w:sz w:val="20"/>
                <w:szCs w:val="20"/>
                <w:lang w:eastAsia="en-AU"/>
              </w:rPr>
              <w:t>105</w:t>
            </w:r>
          </w:p>
        </w:tc>
        <w:tc>
          <w:tcPr>
            <w:tcW w:w="993" w:type="dxa"/>
            <w:shd w:val="clear" w:color="auto" w:fill="auto"/>
            <w:noWrap/>
            <w:vAlign w:val="center"/>
            <w:hideMark/>
          </w:tcPr>
          <w:p w14:paraId="643145C7" w14:textId="77777777" w:rsidR="00D73255" w:rsidRPr="006710E4" w:rsidRDefault="00D73255" w:rsidP="00143421">
            <w:pPr>
              <w:keepNext/>
              <w:keepLines/>
              <w:jc w:val="center"/>
              <w:rPr>
                <w:rFonts w:ascii="Arial Narrow" w:hAnsi="Arial Narrow" w:cs="Calibri"/>
                <w:sz w:val="20"/>
                <w:szCs w:val="20"/>
                <w:lang w:eastAsia="en-AU"/>
              </w:rPr>
            </w:pPr>
            <w:r w:rsidRPr="006710E4">
              <w:rPr>
                <w:rFonts w:ascii="Arial Narrow" w:hAnsi="Arial Narrow" w:cs="Calibri"/>
                <w:sz w:val="20"/>
                <w:szCs w:val="20"/>
                <w:lang w:eastAsia="en-AU"/>
              </w:rPr>
              <w:t>35 (33.3)</w:t>
            </w:r>
          </w:p>
        </w:tc>
        <w:tc>
          <w:tcPr>
            <w:tcW w:w="1045" w:type="dxa"/>
            <w:shd w:val="clear" w:color="auto" w:fill="auto"/>
            <w:noWrap/>
            <w:vAlign w:val="center"/>
            <w:hideMark/>
          </w:tcPr>
          <w:p w14:paraId="514EBF9B" w14:textId="77777777" w:rsidR="00D73255" w:rsidRPr="006710E4" w:rsidRDefault="00D73255" w:rsidP="00143421">
            <w:pPr>
              <w:keepNext/>
              <w:keepLines/>
              <w:jc w:val="center"/>
              <w:rPr>
                <w:rFonts w:ascii="Arial Narrow" w:hAnsi="Arial Narrow" w:cs="Calibri"/>
                <w:sz w:val="20"/>
                <w:szCs w:val="20"/>
                <w:lang w:eastAsia="en-AU"/>
              </w:rPr>
            </w:pPr>
            <w:r w:rsidRPr="006710E4">
              <w:rPr>
                <w:rFonts w:ascii="Arial Narrow" w:hAnsi="Arial Narrow" w:cs="Calibri"/>
                <w:sz w:val="20"/>
                <w:szCs w:val="20"/>
                <w:lang w:eastAsia="en-AU"/>
              </w:rPr>
              <w:t>70 (66.7)</w:t>
            </w:r>
          </w:p>
        </w:tc>
        <w:tc>
          <w:tcPr>
            <w:tcW w:w="1746" w:type="dxa"/>
            <w:shd w:val="clear" w:color="auto" w:fill="auto"/>
            <w:noWrap/>
            <w:vAlign w:val="center"/>
            <w:hideMark/>
          </w:tcPr>
          <w:p w14:paraId="55196EC1" w14:textId="77777777" w:rsidR="00D73255" w:rsidRPr="006710E4" w:rsidRDefault="00D73255" w:rsidP="00143421">
            <w:pPr>
              <w:keepNext/>
              <w:keepLines/>
              <w:jc w:val="center"/>
              <w:rPr>
                <w:rFonts w:ascii="Arial Narrow" w:hAnsi="Arial Narrow" w:cs="Calibri"/>
                <w:sz w:val="20"/>
                <w:szCs w:val="20"/>
                <w:lang w:eastAsia="en-AU"/>
              </w:rPr>
            </w:pPr>
            <w:r w:rsidRPr="006710E4">
              <w:rPr>
                <w:rFonts w:ascii="Arial Narrow" w:hAnsi="Arial Narrow" w:cs="Calibri"/>
                <w:sz w:val="20"/>
                <w:szCs w:val="20"/>
                <w:lang w:eastAsia="en-AU"/>
              </w:rPr>
              <w:t>NR (17.1, NR)</w:t>
            </w:r>
          </w:p>
        </w:tc>
      </w:tr>
      <w:tr w:rsidR="00D73255" w:rsidRPr="006710E4" w14:paraId="3EBAF410" w14:textId="77777777" w:rsidTr="00EF20C5">
        <w:trPr>
          <w:trHeight w:val="20"/>
        </w:trPr>
        <w:tc>
          <w:tcPr>
            <w:tcW w:w="2614" w:type="dxa"/>
            <w:vMerge/>
            <w:vAlign w:val="center"/>
          </w:tcPr>
          <w:p w14:paraId="5855D3F4" w14:textId="77777777" w:rsidR="00D73255" w:rsidRPr="006710E4" w:rsidRDefault="00D73255" w:rsidP="00143421">
            <w:pPr>
              <w:keepNext/>
              <w:keepLines/>
              <w:rPr>
                <w:rFonts w:ascii="Arial Narrow" w:hAnsi="Arial Narrow" w:cs="Calibri"/>
                <w:sz w:val="20"/>
                <w:szCs w:val="20"/>
                <w:lang w:eastAsia="en-AU"/>
              </w:rPr>
            </w:pPr>
          </w:p>
        </w:tc>
        <w:tc>
          <w:tcPr>
            <w:tcW w:w="1892" w:type="dxa"/>
            <w:shd w:val="clear" w:color="auto" w:fill="auto"/>
            <w:noWrap/>
            <w:vAlign w:val="center"/>
            <w:hideMark/>
          </w:tcPr>
          <w:p w14:paraId="6FB128A1" w14:textId="316FED16" w:rsidR="00D73255" w:rsidRPr="0009250D" w:rsidRDefault="00D73255" w:rsidP="00143421">
            <w:pPr>
              <w:keepNext/>
              <w:keepLines/>
              <w:jc w:val="center"/>
              <w:rPr>
                <w:rFonts w:ascii="Arial Narrow" w:hAnsi="Arial Narrow" w:cs="Calibri"/>
                <w:sz w:val="20"/>
                <w:szCs w:val="20"/>
                <w:vertAlign w:val="superscript"/>
                <w:lang w:eastAsia="en-AU"/>
              </w:rPr>
            </w:pPr>
            <w:proofErr w:type="spellStart"/>
            <w:r w:rsidRPr="006710E4">
              <w:rPr>
                <w:rFonts w:ascii="Arial Narrow" w:hAnsi="Arial Narrow" w:cs="Calibri"/>
                <w:sz w:val="20"/>
                <w:szCs w:val="20"/>
                <w:lang w:eastAsia="en-AU"/>
              </w:rPr>
              <w:t>MAS</w:t>
            </w:r>
            <w:r w:rsidR="0009250D">
              <w:rPr>
                <w:rFonts w:ascii="Arial Narrow" w:hAnsi="Arial Narrow" w:cs="Calibri"/>
                <w:sz w:val="20"/>
                <w:szCs w:val="20"/>
                <w:vertAlign w:val="superscript"/>
                <w:lang w:eastAsia="en-AU"/>
              </w:rPr>
              <w:t>a</w:t>
            </w:r>
            <w:proofErr w:type="spellEnd"/>
          </w:p>
        </w:tc>
        <w:tc>
          <w:tcPr>
            <w:tcW w:w="727" w:type="dxa"/>
            <w:shd w:val="clear" w:color="auto" w:fill="auto"/>
            <w:noWrap/>
            <w:vAlign w:val="center"/>
            <w:hideMark/>
          </w:tcPr>
          <w:p w14:paraId="7A70A564" w14:textId="77777777" w:rsidR="00D73255" w:rsidRPr="006710E4" w:rsidRDefault="00D73255" w:rsidP="00143421">
            <w:pPr>
              <w:keepNext/>
              <w:keepLines/>
              <w:jc w:val="center"/>
              <w:rPr>
                <w:rFonts w:ascii="Arial Narrow" w:hAnsi="Arial Narrow" w:cs="Calibri"/>
                <w:sz w:val="20"/>
                <w:szCs w:val="20"/>
                <w:lang w:eastAsia="en-AU"/>
              </w:rPr>
            </w:pPr>
            <w:r w:rsidRPr="006710E4">
              <w:rPr>
                <w:rFonts w:ascii="Arial Narrow" w:hAnsi="Arial Narrow" w:cs="Calibri"/>
                <w:sz w:val="20"/>
                <w:szCs w:val="20"/>
                <w:lang w:eastAsia="en-AU"/>
              </w:rPr>
              <w:t>92</w:t>
            </w:r>
          </w:p>
        </w:tc>
        <w:tc>
          <w:tcPr>
            <w:tcW w:w="993" w:type="dxa"/>
            <w:shd w:val="clear" w:color="auto" w:fill="auto"/>
            <w:noWrap/>
            <w:vAlign w:val="center"/>
            <w:hideMark/>
          </w:tcPr>
          <w:p w14:paraId="4E85E5BD" w14:textId="77777777" w:rsidR="00D73255" w:rsidRPr="006710E4" w:rsidRDefault="00D73255" w:rsidP="00143421">
            <w:pPr>
              <w:keepNext/>
              <w:keepLines/>
              <w:jc w:val="center"/>
              <w:rPr>
                <w:rFonts w:ascii="Arial Narrow" w:hAnsi="Arial Narrow" w:cs="Calibri"/>
                <w:sz w:val="20"/>
                <w:szCs w:val="20"/>
                <w:lang w:eastAsia="en-AU"/>
              </w:rPr>
            </w:pPr>
            <w:r w:rsidRPr="006710E4">
              <w:rPr>
                <w:rFonts w:ascii="Arial Narrow" w:hAnsi="Arial Narrow" w:cs="Calibri"/>
                <w:sz w:val="20"/>
                <w:szCs w:val="20"/>
                <w:lang w:eastAsia="en-AU"/>
              </w:rPr>
              <w:t>31 (33.7)</w:t>
            </w:r>
          </w:p>
        </w:tc>
        <w:tc>
          <w:tcPr>
            <w:tcW w:w="1045" w:type="dxa"/>
            <w:shd w:val="clear" w:color="auto" w:fill="auto"/>
            <w:noWrap/>
            <w:vAlign w:val="center"/>
            <w:hideMark/>
          </w:tcPr>
          <w:p w14:paraId="01CB599B" w14:textId="77777777" w:rsidR="00D73255" w:rsidRPr="006710E4" w:rsidRDefault="00D73255" w:rsidP="00143421">
            <w:pPr>
              <w:keepNext/>
              <w:keepLines/>
              <w:jc w:val="center"/>
              <w:rPr>
                <w:rFonts w:ascii="Arial Narrow" w:hAnsi="Arial Narrow" w:cs="Calibri"/>
                <w:sz w:val="20"/>
                <w:szCs w:val="20"/>
                <w:lang w:eastAsia="en-AU"/>
              </w:rPr>
            </w:pPr>
            <w:r w:rsidRPr="006710E4">
              <w:rPr>
                <w:rFonts w:ascii="Arial Narrow" w:hAnsi="Arial Narrow" w:cs="Calibri"/>
                <w:sz w:val="20"/>
                <w:szCs w:val="20"/>
                <w:lang w:eastAsia="en-AU"/>
              </w:rPr>
              <w:t>61 (66.3)</w:t>
            </w:r>
          </w:p>
        </w:tc>
        <w:tc>
          <w:tcPr>
            <w:tcW w:w="1746" w:type="dxa"/>
            <w:shd w:val="clear" w:color="auto" w:fill="auto"/>
            <w:noWrap/>
            <w:vAlign w:val="center"/>
            <w:hideMark/>
          </w:tcPr>
          <w:p w14:paraId="71394FE5" w14:textId="77777777" w:rsidR="00D73255" w:rsidRPr="006710E4" w:rsidRDefault="00D73255" w:rsidP="00143421">
            <w:pPr>
              <w:keepNext/>
              <w:keepLines/>
              <w:jc w:val="center"/>
              <w:rPr>
                <w:rFonts w:ascii="Arial Narrow" w:hAnsi="Arial Narrow" w:cs="Calibri"/>
                <w:sz w:val="20"/>
                <w:szCs w:val="20"/>
                <w:lang w:eastAsia="en-AU"/>
              </w:rPr>
            </w:pPr>
            <w:r w:rsidRPr="006710E4">
              <w:rPr>
                <w:rFonts w:ascii="Arial Narrow" w:hAnsi="Arial Narrow" w:cs="Calibri"/>
                <w:sz w:val="20"/>
                <w:szCs w:val="20"/>
                <w:lang w:eastAsia="en-AU"/>
              </w:rPr>
              <w:t>NR (17.2, NR)</w:t>
            </w:r>
          </w:p>
        </w:tc>
      </w:tr>
      <w:tr w:rsidR="009F5B71" w:rsidRPr="001A7CD8" w14:paraId="63056A08" w14:textId="77777777" w:rsidTr="00EF20C5">
        <w:trPr>
          <w:trHeight w:val="20"/>
        </w:trPr>
        <w:tc>
          <w:tcPr>
            <w:tcW w:w="2614" w:type="dxa"/>
            <w:vAlign w:val="center"/>
          </w:tcPr>
          <w:p w14:paraId="6E18C1BE" w14:textId="77777777" w:rsidR="009F5B71" w:rsidRPr="001A7CD8" w:rsidRDefault="009F5B71" w:rsidP="00143421">
            <w:pPr>
              <w:keepNext/>
              <w:keepLines/>
              <w:rPr>
                <w:rFonts w:ascii="Arial Narrow" w:hAnsi="Arial Narrow" w:cs="Calibri"/>
                <w:iCs/>
                <w:sz w:val="20"/>
                <w:szCs w:val="20"/>
                <w:lang w:eastAsia="en-AU"/>
              </w:rPr>
            </w:pPr>
            <w:r w:rsidRPr="001A7CD8">
              <w:rPr>
                <w:rFonts w:ascii="Arial Narrow" w:hAnsi="Arial Narrow" w:cs="Calibri"/>
                <w:iCs/>
                <w:sz w:val="20"/>
                <w:szCs w:val="20"/>
                <w:lang w:eastAsia="en-AU"/>
              </w:rPr>
              <w:t>GARNET Cohort A1</w:t>
            </w:r>
          </w:p>
          <w:p w14:paraId="6B0A86A2" w14:textId="2DD35ECB" w:rsidR="009F5B71" w:rsidRPr="001A7CD8" w:rsidRDefault="009F5B71" w:rsidP="00143421">
            <w:pPr>
              <w:keepNext/>
              <w:keepLines/>
              <w:rPr>
                <w:rFonts w:ascii="Arial Narrow" w:hAnsi="Arial Narrow" w:cs="Calibri"/>
                <w:iCs/>
                <w:sz w:val="20"/>
                <w:szCs w:val="20"/>
                <w:lang w:eastAsia="en-AU"/>
              </w:rPr>
            </w:pPr>
            <w:r w:rsidRPr="001A7CD8">
              <w:rPr>
                <w:rFonts w:ascii="Arial Narrow" w:hAnsi="Arial Narrow" w:cs="Calibri"/>
                <w:iCs/>
                <w:sz w:val="20"/>
                <w:szCs w:val="20"/>
                <w:lang w:eastAsia="en-AU"/>
              </w:rPr>
              <w:t xml:space="preserve">IA-3 </w:t>
            </w:r>
            <w:r w:rsidR="002D5868" w:rsidRPr="001A7CD8">
              <w:rPr>
                <w:rFonts w:ascii="Arial Narrow" w:hAnsi="Arial Narrow" w:cs="Calibri"/>
                <w:iCs/>
                <w:sz w:val="20"/>
                <w:szCs w:val="20"/>
                <w:lang w:eastAsia="en-AU"/>
              </w:rPr>
              <w:t>data cut</w:t>
            </w:r>
            <w:r w:rsidRPr="001A7CD8">
              <w:rPr>
                <w:rFonts w:ascii="Arial Narrow" w:hAnsi="Arial Narrow" w:cs="Calibri"/>
                <w:iCs/>
                <w:sz w:val="20"/>
                <w:szCs w:val="20"/>
                <w:lang w:eastAsia="en-AU"/>
              </w:rPr>
              <w:t xml:space="preserve"> </w:t>
            </w:r>
          </w:p>
        </w:tc>
        <w:tc>
          <w:tcPr>
            <w:tcW w:w="1892" w:type="dxa"/>
            <w:shd w:val="clear" w:color="auto" w:fill="auto"/>
            <w:noWrap/>
            <w:vAlign w:val="center"/>
          </w:tcPr>
          <w:p w14:paraId="0DDBE3F9" w14:textId="3EA1A7E8" w:rsidR="009F5B71" w:rsidRPr="001A7CD8" w:rsidRDefault="009F5B71" w:rsidP="00143421">
            <w:pPr>
              <w:keepNext/>
              <w:keepLines/>
              <w:jc w:val="center"/>
              <w:rPr>
                <w:rFonts w:ascii="Arial Narrow" w:hAnsi="Arial Narrow" w:cs="Calibri"/>
                <w:iCs/>
                <w:sz w:val="20"/>
                <w:szCs w:val="20"/>
                <w:lang w:eastAsia="en-AU"/>
              </w:rPr>
            </w:pPr>
            <w:r w:rsidRPr="001A7CD8">
              <w:rPr>
                <w:rFonts w:ascii="Arial Narrow" w:hAnsi="Arial Narrow" w:cs="Calibri"/>
                <w:iCs/>
                <w:sz w:val="20"/>
                <w:szCs w:val="20"/>
                <w:lang w:eastAsia="en-AU"/>
              </w:rPr>
              <w:t>ITT</w:t>
            </w:r>
          </w:p>
        </w:tc>
        <w:tc>
          <w:tcPr>
            <w:tcW w:w="727" w:type="dxa"/>
            <w:shd w:val="clear" w:color="auto" w:fill="auto"/>
            <w:noWrap/>
            <w:vAlign w:val="center"/>
          </w:tcPr>
          <w:p w14:paraId="47C58952" w14:textId="2B5AEAFF" w:rsidR="009F5B71" w:rsidRPr="001A7CD8" w:rsidRDefault="009F5B71" w:rsidP="00143421">
            <w:pPr>
              <w:keepNext/>
              <w:keepLines/>
              <w:jc w:val="center"/>
              <w:rPr>
                <w:rFonts w:ascii="Arial Narrow" w:hAnsi="Arial Narrow" w:cs="Calibri"/>
                <w:iCs/>
                <w:sz w:val="20"/>
                <w:szCs w:val="20"/>
                <w:lang w:eastAsia="en-AU"/>
              </w:rPr>
            </w:pPr>
            <w:r w:rsidRPr="001A7CD8">
              <w:rPr>
                <w:rFonts w:ascii="Arial Narrow" w:hAnsi="Arial Narrow" w:cs="Calibri"/>
                <w:iCs/>
                <w:sz w:val="20"/>
                <w:szCs w:val="20"/>
                <w:lang w:eastAsia="en-AU"/>
              </w:rPr>
              <w:t>153</w:t>
            </w:r>
          </w:p>
        </w:tc>
        <w:tc>
          <w:tcPr>
            <w:tcW w:w="993" w:type="dxa"/>
            <w:shd w:val="clear" w:color="auto" w:fill="auto"/>
            <w:noWrap/>
            <w:vAlign w:val="center"/>
          </w:tcPr>
          <w:p w14:paraId="0031DBAB" w14:textId="22AD7266" w:rsidR="009F5B71" w:rsidRPr="001A7CD8" w:rsidRDefault="009F5B71" w:rsidP="00143421">
            <w:pPr>
              <w:keepNext/>
              <w:keepLines/>
              <w:jc w:val="center"/>
              <w:rPr>
                <w:rFonts w:ascii="Arial Narrow" w:hAnsi="Arial Narrow" w:cs="Calibri"/>
                <w:iCs/>
                <w:sz w:val="20"/>
                <w:szCs w:val="20"/>
                <w:lang w:eastAsia="en-AU"/>
              </w:rPr>
            </w:pPr>
            <w:r w:rsidRPr="001A7CD8">
              <w:rPr>
                <w:rFonts w:ascii="Arial Narrow" w:hAnsi="Arial Narrow" w:cs="Calibri"/>
                <w:iCs/>
                <w:sz w:val="20"/>
                <w:szCs w:val="20"/>
                <w:lang w:eastAsia="en-AU"/>
              </w:rPr>
              <w:t>57 (37.3)</w:t>
            </w:r>
          </w:p>
        </w:tc>
        <w:tc>
          <w:tcPr>
            <w:tcW w:w="1045" w:type="dxa"/>
            <w:shd w:val="clear" w:color="auto" w:fill="auto"/>
            <w:noWrap/>
            <w:vAlign w:val="center"/>
          </w:tcPr>
          <w:p w14:paraId="13C4F089" w14:textId="3241C82E" w:rsidR="009F5B71" w:rsidRPr="001A7CD8" w:rsidRDefault="00E15363" w:rsidP="00143421">
            <w:pPr>
              <w:keepNext/>
              <w:keepLines/>
              <w:jc w:val="center"/>
              <w:rPr>
                <w:rFonts w:ascii="Arial Narrow" w:hAnsi="Arial Narrow" w:cs="Calibri"/>
                <w:iCs/>
                <w:sz w:val="20"/>
                <w:szCs w:val="20"/>
                <w:lang w:eastAsia="en-AU"/>
              </w:rPr>
            </w:pPr>
            <w:r w:rsidRPr="001A7CD8">
              <w:rPr>
                <w:rFonts w:ascii="Arial Narrow" w:hAnsi="Arial Narrow" w:cs="Calibri"/>
                <w:iCs/>
                <w:sz w:val="20"/>
                <w:szCs w:val="20"/>
                <w:lang w:eastAsia="en-AU"/>
              </w:rPr>
              <w:t>N/R</w:t>
            </w:r>
          </w:p>
        </w:tc>
        <w:tc>
          <w:tcPr>
            <w:tcW w:w="1746" w:type="dxa"/>
            <w:shd w:val="clear" w:color="auto" w:fill="auto"/>
            <w:noWrap/>
            <w:vAlign w:val="center"/>
          </w:tcPr>
          <w:p w14:paraId="054C8134" w14:textId="5C813A14" w:rsidR="009F5B71" w:rsidRPr="001A7CD8" w:rsidRDefault="009F5B71" w:rsidP="00143421">
            <w:pPr>
              <w:keepNext/>
              <w:keepLines/>
              <w:jc w:val="center"/>
              <w:rPr>
                <w:rFonts w:ascii="Arial Narrow" w:hAnsi="Arial Narrow" w:cs="Calibri"/>
                <w:iCs/>
                <w:sz w:val="20"/>
                <w:szCs w:val="20"/>
                <w:lang w:eastAsia="en-AU"/>
              </w:rPr>
            </w:pPr>
            <w:r w:rsidRPr="001A7CD8">
              <w:rPr>
                <w:rFonts w:ascii="Arial Narrow" w:hAnsi="Arial Narrow" w:cs="Calibri"/>
                <w:iCs/>
                <w:sz w:val="20"/>
                <w:szCs w:val="20"/>
                <w:lang w:eastAsia="en-AU"/>
              </w:rPr>
              <w:t>NR (27.1, NR)</w:t>
            </w:r>
          </w:p>
        </w:tc>
      </w:tr>
      <w:tr w:rsidR="00D73255" w:rsidRPr="006710E4" w14:paraId="43ABE2DF" w14:textId="77777777" w:rsidTr="00EF20C5">
        <w:trPr>
          <w:trHeight w:val="20"/>
        </w:trPr>
        <w:tc>
          <w:tcPr>
            <w:tcW w:w="2614" w:type="dxa"/>
            <w:vMerge w:val="restart"/>
            <w:vAlign w:val="center"/>
          </w:tcPr>
          <w:p w14:paraId="2531DB90" w14:textId="77777777" w:rsidR="00D73255" w:rsidRPr="006710E4" w:rsidRDefault="00D73255" w:rsidP="00143421">
            <w:pPr>
              <w:keepNext/>
              <w:keepLines/>
              <w:rPr>
                <w:rFonts w:ascii="Arial Narrow" w:hAnsi="Arial Narrow" w:cs="Calibri"/>
                <w:sz w:val="20"/>
                <w:szCs w:val="20"/>
                <w:lang w:eastAsia="en-AU"/>
              </w:rPr>
            </w:pPr>
            <w:r w:rsidRPr="006710E4">
              <w:rPr>
                <w:rFonts w:ascii="Arial Narrow" w:hAnsi="Arial Narrow" w:cs="Calibri"/>
                <w:sz w:val="20"/>
                <w:szCs w:val="20"/>
                <w:lang w:eastAsia="en-AU"/>
              </w:rPr>
              <w:t>GARNET Cohort A2</w:t>
            </w:r>
          </w:p>
        </w:tc>
        <w:tc>
          <w:tcPr>
            <w:tcW w:w="1892" w:type="dxa"/>
            <w:shd w:val="clear" w:color="auto" w:fill="auto"/>
            <w:noWrap/>
            <w:vAlign w:val="center"/>
            <w:hideMark/>
          </w:tcPr>
          <w:p w14:paraId="04C0DD50" w14:textId="77777777" w:rsidR="00D73255" w:rsidRPr="006710E4" w:rsidRDefault="00D73255" w:rsidP="00143421">
            <w:pPr>
              <w:keepNext/>
              <w:keepLines/>
              <w:jc w:val="center"/>
              <w:rPr>
                <w:rFonts w:ascii="Arial Narrow" w:hAnsi="Arial Narrow" w:cs="Calibri"/>
                <w:sz w:val="20"/>
                <w:szCs w:val="20"/>
                <w:lang w:eastAsia="en-AU"/>
              </w:rPr>
            </w:pPr>
            <w:r w:rsidRPr="006710E4">
              <w:rPr>
                <w:rFonts w:ascii="Arial Narrow" w:hAnsi="Arial Narrow" w:cs="Calibri"/>
                <w:sz w:val="20"/>
                <w:szCs w:val="20"/>
                <w:lang w:eastAsia="en-AU"/>
              </w:rPr>
              <w:t>ITT</w:t>
            </w:r>
          </w:p>
        </w:tc>
        <w:tc>
          <w:tcPr>
            <w:tcW w:w="727" w:type="dxa"/>
            <w:shd w:val="clear" w:color="auto" w:fill="auto"/>
            <w:noWrap/>
            <w:vAlign w:val="center"/>
            <w:hideMark/>
          </w:tcPr>
          <w:p w14:paraId="75F6E9CD" w14:textId="77777777" w:rsidR="00D73255" w:rsidRPr="006710E4" w:rsidRDefault="00D73255" w:rsidP="00143421">
            <w:pPr>
              <w:keepNext/>
              <w:keepLines/>
              <w:jc w:val="center"/>
              <w:rPr>
                <w:rFonts w:ascii="Arial Narrow" w:hAnsi="Arial Narrow" w:cs="Calibri"/>
                <w:sz w:val="20"/>
                <w:szCs w:val="20"/>
                <w:lang w:eastAsia="en-AU"/>
              </w:rPr>
            </w:pPr>
            <w:r w:rsidRPr="006710E4">
              <w:rPr>
                <w:rFonts w:ascii="Arial Narrow" w:hAnsi="Arial Narrow" w:cs="Calibri"/>
                <w:sz w:val="20"/>
                <w:szCs w:val="20"/>
                <w:lang w:eastAsia="en-AU"/>
              </w:rPr>
              <w:t>161</w:t>
            </w:r>
          </w:p>
        </w:tc>
        <w:tc>
          <w:tcPr>
            <w:tcW w:w="993" w:type="dxa"/>
            <w:shd w:val="clear" w:color="auto" w:fill="auto"/>
            <w:noWrap/>
            <w:vAlign w:val="center"/>
            <w:hideMark/>
          </w:tcPr>
          <w:p w14:paraId="1C744FF7" w14:textId="77777777" w:rsidR="00D73255" w:rsidRPr="006710E4" w:rsidRDefault="00D73255" w:rsidP="00143421">
            <w:pPr>
              <w:keepNext/>
              <w:keepLines/>
              <w:jc w:val="center"/>
              <w:rPr>
                <w:rFonts w:ascii="Arial Narrow" w:hAnsi="Arial Narrow" w:cs="Calibri"/>
                <w:sz w:val="20"/>
                <w:szCs w:val="20"/>
                <w:lang w:eastAsia="en-AU"/>
              </w:rPr>
            </w:pPr>
            <w:r w:rsidRPr="006710E4">
              <w:rPr>
                <w:rFonts w:ascii="Arial Narrow" w:hAnsi="Arial Narrow" w:cs="Calibri"/>
                <w:sz w:val="20"/>
                <w:szCs w:val="20"/>
                <w:lang w:eastAsia="en-AU"/>
              </w:rPr>
              <w:t>76 (47.2)</w:t>
            </w:r>
          </w:p>
        </w:tc>
        <w:tc>
          <w:tcPr>
            <w:tcW w:w="1045" w:type="dxa"/>
            <w:shd w:val="clear" w:color="auto" w:fill="auto"/>
            <w:noWrap/>
            <w:vAlign w:val="center"/>
            <w:hideMark/>
          </w:tcPr>
          <w:p w14:paraId="352C7F30" w14:textId="77777777" w:rsidR="00D73255" w:rsidRPr="006710E4" w:rsidRDefault="00D73255" w:rsidP="00143421">
            <w:pPr>
              <w:keepNext/>
              <w:keepLines/>
              <w:jc w:val="center"/>
              <w:rPr>
                <w:rFonts w:ascii="Arial Narrow" w:hAnsi="Arial Narrow" w:cs="Calibri"/>
                <w:sz w:val="20"/>
                <w:szCs w:val="20"/>
                <w:lang w:eastAsia="en-AU"/>
              </w:rPr>
            </w:pPr>
            <w:r w:rsidRPr="006710E4">
              <w:rPr>
                <w:rFonts w:ascii="Arial Narrow" w:hAnsi="Arial Narrow" w:cs="Calibri"/>
                <w:sz w:val="20"/>
                <w:szCs w:val="20"/>
                <w:lang w:eastAsia="en-AU"/>
              </w:rPr>
              <w:t>85 (52.8)</w:t>
            </w:r>
          </w:p>
        </w:tc>
        <w:tc>
          <w:tcPr>
            <w:tcW w:w="1746" w:type="dxa"/>
            <w:shd w:val="clear" w:color="auto" w:fill="auto"/>
            <w:noWrap/>
            <w:vAlign w:val="center"/>
            <w:hideMark/>
          </w:tcPr>
          <w:p w14:paraId="071820B8" w14:textId="77777777" w:rsidR="00D73255" w:rsidRPr="006710E4" w:rsidRDefault="00D73255" w:rsidP="00143421">
            <w:pPr>
              <w:keepNext/>
              <w:keepLines/>
              <w:jc w:val="center"/>
              <w:rPr>
                <w:rFonts w:ascii="Arial Narrow" w:hAnsi="Arial Narrow" w:cs="Calibri"/>
                <w:sz w:val="20"/>
                <w:szCs w:val="20"/>
                <w:lang w:eastAsia="en-AU"/>
              </w:rPr>
            </w:pPr>
            <w:r w:rsidRPr="006710E4">
              <w:rPr>
                <w:rFonts w:ascii="Arial Narrow" w:hAnsi="Arial Narrow" w:cs="Calibri"/>
                <w:sz w:val="20"/>
                <w:szCs w:val="20"/>
                <w:lang w:eastAsia="en-AU"/>
              </w:rPr>
              <w:t>16.8 (12.9, 21.4)</w:t>
            </w:r>
          </w:p>
        </w:tc>
      </w:tr>
      <w:tr w:rsidR="00D73255" w:rsidRPr="006710E4" w14:paraId="60863BD2" w14:textId="77777777" w:rsidTr="00EF20C5">
        <w:trPr>
          <w:trHeight w:val="20"/>
        </w:trPr>
        <w:tc>
          <w:tcPr>
            <w:tcW w:w="2614" w:type="dxa"/>
            <w:vMerge/>
            <w:vAlign w:val="center"/>
          </w:tcPr>
          <w:p w14:paraId="342B6F69" w14:textId="77777777" w:rsidR="00D73255" w:rsidRPr="006710E4" w:rsidRDefault="00D73255" w:rsidP="00143421">
            <w:pPr>
              <w:keepNext/>
              <w:keepLines/>
              <w:rPr>
                <w:rFonts w:ascii="Arial Narrow" w:hAnsi="Arial Narrow" w:cs="Calibri"/>
                <w:sz w:val="20"/>
                <w:szCs w:val="20"/>
                <w:lang w:eastAsia="en-AU"/>
              </w:rPr>
            </w:pPr>
          </w:p>
        </w:tc>
        <w:tc>
          <w:tcPr>
            <w:tcW w:w="1892" w:type="dxa"/>
            <w:shd w:val="clear" w:color="auto" w:fill="auto"/>
            <w:noWrap/>
            <w:vAlign w:val="center"/>
            <w:hideMark/>
          </w:tcPr>
          <w:p w14:paraId="015DE64A" w14:textId="77777777" w:rsidR="00D73255" w:rsidRPr="006710E4" w:rsidRDefault="00D73255" w:rsidP="00143421">
            <w:pPr>
              <w:keepNext/>
              <w:keepLines/>
              <w:jc w:val="center"/>
              <w:rPr>
                <w:rFonts w:ascii="Arial Narrow" w:hAnsi="Arial Narrow" w:cs="Calibri"/>
                <w:sz w:val="20"/>
                <w:szCs w:val="20"/>
                <w:lang w:eastAsia="en-AU"/>
              </w:rPr>
            </w:pPr>
            <w:r w:rsidRPr="006710E4">
              <w:rPr>
                <w:rFonts w:ascii="Arial Narrow" w:hAnsi="Arial Narrow" w:cs="Calibri"/>
                <w:sz w:val="20"/>
                <w:szCs w:val="20"/>
                <w:lang w:eastAsia="en-AU"/>
              </w:rPr>
              <w:t>PES</w:t>
            </w:r>
          </w:p>
        </w:tc>
        <w:tc>
          <w:tcPr>
            <w:tcW w:w="727" w:type="dxa"/>
            <w:shd w:val="clear" w:color="auto" w:fill="auto"/>
            <w:noWrap/>
            <w:vAlign w:val="center"/>
            <w:hideMark/>
          </w:tcPr>
          <w:p w14:paraId="0A5861E1" w14:textId="77777777" w:rsidR="00D73255" w:rsidRPr="006710E4" w:rsidRDefault="00D73255" w:rsidP="00143421">
            <w:pPr>
              <w:keepNext/>
              <w:keepLines/>
              <w:jc w:val="center"/>
              <w:rPr>
                <w:rFonts w:ascii="Arial Narrow" w:hAnsi="Arial Narrow" w:cs="Calibri"/>
                <w:iCs/>
                <w:sz w:val="20"/>
                <w:szCs w:val="20"/>
                <w:lang w:eastAsia="en-AU"/>
              </w:rPr>
            </w:pPr>
            <w:r w:rsidRPr="006710E4">
              <w:rPr>
                <w:rFonts w:ascii="Arial Narrow" w:hAnsi="Arial Narrow" w:cs="Calibri"/>
                <w:iCs/>
                <w:sz w:val="20"/>
                <w:szCs w:val="20"/>
                <w:lang w:eastAsia="en-AU"/>
              </w:rPr>
              <w:t>156</w:t>
            </w:r>
          </w:p>
        </w:tc>
        <w:tc>
          <w:tcPr>
            <w:tcW w:w="993" w:type="dxa"/>
            <w:shd w:val="clear" w:color="auto" w:fill="auto"/>
            <w:noWrap/>
            <w:vAlign w:val="center"/>
            <w:hideMark/>
          </w:tcPr>
          <w:p w14:paraId="7BAFA2AB" w14:textId="77777777" w:rsidR="00D73255" w:rsidRPr="006710E4" w:rsidRDefault="00D73255" w:rsidP="00143421">
            <w:pPr>
              <w:keepNext/>
              <w:keepLines/>
              <w:jc w:val="center"/>
              <w:rPr>
                <w:rFonts w:ascii="Arial Narrow" w:hAnsi="Arial Narrow" w:cs="Calibri"/>
                <w:iCs/>
                <w:sz w:val="20"/>
                <w:szCs w:val="20"/>
                <w:lang w:eastAsia="en-AU"/>
              </w:rPr>
            </w:pPr>
            <w:r w:rsidRPr="006710E4">
              <w:rPr>
                <w:rFonts w:ascii="Arial Narrow" w:hAnsi="Arial Narrow" w:cs="Calibri"/>
                <w:iCs/>
                <w:sz w:val="20"/>
                <w:szCs w:val="20"/>
                <w:lang w:eastAsia="en-AU"/>
              </w:rPr>
              <w:t>75 (48.1)</w:t>
            </w:r>
          </w:p>
        </w:tc>
        <w:tc>
          <w:tcPr>
            <w:tcW w:w="1045" w:type="dxa"/>
            <w:shd w:val="clear" w:color="auto" w:fill="auto"/>
            <w:noWrap/>
            <w:vAlign w:val="center"/>
            <w:hideMark/>
          </w:tcPr>
          <w:p w14:paraId="1C006CBA" w14:textId="77777777" w:rsidR="00D73255" w:rsidRPr="006710E4" w:rsidRDefault="00D73255" w:rsidP="00143421">
            <w:pPr>
              <w:keepNext/>
              <w:keepLines/>
              <w:jc w:val="center"/>
              <w:rPr>
                <w:rFonts w:ascii="Arial Narrow" w:hAnsi="Arial Narrow" w:cs="Calibri"/>
                <w:iCs/>
                <w:sz w:val="20"/>
                <w:szCs w:val="20"/>
                <w:lang w:eastAsia="en-AU"/>
              </w:rPr>
            </w:pPr>
            <w:r w:rsidRPr="006710E4">
              <w:rPr>
                <w:rFonts w:ascii="Arial Narrow" w:hAnsi="Arial Narrow" w:cs="Calibri"/>
                <w:iCs/>
                <w:sz w:val="20"/>
                <w:szCs w:val="20"/>
                <w:lang w:eastAsia="en-AU"/>
              </w:rPr>
              <w:t>81 (51.9)</w:t>
            </w:r>
          </w:p>
        </w:tc>
        <w:tc>
          <w:tcPr>
            <w:tcW w:w="1746" w:type="dxa"/>
            <w:shd w:val="clear" w:color="auto" w:fill="auto"/>
            <w:noWrap/>
            <w:vAlign w:val="center"/>
            <w:hideMark/>
          </w:tcPr>
          <w:p w14:paraId="5757DB55" w14:textId="77777777" w:rsidR="00D73255" w:rsidRPr="006710E4" w:rsidRDefault="00D73255" w:rsidP="00143421">
            <w:pPr>
              <w:keepNext/>
              <w:keepLines/>
              <w:jc w:val="center"/>
              <w:rPr>
                <w:rFonts w:ascii="Arial Narrow" w:hAnsi="Arial Narrow" w:cs="Calibri"/>
                <w:iCs/>
                <w:sz w:val="20"/>
                <w:szCs w:val="20"/>
                <w:lang w:eastAsia="en-AU"/>
              </w:rPr>
            </w:pPr>
            <w:r w:rsidRPr="006710E4">
              <w:rPr>
                <w:rFonts w:ascii="Arial Narrow" w:hAnsi="Arial Narrow" w:cs="Calibri"/>
                <w:iCs/>
                <w:sz w:val="20"/>
                <w:szCs w:val="20"/>
                <w:lang w:eastAsia="en-AU"/>
              </w:rPr>
              <w:t>16.8 (12.9, 21.4)</w:t>
            </w:r>
          </w:p>
        </w:tc>
      </w:tr>
      <w:tr w:rsidR="00D73255" w:rsidRPr="006710E4" w14:paraId="00F1A206" w14:textId="77777777" w:rsidTr="00EF20C5">
        <w:trPr>
          <w:trHeight w:val="20"/>
        </w:trPr>
        <w:tc>
          <w:tcPr>
            <w:tcW w:w="2614" w:type="dxa"/>
            <w:vMerge w:val="restart"/>
            <w:vAlign w:val="center"/>
          </w:tcPr>
          <w:p w14:paraId="18B1CF5E" w14:textId="77777777" w:rsidR="00D73255" w:rsidRPr="006710E4" w:rsidRDefault="00D73255" w:rsidP="00143421">
            <w:pPr>
              <w:keepNext/>
              <w:keepLines/>
              <w:rPr>
                <w:rFonts w:ascii="Arial Narrow" w:hAnsi="Arial Narrow" w:cs="Calibri"/>
                <w:sz w:val="20"/>
                <w:szCs w:val="20"/>
                <w:lang w:eastAsia="en-AU"/>
              </w:rPr>
            </w:pPr>
            <w:r w:rsidRPr="006710E4">
              <w:rPr>
                <w:rFonts w:ascii="Arial Narrow" w:hAnsi="Arial Narrow" w:cs="Calibri"/>
                <w:sz w:val="20"/>
                <w:szCs w:val="20"/>
                <w:lang w:eastAsia="en-AU"/>
              </w:rPr>
              <w:t>GARNET Cohort A1 &amp; A2</w:t>
            </w:r>
          </w:p>
        </w:tc>
        <w:tc>
          <w:tcPr>
            <w:tcW w:w="1892" w:type="dxa"/>
            <w:shd w:val="clear" w:color="auto" w:fill="auto"/>
            <w:noWrap/>
            <w:vAlign w:val="center"/>
            <w:hideMark/>
          </w:tcPr>
          <w:p w14:paraId="786D0816" w14:textId="77777777" w:rsidR="00D73255" w:rsidRPr="006710E4" w:rsidRDefault="00D73255" w:rsidP="00143421">
            <w:pPr>
              <w:keepNext/>
              <w:keepLines/>
              <w:jc w:val="center"/>
              <w:rPr>
                <w:rFonts w:ascii="Arial Narrow" w:hAnsi="Arial Narrow" w:cs="Calibri"/>
                <w:sz w:val="20"/>
                <w:szCs w:val="20"/>
                <w:lang w:eastAsia="en-AU"/>
              </w:rPr>
            </w:pPr>
            <w:r w:rsidRPr="006710E4">
              <w:rPr>
                <w:rFonts w:ascii="Arial Narrow" w:hAnsi="Arial Narrow" w:cs="Calibri"/>
                <w:sz w:val="20"/>
                <w:szCs w:val="20"/>
                <w:lang w:eastAsia="en-AU"/>
              </w:rPr>
              <w:t>ITT</w:t>
            </w:r>
          </w:p>
        </w:tc>
        <w:tc>
          <w:tcPr>
            <w:tcW w:w="727" w:type="dxa"/>
            <w:shd w:val="clear" w:color="auto" w:fill="auto"/>
            <w:noWrap/>
            <w:vAlign w:val="center"/>
            <w:hideMark/>
          </w:tcPr>
          <w:p w14:paraId="09DC2403" w14:textId="77777777" w:rsidR="00D73255" w:rsidRPr="006710E4" w:rsidRDefault="00D73255" w:rsidP="00143421">
            <w:pPr>
              <w:keepNext/>
              <w:keepLines/>
              <w:jc w:val="center"/>
              <w:rPr>
                <w:rFonts w:ascii="Arial Narrow" w:hAnsi="Arial Narrow" w:cs="Calibri"/>
                <w:sz w:val="20"/>
                <w:szCs w:val="20"/>
                <w:lang w:eastAsia="en-AU"/>
              </w:rPr>
            </w:pPr>
            <w:r w:rsidRPr="006710E4">
              <w:rPr>
                <w:rFonts w:ascii="Arial Narrow" w:hAnsi="Arial Narrow" w:cs="Calibri"/>
                <w:sz w:val="20"/>
                <w:szCs w:val="20"/>
                <w:lang w:eastAsia="en-AU"/>
              </w:rPr>
              <w:t>290</w:t>
            </w:r>
          </w:p>
        </w:tc>
        <w:tc>
          <w:tcPr>
            <w:tcW w:w="993" w:type="dxa"/>
            <w:shd w:val="clear" w:color="auto" w:fill="auto"/>
            <w:noWrap/>
            <w:vAlign w:val="center"/>
            <w:hideMark/>
          </w:tcPr>
          <w:p w14:paraId="5D5E4FD8" w14:textId="77777777" w:rsidR="00D73255" w:rsidRPr="006710E4" w:rsidRDefault="00D73255" w:rsidP="00143421">
            <w:pPr>
              <w:keepNext/>
              <w:keepLines/>
              <w:jc w:val="center"/>
              <w:rPr>
                <w:rFonts w:ascii="Arial Narrow" w:hAnsi="Arial Narrow" w:cs="Calibri"/>
                <w:sz w:val="20"/>
                <w:szCs w:val="20"/>
                <w:lang w:eastAsia="en-AU"/>
              </w:rPr>
            </w:pPr>
            <w:r w:rsidRPr="006710E4">
              <w:rPr>
                <w:rFonts w:ascii="Arial Narrow" w:hAnsi="Arial Narrow" w:cs="Calibri"/>
                <w:sz w:val="20"/>
                <w:szCs w:val="20"/>
                <w:lang w:eastAsia="en-AU"/>
              </w:rPr>
              <w:t>112 (38.6)</w:t>
            </w:r>
          </w:p>
        </w:tc>
        <w:tc>
          <w:tcPr>
            <w:tcW w:w="1045" w:type="dxa"/>
            <w:shd w:val="clear" w:color="auto" w:fill="auto"/>
            <w:noWrap/>
            <w:vAlign w:val="center"/>
            <w:hideMark/>
          </w:tcPr>
          <w:p w14:paraId="0629F99F" w14:textId="77777777" w:rsidR="00D73255" w:rsidRPr="006710E4" w:rsidRDefault="00D73255" w:rsidP="00143421">
            <w:pPr>
              <w:keepNext/>
              <w:keepLines/>
              <w:jc w:val="center"/>
              <w:rPr>
                <w:rFonts w:ascii="Arial Narrow" w:hAnsi="Arial Narrow" w:cs="Calibri"/>
                <w:sz w:val="20"/>
                <w:szCs w:val="20"/>
                <w:lang w:eastAsia="en-AU"/>
              </w:rPr>
            </w:pPr>
            <w:r w:rsidRPr="006710E4">
              <w:rPr>
                <w:rFonts w:ascii="Arial Narrow" w:hAnsi="Arial Narrow" w:cs="Calibri"/>
                <w:sz w:val="20"/>
                <w:szCs w:val="20"/>
                <w:lang w:eastAsia="en-AU"/>
              </w:rPr>
              <w:t>178 (61.4)</w:t>
            </w:r>
          </w:p>
        </w:tc>
        <w:tc>
          <w:tcPr>
            <w:tcW w:w="1746" w:type="dxa"/>
            <w:shd w:val="clear" w:color="auto" w:fill="auto"/>
            <w:noWrap/>
            <w:vAlign w:val="center"/>
            <w:hideMark/>
          </w:tcPr>
          <w:p w14:paraId="135A0EAC" w14:textId="77777777" w:rsidR="00D73255" w:rsidRPr="006710E4" w:rsidRDefault="00D73255" w:rsidP="00143421">
            <w:pPr>
              <w:keepNext/>
              <w:keepLines/>
              <w:jc w:val="center"/>
              <w:rPr>
                <w:rFonts w:ascii="Arial Narrow" w:hAnsi="Arial Narrow" w:cs="Calibri"/>
                <w:sz w:val="20"/>
                <w:szCs w:val="20"/>
                <w:lang w:eastAsia="en-AU"/>
              </w:rPr>
            </w:pPr>
            <w:r w:rsidRPr="006710E4">
              <w:rPr>
                <w:rFonts w:ascii="Arial Narrow" w:hAnsi="Arial Narrow" w:cs="Calibri"/>
                <w:sz w:val="20"/>
                <w:szCs w:val="20"/>
                <w:lang w:eastAsia="en-AU"/>
              </w:rPr>
              <w:t>21.3 (16.8, 26.4)</w:t>
            </w:r>
          </w:p>
        </w:tc>
      </w:tr>
      <w:tr w:rsidR="00D73255" w:rsidRPr="006710E4" w14:paraId="00A908EC" w14:textId="77777777" w:rsidTr="00EF20C5">
        <w:trPr>
          <w:trHeight w:val="20"/>
        </w:trPr>
        <w:tc>
          <w:tcPr>
            <w:tcW w:w="2614" w:type="dxa"/>
            <w:vMerge/>
            <w:vAlign w:val="center"/>
          </w:tcPr>
          <w:p w14:paraId="50E162DF" w14:textId="77777777" w:rsidR="00D73255" w:rsidRPr="006710E4" w:rsidRDefault="00D73255" w:rsidP="00143421">
            <w:pPr>
              <w:keepNext/>
              <w:keepLines/>
              <w:rPr>
                <w:rFonts w:ascii="Arial Narrow" w:hAnsi="Arial Narrow" w:cs="Calibri"/>
                <w:sz w:val="20"/>
                <w:szCs w:val="20"/>
                <w:lang w:eastAsia="en-AU"/>
              </w:rPr>
            </w:pPr>
          </w:p>
        </w:tc>
        <w:tc>
          <w:tcPr>
            <w:tcW w:w="1892" w:type="dxa"/>
            <w:shd w:val="clear" w:color="auto" w:fill="auto"/>
            <w:noWrap/>
            <w:vAlign w:val="center"/>
            <w:hideMark/>
          </w:tcPr>
          <w:p w14:paraId="719AE2AC" w14:textId="77777777" w:rsidR="00D73255" w:rsidRPr="006710E4" w:rsidRDefault="00D73255" w:rsidP="00143421">
            <w:pPr>
              <w:keepNext/>
              <w:keepLines/>
              <w:jc w:val="center"/>
              <w:rPr>
                <w:rFonts w:ascii="Arial Narrow" w:hAnsi="Arial Narrow" w:cs="Calibri"/>
                <w:sz w:val="20"/>
                <w:szCs w:val="20"/>
                <w:lang w:eastAsia="en-AU"/>
              </w:rPr>
            </w:pPr>
            <w:r w:rsidRPr="006710E4">
              <w:rPr>
                <w:rFonts w:ascii="Arial Narrow" w:hAnsi="Arial Narrow" w:cs="Calibri"/>
                <w:sz w:val="20"/>
                <w:szCs w:val="20"/>
                <w:lang w:eastAsia="en-AU"/>
              </w:rPr>
              <w:t>PES</w:t>
            </w:r>
          </w:p>
        </w:tc>
        <w:tc>
          <w:tcPr>
            <w:tcW w:w="727" w:type="dxa"/>
            <w:shd w:val="clear" w:color="auto" w:fill="auto"/>
            <w:noWrap/>
            <w:vAlign w:val="center"/>
            <w:hideMark/>
          </w:tcPr>
          <w:p w14:paraId="5DF6C7BC" w14:textId="77777777" w:rsidR="00D73255" w:rsidRPr="006710E4" w:rsidRDefault="00D73255" w:rsidP="00143421">
            <w:pPr>
              <w:keepNext/>
              <w:keepLines/>
              <w:jc w:val="center"/>
              <w:rPr>
                <w:rFonts w:ascii="Arial Narrow" w:hAnsi="Arial Narrow" w:cs="Calibri"/>
                <w:sz w:val="20"/>
                <w:szCs w:val="20"/>
                <w:lang w:eastAsia="en-AU"/>
              </w:rPr>
            </w:pPr>
            <w:r w:rsidRPr="006710E4">
              <w:rPr>
                <w:rFonts w:ascii="Arial Narrow" w:hAnsi="Arial Narrow" w:cs="Calibri"/>
                <w:sz w:val="20"/>
                <w:szCs w:val="20"/>
                <w:lang w:eastAsia="en-AU"/>
              </w:rPr>
              <w:t>261</w:t>
            </w:r>
          </w:p>
        </w:tc>
        <w:tc>
          <w:tcPr>
            <w:tcW w:w="993" w:type="dxa"/>
            <w:shd w:val="clear" w:color="auto" w:fill="auto"/>
            <w:noWrap/>
            <w:vAlign w:val="center"/>
            <w:hideMark/>
          </w:tcPr>
          <w:p w14:paraId="5F595CD3" w14:textId="77777777" w:rsidR="00D73255" w:rsidRPr="006710E4" w:rsidRDefault="00D73255" w:rsidP="00143421">
            <w:pPr>
              <w:keepNext/>
              <w:keepLines/>
              <w:jc w:val="center"/>
              <w:rPr>
                <w:rFonts w:ascii="Arial Narrow" w:hAnsi="Arial Narrow" w:cs="Calibri"/>
                <w:sz w:val="20"/>
                <w:szCs w:val="20"/>
                <w:lang w:eastAsia="en-AU"/>
              </w:rPr>
            </w:pPr>
            <w:r w:rsidRPr="006710E4">
              <w:rPr>
                <w:rFonts w:ascii="Arial Narrow" w:hAnsi="Arial Narrow" w:cs="Calibri"/>
                <w:sz w:val="20"/>
                <w:szCs w:val="20"/>
                <w:lang w:eastAsia="en-AU"/>
              </w:rPr>
              <w:t>110 (42.1)</w:t>
            </w:r>
          </w:p>
        </w:tc>
        <w:tc>
          <w:tcPr>
            <w:tcW w:w="1045" w:type="dxa"/>
            <w:shd w:val="clear" w:color="auto" w:fill="auto"/>
            <w:noWrap/>
            <w:vAlign w:val="center"/>
            <w:hideMark/>
          </w:tcPr>
          <w:p w14:paraId="024AE937" w14:textId="77777777" w:rsidR="00D73255" w:rsidRPr="006710E4" w:rsidRDefault="00D73255" w:rsidP="00143421">
            <w:pPr>
              <w:keepNext/>
              <w:keepLines/>
              <w:jc w:val="center"/>
              <w:rPr>
                <w:rFonts w:ascii="Arial Narrow" w:hAnsi="Arial Narrow" w:cs="Calibri"/>
                <w:sz w:val="20"/>
                <w:szCs w:val="20"/>
                <w:lang w:eastAsia="en-AU"/>
              </w:rPr>
            </w:pPr>
            <w:r w:rsidRPr="006710E4">
              <w:rPr>
                <w:rFonts w:ascii="Arial Narrow" w:hAnsi="Arial Narrow" w:cs="Calibri"/>
                <w:sz w:val="20"/>
                <w:szCs w:val="20"/>
                <w:lang w:eastAsia="en-AU"/>
              </w:rPr>
              <w:t>151 (57.9)</w:t>
            </w:r>
          </w:p>
        </w:tc>
        <w:tc>
          <w:tcPr>
            <w:tcW w:w="1746" w:type="dxa"/>
            <w:shd w:val="clear" w:color="auto" w:fill="auto"/>
            <w:noWrap/>
            <w:vAlign w:val="center"/>
            <w:hideMark/>
          </w:tcPr>
          <w:p w14:paraId="0EE19F4D" w14:textId="77777777" w:rsidR="00D73255" w:rsidRPr="006710E4" w:rsidRDefault="00D73255" w:rsidP="00143421">
            <w:pPr>
              <w:keepNext/>
              <w:keepLines/>
              <w:jc w:val="center"/>
              <w:rPr>
                <w:rFonts w:ascii="Arial Narrow" w:hAnsi="Arial Narrow" w:cs="Calibri"/>
                <w:sz w:val="20"/>
                <w:szCs w:val="20"/>
                <w:lang w:eastAsia="en-AU"/>
              </w:rPr>
            </w:pPr>
            <w:r w:rsidRPr="006710E4">
              <w:rPr>
                <w:rFonts w:ascii="Arial Narrow" w:hAnsi="Arial Narrow" w:cs="Calibri"/>
                <w:sz w:val="20"/>
                <w:szCs w:val="20"/>
                <w:lang w:eastAsia="en-AU"/>
              </w:rPr>
              <w:t>18.5 (16.0, 26.4)</w:t>
            </w:r>
          </w:p>
        </w:tc>
      </w:tr>
      <w:tr w:rsidR="00D73255" w:rsidRPr="007632C3" w14:paraId="652F041C" w14:textId="77777777" w:rsidTr="00EF20C5">
        <w:trPr>
          <w:trHeight w:val="20"/>
        </w:trPr>
        <w:tc>
          <w:tcPr>
            <w:tcW w:w="9017" w:type="dxa"/>
            <w:gridSpan w:val="6"/>
            <w:vAlign w:val="center"/>
          </w:tcPr>
          <w:p w14:paraId="6FC7F5D6" w14:textId="77777777" w:rsidR="00D73255" w:rsidRPr="007632C3" w:rsidRDefault="00D73255" w:rsidP="00143421">
            <w:pPr>
              <w:keepNext/>
              <w:keepLines/>
              <w:rPr>
                <w:rFonts w:ascii="Arial Narrow" w:hAnsi="Arial Narrow" w:cs="Calibri"/>
                <w:b/>
                <w:bCs/>
                <w:sz w:val="20"/>
                <w:szCs w:val="20"/>
                <w:lang w:eastAsia="en-AU"/>
              </w:rPr>
            </w:pPr>
            <w:r w:rsidRPr="007632C3">
              <w:rPr>
                <w:rFonts w:ascii="Arial Narrow" w:hAnsi="Arial Narrow" w:cs="Calibri"/>
                <w:b/>
                <w:bCs/>
                <w:sz w:val="20"/>
                <w:szCs w:val="20"/>
                <w:lang w:eastAsia="en-AU"/>
              </w:rPr>
              <w:t>SoC</w:t>
            </w:r>
          </w:p>
        </w:tc>
      </w:tr>
      <w:tr w:rsidR="00D73255" w:rsidRPr="006710E4" w14:paraId="60160292" w14:textId="77777777" w:rsidTr="00EF20C5">
        <w:trPr>
          <w:trHeight w:val="20"/>
        </w:trPr>
        <w:tc>
          <w:tcPr>
            <w:tcW w:w="2614" w:type="dxa"/>
            <w:vMerge w:val="restart"/>
            <w:vAlign w:val="center"/>
          </w:tcPr>
          <w:p w14:paraId="57BD84CE" w14:textId="66D68895" w:rsidR="00D73255" w:rsidRPr="006710E4" w:rsidRDefault="00D73255" w:rsidP="00143421">
            <w:pPr>
              <w:keepNext/>
              <w:keepLines/>
              <w:rPr>
                <w:rFonts w:ascii="Arial Narrow" w:hAnsi="Arial Narrow" w:cs="Calibri"/>
                <w:sz w:val="20"/>
                <w:szCs w:val="20"/>
                <w:vertAlign w:val="superscript"/>
                <w:lang w:eastAsia="en-AU"/>
              </w:rPr>
            </w:pPr>
            <w:proofErr w:type="spellStart"/>
            <w:r w:rsidRPr="006710E4">
              <w:rPr>
                <w:rFonts w:ascii="Arial Narrow" w:hAnsi="Arial Narrow" w:cs="Calibri"/>
                <w:sz w:val="20"/>
                <w:szCs w:val="20"/>
                <w:lang w:eastAsia="en-AU"/>
              </w:rPr>
              <w:t>ZoptEC</w:t>
            </w:r>
            <w:proofErr w:type="spellEnd"/>
            <w:r w:rsidRPr="006710E4">
              <w:rPr>
                <w:rFonts w:ascii="Arial Narrow" w:hAnsi="Arial Narrow" w:cs="Calibri"/>
                <w:sz w:val="20"/>
                <w:szCs w:val="20"/>
                <w:lang w:eastAsia="en-AU"/>
              </w:rPr>
              <w:t xml:space="preserve"> (doxorubicin) </w:t>
            </w:r>
            <w:r w:rsidR="0009250D">
              <w:rPr>
                <w:rFonts w:ascii="Arial Narrow" w:hAnsi="Arial Narrow" w:cs="Calibri"/>
                <w:sz w:val="20"/>
                <w:szCs w:val="20"/>
                <w:vertAlign w:val="superscript"/>
                <w:lang w:eastAsia="en-AU"/>
              </w:rPr>
              <w:t>b</w:t>
            </w:r>
          </w:p>
        </w:tc>
        <w:tc>
          <w:tcPr>
            <w:tcW w:w="1892" w:type="dxa"/>
            <w:shd w:val="clear" w:color="auto" w:fill="auto"/>
            <w:noWrap/>
            <w:vAlign w:val="center"/>
            <w:hideMark/>
          </w:tcPr>
          <w:p w14:paraId="1C9CBC7D" w14:textId="77777777" w:rsidR="00D73255" w:rsidRPr="006710E4" w:rsidRDefault="00D73255" w:rsidP="00143421">
            <w:pPr>
              <w:keepNext/>
              <w:keepLines/>
              <w:jc w:val="center"/>
              <w:rPr>
                <w:rFonts w:ascii="Arial Narrow" w:hAnsi="Arial Narrow" w:cs="Calibri"/>
                <w:sz w:val="20"/>
                <w:szCs w:val="20"/>
                <w:lang w:eastAsia="en-AU"/>
              </w:rPr>
            </w:pPr>
            <w:proofErr w:type="spellStart"/>
            <w:r w:rsidRPr="006710E4">
              <w:rPr>
                <w:rFonts w:ascii="Arial Narrow" w:hAnsi="Arial Narrow" w:cs="Calibri"/>
                <w:sz w:val="20"/>
                <w:szCs w:val="20"/>
                <w:lang w:eastAsia="en-AU"/>
              </w:rPr>
              <w:t>mITT</w:t>
            </w:r>
            <w:proofErr w:type="spellEnd"/>
          </w:p>
        </w:tc>
        <w:tc>
          <w:tcPr>
            <w:tcW w:w="727" w:type="dxa"/>
            <w:shd w:val="clear" w:color="auto" w:fill="auto"/>
            <w:noWrap/>
            <w:vAlign w:val="center"/>
            <w:hideMark/>
          </w:tcPr>
          <w:p w14:paraId="43F7BF3B" w14:textId="77777777" w:rsidR="00D73255" w:rsidRPr="006710E4" w:rsidRDefault="00D73255" w:rsidP="00143421">
            <w:pPr>
              <w:keepNext/>
              <w:keepLines/>
              <w:jc w:val="center"/>
              <w:rPr>
                <w:rFonts w:ascii="Arial Narrow" w:hAnsi="Arial Narrow" w:cs="Calibri"/>
                <w:sz w:val="20"/>
                <w:szCs w:val="20"/>
                <w:lang w:eastAsia="en-AU"/>
              </w:rPr>
            </w:pPr>
            <w:r w:rsidRPr="006710E4">
              <w:rPr>
                <w:rFonts w:ascii="Arial Narrow" w:hAnsi="Arial Narrow" w:cs="Calibri"/>
                <w:sz w:val="20"/>
                <w:szCs w:val="20"/>
                <w:lang w:eastAsia="en-AU"/>
              </w:rPr>
              <w:t>249</w:t>
            </w:r>
          </w:p>
        </w:tc>
        <w:tc>
          <w:tcPr>
            <w:tcW w:w="993" w:type="dxa"/>
            <w:shd w:val="clear" w:color="auto" w:fill="auto"/>
            <w:noWrap/>
            <w:vAlign w:val="center"/>
            <w:hideMark/>
          </w:tcPr>
          <w:p w14:paraId="127020A4" w14:textId="77777777" w:rsidR="00D73255" w:rsidRPr="006710E4" w:rsidRDefault="00D73255" w:rsidP="00143421">
            <w:pPr>
              <w:keepNext/>
              <w:keepLines/>
              <w:jc w:val="center"/>
              <w:rPr>
                <w:rFonts w:ascii="Arial Narrow" w:hAnsi="Arial Narrow" w:cs="Calibri"/>
                <w:sz w:val="20"/>
                <w:szCs w:val="20"/>
                <w:lang w:eastAsia="en-AU"/>
              </w:rPr>
            </w:pPr>
            <w:r w:rsidRPr="006710E4">
              <w:rPr>
                <w:rFonts w:ascii="Arial Narrow" w:hAnsi="Arial Narrow" w:cs="Calibri"/>
                <w:sz w:val="20"/>
                <w:szCs w:val="20"/>
                <w:lang w:eastAsia="en-AU"/>
              </w:rPr>
              <w:t>188 (75.5)</w:t>
            </w:r>
          </w:p>
        </w:tc>
        <w:tc>
          <w:tcPr>
            <w:tcW w:w="1045" w:type="dxa"/>
            <w:shd w:val="clear" w:color="auto" w:fill="auto"/>
            <w:noWrap/>
            <w:vAlign w:val="center"/>
            <w:hideMark/>
          </w:tcPr>
          <w:p w14:paraId="72A0DDC3" w14:textId="77777777" w:rsidR="00D73255" w:rsidRPr="006710E4" w:rsidRDefault="00D73255" w:rsidP="00143421">
            <w:pPr>
              <w:keepNext/>
              <w:keepLines/>
              <w:jc w:val="center"/>
              <w:rPr>
                <w:rFonts w:ascii="Arial Narrow" w:hAnsi="Arial Narrow" w:cs="Calibri"/>
                <w:sz w:val="20"/>
                <w:szCs w:val="20"/>
                <w:lang w:eastAsia="en-AU"/>
              </w:rPr>
            </w:pPr>
            <w:r w:rsidRPr="006710E4">
              <w:rPr>
                <w:rFonts w:ascii="Arial Narrow" w:hAnsi="Arial Narrow" w:cs="Calibri"/>
                <w:sz w:val="20"/>
                <w:szCs w:val="20"/>
                <w:lang w:eastAsia="en-AU"/>
              </w:rPr>
              <w:t>61 (24.5)</w:t>
            </w:r>
          </w:p>
        </w:tc>
        <w:tc>
          <w:tcPr>
            <w:tcW w:w="1746" w:type="dxa"/>
            <w:shd w:val="clear" w:color="auto" w:fill="auto"/>
            <w:noWrap/>
            <w:vAlign w:val="center"/>
            <w:hideMark/>
          </w:tcPr>
          <w:p w14:paraId="206865CC" w14:textId="77777777" w:rsidR="00D73255" w:rsidRPr="006710E4" w:rsidRDefault="00D73255" w:rsidP="00143421">
            <w:pPr>
              <w:keepNext/>
              <w:keepLines/>
              <w:jc w:val="center"/>
              <w:rPr>
                <w:rFonts w:ascii="Arial Narrow" w:hAnsi="Arial Narrow" w:cs="Calibri"/>
                <w:sz w:val="20"/>
                <w:szCs w:val="20"/>
                <w:lang w:eastAsia="en-AU"/>
              </w:rPr>
            </w:pPr>
            <w:r w:rsidRPr="006710E4">
              <w:rPr>
                <w:rFonts w:ascii="Arial Narrow" w:hAnsi="Arial Narrow" w:cs="Calibri"/>
                <w:sz w:val="20"/>
                <w:szCs w:val="20"/>
                <w:lang w:eastAsia="en-AU"/>
              </w:rPr>
              <w:t>10.8 (9.8, 12.6)</w:t>
            </w:r>
          </w:p>
        </w:tc>
      </w:tr>
      <w:tr w:rsidR="00D73255" w:rsidRPr="006710E4" w14:paraId="3DA1C568" w14:textId="77777777" w:rsidTr="00EF20C5">
        <w:trPr>
          <w:trHeight w:val="20"/>
        </w:trPr>
        <w:tc>
          <w:tcPr>
            <w:tcW w:w="2614" w:type="dxa"/>
            <w:vMerge/>
            <w:vAlign w:val="center"/>
          </w:tcPr>
          <w:p w14:paraId="476D9579" w14:textId="77777777" w:rsidR="00D73255" w:rsidRPr="006710E4" w:rsidRDefault="00D73255" w:rsidP="00143421">
            <w:pPr>
              <w:keepNext/>
              <w:keepLines/>
              <w:rPr>
                <w:rFonts w:ascii="Arial Narrow" w:hAnsi="Arial Narrow" w:cs="Calibri"/>
                <w:sz w:val="20"/>
                <w:szCs w:val="20"/>
                <w:lang w:eastAsia="en-AU"/>
              </w:rPr>
            </w:pPr>
          </w:p>
        </w:tc>
        <w:tc>
          <w:tcPr>
            <w:tcW w:w="1892" w:type="dxa"/>
            <w:shd w:val="clear" w:color="auto" w:fill="auto"/>
            <w:noWrap/>
            <w:vAlign w:val="center"/>
            <w:hideMark/>
          </w:tcPr>
          <w:p w14:paraId="520C1527" w14:textId="17E72B25" w:rsidR="00D73255" w:rsidRPr="0009250D" w:rsidRDefault="00D73255" w:rsidP="00143421">
            <w:pPr>
              <w:keepNext/>
              <w:keepLines/>
              <w:jc w:val="center"/>
              <w:rPr>
                <w:rFonts w:ascii="Arial Narrow" w:hAnsi="Arial Narrow" w:cs="Calibri"/>
                <w:sz w:val="20"/>
                <w:szCs w:val="20"/>
                <w:vertAlign w:val="superscript"/>
                <w:lang w:eastAsia="en-AU"/>
              </w:rPr>
            </w:pPr>
            <w:proofErr w:type="spellStart"/>
            <w:r w:rsidRPr="006710E4">
              <w:rPr>
                <w:rFonts w:ascii="Arial Narrow" w:hAnsi="Arial Narrow" w:cs="Calibri"/>
                <w:sz w:val="20"/>
                <w:szCs w:val="20"/>
                <w:lang w:eastAsia="en-AU"/>
              </w:rPr>
              <w:t>MAS</w:t>
            </w:r>
            <w:r w:rsidR="0009250D">
              <w:rPr>
                <w:rFonts w:ascii="Arial Narrow" w:hAnsi="Arial Narrow" w:cs="Calibri"/>
                <w:sz w:val="20"/>
                <w:szCs w:val="20"/>
                <w:vertAlign w:val="superscript"/>
                <w:lang w:eastAsia="en-AU"/>
              </w:rPr>
              <w:t>c</w:t>
            </w:r>
            <w:proofErr w:type="spellEnd"/>
          </w:p>
        </w:tc>
        <w:tc>
          <w:tcPr>
            <w:tcW w:w="727" w:type="dxa"/>
            <w:shd w:val="clear" w:color="auto" w:fill="auto"/>
            <w:noWrap/>
            <w:vAlign w:val="center"/>
            <w:hideMark/>
          </w:tcPr>
          <w:p w14:paraId="34945CF9" w14:textId="77777777" w:rsidR="00D73255" w:rsidRPr="006710E4" w:rsidRDefault="00D73255" w:rsidP="00143421">
            <w:pPr>
              <w:keepNext/>
              <w:keepLines/>
              <w:jc w:val="center"/>
              <w:rPr>
                <w:rFonts w:ascii="Arial Narrow" w:hAnsi="Arial Narrow" w:cs="Calibri"/>
                <w:sz w:val="20"/>
                <w:szCs w:val="20"/>
                <w:lang w:eastAsia="en-AU"/>
              </w:rPr>
            </w:pPr>
            <w:r w:rsidRPr="006710E4">
              <w:rPr>
                <w:rFonts w:ascii="Arial Narrow" w:hAnsi="Arial Narrow" w:cs="Calibri"/>
                <w:sz w:val="20"/>
                <w:szCs w:val="20"/>
                <w:lang w:eastAsia="en-AU"/>
              </w:rPr>
              <w:t>233</w:t>
            </w:r>
          </w:p>
        </w:tc>
        <w:tc>
          <w:tcPr>
            <w:tcW w:w="993" w:type="dxa"/>
            <w:shd w:val="clear" w:color="auto" w:fill="auto"/>
            <w:noWrap/>
            <w:vAlign w:val="center"/>
            <w:hideMark/>
          </w:tcPr>
          <w:p w14:paraId="3ABF9433" w14:textId="77777777" w:rsidR="00D73255" w:rsidRPr="006710E4" w:rsidRDefault="00D73255" w:rsidP="00143421">
            <w:pPr>
              <w:keepNext/>
              <w:keepLines/>
              <w:jc w:val="center"/>
              <w:rPr>
                <w:rFonts w:ascii="Arial Narrow" w:hAnsi="Arial Narrow" w:cs="Calibri"/>
                <w:sz w:val="20"/>
                <w:szCs w:val="20"/>
                <w:lang w:eastAsia="en-AU"/>
              </w:rPr>
            </w:pPr>
            <w:r w:rsidRPr="006710E4">
              <w:rPr>
                <w:rFonts w:ascii="Arial Narrow" w:hAnsi="Arial Narrow" w:cs="Calibri"/>
                <w:sz w:val="20"/>
                <w:szCs w:val="20"/>
                <w:lang w:eastAsia="en-AU"/>
              </w:rPr>
              <w:t>177 (76.0)</w:t>
            </w:r>
          </w:p>
        </w:tc>
        <w:tc>
          <w:tcPr>
            <w:tcW w:w="1045" w:type="dxa"/>
            <w:shd w:val="clear" w:color="auto" w:fill="auto"/>
            <w:noWrap/>
            <w:vAlign w:val="center"/>
            <w:hideMark/>
          </w:tcPr>
          <w:p w14:paraId="62A536E7" w14:textId="77777777" w:rsidR="00D73255" w:rsidRPr="006710E4" w:rsidRDefault="00D73255" w:rsidP="00143421">
            <w:pPr>
              <w:keepNext/>
              <w:keepLines/>
              <w:jc w:val="center"/>
              <w:rPr>
                <w:rFonts w:ascii="Arial Narrow" w:hAnsi="Arial Narrow" w:cs="Calibri"/>
                <w:sz w:val="20"/>
                <w:szCs w:val="20"/>
                <w:lang w:eastAsia="en-AU"/>
              </w:rPr>
            </w:pPr>
            <w:r w:rsidRPr="006710E4">
              <w:rPr>
                <w:rFonts w:ascii="Arial Narrow" w:hAnsi="Arial Narrow" w:cs="Calibri"/>
                <w:sz w:val="20"/>
                <w:szCs w:val="20"/>
                <w:lang w:eastAsia="en-AU"/>
              </w:rPr>
              <w:t>56 (24.0)</w:t>
            </w:r>
          </w:p>
        </w:tc>
        <w:tc>
          <w:tcPr>
            <w:tcW w:w="1746" w:type="dxa"/>
            <w:shd w:val="clear" w:color="auto" w:fill="auto"/>
            <w:noWrap/>
            <w:vAlign w:val="center"/>
            <w:hideMark/>
          </w:tcPr>
          <w:p w14:paraId="7738159B" w14:textId="77777777" w:rsidR="00D73255" w:rsidRPr="006710E4" w:rsidRDefault="00D73255" w:rsidP="00143421">
            <w:pPr>
              <w:keepNext/>
              <w:keepLines/>
              <w:jc w:val="center"/>
              <w:rPr>
                <w:rFonts w:ascii="Arial Narrow" w:hAnsi="Arial Narrow" w:cs="Calibri"/>
                <w:sz w:val="20"/>
                <w:szCs w:val="20"/>
                <w:lang w:eastAsia="en-AU"/>
              </w:rPr>
            </w:pPr>
            <w:r w:rsidRPr="006710E4">
              <w:rPr>
                <w:rFonts w:ascii="Arial Narrow" w:hAnsi="Arial Narrow" w:cs="Calibri"/>
                <w:sz w:val="20"/>
                <w:szCs w:val="20"/>
                <w:lang w:eastAsia="en-AU"/>
              </w:rPr>
              <w:t>11.04 (10.0, 13.01)</w:t>
            </w:r>
          </w:p>
        </w:tc>
      </w:tr>
      <w:tr w:rsidR="00D73255" w:rsidRPr="006710E4" w14:paraId="0CE88617" w14:textId="77777777" w:rsidTr="00EF20C5">
        <w:trPr>
          <w:trHeight w:val="20"/>
        </w:trPr>
        <w:tc>
          <w:tcPr>
            <w:tcW w:w="2614" w:type="dxa"/>
            <w:vAlign w:val="center"/>
          </w:tcPr>
          <w:p w14:paraId="021F086B" w14:textId="137AD463" w:rsidR="00D73255" w:rsidRPr="006710E4" w:rsidRDefault="00D73255" w:rsidP="00143421">
            <w:pPr>
              <w:keepNext/>
              <w:keepLines/>
              <w:rPr>
                <w:rFonts w:ascii="Arial Narrow" w:hAnsi="Arial Narrow" w:cs="Calibri"/>
                <w:sz w:val="20"/>
                <w:szCs w:val="20"/>
                <w:lang w:eastAsia="en-AU"/>
              </w:rPr>
            </w:pPr>
            <w:r w:rsidRPr="006710E4">
              <w:rPr>
                <w:rFonts w:ascii="Arial Narrow" w:hAnsi="Arial Narrow" w:cs="Calibri"/>
                <w:sz w:val="20"/>
                <w:szCs w:val="20"/>
                <w:lang w:eastAsia="en-AU"/>
              </w:rPr>
              <w:t>IXAMPLE2 (</w:t>
            </w:r>
            <w:r w:rsidR="009F7DEE" w:rsidRPr="006710E4">
              <w:rPr>
                <w:rFonts w:ascii="Arial Narrow" w:hAnsi="Arial Narrow" w:cs="Calibri"/>
                <w:sz w:val="20"/>
                <w:szCs w:val="20"/>
                <w:lang w:eastAsia="en-AU"/>
              </w:rPr>
              <w:t>paclitaxel</w:t>
            </w:r>
            <w:r w:rsidRPr="006710E4">
              <w:rPr>
                <w:rFonts w:ascii="Arial Narrow" w:hAnsi="Arial Narrow" w:cs="Calibri"/>
                <w:sz w:val="20"/>
                <w:szCs w:val="20"/>
                <w:lang w:eastAsia="en-AU"/>
              </w:rPr>
              <w:t xml:space="preserve"> or doxorubicin)</w:t>
            </w:r>
          </w:p>
        </w:tc>
        <w:tc>
          <w:tcPr>
            <w:tcW w:w="1892" w:type="dxa"/>
            <w:shd w:val="clear" w:color="auto" w:fill="auto"/>
            <w:noWrap/>
            <w:vAlign w:val="center"/>
            <w:hideMark/>
          </w:tcPr>
          <w:p w14:paraId="7B9297FB" w14:textId="77777777" w:rsidR="00D73255" w:rsidRPr="006710E4" w:rsidRDefault="00D73255" w:rsidP="00143421">
            <w:pPr>
              <w:keepNext/>
              <w:keepLines/>
              <w:jc w:val="center"/>
              <w:rPr>
                <w:rFonts w:ascii="Arial Narrow" w:hAnsi="Arial Narrow" w:cs="Calibri"/>
                <w:sz w:val="20"/>
                <w:szCs w:val="20"/>
                <w:lang w:eastAsia="en-AU"/>
              </w:rPr>
            </w:pPr>
            <w:r w:rsidRPr="006710E4">
              <w:rPr>
                <w:rFonts w:ascii="Arial Narrow" w:hAnsi="Arial Narrow" w:cs="Calibri"/>
                <w:sz w:val="20"/>
                <w:szCs w:val="20"/>
                <w:lang w:eastAsia="en-AU"/>
              </w:rPr>
              <w:t>ITT</w:t>
            </w:r>
          </w:p>
        </w:tc>
        <w:tc>
          <w:tcPr>
            <w:tcW w:w="727" w:type="dxa"/>
            <w:shd w:val="clear" w:color="auto" w:fill="auto"/>
            <w:noWrap/>
            <w:vAlign w:val="center"/>
            <w:hideMark/>
          </w:tcPr>
          <w:p w14:paraId="41DD7158" w14:textId="77777777" w:rsidR="00D73255" w:rsidRPr="006710E4" w:rsidRDefault="00D73255" w:rsidP="00143421">
            <w:pPr>
              <w:keepNext/>
              <w:keepLines/>
              <w:jc w:val="center"/>
              <w:rPr>
                <w:rFonts w:ascii="Arial Narrow" w:hAnsi="Arial Narrow" w:cs="Calibri"/>
                <w:sz w:val="20"/>
                <w:szCs w:val="20"/>
                <w:lang w:eastAsia="en-AU"/>
              </w:rPr>
            </w:pPr>
            <w:r w:rsidRPr="006710E4">
              <w:rPr>
                <w:rFonts w:ascii="Arial Narrow" w:hAnsi="Arial Narrow" w:cs="Calibri"/>
                <w:sz w:val="20"/>
                <w:szCs w:val="20"/>
                <w:lang w:eastAsia="en-AU"/>
              </w:rPr>
              <w:t>248</w:t>
            </w:r>
          </w:p>
        </w:tc>
        <w:tc>
          <w:tcPr>
            <w:tcW w:w="993" w:type="dxa"/>
            <w:shd w:val="clear" w:color="auto" w:fill="auto"/>
            <w:noWrap/>
            <w:vAlign w:val="center"/>
            <w:hideMark/>
          </w:tcPr>
          <w:p w14:paraId="675222CB" w14:textId="77777777" w:rsidR="00D73255" w:rsidRPr="006710E4" w:rsidRDefault="00D73255" w:rsidP="00143421">
            <w:pPr>
              <w:keepNext/>
              <w:keepLines/>
              <w:jc w:val="center"/>
              <w:rPr>
                <w:rFonts w:ascii="Arial Narrow" w:hAnsi="Arial Narrow" w:cs="Calibri"/>
                <w:sz w:val="20"/>
                <w:szCs w:val="20"/>
                <w:lang w:eastAsia="en-AU"/>
              </w:rPr>
            </w:pPr>
            <w:r w:rsidRPr="006710E4">
              <w:rPr>
                <w:rFonts w:ascii="Arial Narrow" w:hAnsi="Arial Narrow" w:cs="Calibri"/>
                <w:sz w:val="20"/>
                <w:szCs w:val="20"/>
                <w:lang w:eastAsia="en-AU"/>
              </w:rPr>
              <w:t>98 (39.5)</w:t>
            </w:r>
          </w:p>
        </w:tc>
        <w:tc>
          <w:tcPr>
            <w:tcW w:w="1045" w:type="dxa"/>
            <w:shd w:val="clear" w:color="auto" w:fill="auto"/>
            <w:noWrap/>
            <w:vAlign w:val="center"/>
            <w:hideMark/>
          </w:tcPr>
          <w:p w14:paraId="550DC02E" w14:textId="77777777" w:rsidR="00D73255" w:rsidRPr="006710E4" w:rsidRDefault="00D73255" w:rsidP="00143421">
            <w:pPr>
              <w:keepNext/>
              <w:keepLines/>
              <w:jc w:val="center"/>
              <w:rPr>
                <w:rFonts w:ascii="Arial Narrow" w:hAnsi="Arial Narrow" w:cs="Calibri"/>
                <w:sz w:val="20"/>
                <w:szCs w:val="20"/>
                <w:lang w:eastAsia="en-AU"/>
              </w:rPr>
            </w:pPr>
            <w:r w:rsidRPr="006710E4">
              <w:rPr>
                <w:rFonts w:ascii="Arial Narrow" w:hAnsi="Arial Narrow" w:cs="Calibri"/>
                <w:sz w:val="20"/>
                <w:szCs w:val="20"/>
                <w:lang w:eastAsia="en-AU"/>
              </w:rPr>
              <w:t>150 (60.5)</w:t>
            </w:r>
          </w:p>
        </w:tc>
        <w:tc>
          <w:tcPr>
            <w:tcW w:w="1746" w:type="dxa"/>
            <w:shd w:val="clear" w:color="auto" w:fill="auto"/>
            <w:noWrap/>
            <w:vAlign w:val="center"/>
            <w:hideMark/>
          </w:tcPr>
          <w:p w14:paraId="0B9276E9" w14:textId="77777777" w:rsidR="00D73255" w:rsidRPr="006710E4" w:rsidRDefault="00D73255" w:rsidP="00143421">
            <w:pPr>
              <w:keepNext/>
              <w:keepLines/>
              <w:jc w:val="center"/>
              <w:rPr>
                <w:rFonts w:ascii="Arial Narrow" w:hAnsi="Arial Narrow" w:cs="Calibri"/>
                <w:sz w:val="20"/>
                <w:szCs w:val="20"/>
                <w:lang w:eastAsia="en-AU"/>
              </w:rPr>
            </w:pPr>
            <w:r w:rsidRPr="006710E4">
              <w:rPr>
                <w:rFonts w:ascii="Arial Narrow" w:hAnsi="Arial Narrow" w:cs="Calibri"/>
                <w:sz w:val="20"/>
                <w:szCs w:val="20"/>
                <w:lang w:eastAsia="en-AU"/>
              </w:rPr>
              <w:t>12.3 (10.7, 15.4)</w:t>
            </w:r>
          </w:p>
        </w:tc>
      </w:tr>
      <w:tr w:rsidR="00D73255" w:rsidRPr="006710E4" w14:paraId="2CF4C3B9" w14:textId="77777777" w:rsidTr="00EF20C5">
        <w:trPr>
          <w:trHeight w:val="20"/>
        </w:trPr>
        <w:tc>
          <w:tcPr>
            <w:tcW w:w="2614" w:type="dxa"/>
            <w:vMerge w:val="restart"/>
            <w:vAlign w:val="center"/>
          </w:tcPr>
          <w:p w14:paraId="4F6CD1BC" w14:textId="31E468A7" w:rsidR="00D73255" w:rsidRPr="006710E4" w:rsidRDefault="00D73255" w:rsidP="00143421">
            <w:pPr>
              <w:keepNext/>
              <w:keepLines/>
              <w:rPr>
                <w:rFonts w:ascii="Arial Narrow" w:hAnsi="Arial Narrow" w:cs="Calibri"/>
                <w:sz w:val="20"/>
                <w:szCs w:val="20"/>
                <w:lang w:eastAsia="en-AU"/>
              </w:rPr>
            </w:pPr>
            <w:r w:rsidRPr="006710E4">
              <w:rPr>
                <w:rFonts w:ascii="Arial Narrow" w:hAnsi="Arial Narrow" w:cs="Calibri"/>
                <w:sz w:val="20"/>
                <w:szCs w:val="20"/>
                <w:lang w:eastAsia="en-AU"/>
              </w:rPr>
              <w:t>KEYNOTE-775 (</w:t>
            </w:r>
            <w:r w:rsidR="009F7DEE" w:rsidRPr="006710E4">
              <w:rPr>
                <w:rFonts w:ascii="Arial Narrow" w:hAnsi="Arial Narrow" w:cs="Calibri"/>
                <w:sz w:val="20"/>
                <w:szCs w:val="20"/>
                <w:lang w:eastAsia="en-AU"/>
              </w:rPr>
              <w:t>paclitaxel</w:t>
            </w:r>
            <w:r w:rsidRPr="006710E4">
              <w:rPr>
                <w:rFonts w:ascii="Arial Narrow" w:hAnsi="Arial Narrow" w:cs="Calibri"/>
                <w:sz w:val="20"/>
                <w:szCs w:val="20"/>
                <w:lang w:eastAsia="en-AU"/>
              </w:rPr>
              <w:t xml:space="preserve"> or doxorubicin)</w:t>
            </w:r>
          </w:p>
        </w:tc>
        <w:tc>
          <w:tcPr>
            <w:tcW w:w="1892" w:type="dxa"/>
            <w:shd w:val="clear" w:color="auto" w:fill="auto"/>
            <w:noWrap/>
            <w:vAlign w:val="center"/>
            <w:hideMark/>
          </w:tcPr>
          <w:p w14:paraId="1CB6E7AD" w14:textId="77777777" w:rsidR="00D73255" w:rsidRPr="006710E4" w:rsidRDefault="00D73255" w:rsidP="00143421">
            <w:pPr>
              <w:keepNext/>
              <w:keepLines/>
              <w:jc w:val="center"/>
              <w:rPr>
                <w:rFonts w:ascii="Arial Narrow" w:hAnsi="Arial Narrow" w:cs="Calibri"/>
                <w:sz w:val="20"/>
                <w:szCs w:val="20"/>
                <w:lang w:eastAsia="en-AU"/>
              </w:rPr>
            </w:pPr>
            <w:r w:rsidRPr="006710E4">
              <w:rPr>
                <w:rFonts w:ascii="Arial Narrow" w:hAnsi="Arial Narrow" w:cs="Calibri"/>
                <w:sz w:val="20"/>
                <w:szCs w:val="20"/>
                <w:lang w:eastAsia="en-AU"/>
              </w:rPr>
              <w:t>ITT</w:t>
            </w:r>
          </w:p>
        </w:tc>
        <w:tc>
          <w:tcPr>
            <w:tcW w:w="727" w:type="dxa"/>
            <w:shd w:val="clear" w:color="auto" w:fill="auto"/>
            <w:noWrap/>
            <w:vAlign w:val="center"/>
            <w:hideMark/>
          </w:tcPr>
          <w:p w14:paraId="2FE28B2D" w14:textId="77777777" w:rsidR="00D73255" w:rsidRPr="006710E4" w:rsidRDefault="00D73255" w:rsidP="00143421">
            <w:pPr>
              <w:keepNext/>
              <w:keepLines/>
              <w:jc w:val="center"/>
              <w:rPr>
                <w:rFonts w:ascii="Arial Narrow" w:hAnsi="Arial Narrow" w:cs="Calibri"/>
                <w:sz w:val="20"/>
                <w:szCs w:val="20"/>
                <w:lang w:eastAsia="en-AU"/>
              </w:rPr>
            </w:pPr>
            <w:r w:rsidRPr="006710E4">
              <w:rPr>
                <w:rFonts w:ascii="Arial Narrow" w:hAnsi="Arial Narrow" w:cs="Calibri"/>
                <w:sz w:val="20"/>
                <w:szCs w:val="20"/>
                <w:lang w:eastAsia="en-AU"/>
              </w:rPr>
              <w:t>416</w:t>
            </w:r>
          </w:p>
        </w:tc>
        <w:tc>
          <w:tcPr>
            <w:tcW w:w="993" w:type="dxa"/>
            <w:shd w:val="clear" w:color="auto" w:fill="auto"/>
            <w:noWrap/>
            <w:vAlign w:val="center"/>
            <w:hideMark/>
          </w:tcPr>
          <w:p w14:paraId="21020116" w14:textId="77777777" w:rsidR="00D73255" w:rsidRPr="006710E4" w:rsidRDefault="00D73255" w:rsidP="00143421">
            <w:pPr>
              <w:keepNext/>
              <w:keepLines/>
              <w:jc w:val="center"/>
              <w:rPr>
                <w:rFonts w:ascii="Arial Narrow" w:hAnsi="Arial Narrow" w:cs="Calibri"/>
                <w:sz w:val="20"/>
                <w:szCs w:val="20"/>
                <w:lang w:eastAsia="en-AU"/>
              </w:rPr>
            </w:pPr>
            <w:r w:rsidRPr="006710E4">
              <w:rPr>
                <w:rFonts w:ascii="Arial Narrow" w:hAnsi="Arial Narrow" w:cs="Calibri"/>
                <w:sz w:val="20"/>
                <w:szCs w:val="20"/>
                <w:lang w:eastAsia="en-AU"/>
              </w:rPr>
              <w:t>245 (58.9)</w:t>
            </w:r>
          </w:p>
        </w:tc>
        <w:tc>
          <w:tcPr>
            <w:tcW w:w="1045" w:type="dxa"/>
            <w:shd w:val="clear" w:color="auto" w:fill="auto"/>
            <w:noWrap/>
            <w:vAlign w:val="center"/>
            <w:hideMark/>
          </w:tcPr>
          <w:p w14:paraId="64F06442" w14:textId="77777777" w:rsidR="00D73255" w:rsidRPr="006710E4" w:rsidRDefault="00D73255" w:rsidP="00143421">
            <w:pPr>
              <w:keepNext/>
              <w:keepLines/>
              <w:jc w:val="center"/>
              <w:rPr>
                <w:rFonts w:ascii="Arial Narrow" w:hAnsi="Arial Narrow" w:cs="Calibri"/>
                <w:sz w:val="20"/>
                <w:szCs w:val="20"/>
                <w:lang w:eastAsia="en-AU"/>
              </w:rPr>
            </w:pPr>
            <w:r w:rsidRPr="006710E4">
              <w:rPr>
                <w:rFonts w:ascii="Arial Narrow" w:hAnsi="Arial Narrow" w:cs="Calibri"/>
                <w:sz w:val="20"/>
                <w:szCs w:val="20"/>
                <w:lang w:eastAsia="en-AU"/>
              </w:rPr>
              <w:t>171 (41.1)</w:t>
            </w:r>
          </w:p>
        </w:tc>
        <w:tc>
          <w:tcPr>
            <w:tcW w:w="1746" w:type="dxa"/>
            <w:shd w:val="clear" w:color="auto" w:fill="auto"/>
            <w:noWrap/>
            <w:vAlign w:val="center"/>
            <w:hideMark/>
          </w:tcPr>
          <w:p w14:paraId="75432BD0" w14:textId="77777777" w:rsidR="00D73255" w:rsidRPr="006710E4" w:rsidRDefault="00D73255" w:rsidP="00143421">
            <w:pPr>
              <w:keepNext/>
              <w:keepLines/>
              <w:jc w:val="center"/>
              <w:rPr>
                <w:rFonts w:ascii="Arial Narrow" w:hAnsi="Arial Narrow" w:cs="Calibri"/>
                <w:sz w:val="20"/>
                <w:szCs w:val="20"/>
                <w:lang w:eastAsia="en-AU"/>
              </w:rPr>
            </w:pPr>
            <w:r w:rsidRPr="006710E4">
              <w:rPr>
                <w:rFonts w:ascii="Arial Narrow" w:hAnsi="Arial Narrow" w:cs="Calibri"/>
                <w:sz w:val="20"/>
                <w:szCs w:val="20"/>
                <w:lang w:eastAsia="en-AU"/>
              </w:rPr>
              <w:t>11.4 (10.5, 12.9)</w:t>
            </w:r>
          </w:p>
        </w:tc>
      </w:tr>
      <w:tr w:rsidR="00D73255" w:rsidRPr="006710E4" w14:paraId="377D526D" w14:textId="77777777" w:rsidTr="00EF20C5">
        <w:trPr>
          <w:trHeight w:val="20"/>
        </w:trPr>
        <w:tc>
          <w:tcPr>
            <w:tcW w:w="2614" w:type="dxa"/>
            <w:vMerge/>
            <w:vAlign w:val="center"/>
          </w:tcPr>
          <w:p w14:paraId="45055F1B" w14:textId="77777777" w:rsidR="00D73255" w:rsidRPr="006710E4" w:rsidRDefault="00D73255" w:rsidP="00143421">
            <w:pPr>
              <w:keepNext/>
              <w:keepLines/>
              <w:rPr>
                <w:rFonts w:ascii="Arial Narrow" w:hAnsi="Arial Narrow" w:cs="Calibri"/>
                <w:sz w:val="20"/>
                <w:szCs w:val="20"/>
                <w:lang w:eastAsia="en-AU"/>
              </w:rPr>
            </w:pPr>
          </w:p>
        </w:tc>
        <w:tc>
          <w:tcPr>
            <w:tcW w:w="1892" w:type="dxa"/>
            <w:shd w:val="clear" w:color="auto" w:fill="auto"/>
            <w:noWrap/>
            <w:vAlign w:val="center"/>
            <w:hideMark/>
          </w:tcPr>
          <w:p w14:paraId="7A1E72E9" w14:textId="77777777" w:rsidR="00D73255" w:rsidRPr="006710E4" w:rsidRDefault="00D73255" w:rsidP="00143421">
            <w:pPr>
              <w:keepNext/>
              <w:keepLines/>
              <w:jc w:val="center"/>
              <w:rPr>
                <w:rFonts w:ascii="Arial Narrow" w:hAnsi="Arial Narrow" w:cs="Calibri"/>
                <w:sz w:val="20"/>
                <w:szCs w:val="20"/>
                <w:lang w:eastAsia="en-AU"/>
              </w:rPr>
            </w:pPr>
            <w:proofErr w:type="spellStart"/>
            <w:r w:rsidRPr="006710E4">
              <w:rPr>
                <w:rFonts w:ascii="Arial Narrow" w:hAnsi="Arial Narrow" w:cs="Calibri"/>
                <w:sz w:val="20"/>
                <w:szCs w:val="20"/>
                <w:lang w:eastAsia="en-AU"/>
              </w:rPr>
              <w:t>dMMR</w:t>
            </w:r>
            <w:proofErr w:type="spellEnd"/>
          </w:p>
        </w:tc>
        <w:tc>
          <w:tcPr>
            <w:tcW w:w="727" w:type="dxa"/>
            <w:shd w:val="clear" w:color="auto" w:fill="auto"/>
            <w:noWrap/>
            <w:vAlign w:val="center"/>
            <w:hideMark/>
          </w:tcPr>
          <w:p w14:paraId="7D2B4841" w14:textId="77777777" w:rsidR="00D73255" w:rsidRPr="006710E4" w:rsidRDefault="00D73255" w:rsidP="00143421">
            <w:pPr>
              <w:keepNext/>
              <w:keepLines/>
              <w:jc w:val="center"/>
              <w:rPr>
                <w:rFonts w:ascii="Arial Narrow" w:hAnsi="Arial Narrow" w:cs="Calibri"/>
                <w:sz w:val="20"/>
                <w:szCs w:val="20"/>
                <w:lang w:eastAsia="en-AU"/>
              </w:rPr>
            </w:pPr>
            <w:r w:rsidRPr="006710E4">
              <w:rPr>
                <w:rFonts w:ascii="Arial Narrow" w:hAnsi="Arial Narrow" w:cs="Calibri"/>
                <w:sz w:val="20"/>
                <w:szCs w:val="20"/>
                <w:lang w:eastAsia="en-AU"/>
              </w:rPr>
              <w:t>65</w:t>
            </w:r>
          </w:p>
        </w:tc>
        <w:tc>
          <w:tcPr>
            <w:tcW w:w="993" w:type="dxa"/>
            <w:shd w:val="clear" w:color="auto" w:fill="auto"/>
            <w:noWrap/>
            <w:vAlign w:val="center"/>
            <w:hideMark/>
          </w:tcPr>
          <w:p w14:paraId="007FF04F" w14:textId="77777777" w:rsidR="00D73255" w:rsidRPr="006710E4" w:rsidRDefault="00D73255" w:rsidP="00143421">
            <w:pPr>
              <w:keepNext/>
              <w:keepLines/>
              <w:jc w:val="center"/>
              <w:rPr>
                <w:rFonts w:ascii="Arial Narrow" w:hAnsi="Arial Narrow" w:cs="Calibri"/>
                <w:sz w:val="20"/>
                <w:szCs w:val="20"/>
                <w:lang w:eastAsia="en-AU"/>
              </w:rPr>
            </w:pPr>
            <w:r w:rsidRPr="006710E4">
              <w:rPr>
                <w:rFonts w:ascii="Arial Narrow" w:hAnsi="Arial Narrow" w:cs="Calibri"/>
                <w:sz w:val="20"/>
                <w:szCs w:val="20"/>
                <w:lang w:eastAsia="en-AU"/>
              </w:rPr>
              <w:t>42 (64.6)</w:t>
            </w:r>
          </w:p>
        </w:tc>
        <w:tc>
          <w:tcPr>
            <w:tcW w:w="1045" w:type="dxa"/>
            <w:shd w:val="clear" w:color="auto" w:fill="auto"/>
            <w:noWrap/>
            <w:vAlign w:val="center"/>
            <w:hideMark/>
          </w:tcPr>
          <w:p w14:paraId="4732C291" w14:textId="77777777" w:rsidR="00D73255" w:rsidRPr="006710E4" w:rsidRDefault="00D73255" w:rsidP="00143421">
            <w:pPr>
              <w:keepNext/>
              <w:keepLines/>
              <w:jc w:val="center"/>
              <w:rPr>
                <w:rFonts w:ascii="Arial Narrow" w:hAnsi="Arial Narrow" w:cs="Calibri"/>
                <w:sz w:val="20"/>
                <w:szCs w:val="20"/>
                <w:lang w:eastAsia="en-AU"/>
              </w:rPr>
            </w:pPr>
            <w:r w:rsidRPr="006710E4">
              <w:rPr>
                <w:rFonts w:ascii="Arial Narrow" w:hAnsi="Arial Narrow" w:cs="Calibri"/>
                <w:sz w:val="20"/>
                <w:szCs w:val="20"/>
                <w:lang w:eastAsia="en-AU"/>
              </w:rPr>
              <w:t>23 (35.4)</w:t>
            </w:r>
          </w:p>
        </w:tc>
        <w:tc>
          <w:tcPr>
            <w:tcW w:w="1746" w:type="dxa"/>
            <w:shd w:val="clear" w:color="auto" w:fill="auto"/>
            <w:noWrap/>
            <w:vAlign w:val="center"/>
            <w:hideMark/>
          </w:tcPr>
          <w:p w14:paraId="015F138A" w14:textId="77777777" w:rsidR="00D73255" w:rsidRPr="006710E4" w:rsidRDefault="00D73255" w:rsidP="00143421">
            <w:pPr>
              <w:keepNext/>
              <w:keepLines/>
              <w:jc w:val="center"/>
              <w:rPr>
                <w:rFonts w:ascii="Arial Narrow" w:hAnsi="Arial Narrow" w:cs="Calibri"/>
                <w:sz w:val="20"/>
                <w:szCs w:val="20"/>
                <w:lang w:eastAsia="en-AU"/>
              </w:rPr>
            </w:pPr>
            <w:r w:rsidRPr="006710E4">
              <w:rPr>
                <w:rFonts w:ascii="Arial Narrow" w:hAnsi="Arial Narrow" w:cs="Calibri"/>
                <w:sz w:val="20"/>
                <w:szCs w:val="20"/>
                <w:lang w:eastAsia="en-AU"/>
              </w:rPr>
              <w:t>8.6 (5.5, 12.9)</w:t>
            </w:r>
          </w:p>
        </w:tc>
      </w:tr>
      <w:tr w:rsidR="00D73255" w:rsidRPr="006710E4" w14:paraId="08C2BFD2" w14:textId="77777777" w:rsidTr="00EF20C5">
        <w:trPr>
          <w:trHeight w:val="20"/>
        </w:trPr>
        <w:tc>
          <w:tcPr>
            <w:tcW w:w="2614" w:type="dxa"/>
            <w:vMerge/>
            <w:vAlign w:val="center"/>
          </w:tcPr>
          <w:p w14:paraId="5DCFE967" w14:textId="77777777" w:rsidR="00D73255" w:rsidRPr="006710E4" w:rsidRDefault="00D73255" w:rsidP="00143421">
            <w:pPr>
              <w:keepNext/>
              <w:keepLines/>
              <w:rPr>
                <w:rFonts w:ascii="Arial Narrow" w:hAnsi="Arial Narrow" w:cs="Calibri"/>
                <w:sz w:val="20"/>
                <w:szCs w:val="20"/>
                <w:lang w:eastAsia="en-AU"/>
              </w:rPr>
            </w:pPr>
          </w:p>
        </w:tc>
        <w:tc>
          <w:tcPr>
            <w:tcW w:w="1892" w:type="dxa"/>
            <w:shd w:val="clear" w:color="auto" w:fill="auto"/>
            <w:noWrap/>
            <w:vAlign w:val="center"/>
            <w:hideMark/>
          </w:tcPr>
          <w:p w14:paraId="0C39F681" w14:textId="77777777" w:rsidR="00D73255" w:rsidRPr="006710E4" w:rsidRDefault="00D73255" w:rsidP="00143421">
            <w:pPr>
              <w:keepNext/>
              <w:keepLines/>
              <w:jc w:val="center"/>
              <w:rPr>
                <w:rFonts w:ascii="Arial Narrow" w:hAnsi="Arial Narrow" w:cs="Calibri"/>
                <w:sz w:val="20"/>
                <w:szCs w:val="20"/>
                <w:lang w:eastAsia="en-AU"/>
              </w:rPr>
            </w:pPr>
            <w:proofErr w:type="spellStart"/>
            <w:r w:rsidRPr="006710E4">
              <w:rPr>
                <w:rFonts w:ascii="Arial Narrow" w:hAnsi="Arial Narrow" w:cs="Calibri"/>
                <w:sz w:val="20"/>
                <w:szCs w:val="20"/>
                <w:lang w:eastAsia="en-AU"/>
              </w:rPr>
              <w:t>pMMR</w:t>
            </w:r>
            <w:proofErr w:type="spellEnd"/>
          </w:p>
        </w:tc>
        <w:tc>
          <w:tcPr>
            <w:tcW w:w="727" w:type="dxa"/>
            <w:shd w:val="clear" w:color="auto" w:fill="auto"/>
            <w:noWrap/>
            <w:vAlign w:val="center"/>
            <w:hideMark/>
          </w:tcPr>
          <w:p w14:paraId="26B25D6D" w14:textId="77777777" w:rsidR="00D73255" w:rsidRPr="006710E4" w:rsidRDefault="00D73255" w:rsidP="00143421">
            <w:pPr>
              <w:keepNext/>
              <w:keepLines/>
              <w:jc w:val="center"/>
              <w:rPr>
                <w:rFonts w:ascii="Arial Narrow" w:hAnsi="Arial Narrow" w:cs="Calibri"/>
                <w:iCs/>
                <w:sz w:val="20"/>
                <w:szCs w:val="20"/>
                <w:lang w:eastAsia="en-AU"/>
              </w:rPr>
            </w:pPr>
            <w:r w:rsidRPr="006710E4">
              <w:rPr>
                <w:rFonts w:ascii="Arial Narrow" w:hAnsi="Arial Narrow" w:cs="Calibri"/>
                <w:iCs/>
                <w:sz w:val="20"/>
                <w:szCs w:val="20"/>
                <w:lang w:eastAsia="en-AU"/>
              </w:rPr>
              <w:t>351</w:t>
            </w:r>
          </w:p>
        </w:tc>
        <w:tc>
          <w:tcPr>
            <w:tcW w:w="993" w:type="dxa"/>
            <w:shd w:val="clear" w:color="auto" w:fill="auto"/>
            <w:noWrap/>
            <w:vAlign w:val="center"/>
            <w:hideMark/>
          </w:tcPr>
          <w:p w14:paraId="23B6D8AB" w14:textId="77777777" w:rsidR="00D73255" w:rsidRPr="006710E4" w:rsidRDefault="00D73255" w:rsidP="00143421">
            <w:pPr>
              <w:keepNext/>
              <w:keepLines/>
              <w:jc w:val="center"/>
              <w:rPr>
                <w:rFonts w:ascii="Arial Narrow" w:hAnsi="Arial Narrow" w:cs="Calibri"/>
                <w:iCs/>
                <w:sz w:val="20"/>
                <w:szCs w:val="20"/>
                <w:lang w:eastAsia="en-AU"/>
              </w:rPr>
            </w:pPr>
            <w:r w:rsidRPr="006710E4">
              <w:rPr>
                <w:rFonts w:ascii="Arial Narrow" w:hAnsi="Arial Narrow" w:cs="Calibri"/>
                <w:iCs/>
                <w:sz w:val="20"/>
                <w:szCs w:val="20"/>
                <w:lang w:eastAsia="en-AU"/>
              </w:rPr>
              <w:t>203 (57.8)</w:t>
            </w:r>
          </w:p>
        </w:tc>
        <w:tc>
          <w:tcPr>
            <w:tcW w:w="1045" w:type="dxa"/>
            <w:shd w:val="clear" w:color="auto" w:fill="auto"/>
            <w:noWrap/>
            <w:vAlign w:val="center"/>
            <w:hideMark/>
          </w:tcPr>
          <w:p w14:paraId="38A2E932" w14:textId="77777777" w:rsidR="00D73255" w:rsidRPr="006710E4" w:rsidRDefault="00D73255" w:rsidP="00143421">
            <w:pPr>
              <w:keepNext/>
              <w:keepLines/>
              <w:jc w:val="center"/>
              <w:rPr>
                <w:rFonts w:ascii="Arial Narrow" w:hAnsi="Arial Narrow" w:cs="Calibri"/>
                <w:iCs/>
                <w:sz w:val="20"/>
                <w:szCs w:val="20"/>
                <w:lang w:eastAsia="en-AU"/>
              </w:rPr>
            </w:pPr>
            <w:r w:rsidRPr="006710E4">
              <w:rPr>
                <w:rFonts w:ascii="Arial Narrow" w:hAnsi="Arial Narrow" w:cs="Calibri"/>
                <w:iCs/>
                <w:sz w:val="20"/>
                <w:szCs w:val="20"/>
                <w:lang w:eastAsia="en-AU"/>
              </w:rPr>
              <w:t>148 (42.2)</w:t>
            </w:r>
          </w:p>
        </w:tc>
        <w:tc>
          <w:tcPr>
            <w:tcW w:w="1746" w:type="dxa"/>
            <w:shd w:val="clear" w:color="auto" w:fill="auto"/>
            <w:noWrap/>
            <w:vAlign w:val="center"/>
            <w:hideMark/>
          </w:tcPr>
          <w:p w14:paraId="5CD8EB2B" w14:textId="77777777" w:rsidR="00D73255" w:rsidRPr="006710E4" w:rsidRDefault="00D73255" w:rsidP="00143421">
            <w:pPr>
              <w:keepNext/>
              <w:keepLines/>
              <w:jc w:val="center"/>
              <w:rPr>
                <w:rFonts w:ascii="Arial Narrow" w:hAnsi="Arial Narrow" w:cs="Calibri"/>
                <w:iCs/>
                <w:sz w:val="20"/>
                <w:szCs w:val="20"/>
                <w:lang w:eastAsia="en-AU"/>
              </w:rPr>
            </w:pPr>
            <w:r w:rsidRPr="006710E4">
              <w:rPr>
                <w:rFonts w:ascii="Arial Narrow" w:hAnsi="Arial Narrow" w:cs="Calibri"/>
                <w:iCs/>
                <w:sz w:val="20"/>
                <w:szCs w:val="20"/>
                <w:lang w:eastAsia="en-AU"/>
              </w:rPr>
              <w:t>12.0 (10.8, 13.3)</w:t>
            </w:r>
          </w:p>
        </w:tc>
      </w:tr>
      <w:tr w:rsidR="00D73255" w:rsidRPr="006710E4" w14:paraId="55F6162B" w14:textId="77777777" w:rsidTr="00EF20C5">
        <w:trPr>
          <w:trHeight w:val="20"/>
        </w:trPr>
        <w:tc>
          <w:tcPr>
            <w:tcW w:w="2614" w:type="dxa"/>
            <w:vAlign w:val="center"/>
          </w:tcPr>
          <w:p w14:paraId="32457DAF" w14:textId="77777777" w:rsidR="00D73255" w:rsidRPr="006710E4" w:rsidRDefault="00D73255" w:rsidP="00143421">
            <w:pPr>
              <w:keepNext/>
              <w:keepLines/>
              <w:rPr>
                <w:rFonts w:ascii="Arial Narrow" w:hAnsi="Arial Narrow" w:cs="Calibri"/>
                <w:sz w:val="20"/>
                <w:szCs w:val="20"/>
                <w:lang w:eastAsia="en-AU"/>
              </w:rPr>
            </w:pPr>
            <w:proofErr w:type="spellStart"/>
            <w:r w:rsidRPr="006710E4">
              <w:rPr>
                <w:rFonts w:ascii="Arial Narrow" w:hAnsi="Arial Narrow" w:cs="Calibri"/>
                <w:sz w:val="20"/>
                <w:szCs w:val="20"/>
                <w:lang w:eastAsia="en-AU"/>
              </w:rPr>
              <w:t>Scambia</w:t>
            </w:r>
            <w:proofErr w:type="spellEnd"/>
            <w:r w:rsidRPr="006710E4">
              <w:rPr>
                <w:rFonts w:ascii="Arial Narrow" w:hAnsi="Arial Narrow" w:cs="Calibri"/>
                <w:sz w:val="20"/>
                <w:szCs w:val="20"/>
                <w:lang w:eastAsia="en-AU"/>
              </w:rPr>
              <w:t xml:space="preserve"> 2020 (Paclitaxel)</w:t>
            </w:r>
          </w:p>
        </w:tc>
        <w:tc>
          <w:tcPr>
            <w:tcW w:w="1892" w:type="dxa"/>
            <w:shd w:val="clear" w:color="auto" w:fill="auto"/>
            <w:noWrap/>
            <w:vAlign w:val="center"/>
            <w:hideMark/>
          </w:tcPr>
          <w:p w14:paraId="2EF3645D" w14:textId="4F42BAD5" w:rsidR="00D73255" w:rsidRPr="006710E4" w:rsidRDefault="00D73255" w:rsidP="00143421">
            <w:pPr>
              <w:keepNext/>
              <w:keepLines/>
              <w:jc w:val="center"/>
              <w:rPr>
                <w:rFonts w:ascii="Arial Narrow" w:hAnsi="Arial Narrow" w:cs="Calibri"/>
                <w:sz w:val="20"/>
                <w:szCs w:val="20"/>
                <w:lang w:eastAsia="en-AU"/>
              </w:rPr>
            </w:pPr>
            <w:r w:rsidRPr="006710E4">
              <w:rPr>
                <w:rFonts w:ascii="Arial Narrow" w:hAnsi="Arial Narrow" w:cs="Calibri"/>
                <w:sz w:val="20"/>
                <w:szCs w:val="20"/>
                <w:lang w:eastAsia="en-AU"/>
              </w:rPr>
              <w:t xml:space="preserve">ITT </w:t>
            </w:r>
            <w:r w:rsidR="0009250D">
              <w:rPr>
                <w:rFonts w:ascii="Arial Narrow" w:hAnsi="Arial Narrow" w:cs="Calibri"/>
                <w:sz w:val="20"/>
                <w:szCs w:val="20"/>
                <w:vertAlign w:val="superscript"/>
                <w:lang w:eastAsia="en-AU"/>
              </w:rPr>
              <w:t>d</w:t>
            </w:r>
          </w:p>
        </w:tc>
        <w:tc>
          <w:tcPr>
            <w:tcW w:w="727" w:type="dxa"/>
            <w:shd w:val="clear" w:color="auto" w:fill="auto"/>
            <w:noWrap/>
            <w:vAlign w:val="center"/>
            <w:hideMark/>
          </w:tcPr>
          <w:p w14:paraId="4A5E09B1" w14:textId="77777777" w:rsidR="00D73255" w:rsidRPr="00490ECC" w:rsidRDefault="00D73255" w:rsidP="00143421">
            <w:pPr>
              <w:keepNext/>
              <w:keepLines/>
              <w:jc w:val="center"/>
              <w:rPr>
                <w:rFonts w:ascii="Arial Narrow" w:hAnsi="Arial Narrow" w:cs="Calibri"/>
                <w:sz w:val="20"/>
                <w:szCs w:val="20"/>
                <w:lang w:eastAsia="en-AU"/>
              </w:rPr>
            </w:pPr>
            <w:r w:rsidRPr="00490ECC">
              <w:rPr>
                <w:rFonts w:ascii="Arial Narrow" w:hAnsi="Arial Narrow" w:cs="Calibri"/>
                <w:sz w:val="20"/>
                <w:szCs w:val="20"/>
                <w:lang w:eastAsia="en-AU"/>
              </w:rPr>
              <w:t>90</w:t>
            </w:r>
          </w:p>
        </w:tc>
        <w:tc>
          <w:tcPr>
            <w:tcW w:w="993" w:type="dxa"/>
            <w:shd w:val="clear" w:color="auto" w:fill="auto"/>
            <w:noWrap/>
            <w:vAlign w:val="center"/>
            <w:hideMark/>
          </w:tcPr>
          <w:p w14:paraId="14A6B733" w14:textId="77777777" w:rsidR="00D73255" w:rsidRPr="00490ECC" w:rsidRDefault="00D73255" w:rsidP="00143421">
            <w:pPr>
              <w:keepNext/>
              <w:keepLines/>
              <w:jc w:val="center"/>
              <w:rPr>
                <w:rFonts w:ascii="Arial Narrow" w:hAnsi="Arial Narrow" w:cs="Calibri"/>
                <w:sz w:val="20"/>
                <w:szCs w:val="20"/>
                <w:lang w:eastAsia="en-AU"/>
              </w:rPr>
            </w:pPr>
            <w:r w:rsidRPr="00490ECC">
              <w:rPr>
                <w:rFonts w:ascii="Arial Narrow" w:hAnsi="Arial Narrow" w:cs="Calibri"/>
                <w:sz w:val="20"/>
                <w:szCs w:val="20"/>
                <w:lang w:eastAsia="en-AU"/>
              </w:rPr>
              <w:t>58 (64)</w:t>
            </w:r>
          </w:p>
        </w:tc>
        <w:tc>
          <w:tcPr>
            <w:tcW w:w="1045" w:type="dxa"/>
            <w:shd w:val="clear" w:color="auto" w:fill="auto"/>
            <w:noWrap/>
            <w:vAlign w:val="center"/>
            <w:hideMark/>
          </w:tcPr>
          <w:p w14:paraId="5ACEE895" w14:textId="77777777" w:rsidR="00D73255" w:rsidRPr="00490ECC" w:rsidRDefault="00D73255" w:rsidP="00143421">
            <w:pPr>
              <w:keepNext/>
              <w:keepLines/>
              <w:jc w:val="center"/>
              <w:rPr>
                <w:rFonts w:ascii="Arial Narrow" w:hAnsi="Arial Narrow" w:cs="Calibri"/>
                <w:sz w:val="20"/>
                <w:szCs w:val="20"/>
                <w:lang w:eastAsia="en-AU"/>
              </w:rPr>
            </w:pPr>
            <w:r w:rsidRPr="00490ECC">
              <w:rPr>
                <w:rFonts w:ascii="Arial Narrow" w:hAnsi="Arial Narrow" w:cs="Calibri"/>
                <w:sz w:val="20"/>
                <w:szCs w:val="20"/>
                <w:lang w:eastAsia="en-AU"/>
              </w:rPr>
              <w:t>32 (35)</w:t>
            </w:r>
          </w:p>
        </w:tc>
        <w:tc>
          <w:tcPr>
            <w:tcW w:w="1746" w:type="dxa"/>
            <w:shd w:val="clear" w:color="auto" w:fill="auto"/>
            <w:noWrap/>
            <w:vAlign w:val="center"/>
            <w:hideMark/>
          </w:tcPr>
          <w:p w14:paraId="4EBD79CA" w14:textId="49B345CF" w:rsidR="00D73255" w:rsidRPr="00A23129" w:rsidRDefault="00490ECC" w:rsidP="00490ECC">
            <w:pPr>
              <w:keepNext/>
              <w:keepLines/>
              <w:jc w:val="center"/>
              <w:rPr>
                <w:rFonts w:ascii="Arial Narrow" w:hAnsi="Arial Narrow" w:cs="Calibri"/>
                <w:iCs/>
                <w:sz w:val="20"/>
                <w:szCs w:val="20"/>
                <w:lang w:eastAsia="en-AU"/>
              </w:rPr>
            </w:pPr>
            <w:r w:rsidRPr="00A23129">
              <w:rPr>
                <w:rFonts w:ascii="Arial Narrow" w:hAnsi="Arial Narrow"/>
                <w:bCs/>
                <w:iCs/>
                <w:sz w:val="20"/>
              </w:rPr>
              <w:t>12.7 months (9.8, 19.6)</w:t>
            </w:r>
          </w:p>
        </w:tc>
      </w:tr>
      <w:tr w:rsidR="00D73255" w:rsidRPr="006710E4" w14:paraId="22BE46D9" w14:textId="77777777" w:rsidTr="00EF20C5">
        <w:trPr>
          <w:trHeight w:val="20"/>
        </w:trPr>
        <w:tc>
          <w:tcPr>
            <w:tcW w:w="2614" w:type="dxa"/>
            <w:vMerge w:val="restart"/>
            <w:vAlign w:val="center"/>
          </w:tcPr>
          <w:p w14:paraId="5CBD5D04" w14:textId="77777777" w:rsidR="00D73255" w:rsidRPr="006710E4" w:rsidRDefault="00D73255" w:rsidP="00143421">
            <w:pPr>
              <w:keepNext/>
              <w:keepLines/>
              <w:rPr>
                <w:rFonts w:ascii="Arial Narrow" w:hAnsi="Arial Narrow" w:cs="Calibri"/>
                <w:sz w:val="20"/>
                <w:szCs w:val="20"/>
                <w:lang w:eastAsia="en-AU"/>
              </w:rPr>
            </w:pPr>
            <w:r w:rsidRPr="006710E4">
              <w:rPr>
                <w:rFonts w:ascii="Arial Narrow" w:hAnsi="Arial Narrow" w:cs="Calibri"/>
                <w:sz w:val="20"/>
                <w:szCs w:val="20"/>
                <w:lang w:eastAsia="en-AU"/>
              </w:rPr>
              <w:t>UK RWE (basket comparator)</w:t>
            </w:r>
          </w:p>
        </w:tc>
        <w:tc>
          <w:tcPr>
            <w:tcW w:w="1892" w:type="dxa"/>
            <w:shd w:val="clear" w:color="auto" w:fill="auto"/>
            <w:noWrap/>
            <w:vAlign w:val="center"/>
            <w:hideMark/>
          </w:tcPr>
          <w:p w14:paraId="67A643C8" w14:textId="77777777" w:rsidR="00D73255" w:rsidRPr="006710E4" w:rsidRDefault="00D73255" w:rsidP="00143421">
            <w:pPr>
              <w:keepNext/>
              <w:keepLines/>
              <w:jc w:val="center"/>
              <w:rPr>
                <w:rFonts w:ascii="Arial Narrow" w:hAnsi="Arial Narrow" w:cs="Calibri"/>
                <w:sz w:val="20"/>
                <w:szCs w:val="20"/>
                <w:lang w:eastAsia="en-AU"/>
              </w:rPr>
            </w:pPr>
            <w:r w:rsidRPr="006710E4">
              <w:rPr>
                <w:rFonts w:ascii="Arial Narrow" w:hAnsi="Arial Narrow" w:cs="Calibri"/>
                <w:sz w:val="20"/>
                <w:szCs w:val="20"/>
                <w:lang w:eastAsia="en-AU"/>
              </w:rPr>
              <w:t>GARNET like loose</w:t>
            </w:r>
          </w:p>
        </w:tc>
        <w:tc>
          <w:tcPr>
            <w:tcW w:w="727" w:type="dxa"/>
            <w:shd w:val="clear" w:color="auto" w:fill="auto"/>
            <w:noWrap/>
            <w:vAlign w:val="center"/>
            <w:hideMark/>
          </w:tcPr>
          <w:p w14:paraId="70834DFC" w14:textId="77777777" w:rsidR="00D73255" w:rsidRPr="006710E4" w:rsidRDefault="00D73255" w:rsidP="00143421">
            <w:pPr>
              <w:keepNext/>
              <w:keepLines/>
              <w:jc w:val="center"/>
              <w:rPr>
                <w:rFonts w:ascii="Arial Narrow" w:hAnsi="Arial Narrow" w:cs="Calibri"/>
                <w:sz w:val="20"/>
                <w:szCs w:val="20"/>
                <w:lang w:eastAsia="en-AU"/>
              </w:rPr>
            </w:pPr>
            <w:r w:rsidRPr="006710E4">
              <w:rPr>
                <w:rFonts w:ascii="Arial Narrow" w:hAnsi="Arial Narrow" w:cs="Calibri"/>
                <w:sz w:val="20"/>
                <w:szCs w:val="20"/>
                <w:lang w:eastAsia="en-AU"/>
              </w:rPr>
              <w:t>999</w:t>
            </w:r>
          </w:p>
        </w:tc>
        <w:tc>
          <w:tcPr>
            <w:tcW w:w="993" w:type="dxa"/>
            <w:shd w:val="clear" w:color="auto" w:fill="auto"/>
            <w:noWrap/>
            <w:vAlign w:val="center"/>
            <w:hideMark/>
          </w:tcPr>
          <w:p w14:paraId="78539FD3" w14:textId="77777777" w:rsidR="00D73255" w:rsidRPr="006710E4" w:rsidRDefault="00D73255" w:rsidP="00143421">
            <w:pPr>
              <w:keepNext/>
              <w:keepLines/>
              <w:jc w:val="center"/>
              <w:rPr>
                <w:rFonts w:ascii="Arial Narrow" w:hAnsi="Arial Narrow" w:cs="Calibri"/>
                <w:iCs/>
                <w:sz w:val="20"/>
                <w:szCs w:val="20"/>
                <w:lang w:eastAsia="en-AU"/>
              </w:rPr>
            </w:pPr>
            <w:r w:rsidRPr="006710E4">
              <w:rPr>
                <w:rFonts w:ascii="Arial Narrow" w:hAnsi="Arial Narrow" w:cs="Calibri"/>
                <w:iCs/>
                <w:sz w:val="20"/>
                <w:szCs w:val="20"/>
                <w:lang w:eastAsia="en-AU"/>
              </w:rPr>
              <w:t>739 (74.0)</w:t>
            </w:r>
          </w:p>
        </w:tc>
        <w:tc>
          <w:tcPr>
            <w:tcW w:w="1045" w:type="dxa"/>
            <w:shd w:val="clear" w:color="auto" w:fill="auto"/>
            <w:noWrap/>
            <w:vAlign w:val="center"/>
            <w:hideMark/>
          </w:tcPr>
          <w:p w14:paraId="3B27556B" w14:textId="77777777" w:rsidR="00D73255" w:rsidRPr="006710E4" w:rsidRDefault="00D73255" w:rsidP="00143421">
            <w:pPr>
              <w:keepNext/>
              <w:keepLines/>
              <w:jc w:val="center"/>
              <w:rPr>
                <w:rFonts w:ascii="Arial Narrow" w:hAnsi="Arial Narrow" w:cs="Calibri"/>
                <w:iCs/>
                <w:sz w:val="20"/>
                <w:szCs w:val="20"/>
                <w:lang w:eastAsia="en-AU"/>
              </w:rPr>
            </w:pPr>
            <w:r w:rsidRPr="006710E4">
              <w:rPr>
                <w:rFonts w:ascii="Arial Narrow" w:hAnsi="Arial Narrow" w:cs="Calibri"/>
                <w:iCs/>
                <w:sz w:val="20"/>
                <w:szCs w:val="20"/>
                <w:lang w:eastAsia="en-AU"/>
              </w:rPr>
              <w:t>N/R</w:t>
            </w:r>
          </w:p>
        </w:tc>
        <w:tc>
          <w:tcPr>
            <w:tcW w:w="1746" w:type="dxa"/>
            <w:shd w:val="clear" w:color="auto" w:fill="auto"/>
            <w:noWrap/>
            <w:vAlign w:val="center"/>
            <w:hideMark/>
          </w:tcPr>
          <w:p w14:paraId="6F04B5C5" w14:textId="77777777" w:rsidR="00D73255" w:rsidRPr="006710E4" w:rsidRDefault="00D73255" w:rsidP="00143421">
            <w:pPr>
              <w:keepNext/>
              <w:keepLines/>
              <w:jc w:val="center"/>
              <w:rPr>
                <w:rFonts w:ascii="Arial Narrow" w:hAnsi="Arial Narrow" w:cs="Calibri"/>
                <w:sz w:val="20"/>
                <w:szCs w:val="20"/>
                <w:lang w:eastAsia="en-AU"/>
              </w:rPr>
            </w:pPr>
            <w:r w:rsidRPr="006710E4">
              <w:rPr>
                <w:rFonts w:ascii="Arial Narrow" w:hAnsi="Arial Narrow" w:cs="Calibri"/>
                <w:sz w:val="20"/>
                <w:szCs w:val="20"/>
                <w:lang w:eastAsia="en-AU"/>
              </w:rPr>
              <w:t>10.3 (9.2, 11.1)</w:t>
            </w:r>
          </w:p>
        </w:tc>
      </w:tr>
      <w:tr w:rsidR="00D73255" w:rsidRPr="006710E4" w14:paraId="3334223A" w14:textId="77777777" w:rsidTr="00EF20C5">
        <w:trPr>
          <w:trHeight w:val="20"/>
        </w:trPr>
        <w:tc>
          <w:tcPr>
            <w:tcW w:w="2614" w:type="dxa"/>
            <w:vMerge/>
            <w:vAlign w:val="center"/>
          </w:tcPr>
          <w:p w14:paraId="78B0A51B" w14:textId="77777777" w:rsidR="00D73255" w:rsidRPr="006710E4" w:rsidRDefault="00D73255" w:rsidP="00143421">
            <w:pPr>
              <w:keepNext/>
              <w:keepLines/>
              <w:rPr>
                <w:rFonts w:ascii="Arial Narrow" w:hAnsi="Arial Narrow" w:cs="Calibri"/>
                <w:sz w:val="20"/>
                <w:szCs w:val="20"/>
                <w:lang w:eastAsia="en-AU"/>
              </w:rPr>
            </w:pPr>
          </w:p>
        </w:tc>
        <w:tc>
          <w:tcPr>
            <w:tcW w:w="1892" w:type="dxa"/>
            <w:shd w:val="clear" w:color="auto" w:fill="auto"/>
            <w:noWrap/>
            <w:vAlign w:val="center"/>
            <w:hideMark/>
          </w:tcPr>
          <w:p w14:paraId="2BBAF871" w14:textId="77777777" w:rsidR="00D73255" w:rsidRPr="006710E4" w:rsidRDefault="00D73255" w:rsidP="00143421">
            <w:pPr>
              <w:keepNext/>
              <w:keepLines/>
              <w:jc w:val="center"/>
              <w:rPr>
                <w:rFonts w:ascii="Arial Narrow" w:hAnsi="Arial Narrow" w:cs="Calibri"/>
                <w:sz w:val="20"/>
                <w:szCs w:val="20"/>
                <w:lang w:eastAsia="en-AU"/>
              </w:rPr>
            </w:pPr>
            <w:r w:rsidRPr="006710E4">
              <w:rPr>
                <w:rFonts w:ascii="Arial Narrow" w:hAnsi="Arial Narrow" w:cs="Calibri"/>
                <w:sz w:val="20"/>
                <w:szCs w:val="20"/>
                <w:lang w:eastAsia="en-AU"/>
              </w:rPr>
              <w:t>GARNET like strict</w:t>
            </w:r>
          </w:p>
        </w:tc>
        <w:tc>
          <w:tcPr>
            <w:tcW w:w="727" w:type="dxa"/>
            <w:shd w:val="clear" w:color="auto" w:fill="auto"/>
            <w:noWrap/>
            <w:vAlign w:val="center"/>
            <w:hideMark/>
          </w:tcPr>
          <w:p w14:paraId="3ED9D5CD" w14:textId="77777777" w:rsidR="00D73255" w:rsidRPr="006710E4" w:rsidRDefault="00D73255" w:rsidP="00143421">
            <w:pPr>
              <w:keepNext/>
              <w:keepLines/>
              <w:jc w:val="center"/>
              <w:rPr>
                <w:rFonts w:ascii="Arial Narrow" w:hAnsi="Arial Narrow" w:cs="Calibri"/>
                <w:sz w:val="20"/>
                <w:szCs w:val="20"/>
                <w:lang w:eastAsia="en-AU"/>
              </w:rPr>
            </w:pPr>
            <w:r w:rsidRPr="006710E4">
              <w:rPr>
                <w:rFonts w:ascii="Arial Narrow" w:hAnsi="Arial Narrow" w:cs="Calibri"/>
                <w:sz w:val="20"/>
                <w:szCs w:val="20"/>
                <w:lang w:eastAsia="en-AU"/>
              </w:rPr>
              <w:t>501</w:t>
            </w:r>
          </w:p>
        </w:tc>
        <w:tc>
          <w:tcPr>
            <w:tcW w:w="993" w:type="dxa"/>
            <w:shd w:val="clear" w:color="auto" w:fill="auto"/>
            <w:noWrap/>
            <w:vAlign w:val="center"/>
            <w:hideMark/>
          </w:tcPr>
          <w:p w14:paraId="45EBEFA4" w14:textId="77777777" w:rsidR="00D73255" w:rsidRPr="006710E4" w:rsidRDefault="00D73255" w:rsidP="00143421">
            <w:pPr>
              <w:keepNext/>
              <w:keepLines/>
              <w:jc w:val="center"/>
              <w:rPr>
                <w:rFonts w:ascii="Arial Narrow" w:hAnsi="Arial Narrow" w:cs="Calibri"/>
                <w:iCs/>
                <w:sz w:val="20"/>
                <w:szCs w:val="20"/>
                <w:lang w:eastAsia="en-AU"/>
              </w:rPr>
            </w:pPr>
            <w:r w:rsidRPr="006710E4">
              <w:rPr>
                <w:rFonts w:ascii="Arial Narrow" w:hAnsi="Arial Narrow" w:cs="Calibri"/>
                <w:iCs/>
                <w:sz w:val="20"/>
                <w:szCs w:val="20"/>
                <w:lang w:eastAsia="en-AU"/>
              </w:rPr>
              <w:t>368 (73.5)</w:t>
            </w:r>
          </w:p>
        </w:tc>
        <w:tc>
          <w:tcPr>
            <w:tcW w:w="1045" w:type="dxa"/>
            <w:shd w:val="clear" w:color="auto" w:fill="auto"/>
            <w:noWrap/>
            <w:vAlign w:val="center"/>
            <w:hideMark/>
          </w:tcPr>
          <w:p w14:paraId="07553C13" w14:textId="77777777" w:rsidR="00D73255" w:rsidRPr="006710E4" w:rsidRDefault="00D73255" w:rsidP="00143421">
            <w:pPr>
              <w:keepNext/>
              <w:keepLines/>
              <w:jc w:val="center"/>
              <w:rPr>
                <w:rFonts w:ascii="Arial Narrow" w:hAnsi="Arial Narrow" w:cs="Calibri"/>
                <w:iCs/>
                <w:sz w:val="20"/>
                <w:szCs w:val="20"/>
                <w:lang w:eastAsia="en-AU"/>
              </w:rPr>
            </w:pPr>
            <w:r w:rsidRPr="006710E4">
              <w:rPr>
                <w:rFonts w:ascii="Arial Narrow" w:hAnsi="Arial Narrow" w:cs="Calibri"/>
                <w:iCs/>
                <w:sz w:val="20"/>
                <w:szCs w:val="20"/>
                <w:lang w:eastAsia="en-AU"/>
              </w:rPr>
              <w:t>N/R</w:t>
            </w:r>
          </w:p>
        </w:tc>
        <w:tc>
          <w:tcPr>
            <w:tcW w:w="1746" w:type="dxa"/>
            <w:shd w:val="clear" w:color="auto" w:fill="auto"/>
            <w:noWrap/>
            <w:vAlign w:val="center"/>
            <w:hideMark/>
          </w:tcPr>
          <w:p w14:paraId="6BEE620B" w14:textId="77777777" w:rsidR="00D73255" w:rsidRPr="006710E4" w:rsidRDefault="00D73255" w:rsidP="00143421">
            <w:pPr>
              <w:keepNext/>
              <w:keepLines/>
              <w:jc w:val="center"/>
              <w:rPr>
                <w:rFonts w:ascii="Arial Narrow" w:hAnsi="Arial Narrow" w:cs="Calibri"/>
                <w:sz w:val="20"/>
                <w:szCs w:val="20"/>
                <w:lang w:eastAsia="en-AU"/>
              </w:rPr>
            </w:pPr>
            <w:r w:rsidRPr="006710E4">
              <w:rPr>
                <w:rFonts w:ascii="Arial Narrow" w:hAnsi="Arial Narrow" w:cs="Calibri"/>
                <w:sz w:val="20"/>
                <w:szCs w:val="20"/>
                <w:lang w:eastAsia="en-AU"/>
              </w:rPr>
              <w:t>10.3 (9.0, 11.1)</w:t>
            </w:r>
          </w:p>
        </w:tc>
      </w:tr>
    </w:tbl>
    <w:p w14:paraId="7211EA00" w14:textId="2D9F1F91" w:rsidR="00D73255" w:rsidRPr="006710E4" w:rsidRDefault="00D73255" w:rsidP="00143421">
      <w:pPr>
        <w:pStyle w:val="TableFooter"/>
        <w:keepNext/>
        <w:keepLines/>
      </w:pPr>
      <w:r w:rsidRPr="006710E4">
        <w:t>Source: Tables 46&amp;49, pp 115&amp;121 of the submission and Table 36, p161 of the GARNET Clinical Study Report</w:t>
      </w:r>
      <w:r w:rsidR="00A664F6" w:rsidRPr="006710E4">
        <w:t xml:space="preserve">; Sheet “Table 3” in the “UK </w:t>
      </w:r>
      <w:proofErr w:type="spellStart"/>
      <w:r w:rsidR="00A664F6" w:rsidRPr="006710E4">
        <w:t>RWE_Final</w:t>
      </w:r>
      <w:proofErr w:type="spellEnd"/>
      <w:r w:rsidR="00A664F6" w:rsidRPr="006710E4">
        <w:t xml:space="preserve"> results tables” excel workbook</w:t>
      </w:r>
      <w:r w:rsidRPr="006710E4">
        <w:t>.</w:t>
      </w:r>
    </w:p>
    <w:p w14:paraId="1045E514" w14:textId="590BAC58" w:rsidR="00D73255" w:rsidRDefault="00D73255" w:rsidP="00143421">
      <w:pPr>
        <w:pStyle w:val="TableFooter"/>
        <w:keepNext/>
        <w:keepLines/>
      </w:pPr>
      <w:r w:rsidRPr="006710E4">
        <w:t xml:space="preserve">CI = confidence interval; </w:t>
      </w:r>
      <w:proofErr w:type="spellStart"/>
      <w:r w:rsidRPr="006710E4">
        <w:t>dMMR</w:t>
      </w:r>
      <w:proofErr w:type="spellEnd"/>
      <w:r w:rsidRPr="006710E4">
        <w:t xml:space="preserve"> = mismatch repair deficient; ES = Efficacy Set; ITT = intention to treat; MAS = main analysis set (for adjusted indirect comparison); </w:t>
      </w:r>
      <w:proofErr w:type="spellStart"/>
      <w:r w:rsidRPr="006710E4">
        <w:t>mITT</w:t>
      </w:r>
      <w:proofErr w:type="spellEnd"/>
      <w:r w:rsidRPr="006710E4">
        <w:t xml:space="preserve"> = modified intention to treat; N/R = not reported; NR = not reached; PES = primary efficacy set; </w:t>
      </w:r>
      <w:proofErr w:type="spellStart"/>
      <w:r w:rsidRPr="006710E4">
        <w:t>pMMR</w:t>
      </w:r>
      <w:proofErr w:type="spellEnd"/>
      <w:r w:rsidRPr="006710E4">
        <w:t xml:space="preserve"> = mismatch repair proficient.</w:t>
      </w:r>
    </w:p>
    <w:p w14:paraId="2FDFA2A9" w14:textId="188F106D" w:rsidR="0009250D" w:rsidRPr="006710E4" w:rsidRDefault="0009250D" w:rsidP="00143421">
      <w:pPr>
        <w:pStyle w:val="TableFooter"/>
        <w:keepNext/>
        <w:keepLines/>
      </w:pPr>
      <w:r>
        <w:t xml:space="preserve">a </w:t>
      </w:r>
      <w:r w:rsidRPr="0009250D">
        <w:t>Note that the MAS results are derived from a post-hoc analysis performed specifically for the purposes of informing the PBAC consideration. This analysis was not part of the pre-specified statistical plan for GARNET. Interpretation of the results and their application should therefore be limited to seeking to understand the basis for the PBAC outcome and should not be used for any other purpose</w:t>
      </w:r>
    </w:p>
    <w:p w14:paraId="5F9BEE3F" w14:textId="4E065D23" w:rsidR="00D10AC2" w:rsidRDefault="0009250D" w:rsidP="00143421">
      <w:pPr>
        <w:pStyle w:val="TableFooter"/>
        <w:keepNext/>
        <w:keepLines/>
      </w:pPr>
      <w:r>
        <w:t>b</w:t>
      </w:r>
      <w:r w:rsidR="00D10AC2" w:rsidRPr="006710E4">
        <w:t xml:space="preserve"> </w:t>
      </w:r>
      <w:proofErr w:type="gramStart"/>
      <w:r w:rsidR="00D10AC2" w:rsidRPr="006710E4">
        <w:t>The</w:t>
      </w:r>
      <w:proofErr w:type="gramEnd"/>
      <w:r w:rsidR="00D10AC2" w:rsidRPr="006710E4">
        <w:t xml:space="preserve"> anonymised </w:t>
      </w:r>
      <w:proofErr w:type="spellStart"/>
      <w:r w:rsidR="00D10AC2" w:rsidRPr="006710E4">
        <w:t>ZoptEC</w:t>
      </w:r>
      <w:proofErr w:type="spellEnd"/>
      <w:r w:rsidR="00D10AC2" w:rsidRPr="006710E4">
        <w:t xml:space="preserve"> IPD was licensed to the sponsor for indirect comparison purposes (unpublished data). The use of the </w:t>
      </w:r>
      <w:proofErr w:type="spellStart"/>
      <w:r w:rsidR="00D10AC2" w:rsidRPr="006710E4">
        <w:t>mITT</w:t>
      </w:r>
      <w:proofErr w:type="spellEnd"/>
      <w:r w:rsidR="00D10AC2" w:rsidRPr="006710E4">
        <w:t xml:space="preserve"> set for OS was inconsistent with Table 2.4.2 which stated that the ITT (N=255) set was to be used. The submission may have chosen to use the </w:t>
      </w:r>
      <w:proofErr w:type="spellStart"/>
      <w:r w:rsidR="00D10AC2" w:rsidRPr="006710E4">
        <w:t>mITT</w:t>
      </w:r>
      <w:proofErr w:type="spellEnd"/>
      <w:r w:rsidR="00D10AC2" w:rsidRPr="006710E4">
        <w:t xml:space="preserve"> set (N=249; which excluded 6 patients in the doxorubicin arm of </w:t>
      </w:r>
      <w:proofErr w:type="spellStart"/>
      <w:r w:rsidR="00D10AC2" w:rsidRPr="006710E4">
        <w:t>ZoptEC</w:t>
      </w:r>
      <w:proofErr w:type="spellEnd"/>
      <w:r w:rsidR="00D10AC2" w:rsidRPr="006710E4">
        <w:t xml:space="preserve"> who did not receive a dose), given access to IPD. Given this, the values for censored and median OS were unable to be verified during the evaluation using the information provided by the submission. </w:t>
      </w:r>
    </w:p>
    <w:p w14:paraId="4CC1E68D" w14:textId="77777777" w:rsidR="0009250D" w:rsidRPr="0009250D" w:rsidRDefault="0009250D" w:rsidP="0009250D">
      <w:pPr>
        <w:pStyle w:val="TableFooter"/>
        <w:keepNext/>
        <w:keepLines/>
      </w:pPr>
      <w:r>
        <w:t xml:space="preserve">c </w:t>
      </w:r>
      <w:r w:rsidRPr="0009250D">
        <w:t xml:space="preserve">Note that the MAS results are derived from a post-hoc analysis performed specifically for the purposes of informing the PBAC consideration. This analysis was not part of the pre-specified statistical plan for </w:t>
      </w:r>
      <w:proofErr w:type="spellStart"/>
      <w:r w:rsidRPr="0009250D">
        <w:t>ZoptEC</w:t>
      </w:r>
      <w:proofErr w:type="spellEnd"/>
      <w:r w:rsidRPr="0009250D">
        <w:t>. Interpretation of the results and their application should therefore be limited to seeking to understand the basis for the PBAC outcome and should not be used for any other purpose.</w:t>
      </w:r>
    </w:p>
    <w:p w14:paraId="7C0FC13F" w14:textId="652FE6CC" w:rsidR="00D10AC2" w:rsidRPr="006710E4" w:rsidRDefault="0009250D" w:rsidP="00143421">
      <w:pPr>
        <w:pStyle w:val="TableFooter"/>
        <w:keepNext/>
        <w:keepLines/>
      </w:pPr>
      <w:r>
        <w:t>d</w:t>
      </w:r>
      <w:r w:rsidR="00D10AC2" w:rsidRPr="006710E4">
        <w:t xml:space="preserve"> </w:t>
      </w:r>
      <w:proofErr w:type="gramStart"/>
      <w:r w:rsidR="00D10AC2" w:rsidRPr="006710E4">
        <w:t>The</w:t>
      </w:r>
      <w:proofErr w:type="gramEnd"/>
      <w:r w:rsidR="00D10AC2" w:rsidRPr="006710E4">
        <w:t xml:space="preserve"> values for events and censored were updated during the evaluation based on reported results</w:t>
      </w:r>
      <w:r w:rsidR="00490ECC">
        <w:rPr>
          <w:i/>
        </w:rPr>
        <w:t xml:space="preserve"> </w:t>
      </w:r>
      <w:r w:rsidR="00490ECC" w:rsidRPr="00A23129">
        <w:rPr>
          <w:iCs/>
        </w:rPr>
        <w:t>that became available subsequent to the submission</w:t>
      </w:r>
      <w:r w:rsidR="00D10AC2" w:rsidRPr="006710E4">
        <w:t xml:space="preserve"> (clinicaltrials.gov: NCT02725268). </w:t>
      </w:r>
    </w:p>
    <w:p w14:paraId="00D3C696" w14:textId="470EBAC9" w:rsidR="00565389" w:rsidRPr="006710E4" w:rsidRDefault="00565389" w:rsidP="00B562DD"/>
    <w:p w14:paraId="41A06212" w14:textId="70E75EA7" w:rsidR="00297F2B" w:rsidRDefault="007269DB" w:rsidP="00E24AE9">
      <w:pPr>
        <w:pStyle w:val="ListParagraph"/>
        <w:widowControl/>
        <w:numPr>
          <w:ilvl w:val="1"/>
          <w:numId w:val="2"/>
        </w:numPr>
      </w:pPr>
      <w:bookmarkStart w:id="19" w:name="_Ref93090853"/>
      <w:r w:rsidRPr="006710E4">
        <w:t>Median OS was not reached</w:t>
      </w:r>
      <w:r w:rsidR="002F5E3E" w:rsidRPr="006710E4">
        <w:t xml:space="preserve"> (NR)</w:t>
      </w:r>
      <w:r w:rsidRPr="006710E4">
        <w:t xml:space="preserve"> in </w:t>
      </w:r>
      <w:r w:rsidR="00682F2E" w:rsidRPr="006710E4">
        <w:t xml:space="preserve">the </w:t>
      </w:r>
      <w:r w:rsidRPr="006710E4">
        <w:t>GARNET Cohort A1 ITT set (95%</w:t>
      </w:r>
      <w:r w:rsidR="005C25C1" w:rsidRPr="006710E4">
        <w:t xml:space="preserve"> confidence interval (</w:t>
      </w:r>
      <w:r w:rsidRPr="006710E4">
        <w:t>CI</w:t>
      </w:r>
      <w:r w:rsidR="005C25C1" w:rsidRPr="006710E4">
        <w:t>)</w:t>
      </w:r>
      <w:r w:rsidRPr="006710E4">
        <w:t xml:space="preserve">: </w:t>
      </w:r>
      <w:r w:rsidR="00301974" w:rsidRPr="00406A74">
        <w:rPr>
          <w:iCs/>
        </w:rPr>
        <w:t>27.1</w:t>
      </w:r>
      <w:r w:rsidRPr="006710E4">
        <w:t xml:space="preserve">, NR). </w:t>
      </w:r>
      <w:r w:rsidR="00A560AD" w:rsidRPr="006710E4">
        <w:t xml:space="preserve">The lower confidence limit for median OS of </w:t>
      </w:r>
      <w:r w:rsidR="00301974" w:rsidRPr="00A23129">
        <w:rPr>
          <w:iCs/>
        </w:rPr>
        <w:t>27.1</w:t>
      </w:r>
      <w:r w:rsidR="00A560AD" w:rsidRPr="006710E4">
        <w:t xml:space="preserve"> months was higher than the upper confidence limit on SoC arms in the included studies (</w:t>
      </w:r>
      <w:r w:rsidR="00A560AD" w:rsidRPr="006710E4">
        <w:rPr>
          <w:iCs/>
        </w:rPr>
        <w:t>11.1-</w:t>
      </w:r>
      <w:r w:rsidR="00615F42">
        <w:rPr>
          <w:iCs/>
        </w:rPr>
        <w:t>19.6</w:t>
      </w:r>
      <w:r w:rsidR="00A560AD" w:rsidRPr="006710E4">
        <w:t xml:space="preserve"> months, including the UK RWE)</w:t>
      </w:r>
      <w:r w:rsidR="00615F42">
        <w:t>.</w:t>
      </w:r>
      <w:r w:rsidR="00A11F99" w:rsidRPr="006710E4">
        <w:t xml:space="preserve"> </w:t>
      </w:r>
      <w:bookmarkEnd w:id="19"/>
    </w:p>
    <w:p w14:paraId="22E01D68" w14:textId="1300335C" w:rsidR="009F5B71" w:rsidRPr="00A23129" w:rsidRDefault="00B15B42" w:rsidP="00E24AE9">
      <w:pPr>
        <w:pStyle w:val="ListParagraph"/>
        <w:widowControl/>
        <w:numPr>
          <w:ilvl w:val="1"/>
          <w:numId w:val="2"/>
        </w:numPr>
        <w:rPr>
          <w:iCs/>
        </w:rPr>
      </w:pPr>
      <w:bookmarkStart w:id="20" w:name="_Ref95485101"/>
      <w:bookmarkStart w:id="21" w:name="_Ref99974223"/>
      <w:r w:rsidRPr="00A23129">
        <w:rPr>
          <w:iCs/>
        </w:rPr>
        <w:t xml:space="preserve">The </w:t>
      </w:r>
      <w:r w:rsidR="009F5B71" w:rsidRPr="00A23129">
        <w:rPr>
          <w:iCs/>
        </w:rPr>
        <w:t xml:space="preserve">updated data </w:t>
      </w:r>
      <w:r w:rsidRPr="00A23129">
        <w:rPr>
          <w:iCs/>
        </w:rPr>
        <w:t xml:space="preserve">from IA-3 </w:t>
      </w:r>
      <w:r w:rsidR="009F5B71" w:rsidRPr="00A23129">
        <w:rPr>
          <w:iCs/>
        </w:rPr>
        <w:t>had a median follow-up of 29.4 months</w:t>
      </w:r>
      <w:r w:rsidR="00E73E59" w:rsidRPr="00A23129">
        <w:rPr>
          <w:iCs/>
        </w:rPr>
        <w:t xml:space="preserve"> for the PES</w:t>
      </w:r>
      <w:r w:rsidR="009F5B71" w:rsidRPr="00A23129">
        <w:rPr>
          <w:iCs/>
        </w:rPr>
        <w:t xml:space="preserve"> (versus 1</w:t>
      </w:r>
      <w:r w:rsidR="00E73E59" w:rsidRPr="00A23129">
        <w:rPr>
          <w:iCs/>
        </w:rPr>
        <w:t>6.3</w:t>
      </w:r>
      <w:r w:rsidR="009F5B71" w:rsidRPr="00A23129">
        <w:rPr>
          <w:iCs/>
        </w:rPr>
        <w:t xml:space="preserve"> months for the IA-2 data cut-off). The PSCR stated “</w:t>
      </w:r>
      <w:r w:rsidR="009F5B71" w:rsidRPr="00A23129">
        <w:rPr>
          <w:iCs/>
          <w:lang w:bidi="en-US"/>
        </w:rPr>
        <w:t xml:space="preserve">Overall, the efficacy and safety of </w:t>
      </w:r>
      <w:proofErr w:type="spellStart"/>
      <w:r w:rsidR="009F5B71" w:rsidRPr="00A23129">
        <w:rPr>
          <w:iCs/>
          <w:lang w:bidi="en-US"/>
        </w:rPr>
        <w:t>dostarlimab</w:t>
      </w:r>
      <w:proofErr w:type="spellEnd"/>
      <w:r w:rsidR="009F5B71" w:rsidRPr="00A23129">
        <w:rPr>
          <w:iCs/>
          <w:lang w:bidi="en-US"/>
        </w:rPr>
        <w:t xml:space="preserve"> observed at IA-3 analyses, remained consistent with prior data cuts (IA-2, IA-1), with the benefit of increased sample size and extended follow-up</w:t>
      </w:r>
      <w:r w:rsidR="00121BFD" w:rsidRPr="00A23129">
        <w:rPr>
          <w:iCs/>
          <w:lang w:bidi="en-US"/>
        </w:rPr>
        <w:t>”</w:t>
      </w:r>
      <w:r w:rsidRPr="00A23129">
        <w:rPr>
          <w:iCs/>
          <w:lang w:bidi="en-US"/>
        </w:rPr>
        <w:t xml:space="preserve"> </w:t>
      </w:r>
      <w:r w:rsidR="00121BFD" w:rsidRPr="00A23129">
        <w:rPr>
          <w:iCs/>
          <w:lang w:bidi="en-US"/>
        </w:rPr>
        <w:t xml:space="preserve">and “the magnitude of </w:t>
      </w:r>
      <w:proofErr w:type="spellStart"/>
      <w:r w:rsidR="00121BFD" w:rsidRPr="00A23129">
        <w:rPr>
          <w:iCs/>
          <w:lang w:bidi="en-US"/>
        </w:rPr>
        <w:t>dostarlimab</w:t>
      </w:r>
      <w:proofErr w:type="spellEnd"/>
      <w:r w:rsidR="00121BFD" w:rsidRPr="00A23129">
        <w:rPr>
          <w:iCs/>
          <w:lang w:bidi="en-US"/>
        </w:rPr>
        <w:t xml:space="preserve"> survival benefit is improving over time, with the </w:t>
      </w:r>
      <w:r w:rsidR="00121BFD" w:rsidRPr="00A23129">
        <w:rPr>
          <w:iCs/>
          <w:lang w:bidi="en-US"/>
        </w:rPr>
        <w:lastRenderedPageBreak/>
        <w:t>continued plateauing of the KM plot in the latest data cut-off (IA-3).”</w:t>
      </w:r>
      <w:r w:rsidR="00121BFD" w:rsidRPr="00A23129">
        <w:rPr>
          <w:iCs/>
        </w:rPr>
        <w:t xml:space="preserve"> </w:t>
      </w:r>
      <w:r w:rsidR="0023267E" w:rsidRPr="00A23129">
        <w:rPr>
          <w:iCs/>
        </w:rPr>
        <w:t>However, the ESC considered that the updated data did not clearly indicate a longer-term plateau in OS</w:t>
      </w:r>
      <w:r w:rsidR="00126995" w:rsidRPr="00A23129">
        <w:rPr>
          <w:iCs/>
        </w:rPr>
        <w:t xml:space="preserve">, noting that median OS was not reached (only 37% of patients had died at IA-3) and the relatively small number of patients at risk toward the tail of the Kaplan-Meier curve (refer to </w:t>
      </w:r>
      <w:r w:rsidR="00A23129">
        <w:rPr>
          <w:iCs/>
        </w:rPr>
        <w:t xml:space="preserve">Figure </w:t>
      </w:r>
      <w:r w:rsidR="00126995" w:rsidRPr="00A23129">
        <w:rPr>
          <w:iCs/>
        </w:rPr>
        <w:fldChar w:fldCharType="begin"/>
      </w:r>
      <w:r w:rsidR="00126995" w:rsidRPr="00A23129">
        <w:rPr>
          <w:iCs/>
        </w:rPr>
        <w:instrText xml:space="preserve"> REF _Ref95481902 \h  \* MERGEFORMAT </w:instrText>
      </w:r>
      <w:r w:rsidR="00126995" w:rsidRPr="00A23129">
        <w:rPr>
          <w:iCs/>
        </w:rPr>
      </w:r>
      <w:r w:rsidR="00126995" w:rsidRPr="00A23129">
        <w:rPr>
          <w:iCs/>
        </w:rPr>
        <w:fldChar w:fldCharType="separate"/>
      </w:r>
      <w:r w:rsidR="004975AD" w:rsidRPr="004975AD">
        <w:rPr>
          <w:iCs/>
        </w:rPr>
        <w:t>1</w:t>
      </w:r>
      <w:r w:rsidR="00126995" w:rsidRPr="00A23129">
        <w:rPr>
          <w:iCs/>
        </w:rPr>
        <w:fldChar w:fldCharType="end"/>
      </w:r>
      <w:r w:rsidR="00126995" w:rsidRPr="00A23129">
        <w:rPr>
          <w:iCs/>
        </w:rPr>
        <w:t xml:space="preserve">). Further, the lack of comparator arm made it difficult to determine whether any plateau would also be observed with </w:t>
      </w:r>
      <w:proofErr w:type="spellStart"/>
      <w:r w:rsidR="00126995" w:rsidRPr="00A23129">
        <w:rPr>
          <w:iCs/>
        </w:rPr>
        <w:t>SoC.</w:t>
      </w:r>
      <w:bookmarkEnd w:id="20"/>
      <w:proofErr w:type="spellEnd"/>
      <w:r w:rsidR="00A23129">
        <w:rPr>
          <w:iCs/>
        </w:rPr>
        <w:t xml:space="preserve"> The pre</w:t>
      </w:r>
      <w:r w:rsidR="00A23129">
        <w:rPr>
          <w:iCs/>
        </w:rPr>
        <w:noBreakHyphen/>
        <w:t>PBAC response</w:t>
      </w:r>
      <w:r w:rsidR="00C61DA7">
        <w:rPr>
          <w:iCs/>
        </w:rPr>
        <w:t xml:space="preserve"> </w:t>
      </w:r>
      <w:r w:rsidR="00A23129">
        <w:rPr>
          <w:iCs/>
        </w:rPr>
        <w:t>argued that median OS not being reached was evidence in support of plateauing survival and</w:t>
      </w:r>
      <w:r w:rsidR="00F166E6">
        <w:rPr>
          <w:iCs/>
        </w:rPr>
        <w:t xml:space="preserve"> that this</w:t>
      </w:r>
      <w:r w:rsidR="00A23129">
        <w:rPr>
          <w:iCs/>
        </w:rPr>
        <w:t xml:space="preserve"> </w:t>
      </w:r>
      <w:r w:rsidR="00A23129" w:rsidRPr="003E47E6">
        <w:rPr>
          <w:lang w:bidi="en-US"/>
        </w:rPr>
        <w:t>plateau</w:t>
      </w:r>
      <w:r w:rsidR="00A23129">
        <w:rPr>
          <w:lang w:bidi="en-US"/>
        </w:rPr>
        <w:t>ing of</w:t>
      </w:r>
      <w:r w:rsidR="00A23129" w:rsidRPr="003E47E6">
        <w:rPr>
          <w:lang w:bidi="en-US"/>
        </w:rPr>
        <w:t xml:space="preserve"> survival </w:t>
      </w:r>
      <w:r w:rsidR="00A23129">
        <w:rPr>
          <w:lang w:bidi="en-US"/>
        </w:rPr>
        <w:t xml:space="preserve">was </w:t>
      </w:r>
      <w:r w:rsidR="00A23129" w:rsidRPr="003E47E6">
        <w:rPr>
          <w:lang w:bidi="en-US"/>
        </w:rPr>
        <w:t>observable out to four years</w:t>
      </w:r>
      <w:r w:rsidR="00A23129">
        <w:rPr>
          <w:iCs/>
        </w:rPr>
        <w:t xml:space="preserve"> whereas</w:t>
      </w:r>
      <w:r w:rsidR="00A23129" w:rsidRPr="003E47E6">
        <w:rPr>
          <w:lang w:bidi="en-US"/>
        </w:rPr>
        <w:t xml:space="preserve"> OS curves from available SoC studies demonstrate a median OS of between 8.6-12.7 months</w:t>
      </w:r>
      <w:r w:rsidR="00A23129">
        <w:rPr>
          <w:lang w:bidi="en-US"/>
        </w:rPr>
        <w:t>.</w:t>
      </w:r>
      <w:r w:rsidR="00C61DA7">
        <w:rPr>
          <w:lang w:bidi="en-US"/>
        </w:rPr>
        <w:t xml:space="preserve"> The pre-PBAC response also noted that no additional data from GARNET Cohort A1 is expected until Q3 2024.</w:t>
      </w:r>
      <w:bookmarkEnd w:id="21"/>
    </w:p>
    <w:p w14:paraId="0E430905" w14:textId="75C51984" w:rsidR="00EF435B" w:rsidRPr="006710E4" w:rsidRDefault="00E91AB6" w:rsidP="00E24AE9">
      <w:pPr>
        <w:pStyle w:val="ListParagraph"/>
        <w:widowControl/>
        <w:numPr>
          <w:ilvl w:val="1"/>
          <w:numId w:val="2"/>
        </w:numPr>
      </w:pPr>
      <w:bookmarkStart w:id="22" w:name="_Ref93090868"/>
      <w:r w:rsidRPr="006710E4">
        <w:rPr>
          <w:iCs/>
        </w:rPr>
        <w:t>The submission noted the</w:t>
      </w:r>
      <w:r w:rsidRPr="006710E4">
        <w:t xml:space="preserve"> 3.4-month difference in median OS reported between the </w:t>
      </w:r>
      <w:proofErr w:type="spellStart"/>
      <w:r w:rsidRPr="006710E4">
        <w:t>dMMR</w:t>
      </w:r>
      <w:proofErr w:type="spellEnd"/>
      <w:r w:rsidRPr="006710E4">
        <w:t xml:space="preserve"> (8.6 months; 95% CI: 5.5, 12.9) and </w:t>
      </w:r>
      <w:proofErr w:type="spellStart"/>
      <w:r w:rsidRPr="006710E4">
        <w:t>pMMR</w:t>
      </w:r>
      <w:proofErr w:type="spellEnd"/>
      <w:r w:rsidRPr="006710E4">
        <w:t xml:space="preserve"> (12.0 months; 95% CI: 10.8, 13.3) subgroups in patients treated with SoC in KEYNOTE-775. However, the submission claimed that as the upper confidence limit of the </w:t>
      </w:r>
      <w:proofErr w:type="spellStart"/>
      <w:r w:rsidRPr="006710E4">
        <w:t>dMMR</w:t>
      </w:r>
      <w:proofErr w:type="spellEnd"/>
      <w:r w:rsidRPr="006710E4">
        <w:t xml:space="preserve"> subgroup exceeded the median reported for the </w:t>
      </w:r>
      <w:proofErr w:type="spellStart"/>
      <w:r w:rsidRPr="006710E4">
        <w:t>pMMR</w:t>
      </w:r>
      <w:proofErr w:type="spellEnd"/>
      <w:r w:rsidRPr="006710E4">
        <w:t xml:space="preserve"> subgroup, it was uncertain if the observed difference was generalisable to a real difference in outcomes between </w:t>
      </w:r>
      <w:proofErr w:type="spellStart"/>
      <w:r w:rsidRPr="006710E4">
        <w:t>dMMR</w:t>
      </w:r>
      <w:proofErr w:type="spellEnd"/>
      <w:r w:rsidRPr="006710E4">
        <w:t xml:space="preserve"> and </w:t>
      </w:r>
      <w:proofErr w:type="spellStart"/>
      <w:r w:rsidRPr="006710E4">
        <w:t>pMMR</w:t>
      </w:r>
      <w:proofErr w:type="spellEnd"/>
      <w:r w:rsidRPr="006710E4">
        <w:t xml:space="preserve"> patients in A/R EC following PBC. </w:t>
      </w:r>
      <w:bookmarkEnd w:id="22"/>
    </w:p>
    <w:p w14:paraId="09DD0CCF" w14:textId="6058BC97" w:rsidR="00DC5F26" w:rsidRPr="006710E4" w:rsidRDefault="0073236F" w:rsidP="00E24AE9">
      <w:pPr>
        <w:pStyle w:val="ListParagraph"/>
        <w:widowControl/>
        <w:numPr>
          <w:ilvl w:val="1"/>
          <w:numId w:val="2"/>
        </w:numPr>
      </w:pPr>
      <w:r w:rsidRPr="006710E4">
        <w:t xml:space="preserve">The overlay of Kaplan-Meier OS curves from GARNET Cohort A1 and the included trials showed initial overlap of curves, before crossing in favour of </w:t>
      </w:r>
      <w:proofErr w:type="spellStart"/>
      <w:r w:rsidRPr="006710E4">
        <w:t>dostarlimab</w:t>
      </w:r>
      <w:proofErr w:type="spellEnd"/>
      <w:r w:rsidRPr="006710E4">
        <w:t xml:space="preserve"> from approximately 3 months. The submiss</w:t>
      </w:r>
      <w:r w:rsidR="00693232" w:rsidRPr="006710E4">
        <w:t xml:space="preserve">ion </w:t>
      </w:r>
      <w:r w:rsidRPr="006710E4">
        <w:t>highlighted the consistency of OS across the SoC cohorts, which the submission claimed provide</w:t>
      </w:r>
      <w:r w:rsidR="0017307A">
        <w:t>s</w:t>
      </w:r>
      <w:r w:rsidRPr="006710E4">
        <w:t xml:space="preserve"> a greater degree of certainty to the naïve indirect comparison. </w:t>
      </w:r>
      <w:r w:rsidR="00E15363">
        <w:t>T</w:t>
      </w:r>
      <w:r w:rsidRPr="006710E4">
        <w:t xml:space="preserve">he lack of confidence intervals in the Kaplan-Meier curves may have led to misleading visual interpretations of the </w:t>
      </w:r>
      <w:r w:rsidR="00CF0AC6" w:rsidRPr="006710E4">
        <w:t xml:space="preserve">certainty of the </w:t>
      </w:r>
      <w:r w:rsidRPr="006710E4">
        <w:t>incremental difference between different arms in the included studies and trials.</w:t>
      </w:r>
    </w:p>
    <w:p w14:paraId="2C3475AB" w14:textId="7996511F" w:rsidR="00E43581" w:rsidRPr="006710E4" w:rsidRDefault="00CC6260" w:rsidP="00E24AE9">
      <w:pPr>
        <w:pStyle w:val="ListParagraph"/>
        <w:widowControl/>
        <w:numPr>
          <w:ilvl w:val="1"/>
          <w:numId w:val="2"/>
        </w:numPr>
      </w:pPr>
      <w:r w:rsidRPr="006710E4">
        <w:t>The PFS Kaplan-Meier curves and key PFS outcomes</w:t>
      </w:r>
      <w:r w:rsidR="00B02EDA" w:rsidRPr="006710E4">
        <w:t xml:space="preserve"> of the relevant arms of the included trials and studies</w:t>
      </w:r>
      <w:r w:rsidRPr="006710E4">
        <w:t xml:space="preserve"> are presented in </w:t>
      </w:r>
      <w:r w:rsidR="00E43581" w:rsidRPr="006710E4">
        <w:fldChar w:fldCharType="begin"/>
      </w:r>
      <w:r w:rsidR="00E43581" w:rsidRPr="006710E4">
        <w:instrText xml:space="preserve"> REF _Ref92009946 \h  \* MERGEFORMAT </w:instrText>
      </w:r>
      <w:r w:rsidR="00E43581" w:rsidRPr="006710E4">
        <w:fldChar w:fldCharType="separate"/>
      </w:r>
      <w:r w:rsidR="004975AD" w:rsidRPr="004975AD">
        <w:t>Figure 3</w:t>
      </w:r>
      <w:r w:rsidR="00E43581" w:rsidRPr="006710E4">
        <w:fldChar w:fldCharType="end"/>
      </w:r>
      <w:r w:rsidR="00E43581" w:rsidRPr="006710E4">
        <w:t xml:space="preserve"> and </w:t>
      </w:r>
      <w:r w:rsidR="00E43581" w:rsidRPr="006710E4">
        <w:fldChar w:fldCharType="begin"/>
      </w:r>
      <w:r w:rsidR="00E43581" w:rsidRPr="006710E4">
        <w:instrText xml:space="preserve"> REF _Ref92009953 \h  \* MERGEFORMAT </w:instrText>
      </w:r>
      <w:r w:rsidR="00E43581" w:rsidRPr="006710E4">
        <w:fldChar w:fldCharType="separate"/>
      </w:r>
      <w:r w:rsidR="004975AD" w:rsidRPr="004975AD">
        <w:t>Table 6</w:t>
      </w:r>
      <w:r w:rsidR="00E43581" w:rsidRPr="006710E4">
        <w:fldChar w:fldCharType="end"/>
      </w:r>
      <w:r w:rsidR="00E43581" w:rsidRPr="006710E4">
        <w:t>.</w:t>
      </w:r>
      <w:r w:rsidR="00EE3C9F" w:rsidRPr="006710E4">
        <w:t xml:space="preserve"> </w:t>
      </w:r>
      <w:r w:rsidR="00EE3C9F" w:rsidRPr="006710E4">
        <w:rPr>
          <w:iCs/>
        </w:rPr>
        <w:t xml:space="preserve">Not </w:t>
      </w:r>
      <w:proofErr w:type="gramStart"/>
      <w:r w:rsidR="00EE3C9F" w:rsidRPr="006710E4">
        <w:rPr>
          <w:iCs/>
        </w:rPr>
        <w:t>all of</w:t>
      </w:r>
      <w:proofErr w:type="gramEnd"/>
      <w:r w:rsidR="00EE3C9F" w:rsidRPr="006710E4">
        <w:rPr>
          <w:iCs/>
        </w:rPr>
        <w:t xml:space="preserve"> the identified trials provided Kaplan-Meier curves for PFS. </w:t>
      </w:r>
    </w:p>
    <w:p w14:paraId="73666131" w14:textId="71ECCA94" w:rsidR="00CC6260" w:rsidRPr="006710E4" w:rsidRDefault="00CC6260" w:rsidP="00DE7638">
      <w:pPr>
        <w:keepNext/>
        <w:rPr>
          <w:rFonts w:ascii="Arial Narrow" w:hAnsi="Arial Narrow"/>
          <w:b/>
          <w:sz w:val="20"/>
          <w:szCs w:val="16"/>
        </w:rPr>
      </w:pPr>
      <w:bookmarkStart w:id="23" w:name="_Ref92009946"/>
      <w:r w:rsidRPr="006710E4">
        <w:rPr>
          <w:rStyle w:val="CommentReference"/>
        </w:rPr>
        <w:t xml:space="preserve">Figure </w:t>
      </w:r>
      <w:r w:rsidR="002B077A" w:rsidRPr="006710E4">
        <w:rPr>
          <w:rStyle w:val="CommentReference"/>
        </w:rPr>
        <w:fldChar w:fldCharType="begin"/>
      </w:r>
      <w:r w:rsidR="002B077A" w:rsidRPr="006710E4">
        <w:rPr>
          <w:rStyle w:val="CommentReference"/>
        </w:rPr>
        <w:instrText xml:space="preserve"> SEQ Figure \* ARABIC </w:instrText>
      </w:r>
      <w:r w:rsidR="002B077A" w:rsidRPr="006710E4">
        <w:rPr>
          <w:rStyle w:val="CommentReference"/>
        </w:rPr>
        <w:fldChar w:fldCharType="separate"/>
      </w:r>
      <w:r w:rsidR="004975AD">
        <w:rPr>
          <w:rStyle w:val="CommentReference"/>
          <w:noProof/>
        </w:rPr>
        <w:t>3</w:t>
      </w:r>
      <w:r w:rsidR="002B077A" w:rsidRPr="006710E4">
        <w:rPr>
          <w:rStyle w:val="CommentReference"/>
        </w:rPr>
        <w:fldChar w:fldCharType="end"/>
      </w:r>
      <w:bookmarkEnd w:id="23"/>
      <w:r w:rsidRPr="006710E4">
        <w:rPr>
          <w:rStyle w:val="CommentReference"/>
        </w:rPr>
        <w:t xml:space="preserve">: Kaplan-Meier progression-free survival curves from GARNET Cohort A1 and </w:t>
      </w:r>
      <w:r w:rsidRPr="006710E4">
        <w:rPr>
          <w:rStyle w:val="CommentReference"/>
        </w:rPr>
        <w:lastRenderedPageBreak/>
        <w:t>comparator trials</w:t>
      </w:r>
    </w:p>
    <w:p w14:paraId="005E5647" w14:textId="5040C5F7" w:rsidR="00CC6260" w:rsidRPr="006710E4" w:rsidRDefault="00CC6260" w:rsidP="00DE7638">
      <w:pPr>
        <w:keepNext/>
        <w:widowControl/>
      </w:pPr>
      <w:r w:rsidRPr="006710E4">
        <w:rPr>
          <w:noProof/>
          <w:lang w:eastAsia="en-AU"/>
        </w:rPr>
        <w:drawing>
          <wp:inline distT="0" distB="0" distL="0" distR="0" wp14:anchorId="048C6653" wp14:editId="3C6DBA60">
            <wp:extent cx="5698050" cy="3267075"/>
            <wp:effectExtent l="0" t="0" r="0" b="0"/>
            <wp:docPr id="29" name="Picture 29" descr="Figure 3: Kaplan-Meier progression-free survival curves from GARNET Cohort A1 and comparator tri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Figure 3: Kaplan-Meier progression-free survival curves from GARNET Cohort A1 and comparator trial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43179" cy="3292950"/>
                    </a:xfrm>
                    <a:prstGeom prst="rect">
                      <a:avLst/>
                    </a:prstGeom>
                    <a:noFill/>
                  </pic:spPr>
                </pic:pic>
              </a:graphicData>
            </a:graphic>
          </wp:inline>
        </w:drawing>
      </w:r>
    </w:p>
    <w:p w14:paraId="64BD9446" w14:textId="77777777" w:rsidR="00CC6260" w:rsidRPr="006710E4" w:rsidRDefault="00CC6260" w:rsidP="00DE7638">
      <w:pPr>
        <w:pStyle w:val="TableFooter"/>
        <w:keepNext/>
      </w:pPr>
      <w:r w:rsidRPr="006710E4">
        <w:t>Source: Figure 27, p123 of the submission.</w:t>
      </w:r>
    </w:p>
    <w:p w14:paraId="57EE1B6B" w14:textId="77777777" w:rsidR="00CC6260" w:rsidRPr="006710E4" w:rsidRDefault="00CC6260" w:rsidP="00DE7638">
      <w:pPr>
        <w:pStyle w:val="TableFooter"/>
        <w:keepNext/>
      </w:pPr>
      <w:proofErr w:type="spellStart"/>
      <w:r w:rsidRPr="006710E4">
        <w:t>dMMR</w:t>
      </w:r>
      <w:proofErr w:type="spellEnd"/>
      <w:r w:rsidRPr="006710E4">
        <w:t xml:space="preserve"> = mismatch repair deficient; ITT = intention-to-treat.</w:t>
      </w:r>
    </w:p>
    <w:p w14:paraId="48909AB2" w14:textId="77777777" w:rsidR="009D4533" w:rsidRDefault="00CC6260" w:rsidP="00DE7638">
      <w:pPr>
        <w:pStyle w:val="TableFooter"/>
        <w:keepNext/>
        <w:rPr>
          <w:rFonts w:ascii="Calibri" w:hAnsi="Calibri"/>
          <w:sz w:val="24"/>
        </w:rPr>
      </w:pPr>
      <w:r w:rsidRPr="006710E4">
        <w:t xml:space="preserve">Note: PFS curves were generated via the digitising of KM curves reported. PFS KM curves were not available for IXAMPLE2, </w:t>
      </w:r>
      <w:proofErr w:type="spellStart"/>
      <w:r w:rsidRPr="006710E4">
        <w:t>Scambia</w:t>
      </w:r>
      <w:proofErr w:type="spellEnd"/>
      <w:r w:rsidRPr="006710E4">
        <w:t xml:space="preserve"> (2020) or the UK RWE.</w:t>
      </w:r>
      <w:r w:rsidR="009D4533" w:rsidRPr="009D4533">
        <w:rPr>
          <w:rFonts w:ascii="Calibri" w:hAnsi="Calibri"/>
          <w:sz w:val="24"/>
        </w:rPr>
        <w:t xml:space="preserve"> </w:t>
      </w:r>
    </w:p>
    <w:p w14:paraId="649EB77A" w14:textId="7561EB66" w:rsidR="00CC6260" w:rsidRPr="006710E4" w:rsidRDefault="009D4533" w:rsidP="00DE7638">
      <w:pPr>
        <w:pStyle w:val="TableFooter"/>
        <w:keepNext/>
      </w:pPr>
      <w:r w:rsidRPr="009D4533">
        <w:t>Note that the Kaplan-Meier plots depicted in Figure 3 are presented specifically for the purposes of informing the PBAC consideration. Their interpretation and application should therefore be limited to seeking to understand the basis for the PBAC outcome and should not be used for any other purpose.</w:t>
      </w:r>
    </w:p>
    <w:p w14:paraId="5FF78173" w14:textId="07365CCE" w:rsidR="00CC6260" w:rsidRPr="006710E4" w:rsidRDefault="00CC6260" w:rsidP="00CC6260">
      <w:pPr>
        <w:widowControl/>
      </w:pPr>
    </w:p>
    <w:p w14:paraId="6FAF937C" w14:textId="05E2C4B3" w:rsidR="00CC6260" w:rsidRPr="006710E4" w:rsidRDefault="00CC6260" w:rsidP="001D67F7">
      <w:pPr>
        <w:keepNext/>
        <w:rPr>
          <w:rStyle w:val="CommentReference"/>
        </w:rPr>
      </w:pPr>
      <w:bookmarkStart w:id="24" w:name="_Ref92009953"/>
      <w:r w:rsidRPr="006710E4">
        <w:rPr>
          <w:rStyle w:val="CommentReference"/>
        </w:rPr>
        <w:lastRenderedPageBreak/>
        <w:t xml:space="preserve">Table </w:t>
      </w:r>
      <w:r w:rsidR="002B077A" w:rsidRPr="006710E4">
        <w:rPr>
          <w:rStyle w:val="CommentReference"/>
        </w:rPr>
        <w:fldChar w:fldCharType="begin"/>
      </w:r>
      <w:r w:rsidR="002B077A" w:rsidRPr="006710E4">
        <w:rPr>
          <w:rStyle w:val="CommentReference"/>
        </w:rPr>
        <w:instrText xml:space="preserve"> SEQ Table \* ARABIC </w:instrText>
      </w:r>
      <w:r w:rsidR="002B077A" w:rsidRPr="006710E4">
        <w:rPr>
          <w:rStyle w:val="CommentReference"/>
        </w:rPr>
        <w:fldChar w:fldCharType="separate"/>
      </w:r>
      <w:r w:rsidR="004975AD">
        <w:rPr>
          <w:rStyle w:val="CommentReference"/>
          <w:noProof/>
        </w:rPr>
        <w:t>6</w:t>
      </w:r>
      <w:r w:rsidR="002B077A" w:rsidRPr="006710E4">
        <w:rPr>
          <w:rStyle w:val="CommentReference"/>
        </w:rPr>
        <w:fldChar w:fldCharType="end"/>
      </w:r>
      <w:bookmarkEnd w:id="24"/>
      <w:r w:rsidRPr="006710E4">
        <w:rPr>
          <w:rStyle w:val="CommentReference"/>
        </w:rPr>
        <w:t>:</w:t>
      </w:r>
      <w:r w:rsidR="00E43581" w:rsidRPr="006710E4">
        <w:rPr>
          <w:rStyle w:val="CommentReference"/>
        </w:rPr>
        <w:t xml:space="preserve"> </w:t>
      </w:r>
      <w:r w:rsidRPr="006710E4">
        <w:rPr>
          <w:rStyle w:val="CommentReference"/>
        </w:rPr>
        <w:t xml:space="preserve">Summary of PFS events in the relevant arms of included trials and studies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5"/>
        <w:gridCol w:w="1892"/>
        <w:gridCol w:w="701"/>
        <w:gridCol w:w="1045"/>
        <w:gridCol w:w="1164"/>
        <w:gridCol w:w="1600"/>
      </w:tblGrid>
      <w:tr w:rsidR="00CC6260" w:rsidRPr="006710E4" w14:paraId="6B9B436A" w14:textId="77777777" w:rsidTr="009F5B71">
        <w:trPr>
          <w:trHeight w:val="20"/>
        </w:trPr>
        <w:tc>
          <w:tcPr>
            <w:tcW w:w="2615" w:type="dxa"/>
            <w:vAlign w:val="center"/>
          </w:tcPr>
          <w:p w14:paraId="3DB9EF49" w14:textId="77777777" w:rsidR="00CC6260" w:rsidRPr="006710E4" w:rsidRDefault="00CC6260" w:rsidP="001D67F7">
            <w:pPr>
              <w:keepNext/>
              <w:rPr>
                <w:rFonts w:ascii="Arial Narrow" w:hAnsi="Arial Narrow" w:cs="Calibri"/>
                <w:b/>
                <w:bCs/>
                <w:color w:val="000000"/>
                <w:sz w:val="20"/>
                <w:szCs w:val="20"/>
                <w:lang w:eastAsia="en-AU"/>
              </w:rPr>
            </w:pPr>
            <w:r w:rsidRPr="006710E4">
              <w:rPr>
                <w:rFonts w:ascii="Arial Narrow" w:hAnsi="Arial Narrow" w:cs="Calibri"/>
                <w:b/>
                <w:bCs/>
                <w:color w:val="000000"/>
                <w:sz w:val="20"/>
                <w:szCs w:val="20"/>
                <w:lang w:eastAsia="en-AU"/>
              </w:rPr>
              <w:t>Trial</w:t>
            </w:r>
          </w:p>
        </w:tc>
        <w:tc>
          <w:tcPr>
            <w:tcW w:w="1892" w:type="dxa"/>
            <w:shd w:val="clear" w:color="auto" w:fill="auto"/>
            <w:noWrap/>
            <w:vAlign w:val="center"/>
            <w:hideMark/>
          </w:tcPr>
          <w:p w14:paraId="211DAB73" w14:textId="77777777" w:rsidR="00CC6260" w:rsidRPr="006710E4" w:rsidRDefault="00CC6260" w:rsidP="001D67F7">
            <w:pPr>
              <w:keepNext/>
              <w:jc w:val="center"/>
              <w:rPr>
                <w:rFonts w:ascii="Arial Narrow" w:hAnsi="Arial Narrow" w:cs="Calibri"/>
                <w:b/>
                <w:bCs/>
                <w:color w:val="000000"/>
                <w:sz w:val="20"/>
                <w:szCs w:val="20"/>
                <w:lang w:eastAsia="en-AU"/>
              </w:rPr>
            </w:pPr>
            <w:r w:rsidRPr="006710E4">
              <w:rPr>
                <w:rFonts w:ascii="Arial Narrow" w:hAnsi="Arial Narrow" w:cs="Calibri"/>
                <w:b/>
                <w:bCs/>
                <w:color w:val="000000"/>
                <w:sz w:val="20"/>
                <w:szCs w:val="20"/>
                <w:lang w:eastAsia="en-AU"/>
              </w:rPr>
              <w:t>Analysis set</w:t>
            </w:r>
          </w:p>
        </w:tc>
        <w:tc>
          <w:tcPr>
            <w:tcW w:w="701" w:type="dxa"/>
            <w:shd w:val="clear" w:color="auto" w:fill="auto"/>
            <w:noWrap/>
            <w:vAlign w:val="center"/>
            <w:hideMark/>
          </w:tcPr>
          <w:p w14:paraId="0A470BC9" w14:textId="77777777" w:rsidR="00CC6260" w:rsidRPr="006710E4" w:rsidRDefault="00CC6260" w:rsidP="001D67F7">
            <w:pPr>
              <w:keepNext/>
              <w:jc w:val="center"/>
              <w:rPr>
                <w:rFonts w:ascii="Arial Narrow" w:hAnsi="Arial Narrow" w:cs="Calibri"/>
                <w:b/>
                <w:bCs/>
                <w:color w:val="000000"/>
                <w:sz w:val="20"/>
                <w:szCs w:val="20"/>
                <w:lang w:eastAsia="en-AU"/>
              </w:rPr>
            </w:pPr>
            <w:r w:rsidRPr="006710E4">
              <w:rPr>
                <w:rFonts w:ascii="Arial Narrow" w:hAnsi="Arial Narrow" w:cs="Calibri"/>
                <w:b/>
                <w:bCs/>
                <w:color w:val="000000"/>
                <w:sz w:val="20"/>
                <w:szCs w:val="20"/>
                <w:lang w:eastAsia="en-AU"/>
              </w:rPr>
              <w:t>N</w:t>
            </w:r>
          </w:p>
        </w:tc>
        <w:tc>
          <w:tcPr>
            <w:tcW w:w="1045" w:type="dxa"/>
            <w:shd w:val="clear" w:color="auto" w:fill="auto"/>
            <w:noWrap/>
            <w:vAlign w:val="center"/>
            <w:hideMark/>
          </w:tcPr>
          <w:p w14:paraId="629BC98D" w14:textId="77777777" w:rsidR="00CC6260" w:rsidRPr="006710E4" w:rsidRDefault="00CC6260" w:rsidP="001D67F7">
            <w:pPr>
              <w:keepNext/>
              <w:jc w:val="center"/>
              <w:rPr>
                <w:rFonts w:ascii="Arial Narrow" w:hAnsi="Arial Narrow" w:cs="Calibri"/>
                <w:b/>
                <w:bCs/>
                <w:color w:val="000000"/>
                <w:sz w:val="20"/>
                <w:szCs w:val="20"/>
                <w:lang w:eastAsia="en-AU"/>
              </w:rPr>
            </w:pPr>
            <w:r w:rsidRPr="006710E4">
              <w:rPr>
                <w:rFonts w:ascii="Arial Narrow" w:hAnsi="Arial Narrow" w:cs="Calibri"/>
                <w:b/>
                <w:bCs/>
                <w:color w:val="000000"/>
                <w:sz w:val="20"/>
                <w:szCs w:val="20"/>
                <w:lang w:eastAsia="en-AU"/>
              </w:rPr>
              <w:t>Events,</w:t>
            </w:r>
          </w:p>
          <w:p w14:paraId="0D901485" w14:textId="77777777" w:rsidR="00CC6260" w:rsidRPr="006710E4" w:rsidRDefault="00CC6260" w:rsidP="001D67F7">
            <w:pPr>
              <w:keepNext/>
              <w:jc w:val="center"/>
              <w:rPr>
                <w:rFonts w:ascii="Arial Narrow" w:hAnsi="Arial Narrow" w:cs="Calibri"/>
                <w:b/>
                <w:bCs/>
                <w:color w:val="000000"/>
                <w:sz w:val="20"/>
                <w:szCs w:val="20"/>
                <w:lang w:eastAsia="en-AU"/>
              </w:rPr>
            </w:pPr>
            <w:r w:rsidRPr="006710E4">
              <w:rPr>
                <w:rFonts w:ascii="Arial Narrow" w:hAnsi="Arial Narrow" w:cs="Calibri"/>
                <w:b/>
                <w:bCs/>
                <w:color w:val="000000"/>
                <w:sz w:val="20"/>
                <w:szCs w:val="20"/>
                <w:lang w:eastAsia="en-AU"/>
              </w:rPr>
              <w:t>n (%)</w:t>
            </w:r>
          </w:p>
        </w:tc>
        <w:tc>
          <w:tcPr>
            <w:tcW w:w="1164" w:type="dxa"/>
            <w:shd w:val="clear" w:color="auto" w:fill="auto"/>
            <w:noWrap/>
            <w:vAlign w:val="center"/>
            <w:hideMark/>
          </w:tcPr>
          <w:p w14:paraId="6B6FF42D" w14:textId="77777777" w:rsidR="00CC6260" w:rsidRPr="006710E4" w:rsidRDefault="00CC6260" w:rsidP="001D67F7">
            <w:pPr>
              <w:keepNext/>
              <w:jc w:val="center"/>
              <w:rPr>
                <w:rFonts w:ascii="Arial Narrow" w:hAnsi="Arial Narrow" w:cs="Calibri"/>
                <w:b/>
                <w:bCs/>
                <w:color w:val="000000"/>
                <w:sz w:val="20"/>
                <w:szCs w:val="20"/>
                <w:lang w:eastAsia="en-AU"/>
              </w:rPr>
            </w:pPr>
            <w:r w:rsidRPr="006710E4">
              <w:rPr>
                <w:rFonts w:ascii="Arial Narrow" w:hAnsi="Arial Narrow" w:cs="Calibri"/>
                <w:b/>
                <w:bCs/>
                <w:color w:val="000000"/>
                <w:sz w:val="20"/>
                <w:szCs w:val="20"/>
                <w:lang w:eastAsia="en-AU"/>
              </w:rPr>
              <w:t>Censored, n (%)</w:t>
            </w:r>
          </w:p>
        </w:tc>
        <w:tc>
          <w:tcPr>
            <w:tcW w:w="1600" w:type="dxa"/>
            <w:shd w:val="clear" w:color="auto" w:fill="auto"/>
            <w:noWrap/>
            <w:vAlign w:val="center"/>
            <w:hideMark/>
          </w:tcPr>
          <w:p w14:paraId="40F75596" w14:textId="77777777" w:rsidR="00CC6260" w:rsidRPr="006710E4" w:rsidRDefault="00CC6260" w:rsidP="001D67F7">
            <w:pPr>
              <w:keepNext/>
              <w:jc w:val="center"/>
              <w:rPr>
                <w:rFonts w:ascii="Arial Narrow" w:hAnsi="Arial Narrow" w:cs="Calibri"/>
                <w:b/>
                <w:bCs/>
                <w:color w:val="000000"/>
                <w:sz w:val="20"/>
                <w:szCs w:val="20"/>
                <w:lang w:eastAsia="en-AU"/>
              </w:rPr>
            </w:pPr>
            <w:r w:rsidRPr="006710E4">
              <w:rPr>
                <w:rFonts w:ascii="Arial Narrow" w:hAnsi="Arial Narrow" w:cs="Calibri"/>
                <w:b/>
                <w:bCs/>
                <w:color w:val="000000"/>
                <w:sz w:val="20"/>
                <w:szCs w:val="20"/>
                <w:lang w:eastAsia="en-AU"/>
              </w:rPr>
              <w:t>Median, months (95%CI)</w:t>
            </w:r>
          </w:p>
        </w:tc>
      </w:tr>
      <w:tr w:rsidR="00CC6260" w:rsidRPr="006710E4" w14:paraId="5831F135" w14:textId="77777777" w:rsidTr="009F5B71">
        <w:trPr>
          <w:trHeight w:val="20"/>
        </w:trPr>
        <w:tc>
          <w:tcPr>
            <w:tcW w:w="9017" w:type="dxa"/>
            <w:gridSpan w:val="6"/>
            <w:vAlign w:val="center"/>
          </w:tcPr>
          <w:p w14:paraId="3E76373D" w14:textId="77777777" w:rsidR="00CC6260" w:rsidRPr="006710E4" w:rsidRDefault="00CC6260" w:rsidP="001D67F7">
            <w:pPr>
              <w:keepNext/>
              <w:rPr>
                <w:rFonts w:ascii="Arial Narrow" w:hAnsi="Arial Narrow" w:cs="Calibri"/>
                <w:color w:val="000000"/>
                <w:sz w:val="20"/>
                <w:szCs w:val="20"/>
                <w:lang w:eastAsia="en-AU"/>
              </w:rPr>
            </w:pPr>
            <w:proofErr w:type="spellStart"/>
            <w:r w:rsidRPr="006710E4">
              <w:rPr>
                <w:rFonts w:ascii="Arial Narrow" w:hAnsi="Arial Narrow" w:cs="Calibri"/>
                <w:color w:val="000000"/>
                <w:sz w:val="20"/>
                <w:szCs w:val="20"/>
                <w:lang w:eastAsia="en-AU"/>
              </w:rPr>
              <w:t>Dostarlimab</w:t>
            </w:r>
            <w:proofErr w:type="spellEnd"/>
          </w:p>
        </w:tc>
      </w:tr>
      <w:tr w:rsidR="00CC6260" w:rsidRPr="006710E4" w14:paraId="71C8C44B" w14:textId="77777777" w:rsidTr="009F5B71">
        <w:trPr>
          <w:trHeight w:val="20"/>
        </w:trPr>
        <w:tc>
          <w:tcPr>
            <w:tcW w:w="2615" w:type="dxa"/>
            <w:vMerge w:val="restart"/>
            <w:vAlign w:val="center"/>
          </w:tcPr>
          <w:p w14:paraId="0EFF5420" w14:textId="77777777" w:rsidR="00CC6260" w:rsidRPr="006710E4" w:rsidRDefault="00CC6260" w:rsidP="001D67F7">
            <w:pPr>
              <w:keepNext/>
              <w:rPr>
                <w:rFonts w:ascii="Arial Narrow" w:hAnsi="Arial Narrow" w:cs="Calibri"/>
                <w:color w:val="000000"/>
                <w:sz w:val="20"/>
                <w:szCs w:val="20"/>
                <w:lang w:eastAsia="en-AU"/>
              </w:rPr>
            </w:pPr>
            <w:r w:rsidRPr="006710E4">
              <w:rPr>
                <w:rFonts w:ascii="Arial Narrow" w:hAnsi="Arial Narrow" w:cs="Calibri"/>
                <w:color w:val="000000"/>
                <w:sz w:val="20"/>
                <w:szCs w:val="20"/>
                <w:lang w:eastAsia="en-AU"/>
              </w:rPr>
              <w:t>GARNET Cohort A1</w:t>
            </w:r>
          </w:p>
        </w:tc>
        <w:tc>
          <w:tcPr>
            <w:tcW w:w="1892" w:type="dxa"/>
            <w:shd w:val="clear" w:color="auto" w:fill="auto"/>
            <w:noWrap/>
            <w:vAlign w:val="center"/>
            <w:hideMark/>
          </w:tcPr>
          <w:p w14:paraId="744B093E" w14:textId="0F742FB4" w:rsidR="00CC6260" w:rsidRPr="006710E4" w:rsidRDefault="00CC6260" w:rsidP="001D67F7">
            <w:pPr>
              <w:keepNext/>
              <w:jc w:val="center"/>
              <w:rPr>
                <w:rFonts w:ascii="Arial Narrow" w:hAnsi="Arial Narrow" w:cs="Calibri"/>
                <w:color w:val="000000"/>
                <w:sz w:val="20"/>
                <w:szCs w:val="20"/>
                <w:lang w:eastAsia="en-AU"/>
              </w:rPr>
            </w:pPr>
            <w:r w:rsidRPr="006710E4">
              <w:rPr>
                <w:rFonts w:ascii="Arial Narrow" w:hAnsi="Arial Narrow" w:cs="Calibri"/>
                <w:color w:val="000000"/>
                <w:sz w:val="20"/>
                <w:szCs w:val="20"/>
                <w:lang w:eastAsia="en-AU"/>
              </w:rPr>
              <w:t xml:space="preserve">ITT </w:t>
            </w:r>
            <w:proofErr w:type="spellStart"/>
            <w:proofErr w:type="gramStart"/>
            <w:r w:rsidRPr="006710E4">
              <w:rPr>
                <w:rFonts w:ascii="Arial Narrow" w:hAnsi="Arial Narrow" w:cs="Calibri"/>
                <w:color w:val="000000"/>
                <w:sz w:val="20"/>
                <w:szCs w:val="20"/>
                <w:vertAlign w:val="superscript"/>
                <w:lang w:eastAsia="en-AU"/>
              </w:rPr>
              <w:t>a</w:t>
            </w:r>
            <w:r w:rsidR="009D4533">
              <w:rPr>
                <w:rFonts w:ascii="Arial Narrow" w:hAnsi="Arial Narrow" w:cs="Calibri"/>
                <w:color w:val="000000"/>
                <w:sz w:val="20"/>
                <w:szCs w:val="20"/>
                <w:vertAlign w:val="superscript"/>
                <w:lang w:eastAsia="en-AU"/>
              </w:rPr>
              <w:t>,b</w:t>
            </w:r>
            <w:proofErr w:type="spellEnd"/>
            <w:proofErr w:type="gramEnd"/>
          </w:p>
        </w:tc>
        <w:tc>
          <w:tcPr>
            <w:tcW w:w="701" w:type="dxa"/>
            <w:shd w:val="clear" w:color="auto" w:fill="auto"/>
            <w:noWrap/>
            <w:vAlign w:val="center"/>
            <w:hideMark/>
          </w:tcPr>
          <w:p w14:paraId="7DAE8382" w14:textId="77777777" w:rsidR="00CC6260" w:rsidRPr="006710E4" w:rsidRDefault="00CC6260" w:rsidP="001D67F7">
            <w:pPr>
              <w:keepNext/>
              <w:jc w:val="center"/>
              <w:rPr>
                <w:rFonts w:ascii="Arial Narrow" w:hAnsi="Arial Narrow" w:cs="Calibri"/>
                <w:color w:val="000000"/>
                <w:sz w:val="20"/>
                <w:szCs w:val="20"/>
                <w:lang w:eastAsia="en-AU"/>
              </w:rPr>
            </w:pPr>
            <w:r w:rsidRPr="006710E4">
              <w:rPr>
                <w:rFonts w:ascii="Arial Narrow" w:hAnsi="Arial Narrow" w:cs="Calibri"/>
                <w:color w:val="000000"/>
                <w:sz w:val="20"/>
                <w:szCs w:val="20"/>
                <w:lang w:eastAsia="en-AU"/>
              </w:rPr>
              <w:t>129</w:t>
            </w:r>
          </w:p>
        </w:tc>
        <w:tc>
          <w:tcPr>
            <w:tcW w:w="1045" w:type="dxa"/>
            <w:shd w:val="clear" w:color="auto" w:fill="auto"/>
            <w:noWrap/>
            <w:vAlign w:val="center"/>
            <w:hideMark/>
          </w:tcPr>
          <w:p w14:paraId="2AF81953" w14:textId="77777777" w:rsidR="00CC6260" w:rsidRPr="006710E4" w:rsidRDefault="00CC6260" w:rsidP="001D67F7">
            <w:pPr>
              <w:keepNext/>
              <w:jc w:val="center"/>
              <w:rPr>
                <w:rFonts w:ascii="Arial Narrow" w:hAnsi="Arial Narrow" w:cs="Calibri"/>
                <w:sz w:val="20"/>
                <w:szCs w:val="20"/>
                <w:lang w:eastAsia="en-AU"/>
              </w:rPr>
            </w:pPr>
            <w:r w:rsidRPr="006710E4">
              <w:rPr>
                <w:rFonts w:ascii="Arial Narrow" w:hAnsi="Arial Narrow" w:cs="Calibri"/>
                <w:sz w:val="20"/>
                <w:szCs w:val="20"/>
                <w:lang w:eastAsia="en-AU"/>
              </w:rPr>
              <w:t>60 (46.5)</w:t>
            </w:r>
          </w:p>
        </w:tc>
        <w:tc>
          <w:tcPr>
            <w:tcW w:w="1164" w:type="dxa"/>
            <w:shd w:val="clear" w:color="auto" w:fill="auto"/>
            <w:noWrap/>
            <w:vAlign w:val="center"/>
            <w:hideMark/>
          </w:tcPr>
          <w:p w14:paraId="0AF04BD0" w14:textId="77777777" w:rsidR="00CC6260" w:rsidRPr="006710E4" w:rsidRDefault="00CC6260" w:rsidP="001D67F7">
            <w:pPr>
              <w:keepNext/>
              <w:jc w:val="center"/>
              <w:rPr>
                <w:rFonts w:ascii="Arial Narrow" w:hAnsi="Arial Narrow" w:cs="Calibri"/>
                <w:sz w:val="20"/>
                <w:szCs w:val="20"/>
                <w:lang w:eastAsia="en-AU"/>
              </w:rPr>
            </w:pPr>
            <w:r w:rsidRPr="006710E4">
              <w:rPr>
                <w:rFonts w:ascii="Arial Narrow" w:hAnsi="Arial Narrow" w:cs="Calibri"/>
                <w:sz w:val="20"/>
                <w:szCs w:val="20"/>
                <w:lang w:eastAsia="en-AU"/>
              </w:rPr>
              <w:t>69 (53.5)</w:t>
            </w:r>
          </w:p>
        </w:tc>
        <w:tc>
          <w:tcPr>
            <w:tcW w:w="1600" w:type="dxa"/>
            <w:shd w:val="clear" w:color="auto" w:fill="auto"/>
            <w:noWrap/>
            <w:vAlign w:val="center"/>
            <w:hideMark/>
          </w:tcPr>
          <w:p w14:paraId="3F99290E" w14:textId="77777777" w:rsidR="00CC6260" w:rsidRPr="006710E4" w:rsidRDefault="00CC6260" w:rsidP="001D67F7">
            <w:pPr>
              <w:keepNext/>
              <w:jc w:val="center"/>
              <w:rPr>
                <w:rFonts w:ascii="Arial Narrow" w:hAnsi="Arial Narrow" w:cs="Calibri"/>
                <w:sz w:val="20"/>
                <w:szCs w:val="20"/>
                <w:lang w:eastAsia="en-AU"/>
              </w:rPr>
            </w:pPr>
            <w:r w:rsidRPr="006710E4">
              <w:rPr>
                <w:rFonts w:ascii="Arial Narrow" w:hAnsi="Arial Narrow" w:cs="Calibri"/>
                <w:sz w:val="20"/>
                <w:szCs w:val="20"/>
                <w:lang w:eastAsia="en-AU"/>
              </w:rPr>
              <w:t>5.6 (3.3, 18.0)</w:t>
            </w:r>
          </w:p>
        </w:tc>
      </w:tr>
      <w:tr w:rsidR="00CC6260" w:rsidRPr="006710E4" w14:paraId="43810CFF" w14:textId="77777777" w:rsidTr="009F5B71">
        <w:trPr>
          <w:trHeight w:val="20"/>
        </w:trPr>
        <w:tc>
          <w:tcPr>
            <w:tcW w:w="2615" w:type="dxa"/>
            <w:vMerge/>
            <w:vAlign w:val="center"/>
          </w:tcPr>
          <w:p w14:paraId="3E1F52A7" w14:textId="77777777" w:rsidR="00CC6260" w:rsidRPr="006710E4" w:rsidRDefault="00CC6260" w:rsidP="001D67F7">
            <w:pPr>
              <w:keepNext/>
              <w:rPr>
                <w:rFonts w:ascii="Arial Narrow" w:hAnsi="Arial Narrow" w:cs="Calibri"/>
                <w:color w:val="000000"/>
                <w:sz w:val="20"/>
                <w:szCs w:val="20"/>
                <w:lang w:eastAsia="en-AU"/>
              </w:rPr>
            </w:pPr>
          </w:p>
        </w:tc>
        <w:tc>
          <w:tcPr>
            <w:tcW w:w="1892" w:type="dxa"/>
            <w:shd w:val="clear" w:color="auto" w:fill="auto"/>
            <w:noWrap/>
            <w:vAlign w:val="center"/>
            <w:hideMark/>
          </w:tcPr>
          <w:p w14:paraId="52B2AF9A" w14:textId="77777777" w:rsidR="00CC6260" w:rsidRPr="006710E4" w:rsidRDefault="00CC6260" w:rsidP="001D67F7">
            <w:pPr>
              <w:keepNext/>
              <w:jc w:val="center"/>
              <w:rPr>
                <w:rFonts w:ascii="Arial Narrow" w:hAnsi="Arial Narrow" w:cs="Calibri"/>
                <w:color w:val="000000"/>
                <w:sz w:val="20"/>
                <w:szCs w:val="20"/>
                <w:lang w:eastAsia="en-AU"/>
              </w:rPr>
            </w:pPr>
            <w:r w:rsidRPr="006710E4">
              <w:rPr>
                <w:rFonts w:ascii="Arial Narrow" w:hAnsi="Arial Narrow" w:cs="Calibri"/>
                <w:color w:val="000000"/>
                <w:sz w:val="20"/>
                <w:szCs w:val="20"/>
                <w:lang w:eastAsia="en-AU"/>
              </w:rPr>
              <w:t>PES</w:t>
            </w:r>
          </w:p>
        </w:tc>
        <w:tc>
          <w:tcPr>
            <w:tcW w:w="701" w:type="dxa"/>
            <w:shd w:val="clear" w:color="auto" w:fill="auto"/>
            <w:noWrap/>
            <w:vAlign w:val="center"/>
            <w:hideMark/>
          </w:tcPr>
          <w:p w14:paraId="2C07861B" w14:textId="77777777" w:rsidR="00CC6260" w:rsidRPr="006710E4" w:rsidRDefault="00CC6260" w:rsidP="001D67F7">
            <w:pPr>
              <w:keepNext/>
              <w:jc w:val="center"/>
              <w:rPr>
                <w:rFonts w:ascii="Arial Narrow" w:hAnsi="Arial Narrow" w:cs="Calibri"/>
                <w:color w:val="000000"/>
                <w:sz w:val="20"/>
                <w:szCs w:val="20"/>
                <w:lang w:eastAsia="en-AU"/>
              </w:rPr>
            </w:pPr>
            <w:r w:rsidRPr="006710E4">
              <w:rPr>
                <w:rFonts w:ascii="Arial Narrow" w:hAnsi="Arial Narrow" w:cs="Calibri"/>
                <w:color w:val="000000"/>
                <w:sz w:val="20"/>
                <w:szCs w:val="20"/>
                <w:lang w:eastAsia="en-AU"/>
              </w:rPr>
              <w:t>105</w:t>
            </w:r>
          </w:p>
        </w:tc>
        <w:tc>
          <w:tcPr>
            <w:tcW w:w="1045" w:type="dxa"/>
            <w:shd w:val="clear" w:color="auto" w:fill="auto"/>
            <w:noWrap/>
            <w:vAlign w:val="center"/>
            <w:hideMark/>
          </w:tcPr>
          <w:p w14:paraId="37B08783" w14:textId="77777777" w:rsidR="00CC6260" w:rsidRPr="006710E4" w:rsidRDefault="00CC6260" w:rsidP="001D67F7">
            <w:pPr>
              <w:keepNext/>
              <w:jc w:val="center"/>
              <w:rPr>
                <w:rFonts w:ascii="Arial Narrow" w:hAnsi="Arial Narrow" w:cs="Calibri"/>
                <w:color w:val="000000"/>
                <w:sz w:val="20"/>
                <w:szCs w:val="20"/>
                <w:lang w:eastAsia="en-AU"/>
              </w:rPr>
            </w:pPr>
            <w:r w:rsidRPr="006710E4">
              <w:rPr>
                <w:rFonts w:ascii="Arial Narrow" w:hAnsi="Arial Narrow" w:cs="Calibri"/>
                <w:color w:val="000000"/>
                <w:sz w:val="20"/>
                <w:szCs w:val="20"/>
                <w:lang w:eastAsia="en-AU"/>
              </w:rPr>
              <w:t>57 (54.3)</w:t>
            </w:r>
          </w:p>
        </w:tc>
        <w:tc>
          <w:tcPr>
            <w:tcW w:w="1164" w:type="dxa"/>
            <w:shd w:val="clear" w:color="auto" w:fill="auto"/>
            <w:noWrap/>
            <w:vAlign w:val="center"/>
            <w:hideMark/>
          </w:tcPr>
          <w:p w14:paraId="0A4B6DEE" w14:textId="77777777" w:rsidR="00CC6260" w:rsidRPr="006710E4" w:rsidRDefault="00CC6260" w:rsidP="001D67F7">
            <w:pPr>
              <w:keepNext/>
              <w:jc w:val="center"/>
              <w:rPr>
                <w:rFonts w:ascii="Arial Narrow" w:hAnsi="Arial Narrow" w:cs="Calibri"/>
                <w:color w:val="000000"/>
                <w:sz w:val="20"/>
                <w:szCs w:val="20"/>
                <w:lang w:eastAsia="en-AU"/>
              </w:rPr>
            </w:pPr>
            <w:r w:rsidRPr="006710E4">
              <w:rPr>
                <w:rFonts w:ascii="Arial Narrow" w:hAnsi="Arial Narrow" w:cs="Calibri"/>
                <w:color w:val="000000"/>
                <w:sz w:val="20"/>
                <w:szCs w:val="20"/>
                <w:lang w:eastAsia="en-AU"/>
              </w:rPr>
              <w:t>48 (45.7)</w:t>
            </w:r>
          </w:p>
        </w:tc>
        <w:tc>
          <w:tcPr>
            <w:tcW w:w="1600" w:type="dxa"/>
            <w:shd w:val="clear" w:color="auto" w:fill="auto"/>
            <w:noWrap/>
            <w:vAlign w:val="center"/>
            <w:hideMark/>
          </w:tcPr>
          <w:p w14:paraId="0AC505ED" w14:textId="77777777" w:rsidR="00CC6260" w:rsidRPr="006710E4" w:rsidRDefault="00CC6260" w:rsidP="001D67F7">
            <w:pPr>
              <w:keepNext/>
              <w:jc w:val="center"/>
              <w:rPr>
                <w:rFonts w:ascii="Arial Narrow" w:hAnsi="Arial Narrow" w:cs="Calibri"/>
                <w:color w:val="000000"/>
                <w:sz w:val="20"/>
                <w:szCs w:val="20"/>
                <w:lang w:eastAsia="en-AU"/>
              </w:rPr>
            </w:pPr>
            <w:r w:rsidRPr="006710E4">
              <w:rPr>
                <w:rFonts w:ascii="Arial Narrow" w:hAnsi="Arial Narrow" w:cs="Calibri"/>
                <w:color w:val="000000"/>
                <w:sz w:val="20"/>
                <w:szCs w:val="20"/>
                <w:lang w:eastAsia="en-AU"/>
              </w:rPr>
              <w:t>5.5 (3.2, NR)</w:t>
            </w:r>
          </w:p>
        </w:tc>
      </w:tr>
      <w:tr w:rsidR="00CC6260" w:rsidRPr="006710E4" w14:paraId="564818ED" w14:textId="77777777" w:rsidTr="009F5B71">
        <w:trPr>
          <w:trHeight w:val="20"/>
        </w:trPr>
        <w:tc>
          <w:tcPr>
            <w:tcW w:w="2615" w:type="dxa"/>
            <w:vMerge/>
            <w:vAlign w:val="center"/>
          </w:tcPr>
          <w:p w14:paraId="48DC5972" w14:textId="77777777" w:rsidR="00CC6260" w:rsidRPr="006710E4" w:rsidRDefault="00CC6260" w:rsidP="001D67F7">
            <w:pPr>
              <w:keepNext/>
              <w:rPr>
                <w:rFonts w:ascii="Arial Narrow" w:hAnsi="Arial Narrow" w:cs="Calibri"/>
                <w:color w:val="000000"/>
                <w:sz w:val="20"/>
                <w:szCs w:val="20"/>
                <w:lang w:eastAsia="en-AU"/>
              </w:rPr>
            </w:pPr>
          </w:p>
        </w:tc>
        <w:tc>
          <w:tcPr>
            <w:tcW w:w="1892" w:type="dxa"/>
            <w:shd w:val="clear" w:color="auto" w:fill="auto"/>
            <w:noWrap/>
            <w:vAlign w:val="center"/>
            <w:hideMark/>
          </w:tcPr>
          <w:p w14:paraId="486036D7" w14:textId="392009D4" w:rsidR="00CC6260" w:rsidRPr="009D4533" w:rsidRDefault="00CC6260" w:rsidP="001D67F7">
            <w:pPr>
              <w:keepNext/>
              <w:jc w:val="center"/>
              <w:rPr>
                <w:rFonts w:ascii="Arial Narrow" w:hAnsi="Arial Narrow" w:cs="Calibri"/>
                <w:color w:val="000000"/>
                <w:sz w:val="20"/>
                <w:szCs w:val="20"/>
                <w:vertAlign w:val="superscript"/>
                <w:lang w:eastAsia="en-AU"/>
              </w:rPr>
            </w:pPr>
            <w:r w:rsidRPr="006710E4">
              <w:rPr>
                <w:rFonts w:ascii="Arial Narrow" w:hAnsi="Arial Narrow" w:cs="Calibri"/>
                <w:color w:val="000000"/>
                <w:sz w:val="20"/>
                <w:szCs w:val="20"/>
                <w:lang w:eastAsia="en-AU"/>
              </w:rPr>
              <w:t>MAS</w:t>
            </w:r>
            <w:r w:rsidR="009D4533">
              <w:rPr>
                <w:rFonts w:ascii="Arial Narrow" w:hAnsi="Arial Narrow" w:cs="Calibri"/>
                <w:color w:val="000000"/>
                <w:sz w:val="20"/>
                <w:szCs w:val="20"/>
                <w:lang w:eastAsia="en-AU"/>
              </w:rPr>
              <w:t xml:space="preserve"> </w:t>
            </w:r>
            <w:r w:rsidR="009D4533">
              <w:rPr>
                <w:rFonts w:ascii="Arial Narrow" w:hAnsi="Arial Narrow" w:cs="Calibri"/>
                <w:color w:val="000000"/>
                <w:sz w:val="20"/>
                <w:szCs w:val="20"/>
                <w:vertAlign w:val="superscript"/>
                <w:lang w:eastAsia="en-AU"/>
              </w:rPr>
              <w:t>c</w:t>
            </w:r>
          </w:p>
        </w:tc>
        <w:tc>
          <w:tcPr>
            <w:tcW w:w="701" w:type="dxa"/>
            <w:shd w:val="clear" w:color="auto" w:fill="auto"/>
            <w:noWrap/>
            <w:vAlign w:val="center"/>
            <w:hideMark/>
          </w:tcPr>
          <w:p w14:paraId="2E24BA70" w14:textId="77777777" w:rsidR="00CC6260" w:rsidRPr="006710E4" w:rsidRDefault="00CC6260" w:rsidP="001D67F7">
            <w:pPr>
              <w:keepNext/>
              <w:jc w:val="center"/>
              <w:rPr>
                <w:rFonts w:ascii="Arial Narrow" w:hAnsi="Arial Narrow" w:cs="Calibri"/>
                <w:iCs/>
                <w:color w:val="000000"/>
                <w:sz w:val="20"/>
                <w:szCs w:val="20"/>
                <w:lang w:eastAsia="en-AU"/>
              </w:rPr>
            </w:pPr>
            <w:r w:rsidRPr="006710E4">
              <w:rPr>
                <w:rFonts w:ascii="Arial Narrow" w:hAnsi="Arial Narrow" w:cs="Calibri"/>
                <w:iCs/>
                <w:color w:val="000000"/>
                <w:sz w:val="20"/>
                <w:szCs w:val="20"/>
                <w:lang w:eastAsia="en-AU"/>
              </w:rPr>
              <w:t>92</w:t>
            </w:r>
          </w:p>
        </w:tc>
        <w:tc>
          <w:tcPr>
            <w:tcW w:w="1045" w:type="dxa"/>
            <w:shd w:val="clear" w:color="auto" w:fill="auto"/>
            <w:noWrap/>
            <w:vAlign w:val="center"/>
            <w:hideMark/>
          </w:tcPr>
          <w:p w14:paraId="5211167B" w14:textId="77777777" w:rsidR="00CC6260" w:rsidRPr="006710E4" w:rsidRDefault="00CC6260" w:rsidP="001D67F7">
            <w:pPr>
              <w:keepNext/>
              <w:jc w:val="center"/>
              <w:rPr>
                <w:rFonts w:ascii="Arial Narrow" w:hAnsi="Arial Narrow" w:cs="Calibri"/>
                <w:iCs/>
                <w:color w:val="000000"/>
                <w:sz w:val="20"/>
                <w:szCs w:val="20"/>
                <w:lang w:eastAsia="en-AU"/>
              </w:rPr>
            </w:pPr>
            <w:r w:rsidRPr="006710E4">
              <w:rPr>
                <w:rFonts w:ascii="Arial Narrow" w:hAnsi="Arial Narrow" w:cs="Calibri"/>
                <w:iCs/>
                <w:color w:val="000000"/>
                <w:sz w:val="20"/>
                <w:szCs w:val="20"/>
                <w:lang w:eastAsia="en-AU"/>
              </w:rPr>
              <w:t>49 (53.3)</w:t>
            </w:r>
          </w:p>
        </w:tc>
        <w:tc>
          <w:tcPr>
            <w:tcW w:w="1164" w:type="dxa"/>
            <w:shd w:val="clear" w:color="auto" w:fill="auto"/>
            <w:noWrap/>
            <w:vAlign w:val="center"/>
            <w:hideMark/>
          </w:tcPr>
          <w:p w14:paraId="74984492" w14:textId="77777777" w:rsidR="00CC6260" w:rsidRPr="006710E4" w:rsidRDefault="00CC6260" w:rsidP="001D67F7">
            <w:pPr>
              <w:keepNext/>
              <w:jc w:val="center"/>
              <w:rPr>
                <w:rFonts w:ascii="Arial Narrow" w:hAnsi="Arial Narrow" w:cs="Calibri"/>
                <w:iCs/>
                <w:color w:val="000000"/>
                <w:sz w:val="20"/>
                <w:szCs w:val="20"/>
                <w:lang w:eastAsia="en-AU"/>
              </w:rPr>
            </w:pPr>
            <w:r w:rsidRPr="006710E4">
              <w:rPr>
                <w:rFonts w:ascii="Arial Narrow" w:hAnsi="Arial Narrow" w:cs="Calibri"/>
                <w:iCs/>
                <w:color w:val="000000"/>
                <w:sz w:val="20"/>
                <w:szCs w:val="20"/>
                <w:lang w:eastAsia="en-AU"/>
              </w:rPr>
              <w:t>43 (46.7)</w:t>
            </w:r>
          </w:p>
        </w:tc>
        <w:tc>
          <w:tcPr>
            <w:tcW w:w="1600" w:type="dxa"/>
            <w:shd w:val="clear" w:color="auto" w:fill="auto"/>
            <w:noWrap/>
            <w:vAlign w:val="center"/>
            <w:hideMark/>
          </w:tcPr>
          <w:p w14:paraId="108B97B8" w14:textId="77777777" w:rsidR="00CC6260" w:rsidRPr="006710E4" w:rsidRDefault="00CC6260" w:rsidP="001D67F7">
            <w:pPr>
              <w:keepNext/>
              <w:jc w:val="center"/>
              <w:rPr>
                <w:rFonts w:ascii="Arial Narrow" w:hAnsi="Arial Narrow" w:cs="Calibri"/>
                <w:iCs/>
                <w:color w:val="000000"/>
                <w:sz w:val="20"/>
                <w:szCs w:val="20"/>
                <w:lang w:eastAsia="en-AU"/>
              </w:rPr>
            </w:pPr>
            <w:r w:rsidRPr="006710E4">
              <w:rPr>
                <w:rFonts w:ascii="Arial Narrow" w:hAnsi="Arial Narrow" w:cs="Calibri"/>
                <w:iCs/>
                <w:color w:val="000000"/>
                <w:sz w:val="20"/>
                <w:szCs w:val="20"/>
                <w:lang w:eastAsia="en-AU"/>
              </w:rPr>
              <w:t>8.1 (3.2. NR)</w:t>
            </w:r>
          </w:p>
        </w:tc>
      </w:tr>
      <w:tr w:rsidR="009F5B71" w:rsidRPr="00C61DA7" w14:paraId="4D82D870" w14:textId="77777777" w:rsidTr="009F5B71">
        <w:trPr>
          <w:trHeight w:val="20"/>
        </w:trPr>
        <w:tc>
          <w:tcPr>
            <w:tcW w:w="2615" w:type="dxa"/>
            <w:vAlign w:val="center"/>
          </w:tcPr>
          <w:p w14:paraId="49B983F7" w14:textId="77777777" w:rsidR="009F5B71" w:rsidRPr="00C61DA7" w:rsidRDefault="009F5B71" w:rsidP="009F5B71">
            <w:pPr>
              <w:keepNext/>
              <w:keepLines/>
              <w:rPr>
                <w:rFonts w:ascii="Arial Narrow" w:hAnsi="Arial Narrow" w:cs="Calibri"/>
                <w:iCs/>
                <w:sz w:val="20"/>
                <w:szCs w:val="20"/>
                <w:lang w:eastAsia="en-AU"/>
              </w:rPr>
            </w:pPr>
            <w:r w:rsidRPr="00C61DA7">
              <w:rPr>
                <w:rFonts w:ascii="Arial Narrow" w:hAnsi="Arial Narrow" w:cs="Calibri"/>
                <w:iCs/>
                <w:sz w:val="20"/>
                <w:szCs w:val="20"/>
                <w:lang w:eastAsia="en-AU"/>
              </w:rPr>
              <w:t>GARNET Cohort A1</w:t>
            </w:r>
          </w:p>
          <w:p w14:paraId="4639816B" w14:textId="4D61CE21" w:rsidR="009F5B71" w:rsidRPr="00C61DA7" w:rsidRDefault="009F5B71" w:rsidP="009F5B71">
            <w:pPr>
              <w:keepNext/>
              <w:rPr>
                <w:rFonts w:ascii="Arial Narrow" w:hAnsi="Arial Narrow" w:cs="Calibri"/>
                <w:iCs/>
                <w:color w:val="000000"/>
                <w:sz w:val="20"/>
                <w:szCs w:val="20"/>
                <w:lang w:eastAsia="en-AU"/>
              </w:rPr>
            </w:pPr>
            <w:r w:rsidRPr="00C61DA7">
              <w:rPr>
                <w:rFonts w:ascii="Arial Narrow" w:hAnsi="Arial Narrow" w:cs="Calibri"/>
                <w:iCs/>
                <w:sz w:val="20"/>
                <w:szCs w:val="20"/>
                <w:lang w:eastAsia="en-AU"/>
              </w:rPr>
              <w:t xml:space="preserve">IA-3 </w:t>
            </w:r>
            <w:r w:rsidR="002D5868" w:rsidRPr="00C61DA7">
              <w:rPr>
                <w:rFonts w:ascii="Arial Narrow" w:hAnsi="Arial Narrow" w:cs="Calibri"/>
                <w:iCs/>
                <w:sz w:val="20"/>
                <w:szCs w:val="20"/>
                <w:lang w:eastAsia="en-AU"/>
              </w:rPr>
              <w:t>data cut</w:t>
            </w:r>
            <w:r w:rsidRPr="00C61DA7">
              <w:rPr>
                <w:rFonts w:ascii="Arial Narrow" w:hAnsi="Arial Narrow" w:cs="Calibri"/>
                <w:iCs/>
                <w:sz w:val="20"/>
                <w:szCs w:val="20"/>
                <w:lang w:eastAsia="en-AU"/>
              </w:rPr>
              <w:t xml:space="preserve"> </w:t>
            </w:r>
          </w:p>
        </w:tc>
        <w:tc>
          <w:tcPr>
            <w:tcW w:w="1892" w:type="dxa"/>
            <w:shd w:val="clear" w:color="auto" w:fill="auto"/>
            <w:noWrap/>
            <w:vAlign w:val="center"/>
          </w:tcPr>
          <w:p w14:paraId="2726C15C" w14:textId="6BAE20E4" w:rsidR="009F5B71" w:rsidRPr="00C61DA7" w:rsidRDefault="00C61DA7" w:rsidP="009F5B71">
            <w:pPr>
              <w:keepNext/>
              <w:jc w:val="center"/>
              <w:rPr>
                <w:rFonts w:ascii="Arial Narrow" w:hAnsi="Arial Narrow" w:cs="Calibri"/>
                <w:iCs/>
                <w:color w:val="000000"/>
                <w:sz w:val="20"/>
                <w:szCs w:val="20"/>
                <w:lang w:eastAsia="en-AU"/>
              </w:rPr>
            </w:pPr>
            <w:r>
              <w:rPr>
                <w:rFonts w:ascii="Arial Narrow" w:hAnsi="Arial Narrow" w:cs="Calibri"/>
                <w:iCs/>
                <w:sz w:val="20"/>
                <w:szCs w:val="20"/>
                <w:lang w:eastAsia="en-AU"/>
              </w:rPr>
              <w:t>PES</w:t>
            </w:r>
          </w:p>
        </w:tc>
        <w:tc>
          <w:tcPr>
            <w:tcW w:w="701" w:type="dxa"/>
            <w:shd w:val="clear" w:color="auto" w:fill="auto"/>
            <w:noWrap/>
            <w:vAlign w:val="center"/>
          </w:tcPr>
          <w:p w14:paraId="14D4B7F2" w14:textId="1230BC0C" w:rsidR="009F5B71" w:rsidRPr="00C61DA7" w:rsidRDefault="009F5B71" w:rsidP="009F5B71">
            <w:pPr>
              <w:keepNext/>
              <w:jc w:val="center"/>
              <w:rPr>
                <w:rFonts w:ascii="Arial Narrow" w:hAnsi="Arial Narrow" w:cs="Calibri"/>
                <w:iCs/>
                <w:color w:val="000000"/>
                <w:sz w:val="20"/>
                <w:szCs w:val="20"/>
                <w:lang w:eastAsia="en-AU"/>
              </w:rPr>
            </w:pPr>
            <w:r w:rsidRPr="00C61DA7">
              <w:rPr>
                <w:rFonts w:ascii="Arial Narrow" w:hAnsi="Arial Narrow" w:cs="Calibri"/>
                <w:iCs/>
                <w:sz w:val="20"/>
                <w:szCs w:val="20"/>
                <w:lang w:eastAsia="en-AU"/>
              </w:rPr>
              <w:t>1</w:t>
            </w:r>
            <w:r w:rsidR="00434F23" w:rsidRPr="00C61DA7">
              <w:rPr>
                <w:rFonts w:ascii="Arial Narrow" w:hAnsi="Arial Narrow" w:cs="Calibri"/>
                <w:iCs/>
                <w:sz w:val="20"/>
                <w:szCs w:val="20"/>
                <w:lang w:eastAsia="en-AU"/>
              </w:rPr>
              <w:t>4</w:t>
            </w:r>
            <w:r w:rsidRPr="00C61DA7">
              <w:rPr>
                <w:rFonts w:ascii="Arial Narrow" w:hAnsi="Arial Narrow" w:cs="Calibri"/>
                <w:iCs/>
                <w:sz w:val="20"/>
                <w:szCs w:val="20"/>
                <w:lang w:eastAsia="en-AU"/>
              </w:rPr>
              <w:t>3</w:t>
            </w:r>
          </w:p>
        </w:tc>
        <w:tc>
          <w:tcPr>
            <w:tcW w:w="1045" w:type="dxa"/>
            <w:shd w:val="clear" w:color="auto" w:fill="auto"/>
            <w:noWrap/>
            <w:vAlign w:val="center"/>
          </w:tcPr>
          <w:p w14:paraId="3FA18A5E" w14:textId="54391FA1" w:rsidR="009F5B71" w:rsidRPr="00C61DA7" w:rsidRDefault="009F5B71" w:rsidP="009F5B71">
            <w:pPr>
              <w:keepNext/>
              <w:jc w:val="center"/>
              <w:rPr>
                <w:rFonts w:ascii="Arial Narrow" w:hAnsi="Arial Narrow" w:cs="Calibri"/>
                <w:iCs/>
                <w:color w:val="000000"/>
                <w:sz w:val="20"/>
                <w:szCs w:val="20"/>
                <w:lang w:eastAsia="en-AU"/>
              </w:rPr>
            </w:pPr>
            <w:r w:rsidRPr="00C61DA7">
              <w:rPr>
                <w:rFonts w:ascii="Arial Narrow" w:hAnsi="Arial Narrow" w:cs="Calibri"/>
                <w:iCs/>
                <w:color w:val="000000"/>
                <w:sz w:val="20"/>
                <w:szCs w:val="20"/>
                <w:lang w:eastAsia="en-AU"/>
              </w:rPr>
              <w:t>83 (58.0)</w:t>
            </w:r>
          </w:p>
        </w:tc>
        <w:tc>
          <w:tcPr>
            <w:tcW w:w="1164" w:type="dxa"/>
            <w:shd w:val="clear" w:color="auto" w:fill="auto"/>
            <w:noWrap/>
            <w:vAlign w:val="center"/>
          </w:tcPr>
          <w:p w14:paraId="33460E9E" w14:textId="16841660" w:rsidR="009F5B71" w:rsidRPr="00C61DA7" w:rsidRDefault="0040615B" w:rsidP="009F5B71">
            <w:pPr>
              <w:keepNext/>
              <w:jc w:val="center"/>
              <w:rPr>
                <w:rFonts w:ascii="Arial Narrow" w:hAnsi="Arial Narrow" w:cs="Calibri"/>
                <w:iCs/>
                <w:color w:val="000000"/>
                <w:sz w:val="20"/>
                <w:szCs w:val="20"/>
                <w:lang w:eastAsia="en-AU"/>
              </w:rPr>
            </w:pPr>
            <w:r>
              <w:rPr>
                <w:rFonts w:ascii="Arial Narrow" w:hAnsi="Arial Narrow" w:cs="Calibri"/>
                <w:iCs/>
                <w:color w:val="000000"/>
                <w:sz w:val="20"/>
                <w:szCs w:val="20"/>
                <w:lang w:eastAsia="en-AU"/>
              </w:rPr>
              <w:t>60 (42.0)</w:t>
            </w:r>
          </w:p>
        </w:tc>
        <w:tc>
          <w:tcPr>
            <w:tcW w:w="1600" w:type="dxa"/>
            <w:shd w:val="clear" w:color="auto" w:fill="auto"/>
            <w:noWrap/>
            <w:vAlign w:val="center"/>
          </w:tcPr>
          <w:p w14:paraId="21AB8E67" w14:textId="5CD95FE8" w:rsidR="009F5B71" w:rsidRPr="00C61DA7" w:rsidRDefault="009F5B71" w:rsidP="009F5B71">
            <w:pPr>
              <w:keepNext/>
              <w:jc w:val="center"/>
              <w:rPr>
                <w:rFonts w:ascii="Arial Narrow" w:hAnsi="Arial Narrow" w:cs="Calibri"/>
                <w:iCs/>
                <w:color w:val="000000"/>
                <w:sz w:val="20"/>
                <w:szCs w:val="20"/>
                <w:lang w:eastAsia="en-AU"/>
              </w:rPr>
            </w:pPr>
            <w:r w:rsidRPr="00C61DA7">
              <w:rPr>
                <w:rFonts w:ascii="Arial Narrow" w:hAnsi="Arial Narrow" w:cs="Calibri"/>
                <w:iCs/>
                <w:color w:val="000000"/>
                <w:sz w:val="20"/>
                <w:szCs w:val="20"/>
                <w:lang w:eastAsia="en-AU"/>
              </w:rPr>
              <w:t>6.0 (4.1, 18.0)</w:t>
            </w:r>
          </w:p>
        </w:tc>
      </w:tr>
      <w:tr w:rsidR="00CC6260" w:rsidRPr="006710E4" w14:paraId="24478FBF" w14:textId="77777777" w:rsidTr="009F5B71">
        <w:trPr>
          <w:trHeight w:val="20"/>
        </w:trPr>
        <w:tc>
          <w:tcPr>
            <w:tcW w:w="2615" w:type="dxa"/>
            <w:vMerge w:val="restart"/>
            <w:vAlign w:val="center"/>
          </w:tcPr>
          <w:p w14:paraId="26F126F2" w14:textId="77777777" w:rsidR="00CC6260" w:rsidRPr="006710E4" w:rsidRDefault="00CC6260" w:rsidP="001D67F7">
            <w:pPr>
              <w:keepNext/>
              <w:rPr>
                <w:rFonts w:ascii="Arial Narrow" w:hAnsi="Arial Narrow" w:cs="Calibri"/>
                <w:color w:val="000000"/>
                <w:sz w:val="20"/>
                <w:szCs w:val="20"/>
                <w:lang w:eastAsia="en-AU"/>
              </w:rPr>
            </w:pPr>
            <w:r w:rsidRPr="006710E4">
              <w:rPr>
                <w:rFonts w:ascii="Arial Narrow" w:hAnsi="Arial Narrow" w:cs="Calibri"/>
                <w:color w:val="000000"/>
                <w:sz w:val="20"/>
                <w:szCs w:val="20"/>
                <w:lang w:eastAsia="en-AU"/>
              </w:rPr>
              <w:t>GARNET Cohort A2</w:t>
            </w:r>
          </w:p>
        </w:tc>
        <w:tc>
          <w:tcPr>
            <w:tcW w:w="1892" w:type="dxa"/>
            <w:shd w:val="clear" w:color="auto" w:fill="auto"/>
            <w:noWrap/>
            <w:vAlign w:val="center"/>
            <w:hideMark/>
          </w:tcPr>
          <w:p w14:paraId="0C6FEC81" w14:textId="4E0E237C" w:rsidR="00CC6260" w:rsidRPr="006710E4" w:rsidRDefault="00CC6260" w:rsidP="001D67F7">
            <w:pPr>
              <w:keepNext/>
              <w:jc w:val="center"/>
              <w:rPr>
                <w:rFonts w:ascii="Arial Narrow" w:hAnsi="Arial Narrow" w:cs="Calibri"/>
                <w:color w:val="000000"/>
                <w:sz w:val="20"/>
                <w:szCs w:val="20"/>
                <w:lang w:eastAsia="en-AU"/>
              </w:rPr>
            </w:pPr>
            <w:r w:rsidRPr="006710E4">
              <w:rPr>
                <w:rFonts w:ascii="Arial Narrow" w:hAnsi="Arial Narrow" w:cs="Calibri"/>
                <w:color w:val="000000"/>
                <w:sz w:val="20"/>
                <w:szCs w:val="20"/>
                <w:lang w:eastAsia="en-AU"/>
              </w:rPr>
              <w:t xml:space="preserve">ITT </w:t>
            </w:r>
            <w:proofErr w:type="spellStart"/>
            <w:proofErr w:type="gramStart"/>
            <w:r w:rsidRPr="006710E4">
              <w:rPr>
                <w:rFonts w:ascii="Arial Narrow" w:hAnsi="Arial Narrow" w:cs="Calibri"/>
                <w:color w:val="000000"/>
                <w:sz w:val="20"/>
                <w:szCs w:val="20"/>
                <w:vertAlign w:val="superscript"/>
                <w:lang w:eastAsia="en-AU"/>
              </w:rPr>
              <w:t>a</w:t>
            </w:r>
            <w:r w:rsidR="009D4533">
              <w:rPr>
                <w:rFonts w:ascii="Arial Narrow" w:hAnsi="Arial Narrow" w:cs="Calibri"/>
                <w:color w:val="000000"/>
                <w:sz w:val="20"/>
                <w:szCs w:val="20"/>
                <w:vertAlign w:val="superscript"/>
                <w:lang w:eastAsia="en-AU"/>
              </w:rPr>
              <w:t>,b</w:t>
            </w:r>
            <w:proofErr w:type="spellEnd"/>
            <w:proofErr w:type="gramEnd"/>
          </w:p>
        </w:tc>
        <w:tc>
          <w:tcPr>
            <w:tcW w:w="701" w:type="dxa"/>
            <w:shd w:val="clear" w:color="auto" w:fill="auto"/>
            <w:noWrap/>
            <w:vAlign w:val="center"/>
            <w:hideMark/>
          </w:tcPr>
          <w:p w14:paraId="3CD0DB7E" w14:textId="77777777" w:rsidR="00CC6260" w:rsidRPr="006710E4" w:rsidRDefault="00CC6260" w:rsidP="001D67F7">
            <w:pPr>
              <w:keepNext/>
              <w:jc w:val="center"/>
              <w:rPr>
                <w:rFonts w:ascii="Arial Narrow" w:hAnsi="Arial Narrow" w:cs="Calibri"/>
                <w:sz w:val="20"/>
                <w:szCs w:val="20"/>
                <w:lang w:eastAsia="en-AU"/>
              </w:rPr>
            </w:pPr>
            <w:r w:rsidRPr="006710E4">
              <w:rPr>
                <w:rFonts w:ascii="Arial Narrow" w:hAnsi="Arial Narrow" w:cs="Calibri"/>
                <w:sz w:val="20"/>
                <w:szCs w:val="20"/>
                <w:lang w:eastAsia="en-AU"/>
              </w:rPr>
              <w:t>161</w:t>
            </w:r>
          </w:p>
        </w:tc>
        <w:tc>
          <w:tcPr>
            <w:tcW w:w="1045" w:type="dxa"/>
            <w:shd w:val="clear" w:color="auto" w:fill="auto"/>
            <w:noWrap/>
            <w:vAlign w:val="center"/>
          </w:tcPr>
          <w:p w14:paraId="33814751" w14:textId="77777777" w:rsidR="00CC6260" w:rsidRPr="006710E4" w:rsidRDefault="00CC6260" w:rsidP="001D67F7">
            <w:pPr>
              <w:keepNext/>
              <w:jc w:val="center"/>
              <w:rPr>
                <w:rFonts w:ascii="Arial Narrow" w:hAnsi="Arial Narrow" w:cs="Calibri"/>
                <w:iCs/>
                <w:sz w:val="20"/>
                <w:szCs w:val="20"/>
                <w:lang w:eastAsia="en-AU"/>
              </w:rPr>
            </w:pPr>
            <w:r w:rsidRPr="006710E4">
              <w:rPr>
                <w:rFonts w:ascii="Arial Narrow" w:hAnsi="Arial Narrow" w:cs="Calibri"/>
                <w:iCs/>
                <w:sz w:val="20"/>
                <w:szCs w:val="20"/>
                <w:lang w:eastAsia="en-AU"/>
              </w:rPr>
              <w:t>N/R</w:t>
            </w:r>
          </w:p>
        </w:tc>
        <w:tc>
          <w:tcPr>
            <w:tcW w:w="1164" w:type="dxa"/>
            <w:shd w:val="clear" w:color="auto" w:fill="auto"/>
            <w:noWrap/>
            <w:vAlign w:val="center"/>
          </w:tcPr>
          <w:p w14:paraId="0199C067" w14:textId="77777777" w:rsidR="00CC6260" w:rsidRPr="006710E4" w:rsidRDefault="00CC6260" w:rsidP="001D67F7">
            <w:pPr>
              <w:keepNext/>
              <w:jc w:val="center"/>
              <w:rPr>
                <w:rFonts w:ascii="Arial Narrow" w:hAnsi="Arial Narrow" w:cs="Calibri"/>
                <w:iCs/>
                <w:sz w:val="20"/>
                <w:szCs w:val="20"/>
                <w:lang w:eastAsia="en-AU"/>
              </w:rPr>
            </w:pPr>
            <w:r w:rsidRPr="006710E4">
              <w:rPr>
                <w:rFonts w:ascii="Arial Narrow" w:hAnsi="Arial Narrow" w:cs="Calibri"/>
                <w:iCs/>
                <w:sz w:val="20"/>
                <w:szCs w:val="20"/>
                <w:lang w:eastAsia="en-AU"/>
              </w:rPr>
              <w:t>N/R</w:t>
            </w:r>
          </w:p>
        </w:tc>
        <w:tc>
          <w:tcPr>
            <w:tcW w:w="1600" w:type="dxa"/>
            <w:shd w:val="clear" w:color="auto" w:fill="auto"/>
            <w:noWrap/>
            <w:vAlign w:val="center"/>
          </w:tcPr>
          <w:p w14:paraId="0276D7F5" w14:textId="77777777" w:rsidR="00CC6260" w:rsidRPr="006710E4" w:rsidRDefault="00CC6260" w:rsidP="001D67F7">
            <w:pPr>
              <w:keepNext/>
              <w:jc w:val="center"/>
              <w:rPr>
                <w:rFonts w:ascii="Arial Narrow" w:hAnsi="Arial Narrow" w:cs="Calibri"/>
                <w:iCs/>
                <w:sz w:val="20"/>
                <w:szCs w:val="20"/>
                <w:lang w:eastAsia="en-AU"/>
              </w:rPr>
            </w:pPr>
            <w:r w:rsidRPr="006710E4">
              <w:rPr>
                <w:rFonts w:ascii="Arial Narrow" w:hAnsi="Arial Narrow" w:cs="Calibri"/>
                <w:iCs/>
                <w:sz w:val="20"/>
                <w:szCs w:val="20"/>
                <w:lang w:eastAsia="en-AU"/>
              </w:rPr>
              <w:t>N/R</w:t>
            </w:r>
          </w:p>
        </w:tc>
      </w:tr>
      <w:tr w:rsidR="00CC6260" w:rsidRPr="006710E4" w14:paraId="7F821E14" w14:textId="77777777" w:rsidTr="009F5B71">
        <w:trPr>
          <w:trHeight w:val="20"/>
        </w:trPr>
        <w:tc>
          <w:tcPr>
            <w:tcW w:w="2615" w:type="dxa"/>
            <w:vMerge/>
            <w:vAlign w:val="center"/>
          </w:tcPr>
          <w:p w14:paraId="68626B23" w14:textId="77777777" w:rsidR="00CC6260" w:rsidRPr="006710E4" w:rsidRDefault="00CC6260" w:rsidP="001D67F7">
            <w:pPr>
              <w:keepNext/>
              <w:rPr>
                <w:rFonts w:ascii="Arial Narrow" w:hAnsi="Arial Narrow" w:cs="Calibri"/>
                <w:color w:val="000000"/>
                <w:sz w:val="20"/>
                <w:szCs w:val="20"/>
                <w:lang w:eastAsia="en-AU"/>
              </w:rPr>
            </w:pPr>
          </w:p>
        </w:tc>
        <w:tc>
          <w:tcPr>
            <w:tcW w:w="1892" w:type="dxa"/>
            <w:shd w:val="clear" w:color="auto" w:fill="auto"/>
            <w:noWrap/>
            <w:vAlign w:val="center"/>
            <w:hideMark/>
          </w:tcPr>
          <w:p w14:paraId="22B4F99E" w14:textId="77777777" w:rsidR="00CC6260" w:rsidRPr="006710E4" w:rsidRDefault="00CC6260" w:rsidP="001D67F7">
            <w:pPr>
              <w:keepNext/>
              <w:jc w:val="center"/>
              <w:rPr>
                <w:rFonts w:ascii="Arial Narrow" w:hAnsi="Arial Narrow" w:cs="Calibri"/>
                <w:color w:val="000000"/>
                <w:sz w:val="20"/>
                <w:szCs w:val="20"/>
                <w:lang w:eastAsia="en-AU"/>
              </w:rPr>
            </w:pPr>
            <w:r w:rsidRPr="006710E4">
              <w:rPr>
                <w:rFonts w:ascii="Arial Narrow" w:hAnsi="Arial Narrow" w:cs="Calibri"/>
                <w:color w:val="000000"/>
                <w:sz w:val="20"/>
                <w:szCs w:val="20"/>
                <w:lang w:eastAsia="en-AU"/>
              </w:rPr>
              <w:t>PES</w:t>
            </w:r>
          </w:p>
        </w:tc>
        <w:tc>
          <w:tcPr>
            <w:tcW w:w="701" w:type="dxa"/>
            <w:shd w:val="clear" w:color="auto" w:fill="auto"/>
            <w:noWrap/>
            <w:vAlign w:val="center"/>
            <w:hideMark/>
          </w:tcPr>
          <w:p w14:paraId="13D8E0BE" w14:textId="77777777" w:rsidR="00CC6260" w:rsidRPr="006710E4" w:rsidRDefault="00CC6260" w:rsidP="001D67F7">
            <w:pPr>
              <w:keepNext/>
              <w:jc w:val="center"/>
              <w:rPr>
                <w:rFonts w:ascii="Arial Narrow" w:hAnsi="Arial Narrow" w:cs="Calibri"/>
                <w:iCs/>
                <w:color w:val="000000"/>
                <w:sz w:val="20"/>
                <w:szCs w:val="20"/>
                <w:lang w:eastAsia="en-AU"/>
              </w:rPr>
            </w:pPr>
            <w:r w:rsidRPr="006710E4">
              <w:rPr>
                <w:rFonts w:ascii="Arial Narrow" w:hAnsi="Arial Narrow" w:cs="Calibri"/>
                <w:iCs/>
                <w:color w:val="000000"/>
                <w:sz w:val="20"/>
                <w:szCs w:val="20"/>
                <w:lang w:eastAsia="en-AU"/>
              </w:rPr>
              <w:t>156</w:t>
            </w:r>
          </w:p>
        </w:tc>
        <w:tc>
          <w:tcPr>
            <w:tcW w:w="1045" w:type="dxa"/>
            <w:shd w:val="clear" w:color="auto" w:fill="auto"/>
            <w:noWrap/>
            <w:vAlign w:val="center"/>
            <w:hideMark/>
          </w:tcPr>
          <w:p w14:paraId="0232914C" w14:textId="77777777" w:rsidR="00CC6260" w:rsidRPr="006710E4" w:rsidRDefault="00CC6260" w:rsidP="001D67F7">
            <w:pPr>
              <w:keepNext/>
              <w:jc w:val="center"/>
              <w:rPr>
                <w:rFonts w:ascii="Arial Narrow" w:hAnsi="Arial Narrow" w:cs="Calibri"/>
                <w:iCs/>
                <w:color w:val="000000"/>
                <w:sz w:val="20"/>
                <w:szCs w:val="20"/>
                <w:lang w:eastAsia="en-AU"/>
              </w:rPr>
            </w:pPr>
            <w:r w:rsidRPr="006710E4">
              <w:rPr>
                <w:rFonts w:ascii="Arial Narrow" w:hAnsi="Arial Narrow" w:cs="Calibri"/>
                <w:iCs/>
                <w:color w:val="000000"/>
                <w:sz w:val="20"/>
                <w:szCs w:val="20"/>
                <w:lang w:eastAsia="en-AU"/>
              </w:rPr>
              <w:t>128 (82.1)</w:t>
            </w:r>
          </w:p>
        </w:tc>
        <w:tc>
          <w:tcPr>
            <w:tcW w:w="1164" w:type="dxa"/>
            <w:shd w:val="clear" w:color="auto" w:fill="auto"/>
            <w:noWrap/>
            <w:vAlign w:val="center"/>
            <w:hideMark/>
          </w:tcPr>
          <w:p w14:paraId="68FCD3E5" w14:textId="77777777" w:rsidR="00CC6260" w:rsidRPr="006710E4" w:rsidRDefault="00CC6260" w:rsidP="001D67F7">
            <w:pPr>
              <w:keepNext/>
              <w:jc w:val="center"/>
              <w:rPr>
                <w:rFonts w:ascii="Arial Narrow" w:hAnsi="Arial Narrow" w:cs="Calibri"/>
                <w:iCs/>
                <w:color w:val="000000"/>
                <w:sz w:val="20"/>
                <w:szCs w:val="20"/>
                <w:lang w:eastAsia="en-AU"/>
              </w:rPr>
            </w:pPr>
            <w:r w:rsidRPr="006710E4">
              <w:rPr>
                <w:rFonts w:ascii="Arial Narrow" w:hAnsi="Arial Narrow" w:cs="Calibri"/>
                <w:iCs/>
                <w:color w:val="000000"/>
                <w:sz w:val="20"/>
                <w:szCs w:val="20"/>
                <w:lang w:eastAsia="en-AU"/>
              </w:rPr>
              <w:t>28 (17.9)</w:t>
            </w:r>
          </w:p>
        </w:tc>
        <w:tc>
          <w:tcPr>
            <w:tcW w:w="1600" w:type="dxa"/>
            <w:shd w:val="clear" w:color="auto" w:fill="auto"/>
            <w:noWrap/>
            <w:vAlign w:val="center"/>
            <w:hideMark/>
          </w:tcPr>
          <w:p w14:paraId="4659D661" w14:textId="77777777" w:rsidR="00CC6260" w:rsidRPr="006710E4" w:rsidRDefault="00CC6260" w:rsidP="001D67F7">
            <w:pPr>
              <w:keepNext/>
              <w:jc w:val="center"/>
              <w:rPr>
                <w:rFonts w:ascii="Arial Narrow" w:hAnsi="Arial Narrow" w:cs="Calibri"/>
                <w:iCs/>
                <w:color w:val="000000"/>
                <w:sz w:val="20"/>
                <w:szCs w:val="20"/>
                <w:lang w:eastAsia="en-AU"/>
              </w:rPr>
            </w:pPr>
            <w:r w:rsidRPr="006710E4">
              <w:rPr>
                <w:rFonts w:ascii="Arial Narrow" w:hAnsi="Arial Narrow" w:cs="Calibri"/>
                <w:iCs/>
                <w:color w:val="000000"/>
                <w:sz w:val="20"/>
                <w:szCs w:val="20"/>
                <w:lang w:eastAsia="en-AU"/>
              </w:rPr>
              <w:t>2.7 (2.6, 2.8)</w:t>
            </w:r>
          </w:p>
        </w:tc>
      </w:tr>
      <w:tr w:rsidR="00CC6260" w:rsidRPr="006710E4" w14:paraId="0C2B90F0" w14:textId="77777777" w:rsidTr="009F5B71">
        <w:trPr>
          <w:trHeight w:val="20"/>
        </w:trPr>
        <w:tc>
          <w:tcPr>
            <w:tcW w:w="2615" w:type="dxa"/>
            <w:vMerge w:val="restart"/>
            <w:vAlign w:val="center"/>
          </w:tcPr>
          <w:p w14:paraId="3DC8D31C" w14:textId="77777777" w:rsidR="00CC6260" w:rsidRPr="006710E4" w:rsidRDefault="00CC6260" w:rsidP="001D67F7">
            <w:pPr>
              <w:keepNext/>
              <w:rPr>
                <w:rFonts w:ascii="Arial Narrow" w:hAnsi="Arial Narrow" w:cs="Calibri"/>
                <w:color w:val="000000"/>
                <w:sz w:val="20"/>
                <w:szCs w:val="20"/>
                <w:lang w:eastAsia="en-AU"/>
              </w:rPr>
            </w:pPr>
            <w:r w:rsidRPr="006710E4">
              <w:rPr>
                <w:rFonts w:ascii="Arial Narrow" w:hAnsi="Arial Narrow" w:cs="Calibri"/>
                <w:color w:val="000000"/>
                <w:sz w:val="20"/>
                <w:szCs w:val="20"/>
                <w:lang w:eastAsia="en-AU"/>
              </w:rPr>
              <w:t>GARNET Cohort A1 &amp; A2</w:t>
            </w:r>
          </w:p>
        </w:tc>
        <w:tc>
          <w:tcPr>
            <w:tcW w:w="1892" w:type="dxa"/>
            <w:shd w:val="clear" w:color="auto" w:fill="auto"/>
            <w:noWrap/>
            <w:vAlign w:val="center"/>
            <w:hideMark/>
          </w:tcPr>
          <w:p w14:paraId="5C57BE19" w14:textId="77777777" w:rsidR="00CC6260" w:rsidRPr="006710E4" w:rsidRDefault="00CC6260" w:rsidP="001D67F7">
            <w:pPr>
              <w:keepNext/>
              <w:jc w:val="center"/>
              <w:rPr>
                <w:rFonts w:ascii="Arial Narrow" w:hAnsi="Arial Narrow" w:cs="Calibri"/>
                <w:color w:val="000000"/>
                <w:sz w:val="20"/>
                <w:szCs w:val="20"/>
                <w:lang w:eastAsia="en-AU"/>
              </w:rPr>
            </w:pPr>
            <w:r w:rsidRPr="006710E4">
              <w:rPr>
                <w:rFonts w:ascii="Arial Narrow" w:hAnsi="Arial Narrow" w:cs="Calibri"/>
                <w:color w:val="000000"/>
                <w:sz w:val="20"/>
                <w:szCs w:val="20"/>
                <w:lang w:eastAsia="en-AU"/>
              </w:rPr>
              <w:t>ITT</w:t>
            </w:r>
          </w:p>
        </w:tc>
        <w:tc>
          <w:tcPr>
            <w:tcW w:w="701" w:type="dxa"/>
            <w:shd w:val="clear" w:color="auto" w:fill="auto"/>
            <w:noWrap/>
            <w:vAlign w:val="center"/>
            <w:hideMark/>
          </w:tcPr>
          <w:p w14:paraId="2D24B89F" w14:textId="77777777" w:rsidR="00CC6260" w:rsidRPr="006710E4" w:rsidRDefault="00CC6260" w:rsidP="001D67F7">
            <w:pPr>
              <w:keepNext/>
              <w:jc w:val="center"/>
              <w:rPr>
                <w:rFonts w:ascii="Arial Narrow" w:hAnsi="Arial Narrow" w:cs="Calibri"/>
                <w:iCs/>
                <w:sz w:val="20"/>
                <w:szCs w:val="20"/>
                <w:lang w:eastAsia="en-AU"/>
              </w:rPr>
            </w:pPr>
            <w:r w:rsidRPr="006710E4">
              <w:rPr>
                <w:rFonts w:ascii="Arial Narrow" w:hAnsi="Arial Narrow" w:cs="Calibri"/>
                <w:iCs/>
                <w:sz w:val="20"/>
                <w:szCs w:val="20"/>
                <w:lang w:eastAsia="en-AU"/>
              </w:rPr>
              <w:t>290</w:t>
            </w:r>
          </w:p>
        </w:tc>
        <w:tc>
          <w:tcPr>
            <w:tcW w:w="1045" w:type="dxa"/>
            <w:shd w:val="clear" w:color="auto" w:fill="auto"/>
            <w:noWrap/>
            <w:vAlign w:val="center"/>
          </w:tcPr>
          <w:p w14:paraId="74CB890B" w14:textId="77777777" w:rsidR="00CC6260" w:rsidRPr="006710E4" w:rsidRDefault="00CC6260" w:rsidP="001D67F7">
            <w:pPr>
              <w:keepNext/>
              <w:jc w:val="center"/>
              <w:rPr>
                <w:rFonts w:ascii="Arial Narrow" w:hAnsi="Arial Narrow" w:cs="Calibri"/>
                <w:iCs/>
                <w:sz w:val="20"/>
                <w:szCs w:val="20"/>
                <w:lang w:eastAsia="en-AU"/>
              </w:rPr>
            </w:pPr>
            <w:r w:rsidRPr="006710E4">
              <w:rPr>
                <w:rFonts w:ascii="Arial Narrow" w:hAnsi="Arial Narrow" w:cs="Calibri"/>
                <w:iCs/>
                <w:sz w:val="20"/>
                <w:szCs w:val="20"/>
                <w:lang w:eastAsia="en-AU"/>
              </w:rPr>
              <w:t>N/R</w:t>
            </w:r>
          </w:p>
        </w:tc>
        <w:tc>
          <w:tcPr>
            <w:tcW w:w="1164" w:type="dxa"/>
            <w:shd w:val="clear" w:color="auto" w:fill="auto"/>
            <w:noWrap/>
            <w:vAlign w:val="center"/>
          </w:tcPr>
          <w:p w14:paraId="3F5570AB" w14:textId="77777777" w:rsidR="00CC6260" w:rsidRPr="006710E4" w:rsidRDefault="00CC6260" w:rsidP="001D67F7">
            <w:pPr>
              <w:keepNext/>
              <w:jc w:val="center"/>
              <w:rPr>
                <w:rFonts w:ascii="Arial Narrow" w:hAnsi="Arial Narrow" w:cs="Calibri"/>
                <w:iCs/>
                <w:sz w:val="20"/>
                <w:szCs w:val="20"/>
                <w:lang w:eastAsia="en-AU"/>
              </w:rPr>
            </w:pPr>
            <w:r w:rsidRPr="006710E4">
              <w:rPr>
                <w:rFonts w:ascii="Arial Narrow" w:hAnsi="Arial Narrow" w:cs="Calibri"/>
                <w:iCs/>
                <w:sz w:val="20"/>
                <w:szCs w:val="20"/>
                <w:lang w:eastAsia="en-AU"/>
              </w:rPr>
              <w:t>N/R</w:t>
            </w:r>
          </w:p>
        </w:tc>
        <w:tc>
          <w:tcPr>
            <w:tcW w:w="1600" w:type="dxa"/>
            <w:shd w:val="clear" w:color="auto" w:fill="auto"/>
            <w:noWrap/>
            <w:vAlign w:val="center"/>
          </w:tcPr>
          <w:p w14:paraId="4BD02BC2" w14:textId="77777777" w:rsidR="00CC6260" w:rsidRPr="006710E4" w:rsidRDefault="00CC6260" w:rsidP="001D67F7">
            <w:pPr>
              <w:keepNext/>
              <w:jc w:val="center"/>
              <w:rPr>
                <w:rFonts w:ascii="Arial Narrow" w:hAnsi="Arial Narrow" w:cs="Calibri"/>
                <w:iCs/>
                <w:sz w:val="20"/>
                <w:szCs w:val="20"/>
                <w:lang w:eastAsia="en-AU"/>
              </w:rPr>
            </w:pPr>
            <w:r w:rsidRPr="006710E4">
              <w:rPr>
                <w:rFonts w:ascii="Arial Narrow" w:hAnsi="Arial Narrow" w:cs="Calibri"/>
                <w:iCs/>
                <w:sz w:val="20"/>
                <w:szCs w:val="20"/>
                <w:lang w:eastAsia="en-AU"/>
              </w:rPr>
              <w:t>N/R</w:t>
            </w:r>
          </w:p>
        </w:tc>
      </w:tr>
      <w:tr w:rsidR="00CC6260" w:rsidRPr="006710E4" w14:paraId="68984348" w14:textId="77777777" w:rsidTr="009F5B71">
        <w:trPr>
          <w:trHeight w:val="20"/>
        </w:trPr>
        <w:tc>
          <w:tcPr>
            <w:tcW w:w="2615" w:type="dxa"/>
            <w:vMerge/>
            <w:vAlign w:val="center"/>
          </w:tcPr>
          <w:p w14:paraId="7E640A65" w14:textId="77777777" w:rsidR="00CC6260" w:rsidRPr="006710E4" w:rsidRDefault="00CC6260" w:rsidP="001D67F7">
            <w:pPr>
              <w:keepNext/>
              <w:rPr>
                <w:rFonts w:ascii="Arial Narrow" w:hAnsi="Arial Narrow" w:cs="Calibri"/>
                <w:color w:val="000000"/>
                <w:sz w:val="20"/>
                <w:szCs w:val="20"/>
                <w:lang w:eastAsia="en-AU"/>
              </w:rPr>
            </w:pPr>
          </w:p>
        </w:tc>
        <w:tc>
          <w:tcPr>
            <w:tcW w:w="1892" w:type="dxa"/>
            <w:shd w:val="clear" w:color="auto" w:fill="auto"/>
            <w:noWrap/>
            <w:vAlign w:val="center"/>
            <w:hideMark/>
          </w:tcPr>
          <w:p w14:paraId="5EEFC245" w14:textId="77777777" w:rsidR="00CC6260" w:rsidRPr="006710E4" w:rsidRDefault="00CC6260" w:rsidP="001D67F7">
            <w:pPr>
              <w:keepNext/>
              <w:jc w:val="center"/>
              <w:rPr>
                <w:rFonts w:ascii="Arial Narrow" w:hAnsi="Arial Narrow" w:cs="Calibri"/>
                <w:color w:val="000000"/>
                <w:sz w:val="20"/>
                <w:szCs w:val="20"/>
                <w:lang w:eastAsia="en-AU"/>
              </w:rPr>
            </w:pPr>
            <w:r w:rsidRPr="006710E4">
              <w:rPr>
                <w:rFonts w:ascii="Arial Narrow" w:hAnsi="Arial Narrow" w:cs="Calibri"/>
                <w:color w:val="000000"/>
                <w:sz w:val="20"/>
                <w:szCs w:val="20"/>
                <w:lang w:eastAsia="en-AU"/>
              </w:rPr>
              <w:t>PES</w:t>
            </w:r>
          </w:p>
        </w:tc>
        <w:tc>
          <w:tcPr>
            <w:tcW w:w="701" w:type="dxa"/>
            <w:shd w:val="clear" w:color="auto" w:fill="auto"/>
            <w:noWrap/>
            <w:vAlign w:val="center"/>
            <w:hideMark/>
          </w:tcPr>
          <w:p w14:paraId="2EFCBB64" w14:textId="77777777" w:rsidR="00CC6260" w:rsidRPr="006710E4" w:rsidRDefault="00CC6260" w:rsidP="001D67F7">
            <w:pPr>
              <w:keepNext/>
              <w:jc w:val="center"/>
              <w:rPr>
                <w:rFonts w:ascii="Arial Narrow" w:hAnsi="Arial Narrow" w:cs="Calibri"/>
                <w:iCs/>
                <w:color w:val="000000"/>
                <w:sz w:val="20"/>
                <w:szCs w:val="20"/>
                <w:lang w:eastAsia="en-AU"/>
              </w:rPr>
            </w:pPr>
            <w:r w:rsidRPr="006710E4">
              <w:rPr>
                <w:rFonts w:ascii="Arial Narrow" w:hAnsi="Arial Narrow" w:cs="Calibri"/>
                <w:iCs/>
                <w:color w:val="000000"/>
                <w:sz w:val="20"/>
                <w:szCs w:val="20"/>
                <w:lang w:eastAsia="en-AU"/>
              </w:rPr>
              <w:t>261</w:t>
            </w:r>
          </w:p>
        </w:tc>
        <w:tc>
          <w:tcPr>
            <w:tcW w:w="1045" w:type="dxa"/>
            <w:shd w:val="clear" w:color="auto" w:fill="auto"/>
            <w:noWrap/>
            <w:vAlign w:val="center"/>
            <w:hideMark/>
          </w:tcPr>
          <w:p w14:paraId="30ADBB81" w14:textId="77777777" w:rsidR="00CC6260" w:rsidRPr="006710E4" w:rsidRDefault="00CC6260" w:rsidP="001D67F7">
            <w:pPr>
              <w:keepNext/>
              <w:jc w:val="center"/>
              <w:rPr>
                <w:rFonts w:ascii="Arial Narrow" w:hAnsi="Arial Narrow" w:cs="Calibri"/>
                <w:iCs/>
                <w:color w:val="000000"/>
                <w:sz w:val="20"/>
                <w:szCs w:val="20"/>
                <w:lang w:eastAsia="en-AU"/>
              </w:rPr>
            </w:pPr>
            <w:r w:rsidRPr="006710E4">
              <w:rPr>
                <w:rFonts w:ascii="Arial Narrow" w:hAnsi="Arial Narrow" w:cs="Calibri"/>
                <w:iCs/>
                <w:color w:val="000000"/>
                <w:sz w:val="20"/>
                <w:szCs w:val="20"/>
                <w:lang w:eastAsia="en-AU"/>
              </w:rPr>
              <w:t>185 (70.9)</w:t>
            </w:r>
          </w:p>
        </w:tc>
        <w:tc>
          <w:tcPr>
            <w:tcW w:w="1164" w:type="dxa"/>
            <w:shd w:val="clear" w:color="auto" w:fill="auto"/>
            <w:noWrap/>
            <w:vAlign w:val="center"/>
            <w:hideMark/>
          </w:tcPr>
          <w:p w14:paraId="13FF04FB" w14:textId="77777777" w:rsidR="00CC6260" w:rsidRPr="006710E4" w:rsidRDefault="00CC6260" w:rsidP="001D67F7">
            <w:pPr>
              <w:keepNext/>
              <w:jc w:val="center"/>
              <w:rPr>
                <w:rFonts w:ascii="Arial Narrow" w:hAnsi="Arial Narrow" w:cs="Calibri"/>
                <w:iCs/>
                <w:color w:val="000000"/>
                <w:sz w:val="20"/>
                <w:szCs w:val="20"/>
                <w:lang w:eastAsia="en-AU"/>
              </w:rPr>
            </w:pPr>
            <w:r w:rsidRPr="006710E4">
              <w:rPr>
                <w:rFonts w:ascii="Arial Narrow" w:hAnsi="Arial Narrow" w:cs="Calibri"/>
                <w:iCs/>
                <w:color w:val="000000"/>
                <w:sz w:val="20"/>
                <w:szCs w:val="20"/>
                <w:lang w:eastAsia="en-AU"/>
              </w:rPr>
              <w:t>76 (29.1)</w:t>
            </w:r>
          </w:p>
        </w:tc>
        <w:tc>
          <w:tcPr>
            <w:tcW w:w="1600" w:type="dxa"/>
            <w:shd w:val="clear" w:color="auto" w:fill="auto"/>
            <w:noWrap/>
            <w:vAlign w:val="center"/>
            <w:hideMark/>
          </w:tcPr>
          <w:p w14:paraId="396EBEBE" w14:textId="77777777" w:rsidR="00CC6260" w:rsidRPr="006710E4" w:rsidRDefault="00CC6260" w:rsidP="001D67F7">
            <w:pPr>
              <w:keepNext/>
              <w:jc w:val="center"/>
              <w:rPr>
                <w:rFonts w:ascii="Arial Narrow" w:hAnsi="Arial Narrow" w:cs="Calibri"/>
                <w:iCs/>
                <w:color w:val="000000"/>
                <w:sz w:val="20"/>
                <w:szCs w:val="20"/>
                <w:lang w:eastAsia="en-AU"/>
              </w:rPr>
            </w:pPr>
            <w:r w:rsidRPr="006710E4">
              <w:rPr>
                <w:rFonts w:ascii="Arial Narrow" w:hAnsi="Arial Narrow" w:cs="Calibri"/>
                <w:iCs/>
                <w:color w:val="000000"/>
                <w:sz w:val="20"/>
                <w:szCs w:val="20"/>
                <w:lang w:eastAsia="en-AU"/>
              </w:rPr>
              <w:t>3.0 (2.8, 4.0)</w:t>
            </w:r>
          </w:p>
        </w:tc>
      </w:tr>
      <w:tr w:rsidR="00CC6260" w:rsidRPr="006710E4" w14:paraId="7DB95AE1" w14:textId="77777777" w:rsidTr="009F5B71">
        <w:trPr>
          <w:trHeight w:val="20"/>
        </w:trPr>
        <w:tc>
          <w:tcPr>
            <w:tcW w:w="9017" w:type="dxa"/>
            <w:gridSpan w:val="6"/>
            <w:vAlign w:val="center"/>
          </w:tcPr>
          <w:p w14:paraId="345A0D34" w14:textId="77777777" w:rsidR="00CC6260" w:rsidRPr="006710E4" w:rsidRDefault="00CC6260" w:rsidP="001D67F7">
            <w:pPr>
              <w:keepNext/>
              <w:rPr>
                <w:rFonts w:ascii="Arial Narrow" w:hAnsi="Arial Narrow" w:cs="Calibri"/>
                <w:color w:val="000000"/>
                <w:sz w:val="20"/>
                <w:szCs w:val="20"/>
                <w:lang w:eastAsia="en-AU"/>
              </w:rPr>
            </w:pPr>
            <w:r w:rsidRPr="006710E4">
              <w:rPr>
                <w:rFonts w:ascii="Arial Narrow" w:hAnsi="Arial Narrow" w:cs="Calibri"/>
                <w:color w:val="000000"/>
                <w:sz w:val="20"/>
                <w:szCs w:val="20"/>
                <w:lang w:eastAsia="en-AU"/>
              </w:rPr>
              <w:t>SoC</w:t>
            </w:r>
          </w:p>
        </w:tc>
      </w:tr>
      <w:tr w:rsidR="00CC6260" w:rsidRPr="006710E4" w14:paraId="0A3DE7AC" w14:textId="77777777" w:rsidTr="009F5B71">
        <w:trPr>
          <w:trHeight w:val="20"/>
        </w:trPr>
        <w:tc>
          <w:tcPr>
            <w:tcW w:w="2615" w:type="dxa"/>
            <w:vMerge w:val="restart"/>
            <w:vAlign w:val="center"/>
          </w:tcPr>
          <w:p w14:paraId="4AE06585" w14:textId="79B60D34" w:rsidR="00CC6260" w:rsidRPr="006710E4" w:rsidRDefault="00CC6260" w:rsidP="001D67F7">
            <w:pPr>
              <w:keepNext/>
              <w:rPr>
                <w:rFonts w:ascii="Arial Narrow" w:hAnsi="Arial Narrow" w:cs="Calibri"/>
                <w:color w:val="000000"/>
                <w:sz w:val="20"/>
                <w:szCs w:val="20"/>
                <w:vertAlign w:val="superscript"/>
                <w:lang w:eastAsia="en-AU"/>
              </w:rPr>
            </w:pPr>
            <w:proofErr w:type="spellStart"/>
            <w:r w:rsidRPr="006710E4">
              <w:rPr>
                <w:rFonts w:ascii="Arial Narrow" w:hAnsi="Arial Narrow" w:cs="Calibri"/>
                <w:color w:val="000000"/>
                <w:sz w:val="20"/>
                <w:szCs w:val="20"/>
                <w:lang w:eastAsia="en-AU"/>
              </w:rPr>
              <w:t>ZoptEC</w:t>
            </w:r>
            <w:proofErr w:type="spellEnd"/>
            <w:r w:rsidRPr="006710E4">
              <w:rPr>
                <w:rFonts w:ascii="Arial Narrow" w:hAnsi="Arial Narrow" w:cs="Calibri"/>
                <w:color w:val="000000"/>
                <w:sz w:val="20"/>
                <w:szCs w:val="20"/>
                <w:lang w:eastAsia="en-AU"/>
              </w:rPr>
              <w:t xml:space="preserve"> (doxorubicin) </w:t>
            </w:r>
            <w:r w:rsidR="009D4533">
              <w:rPr>
                <w:rFonts w:ascii="Arial Narrow" w:hAnsi="Arial Narrow" w:cs="Calibri"/>
                <w:color w:val="000000"/>
                <w:sz w:val="20"/>
                <w:szCs w:val="20"/>
                <w:vertAlign w:val="superscript"/>
                <w:lang w:eastAsia="en-AU"/>
              </w:rPr>
              <w:t>d</w:t>
            </w:r>
          </w:p>
        </w:tc>
        <w:tc>
          <w:tcPr>
            <w:tcW w:w="1892" w:type="dxa"/>
            <w:shd w:val="clear" w:color="auto" w:fill="auto"/>
            <w:noWrap/>
            <w:vAlign w:val="center"/>
            <w:hideMark/>
          </w:tcPr>
          <w:p w14:paraId="1DA37BDB" w14:textId="77777777" w:rsidR="00CC6260" w:rsidRPr="006710E4" w:rsidRDefault="00CC6260" w:rsidP="001D67F7">
            <w:pPr>
              <w:keepNext/>
              <w:jc w:val="center"/>
              <w:rPr>
                <w:rFonts w:ascii="Arial Narrow" w:hAnsi="Arial Narrow" w:cs="Calibri"/>
                <w:color w:val="000000"/>
                <w:sz w:val="20"/>
                <w:szCs w:val="20"/>
                <w:lang w:eastAsia="en-AU"/>
              </w:rPr>
            </w:pPr>
            <w:proofErr w:type="spellStart"/>
            <w:r w:rsidRPr="006710E4">
              <w:rPr>
                <w:rFonts w:ascii="Arial Narrow" w:hAnsi="Arial Narrow" w:cs="Calibri"/>
                <w:color w:val="000000"/>
                <w:sz w:val="20"/>
                <w:szCs w:val="20"/>
                <w:lang w:eastAsia="en-AU"/>
              </w:rPr>
              <w:t>mITT</w:t>
            </w:r>
            <w:proofErr w:type="spellEnd"/>
          </w:p>
        </w:tc>
        <w:tc>
          <w:tcPr>
            <w:tcW w:w="701" w:type="dxa"/>
            <w:shd w:val="clear" w:color="auto" w:fill="auto"/>
            <w:noWrap/>
            <w:vAlign w:val="center"/>
            <w:hideMark/>
          </w:tcPr>
          <w:p w14:paraId="23D3408D" w14:textId="77777777" w:rsidR="00CC6260" w:rsidRPr="006710E4" w:rsidRDefault="00CC6260" w:rsidP="001D67F7">
            <w:pPr>
              <w:keepNext/>
              <w:jc w:val="center"/>
              <w:rPr>
                <w:rFonts w:ascii="Arial Narrow" w:hAnsi="Arial Narrow" w:cs="Calibri"/>
                <w:color w:val="000000"/>
                <w:sz w:val="20"/>
                <w:szCs w:val="20"/>
                <w:lang w:eastAsia="en-AU"/>
              </w:rPr>
            </w:pPr>
            <w:r w:rsidRPr="006710E4">
              <w:rPr>
                <w:rFonts w:ascii="Arial Narrow" w:hAnsi="Arial Narrow" w:cs="Calibri"/>
                <w:color w:val="000000"/>
                <w:sz w:val="20"/>
                <w:szCs w:val="20"/>
                <w:lang w:eastAsia="en-AU"/>
              </w:rPr>
              <w:t>249</w:t>
            </w:r>
          </w:p>
        </w:tc>
        <w:tc>
          <w:tcPr>
            <w:tcW w:w="1045" w:type="dxa"/>
            <w:shd w:val="clear" w:color="auto" w:fill="auto"/>
            <w:noWrap/>
            <w:vAlign w:val="center"/>
            <w:hideMark/>
          </w:tcPr>
          <w:p w14:paraId="7A601957" w14:textId="77777777" w:rsidR="00CC6260" w:rsidRPr="006710E4" w:rsidRDefault="00CC6260" w:rsidP="001D67F7">
            <w:pPr>
              <w:keepNext/>
              <w:jc w:val="center"/>
              <w:rPr>
                <w:rFonts w:ascii="Arial Narrow" w:hAnsi="Arial Narrow" w:cs="Calibri"/>
                <w:color w:val="000000"/>
                <w:sz w:val="20"/>
                <w:szCs w:val="20"/>
                <w:lang w:eastAsia="en-AU"/>
              </w:rPr>
            </w:pPr>
            <w:r w:rsidRPr="006710E4">
              <w:rPr>
                <w:rFonts w:ascii="Arial Narrow" w:hAnsi="Arial Narrow" w:cs="Calibri"/>
                <w:color w:val="000000"/>
                <w:sz w:val="20"/>
                <w:szCs w:val="20"/>
                <w:lang w:eastAsia="en-AU"/>
              </w:rPr>
              <w:t>148 (59.4)</w:t>
            </w:r>
          </w:p>
        </w:tc>
        <w:tc>
          <w:tcPr>
            <w:tcW w:w="1164" w:type="dxa"/>
            <w:shd w:val="clear" w:color="auto" w:fill="auto"/>
            <w:noWrap/>
            <w:vAlign w:val="center"/>
            <w:hideMark/>
          </w:tcPr>
          <w:p w14:paraId="53B920AE" w14:textId="77777777" w:rsidR="00CC6260" w:rsidRPr="006710E4" w:rsidRDefault="00CC6260" w:rsidP="001D67F7">
            <w:pPr>
              <w:keepNext/>
              <w:jc w:val="center"/>
              <w:rPr>
                <w:rFonts w:ascii="Arial Narrow" w:hAnsi="Arial Narrow" w:cs="Calibri"/>
                <w:sz w:val="20"/>
                <w:szCs w:val="20"/>
                <w:lang w:eastAsia="en-AU"/>
              </w:rPr>
            </w:pPr>
            <w:r w:rsidRPr="006710E4">
              <w:rPr>
                <w:rFonts w:ascii="Arial Narrow" w:hAnsi="Arial Narrow" w:cs="Calibri"/>
                <w:sz w:val="20"/>
                <w:szCs w:val="20"/>
                <w:lang w:eastAsia="en-AU"/>
              </w:rPr>
              <w:t>101 (40.6)</w:t>
            </w:r>
          </w:p>
        </w:tc>
        <w:tc>
          <w:tcPr>
            <w:tcW w:w="1600" w:type="dxa"/>
            <w:shd w:val="clear" w:color="auto" w:fill="auto"/>
            <w:noWrap/>
            <w:vAlign w:val="center"/>
            <w:hideMark/>
          </w:tcPr>
          <w:p w14:paraId="002799A4" w14:textId="77777777" w:rsidR="00CC6260" w:rsidRPr="006710E4" w:rsidRDefault="00CC6260" w:rsidP="001D67F7">
            <w:pPr>
              <w:keepNext/>
              <w:jc w:val="center"/>
              <w:rPr>
                <w:rFonts w:ascii="Arial Narrow" w:hAnsi="Arial Narrow" w:cs="Calibri"/>
                <w:sz w:val="20"/>
                <w:szCs w:val="20"/>
                <w:lang w:eastAsia="en-AU"/>
              </w:rPr>
            </w:pPr>
            <w:r w:rsidRPr="006710E4">
              <w:rPr>
                <w:rFonts w:ascii="Arial Narrow" w:hAnsi="Arial Narrow" w:cs="Calibri"/>
                <w:sz w:val="20"/>
                <w:szCs w:val="20"/>
                <w:lang w:eastAsia="en-AU"/>
              </w:rPr>
              <w:t>4.7 (4.1, 6.6)</w:t>
            </w:r>
          </w:p>
        </w:tc>
      </w:tr>
      <w:tr w:rsidR="00CC6260" w:rsidRPr="006710E4" w14:paraId="73782F55" w14:textId="77777777" w:rsidTr="009F5B71">
        <w:trPr>
          <w:trHeight w:val="20"/>
        </w:trPr>
        <w:tc>
          <w:tcPr>
            <w:tcW w:w="2615" w:type="dxa"/>
            <w:vMerge/>
            <w:vAlign w:val="center"/>
          </w:tcPr>
          <w:p w14:paraId="03ED62B8" w14:textId="77777777" w:rsidR="00CC6260" w:rsidRPr="006710E4" w:rsidRDefault="00CC6260" w:rsidP="001D67F7">
            <w:pPr>
              <w:keepNext/>
              <w:rPr>
                <w:rFonts w:ascii="Arial Narrow" w:hAnsi="Arial Narrow" w:cs="Calibri"/>
                <w:color w:val="000000"/>
                <w:sz w:val="20"/>
                <w:szCs w:val="20"/>
                <w:lang w:eastAsia="en-AU"/>
              </w:rPr>
            </w:pPr>
          </w:p>
        </w:tc>
        <w:tc>
          <w:tcPr>
            <w:tcW w:w="1892" w:type="dxa"/>
            <w:shd w:val="clear" w:color="auto" w:fill="auto"/>
            <w:noWrap/>
            <w:vAlign w:val="center"/>
            <w:hideMark/>
          </w:tcPr>
          <w:p w14:paraId="44F0D54C" w14:textId="6F315B98" w:rsidR="00CC6260" w:rsidRPr="009D4533" w:rsidRDefault="00CC6260" w:rsidP="001D67F7">
            <w:pPr>
              <w:keepNext/>
              <w:jc w:val="center"/>
              <w:rPr>
                <w:rFonts w:ascii="Arial Narrow" w:hAnsi="Arial Narrow" w:cs="Calibri"/>
                <w:color w:val="000000"/>
                <w:sz w:val="20"/>
                <w:szCs w:val="20"/>
                <w:vertAlign w:val="superscript"/>
                <w:lang w:eastAsia="en-AU"/>
              </w:rPr>
            </w:pPr>
            <w:r w:rsidRPr="006710E4">
              <w:rPr>
                <w:rFonts w:ascii="Arial Narrow" w:hAnsi="Arial Narrow" w:cs="Calibri"/>
                <w:color w:val="000000"/>
                <w:sz w:val="20"/>
                <w:szCs w:val="20"/>
                <w:lang w:eastAsia="en-AU"/>
              </w:rPr>
              <w:t>MAS</w:t>
            </w:r>
            <w:r w:rsidR="009D4533">
              <w:rPr>
                <w:rFonts w:ascii="Arial Narrow" w:hAnsi="Arial Narrow" w:cs="Calibri"/>
                <w:color w:val="000000"/>
                <w:sz w:val="20"/>
                <w:szCs w:val="20"/>
                <w:vertAlign w:val="superscript"/>
                <w:lang w:eastAsia="en-AU"/>
              </w:rPr>
              <w:t xml:space="preserve"> c</w:t>
            </w:r>
          </w:p>
        </w:tc>
        <w:tc>
          <w:tcPr>
            <w:tcW w:w="701" w:type="dxa"/>
            <w:shd w:val="clear" w:color="auto" w:fill="auto"/>
            <w:noWrap/>
            <w:vAlign w:val="center"/>
            <w:hideMark/>
          </w:tcPr>
          <w:p w14:paraId="6633927C" w14:textId="77777777" w:rsidR="00CC6260" w:rsidRPr="006710E4" w:rsidRDefault="00CC6260" w:rsidP="001D67F7">
            <w:pPr>
              <w:keepNext/>
              <w:jc w:val="center"/>
              <w:rPr>
                <w:rFonts w:ascii="Arial Narrow" w:hAnsi="Arial Narrow" w:cs="Calibri"/>
                <w:iCs/>
                <w:color w:val="000000"/>
                <w:sz w:val="20"/>
                <w:szCs w:val="20"/>
                <w:lang w:eastAsia="en-AU"/>
              </w:rPr>
            </w:pPr>
            <w:r w:rsidRPr="006710E4">
              <w:rPr>
                <w:rFonts w:ascii="Arial Narrow" w:hAnsi="Arial Narrow" w:cs="Calibri"/>
                <w:iCs/>
                <w:color w:val="000000"/>
                <w:sz w:val="20"/>
                <w:szCs w:val="20"/>
                <w:lang w:eastAsia="en-AU"/>
              </w:rPr>
              <w:t>233</w:t>
            </w:r>
          </w:p>
        </w:tc>
        <w:tc>
          <w:tcPr>
            <w:tcW w:w="1045" w:type="dxa"/>
            <w:shd w:val="clear" w:color="auto" w:fill="auto"/>
            <w:noWrap/>
            <w:vAlign w:val="center"/>
            <w:hideMark/>
          </w:tcPr>
          <w:p w14:paraId="63879C1A" w14:textId="77777777" w:rsidR="00CC6260" w:rsidRPr="006710E4" w:rsidRDefault="00CC6260" w:rsidP="001D67F7">
            <w:pPr>
              <w:keepNext/>
              <w:jc w:val="center"/>
              <w:rPr>
                <w:rFonts w:ascii="Arial Narrow" w:hAnsi="Arial Narrow" w:cs="Calibri"/>
                <w:iCs/>
                <w:color w:val="000000"/>
                <w:sz w:val="20"/>
                <w:szCs w:val="20"/>
                <w:lang w:eastAsia="en-AU"/>
              </w:rPr>
            </w:pPr>
            <w:r w:rsidRPr="006710E4">
              <w:rPr>
                <w:rFonts w:ascii="Arial Narrow" w:hAnsi="Arial Narrow" w:cs="Calibri"/>
                <w:iCs/>
                <w:color w:val="000000"/>
                <w:sz w:val="20"/>
                <w:szCs w:val="20"/>
                <w:lang w:eastAsia="en-AU"/>
              </w:rPr>
              <w:t>138 (59.2)</w:t>
            </w:r>
          </w:p>
        </w:tc>
        <w:tc>
          <w:tcPr>
            <w:tcW w:w="1164" w:type="dxa"/>
            <w:shd w:val="clear" w:color="auto" w:fill="auto"/>
            <w:noWrap/>
            <w:vAlign w:val="center"/>
            <w:hideMark/>
          </w:tcPr>
          <w:p w14:paraId="647C715A" w14:textId="77777777" w:rsidR="00CC6260" w:rsidRPr="006710E4" w:rsidRDefault="00CC6260" w:rsidP="001D67F7">
            <w:pPr>
              <w:keepNext/>
              <w:jc w:val="center"/>
              <w:rPr>
                <w:rFonts w:ascii="Arial Narrow" w:hAnsi="Arial Narrow" w:cs="Calibri"/>
                <w:iCs/>
                <w:color w:val="000000"/>
                <w:sz w:val="20"/>
                <w:szCs w:val="20"/>
                <w:lang w:eastAsia="en-AU"/>
              </w:rPr>
            </w:pPr>
            <w:r w:rsidRPr="006710E4">
              <w:rPr>
                <w:rFonts w:ascii="Arial Narrow" w:hAnsi="Arial Narrow" w:cs="Calibri"/>
                <w:iCs/>
                <w:color w:val="000000"/>
                <w:sz w:val="20"/>
                <w:szCs w:val="20"/>
                <w:lang w:eastAsia="en-AU"/>
              </w:rPr>
              <w:t>95 (40.8)</w:t>
            </w:r>
          </w:p>
        </w:tc>
        <w:tc>
          <w:tcPr>
            <w:tcW w:w="1600" w:type="dxa"/>
            <w:shd w:val="clear" w:color="auto" w:fill="auto"/>
            <w:noWrap/>
            <w:vAlign w:val="center"/>
            <w:hideMark/>
          </w:tcPr>
          <w:p w14:paraId="151576B8" w14:textId="77777777" w:rsidR="00CC6260" w:rsidRPr="006710E4" w:rsidRDefault="00CC6260" w:rsidP="001D67F7">
            <w:pPr>
              <w:keepNext/>
              <w:jc w:val="center"/>
              <w:rPr>
                <w:rFonts w:ascii="Arial Narrow" w:hAnsi="Arial Narrow" w:cs="Calibri"/>
                <w:iCs/>
                <w:color w:val="000000"/>
                <w:sz w:val="20"/>
                <w:szCs w:val="20"/>
                <w:lang w:eastAsia="en-AU"/>
              </w:rPr>
            </w:pPr>
            <w:r w:rsidRPr="006710E4">
              <w:rPr>
                <w:rFonts w:ascii="Arial Narrow" w:hAnsi="Arial Narrow" w:cs="Calibri"/>
                <w:iCs/>
                <w:color w:val="000000"/>
                <w:sz w:val="20"/>
                <w:szCs w:val="20"/>
                <w:lang w:eastAsia="en-AU"/>
              </w:rPr>
              <w:t>4.9 (4.1, 6.6)</w:t>
            </w:r>
          </w:p>
        </w:tc>
      </w:tr>
      <w:tr w:rsidR="00CC6260" w:rsidRPr="006710E4" w14:paraId="136704BD" w14:textId="77777777" w:rsidTr="009F5B71">
        <w:trPr>
          <w:trHeight w:val="20"/>
        </w:trPr>
        <w:tc>
          <w:tcPr>
            <w:tcW w:w="2615" w:type="dxa"/>
            <w:vAlign w:val="center"/>
          </w:tcPr>
          <w:p w14:paraId="64BCBC73" w14:textId="7B26A192" w:rsidR="00CC6260" w:rsidRPr="006710E4" w:rsidRDefault="00CC6260" w:rsidP="0040615B">
            <w:pPr>
              <w:keepNext/>
              <w:jc w:val="left"/>
              <w:rPr>
                <w:rFonts w:ascii="Arial Narrow" w:hAnsi="Arial Narrow" w:cs="Calibri"/>
                <w:color w:val="000000"/>
                <w:sz w:val="20"/>
                <w:szCs w:val="20"/>
                <w:lang w:eastAsia="en-AU"/>
              </w:rPr>
            </w:pPr>
            <w:r w:rsidRPr="006710E4">
              <w:rPr>
                <w:rFonts w:ascii="Arial Narrow" w:hAnsi="Arial Narrow" w:cs="Calibri"/>
                <w:color w:val="000000"/>
                <w:sz w:val="20"/>
                <w:szCs w:val="20"/>
                <w:lang w:eastAsia="en-AU"/>
              </w:rPr>
              <w:t>IXAMPLE2 (</w:t>
            </w:r>
            <w:r w:rsidR="009F7DEE" w:rsidRPr="006710E4">
              <w:rPr>
                <w:rFonts w:ascii="Arial Narrow" w:hAnsi="Arial Narrow" w:cs="Calibri"/>
                <w:color w:val="000000"/>
                <w:sz w:val="20"/>
                <w:szCs w:val="20"/>
                <w:lang w:eastAsia="en-AU"/>
              </w:rPr>
              <w:t>paclitaxel</w:t>
            </w:r>
            <w:r w:rsidRPr="006710E4">
              <w:rPr>
                <w:rFonts w:ascii="Arial Narrow" w:hAnsi="Arial Narrow" w:cs="Calibri"/>
                <w:color w:val="000000"/>
                <w:sz w:val="20"/>
                <w:szCs w:val="20"/>
                <w:lang w:eastAsia="en-AU"/>
              </w:rPr>
              <w:t xml:space="preserve"> or doxorubicin)</w:t>
            </w:r>
          </w:p>
        </w:tc>
        <w:tc>
          <w:tcPr>
            <w:tcW w:w="1892" w:type="dxa"/>
            <w:shd w:val="clear" w:color="auto" w:fill="auto"/>
            <w:noWrap/>
            <w:vAlign w:val="center"/>
            <w:hideMark/>
          </w:tcPr>
          <w:p w14:paraId="37966943" w14:textId="77777777" w:rsidR="00CC6260" w:rsidRPr="006710E4" w:rsidRDefault="00CC6260" w:rsidP="001D67F7">
            <w:pPr>
              <w:keepNext/>
              <w:jc w:val="center"/>
              <w:rPr>
                <w:rFonts w:ascii="Arial Narrow" w:hAnsi="Arial Narrow" w:cs="Calibri"/>
                <w:color w:val="000000"/>
                <w:sz w:val="20"/>
                <w:szCs w:val="20"/>
                <w:lang w:eastAsia="en-AU"/>
              </w:rPr>
            </w:pPr>
            <w:r w:rsidRPr="006710E4">
              <w:rPr>
                <w:rFonts w:ascii="Arial Narrow" w:hAnsi="Arial Narrow" w:cs="Calibri"/>
                <w:color w:val="000000"/>
                <w:sz w:val="20"/>
                <w:szCs w:val="20"/>
                <w:lang w:eastAsia="en-AU"/>
              </w:rPr>
              <w:t>ES</w:t>
            </w:r>
          </w:p>
        </w:tc>
        <w:tc>
          <w:tcPr>
            <w:tcW w:w="701" w:type="dxa"/>
            <w:shd w:val="clear" w:color="auto" w:fill="auto"/>
            <w:noWrap/>
            <w:vAlign w:val="center"/>
            <w:hideMark/>
          </w:tcPr>
          <w:p w14:paraId="2050EEE2" w14:textId="77777777" w:rsidR="00CC6260" w:rsidRPr="006710E4" w:rsidRDefault="00CC6260" w:rsidP="001D67F7">
            <w:pPr>
              <w:keepNext/>
              <w:jc w:val="center"/>
              <w:rPr>
                <w:rFonts w:ascii="Arial Narrow" w:hAnsi="Arial Narrow" w:cs="Calibri"/>
                <w:color w:val="000000"/>
                <w:sz w:val="20"/>
                <w:szCs w:val="20"/>
                <w:lang w:eastAsia="en-AU"/>
              </w:rPr>
            </w:pPr>
            <w:r w:rsidRPr="006710E4">
              <w:rPr>
                <w:rFonts w:ascii="Arial Narrow" w:hAnsi="Arial Narrow" w:cs="Calibri"/>
                <w:color w:val="000000"/>
                <w:sz w:val="20"/>
                <w:szCs w:val="20"/>
                <w:lang w:eastAsia="en-AU"/>
              </w:rPr>
              <w:t>223</w:t>
            </w:r>
          </w:p>
        </w:tc>
        <w:tc>
          <w:tcPr>
            <w:tcW w:w="1045" w:type="dxa"/>
            <w:shd w:val="clear" w:color="auto" w:fill="auto"/>
            <w:noWrap/>
            <w:vAlign w:val="center"/>
            <w:hideMark/>
          </w:tcPr>
          <w:p w14:paraId="5BE908C6" w14:textId="77777777" w:rsidR="00CC6260" w:rsidRPr="006710E4" w:rsidRDefault="00CC6260" w:rsidP="001D67F7">
            <w:pPr>
              <w:keepNext/>
              <w:jc w:val="center"/>
              <w:rPr>
                <w:rFonts w:ascii="Arial Narrow" w:hAnsi="Arial Narrow" w:cs="Calibri"/>
                <w:color w:val="000000"/>
                <w:sz w:val="20"/>
                <w:szCs w:val="20"/>
                <w:lang w:eastAsia="en-AU"/>
              </w:rPr>
            </w:pPr>
            <w:r w:rsidRPr="006710E4">
              <w:rPr>
                <w:rFonts w:ascii="Arial Narrow" w:hAnsi="Arial Narrow" w:cs="Calibri"/>
                <w:color w:val="000000"/>
                <w:sz w:val="20"/>
                <w:szCs w:val="20"/>
                <w:lang w:eastAsia="en-AU"/>
              </w:rPr>
              <w:t>162 (72.6)</w:t>
            </w:r>
          </w:p>
        </w:tc>
        <w:tc>
          <w:tcPr>
            <w:tcW w:w="1164" w:type="dxa"/>
            <w:shd w:val="clear" w:color="auto" w:fill="auto"/>
            <w:noWrap/>
            <w:vAlign w:val="center"/>
            <w:hideMark/>
          </w:tcPr>
          <w:p w14:paraId="1602885F" w14:textId="77777777" w:rsidR="00CC6260" w:rsidRPr="006710E4" w:rsidRDefault="00CC6260" w:rsidP="001D67F7">
            <w:pPr>
              <w:keepNext/>
              <w:jc w:val="center"/>
              <w:rPr>
                <w:rFonts w:ascii="Arial Narrow" w:hAnsi="Arial Narrow" w:cs="Calibri"/>
                <w:color w:val="000000"/>
                <w:sz w:val="20"/>
                <w:szCs w:val="20"/>
                <w:lang w:eastAsia="en-AU"/>
              </w:rPr>
            </w:pPr>
            <w:r w:rsidRPr="006710E4">
              <w:rPr>
                <w:rFonts w:ascii="Arial Narrow" w:hAnsi="Arial Narrow" w:cs="Calibri"/>
                <w:color w:val="000000"/>
                <w:sz w:val="20"/>
                <w:szCs w:val="20"/>
                <w:lang w:eastAsia="en-AU"/>
              </w:rPr>
              <w:t>61 (27.4)</w:t>
            </w:r>
          </w:p>
        </w:tc>
        <w:tc>
          <w:tcPr>
            <w:tcW w:w="1600" w:type="dxa"/>
            <w:shd w:val="clear" w:color="auto" w:fill="auto"/>
            <w:noWrap/>
            <w:vAlign w:val="center"/>
            <w:hideMark/>
          </w:tcPr>
          <w:p w14:paraId="7A366253" w14:textId="77777777" w:rsidR="00CC6260" w:rsidRPr="006710E4" w:rsidRDefault="00CC6260" w:rsidP="001D67F7">
            <w:pPr>
              <w:keepNext/>
              <w:jc w:val="center"/>
              <w:rPr>
                <w:rFonts w:ascii="Arial Narrow" w:hAnsi="Arial Narrow" w:cs="Calibri"/>
                <w:color w:val="000000"/>
                <w:sz w:val="20"/>
                <w:szCs w:val="20"/>
                <w:lang w:eastAsia="en-AU"/>
              </w:rPr>
            </w:pPr>
            <w:r w:rsidRPr="006710E4">
              <w:rPr>
                <w:rFonts w:ascii="Arial Narrow" w:hAnsi="Arial Narrow" w:cs="Calibri"/>
                <w:color w:val="000000"/>
                <w:sz w:val="20"/>
                <w:szCs w:val="20"/>
                <w:lang w:eastAsia="en-AU"/>
              </w:rPr>
              <w:t>4.0 (2.7, 4.3)</w:t>
            </w:r>
          </w:p>
        </w:tc>
      </w:tr>
      <w:tr w:rsidR="00CC6260" w:rsidRPr="006710E4" w14:paraId="0DC30140" w14:textId="77777777" w:rsidTr="009F5B71">
        <w:trPr>
          <w:trHeight w:val="20"/>
        </w:trPr>
        <w:tc>
          <w:tcPr>
            <w:tcW w:w="2615" w:type="dxa"/>
            <w:vMerge w:val="restart"/>
            <w:vAlign w:val="center"/>
          </w:tcPr>
          <w:p w14:paraId="722D806D" w14:textId="76906257" w:rsidR="00CC6260" w:rsidRPr="006710E4" w:rsidRDefault="00CC6260" w:rsidP="0040615B">
            <w:pPr>
              <w:keepNext/>
              <w:jc w:val="left"/>
              <w:rPr>
                <w:rFonts w:ascii="Arial Narrow" w:hAnsi="Arial Narrow" w:cs="Calibri"/>
                <w:color w:val="000000"/>
                <w:sz w:val="20"/>
                <w:szCs w:val="20"/>
                <w:lang w:eastAsia="en-AU"/>
              </w:rPr>
            </w:pPr>
            <w:r w:rsidRPr="006710E4">
              <w:rPr>
                <w:rFonts w:ascii="Arial Narrow" w:hAnsi="Arial Narrow" w:cs="Calibri"/>
                <w:color w:val="000000"/>
                <w:sz w:val="20"/>
                <w:szCs w:val="20"/>
                <w:lang w:eastAsia="en-AU"/>
              </w:rPr>
              <w:t>KEYNOTE-775 (</w:t>
            </w:r>
            <w:r w:rsidR="009F7DEE" w:rsidRPr="006710E4">
              <w:rPr>
                <w:rFonts w:ascii="Arial Narrow" w:hAnsi="Arial Narrow" w:cs="Calibri"/>
                <w:color w:val="000000"/>
                <w:sz w:val="20"/>
                <w:szCs w:val="20"/>
                <w:lang w:eastAsia="en-AU"/>
              </w:rPr>
              <w:t>paclitaxel</w:t>
            </w:r>
            <w:r w:rsidRPr="006710E4">
              <w:rPr>
                <w:rFonts w:ascii="Arial Narrow" w:hAnsi="Arial Narrow" w:cs="Calibri"/>
                <w:color w:val="000000"/>
                <w:sz w:val="20"/>
                <w:szCs w:val="20"/>
                <w:lang w:eastAsia="en-AU"/>
              </w:rPr>
              <w:t xml:space="preserve"> or doxorubicin)</w:t>
            </w:r>
          </w:p>
        </w:tc>
        <w:tc>
          <w:tcPr>
            <w:tcW w:w="1892" w:type="dxa"/>
            <w:shd w:val="clear" w:color="auto" w:fill="auto"/>
            <w:noWrap/>
            <w:vAlign w:val="center"/>
            <w:hideMark/>
          </w:tcPr>
          <w:p w14:paraId="56A4D786" w14:textId="77777777" w:rsidR="00CC6260" w:rsidRPr="006710E4" w:rsidRDefault="00CC6260" w:rsidP="001D67F7">
            <w:pPr>
              <w:keepNext/>
              <w:jc w:val="center"/>
              <w:rPr>
                <w:rFonts w:ascii="Arial Narrow" w:hAnsi="Arial Narrow" w:cs="Calibri"/>
                <w:color w:val="000000"/>
                <w:sz w:val="20"/>
                <w:szCs w:val="20"/>
                <w:lang w:eastAsia="en-AU"/>
              </w:rPr>
            </w:pPr>
            <w:r w:rsidRPr="006710E4">
              <w:rPr>
                <w:rFonts w:ascii="Arial Narrow" w:hAnsi="Arial Narrow" w:cs="Calibri"/>
                <w:color w:val="000000"/>
                <w:sz w:val="20"/>
                <w:szCs w:val="20"/>
                <w:lang w:eastAsia="en-AU"/>
              </w:rPr>
              <w:t>ITT</w:t>
            </w:r>
          </w:p>
        </w:tc>
        <w:tc>
          <w:tcPr>
            <w:tcW w:w="701" w:type="dxa"/>
            <w:shd w:val="clear" w:color="auto" w:fill="auto"/>
            <w:noWrap/>
            <w:vAlign w:val="center"/>
            <w:hideMark/>
          </w:tcPr>
          <w:p w14:paraId="0CED0853" w14:textId="77777777" w:rsidR="00CC6260" w:rsidRPr="006710E4" w:rsidRDefault="00CC6260" w:rsidP="001D67F7">
            <w:pPr>
              <w:keepNext/>
              <w:jc w:val="center"/>
              <w:rPr>
                <w:rFonts w:ascii="Arial Narrow" w:hAnsi="Arial Narrow" w:cs="Calibri"/>
                <w:color w:val="000000"/>
                <w:sz w:val="20"/>
                <w:szCs w:val="20"/>
                <w:lang w:eastAsia="en-AU"/>
              </w:rPr>
            </w:pPr>
            <w:r w:rsidRPr="006710E4">
              <w:rPr>
                <w:rFonts w:ascii="Arial Narrow" w:hAnsi="Arial Narrow" w:cs="Calibri"/>
                <w:color w:val="000000"/>
                <w:sz w:val="20"/>
                <w:szCs w:val="20"/>
                <w:lang w:eastAsia="en-AU"/>
              </w:rPr>
              <w:t>416</w:t>
            </w:r>
          </w:p>
        </w:tc>
        <w:tc>
          <w:tcPr>
            <w:tcW w:w="1045" w:type="dxa"/>
            <w:shd w:val="clear" w:color="auto" w:fill="auto"/>
            <w:noWrap/>
            <w:vAlign w:val="center"/>
            <w:hideMark/>
          </w:tcPr>
          <w:p w14:paraId="7C65070E" w14:textId="77777777" w:rsidR="00CC6260" w:rsidRPr="006710E4" w:rsidRDefault="00CC6260" w:rsidP="001D67F7">
            <w:pPr>
              <w:keepNext/>
              <w:jc w:val="center"/>
              <w:rPr>
                <w:rFonts w:ascii="Arial Narrow" w:hAnsi="Arial Narrow" w:cs="Calibri"/>
                <w:color w:val="000000"/>
                <w:sz w:val="20"/>
                <w:szCs w:val="20"/>
                <w:lang w:eastAsia="en-AU"/>
              </w:rPr>
            </w:pPr>
            <w:r w:rsidRPr="006710E4">
              <w:rPr>
                <w:rFonts w:ascii="Arial Narrow" w:hAnsi="Arial Narrow" w:cs="Calibri"/>
                <w:color w:val="000000"/>
                <w:sz w:val="20"/>
                <w:szCs w:val="20"/>
                <w:lang w:eastAsia="en-AU"/>
              </w:rPr>
              <w:t>286 (68.8)</w:t>
            </w:r>
          </w:p>
        </w:tc>
        <w:tc>
          <w:tcPr>
            <w:tcW w:w="1164" w:type="dxa"/>
            <w:shd w:val="clear" w:color="auto" w:fill="auto"/>
            <w:noWrap/>
            <w:vAlign w:val="center"/>
            <w:hideMark/>
          </w:tcPr>
          <w:p w14:paraId="4ACC990C" w14:textId="77777777" w:rsidR="00CC6260" w:rsidRPr="006710E4" w:rsidRDefault="00CC6260" w:rsidP="001D67F7">
            <w:pPr>
              <w:keepNext/>
              <w:jc w:val="center"/>
              <w:rPr>
                <w:rFonts w:ascii="Arial Narrow" w:hAnsi="Arial Narrow" w:cs="Calibri"/>
                <w:color w:val="000000"/>
                <w:sz w:val="20"/>
                <w:szCs w:val="20"/>
                <w:lang w:eastAsia="en-AU"/>
              </w:rPr>
            </w:pPr>
            <w:r w:rsidRPr="006710E4">
              <w:rPr>
                <w:rFonts w:ascii="Arial Narrow" w:hAnsi="Arial Narrow" w:cs="Calibri"/>
                <w:color w:val="000000"/>
                <w:sz w:val="20"/>
                <w:szCs w:val="20"/>
                <w:lang w:eastAsia="en-AU"/>
              </w:rPr>
              <w:t>130 (31.3)</w:t>
            </w:r>
          </w:p>
        </w:tc>
        <w:tc>
          <w:tcPr>
            <w:tcW w:w="1600" w:type="dxa"/>
            <w:shd w:val="clear" w:color="auto" w:fill="auto"/>
            <w:noWrap/>
            <w:vAlign w:val="center"/>
            <w:hideMark/>
          </w:tcPr>
          <w:p w14:paraId="26185008" w14:textId="77777777" w:rsidR="00CC6260" w:rsidRPr="006710E4" w:rsidRDefault="00CC6260" w:rsidP="001D67F7">
            <w:pPr>
              <w:keepNext/>
              <w:jc w:val="center"/>
              <w:rPr>
                <w:rFonts w:ascii="Arial Narrow" w:hAnsi="Arial Narrow" w:cs="Calibri"/>
                <w:color w:val="000000"/>
                <w:sz w:val="20"/>
                <w:szCs w:val="20"/>
                <w:lang w:eastAsia="en-AU"/>
              </w:rPr>
            </w:pPr>
            <w:r w:rsidRPr="006710E4">
              <w:rPr>
                <w:rFonts w:ascii="Arial Narrow" w:hAnsi="Arial Narrow" w:cs="Calibri"/>
                <w:color w:val="000000"/>
                <w:sz w:val="20"/>
                <w:szCs w:val="20"/>
                <w:lang w:eastAsia="en-AU"/>
              </w:rPr>
              <w:t>3.8 (3.6, 4.2)</w:t>
            </w:r>
          </w:p>
        </w:tc>
      </w:tr>
      <w:tr w:rsidR="00CC6260" w:rsidRPr="006710E4" w14:paraId="0BD7934C" w14:textId="77777777" w:rsidTr="009F5B71">
        <w:trPr>
          <w:trHeight w:val="20"/>
        </w:trPr>
        <w:tc>
          <w:tcPr>
            <w:tcW w:w="2615" w:type="dxa"/>
            <w:vMerge/>
            <w:vAlign w:val="center"/>
          </w:tcPr>
          <w:p w14:paraId="0D13AC86" w14:textId="77777777" w:rsidR="00CC6260" w:rsidRPr="006710E4" w:rsidRDefault="00CC6260" w:rsidP="001D67F7">
            <w:pPr>
              <w:keepNext/>
              <w:rPr>
                <w:rFonts w:ascii="Arial Narrow" w:hAnsi="Arial Narrow" w:cs="Calibri"/>
                <w:color w:val="000000"/>
                <w:sz w:val="20"/>
                <w:szCs w:val="20"/>
                <w:lang w:eastAsia="en-AU"/>
              </w:rPr>
            </w:pPr>
          </w:p>
        </w:tc>
        <w:tc>
          <w:tcPr>
            <w:tcW w:w="1892" w:type="dxa"/>
            <w:shd w:val="clear" w:color="auto" w:fill="auto"/>
            <w:noWrap/>
            <w:vAlign w:val="center"/>
            <w:hideMark/>
          </w:tcPr>
          <w:p w14:paraId="46CE53F7" w14:textId="77777777" w:rsidR="00CC6260" w:rsidRPr="006710E4" w:rsidRDefault="00CC6260" w:rsidP="001D67F7">
            <w:pPr>
              <w:keepNext/>
              <w:jc w:val="center"/>
              <w:rPr>
                <w:rFonts w:ascii="Arial Narrow" w:hAnsi="Arial Narrow" w:cs="Calibri"/>
                <w:color w:val="000000"/>
                <w:sz w:val="20"/>
                <w:szCs w:val="20"/>
                <w:lang w:eastAsia="en-AU"/>
              </w:rPr>
            </w:pPr>
            <w:proofErr w:type="spellStart"/>
            <w:r w:rsidRPr="006710E4">
              <w:rPr>
                <w:rFonts w:ascii="Arial Narrow" w:hAnsi="Arial Narrow" w:cs="Calibri"/>
                <w:color w:val="000000"/>
                <w:sz w:val="20"/>
                <w:szCs w:val="20"/>
                <w:lang w:eastAsia="en-AU"/>
              </w:rPr>
              <w:t>dMMR</w:t>
            </w:r>
            <w:proofErr w:type="spellEnd"/>
          </w:p>
        </w:tc>
        <w:tc>
          <w:tcPr>
            <w:tcW w:w="701" w:type="dxa"/>
            <w:shd w:val="clear" w:color="auto" w:fill="auto"/>
            <w:noWrap/>
            <w:vAlign w:val="center"/>
            <w:hideMark/>
          </w:tcPr>
          <w:p w14:paraId="747808EA" w14:textId="77777777" w:rsidR="00CC6260" w:rsidRPr="006710E4" w:rsidRDefault="00CC6260" w:rsidP="001D67F7">
            <w:pPr>
              <w:keepNext/>
              <w:jc w:val="center"/>
              <w:rPr>
                <w:rFonts w:ascii="Arial Narrow" w:hAnsi="Arial Narrow" w:cs="Calibri"/>
                <w:color w:val="000000"/>
                <w:sz w:val="20"/>
                <w:szCs w:val="20"/>
                <w:lang w:eastAsia="en-AU"/>
              </w:rPr>
            </w:pPr>
            <w:r w:rsidRPr="006710E4">
              <w:rPr>
                <w:rFonts w:ascii="Arial Narrow" w:hAnsi="Arial Narrow" w:cs="Calibri"/>
                <w:color w:val="000000"/>
                <w:sz w:val="20"/>
                <w:szCs w:val="20"/>
                <w:lang w:eastAsia="en-AU"/>
              </w:rPr>
              <w:t>65</w:t>
            </w:r>
          </w:p>
        </w:tc>
        <w:tc>
          <w:tcPr>
            <w:tcW w:w="1045" w:type="dxa"/>
            <w:shd w:val="clear" w:color="auto" w:fill="auto"/>
            <w:noWrap/>
            <w:vAlign w:val="center"/>
            <w:hideMark/>
          </w:tcPr>
          <w:p w14:paraId="3BFADF36" w14:textId="77777777" w:rsidR="00CC6260" w:rsidRPr="006710E4" w:rsidRDefault="00CC6260" w:rsidP="001D67F7">
            <w:pPr>
              <w:keepNext/>
              <w:jc w:val="center"/>
              <w:rPr>
                <w:rFonts w:ascii="Arial Narrow" w:hAnsi="Arial Narrow" w:cs="Calibri"/>
                <w:color w:val="000000"/>
                <w:sz w:val="20"/>
                <w:szCs w:val="20"/>
                <w:lang w:eastAsia="en-AU"/>
              </w:rPr>
            </w:pPr>
            <w:r w:rsidRPr="006710E4">
              <w:rPr>
                <w:rFonts w:ascii="Arial Narrow" w:hAnsi="Arial Narrow" w:cs="Calibri"/>
                <w:color w:val="000000"/>
                <w:sz w:val="20"/>
                <w:szCs w:val="20"/>
                <w:lang w:eastAsia="en-AU"/>
              </w:rPr>
              <w:t>48 (73.8)</w:t>
            </w:r>
          </w:p>
        </w:tc>
        <w:tc>
          <w:tcPr>
            <w:tcW w:w="1164" w:type="dxa"/>
            <w:shd w:val="clear" w:color="auto" w:fill="auto"/>
            <w:noWrap/>
            <w:vAlign w:val="center"/>
            <w:hideMark/>
          </w:tcPr>
          <w:p w14:paraId="2251EB2B" w14:textId="77777777" w:rsidR="00CC6260" w:rsidRPr="006710E4" w:rsidRDefault="00CC6260" w:rsidP="001D67F7">
            <w:pPr>
              <w:keepNext/>
              <w:jc w:val="center"/>
              <w:rPr>
                <w:rFonts w:ascii="Arial Narrow" w:hAnsi="Arial Narrow" w:cs="Calibri"/>
                <w:color w:val="000000"/>
                <w:sz w:val="20"/>
                <w:szCs w:val="20"/>
                <w:lang w:eastAsia="en-AU"/>
              </w:rPr>
            </w:pPr>
            <w:r w:rsidRPr="006710E4">
              <w:rPr>
                <w:rFonts w:ascii="Arial Narrow" w:hAnsi="Arial Narrow" w:cs="Calibri"/>
                <w:color w:val="000000"/>
                <w:sz w:val="20"/>
                <w:szCs w:val="20"/>
                <w:lang w:eastAsia="en-AU"/>
              </w:rPr>
              <w:t>17 (26.2)</w:t>
            </w:r>
          </w:p>
        </w:tc>
        <w:tc>
          <w:tcPr>
            <w:tcW w:w="1600" w:type="dxa"/>
            <w:shd w:val="clear" w:color="auto" w:fill="auto"/>
            <w:noWrap/>
            <w:vAlign w:val="center"/>
            <w:hideMark/>
          </w:tcPr>
          <w:p w14:paraId="3BB78E36" w14:textId="77777777" w:rsidR="00CC6260" w:rsidRPr="006710E4" w:rsidRDefault="00CC6260" w:rsidP="001D67F7">
            <w:pPr>
              <w:keepNext/>
              <w:jc w:val="center"/>
              <w:rPr>
                <w:rFonts w:ascii="Arial Narrow" w:hAnsi="Arial Narrow" w:cs="Calibri"/>
                <w:color w:val="000000"/>
                <w:sz w:val="20"/>
                <w:szCs w:val="20"/>
                <w:lang w:eastAsia="en-AU"/>
              </w:rPr>
            </w:pPr>
            <w:r w:rsidRPr="006710E4">
              <w:rPr>
                <w:rFonts w:ascii="Arial Narrow" w:hAnsi="Arial Narrow" w:cs="Calibri"/>
                <w:color w:val="000000"/>
                <w:sz w:val="20"/>
                <w:szCs w:val="20"/>
                <w:lang w:eastAsia="en-AU"/>
              </w:rPr>
              <w:t>3.7 (3.1, 4.4)</w:t>
            </w:r>
          </w:p>
        </w:tc>
      </w:tr>
      <w:tr w:rsidR="00CC6260" w:rsidRPr="006710E4" w14:paraId="20981EDB" w14:textId="77777777" w:rsidTr="009F5B71">
        <w:trPr>
          <w:trHeight w:val="20"/>
        </w:trPr>
        <w:tc>
          <w:tcPr>
            <w:tcW w:w="2615" w:type="dxa"/>
            <w:vMerge/>
            <w:vAlign w:val="center"/>
          </w:tcPr>
          <w:p w14:paraId="683A90BD" w14:textId="77777777" w:rsidR="00CC6260" w:rsidRPr="006710E4" w:rsidRDefault="00CC6260" w:rsidP="001D67F7">
            <w:pPr>
              <w:keepNext/>
              <w:rPr>
                <w:rFonts w:ascii="Arial Narrow" w:hAnsi="Arial Narrow" w:cs="Calibri"/>
                <w:color w:val="000000"/>
                <w:sz w:val="20"/>
                <w:szCs w:val="20"/>
                <w:lang w:eastAsia="en-AU"/>
              </w:rPr>
            </w:pPr>
          </w:p>
        </w:tc>
        <w:tc>
          <w:tcPr>
            <w:tcW w:w="1892" w:type="dxa"/>
            <w:shd w:val="clear" w:color="auto" w:fill="auto"/>
            <w:noWrap/>
            <w:vAlign w:val="center"/>
            <w:hideMark/>
          </w:tcPr>
          <w:p w14:paraId="29CFA377" w14:textId="77777777" w:rsidR="00CC6260" w:rsidRPr="006710E4" w:rsidRDefault="00CC6260" w:rsidP="001D67F7">
            <w:pPr>
              <w:keepNext/>
              <w:jc w:val="center"/>
              <w:rPr>
                <w:rFonts w:ascii="Arial Narrow" w:hAnsi="Arial Narrow" w:cs="Calibri"/>
                <w:color w:val="000000"/>
                <w:sz w:val="20"/>
                <w:szCs w:val="20"/>
                <w:lang w:eastAsia="en-AU"/>
              </w:rPr>
            </w:pPr>
            <w:proofErr w:type="spellStart"/>
            <w:r w:rsidRPr="006710E4">
              <w:rPr>
                <w:rFonts w:ascii="Arial Narrow" w:hAnsi="Arial Narrow" w:cs="Calibri"/>
                <w:color w:val="000000"/>
                <w:sz w:val="20"/>
                <w:szCs w:val="20"/>
                <w:lang w:eastAsia="en-AU"/>
              </w:rPr>
              <w:t>pMMR</w:t>
            </w:r>
            <w:proofErr w:type="spellEnd"/>
          </w:p>
        </w:tc>
        <w:tc>
          <w:tcPr>
            <w:tcW w:w="701" w:type="dxa"/>
            <w:shd w:val="clear" w:color="auto" w:fill="auto"/>
            <w:noWrap/>
            <w:vAlign w:val="center"/>
            <w:hideMark/>
          </w:tcPr>
          <w:p w14:paraId="1DBEC8ED" w14:textId="77777777" w:rsidR="00CC6260" w:rsidRPr="006710E4" w:rsidRDefault="00CC6260" w:rsidP="001D67F7">
            <w:pPr>
              <w:keepNext/>
              <w:jc w:val="center"/>
              <w:rPr>
                <w:rFonts w:ascii="Arial Narrow" w:hAnsi="Arial Narrow" w:cs="Calibri"/>
                <w:iCs/>
                <w:color w:val="000000"/>
                <w:sz w:val="20"/>
                <w:szCs w:val="20"/>
                <w:lang w:eastAsia="en-AU"/>
              </w:rPr>
            </w:pPr>
            <w:r w:rsidRPr="006710E4">
              <w:rPr>
                <w:rFonts w:ascii="Arial Narrow" w:hAnsi="Arial Narrow" w:cs="Calibri"/>
                <w:iCs/>
                <w:color w:val="000000"/>
                <w:sz w:val="20"/>
                <w:szCs w:val="20"/>
                <w:lang w:eastAsia="en-AU"/>
              </w:rPr>
              <w:t>351</w:t>
            </w:r>
          </w:p>
        </w:tc>
        <w:tc>
          <w:tcPr>
            <w:tcW w:w="1045" w:type="dxa"/>
            <w:shd w:val="clear" w:color="auto" w:fill="auto"/>
            <w:noWrap/>
            <w:vAlign w:val="center"/>
            <w:hideMark/>
          </w:tcPr>
          <w:p w14:paraId="3B2EE485" w14:textId="77777777" w:rsidR="00CC6260" w:rsidRPr="006710E4" w:rsidRDefault="00CC6260" w:rsidP="001D67F7">
            <w:pPr>
              <w:keepNext/>
              <w:jc w:val="center"/>
              <w:rPr>
                <w:rFonts w:ascii="Arial Narrow" w:hAnsi="Arial Narrow" w:cs="Calibri"/>
                <w:iCs/>
                <w:color w:val="000000"/>
                <w:sz w:val="20"/>
                <w:szCs w:val="20"/>
                <w:lang w:eastAsia="en-AU"/>
              </w:rPr>
            </w:pPr>
            <w:r w:rsidRPr="006710E4">
              <w:rPr>
                <w:rFonts w:ascii="Arial Narrow" w:hAnsi="Arial Narrow" w:cs="Calibri"/>
                <w:iCs/>
                <w:color w:val="000000"/>
                <w:sz w:val="20"/>
                <w:szCs w:val="20"/>
                <w:lang w:eastAsia="en-AU"/>
              </w:rPr>
              <w:t>238 (67.8)</w:t>
            </w:r>
          </w:p>
        </w:tc>
        <w:tc>
          <w:tcPr>
            <w:tcW w:w="1164" w:type="dxa"/>
            <w:shd w:val="clear" w:color="auto" w:fill="auto"/>
            <w:noWrap/>
            <w:vAlign w:val="center"/>
            <w:hideMark/>
          </w:tcPr>
          <w:p w14:paraId="1101938B" w14:textId="77777777" w:rsidR="00CC6260" w:rsidRPr="006710E4" w:rsidRDefault="00CC6260" w:rsidP="001D67F7">
            <w:pPr>
              <w:keepNext/>
              <w:jc w:val="center"/>
              <w:rPr>
                <w:rFonts w:ascii="Arial Narrow" w:hAnsi="Arial Narrow" w:cs="Calibri"/>
                <w:iCs/>
                <w:color w:val="000000"/>
                <w:sz w:val="20"/>
                <w:szCs w:val="20"/>
                <w:lang w:eastAsia="en-AU"/>
              </w:rPr>
            </w:pPr>
            <w:r w:rsidRPr="006710E4">
              <w:rPr>
                <w:rFonts w:ascii="Arial Narrow" w:hAnsi="Arial Narrow" w:cs="Calibri"/>
                <w:iCs/>
                <w:color w:val="000000"/>
                <w:sz w:val="20"/>
                <w:szCs w:val="20"/>
                <w:lang w:eastAsia="en-AU"/>
              </w:rPr>
              <w:t>113 (32.2)</w:t>
            </w:r>
          </w:p>
        </w:tc>
        <w:tc>
          <w:tcPr>
            <w:tcW w:w="1600" w:type="dxa"/>
            <w:shd w:val="clear" w:color="auto" w:fill="auto"/>
            <w:noWrap/>
            <w:vAlign w:val="center"/>
            <w:hideMark/>
          </w:tcPr>
          <w:p w14:paraId="0485EB14" w14:textId="77777777" w:rsidR="00CC6260" w:rsidRPr="006710E4" w:rsidRDefault="00CC6260" w:rsidP="001D67F7">
            <w:pPr>
              <w:keepNext/>
              <w:jc w:val="center"/>
              <w:rPr>
                <w:rFonts w:ascii="Arial Narrow" w:hAnsi="Arial Narrow" w:cs="Calibri"/>
                <w:iCs/>
                <w:color w:val="000000"/>
                <w:sz w:val="20"/>
                <w:szCs w:val="20"/>
                <w:lang w:eastAsia="en-AU"/>
              </w:rPr>
            </w:pPr>
            <w:r w:rsidRPr="006710E4">
              <w:rPr>
                <w:rFonts w:ascii="Arial Narrow" w:hAnsi="Arial Narrow" w:cs="Calibri"/>
                <w:iCs/>
                <w:color w:val="000000"/>
                <w:sz w:val="20"/>
                <w:szCs w:val="20"/>
                <w:lang w:eastAsia="en-AU"/>
              </w:rPr>
              <w:t>3.8 (3.6, 5.0)</w:t>
            </w:r>
          </w:p>
        </w:tc>
      </w:tr>
      <w:tr w:rsidR="00CC6260" w:rsidRPr="006710E4" w14:paraId="109A798A" w14:textId="77777777" w:rsidTr="009F5B71">
        <w:trPr>
          <w:trHeight w:val="20"/>
        </w:trPr>
        <w:tc>
          <w:tcPr>
            <w:tcW w:w="2615" w:type="dxa"/>
            <w:vAlign w:val="center"/>
          </w:tcPr>
          <w:p w14:paraId="06E48111" w14:textId="77777777" w:rsidR="00CC6260" w:rsidRPr="006710E4" w:rsidRDefault="00CC6260" w:rsidP="001D67F7">
            <w:pPr>
              <w:keepNext/>
              <w:rPr>
                <w:rFonts w:ascii="Arial Narrow" w:hAnsi="Arial Narrow" w:cs="Calibri"/>
                <w:color w:val="000000"/>
                <w:sz w:val="20"/>
                <w:szCs w:val="20"/>
                <w:lang w:eastAsia="en-AU"/>
              </w:rPr>
            </w:pPr>
            <w:proofErr w:type="spellStart"/>
            <w:r w:rsidRPr="006710E4">
              <w:rPr>
                <w:rFonts w:ascii="Arial Narrow" w:hAnsi="Arial Narrow" w:cs="Calibri"/>
                <w:color w:val="000000"/>
                <w:sz w:val="20"/>
                <w:szCs w:val="20"/>
                <w:lang w:eastAsia="en-AU"/>
              </w:rPr>
              <w:t>Scambia</w:t>
            </w:r>
            <w:proofErr w:type="spellEnd"/>
            <w:r w:rsidRPr="006710E4">
              <w:rPr>
                <w:rFonts w:ascii="Arial Narrow" w:hAnsi="Arial Narrow" w:cs="Calibri"/>
                <w:color w:val="000000"/>
                <w:sz w:val="20"/>
                <w:szCs w:val="20"/>
                <w:lang w:eastAsia="en-AU"/>
              </w:rPr>
              <w:t xml:space="preserve"> 2020 (Paclitaxel)</w:t>
            </w:r>
          </w:p>
        </w:tc>
        <w:tc>
          <w:tcPr>
            <w:tcW w:w="1892" w:type="dxa"/>
            <w:shd w:val="clear" w:color="auto" w:fill="auto"/>
            <w:noWrap/>
            <w:vAlign w:val="center"/>
            <w:hideMark/>
          </w:tcPr>
          <w:p w14:paraId="073823EC" w14:textId="77777777" w:rsidR="00CC6260" w:rsidRPr="006710E4" w:rsidRDefault="00CC6260" w:rsidP="001D67F7">
            <w:pPr>
              <w:keepNext/>
              <w:jc w:val="center"/>
              <w:rPr>
                <w:rFonts w:ascii="Arial Narrow" w:hAnsi="Arial Narrow" w:cs="Calibri"/>
                <w:color w:val="000000"/>
                <w:sz w:val="20"/>
                <w:szCs w:val="20"/>
                <w:lang w:eastAsia="en-AU"/>
              </w:rPr>
            </w:pPr>
            <w:r w:rsidRPr="006710E4">
              <w:rPr>
                <w:rFonts w:ascii="Arial Narrow" w:hAnsi="Arial Narrow" w:cs="Calibri"/>
                <w:color w:val="000000"/>
                <w:sz w:val="20"/>
                <w:szCs w:val="20"/>
                <w:lang w:eastAsia="en-AU"/>
              </w:rPr>
              <w:t>ITT</w:t>
            </w:r>
          </w:p>
        </w:tc>
        <w:tc>
          <w:tcPr>
            <w:tcW w:w="701" w:type="dxa"/>
            <w:shd w:val="clear" w:color="auto" w:fill="auto"/>
            <w:noWrap/>
            <w:vAlign w:val="center"/>
            <w:hideMark/>
          </w:tcPr>
          <w:p w14:paraId="0FC6D7CC" w14:textId="77777777" w:rsidR="00CC6260" w:rsidRPr="006710E4" w:rsidRDefault="00CC6260" w:rsidP="001D67F7">
            <w:pPr>
              <w:keepNext/>
              <w:jc w:val="center"/>
              <w:rPr>
                <w:rFonts w:ascii="Arial Narrow" w:hAnsi="Arial Narrow" w:cs="Calibri"/>
                <w:color w:val="000000"/>
                <w:sz w:val="20"/>
                <w:szCs w:val="20"/>
                <w:lang w:eastAsia="en-AU"/>
              </w:rPr>
            </w:pPr>
            <w:r w:rsidRPr="006710E4">
              <w:rPr>
                <w:rFonts w:ascii="Arial Narrow" w:hAnsi="Arial Narrow" w:cs="Calibri"/>
                <w:color w:val="000000"/>
                <w:sz w:val="20"/>
                <w:szCs w:val="20"/>
                <w:lang w:eastAsia="en-AU"/>
              </w:rPr>
              <w:t>90</w:t>
            </w:r>
          </w:p>
        </w:tc>
        <w:tc>
          <w:tcPr>
            <w:tcW w:w="1045" w:type="dxa"/>
            <w:shd w:val="clear" w:color="auto" w:fill="auto"/>
            <w:noWrap/>
            <w:vAlign w:val="center"/>
            <w:hideMark/>
          </w:tcPr>
          <w:p w14:paraId="5A517663" w14:textId="77777777" w:rsidR="00CC6260" w:rsidRPr="006710E4" w:rsidRDefault="00CC6260" w:rsidP="001D67F7">
            <w:pPr>
              <w:keepNext/>
              <w:jc w:val="center"/>
              <w:rPr>
                <w:rFonts w:ascii="Arial Narrow" w:hAnsi="Arial Narrow" w:cs="Calibri"/>
                <w:color w:val="000000"/>
                <w:sz w:val="20"/>
                <w:szCs w:val="20"/>
                <w:lang w:eastAsia="en-AU"/>
              </w:rPr>
            </w:pPr>
            <w:r w:rsidRPr="006710E4">
              <w:rPr>
                <w:rFonts w:ascii="Arial Narrow" w:hAnsi="Arial Narrow" w:cs="Calibri"/>
                <w:color w:val="000000"/>
                <w:sz w:val="20"/>
                <w:szCs w:val="20"/>
                <w:lang w:eastAsia="en-AU"/>
              </w:rPr>
              <w:t>N/R</w:t>
            </w:r>
          </w:p>
        </w:tc>
        <w:tc>
          <w:tcPr>
            <w:tcW w:w="1164" w:type="dxa"/>
            <w:shd w:val="clear" w:color="auto" w:fill="auto"/>
            <w:noWrap/>
            <w:vAlign w:val="center"/>
            <w:hideMark/>
          </w:tcPr>
          <w:p w14:paraId="0237A689" w14:textId="77777777" w:rsidR="00CC6260" w:rsidRPr="006710E4" w:rsidRDefault="00CC6260" w:rsidP="001D67F7">
            <w:pPr>
              <w:keepNext/>
              <w:jc w:val="center"/>
              <w:rPr>
                <w:rFonts w:ascii="Arial Narrow" w:hAnsi="Arial Narrow" w:cs="Calibri"/>
                <w:color w:val="000000"/>
                <w:sz w:val="20"/>
                <w:szCs w:val="20"/>
                <w:lang w:eastAsia="en-AU"/>
              </w:rPr>
            </w:pPr>
            <w:r w:rsidRPr="006710E4">
              <w:rPr>
                <w:rFonts w:ascii="Arial Narrow" w:hAnsi="Arial Narrow" w:cs="Calibri"/>
                <w:color w:val="000000"/>
                <w:sz w:val="20"/>
                <w:szCs w:val="20"/>
                <w:lang w:eastAsia="en-AU"/>
              </w:rPr>
              <w:t>N/R</w:t>
            </w:r>
          </w:p>
        </w:tc>
        <w:tc>
          <w:tcPr>
            <w:tcW w:w="1600" w:type="dxa"/>
            <w:shd w:val="clear" w:color="auto" w:fill="auto"/>
            <w:noWrap/>
            <w:vAlign w:val="center"/>
            <w:hideMark/>
          </w:tcPr>
          <w:p w14:paraId="2BFC7ED5" w14:textId="77777777" w:rsidR="00CC6260" w:rsidRPr="006710E4" w:rsidRDefault="00CC6260" w:rsidP="001D67F7">
            <w:pPr>
              <w:keepNext/>
              <w:jc w:val="center"/>
              <w:rPr>
                <w:rFonts w:ascii="Arial Narrow" w:hAnsi="Arial Narrow" w:cs="Calibri"/>
                <w:color w:val="000000"/>
                <w:sz w:val="20"/>
                <w:szCs w:val="20"/>
                <w:lang w:eastAsia="en-AU"/>
              </w:rPr>
            </w:pPr>
            <w:r w:rsidRPr="006710E4">
              <w:rPr>
                <w:rFonts w:ascii="Arial Narrow" w:hAnsi="Arial Narrow" w:cs="Calibri"/>
                <w:color w:val="000000"/>
                <w:sz w:val="20"/>
                <w:szCs w:val="20"/>
                <w:lang w:eastAsia="en-AU"/>
              </w:rPr>
              <w:t>3.7 (2.3, 4.3)</w:t>
            </w:r>
          </w:p>
        </w:tc>
      </w:tr>
      <w:tr w:rsidR="00CC6260" w:rsidRPr="006710E4" w14:paraId="3F929A38" w14:textId="77777777" w:rsidTr="009F5B71">
        <w:trPr>
          <w:trHeight w:val="20"/>
        </w:trPr>
        <w:tc>
          <w:tcPr>
            <w:tcW w:w="2615" w:type="dxa"/>
            <w:vMerge w:val="restart"/>
            <w:vAlign w:val="center"/>
          </w:tcPr>
          <w:p w14:paraId="11356A8B" w14:textId="77777777" w:rsidR="00CC6260" w:rsidRPr="006710E4" w:rsidRDefault="00CC6260" w:rsidP="0040615B">
            <w:pPr>
              <w:keepNext/>
              <w:jc w:val="left"/>
              <w:rPr>
                <w:rFonts w:ascii="Arial Narrow" w:hAnsi="Arial Narrow" w:cs="Calibri"/>
                <w:color w:val="000000"/>
                <w:sz w:val="20"/>
                <w:szCs w:val="20"/>
                <w:lang w:eastAsia="en-AU"/>
              </w:rPr>
            </w:pPr>
            <w:r w:rsidRPr="006710E4">
              <w:rPr>
                <w:rFonts w:ascii="Arial Narrow" w:hAnsi="Arial Narrow" w:cs="Calibri"/>
                <w:color w:val="000000"/>
                <w:sz w:val="20"/>
                <w:szCs w:val="20"/>
                <w:lang w:eastAsia="en-AU"/>
              </w:rPr>
              <w:t>UK RWE (basket comparator)</w:t>
            </w:r>
          </w:p>
        </w:tc>
        <w:tc>
          <w:tcPr>
            <w:tcW w:w="1892" w:type="dxa"/>
            <w:shd w:val="clear" w:color="auto" w:fill="auto"/>
            <w:noWrap/>
            <w:vAlign w:val="center"/>
            <w:hideMark/>
          </w:tcPr>
          <w:p w14:paraId="49450DF1" w14:textId="77777777" w:rsidR="00CC6260" w:rsidRPr="006710E4" w:rsidRDefault="00CC6260" w:rsidP="001D67F7">
            <w:pPr>
              <w:keepNext/>
              <w:jc w:val="center"/>
              <w:rPr>
                <w:rFonts w:ascii="Arial Narrow" w:hAnsi="Arial Narrow" w:cs="Calibri"/>
                <w:color w:val="000000"/>
                <w:sz w:val="20"/>
                <w:szCs w:val="20"/>
                <w:lang w:eastAsia="en-AU"/>
              </w:rPr>
            </w:pPr>
            <w:r w:rsidRPr="006710E4">
              <w:rPr>
                <w:rFonts w:ascii="Arial Narrow" w:hAnsi="Arial Narrow" w:cs="Calibri"/>
                <w:color w:val="000000"/>
                <w:sz w:val="20"/>
                <w:szCs w:val="20"/>
                <w:lang w:eastAsia="en-AU"/>
              </w:rPr>
              <w:t>GARNET like loose</w:t>
            </w:r>
          </w:p>
        </w:tc>
        <w:tc>
          <w:tcPr>
            <w:tcW w:w="701" w:type="dxa"/>
            <w:shd w:val="clear" w:color="auto" w:fill="auto"/>
            <w:noWrap/>
            <w:vAlign w:val="center"/>
            <w:hideMark/>
          </w:tcPr>
          <w:p w14:paraId="7934C045" w14:textId="77777777" w:rsidR="00CC6260" w:rsidRPr="006710E4" w:rsidRDefault="00CC6260" w:rsidP="001D67F7">
            <w:pPr>
              <w:keepNext/>
              <w:jc w:val="center"/>
              <w:rPr>
                <w:rFonts w:ascii="Arial Narrow" w:hAnsi="Arial Narrow" w:cs="Calibri"/>
                <w:iCs/>
                <w:color w:val="000000"/>
                <w:sz w:val="20"/>
                <w:szCs w:val="20"/>
                <w:lang w:eastAsia="en-AU"/>
              </w:rPr>
            </w:pPr>
            <w:r w:rsidRPr="006710E4">
              <w:rPr>
                <w:rFonts w:ascii="Arial Narrow" w:hAnsi="Arial Narrow" w:cs="Calibri"/>
                <w:iCs/>
                <w:color w:val="000000"/>
                <w:sz w:val="20"/>
                <w:szCs w:val="20"/>
                <w:lang w:eastAsia="en-AU"/>
              </w:rPr>
              <w:t>999</w:t>
            </w:r>
          </w:p>
        </w:tc>
        <w:tc>
          <w:tcPr>
            <w:tcW w:w="1045" w:type="dxa"/>
            <w:shd w:val="clear" w:color="auto" w:fill="auto"/>
            <w:noWrap/>
            <w:vAlign w:val="center"/>
            <w:hideMark/>
          </w:tcPr>
          <w:p w14:paraId="77C12294" w14:textId="77777777" w:rsidR="00CC6260" w:rsidRPr="006710E4" w:rsidRDefault="00CC6260" w:rsidP="001D67F7">
            <w:pPr>
              <w:keepNext/>
              <w:jc w:val="center"/>
              <w:rPr>
                <w:rFonts w:ascii="Arial Narrow" w:hAnsi="Arial Narrow" w:cs="Calibri"/>
                <w:iCs/>
                <w:color w:val="000000"/>
                <w:sz w:val="20"/>
                <w:szCs w:val="20"/>
                <w:lang w:eastAsia="en-AU"/>
              </w:rPr>
            </w:pPr>
            <w:r w:rsidRPr="006710E4">
              <w:rPr>
                <w:rFonts w:ascii="Arial Narrow" w:hAnsi="Arial Narrow" w:cs="Calibri"/>
                <w:iCs/>
                <w:color w:val="000000"/>
                <w:sz w:val="20"/>
                <w:szCs w:val="20"/>
                <w:lang w:eastAsia="en-AU"/>
              </w:rPr>
              <w:t>N/R</w:t>
            </w:r>
          </w:p>
        </w:tc>
        <w:tc>
          <w:tcPr>
            <w:tcW w:w="1164" w:type="dxa"/>
            <w:shd w:val="clear" w:color="auto" w:fill="auto"/>
            <w:noWrap/>
            <w:vAlign w:val="center"/>
            <w:hideMark/>
          </w:tcPr>
          <w:p w14:paraId="4758905C" w14:textId="77777777" w:rsidR="00CC6260" w:rsidRPr="006710E4" w:rsidRDefault="00CC6260" w:rsidP="001D67F7">
            <w:pPr>
              <w:keepNext/>
              <w:jc w:val="center"/>
              <w:rPr>
                <w:rFonts w:ascii="Arial Narrow" w:hAnsi="Arial Narrow" w:cs="Calibri"/>
                <w:iCs/>
                <w:color w:val="000000"/>
                <w:sz w:val="20"/>
                <w:szCs w:val="20"/>
                <w:lang w:eastAsia="en-AU"/>
              </w:rPr>
            </w:pPr>
            <w:r w:rsidRPr="006710E4">
              <w:rPr>
                <w:rFonts w:ascii="Arial Narrow" w:hAnsi="Arial Narrow" w:cs="Calibri"/>
                <w:iCs/>
                <w:color w:val="000000"/>
                <w:sz w:val="20"/>
                <w:szCs w:val="20"/>
                <w:lang w:eastAsia="en-AU"/>
              </w:rPr>
              <w:t>N/R</w:t>
            </w:r>
          </w:p>
        </w:tc>
        <w:tc>
          <w:tcPr>
            <w:tcW w:w="1600" w:type="dxa"/>
            <w:shd w:val="clear" w:color="auto" w:fill="auto"/>
            <w:noWrap/>
            <w:vAlign w:val="center"/>
            <w:hideMark/>
          </w:tcPr>
          <w:p w14:paraId="2BA6F85C" w14:textId="77777777" w:rsidR="00CC6260" w:rsidRPr="006710E4" w:rsidRDefault="00CC6260" w:rsidP="001D67F7">
            <w:pPr>
              <w:keepNext/>
              <w:jc w:val="center"/>
              <w:rPr>
                <w:rFonts w:ascii="Arial Narrow" w:hAnsi="Arial Narrow" w:cs="Calibri"/>
                <w:iCs/>
                <w:color w:val="000000"/>
                <w:sz w:val="20"/>
                <w:szCs w:val="20"/>
                <w:lang w:eastAsia="en-AU"/>
              </w:rPr>
            </w:pPr>
            <w:r w:rsidRPr="006710E4">
              <w:rPr>
                <w:rFonts w:ascii="Arial Narrow" w:hAnsi="Arial Narrow" w:cs="Calibri"/>
                <w:iCs/>
                <w:color w:val="000000"/>
                <w:sz w:val="20"/>
                <w:szCs w:val="20"/>
                <w:lang w:eastAsia="en-AU"/>
              </w:rPr>
              <w:t>N/R</w:t>
            </w:r>
          </w:p>
        </w:tc>
      </w:tr>
      <w:tr w:rsidR="00CC6260" w:rsidRPr="006710E4" w14:paraId="674533AF" w14:textId="77777777" w:rsidTr="009F5B71">
        <w:trPr>
          <w:trHeight w:val="60"/>
        </w:trPr>
        <w:tc>
          <w:tcPr>
            <w:tcW w:w="2615" w:type="dxa"/>
            <w:vMerge/>
            <w:vAlign w:val="center"/>
          </w:tcPr>
          <w:p w14:paraId="7633240B" w14:textId="77777777" w:rsidR="00CC6260" w:rsidRPr="006710E4" w:rsidRDefault="00CC6260" w:rsidP="001D67F7">
            <w:pPr>
              <w:keepNext/>
              <w:rPr>
                <w:rFonts w:ascii="Arial Narrow" w:hAnsi="Arial Narrow" w:cs="Calibri"/>
                <w:color w:val="000000"/>
                <w:sz w:val="20"/>
                <w:szCs w:val="20"/>
                <w:lang w:eastAsia="en-AU"/>
              </w:rPr>
            </w:pPr>
          </w:p>
        </w:tc>
        <w:tc>
          <w:tcPr>
            <w:tcW w:w="1892" w:type="dxa"/>
            <w:shd w:val="clear" w:color="auto" w:fill="auto"/>
            <w:noWrap/>
            <w:vAlign w:val="center"/>
            <w:hideMark/>
          </w:tcPr>
          <w:p w14:paraId="22FAA1B3" w14:textId="77777777" w:rsidR="00CC6260" w:rsidRPr="006710E4" w:rsidRDefault="00CC6260" w:rsidP="001D67F7">
            <w:pPr>
              <w:keepNext/>
              <w:jc w:val="center"/>
              <w:rPr>
                <w:rFonts w:ascii="Arial Narrow" w:hAnsi="Arial Narrow" w:cs="Calibri"/>
                <w:color w:val="000000"/>
                <w:sz w:val="20"/>
                <w:szCs w:val="20"/>
                <w:lang w:eastAsia="en-AU"/>
              </w:rPr>
            </w:pPr>
            <w:r w:rsidRPr="006710E4">
              <w:rPr>
                <w:rFonts w:ascii="Arial Narrow" w:hAnsi="Arial Narrow" w:cs="Calibri"/>
                <w:color w:val="000000"/>
                <w:sz w:val="20"/>
                <w:szCs w:val="20"/>
                <w:lang w:eastAsia="en-AU"/>
              </w:rPr>
              <w:t>GARNET like strict</w:t>
            </w:r>
          </w:p>
        </w:tc>
        <w:tc>
          <w:tcPr>
            <w:tcW w:w="701" w:type="dxa"/>
            <w:shd w:val="clear" w:color="auto" w:fill="auto"/>
            <w:noWrap/>
            <w:vAlign w:val="center"/>
            <w:hideMark/>
          </w:tcPr>
          <w:p w14:paraId="041A127E" w14:textId="77777777" w:rsidR="00CC6260" w:rsidRPr="006710E4" w:rsidRDefault="00CC6260" w:rsidP="001D67F7">
            <w:pPr>
              <w:keepNext/>
              <w:jc w:val="center"/>
              <w:rPr>
                <w:rFonts w:ascii="Arial Narrow" w:hAnsi="Arial Narrow" w:cs="Calibri"/>
                <w:iCs/>
                <w:color w:val="000000"/>
                <w:sz w:val="20"/>
                <w:szCs w:val="20"/>
                <w:lang w:eastAsia="en-AU"/>
              </w:rPr>
            </w:pPr>
            <w:r w:rsidRPr="006710E4">
              <w:rPr>
                <w:rFonts w:ascii="Arial Narrow" w:hAnsi="Arial Narrow" w:cs="Calibri"/>
                <w:iCs/>
                <w:color w:val="000000"/>
                <w:sz w:val="20"/>
                <w:szCs w:val="20"/>
                <w:lang w:eastAsia="en-AU"/>
              </w:rPr>
              <w:t>501</w:t>
            </w:r>
          </w:p>
        </w:tc>
        <w:tc>
          <w:tcPr>
            <w:tcW w:w="1045" w:type="dxa"/>
            <w:shd w:val="clear" w:color="auto" w:fill="auto"/>
            <w:noWrap/>
            <w:vAlign w:val="center"/>
            <w:hideMark/>
          </w:tcPr>
          <w:p w14:paraId="774423AB" w14:textId="77777777" w:rsidR="00CC6260" w:rsidRPr="006710E4" w:rsidRDefault="00CC6260" w:rsidP="001D67F7">
            <w:pPr>
              <w:keepNext/>
              <w:jc w:val="center"/>
              <w:rPr>
                <w:rFonts w:ascii="Arial Narrow" w:hAnsi="Arial Narrow" w:cs="Calibri"/>
                <w:iCs/>
                <w:color w:val="000000"/>
                <w:sz w:val="20"/>
                <w:szCs w:val="20"/>
                <w:lang w:eastAsia="en-AU"/>
              </w:rPr>
            </w:pPr>
            <w:r w:rsidRPr="006710E4">
              <w:rPr>
                <w:rFonts w:ascii="Arial Narrow" w:hAnsi="Arial Narrow" w:cs="Calibri"/>
                <w:iCs/>
                <w:color w:val="000000"/>
                <w:sz w:val="20"/>
                <w:szCs w:val="20"/>
                <w:lang w:eastAsia="en-AU"/>
              </w:rPr>
              <w:t>N/R</w:t>
            </w:r>
          </w:p>
        </w:tc>
        <w:tc>
          <w:tcPr>
            <w:tcW w:w="1164" w:type="dxa"/>
            <w:shd w:val="clear" w:color="auto" w:fill="auto"/>
            <w:noWrap/>
            <w:vAlign w:val="center"/>
            <w:hideMark/>
          </w:tcPr>
          <w:p w14:paraId="0C19444C" w14:textId="77777777" w:rsidR="00CC6260" w:rsidRPr="006710E4" w:rsidRDefault="00CC6260" w:rsidP="001D67F7">
            <w:pPr>
              <w:keepNext/>
              <w:jc w:val="center"/>
              <w:rPr>
                <w:rFonts w:ascii="Arial Narrow" w:hAnsi="Arial Narrow" w:cs="Calibri"/>
                <w:iCs/>
                <w:color w:val="000000"/>
                <w:sz w:val="20"/>
                <w:szCs w:val="20"/>
                <w:lang w:eastAsia="en-AU"/>
              </w:rPr>
            </w:pPr>
            <w:r w:rsidRPr="006710E4">
              <w:rPr>
                <w:rFonts w:ascii="Arial Narrow" w:hAnsi="Arial Narrow" w:cs="Calibri"/>
                <w:iCs/>
                <w:color w:val="000000"/>
                <w:sz w:val="20"/>
                <w:szCs w:val="20"/>
                <w:lang w:eastAsia="en-AU"/>
              </w:rPr>
              <w:t>N/R</w:t>
            </w:r>
          </w:p>
        </w:tc>
        <w:tc>
          <w:tcPr>
            <w:tcW w:w="1600" w:type="dxa"/>
            <w:shd w:val="clear" w:color="auto" w:fill="auto"/>
            <w:noWrap/>
            <w:vAlign w:val="center"/>
            <w:hideMark/>
          </w:tcPr>
          <w:p w14:paraId="405DBDC0" w14:textId="77777777" w:rsidR="00CC6260" w:rsidRPr="006710E4" w:rsidRDefault="00CC6260" w:rsidP="001D67F7">
            <w:pPr>
              <w:keepNext/>
              <w:jc w:val="center"/>
              <w:rPr>
                <w:rFonts w:ascii="Arial Narrow" w:hAnsi="Arial Narrow" w:cs="Calibri"/>
                <w:iCs/>
                <w:color w:val="000000"/>
                <w:sz w:val="20"/>
                <w:szCs w:val="20"/>
                <w:lang w:eastAsia="en-AU"/>
              </w:rPr>
            </w:pPr>
            <w:r w:rsidRPr="006710E4">
              <w:rPr>
                <w:rFonts w:ascii="Arial Narrow" w:hAnsi="Arial Narrow" w:cs="Calibri"/>
                <w:iCs/>
                <w:color w:val="000000"/>
                <w:sz w:val="20"/>
                <w:szCs w:val="20"/>
                <w:lang w:eastAsia="en-AU"/>
              </w:rPr>
              <w:t>N/R</w:t>
            </w:r>
          </w:p>
        </w:tc>
      </w:tr>
    </w:tbl>
    <w:p w14:paraId="64DC9E9B" w14:textId="77777777" w:rsidR="00CC6260" w:rsidRPr="006710E4" w:rsidRDefault="00CC6260" w:rsidP="001D67F7">
      <w:pPr>
        <w:pStyle w:val="TableFooter"/>
        <w:keepNext/>
      </w:pPr>
      <w:r w:rsidRPr="006710E4">
        <w:t xml:space="preserve">Source: Tables 46&amp;49, pp 115&amp;121 of the submission; Table 35, p157 of the GARNET Clinical Study Report; Table 11, p 25 of the Final Report – </w:t>
      </w:r>
      <w:proofErr w:type="spellStart"/>
      <w:r w:rsidRPr="006710E4">
        <w:t>ZoptEC</w:t>
      </w:r>
      <w:proofErr w:type="spellEnd"/>
      <w:r w:rsidRPr="006710E4">
        <w:t xml:space="preserve"> Analysis.</w:t>
      </w:r>
    </w:p>
    <w:p w14:paraId="7EBD9EEF" w14:textId="77777777" w:rsidR="00CC6260" w:rsidRPr="006710E4" w:rsidRDefault="00CC6260" w:rsidP="001D67F7">
      <w:pPr>
        <w:pStyle w:val="TableFooter"/>
        <w:keepNext/>
      </w:pPr>
      <w:r w:rsidRPr="006710E4">
        <w:t xml:space="preserve">CI = confidence interval; </w:t>
      </w:r>
      <w:proofErr w:type="spellStart"/>
      <w:r w:rsidRPr="006710E4">
        <w:t>dMMR</w:t>
      </w:r>
      <w:proofErr w:type="spellEnd"/>
      <w:r w:rsidRPr="006710E4">
        <w:t xml:space="preserve"> = mismatch repair deficient; ES = Efficacy Set; ITT = intention to treat; MAS = main analysis set (for adjusted indirect comparison); </w:t>
      </w:r>
      <w:proofErr w:type="spellStart"/>
      <w:r w:rsidRPr="006710E4">
        <w:t>mITT</w:t>
      </w:r>
      <w:proofErr w:type="spellEnd"/>
      <w:r w:rsidRPr="006710E4">
        <w:t xml:space="preserve"> = modified intention to treat; N/R = not reported; NR = not reached; PES = primary efficacy set; </w:t>
      </w:r>
      <w:proofErr w:type="spellStart"/>
      <w:r w:rsidRPr="006710E4">
        <w:t>pMMR</w:t>
      </w:r>
      <w:proofErr w:type="spellEnd"/>
      <w:r w:rsidRPr="006710E4">
        <w:t xml:space="preserve"> = mismatch repair proficient.</w:t>
      </w:r>
    </w:p>
    <w:p w14:paraId="4B8735FA" w14:textId="77777777" w:rsidR="00CC6260" w:rsidRPr="006710E4" w:rsidRDefault="00CC6260" w:rsidP="001D67F7">
      <w:pPr>
        <w:pStyle w:val="TableFooter"/>
        <w:keepNext/>
      </w:pPr>
      <w:proofErr w:type="spellStart"/>
      <w:r w:rsidRPr="006710E4">
        <w:t>a</w:t>
      </w:r>
      <w:proofErr w:type="spellEnd"/>
      <w:r w:rsidRPr="006710E4">
        <w:t xml:space="preserve"> </w:t>
      </w:r>
      <w:proofErr w:type="gramStart"/>
      <w:r w:rsidRPr="006710E4">
        <w:t>The</w:t>
      </w:r>
      <w:proofErr w:type="gramEnd"/>
      <w:r w:rsidRPr="006710E4">
        <w:t xml:space="preserve"> values reported for the ITT set of GARNET for were not able to be verified during the evaluation using information provided by the submission.</w:t>
      </w:r>
    </w:p>
    <w:p w14:paraId="1F38466F" w14:textId="3A8757FF" w:rsidR="009D4533" w:rsidRDefault="00CC6260" w:rsidP="001D67F7">
      <w:pPr>
        <w:pStyle w:val="TableFooter"/>
        <w:keepNext/>
      </w:pPr>
      <w:r w:rsidRPr="006710E4">
        <w:t xml:space="preserve">b </w:t>
      </w:r>
      <w:r w:rsidR="009D4533" w:rsidRPr="009D4533">
        <w:t>Note that the ITT results are derived from a post-hoc analysis performed specifically for the purposes of informing the PBAC consideration. This analysis was not part of the pre-specified statistical plan for GARNET. Interpretation of the results and their application should therefore be limited to seeking to understand the basis for the PBAC outcome and should not be used for any other purpose.</w:t>
      </w:r>
    </w:p>
    <w:p w14:paraId="0A2A0109" w14:textId="77777777" w:rsidR="009D4533" w:rsidRDefault="009D4533" w:rsidP="009D4533">
      <w:pPr>
        <w:pStyle w:val="TableFooter"/>
        <w:keepNext/>
      </w:pPr>
      <w:r>
        <w:t xml:space="preserve">c </w:t>
      </w:r>
      <w:r w:rsidRPr="009D4533">
        <w:t>Note that the MAS results are derived from a post-hoc analysis performed specifically for the purposes of informing the PBAC consideration. This analysis was not part of the pre-specified statistical plan for GARNET. Interpretation of the results and their application should therefore be limited to seeking to understand the basis for the PBAC outcome and should not be used for any other purpose.</w:t>
      </w:r>
    </w:p>
    <w:p w14:paraId="1D2E9B1A" w14:textId="6753F90C" w:rsidR="00CC6260" w:rsidRPr="006710E4" w:rsidRDefault="009D4533" w:rsidP="001D67F7">
      <w:pPr>
        <w:pStyle w:val="TableFooter"/>
        <w:keepNext/>
      </w:pPr>
      <w:r>
        <w:t xml:space="preserve">d </w:t>
      </w:r>
      <w:proofErr w:type="gramStart"/>
      <w:r w:rsidR="00CC6260" w:rsidRPr="006710E4">
        <w:t>The</w:t>
      </w:r>
      <w:proofErr w:type="gramEnd"/>
      <w:r w:rsidR="00CC6260" w:rsidRPr="006710E4">
        <w:t xml:space="preserve"> anonymised </w:t>
      </w:r>
      <w:proofErr w:type="spellStart"/>
      <w:r w:rsidR="00CC6260" w:rsidRPr="006710E4">
        <w:t>ZoptEC</w:t>
      </w:r>
      <w:proofErr w:type="spellEnd"/>
      <w:r w:rsidR="00CC6260" w:rsidRPr="006710E4">
        <w:t xml:space="preserve"> IPD was licensed to the sponsor for indirect comparison purposes (unpublished data). The 95%CI for median PFS was not able to be verified during the evaluation using information provided by the submission.</w:t>
      </w:r>
    </w:p>
    <w:p w14:paraId="4B92ED27" w14:textId="77777777" w:rsidR="00CC6260" w:rsidRPr="006710E4" w:rsidRDefault="00CC6260" w:rsidP="00CC6260">
      <w:pPr>
        <w:widowControl/>
      </w:pPr>
    </w:p>
    <w:p w14:paraId="59503CEE" w14:textId="59425C39" w:rsidR="00E43581" w:rsidRPr="006710E4" w:rsidRDefault="00314593" w:rsidP="00E24AE9">
      <w:pPr>
        <w:pStyle w:val="ListParagraph"/>
        <w:widowControl/>
        <w:numPr>
          <w:ilvl w:val="1"/>
          <w:numId w:val="2"/>
        </w:numPr>
      </w:pPr>
      <w:r w:rsidRPr="006710E4">
        <w:t xml:space="preserve">A median PFS of 5.6 months (95% CI: 3.3, 18.0) was reported in the ITT </w:t>
      </w:r>
      <w:r w:rsidR="00C41FC4" w:rsidRPr="006710E4">
        <w:t>population</w:t>
      </w:r>
      <w:r w:rsidRPr="006710E4">
        <w:t xml:space="preserve">, and 5.5 months (95% CI: 3.2, NR) in the primary efficacy </w:t>
      </w:r>
      <w:r w:rsidRPr="00C61DA7">
        <w:t xml:space="preserve">set </w:t>
      </w:r>
      <w:r w:rsidR="00A304E0" w:rsidRPr="00C61DA7">
        <w:t>(6.0 months (95% CI: 4.1, 18.0) in IA</w:t>
      </w:r>
      <w:r w:rsidR="00910ECC">
        <w:t>-</w:t>
      </w:r>
      <w:r w:rsidR="00A304E0" w:rsidRPr="00C61DA7">
        <w:t>3)</w:t>
      </w:r>
      <w:r w:rsidR="00A304E0">
        <w:rPr>
          <w:i/>
          <w:iCs/>
        </w:rPr>
        <w:t xml:space="preserve"> </w:t>
      </w:r>
      <w:r w:rsidRPr="006710E4">
        <w:t>of GARNET Cohort A1</w:t>
      </w:r>
      <w:r w:rsidR="009D4533">
        <w:rPr>
          <w:rStyle w:val="FootnoteReference"/>
        </w:rPr>
        <w:footnoteReference w:id="5"/>
      </w:r>
      <w:r w:rsidRPr="006710E4">
        <w:t>. Comparatively, the SoC arms of the included studies reported median PFS of 3.7-4.9 months, with the lower and upper 95%</w:t>
      </w:r>
      <w:r w:rsidR="004107C9" w:rsidRPr="006710E4">
        <w:t xml:space="preserve"> </w:t>
      </w:r>
      <w:r w:rsidRPr="006710E4">
        <w:t xml:space="preserve">CI ranging from 2.7 (in IXAMPLE2) to 6.6 months (in </w:t>
      </w:r>
      <w:proofErr w:type="spellStart"/>
      <w:r w:rsidRPr="006710E4">
        <w:t>ZoptEC</w:t>
      </w:r>
      <w:proofErr w:type="spellEnd"/>
      <w:r w:rsidRPr="006710E4">
        <w:t>), respectively. Given the lower 95%</w:t>
      </w:r>
      <w:r w:rsidR="00351626" w:rsidRPr="006710E4">
        <w:t xml:space="preserve"> </w:t>
      </w:r>
      <w:r w:rsidRPr="006710E4">
        <w:t xml:space="preserve">CI of all </w:t>
      </w:r>
      <w:proofErr w:type="spellStart"/>
      <w:r w:rsidRPr="006710E4">
        <w:t>dostarlimab</w:t>
      </w:r>
      <w:proofErr w:type="spellEnd"/>
      <w:r w:rsidRPr="006710E4">
        <w:t xml:space="preserve"> arms (irrespective of cohort or analysis set) was lower </w:t>
      </w:r>
      <w:r w:rsidRPr="006710E4">
        <w:lastRenderedPageBreak/>
        <w:t>than 9.1 months</w:t>
      </w:r>
      <w:r w:rsidR="00856400" w:rsidRPr="006710E4">
        <w:t xml:space="preserve"> (6.6+2.5 months)</w:t>
      </w:r>
      <w:r w:rsidRPr="006710E4">
        <w:t xml:space="preserve">, the nominated MCID </w:t>
      </w:r>
      <w:r w:rsidR="00856400" w:rsidRPr="006710E4">
        <w:t xml:space="preserve">of an absolute increase in PFS of 2.5 months </w:t>
      </w:r>
      <w:r w:rsidRPr="006710E4">
        <w:t>was not met.</w:t>
      </w:r>
    </w:p>
    <w:p w14:paraId="272A5E42" w14:textId="49326EF8" w:rsidR="001464C2" w:rsidRPr="006710E4" w:rsidRDefault="00455F4B" w:rsidP="001464C2">
      <w:pPr>
        <w:pStyle w:val="ListParagraph"/>
        <w:widowControl/>
        <w:numPr>
          <w:ilvl w:val="1"/>
          <w:numId w:val="2"/>
        </w:numPr>
      </w:pPr>
      <w:r w:rsidRPr="006710E4">
        <w:t xml:space="preserve">The overlay of Kaplan-Meier PFS curves from GARNET Cohort A1 and the SoC arms of the included trials showed initial overlap of curves before crossing in favour of </w:t>
      </w:r>
      <w:proofErr w:type="spellStart"/>
      <w:r w:rsidRPr="006710E4">
        <w:t>dostarlimab</w:t>
      </w:r>
      <w:proofErr w:type="spellEnd"/>
      <w:r w:rsidRPr="006710E4">
        <w:t xml:space="preserve"> from approximately six months onwards</w:t>
      </w:r>
      <w:r w:rsidR="008C267F" w:rsidRPr="006710E4">
        <w:t xml:space="preserve"> (</w:t>
      </w:r>
      <w:r w:rsidR="00EE55A9" w:rsidRPr="006710E4">
        <w:t xml:space="preserve">this is </w:t>
      </w:r>
      <w:r w:rsidR="008C267F" w:rsidRPr="006710E4">
        <w:t xml:space="preserve">discussed further in paragraph </w:t>
      </w:r>
      <w:r w:rsidR="008C267F" w:rsidRPr="006710E4">
        <w:fldChar w:fldCharType="begin"/>
      </w:r>
      <w:r w:rsidR="008C267F" w:rsidRPr="006710E4">
        <w:instrText xml:space="preserve"> REF _Ref92981655 \r \h </w:instrText>
      </w:r>
      <w:r w:rsidR="006710E4" w:rsidRPr="006710E4">
        <w:instrText xml:space="preserve"> \* MERGEFORMAT </w:instrText>
      </w:r>
      <w:r w:rsidR="008C267F" w:rsidRPr="006710E4">
        <w:fldChar w:fldCharType="separate"/>
      </w:r>
      <w:r w:rsidR="004975AD">
        <w:t>6.53</w:t>
      </w:r>
      <w:r w:rsidR="008C267F" w:rsidRPr="006710E4">
        <w:fldChar w:fldCharType="end"/>
      </w:r>
      <w:r w:rsidR="008C267F" w:rsidRPr="006710E4">
        <w:t>)</w:t>
      </w:r>
      <w:r w:rsidRPr="006710E4">
        <w:t xml:space="preserve">. </w:t>
      </w:r>
      <w:proofErr w:type="gramStart"/>
      <w:r w:rsidRPr="006710E4">
        <w:t>Similar to</w:t>
      </w:r>
      <w:proofErr w:type="gramEnd"/>
      <w:r w:rsidRPr="006710E4">
        <w:t xml:space="preserve"> </w:t>
      </w:r>
      <w:r w:rsidR="00910ECC">
        <w:t xml:space="preserve">that </w:t>
      </w:r>
      <w:r w:rsidRPr="006710E4">
        <w:t xml:space="preserve">observed in the Kaplan-Meier OS curves, </w:t>
      </w:r>
      <w:proofErr w:type="spellStart"/>
      <w:r w:rsidRPr="006710E4">
        <w:t>dMMR</w:t>
      </w:r>
      <w:proofErr w:type="spellEnd"/>
      <w:r w:rsidRPr="006710E4">
        <w:t xml:space="preserve"> patients (from KEYNOTE-775) appeared to have </w:t>
      </w:r>
      <w:r w:rsidR="00910ECC">
        <w:t xml:space="preserve">a </w:t>
      </w:r>
      <w:r w:rsidRPr="006710E4">
        <w:t>higher risk of progression/death.</w:t>
      </w:r>
    </w:p>
    <w:p w14:paraId="2AFE9189" w14:textId="0B8853CD" w:rsidR="0040615B" w:rsidRDefault="00A83D5A" w:rsidP="00E24AE9">
      <w:pPr>
        <w:pStyle w:val="ListParagraph"/>
        <w:widowControl/>
        <w:numPr>
          <w:ilvl w:val="1"/>
          <w:numId w:val="2"/>
        </w:numPr>
      </w:pPr>
      <w:r w:rsidRPr="006710E4">
        <w:t xml:space="preserve">ORR was also reported as a key outcome in the submission. </w:t>
      </w:r>
      <w:r w:rsidR="00697640" w:rsidRPr="006710E4">
        <w:t xml:space="preserve">An ORR of 44.8% (95%CI: 35.0, 54.8) was reported for </w:t>
      </w:r>
      <w:proofErr w:type="spellStart"/>
      <w:r w:rsidR="00697640" w:rsidRPr="006710E4">
        <w:t>dostarlimab</w:t>
      </w:r>
      <w:proofErr w:type="spellEnd"/>
      <w:r w:rsidR="00697640" w:rsidRPr="006710E4">
        <w:t xml:space="preserve"> patients in the primary efficacy set of GARNET Cohort A1. </w:t>
      </w:r>
      <w:r w:rsidR="009F5B71" w:rsidRPr="0040615B">
        <w:rPr>
          <w:iCs/>
        </w:rPr>
        <w:t>Updated data from IA-3 indicated an ORR of 45.5% (95% CI: 37.1, 54.0).</w:t>
      </w:r>
      <w:r w:rsidR="009F5B71">
        <w:rPr>
          <w:i/>
        </w:rPr>
        <w:t xml:space="preserve"> </w:t>
      </w:r>
      <w:r w:rsidR="00697640" w:rsidRPr="006710E4">
        <w:t xml:space="preserve">Among patients achieving a response, median </w:t>
      </w:r>
      <w:r w:rsidR="000614A4">
        <w:t>duration of response (</w:t>
      </w:r>
      <w:r w:rsidR="00697640" w:rsidRPr="006710E4">
        <w:t>DOR</w:t>
      </w:r>
      <w:r w:rsidR="000614A4">
        <w:t>)</w:t>
      </w:r>
      <w:r w:rsidR="00697640" w:rsidRPr="006710E4">
        <w:t xml:space="preserve"> was not reached over trial follow-up (range: 2.63, 28.09 months</w:t>
      </w:r>
      <w:r w:rsidR="00D01845">
        <w:t xml:space="preserve"> in the submission data</w:t>
      </w:r>
      <w:r w:rsidR="0040615B">
        <w:noBreakHyphen/>
      </w:r>
      <w:r w:rsidR="00D01845">
        <w:t>cut</w:t>
      </w:r>
      <w:r w:rsidR="00697640" w:rsidRPr="006710E4">
        <w:t>). The</w:t>
      </w:r>
      <w:r w:rsidR="00AD4E4E" w:rsidRPr="006710E4">
        <w:t xml:space="preserve"> submission</w:t>
      </w:r>
      <w:r w:rsidR="00697640" w:rsidRPr="006710E4">
        <w:t xml:space="preserve"> noted that the lower confidence limit for ORR on </w:t>
      </w:r>
      <w:proofErr w:type="spellStart"/>
      <w:r w:rsidR="00697640" w:rsidRPr="006710E4">
        <w:t>dostarlimab</w:t>
      </w:r>
      <w:proofErr w:type="spellEnd"/>
      <w:r w:rsidR="00697640" w:rsidRPr="006710E4">
        <w:t xml:space="preserve"> of 35.0% was higher than the upper confidence limit on SoC across the included trials (18.4%-26.5%). It was unclear whether these results were clinically meaningful, and a</w:t>
      </w:r>
      <w:r w:rsidR="0040615B">
        <w:t>n</w:t>
      </w:r>
      <w:r w:rsidR="00697640" w:rsidRPr="006710E4">
        <w:t xml:space="preserve"> MCID for ORR (or DOR) was not nominated by the submission. </w:t>
      </w:r>
    </w:p>
    <w:p w14:paraId="1400CA9A" w14:textId="2FF875F6" w:rsidR="006417B2" w:rsidRPr="006710E4" w:rsidRDefault="006417B2" w:rsidP="006417B2">
      <w:pPr>
        <w:pStyle w:val="Heading3"/>
      </w:pPr>
      <w:r w:rsidRPr="006710E4">
        <w:t xml:space="preserve">Secondary outcomes </w:t>
      </w:r>
    </w:p>
    <w:p w14:paraId="486DDC0F" w14:textId="26F56BE3" w:rsidR="000F2D0D" w:rsidRPr="006710E4" w:rsidRDefault="000F2D0D" w:rsidP="00E24AE9">
      <w:pPr>
        <w:pStyle w:val="ListParagraph"/>
        <w:widowControl/>
        <w:numPr>
          <w:ilvl w:val="1"/>
          <w:numId w:val="2"/>
        </w:numPr>
      </w:pPr>
      <w:r w:rsidRPr="006710E4">
        <w:t xml:space="preserve">The results of the EQ-5D-5L from GARNET were not provided in </w:t>
      </w:r>
      <w:r w:rsidR="00EC2096" w:rsidRPr="006710E4">
        <w:t xml:space="preserve">the submission’s clinical evaluation </w:t>
      </w:r>
      <w:r w:rsidRPr="006710E4">
        <w:t>and could not be extracted during the evaluation as these were not reported in the Clinical Study Report</w:t>
      </w:r>
      <w:r w:rsidR="003C3AAC">
        <w:t xml:space="preserve"> provided</w:t>
      </w:r>
      <w:r w:rsidRPr="006710E4">
        <w:t>. The submission however, utilised the EQ-5D-5L results collected in GARNET A1 in their economic model.</w:t>
      </w:r>
      <w:r w:rsidR="000F16F0" w:rsidRPr="006710E4">
        <w:t xml:space="preserve"> </w:t>
      </w:r>
      <w:r w:rsidR="000F16F0" w:rsidRPr="006710E4">
        <w:rPr>
          <w:iCs/>
        </w:rPr>
        <w:t xml:space="preserve">This is described in </w:t>
      </w:r>
      <w:r w:rsidR="000F16F0" w:rsidRPr="006710E4">
        <w:rPr>
          <w:iCs/>
        </w:rPr>
        <w:fldChar w:fldCharType="begin"/>
      </w:r>
      <w:r w:rsidR="000F16F0" w:rsidRPr="006710E4">
        <w:rPr>
          <w:iCs/>
        </w:rPr>
        <w:instrText xml:space="preserve"> REF _Ref92030522 \h  \* MERGEFORMAT </w:instrText>
      </w:r>
      <w:r w:rsidR="000F16F0" w:rsidRPr="006710E4">
        <w:rPr>
          <w:iCs/>
        </w:rPr>
      </w:r>
      <w:r w:rsidR="000F16F0" w:rsidRPr="006710E4">
        <w:rPr>
          <w:iCs/>
        </w:rPr>
        <w:fldChar w:fldCharType="separate"/>
      </w:r>
      <w:r w:rsidR="004975AD" w:rsidRPr="004975AD">
        <w:rPr>
          <w:iCs/>
        </w:rPr>
        <w:t>Table 8</w:t>
      </w:r>
      <w:r w:rsidR="000F16F0" w:rsidRPr="006710E4">
        <w:rPr>
          <w:iCs/>
        </w:rPr>
        <w:fldChar w:fldCharType="end"/>
      </w:r>
      <w:r w:rsidR="000F16F0" w:rsidRPr="006710E4">
        <w:rPr>
          <w:iCs/>
        </w:rPr>
        <w:t>.</w:t>
      </w:r>
      <w:r w:rsidR="00523905" w:rsidRPr="006710E4">
        <w:rPr>
          <w:iCs/>
        </w:rPr>
        <w:t xml:space="preserve"> </w:t>
      </w:r>
    </w:p>
    <w:p w14:paraId="54459B01" w14:textId="02AF711E" w:rsidR="00E057E1" w:rsidRPr="006710E4" w:rsidRDefault="00E057E1" w:rsidP="00E057E1">
      <w:pPr>
        <w:pStyle w:val="Heading3"/>
      </w:pPr>
      <w:r w:rsidRPr="006710E4">
        <w:t xml:space="preserve">Subgroup analyses </w:t>
      </w:r>
    </w:p>
    <w:p w14:paraId="1065D83A" w14:textId="61CFE38B" w:rsidR="009F2CB2" w:rsidRPr="006710E4" w:rsidRDefault="009F2CB2" w:rsidP="009F2CB2">
      <w:pPr>
        <w:pStyle w:val="ListParagraph"/>
        <w:widowControl/>
        <w:numPr>
          <w:ilvl w:val="1"/>
          <w:numId w:val="2"/>
        </w:numPr>
      </w:pPr>
      <w:r w:rsidRPr="006710E4">
        <w:t>The submission presented a comparison of the outcomes from GARNET Cohort A1 (</w:t>
      </w:r>
      <w:proofErr w:type="spellStart"/>
      <w:r w:rsidRPr="006710E4">
        <w:t>dMMR</w:t>
      </w:r>
      <w:proofErr w:type="spellEnd"/>
      <w:r w:rsidRPr="006710E4">
        <w:t xml:space="preserve"> A/R EC) and Cohort A2 (</w:t>
      </w:r>
      <w:proofErr w:type="spellStart"/>
      <w:r w:rsidRPr="006710E4">
        <w:t>pMMR</w:t>
      </w:r>
      <w:proofErr w:type="spellEnd"/>
      <w:r w:rsidRPr="006710E4">
        <w:t xml:space="preserve"> A/R EC), which it claimed demonstrated the predictive effect of MMR status with respect to the efficacy of </w:t>
      </w:r>
      <w:proofErr w:type="spellStart"/>
      <w:r w:rsidRPr="006710E4">
        <w:t>dostarlimab</w:t>
      </w:r>
      <w:proofErr w:type="spellEnd"/>
      <w:r w:rsidRPr="006710E4">
        <w:t xml:space="preserve"> in A/R EC following PBC. Overall</w:t>
      </w:r>
      <w:r w:rsidR="002D5868">
        <w:t>,</w:t>
      </w:r>
      <w:r w:rsidRPr="006710E4">
        <w:t xml:space="preserve"> it was plausible that MMR status may be a treatment effect modifier for </w:t>
      </w:r>
      <w:proofErr w:type="spellStart"/>
      <w:r w:rsidRPr="006710E4">
        <w:t>dostarlimab</w:t>
      </w:r>
      <w:proofErr w:type="spellEnd"/>
      <w:r w:rsidRPr="006710E4">
        <w:t xml:space="preserve">, as patients in GARNET Cohort A1 appeared to have better outcomes compared to those in Cohort A2, though this was based on a comparison of two open label cohorts with no formal statistical testing. As noted by the TGA evaluator (TGA Clinical Evaluation Report, p93), “overall, these findings indicate that patient selection based on </w:t>
      </w:r>
      <w:proofErr w:type="spellStart"/>
      <w:r w:rsidRPr="006710E4">
        <w:t>dMMR</w:t>
      </w:r>
      <w:proofErr w:type="spellEnd"/>
      <w:r w:rsidRPr="006710E4">
        <w:t xml:space="preserve"> versus MMR-proficient status for EC identified and enriched for a population more likely to respond to </w:t>
      </w:r>
      <w:proofErr w:type="spellStart"/>
      <w:r w:rsidRPr="006710E4">
        <w:t>dostarlimab</w:t>
      </w:r>
      <w:proofErr w:type="spellEnd"/>
      <w:r w:rsidRPr="006710E4">
        <w:t>”. However, it was also noted that “a proportion – albeit much smaller – of patients with MMR-proficient tumours also had responses which were durable”.</w:t>
      </w:r>
    </w:p>
    <w:p w14:paraId="6DC9BAF6" w14:textId="3604749F" w:rsidR="009B4FD1" w:rsidRPr="006710E4" w:rsidRDefault="009B4FD1" w:rsidP="009B4FD1">
      <w:pPr>
        <w:pStyle w:val="Heading3"/>
      </w:pPr>
      <w:bookmarkStart w:id="25" w:name="_Ref92286795"/>
      <w:r w:rsidRPr="006710E4">
        <w:t>IPTW adjusted indirect comparison</w:t>
      </w:r>
    </w:p>
    <w:p w14:paraId="04A73480" w14:textId="06E3A324" w:rsidR="00FE3D6F" w:rsidRPr="006710E4" w:rsidRDefault="00FE3D6F" w:rsidP="00E24AE9">
      <w:pPr>
        <w:pStyle w:val="ListParagraph"/>
        <w:widowControl/>
        <w:numPr>
          <w:ilvl w:val="1"/>
          <w:numId w:val="2"/>
        </w:numPr>
      </w:pPr>
      <w:bookmarkStart w:id="26" w:name="_Ref92632161"/>
      <w:r w:rsidRPr="006710E4">
        <w:t>The submission presented an IPTW adjusted indirect comparison using IPD</w:t>
      </w:r>
      <w:r w:rsidR="00F6756D" w:rsidRPr="006710E4">
        <w:t xml:space="preserve"> </w:t>
      </w:r>
      <w:r w:rsidR="00A625C5" w:rsidRPr="006710E4">
        <w:t xml:space="preserve">from a matched main analysis set of patients </w:t>
      </w:r>
      <w:r w:rsidR="005F143C" w:rsidRPr="006710E4">
        <w:t xml:space="preserve">(n=325) </w:t>
      </w:r>
      <w:r w:rsidR="00A625C5" w:rsidRPr="006710E4">
        <w:t xml:space="preserve">from </w:t>
      </w:r>
      <w:r w:rsidR="005F143C" w:rsidRPr="006710E4">
        <w:t>GARNET Cohort A1 (n=92) and</w:t>
      </w:r>
      <w:r w:rsidR="00BB7DE8" w:rsidRPr="006710E4">
        <w:t xml:space="preserve"> the doxorubicin arm of</w:t>
      </w:r>
      <w:r w:rsidR="005F143C" w:rsidRPr="006710E4">
        <w:t xml:space="preserve"> </w:t>
      </w:r>
      <w:proofErr w:type="spellStart"/>
      <w:r w:rsidR="005F143C" w:rsidRPr="006710E4">
        <w:t>ZoptEC</w:t>
      </w:r>
      <w:proofErr w:type="spellEnd"/>
      <w:r w:rsidR="005F143C" w:rsidRPr="006710E4">
        <w:t xml:space="preserve"> (n=233) </w:t>
      </w:r>
      <w:r w:rsidR="00F6756D" w:rsidRPr="006710E4">
        <w:t xml:space="preserve">(see paragraph </w:t>
      </w:r>
      <w:r w:rsidR="00F6756D" w:rsidRPr="006710E4">
        <w:fldChar w:fldCharType="begin"/>
      </w:r>
      <w:r w:rsidR="00F6756D" w:rsidRPr="006710E4">
        <w:instrText xml:space="preserve"> REF _Ref92666712 \r \h </w:instrText>
      </w:r>
      <w:r w:rsidR="006710E4" w:rsidRPr="006710E4">
        <w:instrText xml:space="preserve"> \* </w:instrText>
      </w:r>
      <w:r w:rsidR="006710E4" w:rsidRPr="006710E4">
        <w:lastRenderedPageBreak/>
        <w:instrText xml:space="preserve">MERGEFORMAT </w:instrText>
      </w:r>
      <w:r w:rsidR="00F6756D" w:rsidRPr="006710E4">
        <w:fldChar w:fldCharType="separate"/>
      </w:r>
      <w:r w:rsidR="004975AD">
        <w:t>6.13</w:t>
      </w:r>
      <w:r w:rsidR="00F6756D" w:rsidRPr="006710E4">
        <w:fldChar w:fldCharType="end"/>
      </w:r>
      <w:r w:rsidR="00F6756D" w:rsidRPr="006710E4">
        <w:t>)</w:t>
      </w:r>
      <w:r w:rsidRPr="006710E4">
        <w:t xml:space="preserve">. </w:t>
      </w:r>
      <w:r w:rsidR="00453A9E" w:rsidRPr="006710E4">
        <w:t xml:space="preserve">A Cox proportional hazards model with stabilised-IPTW was utilised to estimate the OS hazard ratio for </w:t>
      </w:r>
      <w:proofErr w:type="spellStart"/>
      <w:r w:rsidR="00453A9E" w:rsidRPr="006710E4">
        <w:t>dostarlimab</w:t>
      </w:r>
      <w:proofErr w:type="spellEnd"/>
      <w:r w:rsidR="00453A9E" w:rsidRPr="006710E4">
        <w:t xml:space="preserve"> versus doxorubicin and reported a statistically significant improvement in OS for </w:t>
      </w:r>
      <w:proofErr w:type="spellStart"/>
      <w:r w:rsidR="00453A9E" w:rsidRPr="006710E4">
        <w:t>dostarlimab</w:t>
      </w:r>
      <w:proofErr w:type="spellEnd"/>
      <w:r w:rsidR="00453A9E" w:rsidRPr="006710E4">
        <w:t xml:space="preserve"> versus doxorubicin (HR=0.41; 95% CI: 0.28, 0.61; p&lt;0.0001). This would meet the proposed MCID of 25% improvement in survival.</w:t>
      </w:r>
      <w:bookmarkEnd w:id="25"/>
      <w:r w:rsidR="00E94029" w:rsidRPr="006710E4">
        <w:t xml:space="preserve"> No information regarding the median duration of follow up of patients in the main analysis set was provided.</w:t>
      </w:r>
      <w:bookmarkEnd w:id="26"/>
      <w:r w:rsidR="00E94029" w:rsidRPr="006710E4">
        <w:t xml:space="preserve"> </w:t>
      </w:r>
    </w:p>
    <w:p w14:paraId="4BB82972" w14:textId="7FE43313" w:rsidR="00E81687" w:rsidRPr="006710E4" w:rsidRDefault="00A62937" w:rsidP="00E24AE9">
      <w:pPr>
        <w:pStyle w:val="ListParagraph"/>
        <w:widowControl/>
        <w:numPr>
          <w:ilvl w:val="1"/>
          <w:numId w:val="2"/>
        </w:numPr>
        <w:rPr>
          <w:iCs/>
        </w:rPr>
      </w:pPr>
      <w:r w:rsidRPr="006710E4">
        <w:rPr>
          <w:iCs/>
        </w:rPr>
        <w:t>A s</w:t>
      </w:r>
      <w:r w:rsidR="000148FE" w:rsidRPr="006710E4">
        <w:rPr>
          <w:iCs/>
        </w:rPr>
        <w:t>ensitivity analysis was conducted</w:t>
      </w:r>
      <w:r w:rsidR="00092D00" w:rsidRPr="006710E4">
        <w:rPr>
          <w:iCs/>
        </w:rPr>
        <w:t xml:space="preserve"> </w:t>
      </w:r>
      <w:r w:rsidR="00C545B0" w:rsidRPr="006710E4">
        <w:rPr>
          <w:iCs/>
        </w:rPr>
        <w:t>by</w:t>
      </w:r>
      <w:r w:rsidR="00092D00" w:rsidRPr="006710E4">
        <w:rPr>
          <w:iCs/>
        </w:rPr>
        <w:t xml:space="preserve"> the submission</w:t>
      </w:r>
      <w:r w:rsidR="000148FE" w:rsidRPr="006710E4">
        <w:rPr>
          <w:iCs/>
        </w:rPr>
        <w:t xml:space="preserve"> on the safety analysis set </w:t>
      </w:r>
      <w:r w:rsidR="0006070A" w:rsidRPr="006710E4">
        <w:rPr>
          <w:iCs/>
        </w:rPr>
        <w:t>which included all</w:t>
      </w:r>
      <w:r w:rsidR="00644020" w:rsidRPr="006710E4">
        <w:rPr>
          <w:iCs/>
        </w:rPr>
        <w:t xml:space="preserve"> ITT patients </w:t>
      </w:r>
      <w:r w:rsidR="000148FE" w:rsidRPr="006710E4">
        <w:rPr>
          <w:iCs/>
        </w:rPr>
        <w:t>(N=378</w:t>
      </w:r>
      <w:r w:rsidR="0006070A" w:rsidRPr="006710E4">
        <w:rPr>
          <w:iCs/>
        </w:rPr>
        <w:t xml:space="preserve">; GARNET=129 and </w:t>
      </w:r>
      <w:proofErr w:type="spellStart"/>
      <w:r w:rsidR="0006070A" w:rsidRPr="006710E4">
        <w:rPr>
          <w:iCs/>
        </w:rPr>
        <w:t>ZoptEC</w:t>
      </w:r>
      <w:proofErr w:type="spellEnd"/>
      <w:r w:rsidR="0006070A" w:rsidRPr="006710E4">
        <w:rPr>
          <w:iCs/>
        </w:rPr>
        <w:t xml:space="preserve"> N=248</w:t>
      </w:r>
      <w:r w:rsidR="000148FE" w:rsidRPr="006710E4">
        <w:rPr>
          <w:iCs/>
        </w:rPr>
        <w:t xml:space="preserve">) with adjusting stabilised IPTW to assess whether this would affect the OS results. </w:t>
      </w:r>
      <w:proofErr w:type="spellStart"/>
      <w:r w:rsidR="000148FE" w:rsidRPr="006710E4">
        <w:rPr>
          <w:iCs/>
        </w:rPr>
        <w:t>Dostarlimab</w:t>
      </w:r>
      <w:proofErr w:type="spellEnd"/>
      <w:r w:rsidR="000148FE" w:rsidRPr="006710E4">
        <w:rPr>
          <w:iCs/>
        </w:rPr>
        <w:t xml:space="preserve"> was found to be associated with a statistically significant improvement in OS versus doxorubicin (HR=0.40; 95%CI: 0.28, 0.58; p&lt;0.0001)</w:t>
      </w:r>
      <w:r w:rsidR="00365F8D" w:rsidRPr="006710E4">
        <w:rPr>
          <w:iCs/>
        </w:rPr>
        <w:t xml:space="preserve"> in the safety analysis set</w:t>
      </w:r>
      <w:r w:rsidR="000148FE" w:rsidRPr="006710E4">
        <w:rPr>
          <w:iCs/>
        </w:rPr>
        <w:t xml:space="preserve">. </w:t>
      </w:r>
    </w:p>
    <w:p w14:paraId="2B7CFD65" w14:textId="57098784" w:rsidR="00D01454" w:rsidRPr="006710E4" w:rsidRDefault="00E55DFA" w:rsidP="00E24AE9">
      <w:pPr>
        <w:pStyle w:val="ListParagraph"/>
        <w:widowControl/>
        <w:numPr>
          <w:ilvl w:val="1"/>
          <w:numId w:val="2"/>
        </w:numPr>
      </w:pPr>
      <w:r w:rsidRPr="006710E4">
        <w:t xml:space="preserve">Due to differences in the timepoints for tumour assessments between the GARNET and </w:t>
      </w:r>
      <w:proofErr w:type="spellStart"/>
      <w:r w:rsidRPr="006710E4">
        <w:t>ZoptEC</w:t>
      </w:r>
      <w:proofErr w:type="spellEnd"/>
      <w:r w:rsidRPr="006710E4">
        <w:t xml:space="preserve"> studies (12 weeks after the first </w:t>
      </w:r>
      <w:proofErr w:type="spellStart"/>
      <w:r w:rsidRPr="006710E4">
        <w:t>dostarlimab</w:t>
      </w:r>
      <w:proofErr w:type="spellEnd"/>
      <w:r w:rsidRPr="006710E4">
        <w:t xml:space="preserve"> dose and every 6 weeks thereafter in GARNET vs every 9 weeks during ongoing treatment then every 3 months thereafter in </w:t>
      </w:r>
      <w:proofErr w:type="spellStart"/>
      <w:r w:rsidRPr="006710E4">
        <w:t>ZoptEC</w:t>
      </w:r>
      <w:proofErr w:type="spellEnd"/>
      <w:r w:rsidRPr="006710E4">
        <w:t>), descriptive statistics rather than comparative analyses were presented for all sec</w:t>
      </w:r>
      <w:r w:rsidR="00FE2441" w:rsidRPr="006710E4">
        <w:t>ondary endpoints (PFS, ORR, DOR, and</w:t>
      </w:r>
      <w:r w:rsidRPr="006710E4">
        <w:t xml:space="preserve"> time to deterioration in QoL</w:t>
      </w:r>
      <w:r w:rsidR="00C70B97" w:rsidRPr="006710E4">
        <w:t>)</w:t>
      </w:r>
      <w:r w:rsidRPr="006710E4">
        <w:t xml:space="preserve">. </w:t>
      </w:r>
      <w:r w:rsidR="00E81687" w:rsidRPr="006710E4">
        <w:t xml:space="preserve">The results of the naïve side by side indirect comparison of secondary endpoints suggested that compared to doxorubicin, </w:t>
      </w:r>
      <w:proofErr w:type="spellStart"/>
      <w:r w:rsidR="00E81687" w:rsidRPr="006710E4">
        <w:t>dostarlimab</w:t>
      </w:r>
      <w:proofErr w:type="spellEnd"/>
      <w:r w:rsidR="00E81687" w:rsidRPr="006710E4">
        <w:t xml:space="preserve"> was associated with longer PFS, higher ORR, longer DOR, and longer time to deterioration of QoL. </w:t>
      </w:r>
    </w:p>
    <w:p w14:paraId="5F43466D" w14:textId="38D15D65" w:rsidR="00453A9E" w:rsidRPr="006710E4" w:rsidRDefault="00D35C45" w:rsidP="00E24AE9">
      <w:pPr>
        <w:pStyle w:val="ListParagraph"/>
        <w:widowControl/>
        <w:numPr>
          <w:ilvl w:val="1"/>
          <w:numId w:val="2"/>
        </w:numPr>
      </w:pPr>
      <w:bookmarkStart w:id="27" w:name="_Ref92286798"/>
      <w:r w:rsidRPr="006710E4">
        <w:t>T</w:t>
      </w:r>
      <w:r w:rsidR="00453A9E" w:rsidRPr="006710E4">
        <w:t>here were several limitations associated with th</w:t>
      </w:r>
      <w:r w:rsidR="00604C79" w:rsidRPr="006710E4">
        <w:t xml:space="preserve">e IPTW </w:t>
      </w:r>
      <w:r w:rsidR="00453A9E" w:rsidRPr="006710E4">
        <w:t>analysis:</w:t>
      </w:r>
      <w:bookmarkEnd w:id="27"/>
    </w:p>
    <w:p w14:paraId="6C269D3A" w14:textId="03F6A4DC" w:rsidR="00F27035" w:rsidRPr="006710E4" w:rsidRDefault="00453A9E" w:rsidP="00F27035">
      <w:pPr>
        <w:pStyle w:val="ListParagraph"/>
        <w:widowControl/>
        <w:numPr>
          <w:ilvl w:val="0"/>
          <w:numId w:val="7"/>
        </w:numPr>
        <w:spacing w:after="0"/>
        <w:ind w:left="993" w:hanging="284"/>
      </w:pPr>
      <w:r w:rsidRPr="006710E4">
        <w:t>The clinical trial periods of the two studies were different</w:t>
      </w:r>
      <w:r w:rsidR="003149B6" w:rsidRPr="006710E4">
        <w:t xml:space="preserve"> with</w:t>
      </w:r>
      <w:r w:rsidRPr="006710E4">
        <w:t xml:space="preserve"> GARNET</w:t>
      </w:r>
      <w:r w:rsidR="003149B6" w:rsidRPr="006710E4">
        <w:t xml:space="preserve"> being conducted between</w:t>
      </w:r>
      <w:r w:rsidRPr="006710E4">
        <w:t xml:space="preserve"> 2017-2020, </w:t>
      </w:r>
      <w:r w:rsidR="003149B6" w:rsidRPr="006710E4">
        <w:t xml:space="preserve">whereas </w:t>
      </w:r>
      <w:proofErr w:type="spellStart"/>
      <w:r w:rsidRPr="006710E4">
        <w:t>ZoptEC</w:t>
      </w:r>
      <w:proofErr w:type="spellEnd"/>
      <w:r w:rsidR="003149B6" w:rsidRPr="006710E4">
        <w:t xml:space="preserve"> was conducted between </w:t>
      </w:r>
      <w:r w:rsidRPr="006710E4">
        <w:t>2013</w:t>
      </w:r>
      <w:r w:rsidR="002D5868">
        <w:t xml:space="preserve"> and </w:t>
      </w:r>
      <w:proofErr w:type="gramStart"/>
      <w:r w:rsidRPr="006710E4">
        <w:t>2016;</w:t>
      </w:r>
      <w:proofErr w:type="gramEnd"/>
      <w:r w:rsidRPr="006710E4">
        <w:t xml:space="preserve"> </w:t>
      </w:r>
    </w:p>
    <w:p w14:paraId="7EE8ED0A" w14:textId="79E8EFAC" w:rsidR="00453A9E" w:rsidRPr="006710E4" w:rsidRDefault="00453A9E" w:rsidP="00F27035">
      <w:pPr>
        <w:pStyle w:val="ListParagraph"/>
        <w:widowControl/>
        <w:numPr>
          <w:ilvl w:val="0"/>
          <w:numId w:val="7"/>
        </w:numPr>
        <w:spacing w:after="0"/>
        <w:ind w:left="993" w:hanging="284"/>
      </w:pPr>
      <w:r w:rsidRPr="006710E4">
        <w:t>The nature of th</w:t>
      </w:r>
      <w:r w:rsidR="00403D79" w:rsidRPr="006710E4">
        <w:t>e</w:t>
      </w:r>
      <w:r w:rsidRPr="006710E4">
        <w:t xml:space="preserve"> study design </w:t>
      </w:r>
      <w:r w:rsidR="00DF4322" w:rsidRPr="006710E4">
        <w:t>in which</w:t>
      </w:r>
      <w:r w:rsidR="00F309E6" w:rsidRPr="006710E4">
        <w:t xml:space="preserve"> </w:t>
      </w:r>
      <w:r w:rsidR="006730F2" w:rsidRPr="006710E4">
        <w:t>patient cohort</w:t>
      </w:r>
      <w:r w:rsidR="00DF4322" w:rsidRPr="006710E4">
        <w:t>s from</w:t>
      </w:r>
      <w:r w:rsidR="00F309E6" w:rsidRPr="006710E4">
        <w:t xml:space="preserve"> separate studies</w:t>
      </w:r>
      <w:r w:rsidR="00B34F57" w:rsidRPr="006710E4">
        <w:t xml:space="preserve"> </w:t>
      </w:r>
      <w:r w:rsidR="00DF4322" w:rsidRPr="006710E4">
        <w:t>(</w:t>
      </w:r>
      <w:r w:rsidR="00B34F57" w:rsidRPr="006710E4">
        <w:t>designed for</w:t>
      </w:r>
      <w:r w:rsidR="00F309E6" w:rsidRPr="006710E4">
        <w:t xml:space="preserve"> different purposes</w:t>
      </w:r>
      <w:r w:rsidR="00DF4322" w:rsidRPr="006710E4">
        <w:t>)</w:t>
      </w:r>
      <w:r w:rsidR="00F309E6" w:rsidRPr="006710E4">
        <w:t xml:space="preserve"> </w:t>
      </w:r>
      <w:r w:rsidR="006730F2" w:rsidRPr="006710E4">
        <w:t xml:space="preserve">were used, </w:t>
      </w:r>
      <w:r w:rsidR="00C545B0" w:rsidRPr="006710E4">
        <w:t>which had</w:t>
      </w:r>
      <w:r w:rsidRPr="006710E4">
        <w:t xml:space="preserve"> the possibility of introducing selection bias (bias by confounding</w:t>
      </w:r>
      <w:r w:rsidR="004E4EBF" w:rsidRPr="006710E4">
        <w:t>,</w:t>
      </w:r>
      <w:r w:rsidR="00F27035" w:rsidRPr="006710E4">
        <w:t xml:space="preserve"> including the potential for unmeasured confounding given only those factors collected in both trials on the same evaluation visit schedule </w:t>
      </w:r>
      <w:r w:rsidR="000C6B4A" w:rsidRPr="006710E4">
        <w:t>were</w:t>
      </w:r>
      <w:r w:rsidR="00F27035" w:rsidRPr="006710E4">
        <w:t xml:space="preserve"> utili</w:t>
      </w:r>
      <w:r w:rsidR="00C70B97" w:rsidRPr="006710E4">
        <w:t>s</w:t>
      </w:r>
      <w:r w:rsidR="00F27035" w:rsidRPr="006710E4">
        <w:t>ed</w:t>
      </w:r>
      <w:r w:rsidRPr="006710E4">
        <w:t>)</w:t>
      </w:r>
      <w:r w:rsidR="004E4EBF" w:rsidRPr="006710E4">
        <w:t>.</w:t>
      </w:r>
      <w:r w:rsidR="006730F2" w:rsidRPr="006710E4">
        <w:t xml:space="preserve"> </w:t>
      </w:r>
      <w:r w:rsidR="004E4EBF" w:rsidRPr="006710E4">
        <w:t xml:space="preserve">These may not have been </w:t>
      </w:r>
      <w:r w:rsidR="006730F2" w:rsidRPr="006710E4">
        <w:t>accounted for</w:t>
      </w:r>
      <w:r w:rsidR="00F27035" w:rsidRPr="006710E4">
        <w:t xml:space="preserve"> </w:t>
      </w:r>
      <w:r w:rsidR="004E4EBF" w:rsidRPr="006710E4">
        <w:t>given t</w:t>
      </w:r>
      <w:r w:rsidR="00F27035" w:rsidRPr="006710E4">
        <w:t xml:space="preserve">he Cox proportional hazards regression models with IPTW could only achieve balance on known factors, and the exchangeability assumption was not verifiable and the number of covariates for IPTW may be limited by the sample </w:t>
      </w:r>
      <w:proofErr w:type="gramStart"/>
      <w:r w:rsidR="00F27035" w:rsidRPr="006710E4">
        <w:t>size</w:t>
      </w:r>
      <w:r w:rsidRPr="006710E4">
        <w:t>;</w:t>
      </w:r>
      <w:proofErr w:type="gramEnd"/>
      <w:r w:rsidRPr="006710E4">
        <w:t xml:space="preserve"> </w:t>
      </w:r>
    </w:p>
    <w:p w14:paraId="48DA93E4" w14:textId="77777777" w:rsidR="00453A9E" w:rsidRPr="006710E4" w:rsidRDefault="00453A9E" w:rsidP="00E24AE9">
      <w:pPr>
        <w:pStyle w:val="ListParagraph"/>
        <w:widowControl/>
        <w:numPr>
          <w:ilvl w:val="0"/>
          <w:numId w:val="7"/>
        </w:numPr>
        <w:spacing w:after="0"/>
        <w:ind w:left="993" w:hanging="284"/>
      </w:pPr>
      <w:r w:rsidRPr="006710E4">
        <w:t xml:space="preserve">As biomarker testing was not performed in the </w:t>
      </w:r>
      <w:proofErr w:type="spellStart"/>
      <w:r w:rsidRPr="006710E4">
        <w:t>ZoptEC</w:t>
      </w:r>
      <w:proofErr w:type="spellEnd"/>
      <w:r w:rsidRPr="006710E4">
        <w:t xml:space="preserve"> trial, matching to GARNET was not feasible to include only patients that were </w:t>
      </w:r>
      <w:proofErr w:type="spellStart"/>
      <w:r w:rsidRPr="006710E4">
        <w:t>dMMR</w:t>
      </w:r>
      <w:proofErr w:type="spellEnd"/>
      <w:r w:rsidRPr="006710E4">
        <w:t xml:space="preserve">/MSI-H. Given that the scientific literature is mixed on the prognostic value of </w:t>
      </w:r>
      <w:proofErr w:type="spellStart"/>
      <w:r w:rsidRPr="006710E4">
        <w:t>dMMR</w:t>
      </w:r>
      <w:proofErr w:type="spellEnd"/>
      <w:r w:rsidRPr="006710E4">
        <w:t xml:space="preserve">/MSI-H with existing chemotherapies, it was unknown whether the use of all patients in </w:t>
      </w:r>
      <w:proofErr w:type="spellStart"/>
      <w:r w:rsidRPr="006710E4">
        <w:t>ZoptEC</w:t>
      </w:r>
      <w:proofErr w:type="spellEnd"/>
      <w:r w:rsidRPr="006710E4">
        <w:t xml:space="preserve"> would under or overestimate the patient response to treatment in comparison to </w:t>
      </w:r>
      <w:proofErr w:type="spellStart"/>
      <w:proofErr w:type="gramStart"/>
      <w:r w:rsidRPr="006710E4">
        <w:t>dostarlimab</w:t>
      </w:r>
      <w:proofErr w:type="spellEnd"/>
      <w:r w:rsidRPr="006710E4">
        <w:t>;</w:t>
      </w:r>
      <w:proofErr w:type="gramEnd"/>
      <w:r w:rsidRPr="006710E4">
        <w:t xml:space="preserve"> </w:t>
      </w:r>
    </w:p>
    <w:p w14:paraId="33D21DFC" w14:textId="4E71F128" w:rsidR="00453A9E" w:rsidRPr="006710E4" w:rsidRDefault="00CA417D" w:rsidP="00D01845">
      <w:pPr>
        <w:pStyle w:val="ListParagraph"/>
        <w:widowControl/>
        <w:numPr>
          <w:ilvl w:val="0"/>
          <w:numId w:val="7"/>
        </w:numPr>
        <w:spacing w:after="0"/>
        <w:ind w:left="993" w:hanging="284"/>
      </w:pPr>
      <w:r w:rsidRPr="006710E4">
        <w:t xml:space="preserve">the point estimate for PFS of GARNET Cohort A1 in the main analysis set (8.1 months, </w:t>
      </w:r>
      <w:r w:rsidRPr="00520B23">
        <w:rPr>
          <w:iCs/>
        </w:rPr>
        <w:t>95% CI</w:t>
      </w:r>
      <w:r w:rsidR="009B65B7" w:rsidRPr="00520B23">
        <w:rPr>
          <w:iCs/>
        </w:rPr>
        <w:t>3.2</w:t>
      </w:r>
      <w:r w:rsidRPr="00520B23">
        <w:rPr>
          <w:iCs/>
        </w:rPr>
        <w:t>, NR</w:t>
      </w:r>
      <w:r w:rsidRPr="006710E4">
        <w:t xml:space="preserve">) was substantially greater than the ITT population </w:t>
      </w:r>
      <w:r w:rsidRPr="00520B23">
        <w:t>(5.</w:t>
      </w:r>
      <w:r w:rsidR="009B65B7" w:rsidRPr="00520B23">
        <w:t>6</w:t>
      </w:r>
      <w:r w:rsidRPr="00520B23">
        <w:t xml:space="preserve"> months, 95% CI 3.</w:t>
      </w:r>
      <w:r w:rsidR="009B65B7" w:rsidRPr="00520B23">
        <w:t>3, 18.0</w:t>
      </w:r>
      <w:r w:rsidRPr="00520B23">
        <w:t>)</w:t>
      </w:r>
      <w:r w:rsidR="0075135A" w:rsidRPr="00520B23">
        <w:t>. The commentary considered</w:t>
      </w:r>
      <w:r w:rsidR="0075135A">
        <w:t xml:space="preserve"> </w:t>
      </w:r>
      <w:r w:rsidR="00F61708">
        <w:t xml:space="preserve">this </w:t>
      </w:r>
      <w:r w:rsidRPr="006710E4">
        <w:t xml:space="preserve">may be evidence that the </w:t>
      </w:r>
      <w:r w:rsidR="00DE7416" w:rsidRPr="006710E4">
        <w:t xml:space="preserve">methodology of the IPTW </w:t>
      </w:r>
      <w:r w:rsidRPr="006710E4">
        <w:t xml:space="preserve">favoured </w:t>
      </w:r>
      <w:proofErr w:type="spellStart"/>
      <w:r w:rsidRPr="006710E4">
        <w:t>dostarlimab</w:t>
      </w:r>
      <w:proofErr w:type="spellEnd"/>
      <w:r w:rsidRPr="006710E4">
        <w:t xml:space="preserve"> and there may have been </w:t>
      </w:r>
      <w:r w:rsidRPr="006710E4">
        <w:lastRenderedPageBreak/>
        <w:t>unmeasured confounding</w:t>
      </w:r>
      <w:r w:rsidR="00121BFD" w:rsidRPr="00520B23">
        <w:t xml:space="preserve">. The PSCR stated that “the difference in median PFS observed in the IPTW analysis (as compared to the ITT analysis) is primarily an artefact of the observed plateauing occurring very close to the median patient rather than being due to the IPTW being biased in favour of </w:t>
      </w:r>
      <w:proofErr w:type="spellStart"/>
      <w:r w:rsidR="00121BFD" w:rsidRPr="00520B23">
        <w:t>dostarlimab</w:t>
      </w:r>
      <w:proofErr w:type="spellEnd"/>
      <w:r w:rsidR="00121BFD" w:rsidRPr="00520B23">
        <w:t>”</w:t>
      </w:r>
      <w:r w:rsidRPr="006710E4">
        <w:t xml:space="preserve">; </w:t>
      </w:r>
      <w:r w:rsidR="00FF76AE" w:rsidRPr="006710E4">
        <w:t>and</w:t>
      </w:r>
    </w:p>
    <w:p w14:paraId="47E9960F" w14:textId="748D0403" w:rsidR="00FF76AE" w:rsidRPr="006710E4" w:rsidRDefault="00FF76AE" w:rsidP="00E24AE9">
      <w:pPr>
        <w:pStyle w:val="ListParagraph"/>
        <w:widowControl/>
        <w:numPr>
          <w:ilvl w:val="0"/>
          <w:numId w:val="7"/>
        </w:numPr>
        <w:ind w:left="993" w:hanging="284"/>
      </w:pPr>
      <w:r w:rsidRPr="006710E4">
        <w:t xml:space="preserve">It was unclear why patients with more than 36 months of follow-up (n=4) were excluded from </w:t>
      </w:r>
      <w:proofErr w:type="spellStart"/>
      <w:r w:rsidRPr="006710E4">
        <w:t>ZoptEC</w:t>
      </w:r>
      <w:proofErr w:type="spellEnd"/>
      <w:r w:rsidRPr="006710E4">
        <w:t xml:space="preserve">. By excluding patients with longer survival from the comparator, the analysis likely unreasonably favoured </w:t>
      </w:r>
      <w:proofErr w:type="spellStart"/>
      <w:r w:rsidRPr="006710E4">
        <w:t>dostarlimab</w:t>
      </w:r>
      <w:proofErr w:type="spellEnd"/>
      <w:r w:rsidRPr="006710E4">
        <w:t xml:space="preserve">. </w:t>
      </w:r>
    </w:p>
    <w:p w14:paraId="0FD807BC" w14:textId="35102697" w:rsidR="00B40F08" w:rsidRDefault="00CB7ADA" w:rsidP="00520B23">
      <w:pPr>
        <w:pStyle w:val="ListParagraph"/>
        <w:widowControl/>
        <w:numPr>
          <w:ilvl w:val="1"/>
          <w:numId w:val="2"/>
        </w:numPr>
      </w:pPr>
      <w:r w:rsidRPr="006710E4">
        <w:t xml:space="preserve">Overall, the IPTW data supported the naïve side by side comparison presented by the submission </w:t>
      </w:r>
      <w:r w:rsidR="00C73F7F" w:rsidRPr="006710E4">
        <w:t>which s</w:t>
      </w:r>
      <w:r w:rsidR="007446AE" w:rsidRPr="006710E4">
        <w:t xml:space="preserve">uggested </w:t>
      </w:r>
      <w:r w:rsidRPr="006710E4">
        <w:t xml:space="preserve">that </w:t>
      </w:r>
      <w:proofErr w:type="spellStart"/>
      <w:r w:rsidRPr="006710E4">
        <w:t>dMMR</w:t>
      </w:r>
      <w:proofErr w:type="spellEnd"/>
      <w:r w:rsidRPr="006710E4">
        <w:t xml:space="preserve"> patients with A/R EC treated with 2L </w:t>
      </w:r>
      <w:proofErr w:type="spellStart"/>
      <w:r w:rsidRPr="006710E4">
        <w:t>dostarlimab</w:t>
      </w:r>
      <w:proofErr w:type="spellEnd"/>
      <w:r w:rsidRPr="006710E4">
        <w:t xml:space="preserve"> w</w:t>
      </w:r>
      <w:r w:rsidR="00BB7DE8" w:rsidRPr="006710E4">
        <w:t>ere</w:t>
      </w:r>
      <w:r w:rsidRPr="006710E4">
        <w:t xml:space="preserve"> likely to have longer OS compared to patients treated with 2L </w:t>
      </w:r>
      <w:proofErr w:type="spellStart"/>
      <w:r w:rsidRPr="006710E4">
        <w:t>SoC.</w:t>
      </w:r>
      <w:proofErr w:type="spellEnd"/>
      <w:r w:rsidRPr="006710E4">
        <w:t xml:space="preserve"> However, given the significant limitations of the IPTW</w:t>
      </w:r>
      <w:r w:rsidR="00536DBE" w:rsidRPr="006710E4">
        <w:t>,</w:t>
      </w:r>
      <w:r w:rsidRPr="006710E4">
        <w:t xml:space="preserve"> the magnitude of benefit </w:t>
      </w:r>
      <w:r w:rsidR="00BB7DE8" w:rsidRPr="006710E4">
        <w:t xml:space="preserve">was </w:t>
      </w:r>
      <w:r w:rsidRPr="006710E4">
        <w:t>highly uncertain.</w:t>
      </w:r>
    </w:p>
    <w:p w14:paraId="2A1DE4D1" w14:textId="382AE74E" w:rsidR="00D75285" w:rsidRPr="00520B23" w:rsidRDefault="00D75285" w:rsidP="00863CF8">
      <w:pPr>
        <w:outlineLvl w:val="2"/>
        <w:rPr>
          <w:iCs/>
          <w:u w:val="single"/>
        </w:rPr>
      </w:pPr>
      <w:r w:rsidRPr="00520B23">
        <w:rPr>
          <w:iCs/>
          <w:u w:val="single"/>
        </w:rPr>
        <w:t xml:space="preserve">Comparison versus pembrolizumab </w:t>
      </w:r>
    </w:p>
    <w:p w14:paraId="4702C876" w14:textId="6681BDED" w:rsidR="00D75285" w:rsidRDefault="00D01845" w:rsidP="00D01845">
      <w:pPr>
        <w:pStyle w:val="ListParagraph"/>
        <w:widowControl/>
        <w:numPr>
          <w:ilvl w:val="1"/>
          <w:numId w:val="2"/>
        </w:numPr>
        <w:rPr>
          <w:iCs/>
        </w:rPr>
      </w:pPr>
      <w:r w:rsidRPr="00520B23">
        <w:rPr>
          <w:iCs/>
        </w:rPr>
        <w:t>The P</w:t>
      </w:r>
      <w:r w:rsidR="00D75285" w:rsidRPr="00520B23">
        <w:rPr>
          <w:iCs/>
        </w:rPr>
        <w:t>SCR</w:t>
      </w:r>
      <w:r w:rsidRPr="00520B23">
        <w:rPr>
          <w:iCs/>
        </w:rPr>
        <w:t xml:space="preserve"> provided a</w:t>
      </w:r>
      <w:r w:rsidR="00D75285" w:rsidRPr="00520B23">
        <w:rPr>
          <w:iCs/>
        </w:rPr>
        <w:t>n overlay of OS and</w:t>
      </w:r>
      <w:r w:rsidRPr="00520B23">
        <w:rPr>
          <w:iCs/>
        </w:rPr>
        <w:t xml:space="preserve"> PFS KM curves of </w:t>
      </w:r>
      <w:proofErr w:type="spellStart"/>
      <w:r w:rsidRPr="00520B23">
        <w:rPr>
          <w:iCs/>
        </w:rPr>
        <w:t>dostarlimab</w:t>
      </w:r>
      <w:proofErr w:type="spellEnd"/>
      <w:r w:rsidRPr="00520B23">
        <w:rPr>
          <w:iCs/>
        </w:rPr>
        <w:t xml:space="preserve"> versus </w:t>
      </w:r>
      <w:r w:rsidR="00D75285" w:rsidRPr="00520B23">
        <w:rPr>
          <w:iCs/>
        </w:rPr>
        <w:t xml:space="preserve">pembrolizumab </w:t>
      </w:r>
      <w:r w:rsidRPr="00520B23">
        <w:rPr>
          <w:iCs/>
        </w:rPr>
        <w:t xml:space="preserve">monotherapy </w:t>
      </w:r>
      <w:r w:rsidR="00D75285" w:rsidRPr="00520B23">
        <w:rPr>
          <w:iCs/>
        </w:rPr>
        <w:t xml:space="preserve">and </w:t>
      </w:r>
      <w:r w:rsidRPr="00520B23">
        <w:rPr>
          <w:iCs/>
        </w:rPr>
        <w:t xml:space="preserve">combination therapy with pembrolizumab and </w:t>
      </w:r>
      <w:proofErr w:type="spellStart"/>
      <w:r w:rsidRPr="00520B23">
        <w:rPr>
          <w:iCs/>
        </w:rPr>
        <w:t>lenvatinib</w:t>
      </w:r>
      <w:proofErr w:type="spellEnd"/>
      <w:r w:rsidRPr="00520B23">
        <w:rPr>
          <w:iCs/>
        </w:rPr>
        <w:t xml:space="preserve"> (</w:t>
      </w:r>
      <w:r w:rsidR="005211DB" w:rsidRPr="00520B23">
        <w:rPr>
          <w:iCs/>
        </w:rPr>
        <w:fldChar w:fldCharType="begin"/>
      </w:r>
      <w:r w:rsidR="005211DB" w:rsidRPr="00520B23">
        <w:rPr>
          <w:iCs/>
        </w:rPr>
        <w:instrText xml:space="preserve"> REF _Ref95479731 \h  \* MERGEFORMAT </w:instrText>
      </w:r>
      <w:r w:rsidR="005211DB" w:rsidRPr="00520B23">
        <w:rPr>
          <w:iCs/>
        </w:rPr>
      </w:r>
      <w:r w:rsidR="005211DB" w:rsidRPr="00520B23">
        <w:rPr>
          <w:iCs/>
        </w:rPr>
        <w:fldChar w:fldCharType="separate"/>
      </w:r>
      <w:r w:rsidR="004975AD" w:rsidRPr="004975AD">
        <w:rPr>
          <w:iCs/>
        </w:rPr>
        <w:t>Figure 4</w:t>
      </w:r>
      <w:r w:rsidR="005211DB" w:rsidRPr="00520B23">
        <w:rPr>
          <w:iCs/>
        </w:rPr>
        <w:fldChar w:fldCharType="end"/>
      </w:r>
      <w:r w:rsidRPr="00520B23">
        <w:rPr>
          <w:iCs/>
        </w:rPr>
        <w:t>)</w:t>
      </w:r>
      <w:r w:rsidR="00D75285" w:rsidRPr="00520B23">
        <w:rPr>
          <w:iCs/>
        </w:rPr>
        <w:t xml:space="preserve">. </w:t>
      </w:r>
      <w:r w:rsidR="00764405" w:rsidRPr="00520B23">
        <w:rPr>
          <w:iCs/>
        </w:rPr>
        <w:t xml:space="preserve">The PSCR stated that </w:t>
      </w:r>
      <w:r w:rsidR="00520B23">
        <w:rPr>
          <w:iCs/>
        </w:rPr>
        <w:t>“</w:t>
      </w:r>
      <w:r w:rsidR="00764405" w:rsidRPr="00520B23">
        <w:rPr>
          <w:iCs/>
        </w:rPr>
        <w:t>s</w:t>
      </w:r>
      <w:r w:rsidR="00D75285" w:rsidRPr="00520B23">
        <w:rPr>
          <w:iCs/>
        </w:rPr>
        <w:t>imilar OS and PFS trends were observed across all interventions, suggestive of a comparable efficacy</w:t>
      </w:r>
      <w:r w:rsidR="00520B23">
        <w:rPr>
          <w:iCs/>
        </w:rPr>
        <w:t>”</w:t>
      </w:r>
      <w:r w:rsidR="00D75285" w:rsidRPr="00520B23">
        <w:rPr>
          <w:iCs/>
        </w:rPr>
        <w:t xml:space="preserve">. </w:t>
      </w:r>
      <w:r w:rsidR="0089244D" w:rsidRPr="00520B23">
        <w:rPr>
          <w:iCs/>
        </w:rPr>
        <w:t>M</w:t>
      </w:r>
      <w:r w:rsidR="00D75285" w:rsidRPr="00520B23">
        <w:rPr>
          <w:iCs/>
        </w:rPr>
        <w:t>edian OS was not reached in any of the interventions.</w:t>
      </w:r>
      <w:r w:rsidRPr="00520B23">
        <w:rPr>
          <w:iCs/>
        </w:rPr>
        <w:t xml:space="preserve"> The PSCR stated </w:t>
      </w:r>
      <w:r w:rsidR="00D75285" w:rsidRPr="00520B23">
        <w:rPr>
          <w:iCs/>
        </w:rPr>
        <w:t xml:space="preserve">that tumour assessment in GARNET (week 12 after first dose then every 6 weeks in the first year then every 12 weeks) was performed more frequently in the first 12 months when compared to KEYNOTE-158 (every 9 weeks in the first year then every 12 weeks) and KEYNOTE-775 (every 8 weeks until primary analysis then every 12 weeks), which may potentially bias (measurement bias) the results against </w:t>
      </w:r>
      <w:proofErr w:type="spellStart"/>
      <w:r w:rsidR="00D75285" w:rsidRPr="00520B23">
        <w:rPr>
          <w:iCs/>
        </w:rPr>
        <w:t>dostarlimab</w:t>
      </w:r>
      <w:proofErr w:type="spellEnd"/>
      <w:r w:rsidR="00D75285" w:rsidRPr="00520B23">
        <w:rPr>
          <w:iCs/>
        </w:rPr>
        <w:t>.</w:t>
      </w:r>
    </w:p>
    <w:p w14:paraId="6942D2AF" w14:textId="0653E61C" w:rsidR="00520B23" w:rsidRPr="00520B23" w:rsidRDefault="00520B23" w:rsidP="00D01845">
      <w:pPr>
        <w:pStyle w:val="ListParagraph"/>
        <w:widowControl/>
        <w:numPr>
          <w:ilvl w:val="1"/>
          <w:numId w:val="2"/>
        </w:numPr>
        <w:rPr>
          <w:iCs/>
        </w:rPr>
      </w:pPr>
      <w:r>
        <w:rPr>
          <w:iCs/>
        </w:rPr>
        <w:t>The PBAC noted that the comparison had not been independently evaluated as it was provided with the PSCR.</w:t>
      </w:r>
    </w:p>
    <w:p w14:paraId="50D14157" w14:textId="688F10D1" w:rsidR="00D75285" w:rsidRPr="00520B23" w:rsidRDefault="00D75285" w:rsidP="0090222A">
      <w:pPr>
        <w:pStyle w:val="Caption"/>
        <w:keepNext/>
        <w:keepLines/>
        <w:spacing w:after="0"/>
        <w:rPr>
          <w:rFonts w:ascii="Arial Narrow" w:hAnsi="Arial Narrow"/>
          <w:iCs/>
          <w:sz w:val="20"/>
          <w:szCs w:val="20"/>
        </w:rPr>
      </w:pPr>
      <w:bookmarkStart w:id="28" w:name="_Ref93766310"/>
      <w:bookmarkStart w:id="29" w:name="_Ref95479731"/>
      <w:bookmarkStart w:id="30" w:name="_Ref95479718"/>
      <w:r w:rsidRPr="00520B23">
        <w:rPr>
          <w:rFonts w:ascii="Arial Narrow" w:hAnsi="Arial Narrow"/>
          <w:iCs/>
          <w:color w:val="auto"/>
          <w:sz w:val="20"/>
          <w:szCs w:val="20"/>
        </w:rPr>
        <w:lastRenderedPageBreak/>
        <w:t>Figure</w:t>
      </w:r>
      <w:bookmarkEnd w:id="28"/>
      <w:r w:rsidR="005211DB" w:rsidRPr="00520B23">
        <w:rPr>
          <w:rFonts w:ascii="Arial Narrow" w:hAnsi="Arial Narrow"/>
          <w:iCs/>
          <w:color w:val="auto"/>
          <w:sz w:val="20"/>
          <w:szCs w:val="20"/>
        </w:rPr>
        <w:t xml:space="preserve"> </w:t>
      </w:r>
      <w:r w:rsidR="005211DB" w:rsidRPr="00520B23">
        <w:rPr>
          <w:rFonts w:ascii="Arial Narrow" w:hAnsi="Arial Narrow"/>
          <w:iCs/>
          <w:color w:val="auto"/>
          <w:sz w:val="20"/>
          <w:szCs w:val="20"/>
        </w:rPr>
        <w:fldChar w:fldCharType="begin"/>
      </w:r>
      <w:r w:rsidR="005211DB" w:rsidRPr="00520B23">
        <w:rPr>
          <w:rFonts w:ascii="Arial Narrow" w:hAnsi="Arial Narrow"/>
          <w:iCs/>
          <w:color w:val="auto"/>
          <w:sz w:val="20"/>
          <w:szCs w:val="20"/>
        </w:rPr>
        <w:instrText xml:space="preserve"> SEQ Figure \* ARABIC </w:instrText>
      </w:r>
      <w:r w:rsidR="005211DB" w:rsidRPr="00520B23">
        <w:rPr>
          <w:rFonts w:ascii="Arial Narrow" w:hAnsi="Arial Narrow"/>
          <w:iCs/>
          <w:color w:val="auto"/>
          <w:sz w:val="20"/>
          <w:szCs w:val="20"/>
        </w:rPr>
        <w:fldChar w:fldCharType="separate"/>
      </w:r>
      <w:r w:rsidR="004975AD">
        <w:rPr>
          <w:rFonts w:ascii="Arial Narrow" w:hAnsi="Arial Narrow"/>
          <w:iCs/>
          <w:noProof/>
          <w:color w:val="auto"/>
          <w:sz w:val="20"/>
          <w:szCs w:val="20"/>
        </w:rPr>
        <w:t>4</w:t>
      </w:r>
      <w:r w:rsidR="005211DB" w:rsidRPr="00520B23">
        <w:rPr>
          <w:rFonts w:ascii="Arial Narrow" w:hAnsi="Arial Narrow"/>
          <w:iCs/>
          <w:color w:val="auto"/>
          <w:sz w:val="20"/>
          <w:szCs w:val="20"/>
        </w:rPr>
        <w:fldChar w:fldCharType="end"/>
      </w:r>
      <w:bookmarkEnd w:id="29"/>
      <w:r w:rsidRPr="00520B23">
        <w:rPr>
          <w:rFonts w:ascii="Arial Narrow" w:hAnsi="Arial Narrow"/>
          <w:iCs/>
          <w:color w:val="auto"/>
          <w:sz w:val="20"/>
          <w:szCs w:val="20"/>
        </w:rPr>
        <w:t xml:space="preserve">: Overlay of OS (left) and PFS (right) Kaplan-Meier data (GARNET, KEYNOTE-158, KEYNOTE-775 </w:t>
      </w:r>
      <w:proofErr w:type="spellStart"/>
      <w:r w:rsidRPr="00520B23">
        <w:rPr>
          <w:rFonts w:ascii="Arial Narrow" w:hAnsi="Arial Narrow"/>
          <w:iCs/>
          <w:color w:val="auto"/>
          <w:sz w:val="20"/>
          <w:szCs w:val="20"/>
        </w:rPr>
        <w:t>dMMR</w:t>
      </w:r>
      <w:proofErr w:type="spellEnd"/>
      <w:r w:rsidRPr="00520B23">
        <w:rPr>
          <w:rFonts w:ascii="Arial Narrow" w:hAnsi="Arial Narrow"/>
          <w:iCs/>
          <w:color w:val="auto"/>
          <w:sz w:val="20"/>
          <w:szCs w:val="20"/>
        </w:rPr>
        <w:t>)</w:t>
      </w:r>
      <w:bookmarkEnd w:id="30"/>
    </w:p>
    <w:p w14:paraId="4CAD11F5" w14:textId="77777777" w:rsidR="00D01845" w:rsidRPr="00520B23" w:rsidRDefault="00D75285" w:rsidP="0090222A">
      <w:pPr>
        <w:keepNext/>
        <w:keepLines/>
        <w:rPr>
          <w:rFonts w:ascii="Arial Narrow" w:eastAsiaTheme="majorEastAsia" w:hAnsi="Arial Narrow" w:cstheme="majorBidi"/>
          <w:iCs/>
          <w:sz w:val="16"/>
        </w:rPr>
      </w:pPr>
      <w:r w:rsidRPr="00520B23">
        <w:rPr>
          <w:iCs/>
          <w:noProof/>
          <w:lang w:eastAsia="en-AU"/>
        </w:rPr>
        <w:drawing>
          <wp:inline distT="0" distB="0" distL="0" distR="0" wp14:anchorId="55AD2426" wp14:editId="4CC4746F">
            <wp:extent cx="5767906" cy="1714500"/>
            <wp:effectExtent l="0" t="0" r="4445" b="0"/>
            <wp:docPr id="21" name="Picture 21" descr="Figure 4: Overlay of OS (left) and PFS (right) Kaplan-Meier data (GARNET, KEYNOTE-158, KEYNOTE-775 dMM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Figure 4: Overlay of OS (left) and PFS (right) Kaplan-Meier data (GARNET, KEYNOTE-158, KEYNOTE-775 dMMR)"/>
                    <pic:cNvPicPr/>
                  </pic:nvPicPr>
                  <pic:blipFill>
                    <a:blip r:embed="rId11"/>
                    <a:stretch>
                      <a:fillRect/>
                    </a:stretch>
                  </pic:blipFill>
                  <pic:spPr>
                    <a:xfrm>
                      <a:off x="0" y="0"/>
                      <a:ext cx="5776041" cy="1716918"/>
                    </a:xfrm>
                    <a:prstGeom prst="rect">
                      <a:avLst/>
                    </a:prstGeom>
                  </pic:spPr>
                </pic:pic>
              </a:graphicData>
            </a:graphic>
          </wp:inline>
        </w:drawing>
      </w:r>
    </w:p>
    <w:p w14:paraId="5314AC53" w14:textId="306299F0" w:rsidR="00D01845" w:rsidRPr="00520B23" w:rsidRDefault="00D01845" w:rsidP="0090222A">
      <w:pPr>
        <w:keepNext/>
        <w:keepLines/>
        <w:rPr>
          <w:rFonts w:ascii="Arial Narrow" w:eastAsiaTheme="majorEastAsia" w:hAnsi="Arial Narrow" w:cstheme="majorBidi"/>
          <w:iCs/>
          <w:sz w:val="18"/>
          <w:szCs w:val="18"/>
        </w:rPr>
      </w:pPr>
      <w:r w:rsidRPr="00520B23">
        <w:rPr>
          <w:rFonts w:ascii="Arial Narrow" w:eastAsiaTheme="majorEastAsia" w:hAnsi="Arial Narrow" w:cstheme="majorBidi"/>
          <w:iCs/>
          <w:sz w:val="18"/>
          <w:szCs w:val="18"/>
        </w:rPr>
        <w:t xml:space="preserve">Source: </w:t>
      </w:r>
      <w:r w:rsidR="005211DB" w:rsidRPr="00520B23">
        <w:rPr>
          <w:rFonts w:ascii="Arial Narrow" w:eastAsiaTheme="majorEastAsia" w:hAnsi="Arial Narrow" w:cstheme="majorBidi"/>
          <w:iCs/>
          <w:sz w:val="18"/>
          <w:szCs w:val="18"/>
        </w:rPr>
        <w:t>Figure 6, p7 of the PSCR</w:t>
      </w:r>
    </w:p>
    <w:p w14:paraId="06C484B8" w14:textId="6BAC7BC2" w:rsidR="00D75285" w:rsidRPr="00520B23" w:rsidRDefault="00D75285" w:rsidP="0090222A">
      <w:pPr>
        <w:keepNext/>
        <w:keepLines/>
        <w:rPr>
          <w:rFonts w:ascii="Arial Narrow" w:eastAsiaTheme="majorEastAsia" w:hAnsi="Arial Narrow" w:cstheme="majorBidi"/>
          <w:iCs/>
          <w:sz w:val="18"/>
          <w:szCs w:val="18"/>
        </w:rPr>
      </w:pPr>
      <w:r w:rsidRPr="00520B23">
        <w:rPr>
          <w:rFonts w:ascii="Arial Narrow" w:eastAsiaTheme="majorEastAsia" w:hAnsi="Arial Narrow" w:cstheme="majorBidi"/>
          <w:iCs/>
          <w:sz w:val="18"/>
          <w:szCs w:val="18"/>
        </w:rPr>
        <w:t xml:space="preserve">Note: OS and PFS curves were generated via the digitising of KM curves reported in: GARNET CSR; GARNET IA-3; O’Malley 2022, </w:t>
      </w:r>
      <w:proofErr w:type="spellStart"/>
      <w:r w:rsidRPr="00520B23">
        <w:rPr>
          <w:rFonts w:ascii="Arial Narrow" w:eastAsiaTheme="majorEastAsia" w:hAnsi="Arial Narrow" w:cstheme="majorBidi"/>
          <w:iCs/>
          <w:sz w:val="18"/>
          <w:szCs w:val="18"/>
        </w:rPr>
        <w:t>Makker</w:t>
      </w:r>
      <w:proofErr w:type="spellEnd"/>
      <w:r w:rsidRPr="00520B23">
        <w:rPr>
          <w:rFonts w:ascii="Arial Narrow" w:eastAsiaTheme="majorEastAsia" w:hAnsi="Arial Narrow" w:cstheme="majorBidi"/>
          <w:iCs/>
          <w:sz w:val="18"/>
          <w:szCs w:val="18"/>
        </w:rPr>
        <w:t xml:space="preserve"> 2021b. PFS KM plot based on ITT safety analysis set for IA-3 is not available from the initial </w:t>
      </w:r>
      <w:proofErr w:type="spellStart"/>
      <w:r w:rsidRPr="00520B23">
        <w:rPr>
          <w:rFonts w:ascii="Arial Narrow" w:eastAsiaTheme="majorEastAsia" w:hAnsi="Arial Narrow" w:cstheme="majorBidi"/>
          <w:iCs/>
          <w:sz w:val="18"/>
          <w:szCs w:val="18"/>
        </w:rPr>
        <w:t>topline</w:t>
      </w:r>
      <w:proofErr w:type="spellEnd"/>
      <w:r w:rsidRPr="00520B23">
        <w:rPr>
          <w:rFonts w:ascii="Arial Narrow" w:eastAsiaTheme="majorEastAsia" w:hAnsi="Arial Narrow" w:cstheme="majorBidi"/>
          <w:iCs/>
          <w:sz w:val="18"/>
          <w:szCs w:val="18"/>
        </w:rPr>
        <w:t xml:space="preserve"> results.</w:t>
      </w:r>
    </w:p>
    <w:p w14:paraId="3C243FB7" w14:textId="69294098" w:rsidR="00D75285" w:rsidRDefault="00D75285" w:rsidP="00DA5130">
      <w:pPr>
        <w:keepNext/>
        <w:keepLines/>
        <w:rPr>
          <w:rFonts w:ascii="Arial Narrow" w:eastAsiaTheme="majorEastAsia" w:hAnsi="Arial Narrow" w:cstheme="majorBidi"/>
          <w:iCs/>
          <w:sz w:val="18"/>
          <w:szCs w:val="18"/>
        </w:rPr>
      </w:pPr>
      <w:proofErr w:type="spellStart"/>
      <w:r w:rsidRPr="00520B23">
        <w:rPr>
          <w:rFonts w:ascii="Arial Narrow" w:eastAsiaTheme="majorEastAsia" w:hAnsi="Arial Narrow" w:cstheme="majorBidi"/>
          <w:iCs/>
          <w:sz w:val="18"/>
          <w:szCs w:val="18"/>
        </w:rPr>
        <w:t>dMMR</w:t>
      </w:r>
      <w:proofErr w:type="spellEnd"/>
      <w:r w:rsidRPr="00520B23">
        <w:rPr>
          <w:rFonts w:ascii="Arial Narrow" w:eastAsiaTheme="majorEastAsia" w:hAnsi="Arial Narrow" w:cstheme="majorBidi"/>
          <w:iCs/>
          <w:sz w:val="18"/>
          <w:szCs w:val="18"/>
        </w:rPr>
        <w:t xml:space="preserve"> = mismatch repair deficient; IA-3 = interim analysis 3; ITT = intention-to-treat; OS = overall survival; </w:t>
      </w:r>
      <w:proofErr w:type="spellStart"/>
      <w:r w:rsidRPr="00520B23">
        <w:rPr>
          <w:rFonts w:ascii="Arial Narrow" w:eastAsiaTheme="majorEastAsia" w:hAnsi="Arial Narrow" w:cstheme="majorBidi"/>
          <w:iCs/>
          <w:sz w:val="18"/>
          <w:szCs w:val="18"/>
        </w:rPr>
        <w:t>Pembro+Lenva</w:t>
      </w:r>
      <w:proofErr w:type="spellEnd"/>
      <w:r w:rsidRPr="00520B23">
        <w:rPr>
          <w:rFonts w:ascii="Arial Narrow" w:eastAsiaTheme="majorEastAsia" w:hAnsi="Arial Narrow" w:cstheme="majorBidi"/>
          <w:iCs/>
          <w:sz w:val="18"/>
          <w:szCs w:val="18"/>
        </w:rPr>
        <w:t xml:space="preserve"> = pembrolizumab + </w:t>
      </w:r>
      <w:proofErr w:type="spellStart"/>
      <w:r w:rsidRPr="00520B23">
        <w:rPr>
          <w:rFonts w:ascii="Arial Narrow" w:eastAsiaTheme="majorEastAsia" w:hAnsi="Arial Narrow" w:cstheme="majorBidi"/>
          <w:iCs/>
          <w:sz w:val="18"/>
          <w:szCs w:val="18"/>
        </w:rPr>
        <w:t>lenvatinib</w:t>
      </w:r>
      <w:proofErr w:type="spellEnd"/>
      <w:r w:rsidRPr="00520B23">
        <w:rPr>
          <w:rFonts w:ascii="Arial Narrow" w:eastAsiaTheme="majorEastAsia" w:hAnsi="Arial Narrow" w:cstheme="majorBidi"/>
          <w:iCs/>
          <w:sz w:val="18"/>
          <w:szCs w:val="18"/>
        </w:rPr>
        <w:t>; PES = primary efficacy set; PFS = progression-free survival</w:t>
      </w:r>
    </w:p>
    <w:p w14:paraId="6E9FED1E" w14:textId="2FC4E2F3" w:rsidR="009D4533" w:rsidRPr="00520B23" w:rsidRDefault="009D4533" w:rsidP="0090222A">
      <w:pPr>
        <w:keepNext/>
        <w:keepLines/>
        <w:spacing w:after="62"/>
        <w:rPr>
          <w:rFonts w:ascii="Arial Narrow" w:eastAsiaTheme="majorEastAsia" w:hAnsi="Arial Narrow" w:cstheme="majorBidi"/>
          <w:iCs/>
          <w:sz w:val="18"/>
          <w:szCs w:val="18"/>
        </w:rPr>
      </w:pPr>
      <w:r w:rsidRPr="009D4533">
        <w:rPr>
          <w:rFonts w:ascii="Arial Narrow" w:eastAsiaTheme="majorEastAsia" w:hAnsi="Arial Narrow" w:cstheme="majorBidi"/>
          <w:iCs/>
          <w:sz w:val="18"/>
          <w:szCs w:val="18"/>
        </w:rPr>
        <w:t>Note that the Kaplan Meier plots depicted in Figure 4 are presented specifically for the purposes of informing the PBAC consideration. Their interpretation and application should therefore be limited to seeking to understand the basis for the PBAC outcome and should not be used for any other purpose.</w:t>
      </w:r>
    </w:p>
    <w:p w14:paraId="64DC97CB" w14:textId="77777777" w:rsidR="00E418A2" w:rsidRPr="005211DB" w:rsidRDefault="00E418A2" w:rsidP="00D75285">
      <w:pPr>
        <w:spacing w:after="62"/>
        <w:rPr>
          <w:i/>
          <w:sz w:val="18"/>
          <w:szCs w:val="18"/>
        </w:rPr>
      </w:pPr>
    </w:p>
    <w:p w14:paraId="1452C351" w14:textId="24B2EA87" w:rsidR="00B60939" w:rsidRPr="00FF79DB" w:rsidRDefault="00B60939" w:rsidP="007446AE">
      <w:pPr>
        <w:pStyle w:val="Heading2"/>
      </w:pPr>
      <w:bookmarkStart w:id="31" w:name="_Toc93481981"/>
      <w:r w:rsidRPr="00FF79DB">
        <w:t>Comparative harms</w:t>
      </w:r>
      <w:bookmarkEnd w:id="31"/>
    </w:p>
    <w:p w14:paraId="461BA5A9" w14:textId="77777777" w:rsidR="00B60939" w:rsidRPr="00FF79DB" w:rsidRDefault="00B60939" w:rsidP="00B60939">
      <w:pPr>
        <w:ind w:left="720" w:hanging="720"/>
      </w:pPr>
    </w:p>
    <w:p w14:paraId="69D83B11" w14:textId="5EF720B9" w:rsidR="004F35DB" w:rsidRPr="00FF79DB" w:rsidRDefault="004F35DB" w:rsidP="00E24AE9">
      <w:pPr>
        <w:pStyle w:val="ListParagraph"/>
        <w:widowControl/>
        <w:numPr>
          <w:ilvl w:val="1"/>
          <w:numId w:val="2"/>
        </w:numPr>
      </w:pPr>
      <w:r w:rsidRPr="00FF79DB">
        <w:t>A summary of safety outcomes reported across the included trials</w:t>
      </w:r>
      <w:r w:rsidR="00520B23">
        <w:t>/</w:t>
      </w:r>
      <w:r w:rsidRPr="00FF79DB">
        <w:t xml:space="preserve">studies is presented in </w:t>
      </w:r>
      <w:r w:rsidR="002528F7" w:rsidRPr="00FF79DB">
        <w:fldChar w:fldCharType="begin"/>
      </w:r>
      <w:r w:rsidR="002528F7" w:rsidRPr="00FF79DB">
        <w:instrText xml:space="preserve"> REF _Ref92020564 \h  \* MERGEFORMAT </w:instrText>
      </w:r>
      <w:r w:rsidR="002528F7" w:rsidRPr="00FF79DB">
        <w:fldChar w:fldCharType="separate"/>
      </w:r>
      <w:r w:rsidR="004975AD" w:rsidRPr="004975AD">
        <w:t>Table 7</w:t>
      </w:r>
      <w:r w:rsidR="002528F7" w:rsidRPr="00FF79DB">
        <w:fldChar w:fldCharType="end"/>
      </w:r>
      <w:r w:rsidR="002528F7" w:rsidRPr="00FF79DB">
        <w:t>.</w:t>
      </w:r>
    </w:p>
    <w:p w14:paraId="59D948B6" w14:textId="5C1F64F6" w:rsidR="002528F7" w:rsidRPr="00FF79DB" w:rsidRDefault="002528F7" w:rsidP="00AA5F28">
      <w:pPr>
        <w:keepNext/>
        <w:widowControl/>
        <w:rPr>
          <w:rStyle w:val="CommentReference"/>
        </w:rPr>
      </w:pPr>
      <w:bookmarkStart w:id="32" w:name="_Ref92020564"/>
      <w:r w:rsidRPr="00FF79DB">
        <w:rPr>
          <w:rStyle w:val="CommentReference"/>
        </w:rPr>
        <w:lastRenderedPageBreak/>
        <w:t xml:space="preserve">Table </w:t>
      </w:r>
      <w:r w:rsidRPr="00FF79DB">
        <w:rPr>
          <w:rStyle w:val="CommentReference"/>
        </w:rPr>
        <w:fldChar w:fldCharType="begin"/>
      </w:r>
      <w:r w:rsidRPr="00FF79DB">
        <w:rPr>
          <w:rStyle w:val="CommentReference"/>
        </w:rPr>
        <w:instrText xml:space="preserve"> SEQ Table \* ARABIC </w:instrText>
      </w:r>
      <w:r w:rsidRPr="00FF79DB">
        <w:rPr>
          <w:rStyle w:val="CommentReference"/>
        </w:rPr>
        <w:fldChar w:fldCharType="separate"/>
      </w:r>
      <w:r w:rsidR="004975AD">
        <w:rPr>
          <w:rStyle w:val="CommentReference"/>
          <w:noProof/>
        </w:rPr>
        <w:t>7</w:t>
      </w:r>
      <w:r w:rsidRPr="00FF79DB">
        <w:rPr>
          <w:rStyle w:val="CommentReference"/>
        </w:rPr>
        <w:fldChar w:fldCharType="end"/>
      </w:r>
      <w:bookmarkEnd w:id="32"/>
      <w:r w:rsidRPr="00FF79DB">
        <w:rPr>
          <w:rStyle w:val="CommentReference"/>
        </w:rPr>
        <w:t xml:space="preserve">: Summary of safety from included studies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851"/>
        <w:gridCol w:w="909"/>
        <w:gridCol w:w="1118"/>
        <w:gridCol w:w="808"/>
        <w:gridCol w:w="849"/>
        <w:gridCol w:w="711"/>
        <w:gridCol w:w="1004"/>
        <w:gridCol w:w="929"/>
      </w:tblGrid>
      <w:tr w:rsidR="00121BFD" w:rsidRPr="00520B23" w14:paraId="0EC588E9" w14:textId="77777777" w:rsidTr="00FB6B86">
        <w:trPr>
          <w:trHeight w:val="20"/>
          <w:tblHeader/>
        </w:trPr>
        <w:tc>
          <w:tcPr>
            <w:tcW w:w="10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68A7A7" w14:textId="77777777" w:rsidR="00121BFD" w:rsidRPr="00520B23" w:rsidRDefault="00121BFD" w:rsidP="00AA5F28">
            <w:pPr>
              <w:pStyle w:val="Tabletext"/>
              <w:keepNext/>
              <w:rPr>
                <w:rStyle w:val="CommentReference"/>
              </w:rPr>
            </w:pPr>
            <w:r w:rsidRPr="00520B23">
              <w:rPr>
                <w:rStyle w:val="CommentReference"/>
              </w:rPr>
              <w:t>Intervention</w:t>
            </w:r>
          </w:p>
        </w:tc>
        <w:tc>
          <w:tcPr>
            <w:tcW w:w="1596" w:type="pct"/>
            <w:gridSpan w:val="3"/>
            <w:tcBorders>
              <w:top w:val="single" w:sz="4" w:space="0" w:color="auto"/>
              <w:left w:val="single" w:sz="4" w:space="0" w:color="auto"/>
              <w:bottom w:val="single" w:sz="4" w:space="0" w:color="auto"/>
              <w:right w:val="single" w:sz="4" w:space="0" w:color="auto"/>
            </w:tcBorders>
          </w:tcPr>
          <w:p w14:paraId="49F45D6D" w14:textId="4070B501" w:rsidR="00121BFD" w:rsidRPr="00520B23" w:rsidRDefault="00121BFD" w:rsidP="00AA5F28">
            <w:pPr>
              <w:pStyle w:val="Tabletext"/>
              <w:keepNext/>
              <w:jc w:val="center"/>
              <w:rPr>
                <w:rStyle w:val="CommentReference"/>
              </w:rPr>
            </w:pPr>
            <w:proofErr w:type="spellStart"/>
            <w:r w:rsidRPr="00520B23">
              <w:rPr>
                <w:rStyle w:val="CommentReference"/>
              </w:rPr>
              <w:t>Dostarlimab</w:t>
            </w:r>
            <w:proofErr w:type="spellEnd"/>
          </w:p>
        </w:tc>
        <w:tc>
          <w:tcPr>
            <w:tcW w:w="4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B0FB70" w14:textId="77777777" w:rsidR="00121BFD" w:rsidRPr="00520B23" w:rsidRDefault="00121BFD" w:rsidP="00AA5F28">
            <w:pPr>
              <w:pStyle w:val="Tabletext"/>
              <w:keepNext/>
              <w:jc w:val="center"/>
              <w:rPr>
                <w:rStyle w:val="CommentReference"/>
              </w:rPr>
            </w:pPr>
            <w:r w:rsidRPr="00520B23">
              <w:rPr>
                <w:rStyle w:val="CommentReference"/>
              </w:rPr>
              <w:t>Doxorubicin</w:t>
            </w:r>
          </w:p>
        </w:tc>
        <w:tc>
          <w:tcPr>
            <w:tcW w:w="1422"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6AABB93" w14:textId="77777777" w:rsidR="00121BFD" w:rsidRPr="00520B23" w:rsidRDefault="00121BFD" w:rsidP="00AA5F28">
            <w:pPr>
              <w:pStyle w:val="Tabletext"/>
              <w:keepNext/>
              <w:jc w:val="center"/>
              <w:rPr>
                <w:rStyle w:val="CommentReference"/>
              </w:rPr>
            </w:pPr>
            <w:r w:rsidRPr="00520B23">
              <w:rPr>
                <w:rStyle w:val="CommentReference"/>
              </w:rPr>
              <w:t>Paclitaxel or doxorubicin</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EABF9B" w14:textId="4B0CB8AC" w:rsidR="00121BFD" w:rsidRPr="00520B23" w:rsidRDefault="00121BFD" w:rsidP="00AA5F28">
            <w:pPr>
              <w:pStyle w:val="Tabletext"/>
              <w:keepNext/>
              <w:jc w:val="center"/>
              <w:rPr>
                <w:rStyle w:val="CommentReference"/>
              </w:rPr>
            </w:pPr>
            <w:proofErr w:type="spellStart"/>
            <w:r w:rsidRPr="00520B23">
              <w:rPr>
                <w:rStyle w:val="CommentReference"/>
              </w:rPr>
              <w:t>Pacli</w:t>
            </w:r>
            <w:r w:rsidR="00FB6B86" w:rsidRPr="00520B23">
              <w:rPr>
                <w:rStyle w:val="CommentReference"/>
              </w:rPr>
              <w:t>-</w:t>
            </w:r>
            <w:r w:rsidRPr="00520B23">
              <w:rPr>
                <w:rStyle w:val="CommentReference"/>
              </w:rPr>
              <w:t>taxel</w:t>
            </w:r>
            <w:proofErr w:type="spellEnd"/>
          </w:p>
        </w:tc>
      </w:tr>
      <w:tr w:rsidR="00121BFD" w:rsidRPr="00520B23" w14:paraId="72E6A8FA" w14:textId="77777777" w:rsidTr="00FB6B86">
        <w:trPr>
          <w:trHeight w:val="20"/>
        </w:trPr>
        <w:tc>
          <w:tcPr>
            <w:tcW w:w="10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21FFD3" w14:textId="77777777" w:rsidR="00121BFD" w:rsidRPr="00520B23" w:rsidRDefault="00121BFD" w:rsidP="00AA5F28">
            <w:pPr>
              <w:pStyle w:val="Tabletext"/>
              <w:keepNext/>
              <w:rPr>
                <w:rStyle w:val="CommentReference"/>
              </w:rPr>
            </w:pPr>
            <w:r w:rsidRPr="00520B23">
              <w:rPr>
                <w:rStyle w:val="CommentReference"/>
              </w:rPr>
              <w:t>Study ID</w:t>
            </w:r>
          </w:p>
        </w:tc>
        <w:tc>
          <w:tcPr>
            <w:tcW w:w="97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16F3EAA" w14:textId="2DA51BAE" w:rsidR="00121BFD" w:rsidRPr="00520B23" w:rsidRDefault="00121BFD" w:rsidP="00AA5F28">
            <w:pPr>
              <w:pStyle w:val="Tabletext"/>
              <w:keepNext/>
              <w:jc w:val="center"/>
              <w:rPr>
                <w:rStyle w:val="CommentReference"/>
              </w:rPr>
            </w:pPr>
            <w:r w:rsidRPr="00520B23">
              <w:rPr>
                <w:rStyle w:val="CommentReference"/>
              </w:rPr>
              <w:t>GARNET Cohort A1</w:t>
            </w:r>
          </w:p>
        </w:tc>
        <w:tc>
          <w:tcPr>
            <w:tcW w:w="620" w:type="pct"/>
            <w:tcBorders>
              <w:top w:val="single" w:sz="4" w:space="0" w:color="auto"/>
              <w:left w:val="single" w:sz="4" w:space="0" w:color="auto"/>
              <w:bottom w:val="single" w:sz="4" w:space="0" w:color="auto"/>
              <w:right w:val="single" w:sz="4" w:space="0" w:color="auto"/>
            </w:tcBorders>
            <w:vAlign w:val="center"/>
          </w:tcPr>
          <w:p w14:paraId="6F167F65" w14:textId="34490C72" w:rsidR="00121BFD" w:rsidRPr="00520B23" w:rsidRDefault="00121BFD" w:rsidP="00AA5F28">
            <w:pPr>
              <w:pStyle w:val="Tabletext"/>
              <w:keepNext/>
              <w:jc w:val="center"/>
              <w:rPr>
                <w:rStyle w:val="CommentReference"/>
              </w:rPr>
            </w:pPr>
            <w:r w:rsidRPr="00520B23">
              <w:rPr>
                <w:rStyle w:val="CommentReference"/>
              </w:rPr>
              <w:t xml:space="preserve">GARNET Cohort A2 </w:t>
            </w:r>
            <w:r w:rsidRPr="00520B23">
              <w:rPr>
                <w:rStyle w:val="CommentReference"/>
                <w:vertAlign w:val="superscript"/>
              </w:rPr>
              <w:t>a</w:t>
            </w:r>
          </w:p>
        </w:tc>
        <w:tc>
          <w:tcPr>
            <w:tcW w:w="4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22413F" w14:textId="77777777" w:rsidR="00121BFD" w:rsidRPr="00520B23" w:rsidRDefault="00121BFD" w:rsidP="00AA5F28">
            <w:pPr>
              <w:pStyle w:val="Tabletext"/>
              <w:keepNext/>
              <w:jc w:val="center"/>
              <w:rPr>
                <w:rStyle w:val="CommentReference"/>
              </w:rPr>
            </w:pPr>
            <w:r w:rsidRPr="00520B23">
              <w:rPr>
                <w:rStyle w:val="CommentReference"/>
              </w:rPr>
              <w:t>ZoptEC</w:t>
            </w:r>
            <w:r w:rsidRPr="00520B23">
              <w:rPr>
                <w:rStyle w:val="CommentReference"/>
                <w:vertAlign w:val="superscript"/>
              </w:rPr>
              <w:t>1</w:t>
            </w:r>
          </w:p>
        </w:tc>
        <w:tc>
          <w:tcPr>
            <w:tcW w:w="4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2DFBF5" w14:textId="77777777" w:rsidR="00121BFD" w:rsidRPr="00520B23" w:rsidRDefault="00121BFD" w:rsidP="00AA5F28">
            <w:pPr>
              <w:pStyle w:val="Tabletext"/>
              <w:keepNext/>
              <w:jc w:val="center"/>
              <w:rPr>
                <w:rStyle w:val="CommentReference"/>
              </w:rPr>
            </w:pPr>
            <w:r w:rsidRPr="00520B23">
              <w:rPr>
                <w:rStyle w:val="CommentReference"/>
              </w:rPr>
              <w:t>IXAMPLE2</w:t>
            </w:r>
          </w:p>
        </w:tc>
        <w:tc>
          <w:tcPr>
            <w:tcW w:w="95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D27B954" w14:textId="77777777" w:rsidR="00121BFD" w:rsidRPr="00520B23" w:rsidRDefault="00121BFD" w:rsidP="00AA5F28">
            <w:pPr>
              <w:pStyle w:val="Tabletext"/>
              <w:keepNext/>
              <w:jc w:val="center"/>
              <w:rPr>
                <w:rStyle w:val="CommentReference"/>
              </w:rPr>
            </w:pPr>
            <w:r w:rsidRPr="00520B23">
              <w:rPr>
                <w:rStyle w:val="CommentReference"/>
              </w:rPr>
              <w:t>KEYNOTE-775</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FD7E65" w14:textId="77777777" w:rsidR="00121BFD" w:rsidRPr="00520B23" w:rsidRDefault="00121BFD" w:rsidP="00AA5F28">
            <w:pPr>
              <w:pStyle w:val="Tabletext"/>
              <w:keepNext/>
              <w:jc w:val="center"/>
              <w:rPr>
                <w:rStyle w:val="CommentReference"/>
              </w:rPr>
            </w:pPr>
            <w:proofErr w:type="spellStart"/>
            <w:r w:rsidRPr="00520B23">
              <w:rPr>
                <w:rStyle w:val="CommentReference"/>
              </w:rPr>
              <w:t>Scambia</w:t>
            </w:r>
            <w:proofErr w:type="spellEnd"/>
            <w:r w:rsidRPr="00520B23">
              <w:rPr>
                <w:rStyle w:val="CommentReference"/>
              </w:rPr>
              <w:t xml:space="preserve"> 2020</w:t>
            </w:r>
          </w:p>
        </w:tc>
      </w:tr>
      <w:tr w:rsidR="00121BFD" w:rsidRPr="00520B23" w14:paraId="5D6C5FE4" w14:textId="77777777" w:rsidTr="00FB6B86">
        <w:trPr>
          <w:trHeight w:val="290"/>
        </w:trPr>
        <w:tc>
          <w:tcPr>
            <w:tcW w:w="10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ED792E" w14:textId="77777777" w:rsidR="00121BFD" w:rsidRPr="00520B23" w:rsidRDefault="00121BFD" w:rsidP="00AA5F28">
            <w:pPr>
              <w:pStyle w:val="Tabletext"/>
              <w:keepNext/>
              <w:rPr>
                <w:rStyle w:val="CommentReference"/>
                <w:b w:val="0"/>
                <w:bCs/>
              </w:rPr>
            </w:pPr>
            <w:r w:rsidRPr="00520B23">
              <w:rPr>
                <w:rStyle w:val="CommentReference"/>
                <w:b w:val="0"/>
                <w:bCs/>
              </w:rPr>
              <w:t>Analysis set</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106234" w14:textId="77777777" w:rsidR="00121BFD" w:rsidRPr="00520B23" w:rsidRDefault="00121BFD" w:rsidP="00AA5F28">
            <w:pPr>
              <w:pStyle w:val="Tabletext"/>
              <w:keepNext/>
              <w:jc w:val="center"/>
              <w:rPr>
                <w:rStyle w:val="CommentReference"/>
                <w:b w:val="0"/>
                <w:bCs/>
              </w:rPr>
            </w:pPr>
            <w:r w:rsidRPr="00520B23">
              <w:rPr>
                <w:rStyle w:val="CommentReference"/>
                <w:b w:val="0"/>
                <w:bCs/>
              </w:rPr>
              <w:t>Safety</w:t>
            </w:r>
          </w:p>
          <w:p w14:paraId="524EA503" w14:textId="4E97A91C" w:rsidR="00121BFD" w:rsidRPr="00520B23" w:rsidRDefault="00121BFD" w:rsidP="00AA5F28">
            <w:pPr>
              <w:pStyle w:val="Tabletext"/>
              <w:keepNext/>
              <w:jc w:val="center"/>
              <w:rPr>
                <w:rStyle w:val="CommentReference"/>
                <w:b w:val="0"/>
                <w:bCs/>
              </w:rPr>
            </w:pPr>
            <w:r w:rsidRPr="00520B23">
              <w:rPr>
                <w:rStyle w:val="CommentReference"/>
                <w:b w:val="0"/>
                <w:bCs/>
              </w:rPr>
              <w:t>IA-2</w:t>
            </w:r>
          </w:p>
        </w:tc>
        <w:tc>
          <w:tcPr>
            <w:tcW w:w="504" w:type="pct"/>
            <w:tcBorders>
              <w:top w:val="single" w:sz="4" w:space="0" w:color="auto"/>
              <w:left w:val="single" w:sz="4" w:space="0" w:color="auto"/>
              <w:bottom w:val="single" w:sz="4" w:space="0" w:color="auto"/>
              <w:right w:val="single" w:sz="4" w:space="0" w:color="auto"/>
            </w:tcBorders>
          </w:tcPr>
          <w:p w14:paraId="0506DBC7" w14:textId="77777777" w:rsidR="00121BFD" w:rsidRPr="00520B23" w:rsidRDefault="00121BFD" w:rsidP="00AA5F28">
            <w:pPr>
              <w:pStyle w:val="Tabletext"/>
              <w:keepNext/>
              <w:jc w:val="center"/>
              <w:rPr>
                <w:rStyle w:val="CommentReference"/>
                <w:b w:val="0"/>
                <w:bCs/>
              </w:rPr>
            </w:pPr>
            <w:r w:rsidRPr="00520B23">
              <w:rPr>
                <w:rStyle w:val="CommentReference"/>
                <w:b w:val="0"/>
                <w:bCs/>
              </w:rPr>
              <w:t xml:space="preserve">Safety </w:t>
            </w:r>
          </w:p>
          <w:p w14:paraId="1D0F226E" w14:textId="22DF9384" w:rsidR="00121BFD" w:rsidRPr="00520B23" w:rsidRDefault="00121BFD" w:rsidP="00AA5F28">
            <w:pPr>
              <w:pStyle w:val="Tabletext"/>
              <w:keepNext/>
              <w:jc w:val="center"/>
              <w:rPr>
                <w:rStyle w:val="CommentReference"/>
                <w:b w:val="0"/>
                <w:bCs/>
              </w:rPr>
            </w:pPr>
            <w:r w:rsidRPr="00520B23">
              <w:rPr>
                <w:rStyle w:val="CommentReference"/>
                <w:b w:val="0"/>
                <w:bCs/>
              </w:rPr>
              <w:t>IA-3</w:t>
            </w:r>
          </w:p>
        </w:tc>
        <w:tc>
          <w:tcPr>
            <w:tcW w:w="620" w:type="pct"/>
            <w:tcBorders>
              <w:top w:val="single" w:sz="4" w:space="0" w:color="auto"/>
              <w:left w:val="single" w:sz="4" w:space="0" w:color="auto"/>
              <w:bottom w:val="single" w:sz="4" w:space="0" w:color="auto"/>
              <w:right w:val="single" w:sz="4" w:space="0" w:color="auto"/>
            </w:tcBorders>
            <w:vAlign w:val="center"/>
          </w:tcPr>
          <w:p w14:paraId="2E1D52FC" w14:textId="53C3E403" w:rsidR="00121BFD" w:rsidRPr="00520B23" w:rsidRDefault="00121BFD" w:rsidP="00AA5F28">
            <w:pPr>
              <w:pStyle w:val="Tabletext"/>
              <w:keepNext/>
              <w:jc w:val="center"/>
              <w:rPr>
                <w:rStyle w:val="CommentReference"/>
                <w:b w:val="0"/>
                <w:bCs/>
              </w:rPr>
            </w:pPr>
            <w:r w:rsidRPr="00520B23">
              <w:rPr>
                <w:rStyle w:val="CommentReference"/>
                <w:b w:val="0"/>
                <w:bCs/>
              </w:rPr>
              <w:t>Safety</w:t>
            </w:r>
          </w:p>
        </w:tc>
        <w:tc>
          <w:tcPr>
            <w:tcW w:w="4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0560CB" w14:textId="77777777" w:rsidR="00121BFD" w:rsidRPr="00520B23" w:rsidRDefault="00121BFD" w:rsidP="00AA5F28">
            <w:pPr>
              <w:pStyle w:val="Tabletext"/>
              <w:keepNext/>
              <w:jc w:val="center"/>
              <w:rPr>
                <w:rStyle w:val="CommentReference"/>
                <w:b w:val="0"/>
                <w:bCs/>
              </w:rPr>
            </w:pPr>
            <w:r w:rsidRPr="00520B23">
              <w:rPr>
                <w:rStyle w:val="CommentReference"/>
                <w:b w:val="0"/>
                <w:bCs/>
              </w:rPr>
              <w:t>Safety</w:t>
            </w:r>
          </w:p>
        </w:tc>
        <w:tc>
          <w:tcPr>
            <w:tcW w:w="4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5F1E05" w14:textId="77777777" w:rsidR="00121BFD" w:rsidRPr="00520B23" w:rsidRDefault="00121BFD" w:rsidP="00AA5F28">
            <w:pPr>
              <w:pStyle w:val="Tabletext"/>
              <w:keepNext/>
              <w:jc w:val="center"/>
              <w:rPr>
                <w:rStyle w:val="CommentReference"/>
                <w:b w:val="0"/>
                <w:bCs/>
              </w:rPr>
            </w:pPr>
            <w:r w:rsidRPr="00520B23">
              <w:rPr>
                <w:rStyle w:val="CommentReference"/>
                <w:b w:val="0"/>
                <w:bCs/>
              </w:rPr>
              <w:t>Safety</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0F6A39" w14:textId="77777777" w:rsidR="00121BFD" w:rsidRPr="00520B23" w:rsidRDefault="00121BFD" w:rsidP="00AA5F28">
            <w:pPr>
              <w:pStyle w:val="Tabletext"/>
              <w:keepNext/>
              <w:jc w:val="center"/>
              <w:rPr>
                <w:rStyle w:val="CommentReference"/>
                <w:b w:val="0"/>
                <w:bCs/>
              </w:rPr>
            </w:pPr>
            <w:r w:rsidRPr="00520B23">
              <w:rPr>
                <w:rStyle w:val="CommentReference"/>
                <w:b w:val="0"/>
                <w:bCs/>
              </w:rPr>
              <w:t>Safety</w:t>
            </w:r>
          </w:p>
        </w:tc>
        <w:tc>
          <w:tcPr>
            <w:tcW w:w="5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6B06B0" w14:textId="77777777" w:rsidR="00121BFD" w:rsidRPr="00520B23" w:rsidRDefault="00121BFD" w:rsidP="00AA5F28">
            <w:pPr>
              <w:pStyle w:val="Tabletext"/>
              <w:keepNext/>
              <w:jc w:val="center"/>
              <w:rPr>
                <w:rStyle w:val="CommentReference"/>
                <w:b w:val="0"/>
                <w:bCs/>
              </w:rPr>
            </w:pPr>
            <w:proofErr w:type="spellStart"/>
            <w:r w:rsidRPr="00520B23">
              <w:rPr>
                <w:rStyle w:val="CommentReference"/>
                <w:b w:val="0"/>
                <w:bCs/>
              </w:rPr>
              <w:t>dMMR</w:t>
            </w:r>
            <w:proofErr w:type="spellEnd"/>
            <w:r w:rsidRPr="00520B23">
              <w:rPr>
                <w:rStyle w:val="CommentReference"/>
                <w:b w:val="0"/>
                <w:bCs/>
              </w:rPr>
              <w:t xml:space="preserve"> safety</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EC830E" w14:textId="77777777" w:rsidR="00121BFD" w:rsidRPr="00520B23" w:rsidRDefault="00121BFD" w:rsidP="00AA5F28">
            <w:pPr>
              <w:pStyle w:val="Tabletext"/>
              <w:keepNext/>
              <w:jc w:val="center"/>
              <w:rPr>
                <w:rStyle w:val="CommentReference"/>
                <w:b w:val="0"/>
                <w:bCs/>
              </w:rPr>
            </w:pPr>
            <w:r w:rsidRPr="00520B23">
              <w:rPr>
                <w:rStyle w:val="CommentReference"/>
                <w:b w:val="0"/>
                <w:bCs/>
              </w:rPr>
              <w:t>Safety</w:t>
            </w:r>
          </w:p>
        </w:tc>
      </w:tr>
      <w:tr w:rsidR="00121BFD" w:rsidRPr="00520B23" w14:paraId="50929EF8" w14:textId="77777777" w:rsidTr="009A0CFD">
        <w:trPr>
          <w:trHeight w:val="20"/>
        </w:trPr>
        <w:tc>
          <w:tcPr>
            <w:tcW w:w="1019" w:type="pct"/>
            <w:tcBorders>
              <w:top w:val="single" w:sz="4" w:space="0" w:color="auto"/>
              <w:left w:val="single" w:sz="4" w:space="0" w:color="auto"/>
              <w:bottom w:val="single" w:sz="4" w:space="0" w:color="auto"/>
              <w:right w:val="single" w:sz="4" w:space="0" w:color="auto"/>
            </w:tcBorders>
            <w:vAlign w:val="center"/>
            <w:hideMark/>
          </w:tcPr>
          <w:p w14:paraId="21A78353" w14:textId="77777777" w:rsidR="00121BFD" w:rsidRPr="00520B23" w:rsidRDefault="00121BFD" w:rsidP="00121BFD">
            <w:pPr>
              <w:pStyle w:val="Tabletext"/>
              <w:keepNext/>
            </w:pPr>
            <w:r w:rsidRPr="00520B23">
              <w:t>N</w:t>
            </w:r>
          </w:p>
        </w:tc>
        <w:tc>
          <w:tcPr>
            <w:tcW w:w="472" w:type="pct"/>
            <w:tcBorders>
              <w:top w:val="single" w:sz="4" w:space="0" w:color="auto"/>
              <w:left w:val="single" w:sz="4" w:space="0" w:color="auto"/>
              <w:bottom w:val="single" w:sz="4" w:space="0" w:color="auto"/>
              <w:right w:val="single" w:sz="4" w:space="0" w:color="auto"/>
            </w:tcBorders>
            <w:vAlign w:val="center"/>
            <w:hideMark/>
          </w:tcPr>
          <w:p w14:paraId="3265C44C" w14:textId="77777777" w:rsidR="00121BFD" w:rsidRPr="00520B23" w:rsidRDefault="00121BFD" w:rsidP="00121BFD">
            <w:pPr>
              <w:pStyle w:val="Tabletext"/>
              <w:keepNext/>
              <w:jc w:val="center"/>
            </w:pPr>
            <w:r w:rsidRPr="00520B23">
              <w:t>129</w:t>
            </w:r>
          </w:p>
        </w:tc>
        <w:tc>
          <w:tcPr>
            <w:tcW w:w="504" w:type="pct"/>
            <w:tcBorders>
              <w:top w:val="single" w:sz="4" w:space="0" w:color="auto"/>
              <w:left w:val="single" w:sz="4" w:space="0" w:color="auto"/>
              <w:bottom w:val="single" w:sz="4" w:space="0" w:color="auto"/>
              <w:right w:val="single" w:sz="4" w:space="0" w:color="auto"/>
            </w:tcBorders>
            <w:vAlign w:val="center"/>
          </w:tcPr>
          <w:p w14:paraId="2717638E" w14:textId="3D45D1B7" w:rsidR="00121BFD" w:rsidRPr="00520B23" w:rsidRDefault="00121BFD" w:rsidP="00121BFD">
            <w:pPr>
              <w:pStyle w:val="Tabletext"/>
              <w:keepNext/>
              <w:jc w:val="center"/>
            </w:pPr>
            <w:r w:rsidRPr="00520B23">
              <w:t>153</w:t>
            </w:r>
          </w:p>
        </w:tc>
        <w:tc>
          <w:tcPr>
            <w:tcW w:w="620" w:type="pct"/>
            <w:tcBorders>
              <w:top w:val="single" w:sz="4" w:space="0" w:color="auto"/>
              <w:left w:val="single" w:sz="4" w:space="0" w:color="auto"/>
              <w:bottom w:val="single" w:sz="4" w:space="0" w:color="auto"/>
              <w:right w:val="single" w:sz="4" w:space="0" w:color="auto"/>
            </w:tcBorders>
            <w:vAlign w:val="center"/>
          </w:tcPr>
          <w:p w14:paraId="0528537B" w14:textId="68A8998B" w:rsidR="00121BFD" w:rsidRPr="00520B23" w:rsidRDefault="00121BFD" w:rsidP="00121BFD">
            <w:pPr>
              <w:pStyle w:val="Tabletext"/>
              <w:keepNext/>
              <w:jc w:val="center"/>
            </w:pPr>
            <w:r w:rsidRPr="00520B23">
              <w:t>161</w:t>
            </w:r>
          </w:p>
        </w:tc>
        <w:tc>
          <w:tcPr>
            <w:tcW w:w="448" w:type="pct"/>
            <w:tcBorders>
              <w:top w:val="single" w:sz="4" w:space="0" w:color="auto"/>
              <w:left w:val="single" w:sz="4" w:space="0" w:color="auto"/>
              <w:bottom w:val="single" w:sz="4" w:space="0" w:color="auto"/>
              <w:right w:val="single" w:sz="4" w:space="0" w:color="auto"/>
            </w:tcBorders>
            <w:vAlign w:val="center"/>
            <w:hideMark/>
          </w:tcPr>
          <w:p w14:paraId="77174E2D" w14:textId="77777777" w:rsidR="00121BFD" w:rsidRPr="00520B23" w:rsidRDefault="00121BFD" w:rsidP="00121BFD">
            <w:pPr>
              <w:pStyle w:val="Tabletext"/>
              <w:keepNext/>
              <w:jc w:val="center"/>
            </w:pPr>
            <w:r w:rsidRPr="00520B23">
              <w:t>249</w:t>
            </w:r>
          </w:p>
        </w:tc>
        <w:tc>
          <w:tcPr>
            <w:tcW w:w="471" w:type="pct"/>
            <w:tcBorders>
              <w:top w:val="single" w:sz="4" w:space="0" w:color="auto"/>
              <w:left w:val="single" w:sz="4" w:space="0" w:color="auto"/>
              <w:bottom w:val="single" w:sz="4" w:space="0" w:color="auto"/>
              <w:right w:val="single" w:sz="4" w:space="0" w:color="auto"/>
            </w:tcBorders>
            <w:vAlign w:val="center"/>
            <w:hideMark/>
          </w:tcPr>
          <w:p w14:paraId="541F12E7" w14:textId="77777777" w:rsidR="00121BFD" w:rsidRPr="00520B23" w:rsidRDefault="00121BFD" w:rsidP="00121BFD">
            <w:pPr>
              <w:pStyle w:val="Tabletext"/>
              <w:keepNext/>
              <w:jc w:val="center"/>
            </w:pPr>
            <w:r w:rsidRPr="00520B23">
              <w:t>239</w:t>
            </w:r>
          </w:p>
        </w:tc>
        <w:tc>
          <w:tcPr>
            <w:tcW w:w="394" w:type="pct"/>
            <w:tcBorders>
              <w:top w:val="single" w:sz="4" w:space="0" w:color="auto"/>
              <w:left w:val="single" w:sz="4" w:space="0" w:color="auto"/>
              <w:bottom w:val="single" w:sz="4" w:space="0" w:color="auto"/>
              <w:right w:val="single" w:sz="4" w:space="0" w:color="auto"/>
            </w:tcBorders>
            <w:vAlign w:val="center"/>
            <w:hideMark/>
          </w:tcPr>
          <w:p w14:paraId="4724F9D1" w14:textId="77777777" w:rsidR="00121BFD" w:rsidRPr="00520B23" w:rsidRDefault="00121BFD" w:rsidP="00121BFD">
            <w:pPr>
              <w:pStyle w:val="Tabletext"/>
              <w:keepNext/>
              <w:jc w:val="center"/>
            </w:pPr>
            <w:r w:rsidRPr="00520B23">
              <w:t>388</w:t>
            </w:r>
          </w:p>
        </w:tc>
        <w:tc>
          <w:tcPr>
            <w:tcW w:w="557" w:type="pct"/>
            <w:tcBorders>
              <w:top w:val="single" w:sz="4" w:space="0" w:color="auto"/>
              <w:left w:val="single" w:sz="4" w:space="0" w:color="auto"/>
              <w:bottom w:val="single" w:sz="4" w:space="0" w:color="auto"/>
              <w:right w:val="single" w:sz="4" w:space="0" w:color="auto"/>
            </w:tcBorders>
            <w:vAlign w:val="center"/>
            <w:hideMark/>
          </w:tcPr>
          <w:p w14:paraId="70908EDB" w14:textId="77777777" w:rsidR="00121BFD" w:rsidRPr="00520B23" w:rsidRDefault="00121BFD" w:rsidP="00121BFD">
            <w:pPr>
              <w:pStyle w:val="Tabletext"/>
              <w:keepNext/>
              <w:jc w:val="center"/>
            </w:pPr>
            <w:r w:rsidRPr="00520B23">
              <w:t>63</w:t>
            </w:r>
          </w:p>
        </w:tc>
        <w:tc>
          <w:tcPr>
            <w:tcW w:w="515" w:type="pct"/>
            <w:tcBorders>
              <w:top w:val="single" w:sz="4" w:space="0" w:color="auto"/>
              <w:left w:val="single" w:sz="4" w:space="0" w:color="auto"/>
              <w:bottom w:val="single" w:sz="4" w:space="0" w:color="auto"/>
              <w:right w:val="single" w:sz="4" w:space="0" w:color="auto"/>
            </w:tcBorders>
            <w:vAlign w:val="center"/>
            <w:hideMark/>
          </w:tcPr>
          <w:p w14:paraId="74C54FC8" w14:textId="77777777" w:rsidR="00121BFD" w:rsidRPr="00520B23" w:rsidRDefault="00121BFD" w:rsidP="00121BFD">
            <w:pPr>
              <w:pStyle w:val="Tabletext"/>
              <w:keepNext/>
              <w:jc w:val="center"/>
            </w:pPr>
            <w:r w:rsidRPr="00520B23">
              <w:t>87</w:t>
            </w:r>
          </w:p>
        </w:tc>
      </w:tr>
      <w:tr w:rsidR="00121BFD" w:rsidRPr="00520B23" w14:paraId="5FEA6320" w14:textId="77777777" w:rsidTr="009A0CFD">
        <w:trPr>
          <w:trHeight w:val="20"/>
        </w:trPr>
        <w:tc>
          <w:tcPr>
            <w:tcW w:w="1019" w:type="pct"/>
            <w:tcBorders>
              <w:top w:val="single" w:sz="4" w:space="0" w:color="auto"/>
              <w:left w:val="single" w:sz="4" w:space="0" w:color="auto"/>
              <w:bottom w:val="single" w:sz="4" w:space="0" w:color="auto"/>
              <w:right w:val="single" w:sz="4" w:space="0" w:color="auto"/>
            </w:tcBorders>
            <w:vAlign w:val="center"/>
            <w:hideMark/>
          </w:tcPr>
          <w:p w14:paraId="23E97EEA" w14:textId="77777777" w:rsidR="00121BFD" w:rsidRPr="00520B23" w:rsidRDefault="00121BFD" w:rsidP="00121BFD">
            <w:pPr>
              <w:pStyle w:val="Tabletext"/>
              <w:keepNext/>
            </w:pPr>
            <w:r w:rsidRPr="00520B23">
              <w:t>Any TEAE, %</w:t>
            </w:r>
          </w:p>
        </w:tc>
        <w:tc>
          <w:tcPr>
            <w:tcW w:w="472" w:type="pct"/>
            <w:tcBorders>
              <w:top w:val="single" w:sz="4" w:space="0" w:color="auto"/>
              <w:left w:val="single" w:sz="4" w:space="0" w:color="auto"/>
              <w:bottom w:val="single" w:sz="4" w:space="0" w:color="auto"/>
              <w:right w:val="single" w:sz="4" w:space="0" w:color="auto"/>
            </w:tcBorders>
            <w:vAlign w:val="center"/>
            <w:hideMark/>
          </w:tcPr>
          <w:p w14:paraId="4FB6A349" w14:textId="77777777" w:rsidR="00121BFD" w:rsidRPr="00520B23" w:rsidRDefault="00121BFD" w:rsidP="00121BFD">
            <w:pPr>
              <w:pStyle w:val="Tabletext"/>
              <w:keepNext/>
              <w:jc w:val="center"/>
            </w:pPr>
            <w:r w:rsidRPr="00520B23">
              <w:t>95.3</w:t>
            </w:r>
          </w:p>
        </w:tc>
        <w:tc>
          <w:tcPr>
            <w:tcW w:w="504" w:type="pct"/>
            <w:tcBorders>
              <w:top w:val="single" w:sz="4" w:space="0" w:color="auto"/>
              <w:left w:val="single" w:sz="4" w:space="0" w:color="auto"/>
              <w:bottom w:val="single" w:sz="4" w:space="0" w:color="auto"/>
              <w:right w:val="single" w:sz="4" w:space="0" w:color="auto"/>
            </w:tcBorders>
            <w:vAlign w:val="center"/>
          </w:tcPr>
          <w:p w14:paraId="593EC662" w14:textId="3A8B3AD0" w:rsidR="00121BFD" w:rsidRPr="00520B23" w:rsidRDefault="00121BFD" w:rsidP="00121BFD">
            <w:pPr>
              <w:pStyle w:val="Tabletext"/>
              <w:keepNext/>
              <w:jc w:val="center"/>
            </w:pPr>
            <w:r w:rsidRPr="00520B23">
              <w:t>99.3</w:t>
            </w:r>
          </w:p>
        </w:tc>
        <w:tc>
          <w:tcPr>
            <w:tcW w:w="620" w:type="pct"/>
            <w:tcBorders>
              <w:top w:val="single" w:sz="4" w:space="0" w:color="auto"/>
              <w:left w:val="single" w:sz="4" w:space="0" w:color="auto"/>
              <w:bottom w:val="single" w:sz="4" w:space="0" w:color="auto"/>
              <w:right w:val="single" w:sz="4" w:space="0" w:color="auto"/>
            </w:tcBorders>
            <w:vAlign w:val="center"/>
          </w:tcPr>
          <w:p w14:paraId="2CA2FDEA" w14:textId="4753144E" w:rsidR="00121BFD" w:rsidRPr="00520B23" w:rsidRDefault="00121BFD" w:rsidP="00121BFD">
            <w:pPr>
              <w:pStyle w:val="Tabletext"/>
              <w:keepNext/>
              <w:jc w:val="center"/>
            </w:pPr>
            <w:r w:rsidRPr="00520B23">
              <w:t>100.0</w:t>
            </w:r>
          </w:p>
        </w:tc>
        <w:tc>
          <w:tcPr>
            <w:tcW w:w="448" w:type="pct"/>
            <w:tcBorders>
              <w:top w:val="single" w:sz="4" w:space="0" w:color="auto"/>
              <w:left w:val="single" w:sz="4" w:space="0" w:color="auto"/>
              <w:bottom w:val="single" w:sz="4" w:space="0" w:color="auto"/>
              <w:right w:val="single" w:sz="4" w:space="0" w:color="auto"/>
            </w:tcBorders>
            <w:vAlign w:val="center"/>
            <w:hideMark/>
          </w:tcPr>
          <w:p w14:paraId="03F3BE0C" w14:textId="77777777" w:rsidR="00121BFD" w:rsidRPr="00520B23" w:rsidRDefault="00121BFD" w:rsidP="00121BFD">
            <w:pPr>
              <w:pStyle w:val="Tabletext"/>
              <w:keepNext/>
              <w:jc w:val="center"/>
            </w:pPr>
            <w:r w:rsidRPr="00520B23">
              <w:t>NR</w:t>
            </w:r>
          </w:p>
        </w:tc>
        <w:tc>
          <w:tcPr>
            <w:tcW w:w="471" w:type="pct"/>
            <w:tcBorders>
              <w:top w:val="single" w:sz="4" w:space="0" w:color="auto"/>
              <w:left w:val="single" w:sz="4" w:space="0" w:color="auto"/>
              <w:bottom w:val="single" w:sz="4" w:space="0" w:color="auto"/>
              <w:right w:val="single" w:sz="4" w:space="0" w:color="auto"/>
            </w:tcBorders>
            <w:vAlign w:val="center"/>
            <w:hideMark/>
          </w:tcPr>
          <w:p w14:paraId="38CE8323" w14:textId="77777777" w:rsidR="00121BFD" w:rsidRPr="00520B23" w:rsidRDefault="00121BFD" w:rsidP="00121BFD">
            <w:pPr>
              <w:pStyle w:val="Tabletext"/>
              <w:keepNext/>
              <w:jc w:val="center"/>
            </w:pPr>
            <w:r w:rsidRPr="00520B23">
              <w:t>95.4</w:t>
            </w:r>
          </w:p>
        </w:tc>
        <w:tc>
          <w:tcPr>
            <w:tcW w:w="394" w:type="pct"/>
            <w:tcBorders>
              <w:top w:val="single" w:sz="4" w:space="0" w:color="auto"/>
              <w:left w:val="single" w:sz="4" w:space="0" w:color="auto"/>
              <w:bottom w:val="single" w:sz="4" w:space="0" w:color="auto"/>
              <w:right w:val="single" w:sz="4" w:space="0" w:color="auto"/>
            </w:tcBorders>
            <w:vAlign w:val="center"/>
            <w:hideMark/>
          </w:tcPr>
          <w:p w14:paraId="6589B911" w14:textId="77777777" w:rsidR="00121BFD" w:rsidRPr="00520B23" w:rsidRDefault="00121BFD" w:rsidP="00121BFD">
            <w:pPr>
              <w:pStyle w:val="Tabletext"/>
              <w:keepNext/>
              <w:jc w:val="center"/>
            </w:pPr>
            <w:r w:rsidRPr="00520B23">
              <w:t>99.5</w:t>
            </w:r>
          </w:p>
        </w:tc>
        <w:tc>
          <w:tcPr>
            <w:tcW w:w="557" w:type="pct"/>
            <w:tcBorders>
              <w:top w:val="single" w:sz="4" w:space="0" w:color="auto"/>
              <w:left w:val="single" w:sz="4" w:space="0" w:color="auto"/>
              <w:bottom w:val="single" w:sz="4" w:space="0" w:color="auto"/>
              <w:right w:val="single" w:sz="4" w:space="0" w:color="auto"/>
            </w:tcBorders>
            <w:vAlign w:val="center"/>
            <w:hideMark/>
          </w:tcPr>
          <w:p w14:paraId="6F8DBBD5" w14:textId="77777777" w:rsidR="00121BFD" w:rsidRPr="00520B23" w:rsidRDefault="00121BFD" w:rsidP="00121BFD">
            <w:pPr>
              <w:pStyle w:val="Tabletext"/>
              <w:keepNext/>
              <w:jc w:val="center"/>
            </w:pPr>
            <w:r w:rsidRPr="00520B23">
              <w:t>98.4</w:t>
            </w:r>
          </w:p>
        </w:tc>
        <w:tc>
          <w:tcPr>
            <w:tcW w:w="515" w:type="pct"/>
            <w:tcBorders>
              <w:top w:val="single" w:sz="4" w:space="0" w:color="auto"/>
              <w:left w:val="single" w:sz="4" w:space="0" w:color="auto"/>
              <w:bottom w:val="single" w:sz="4" w:space="0" w:color="auto"/>
              <w:right w:val="single" w:sz="4" w:space="0" w:color="auto"/>
            </w:tcBorders>
            <w:vAlign w:val="center"/>
            <w:hideMark/>
          </w:tcPr>
          <w:p w14:paraId="2B6BC17B" w14:textId="77777777" w:rsidR="00121BFD" w:rsidRPr="00520B23" w:rsidRDefault="00121BFD" w:rsidP="00121BFD">
            <w:pPr>
              <w:pStyle w:val="Tabletext"/>
              <w:keepNext/>
              <w:jc w:val="center"/>
            </w:pPr>
            <w:r w:rsidRPr="00520B23">
              <w:t>97.7</w:t>
            </w:r>
          </w:p>
        </w:tc>
      </w:tr>
      <w:tr w:rsidR="00500637" w:rsidRPr="00520B23" w14:paraId="123A884D" w14:textId="77777777" w:rsidTr="009A0CFD">
        <w:trPr>
          <w:trHeight w:val="20"/>
        </w:trPr>
        <w:tc>
          <w:tcPr>
            <w:tcW w:w="1019" w:type="pct"/>
            <w:tcBorders>
              <w:top w:val="single" w:sz="4" w:space="0" w:color="auto"/>
              <w:left w:val="single" w:sz="4" w:space="0" w:color="auto"/>
              <w:bottom w:val="single" w:sz="4" w:space="0" w:color="auto"/>
              <w:right w:val="single" w:sz="4" w:space="0" w:color="auto"/>
            </w:tcBorders>
            <w:vAlign w:val="center"/>
            <w:hideMark/>
          </w:tcPr>
          <w:p w14:paraId="3DE99B7E" w14:textId="77777777" w:rsidR="00500637" w:rsidRPr="00520B23" w:rsidRDefault="00500637" w:rsidP="00500637">
            <w:pPr>
              <w:pStyle w:val="Tabletext"/>
              <w:keepNext/>
            </w:pPr>
            <w:r w:rsidRPr="00520B23">
              <w:t>TEAE resulting in treatment discontinuation, %</w:t>
            </w:r>
          </w:p>
        </w:tc>
        <w:tc>
          <w:tcPr>
            <w:tcW w:w="472" w:type="pct"/>
            <w:tcBorders>
              <w:top w:val="single" w:sz="4" w:space="0" w:color="auto"/>
              <w:left w:val="single" w:sz="4" w:space="0" w:color="auto"/>
              <w:bottom w:val="single" w:sz="4" w:space="0" w:color="auto"/>
              <w:right w:val="single" w:sz="4" w:space="0" w:color="auto"/>
            </w:tcBorders>
            <w:vAlign w:val="center"/>
            <w:hideMark/>
          </w:tcPr>
          <w:p w14:paraId="45FEF495" w14:textId="77777777" w:rsidR="00500637" w:rsidRPr="00520B23" w:rsidRDefault="00500637" w:rsidP="00500637">
            <w:pPr>
              <w:pStyle w:val="Tabletext"/>
              <w:keepNext/>
              <w:jc w:val="center"/>
            </w:pPr>
            <w:r w:rsidRPr="00520B23">
              <w:t>11.6</w:t>
            </w:r>
          </w:p>
        </w:tc>
        <w:tc>
          <w:tcPr>
            <w:tcW w:w="504" w:type="pct"/>
            <w:tcBorders>
              <w:top w:val="single" w:sz="4" w:space="0" w:color="auto"/>
              <w:left w:val="single" w:sz="4" w:space="0" w:color="auto"/>
              <w:bottom w:val="single" w:sz="4" w:space="0" w:color="auto"/>
              <w:right w:val="single" w:sz="4" w:space="0" w:color="auto"/>
            </w:tcBorders>
            <w:vAlign w:val="center"/>
          </w:tcPr>
          <w:p w14:paraId="2E53A294" w14:textId="1ED4BD4A" w:rsidR="00500637" w:rsidRPr="00520B23" w:rsidRDefault="00500637" w:rsidP="00500637">
            <w:pPr>
              <w:pStyle w:val="Tabletext"/>
              <w:keepNext/>
              <w:jc w:val="center"/>
            </w:pPr>
            <w:r w:rsidRPr="00520B23">
              <w:t>15.7</w:t>
            </w:r>
          </w:p>
        </w:tc>
        <w:tc>
          <w:tcPr>
            <w:tcW w:w="620" w:type="pct"/>
            <w:tcBorders>
              <w:top w:val="single" w:sz="4" w:space="0" w:color="auto"/>
              <w:left w:val="single" w:sz="4" w:space="0" w:color="auto"/>
              <w:bottom w:val="single" w:sz="4" w:space="0" w:color="auto"/>
              <w:right w:val="single" w:sz="4" w:space="0" w:color="auto"/>
            </w:tcBorders>
            <w:vAlign w:val="center"/>
          </w:tcPr>
          <w:p w14:paraId="60F9E0BA" w14:textId="584D7378" w:rsidR="00500637" w:rsidRPr="00520B23" w:rsidRDefault="00500637" w:rsidP="00500637">
            <w:pPr>
              <w:pStyle w:val="Tabletext"/>
              <w:keepNext/>
              <w:jc w:val="center"/>
            </w:pPr>
            <w:r w:rsidRPr="00520B23">
              <w:t>9.9</w:t>
            </w:r>
          </w:p>
        </w:tc>
        <w:tc>
          <w:tcPr>
            <w:tcW w:w="448" w:type="pct"/>
            <w:tcBorders>
              <w:top w:val="single" w:sz="4" w:space="0" w:color="auto"/>
              <w:left w:val="single" w:sz="4" w:space="0" w:color="auto"/>
              <w:bottom w:val="single" w:sz="4" w:space="0" w:color="auto"/>
              <w:right w:val="single" w:sz="4" w:space="0" w:color="auto"/>
            </w:tcBorders>
            <w:vAlign w:val="center"/>
            <w:hideMark/>
          </w:tcPr>
          <w:p w14:paraId="6D2F2F49" w14:textId="77777777" w:rsidR="00500637" w:rsidRPr="00520B23" w:rsidRDefault="00500637" w:rsidP="00500637">
            <w:pPr>
              <w:pStyle w:val="Tabletext"/>
              <w:keepNext/>
              <w:jc w:val="center"/>
            </w:pPr>
            <w:r w:rsidRPr="00520B23">
              <w:t>15.3</w:t>
            </w:r>
          </w:p>
        </w:tc>
        <w:tc>
          <w:tcPr>
            <w:tcW w:w="471" w:type="pct"/>
            <w:tcBorders>
              <w:top w:val="single" w:sz="4" w:space="0" w:color="auto"/>
              <w:left w:val="single" w:sz="4" w:space="0" w:color="auto"/>
              <w:bottom w:val="single" w:sz="4" w:space="0" w:color="auto"/>
              <w:right w:val="single" w:sz="4" w:space="0" w:color="auto"/>
            </w:tcBorders>
            <w:vAlign w:val="center"/>
            <w:hideMark/>
          </w:tcPr>
          <w:p w14:paraId="4635FD0E" w14:textId="77777777" w:rsidR="00500637" w:rsidRPr="00520B23" w:rsidRDefault="00500637" w:rsidP="00500637">
            <w:pPr>
              <w:pStyle w:val="Tabletext"/>
              <w:keepNext/>
              <w:jc w:val="center"/>
            </w:pPr>
            <w:r w:rsidRPr="00520B23">
              <w:t>15.5</w:t>
            </w:r>
          </w:p>
        </w:tc>
        <w:tc>
          <w:tcPr>
            <w:tcW w:w="394" w:type="pct"/>
            <w:tcBorders>
              <w:top w:val="single" w:sz="4" w:space="0" w:color="auto"/>
              <w:left w:val="single" w:sz="4" w:space="0" w:color="auto"/>
              <w:bottom w:val="single" w:sz="4" w:space="0" w:color="auto"/>
              <w:right w:val="single" w:sz="4" w:space="0" w:color="auto"/>
            </w:tcBorders>
            <w:vAlign w:val="center"/>
            <w:hideMark/>
          </w:tcPr>
          <w:p w14:paraId="2039CD8A" w14:textId="77777777" w:rsidR="00500637" w:rsidRPr="00520B23" w:rsidRDefault="00500637" w:rsidP="00500637">
            <w:pPr>
              <w:pStyle w:val="Tabletext"/>
              <w:keepNext/>
              <w:jc w:val="center"/>
            </w:pPr>
            <w:r w:rsidRPr="00520B23">
              <w:t>8.0</w:t>
            </w:r>
          </w:p>
        </w:tc>
        <w:tc>
          <w:tcPr>
            <w:tcW w:w="557" w:type="pct"/>
            <w:tcBorders>
              <w:top w:val="single" w:sz="4" w:space="0" w:color="auto"/>
              <w:left w:val="single" w:sz="4" w:space="0" w:color="auto"/>
              <w:bottom w:val="single" w:sz="4" w:space="0" w:color="auto"/>
              <w:right w:val="single" w:sz="4" w:space="0" w:color="auto"/>
            </w:tcBorders>
            <w:vAlign w:val="center"/>
            <w:hideMark/>
          </w:tcPr>
          <w:p w14:paraId="648EFD99" w14:textId="77777777" w:rsidR="00500637" w:rsidRPr="00520B23" w:rsidRDefault="00500637" w:rsidP="00500637">
            <w:pPr>
              <w:pStyle w:val="Tabletext"/>
              <w:keepNext/>
              <w:jc w:val="center"/>
            </w:pPr>
            <w:r w:rsidRPr="00520B23">
              <w:t>6.3</w:t>
            </w:r>
          </w:p>
        </w:tc>
        <w:tc>
          <w:tcPr>
            <w:tcW w:w="515" w:type="pct"/>
            <w:tcBorders>
              <w:top w:val="single" w:sz="4" w:space="0" w:color="auto"/>
              <w:left w:val="single" w:sz="4" w:space="0" w:color="auto"/>
              <w:bottom w:val="single" w:sz="4" w:space="0" w:color="auto"/>
              <w:right w:val="single" w:sz="4" w:space="0" w:color="auto"/>
            </w:tcBorders>
            <w:vAlign w:val="center"/>
            <w:hideMark/>
          </w:tcPr>
          <w:p w14:paraId="5CA3C7F2" w14:textId="77777777" w:rsidR="00500637" w:rsidRPr="00520B23" w:rsidRDefault="00500637" w:rsidP="00500637">
            <w:pPr>
              <w:pStyle w:val="Tabletext"/>
              <w:keepNext/>
              <w:jc w:val="center"/>
            </w:pPr>
            <w:r w:rsidRPr="00520B23">
              <w:t>N/R</w:t>
            </w:r>
          </w:p>
        </w:tc>
      </w:tr>
      <w:tr w:rsidR="00500637" w:rsidRPr="00520B23" w14:paraId="3622278D" w14:textId="77777777" w:rsidTr="00FB6B86">
        <w:trPr>
          <w:trHeight w:val="20"/>
        </w:trPr>
        <w:tc>
          <w:tcPr>
            <w:tcW w:w="1019" w:type="pct"/>
            <w:tcBorders>
              <w:top w:val="single" w:sz="4" w:space="0" w:color="auto"/>
              <w:left w:val="single" w:sz="4" w:space="0" w:color="auto"/>
              <w:bottom w:val="single" w:sz="4" w:space="0" w:color="auto"/>
              <w:right w:val="single" w:sz="4" w:space="0" w:color="auto"/>
            </w:tcBorders>
            <w:vAlign w:val="center"/>
          </w:tcPr>
          <w:p w14:paraId="7BF47417" w14:textId="4DF34F39" w:rsidR="00500637" w:rsidRPr="00520B23" w:rsidRDefault="00500637" w:rsidP="00500637">
            <w:pPr>
              <w:pStyle w:val="Tabletext"/>
              <w:keepNext/>
            </w:pPr>
            <w:r w:rsidRPr="00520B23">
              <w:t>Treatment related TEAEs leading to discontinuation, %</w:t>
            </w:r>
          </w:p>
        </w:tc>
        <w:tc>
          <w:tcPr>
            <w:tcW w:w="472" w:type="pct"/>
            <w:tcBorders>
              <w:top w:val="single" w:sz="4" w:space="0" w:color="auto"/>
              <w:left w:val="single" w:sz="4" w:space="0" w:color="auto"/>
              <w:bottom w:val="single" w:sz="4" w:space="0" w:color="auto"/>
              <w:right w:val="single" w:sz="4" w:space="0" w:color="auto"/>
            </w:tcBorders>
            <w:vAlign w:val="center"/>
          </w:tcPr>
          <w:p w14:paraId="6C16821A" w14:textId="0A3324BD" w:rsidR="00500637" w:rsidRPr="00520B23" w:rsidRDefault="00500637" w:rsidP="00500637">
            <w:pPr>
              <w:pStyle w:val="Tabletext"/>
              <w:keepNext/>
              <w:jc w:val="center"/>
            </w:pPr>
            <w:r w:rsidRPr="00520B23">
              <w:t>3.9</w:t>
            </w:r>
          </w:p>
        </w:tc>
        <w:tc>
          <w:tcPr>
            <w:tcW w:w="504" w:type="pct"/>
            <w:tcBorders>
              <w:top w:val="single" w:sz="4" w:space="0" w:color="auto"/>
              <w:left w:val="single" w:sz="4" w:space="0" w:color="auto"/>
              <w:bottom w:val="single" w:sz="4" w:space="0" w:color="auto"/>
              <w:right w:val="single" w:sz="4" w:space="0" w:color="auto"/>
            </w:tcBorders>
            <w:vAlign w:val="center"/>
          </w:tcPr>
          <w:p w14:paraId="368A0114" w14:textId="671510C5" w:rsidR="00500637" w:rsidRPr="00520B23" w:rsidRDefault="00500637" w:rsidP="00500637">
            <w:pPr>
              <w:pStyle w:val="Tabletext"/>
              <w:keepNext/>
              <w:jc w:val="center"/>
            </w:pPr>
            <w:r w:rsidRPr="00520B23">
              <w:t>8.5</w:t>
            </w:r>
          </w:p>
        </w:tc>
        <w:tc>
          <w:tcPr>
            <w:tcW w:w="620" w:type="pct"/>
            <w:tcBorders>
              <w:top w:val="single" w:sz="4" w:space="0" w:color="auto"/>
              <w:left w:val="single" w:sz="4" w:space="0" w:color="auto"/>
              <w:bottom w:val="single" w:sz="4" w:space="0" w:color="auto"/>
              <w:right w:val="single" w:sz="4" w:space="0" w:color="auto"/>
            </w:tcBorders>
            <w:vAlign w:val="center"/>
          </w:tcPr>
          <w:p w14:paraId="675829D0" w14:textId="2E31328E" w:rsidR="00500637" w:rsidRPr="00520B23" w:rsidRDefault="00500637" w:rsidP="00500637">
            <w:pPr>
              <w:pStyle w:val="Tabletext"/>
              <w:keepNext/>
              <w:jc w:val="center"/>
            </w:pPr>
            <w:r w:rsidRPr="00520B23">
              <w:t>6.8</w:t>
            </w:r>
          </w:p>
        </w:tc>
        <w:tc>
          <w:tcPr>
            <w:tcW w:w="448" w:type="pct"/>
            <w:tcBorders>
              <w:top w:val="single" w:sz="4" w:space="0" w:color="auto"/>
              <w:left w:val="single" w:sz="4" w:space="0" w:color="auto"/>
              <w:bottom w:val="single" w:sz="4" w:space="0" w:color="auto"/>
              <w:right w:val="single" w:sz="4" w:space="0" w:color="auto"/>
            </w:tcBorders>
            <w:vAlign w:val="center"/>
          </w:tcPr>
          <w:p w14:paraId="3C4910B1" w14:textId="306D3506" w:rsidR="00500637" w:rsidRPr="00520B23" w:rsidRDefault="00500637" w:rsidP="00500637">
            <w:pPr>
              <w:pStyle w:val="Tabletext"/>
              <w:keepNext/>
              <w:jc w:val="center"/>
            </w:pPr>
            <w:r w:rsidRPr="00520B23">
              <w:t>N/R</w:t>
            </w:r>
          </w:p>
        </w:tc>
        <w:tc>
          <w:tcPr>
            <w:tcW w:w="471" w:type="pct"/>
            <w:tcBorders>
              <w:top w:val="single" w:sz="4" w:space="0" w:color="auto"/>
              <w:left w:val="single" w:sz="4" w:space="0" w:color="auto"/>
              <w:bottom w:val="single" w:sz="4" w:space="0" w:color="auto"/>
              <w:right w:val="single" w:sz="4" w:space="0" w:color="auto"/>
            </w:tcBorders>
            <w:vAlign w:val="center"/>
          </w:tcPr>
          <w:p w14:paraId="5A122101" w14:textId="6897ECF0" w:rsidR="00500637" w:rsidRPr="00520B23" w:rsidRDefault="00500637" w:rsidP="00500637">
            <w:pPr>
              <w:pStyle w:val="Tabletext"/>
              <w:keepNext/>
              <w:jc w:val="center"/>
            </w:pPr>
            <w:r w:rsidRPr="00520B23">
              <w:t>N/R</w:t>
            </w:r>
          </w:p>
        </w:tc>
        <w:tc>
          <w:tcPr>
            <w:tcW w:w="394" w:type="pct"/>
            <w:tcBorders>
              <w:top w:val="single" w:sz="4" w:space="0" w:color="auto"/>
              <w:left w:val="single" w:sz="4" w:space="0" w:color="auto"/>
              <w:bottom w:val="single" w:sz="4" w:space="0" w:color="auto"/>
              <w:right w:val="single" w:sz="4" w:space="0" w:color="auto"/>
            </w:tcBorders>
            <w:vAlign w:val="center"/>
          </w:tcPr>
          <w:p w14:paraId="048900E1" w14:textId="27699126" w:rsidR="00500637" w:rsidRPr="00520B23" w:rsidRDefault="00500637" w:rsidP="00500637">
            <w:pPr>
              <w:pStyle w:val="Tabletext"/>
              <w:keepNext/>
              <w:jc w:val="center"/>
            </w:pPr>
            <w:r w:rsidRPr="00520B23">
              <w:t>5.7</w:t>
            </w:r>
          </w:p>
        </w:tc>
        <w:tc>
          <w:tcPr>
            <w:tcW w:w="557" w:type="pct"/>
            <w:tcBorders>
              <w:top w:val="single" w:sz="4" w:space="0" w:color="auto"/>
              <w:left w:val="single" w:sz="4" w:space="0" w:color="auto"/>
              <w:bottom w:val="single" w:sz="4" w:space="0" w:color="auto"/>
              <w:right w:val="single" w:sz="4" w:space="0" w:color="auto"/>
            </w:tcBorders>
            <w:vAlign w:val="center"/>
          </w:tcPr>
          <w:p w14:paraId="16F35F3A" w14:textId="17F2301B" w:rsidR="00500637" w:rsidRPr="00520B23" w:rsidRDefault="00500637" w:rsidP="00500637">
            <w:pPr>
              <w:pStyle w:val="Tabletext"/>
              <w:keepNext/>
              <w:jc w:val="center"/>
            </w:pPr>
            <w:r w:rsidRPr="00520B23">
              <w:t>N/R</w:t>
            </w:r>
          </w:p>
        </w:tc>
        <w:tc>
          <w:tcPr>
            <w:tcW w:w="515" w:type="pct"/>
            <w:tcBorders>
              <w:top w:val="single" w:sz="4" w:space="0" w:color="auto"/>
              <w:left w:val="single" w:sz="4" w:space="0" w:color="auto"/>
              <w:bottom w:val="single" w:sz="4" w:space="0" w:color="auto"/>
              <w:right w:val="single" w:sz="4" w:space="0" w:color="auto"/>
            </w:tcBorders>
            <w:vAlign w:val="center"/>
          </w:tcPr>
          <w:p w14:paraId="11990359" w14:textId="412C325B" w:rsidR="00500637" w:rsidRPr="00520B23" w:rsidRDefault="00500637" w:rsidP="00500637">
            <w:pPr>
              <w:pStyle w:val="Tabletext"/>
              <w:keepNext/>
              <w:jc w:val="center"/>
            </w:pPr>
            <w:r w:rsidRPr="00520B23">
              <w:t>N/R</w:t>
            </w:r>
          </w:p>
        </w:tc>
      </w:tr>
      <w:tr w:rsidR="00500637" w:rsidRPr="00520B23" w14:paraId="48A4A744" w14:textId="77777777" w:rsidTr="009A0CFD">
        <w:trPr>
          <w:trHeight w:val="20"/>
        </w:trPr>
        <w:tc>
          <w:tcPr>
            <w:tcW w:w="1019" w:type="pct"/>
            <w:tcBorders>
              <w:top w:val="single" w:sz="4" w:space="0" w:color="auto"/>
              <w:left w:val="single" w:sz="4" w:space="0" w:color="auto"/>
              <w:bottom w:val="single" w:sz="4" w:space="0" w:color="auto"/>
              <w:right w:val="single" w:sz="4" w:space="0" w:color="auto"/>
            </w:tcBorders>
            <w:vAlign w:val="center"/>
          </w:tcPr>
          <w:p w14:paraId="6A8BAF56" w14:textId="77777777" w:rsidR="00500637" w:rsidRPr="00520B23" w:rsidRDefault="00500637" w:rsidP="00500637">
            <w:pPr>
              <w:pStyle w:val="Tabletext"/>
              <w:keepNext/>
            </w:pPr>
            <w:r w:rsidRPr="00520B23">
              <w:t>Treatment related TEAEs, %</w:t>
            </w:r>
          </w:p>
        </w:tc>
        <w:tc>
          <w:tcPr>
            <w:tcW w:w="472" w:type="pct"/>
            <w:tcBorders>
              <w:top w:val="single" w:sz="4" w:space="0" w:color="auto"/>
              <w:left w:val="single" w:sz="4" w:space="0" w:color="auto"/>
              <w:bottom w:val="single" w:sz="4" w:space="0" w:color="auto"/>
              <w:right w:val="single" w:sz="4" w:space="0" w:color="auto"/>
            </w:tcBorders>
            <w:vAlign w:val="center"/>
          </w:tcPr>
          <w:p w14:paraId="0BD26D62" w14:textId="77777777" w:rsidR="00500637" w:rsidRPr="00520B23" w:rsidRDefault="00500637" w:rsidP="00500637">
            <w:pPr>
              <w:pStyle w:val="Tabletext"/>
              <w:keepNext/>
              <w:jc w:val="center"/>
            </w:pPr>
            <w:r w:rsidRPr="00520B23">
              <w:t>63.6</w:t>
            </w:r>
          </w:p>
        </w:tc>
        <w:tc>
          <w:tcPr>
            <w:tcW w:w="504" w:type="pct"/>
            <w:tcBorders>
              <w:top w:val="single" w:sz="4" w:space="0" w:color="auto"/>
              <w:left w:val="single" w:sz="4" w:space="0" w:color="auto"/>
              <w:bottom w:val="single" w:sz="4" w:space="0" w:color="auto"/>
              <w:right w:val="single" w:sz="4" w:space="0" w:color="auto"/>
            </w:tcBorders>
            <w:vAlign w:val="center"/>
          </w:tcPr>
          <w:p w14:paraId="24573E10" w14:textId="457B0DD9" w:rsidR="00500637" w:rsidRPr="00520B23" w:rsidRDefault="00500637" w:rsidP="00500637">
            <w:pPr>
              <w:pStyle w:val="Tabletext"/>
              <w:keepNext/>
              <w:jc w:val="center"/>
            </w:pPr>
            <w:r w:rsidRPr="00520B23">
              <w:t>70.6</w:t>
            </w:r>
          </w:p>
        </w:tc>
        <w:tc>
          <w:tcPr>
            <w:tcW w:w="620" w:type="pct"/>
            <w:tcBorders>
              <w:top w:val="single" w:sz="4" w:space="0" w:color="auto"/>
              <w:left w:val="single" w:sz="4" w:space="0" w:color="auto"/>
              <w:bottom w:val="single" w:sz="4" w:space="0" w:color="auto"/>
              <w:right w:val="single" w:sz="4" w:space="0" w:color="auto"/>
            </w:tcBorders>
            <w:vAlign w:val="center"/>
          </w:tcPr>
          <w:p w14:paraId="22BAF4BD" w14:textId="5990D564" w:rsidR="00500637" w:rsidRPr="00520B23" w:rsidRDefault="00500637" w:rsidP="00500637">
            <w:pPr>
              <w:pStyle w:val="Tabletext"/>
              <w:keepNext/>
              <w:jc w:val="center"/>
            </w:pPr>
            <w:r w:rsidRPr="00520B23">
              <w:t>70.8</w:t>
            </w:r>
          </w:p>
        </w:tc>
        <w:tc>
          <w:tcPr>
            <w:tcW w:w="448" w:type="pct"/>
            <w:tcBorders>
              <w:top w:val="single" w:sz="4" w:space="0" w:color="auto"/>
              <w:left w:val="single" w:sz="4" w:space="0" w:color="auto"/>
              <w:bottom w:val="single" w:sz="4" w:space="0" w:color="auto"/>
              <w:right w:val="single" w:sz="4" w:space="0" w:color="auto"/>
            </w:tcBorders>
            <w:vAlign w:val="center"/>
          </w:tcPr>
          <w:p w14:paraId="794BA99C" w14:textId="77777777" w:rsidR="00500637" w:rsidRPr="00520B23" w:rsidRDefault="00500637" w:rsidP="00500637">
            <w:pPr>
              <w:pStyle w:val="Tabletext"/>
              <w:keepNext/>
              <w:jc w:val="center"/>
            </w:pPr>
            <w:r w:rsidRPr="00520B23">
              <w:t>N/R</w:t>
            </w:r>
          </w:p>
        </w:tc>
        <w:tc>
          <w:tcPr>
            <w:tcW w:w="471" w:type="pct"/>
            <w:tcBorders>
              <w:top w:val="single" w:sz="4" w:space="0" w:color="auto"/>
              <w:left w:val="single" w:sz="4" w:space="0" w:color="auto"/>
              <w:bottom w:val="single" w:sz="4" w:space="0" w:color="auto"/>
              <w:right w:val="single" w:sz="4" w:space="0" w:color="auto"/>
            </w:tcBorders>
            <w:vAlign w:val="center"/>
          </w:tcPr>
          <w:p w14:paraId="66B6B34A" w14:textId="77777777" w:rsidR="00500637" w:rsidRPr="00520B23" w:rsidRDefault="00500637" w:rsidP="00500637">
            <w:pPr>
              <w:pStyle w:val="Tabletext"/>
              <w:keepNext/>
              <w:jc w:val="center"/>
            </w:pPr>
            <w:r w:rsidRPr="00520B23">
              <w:t>90.0</w:t>
            </w:r>
          </w:p>
        </w:tc>
        <w:tc>
          <w:tcPr>
            <w:tcW w:w="394" w:type="pct"/>
            <w:tcBorders>
              <w:top w:val="single" w:sz="4" w:space="0" w:color="auto"/>
              <w:left w:val="single" w:sz="4" w:space="0" w:color="auto"/>
              <w:bottom w:val="single" w:sz="4" w:space="0" w:color="auto"/>
              <w:right w:val="single" w:sz="4" w:space="0" w:color="auto"/>
            </w:tcBorders>
            <w:vAlign w:val="center"/>
          </w:tcPr>
          <w:p w14:paraId="0A091433" w14:textId="3881A9DE" w:rsidR="00500637" w:rsidRPr="00520B23" w:rsidRDefault="00500637" w:rsidP="00500637">
            <w:pPr>
              <w:pStyle w:val="Tabletext"/>
              <w:keepNext/>
              <w:jc w:val="center"/>
            </w:pPr>
            <w:r w:rsidRPr="00520B23">
              <w:t>93.8</w:t>
            </w:r>
          </w:p>
        </w:tc>
        <w:tc>
          <w:tcPr>
            <w:tcW w:w="557" w:type="pct"/>
            <w:tcBorders>
              <w:top w:val="single" w:sz="4" w:space="0" w:color="auto"/>
              <w:left w:val="single" w:sz="4" w:space="0" w:color="auto"/>
              <w:bottom w:val="single" w:sz="4" w:space="0" w:color="auto"/>
              <w:right w:val="single" w:sz="4" w:space="0" w:color="auto"/>
            </w:tcBorders>
            <w:vAlign w:val="center"/>
          </w:tcPr>
          <w:p w14:paraId="195894BD" w14:textId="77777777" w:rsidR="00500637" w:rsidRPr="00520B23" w:rsidRDefault="00500637" w:rsidP="00500637">
            <w:pPr>
              <w:pStyle w:val="Tabletext"/>
              <w:keepNext/>
              <w:jc w:val="center"/>
            </w:pPr>
            <w:r w:rsidRPr="00520B23">
              <w:t>N/R</w:t>
            </w:r>
          </w:p>
        </w:tc>
        <w:tc>
          <w:tcPr>
            <w:tcW w:w="515" w:type="pct"/>
            <w:tcBorders>
              <w:top w:val="single" w:sz="4" w:space="0" w:color="auto"/>
              <w:left w:val="single" w:sz="4" w:space="0" w:color="auto"/>
              <w:bottom w:val="single" w:sz="4" w:space="0" w:color="auto"/>
              <w:right w:val="single" w:sz="4" w:space="0" w:color="auto"/>
            </w:tcBorders>
            <w:vAlign w:val="center"/>
          </w:tcPr>
          <w:p w14:paraId="764ED094" w14:textId="77777777" w:rsidR="00500637" w:rsidRPr="00520B23" w:rsidRDefault="00500637" w:rsidP="00500637">
            <w:pPr>
              <w:pStyle w:val="Tabletext"/>
              <w:keepNext/>
              <w:jc w:val="center"/>
            </w:pPr>
            <w:r w:rsidRPr="00520B23">
              <w:t>N/R</w:t>
            </w:r>
          </w:p>
        </w:tc>
      </w:tr>
      <w:tr w:rsidR="00500637" w:rsidRPr="00520B23" w14:paraId="5804D307" w14:textId="77777777" w:rsidTr="009A0CFD">
        <w:trPr>
          <w:trHeight w:val="20"/>
        </w:trPr>
        <w:tc>
          <w:tcPr>
            <w:tcW w:w="1019" w:type="pct"/>
            <w:tcBorders>
              <w:top w:val="single" w:sz="4" w:space="0" w:color="auto"/>
              <w:left w:val="single" w:sz="4" w:space="0" w:color="auto"/>
              <w:bottom w:val="single" w:sz="4" w:space="0" w:color="auto"/>
              <w:right w:val="single" w:sz="4" w:space="0" w:color="auto"/>
            </w:tcBorders>
            <w:vAlign w:val="center"/>
            <w:hideMark/>
          </w:tcPr>
          <w:p w14:paraId="6FB1ABF3" w14:textId="77777777" w:rsidR="00500637" w:rsidRPr="00520B23" w:rsidRDefault="00500637" w:rsidP="00500637">
            <w:pPr>
              <w:pStyle w:val="Tabletext"/>
              <w:keepNext/>
            </w:pPr>
            <w:r w:rsidRPr="00520B23">
              <w:t>SAE, %</w:t>
            </w:r>
          </w:p>
        </w:tc>
        <w:tc>
          <w:tcPr>
            <w:tcW w:w="472" w:type="pct"/>
            <w:tcBorders>
              <w:top w:val="single" w:sz="4" w:space="0" w:color="auto"/>
              <w:left w:val="single" w:sz="4" w:space="0" w:color="auto"/>
              <w:bottom w:val="single" w:sz="4" w:space="0" w:color="auto"/>
              <w:right w:val="single" w:sz="4" w:space="0" w:color="auto"/>
            </w:tcBorders>
            <w:vAlign w:val="center"/>
            <w:hideMark/>
          </w:tcPr>
          <w:p w14:paraId="0E1E77BA" w14:textId="77777777" w:rsidR="00500637" w:rsidRPr="00520B23" w:rsidRDefault="00500637" w:rsidP="00500637">
            <w:pPr>
              <w:pStyle w:val="Tabletext"/>
              <w:keepNext/>
              <w:jc w:val="center"/>
            </w:pPr>
            <w:r w:rsidRPr="00520B23">
              <w:t>34.1</w:t>
            </w:r>
          </w:p>
        </w:tc>
        <w:tc>
          <w:tcPr>
            <w:tcW w:w="504" w:type="pct"/>
            <w:tcBorders>
              <w:top w:val="single" w:sz="4" w:space="0" w:color="auto"/>
              <w:left w:val="single" w:sz="4" w:space="0" w:color="auto"/>
              <w:bottom w:val="single" w:sz="4" w:space="0" w:color="auto"/>
              <w:right w:val="single" w:sz="4" w:space="0" w:color="auto"/>
            </w:tcBorders>
            <w:vAlign w:val="center"/>
          </w:tcPr>
          <w:p w14:paraId="636CAA93" w14:textId="1834DB67" w:rsidR="00500637" w:rsidRPr="00520B23" w:rsidRDefault="00500637" w:rsidP="00500637">
            <w:pPr>
              <w:pStyle w:val="Tabletext"/>
              <w:keepNext/>
              <w:jc w:val="center"/>
            </w:pPr>
            <w:r w:rsidRPr="00520B23">
              <w:t>37.9</w:t>
            </w:r>
          </w:p>
        </w:tc>
        <w:tc>
          <w:tcPr>
            <w:tcW w:w="620" w:type="pct"/>
            <w:tcBorders>
              <w:top w:val="single" w:sz="4" w:space="0" w:color="auto"/>
              <w:left w:val="single" w:sz="4" w:space="0" w:color="auto"/>
              <w:bottom w:val="single" w:sz="4" w:space="0" w:color="auto"/>
              <w:right w:val="single" w:sz="4" w:space="0" w:color="auto"/>
            </w:tcBorders>
            <w:vAlign w:val="center"/>
          </w:tcPr>
          <w:p w14:paraId="41E3C428" w14:textId="41F4B265" w:rsidR="00500637" w:rsidRPr="00520B23" w:rsidRDefault="00500637" w:rsidP="00500637">
            <w:pPr>
              <w:pStyle w:val="Tabletext"/>
              <w:keepNext/>
              <w:jc w:val="center"/>
            </w:pPr>
            <w:r w:rsidRPr="00520B23">
              <w:t>46.6</w:t>
            </w:r>
          </w:p>
        </w:tc>
        <w:tc>
          <w:tcPr>
            <w:tcW w:w="448" w:type="pct"/>
            <w:tcBorders>
              <w:top w:val="single" w:sz="4" w:space="0" w:color="auto"/>
              <w:left w:val="single" w:sz="4" w:space="0" w:color="auto"/>
              <w:bottom w:val="single" w:sz="4" w:space="0" w:color="auto"/>
              <w:right w:val="single" w:sz="4" w:space="0" w:color="auto"/>
            </w:tcBorders>
            <w:vAlign w:val="center"/>
            <w:hideMark/>
          </w:tcPr>
          <w:p w14:paraId="59E9051A" w14:textId="77777777" w:rsidR="00500637" w:rsidRPr="00520B23" w:rsidRDefault="00500637" w:rsidP="00500637">
            <w:pPr>
              <w:pStyle w:val="Tabletext"/>
              <w:keepNext/>
              <w:jc w:val="center"/>
            </w:pPr>
            <w:r w:rsidRPr="00520B23">
              <w:t>30.1</w:t>
            </w:r>
          </w:p>
        </w:tc>
        <w:tc>
          <w:tcPr>
            <w:tcW w:w="471" w:type="pct"/>
            <w:tcBorders>
              <w:top w:val="single" w:sz="4" w:space="0" w:color="auto"/>
              <w:left w:val="single" w:sz="4" w:space="0" w:color="auto"/>
              <w:bottom w:val="single" w:sz="4" w:space="0" w:color="auto"/>
              <w:right w:val="single" w:sz="4" w:space="0" w:color="auto"/>
            </w:tcBorders>
            <w:vAlign w:val="center"/>
            <w:hideMark/>
          </w:tcPr>
          <w:p w14:paraId="5B7596BA" w14:textId="77777777" w:rsidR="00500637" w:rsidRPr="00520B23" w:rsidRDefault="00500637" w:rsidP="00500637">
            <w:pPr>
              <w:pStyle w:val="Tabletext"/>
              <w:keepNext/>
              <w:jc w:val="center"/>
            </w:pPr>
            <w:r w:rsidRPr="00520B23">
              <w:t>29.3</w:t>
            </w:r>
          </w:p>
        </w:tc>
        <w:tc>
          <w:tcPr>
            <w:tcW w:w="394" w:type="pct"/>
            <w:tcBorders>
              <w:top w:val="single" w:sz="4" w:space="0" w:color="auto"/>
              <w:left w:val="single" w:sz="4" w:space="0" w:color="auto"/>
              <w:bottom w:val="single" w:sz="4" w:space="0" w:color="auto"/>
              <w:right w:val="single" w:sz="4" w:space="0" w:color="auto"/>
            </w:tcBorders>
            <w:vAlign w:val="center"/>
            <w:hideMark/>
          </w:tcPr>
          <w:p w14:paraId="49244712" w14:textId="615E8103" w:rsidR="00500637" w:rsidRPr="00520B23" w:rsidRDefault="00500637" w:rsidP="00500637">
            <w:pPr>
              <w:pStyle w:val="Tabletext"/>
              <w:keepNext/>
              <w:jc w:val="center"/>
            </w:pPr>
            <w:r w:rsidRPr="00520B23">
              <w:t>30.4</w:t>
            </w:r>
          </w:p>
        </w:tc>
        <w:tc>
          <w:tcPr>
            <w:tcW w:w="557" w:type="pct"/>
            <w:tcBorders>
              <w:top w:val="single" w:sz="4" w:space="0" w:color="auto"/>
              <w:left w:val="single" w:sz="4" w:space="0" w:color="auto"/>
              <w:bottom w:val="single" w:sz="4" w:space="0" w:color="auto"/>
              <w:right w:val="single" w:sz="4" w:space="0" w:color="auto"/>
            </w:tcBorders>
            <w:vAlign w:val="center"/>
            <w:hideMark/>
          </w:tcPr>
          <w:p w14:paraId="0FC74DCA" w14:textId="77777777" w:rsidR="00500637" w:rsidRPr="00520B23" w:rsidRDefault="00500637" w:rsidP="00500637">
            <w:pPr>
              <w:pStyle w:val="Tabletext"/>
              <w:keepNext/>
              <w:jc w:val="center"/>
            </w:pPr>
            <w:r w:rsidRPr="00520B23">
              <w:t>N/R</w:t>
            </w:r>
          </w:p>
        </w:tc>
        <w:tc>
          <w:tcPr>
            <w:tcW w:w="515" w:type="pct"/>
            <w:tcBorders>
              <w:top w:val="single" w:sz="4" w:space="0" w:color="auto"/>
              <w:left w:val="single" w:sz="4" w:space="0" w:color="auto"/>
              <w:bottom w:val="single" w:sz="4" w:space="0" w:color="auto"/>
              <w:right w:val="single" w:sz="4" w:space="0" w:color="auto"/>
            </w:tcBorders>
            <w:vAlign w:val="center"/>
            <w:hideMark/>
          </w:tcPr>
          <w:p w14:paraId="6C000676" w14:textId="77777777" w:rsidR="00500637" w:rsidRPr="00520B23" w:rsidRDefault="00500637" w:rsidP="00500637">
            <w:pPr>
              <w:pStyle w:val="Tabletext"/>
              <w:keepNext/>
              <w:jc w:val="center"/>
            </w:pPr>
            <w:r w:rsidRPr="00520B23">
              <w:t>26.4</w:t>
            </w:r>
          </w:p>
        </w:tc>
      </w:tr>
      <w:tr w:rsidR="00500637" w:rsidRPr="00520B23" w14:paraId="2E56D48F" w14:textId="77777777" w:rsidTr="009A0CFD">
        <w:trPr>
          <w:trHeight w:val="20"/>
        </w:trPr>
        <w:tc>
          <w:tcPr>
            <w:tcW w:w="1019" w:type="pct"/>
            <w:tcBorders>
              <w:top w:val="single" w:sz="4" w:space="0" w:color="auto"/>
              <w:left w:val="single" w:sz="4" w:space="0" w:color="auto"/>
              <w:bottom w:val="single" w:sz="4" w:space="0" w:color="auto"/>
              <w:right w:val="single" w:sz="4" w:space="0" w:color="auto"/>
            </w:tcBorders>
            <w:vAlign w:val="center"/>
          </w:tcPr>
          <w:p w14:paraId="4C209E9D" w14:textId="77777777" w:rsidR="00500637" w:rsidRPr="00520B23" w:rsidRDefault="00500637" w:rsidP="00500637">
            <w:pPr>
              <w:pStyle w:val="Tabletext"/>
              <w:keepNext/>
            </w:pPr>
            <w:r w:rsidRPr="00520B23">
              <w:t>Treatment-related SAEs, %</w:t>
            </w:r>
          </w:p>
        </w:tc>
        <w:tc>
          <w:tcPr>
            <w:tcW w:w="472" w:type="pct"/>
            <w:tcBorders>
              <w:top w:val="single" w:sz="4" w:space="0" w:color="auto"/>
              <w:left w:val="single" w:sz="4" w:space="0" w:color="auto"/>
              <w:bottom w:val="single" w:sz="4" w:space="0" w:color="auto"/>
              <w:right w:val="single" w:sz="4" w:space="0" w:color="auto"/>
            </w:tcBorders>
            <w:vAlign w:val="center"/>
          </w:tcPr>
          <w:p w14:paraId="1A71DC88" w14:textId="77777777" w:rsidR="00500637" w:rsidRPr="00520B23" w:rsidRDefault="00500637" w:rsidP="00500637">
            <w:pPr>
              <w:pStyle w:val="Tabletext"/>
              <w:keepNext/>
              <w:jc w:val="center"/>
            </w:pPr>
            <w:r w:rsidRPr="00520B23">
              <w:t>9.3</w:t>
            </w:r>
          </w:p>
        </w:tc>
        <w:tc>
          <w:tcPr>
            <w:tcW w:w="504" w:type="pct"/>
            <w:tcBorders>
              <w:top w:val="single" w:sz="4" w:space="0" w:color="auto"/>
              <w:left w:val="single" w:sz="4" w:space="0" w:color="auto"/>
              <w:bottom w:val="single" w:sz="4" w:space="0" w:color="auto"/>
              <w:right w:val="single" w:sz="4" w:space="0" w:color="auto"/>
            </w:tcBorders>
            <w:vAlign w:val="center"/>
          </w:tcPr>
          <w:p w14:paraId="47680BC0" w14:textId="3ED1C287" w:rsidR="00500637" w:rsidRPr="00520B23" w:rsidRDefault="00500637" w:rsidP="00500637">
            <w:pPr>
              <w:pStyle w:val="Tabletext"/>
              <w:keepNext/>
              <w:jc w:val="center"/>
            </w:pPr>
            <w:r w:rsidRPr="00520B23">
              <w:t>11.8</w:t>
            </w:r>
          </w:p>
        </w:tc>
        <w:tc>
          <w:tcPr>
            <w:tcW w:w="620" w:type="pct"/>
            <w:tcBorders>
              <w:top w:val="single" w:sz="4" w:space="0" w:color="auto"/>
              <w:left w:val="single" w:sz="4" w:space="0" w:color="auto"/>
              <w:bottom w:val="single" w:sz="4" w:space="0" w:color="auto"/>
              <w:right w:val="single" w:sz="4" w:space="0" w:color="auto"/>
            </w:tcBorders>
            <w:vAlign w:val="center"/>
          </w:tcPr>
          <w:p w14:paraId="1D260BAD" w14:textId="5AD8BA18" w:rsidR="00500637" w:rsidRPr="00520B23" w:rsidRDefault="00500637" w:rsidP="00500637">
            <w:pPr>
              <w:pStyle w:val="Tabletext"/>
              <w:keepNext/>
              <w:jc w:val="center"/>
            </w:pPr>
            <w:r w:rsidRPr="00520B23">
              <w:t>8.1</w:t>
            </w:r>
          </w:p>
        </w:tc>
        <w:tc>
          <w:tcPr>
            <w:tcW w:w="448" w:type="pct"/>
            <w:tcBorders>
              <w:top w:val="single" w:sz="4" w:space="0" w:color="auto"/>
              <w:left w:val="single" w:sz="4" w:space="0" w:color="auto"/>
              <w:bottom w:val="single" w:sz="4" w:space="0" w:color="auto"/>
              <w:right w:val="single" w:sz="4" w:space="0" w:color="auto"/>
            </w:tcBorders>
            <w:vAlign w:val="center"/>
          </w:tcPr>
          <w:p w14:paraId="579A9D26" w14:textId="77777777" w:rsidR="00500637" w:rsidRPr="00520B23" w:rsidRDefault="00500637" w:rsidP="00500637">
            <w:pPr>
              <w:pStyle w:val="Tabletext"/>
              <w:keepNext/>
              <w:jc w:val="center"/>
            </w:pPr>
            <w:r w:rsidRPr="00520B23">
              <w:t>NR</w:t>
            </w:r>
          </w:p>
        </w:tc>
        <w:tc>
          <w:tcPr>
            <w:tcW w:w="471" w:type="pct"/>
            <w:tcBorders>
              <w:top w:val="single" w:sz="4" w:space="0" w:color="auto"/>
              <w:left w:val="single" w:sz="4" w:space="0" w:color="auto"/>
              <w:bottom w:val="single" w:sz="4" w:space="0" w:color="auto"/>
              <w:right w:val="single" w:sz="4" w:space="0" w:color="auto"/>
            </w:tcBorders>
            <w:vAlign w:val="center"/>
          </w:tcPr>
          <w:p w14:paraId="618BA893" w14:textId="77777777" w:rsidR="00500637" w:rsidRPr="00520B23" w:rsidRDefault="00500637" w:rsidP="00500637">
            <w:pPr>
              <w:pStyle w:val="Tabletext"/>
              <w:keepNext/>
              <w:jc w:val="center"/>
            </w:pPr>
            <w:r w:rsidRPr="00520B23">
              <w:t>12.0</w:t>
            </w:r>
          </w:p>
        </w:tc>
        <w:tc>
          <w:tcPr>
            <w:tcW w:w="394" w:type="pct"/>
            <w:tcBorders>
              <w:top w:val="single" w:sz="4" w:space="0" w:color="auto"/>
              <w:left w:val="single" w:sz="4" w:space="0" w:color="auto"/>
              <w:bottom w:val="single" w:sz="4" w:space="0" w:color="auto"/>
              <w:right w:val="single" w:sz="4" w:space="0" w:color="auto"/>
            </w:tcBorders>
            <w:vAlign w:val="center"/>
          </w:tcPr>
          <w:p w14:paraId="45CEED36" w14:textId="0188485B" w:rsidR="00500637" w:rsidRPr="00520B23" w:rsidRDefault="00500637" w:rsidP="00500637">
            <w:pPr>
              <w:pStyle w:val="Tabletext"/>
              <w:keepNext/>
              <w:jc w:val="center"/>
            </w:pPr>
            <w:r w:rsidRPr="00520B23">
              <w:t>14,2</w:t>
            </w:r>
          </w:p>
        </w:tc>
        <w:tc>
          <w:tcPr>
            <w:tcW w:w="557" w:type="pct"/>
            <w:tcBorders>
              <w:top w:val="single" w:sz="4" w:space="0" w:color="auto"/>
              <w:left w:val="single" w:sz="4" w:space="0" w:color="auto"/>
              <w:bottom w:val="single" w:sz="4" w:space="0" w:color="auto"/>
              <w:right w:val="single" w:sz="4" w:space="0" w:color="auto"/>
            </w:tcBorders>
            <w:vAlign w:val="center"/>
          </w:tcPr>
          <w:p w14:paraId="2E6F1A58" w14:textId="77777777" w:rsidR="00500637" w:rsidRPr="00520B23" w:rsidRDefault="00500637" w:rsidP="00500637">
            <w:pPr>
              <w:pStyle w:val="Tabletext"/>
              <w:keepNext/>
              <w:jc w:val="center"/>
            </w:pPr>
            <w:r w:rsidRPr="00520B23">
              <w:t>N/R</w:t>
            </w:r>
          </w:p>
        </w:tc>
        <w:tc>
          <w:tcPr>
            <w:tcW w:w="515" w:type="pct"/>
            <w:tcBorders>
              <w:top w:val="single" w:sz="4" w:space="0" w:color="auto"/>
              <w:left w:val="single" w:sz="4" w:space="0" w:color="auto"/>
              <w:bottom w:val="single" w:sz="4" w:space="0" w:color="auto"/>
              <w:right w:val="single" w:sz="4" w:space="0" w:color="auto"/>
            </w:tcBorders>
            <w:vAlign w:val="center"/>
          </w:tcPr>
          <w:p w14:paraId="775260C1" w14:textId="77777777" w:rsidR="00500637" w:rsidRPr="00520B23" w:rsidRDefault="00500637" w:rsidP="00500637">
            <w:pPr>
              <w:pStyle w:val="Tabletext"/>
              <w:keepNext/>
              <w:jc w:val="center"/>
            </w:pPr>
            <w:r w:rsidRPr="00520B23">
              <w:t>N/R</w:t>
            </w:r>
          </w:p>
        </w:tc>
      </w:tr>
      <w:tr w:rsidR="00500637" w:rsidRPr="00520B23" w14:paraId="4FC7BAD7" w14:textId="77777777" w:rsidTr="00FB6B86">
        <w:trPr>
          <w:trHeight w:val="20"/>
        </w:trPr>
        <w:tc>
          <w:tcPr>
            <w:tcW w:w="1019" w:type="pct"/>
            <w:tcBorders>
              <w:top w:val="single" w:sz="4" w:space="0" w:color="auto"/>
              <w:left w:val="single" w:sz="4" w:space="0" w:color="auto"/>
              <w:bottom w:val="single" w:sz="4" w:space="0" w:color="auto"/>
              <w:right w:val="single" w:sz="4" w:space="0" w:color="auto"/>
            </w:tcBorders>
            <w:vAlign w:val="center"/>
          </w:tcPr>
          <w:p w14:paraId="1090CA26" w14:textId="265B84AF" w:rsidR="00500637" w:rsidRPr="00520B23" w:rsidRDefault="00500637" w:rsidP="00500637">
            <w:pPr>
              <w:pStyle w:val="Tabletext"/>
              <w:keepNext/>
            </w:pPr>
            <w:r w:rsidRPr="00520B23">
              <w:t>Treatment-related Grade ≥3 TEAEs, %</w:t>
            </w:r>
          </w:p>
        </w:tc>
        <w:tc>
          <w:tcPr>
            <w:tcW w:w="472" w:type="pct"/>
            <w:tcBorders>
              <w:top w:val="single" w:sz="4" w:space="0" w:color="auto"/>
              <w:left w:val="single" w:sz="4" w:space="0" w:color="auto"/>
              <w:bottom w:val="single" w:sz="4" w:space="0" w:color="auto"/>
              <w:right w:val="single" w:sz="4" w:space="0" w:color="auto"/>
            </w:tcBorders>
            <w:vAlign w:val="center"/>
          </w:tcPr>
          <w:p w14:paraId="1DA7CA21" w14:textId="1FFDF9DA" w:rsidR="00500637" w:rsidRPr="00520B23" w:rsidRDefault="00500637" w:rsidP="00500637">
            <w:pPr>
              <w:pStyle w:val="Tabletext"/>
              <w:keepNext/>
              <w:jc w:val="center"/>
            </w:pPr>
            <w:r w:rsidRPr="00520B23">
              <w:t>13.2</w:t>
            </w:r>
          </w:p>
        </w:tc>
        <w:tc>
          <w:tcPr>
            <w:tcW w:w="504" w:type="pct"/>
            <w:tcBorders>
              <w:top w:val="single" w:sz="4" w:space="0" w:color="auto"/>
              <w:left w:val="single" w:sz="4" w:space="0" w:color="auto"/>
              <w:bottom w:val="single" w:sz="4" w:space="0" w:color="auto"/>
              <w:right w:val="single" w:sz="4" w:space="0" w:color="auto"/>
            </w:tcBorders>
            <w:vAlign w:val="center"/>
          </w:tcPr>
          <w:p w14:paraId="490221EA" w14:textId="6D66F696" w:rsidR="00500637" w:rsidRPr="00520B23" w:rsidRDefault="00500637" w:rsidP="00500637">
            <w:pPr>
              <w:pStyle w:val="Tabletext"/>
              <w:keepNext/>
              <w:jc w:val="center"/>
            </w:pPr>
            <w:r w:rsidRPr="00520B23">
              <w:t>17.6</w:t>
            </w:r>
          </w:p>
        </w:tc>
        <w:tc>
          <w:tcPr>
            <w:tcW w:w="620" w:type="pct"/>
            <w:tcBorders>
              <w:top w:val="single" w:sz="4" w:space="0" w:color="auto"/>
              <w:left w:val="single" w:sz="4" w:space="0" w:color="auto"/>
              <w:bottom w:val="single" w:sz="4" w:space="0" w:color="auto"/>
              <w:right w:val="single" w:sz="4" w:space="0" w:color="auto"/>
            </w:tcBorders>
            <w:vAlign w:val="center"/>
          </w:tcPr>
          <w:p w14:paraId="71DBE43F" w14:textId="220EC2E4" w:rsidR="00500637" w:rsidRPr="00520B23" w:rsidRDefault="00500637" w:rsidP="00500637">
            <w:pPr>
              <w:pStyle w:val="Tabletext"/>
              <w:keepNext/>
              <w:jc w:val="center"/>
            </w:pPr>
            <w:r w:rsidRPr="00520B23">
              <w:t>19.3</w:t>
            </w:r>
          </w:p>
        </w:tc>
        <w:tc>
          <w:tcPr>
            <w:tcW w:w="448" w:type="pct"/>
            <w:tcBorders>
              <w:top w:val="single" w:sz="4" w:space="0" w:color="auto"/>
              <w:left w:val="single" w:sz="4" w:space="0" w:color="auto"/>
              <w:bottom w:val="single" w:sz="4" w:space="0" w:color="auto"/>
              <w:right w:val="single" w:sz="4" w:space="0" w:color="auto"/>
            </w:tcBorders>
            <w:vAlign w:val="center"/>
          </w:tcPr>
          <w:p w14:paraId="1BD047B7" w14:textId="2B577BF9" w:rsidR="00500637" w:rsidRPr="00520B23" w:rsidRDefault="00500637" w:rsidP="00500637">
            <w:pPr>
              <w:pStyle w:val="Tabletext"/>
              <w:keepNext/>
              <w:jc w:val="center"/>
            </w:pPr>
            <w:r w:rsidRPr="00520B23">
              <w:t>N/R</w:t>
            </w:r>
          </w:p>
        </w:tc>
        <w:tc>
          <w:tcPr>
            <w:tcW w:w="471" w:type="pct"/>
            <w:tcBorders>
              <w:top w:val="single" w:sz="4" w:space="0" w:color="auto"/>
              <w:left w:val="single" w:sz="4" w:space="0" w:color="auto"/>
              <w:bottom w:val="single" w:sz="4" w:space="0" w:color="auto"/>
              <w:right w:val="single" w:sz="4" w:space="0" w:color="auto"/>
            </w:tcBorders>
            <w:vAlign w:val="center"/>
          </w:tcPr>
          <w:p w14:paraId="205BF0A7" w14:textId="563BBC73" w:rsidR="00500637" w:rsidRPr="00520B23" w:rsidRDefault="00500637" w:rsidP="00500637">
            <w:pPr>
              <w:pStyle w:val="Tabletext"/>
              <w:keepNext/>
              <w:jc w:val="center"/>
            </w:pPr>
            <w:r w:rsidRPr="00520B23">
              <w:t>N/R</w:t>
            </w:r>
          </w:p>
        </w:tc>
        <w:tc>
          <w:tcPr>
            <w:tcW w:w="394" w:type="pct"/>
            <w:tcBorders>
              <w:top w:val="single" w:sz="4" w:space="0" w:color="auto"/>
              <w:left w:val="single" w:sz="4" w:space="0" w:color="auto"/>
              <w:bottom w:val="single" w:sz="4" w:space="0" w:color="auto"/>
              <w:right w:val="single" w:sz="4" w:space="0" w:color="auto"/>
            </w:tcBorders>
            <w:vAlign w:val="center"/>
          </w:tcPr>
          <w:p w14:paraId="022C00DA" w14:textId="4CB95C12" w:rsidR="00500637" w:rsidRPr="00520B23" w:rsidDel="00500637" w:rsidRDefault="00500637" w:rsidP="00500637">
            <w:pPr>
              <w:pStyle w:val="Tabletext"/>
              <w:keepNext/>
              <w:jc w:val="center"/>
            </w:pPr>
            <w:r w:rsidRPr="00520B23">
              <w:t>59.0</w:t>
            </w:r>
          </w:p>
        </w:tc>
        <w:tc>
          <w:tcPr>
            <w:tcW w:w="557" w:type="pct"/>
            <w:tcBorders>
              <w:top w:val="single" w:sz="4" w:space="0" w:color="auto"/>
              <w:left w:val="single" w:sz="4" w:space="0" w:color="auto"/>
              <w:bottom w:val="single" w:sz="4" w:space="0" w:color="auto"/>
              <w:right w:val="single" w:sz="4" w:space="0" w:color="auto"/>
            </w:tcBorders>
            <w:vAlign w:val="center"/>
          </w:tcPr>
          <w:p w14:paraId="6D2957ED" w14:textId="7E0E05A3" w:rsidR="00500637" w:rsidRPr="00520B23" w:rsidRDefault="00500637" w:rsidP="00500637">
            <w:pPr>
              <w:pStyle w:val="Tabletext"/>
              <w:keepNext/>
              <w:jc w:val="center"/>
            </w:pPr>
            <w:r w:rsidRPr="00520B23">
              <w:t>N/R</w:t>
            </w:r>
          </w:p>
        </w:tc>
        <w:tc>
          <w:tcPr>
            <w:tcW w:w="515" w:type="pct"/>
            <w:tcBorders>
              <w:top w:val="single" w:sz="4" w:space="0" w:color="auto"/>
              <w:left w:val="single" w:sz="4" w:space="0" w:color="auto"/>
              <w:bottom w:val="single" w:sz="4" w:space="0" w:color="auto"/>
              <w:right w:val="single" w:sz="4" w:space="0" w:color="auto"/>
            </w:tcBorders>
            <w:vAlign w:val="center"/>
          </w:tcPr>
          <w:p w14:paraId="661F09CC" w14:textId="7AFB3C04" w:rsidR="00500637" w:rsidRPr="00520B23" w:rsidRDefault="00500637" w:rsidP="00500637">
            <w:pPr>
              <w:pStyle w:val="Tabletext"/>
              <w:keepNext/>
              <w:jc w:val="center"/>
            </w:pPr>
            <w:r w:rsidRPr="00520B23">
              <w:t>N/R</w:t>
            </w:r>
          </w:p>
        </w:tc>
      </w:tr>
      <w:tr w:rsidR="00500637" w:rsidRPr="00520B23" w14:paraId="65D9F251" w14:textId="77777777" w:rsidTr="009A0CFD">
        <w:trPr>
          <w:trHeight w:val="20"/>
        </w:trPr>
        <w:tc>
          <w:tcPr>
            <w:tcW w:w="1019" w:type="pct"/>
            <w:tcBorders>
              <w:top w:val="single" w:sz="4" w:space="0" w:color="auto"/>
              <w:left w:val="single" w:sz="4" w:space="0" w:color="auto"/>
              <w:bottom w:val="single" w:sz="4" w:space="0" w:color="auto"/>
              <w:right w:val="single" w:sz="4" w:space="0" w:color="auto"/>
            </w:tcBorders>
            <w:vAlign w:val="center"/>
            <w:hideMark/>
          </w:tcPr>
          <w:p w14:paraId="542542F2" w14:textId="77777777" w:rsidR="00500637" w:rsidRPr="00520B23" w:rsidRDefault="00500637" w:rsidP="00500637">
            <w:pPr>
              <w:pStyle w:val="Tabletext"/>
              <w:keepNext/>
            </w:pPr>
            <w:r w:rsidRPr="00520B23">
              <w:t>Grade ≥3 TEAE, %</w:t>
            </w:r>
          </w:p>
        </w:tc>
        <w:tc>
          <w:tcPr>
            <w:tcW w:w="472" w:type="pct"/>
            <w:tcBorders>
              <w:top w:val="single" w:sz="4" w:space="0" w:color="auto"/>
              <w:left w:val="single" w:sz="4" w:space="0" w:color="auto"/>
              <w:bottom w:val="single" w:sz="4" w:space="0" w:color="auto"/>
              <w:right w:val="single" w:sz="4" w:space="0" w:color="auto"/>
            </w:tcBorders>
            <w:vAlign w:val="center"/>
            <w:hideMark/>
          </w:tcPr>
          <w:p w14:paraId="34862551" w14:textId="77777777" w:rsidR="00500637" w:rsidRPr="00520B23" w:rsidRDefault="00500637" w:rsidP="00500637">
            <w:pPr>
              <w:pStyle w:val="Tabletext"/>
              <w:keepNext/>
              <w:jc w:val="center"/>
            </w:pPr>
            <w:r w:rsidRPr="00520B23">
              <w:t>48.1</w:t>
            </w:r>
          </w:p>
        </w:tc>
        <w:tc>
          <w:tcPr>
            <w:tcW w:w="504" w:type="pct"/>
            <w:tcBorders>
              <w:top w:val="single" w:sz="4" w:space="0" w:color="auto"/>
              <w:left w:val="single" w:sz="4" w:space="0" w:color="auto"/>
              <w:bottom w:val="single" w:sz="4" w:space="0" w:color="auto"/>
              <w:right w:val="single" w:sz="4" w:space="0" w:color="auto"/>
            </w:tcBorders>
            <w:vAlign w:val="center"/>
          </w:tcPr>
          <w:p w14:paraId="3DF669A8" w14:textId="10209328" w:rsidR="00500637" w:rsidRPr="00520B23" w:rsidRDefault="00500637" w:rsidP="00500637">
            <w:pPr>
              <w:pStyle w:val="Tabletext"/>
              <w:keepNext/>
              <w:jc w:val="center"/>
            </w:pPr>
            <w:r w:rsidRPr="00520B23">
              <w:t>56.9</w:t>
            </w:r>
          </w:p>
        </w:tc>
        <w:tc>
          <w:tcPr>
            <w:tcW w:w="620" w:type="pct"/>
            <w:tcBorders>
              <w:top w:val="single" w:sz="4" w:space="0" w:color="auto"/>
              <w:left w:val="single" w:sz="4" w:space="0" w:color="auto"/>
              <w:bottom w:val="single" w:sz="4" w:space="0" w:color="auto"/>
              <w:right w:val="single" w:sz="4" w:space="0" w:color="auto"/>
            </w:tcBorders>
            <w:vAlign w:val="center"/>
          </w:tcPr>
          <w:p w14:paraId="19526161" w14:textId="7D97A734" w:rsidR="00500637" w:rsidRPr="00520B23" w:rsidRDefault="00500637" w:rsidP="00500637">
            <w:pPr>
              <w:pStyle w:val="Tabletext"/>
              <w:keepNext/>
              <w:jc w:val="center"/>
            </w:pPr>
            <w:r w:rsidRPr="00520B23">
              <w:t>55.9</w:t>
            </w:r>
          </w:p>
        </w:tc>
        <w:tc>
          <w:tcPr>
            <w:tcW w:w="448" w:type="pct"/>
            <w:tcBorders>
              <w:top w:val="single" w:sz="4" w:space="0" w:color="auto"/>
              <w:left w:val="single" w:sz="4" w:space="0" w:color="auto"/>
              <w:bottom w:val="single" w:sz="4" w:space="0" w:color="auto"/>
              <w:right w:val="single" w:sz="4" w:space="0" w:color="auto"/>
            </w:tcBorders>
            <w:vAlign w:val="center"/>
            <w:hideMark/>
          </w:tcPr>
          <w:p w14:paraId="086E8E9F" w14:textId="77777777" w:rsidR="00500637" w:rsidRPr="00520B23" w:rsidRDefault="00500637" w:rsidP="00500637">
            <w:pPr>
              <w:pStyle w:val="Tabletext"/>
              <w:keepNext/>
              <w:jc w:val="center"/>
            </w:pPr>
            <w:r w:rsidRPr="00520B23">
              <w:t>78.3</w:t>
            </w:r>
          </w:p>
        </w:tc>
        <w:tc>
          <w:tcPr>
            <w:tcW w:w="471" w:type="pct"/>
            <w:tcBorders>
              <w:top w:val="single" w:sz="4" w:space="0" w:color="auto"/>
              <w:left w:val="single" w:sz="4" w:space="0" w:color="auto"/>
              <w:bottom w:val="single" w:sz="4" w:space="0" w:color="auto"/>
              <w:right w:val="single" w:sz="4" w:space="0" w:color="auto"/>
            </w:tcBorders>
            <w:vAlign w:val="center"/>
            <w:hideMark/>
          </w:tcPr>
          <w:p w14:paraId="14622F13" w14:textId="77777777" w:rsidR="00500637" w:rsidRPr="00520B23" w:rsidRDefault="00500637" w:rsidP="00500637">
            <w:pPr>
              <w:pStyle w:val="Tabletext"/>
              <w:keepNext/>
              <w:jc w:val="center"/>
            </w:pPr>
            <w:r w:rsidRPr="00520B23">
              <w:t>N/R</w:t>
            </w:r>
          </w:p>
        </w:tc>
        <w:tc>
          <w:tcPr>
            <w:tcW w:w="394" w:type="pct"/>
            <w:tcBorders>
              <w:top w:val="single" w:sz="4" w:space="0" w:color="auto"/>
              <w:left w:val="single" w:sz="4" w:space="0" w:color="auto"/>
              <w:bottom w:val="single" w:sz="4" w:space="0" w:color="auto"/>
              <w:right w:val="single" w:sz="4" w:space="0" w:color="auto"/>
            </w:tcBorders>
            <w:vAlign w:val="center"/>
            <w:hideMark/>
          </w:tcPr>
          <w:p w14:paraId="15B4A00E" w14:textId="77777777" w:rsidR="00500637" w:rsidRPr="00520B23" w:rsidRDefault="00500637" w:rsidP="00500637">
            <w:pPr>
              <w:pStyle w:val="Tabletext"/>
              <w:keepNext/>
              <w:jc w:val="center"/>
            </w:pPr>
            <w:r w:rsidRPr="00520B23">
              <w:t>72.7</w:t>
            </w:r>
          </w:p>
        </w:tc>
        <w:tc>
          <w:tcPr>
            <w:tcW w:w="557" w:type="pct"/>
            <w:tcBorders>
              <w:top w:val="single" w:sz="4" w:space="0" w:color="auto"/>
              <w:left w:val="single" w:sz="4" w:space="0" w:color="auto"/>
              <w:bottom w:val="single" w:sz="4" w:space="0" w:color="auto"/>
              <w:right w:val="single" w:sz="4" w:space="0" w:color="auto"/>
            </w:tcBorders>
            <w:vAlign w:val="center"/>
            <w:hideMark/>
          </w:tcPr>
          <w:p w14:paraId="4D6CFCBF" w14:textId="77777777" w:rsidR="00500637" w:rsidRPr="00520B23" w:rsidRDefault="00500637" w:rsidP="00500637">
            <w:pPr>
              <w:pStyle w:val="Tabletext"/>
              <w:keepNext/>
              <w:jc w:val="center"/>
            </w:pPr>
            <w:r w:rsidRPr="00520B23">
              <w:t>73.0</w:t>
            </w:r>
          </w:p>
        </w:tc>
        <w:tc>
          <w:tcPr>
            <w:tcW w:w="515" w:type="pct"/>
            <w:tcBorders>
              <w:top w:val="single" w:sz="4" w:space="0" w:color="auto"/>
              <w:left w:val="single" w:sz="4" w:space="0" w:color="auto"/>
              <w:bottom w:val="single" w:sz="4" w:space="0" w:color="auto"/>
              <w:right w:val="single" w:sz="4" w:space="0" w:color="auto"/>
            </w:tcBorders>
            <w:vAlign w:val="center"/>
            <w:hideMark/>
          </w:tcPr>
          <w:p w14:paraId="6929060C" w14:textId="77777777" w:rsidR="00500637" w:rsidRPr="00520B23" w:rsidRDefault="00500637" w:rsidP="00500637">
            <w:pPr>
              <w:pStyle w:val="Tabletext"/>
              <w:keepNext/>
              <w:jc w:val="center"/>
            </w:pPr>
            <w:r w:rsidRPr="00520B23">
              <w:t>54</w:t>
            </w:r>
          </w:p>
        </w:tc>
      </w:tr>
      <w:tr w:rsidR="00500637" w:rsidRPr="00520B23" w14:paraId="12F49385" w14:textId="77777777" w:rsidTr="009A0CFD">
        <w:trPr>
          <w:trHeight w:val="20"/>
        </w:trPr>
        <w:tc>
          <w:tcPr>
            <w:tcW w:w="1019" w:type="pct"/>
            <w:tcBorders>
              <w:top w:val="single" w:sz="4" w:space="0" w:color="auto"/>
              <w:left w:val="single" w:sz="4" w:space="0" w:color="auto"/>
              <w:bottom w:val="single" w:sz="4" w:space="0" w:color="auto"/>
              <w:right w:val="single" w:sz="4" w:space="0" w:color="auto"/>
            </w:tcBorders>
            <w:vAlign w:val="center"/>
            <w:hideMark/>
          </w:tcPr>
          <w:p w14:paraId="75320635" w14:textId="77777777" w:rsidR="00500637" w:rsidRPr="00520B23" w:rsidRDefault="00500637" w:rsidP="00500637">
            <w:pPr>
              <w:pStyle w:val="Tabletext"/>
              <w:keepNext/>
              <w:ind w:left="113"/>
            </w:pPr>
            <w:r w:rsidRPr="00520B23">
              <w:t>Anaemia</w:t>
            </w:r>
          </w:p>
        </w:tc>
        <w:tc>
          <w:tcPr>
            <w:tcW w:w="472" w:type="pct"/>
            <w:tcBorders>
              <w:top w:val="single" w:sz="4" w:space="0" w:color="auto"/>
              <w:left w:val="single" w:sz="4" w:space="0" w:color="auto"/>
              <w:bottom w:val="single" w:sz="4" w:space="0" w:color="auto"/>
              <w:right w:val="single" w:sz="4" w:space="0" w:color="auto"/>
            </w:tcBorders>
            <w:vAlign w:val="center"/>
            <w:hideMark/>
          </w:tcPr>
          <w:p w14:paraId="1B2517F7" w14:textId="77777777" w:rsidR="00500637" w:rsidRPr="00520B23" w:rsidRDefault="00500637" w:rsidP="00500637">
            <w:pPr>
              <w:pStyle w:val="Tabletext"/>
              <w:keepNext/>
              <w:jc w:val="center"/>
            </w:pPr>
            <w:r w:rsidRPr="00520B23">
              <w:t>14.7</w:t>
            </w:r>
          </w:p>
        </w:tc>
        <w:tc>
          <w:tcPr>
            <w:tcW w:w="504" w:type="pct"/>
            <w:tcBorders>
              <w:top w:val="single" w:sz="4" w:space="0" w:color="auto"/>
              <w:left w:val="single" w:sz="4" w:space="0" w:color="auto"/>
              <w:bottom w:val="single" w:sz="4" w:space="0" w:color="auto"/>
              <w:right w:val="single" w:sz="4" w:space="0" w:color="auto"/>
            </w:tcBorders>
            <w:vAlign w:val="center"/>
          </w:tcPr>
          <w:p w14:paraId="03C933BE" w14:textId="082CABAB" w:rsidR="00500637" w:rsidRPr="00520B23" w:rsidRDefault="00500637" w:rsidP="00500637">
            <w:pPr>
              <w:pStyle w:val="Tabletext"/>
              <w:keepNext/>
              <w:jc w:val="center"/>
            </w:pPr>
            <w:r w:rsidRPr="00520B23">
              <w:t>N/R</w:t>
            </w:r>
          </w:p>
        </w:tc>
        <w:tc>
          <w:tcPr>
            <w:tcW w:w="620" w:type="pct"/>
            <w:tcBorders>
              <w:top w:val="single" w:sz="4" w:space="0" w:color="auto"/>
              <w:left w:val="single" w:sz="4" w:space="0" w:color="auto"/>
              <w:bottom w:val="single" w:sz="4" w:space="0" w:color="auto"/>
              <w:right w:val="single" w:sz="4" w:space="0" w:color="auto"/>
            </w:tcBorders>
            <w:vAlign w:val="center"/>
          </w:tcPr>
          <w:p w14:paraId="79152A2E" w14:textId="31401DEF" w:rsidR="00500637" w:rsidRPr="00520B23" w:rsidRDefault="00500637" w:rsidP="00500637">
            <w:pPr>
              <w:pStyle w:val="Tabletext"/>
              <w:keepNext/>
              <w:jc w:val="center"/>
            </w:pPr>
            <w:r w:rsidRPr="00520B23">
              <w:t>9.9</w:t>
            </w:r>
          </w:p>
        </w:tc>
        <w:tc>
          <w:tcPr>
            <w:tcW w:w="448" w:type="pct"/>
            <w:tcBorders>
              <w:top w:val="single" w:sz="4" w:space="0" w:color="auto"/>
              <w:left w:val="single" w:sz="4" w:space="0" w:color="auto"/>
              <w:bottom w:val="single" w:sz="4" w:space="0" w:color="auto"/>
              <w:right w:val="single" w:sz="4" w:space="0" w:color="auto"/>
            </w:tcBorders>
            <w:vAlign w:val="center"/>
            <w:hideMark/>
          </w:tcPr>
          <w:p w14:paraId="3C00238B" w14:textId="77777777" w:rsidR="00500637" w:rsidRPr="00520B23" w:rsidRDefault="00500637" w:rsidP="00500637">
            <w:pPr>
              <w:pStyle w:val="Tabletext"/>
              <w:keepNext/>
              <w:jc w:val="center"/>
            </w:pPr>
            <w:r w:rsidRPr="00520B23">
              <w:t>15.3</w:t>
            </w:r>
          </w:p>
        </w:tc>
        <w:tc>
          <w:tcPr>
            <w:tcW w:w="471" w:type="pct"/>
            <w:tcBorders>
              <w:top w:val="single" w:sz="4" w:space="0" w:color="auto"/>
              <w:left w:val="single" w:sz="4" w:space="0" w:color="auto"/>
              <w:bottom w:val="single" w:sz="4" w:space="0" w:color="auto"/>
              <w:right w:val="single" w:sz="4" w:space="0" w:color="auto"/>
            </w:tcBorders>
            <w:vAlign w:val="center"/>
          </w:tcPr>
          <w:p w14:paraId="6C6056A6" w14:textId="77777777" w:rsidR="00500637" w:rsidRPr="00520B23" w:rsidRDefault="00500637" w:rsidP="00500637">
            <w:pPr>
              <w:pStyle w:val="Tabletext"/>
              <w:keepNext/>
              <w:jc w:val="center"/>
            </w:pPr>
            <w:r w:rsidRPr="00520B23">
              <w:t>N/R</w:t>
            </w:r>
          </w:p>
        </w:tc>
        <w:tc>
          <w:tcPr>
            <w:tcW w:w="394" w:type="pct"/>
            <w:tcBorders>
              <w:top w:val="single" w:sz="4" w:space="0" w:color="auto"/>
              <w:left w:val="single" w:sz="4" w:space="0" w:color="auto"/>
              <w:bottom w:val="single" w:sz="4" w:space="0" w:color="auto"/>
              <w:right w:val="single" w:sz="4" w:space="0" w:color="auto"/>
            </w:tcBorders>
            <w:vAlign w:val="center"/>
            <w:hideMark/>
          </w:tcPr>
          <w:p w14:paraId="46E8FF43" w14:textId="77777777" w:rsidR="00500637" w:rsidRPr="00520B23" w:rsidRDefault="00500637" w:rsidP="00500637">
            <w:pPr>
              <w:pStyle w:val="Tabletext"/>
              <w:keepNext/>
              <w:jc w:val="center"/>
            </w:pPr>
            <w:r w:rsidRPr="00520B23">
              <w:t>14.7</w:t>
            </w:r>
          </w:p>
        </w:tc>
        <w:tc>
          <w:tcPr>
            <w:tcW w:w="557" w:type="pct"/>
            <w:tcBorders>
              <w:top w:val="single" w:sz="4" w:space="0" w:color="auto"/>
              <w:left w:val="single" w:sz="4" w:space="0" w:color="auto"/>
              <w:bottom w:val="single" w:sz="4" w:space="0" w:color="auto"/>
              <w:right w:val="single" w:sz="4" w:space="0" w:color="auto"/>
            </w:tcBorders>
            <w:vAlign w:val="center"/>
            <w:hideMark/>
          </w:tcPr>
          <w:p w14:paraId="739588F9" w14:textId="77777777" w:rsidR="00500637" w:rsidRPr="00520B23" w:rsidRDefault="00500637" w:rsidP="00500637">
            <w:pPr>
              <w:pStyle w:val="Tabletext"/>
              <w:keepNext/>
              <w:jc w:val="center"/>
            </w:pPr>
            <w:r w:rsidRPr="00520B23">
              <w:t>N/R</w:t>
            </w:r>
          </w:p>
        </w:tc>
        <w:tc>
          <w:tcPr>
            <w:tcW w:w="515" w:type="pct"/>
            <w:tcBorders>
              <w:top w:val="single" w:sz="4" w:space="0" w:color="auto"/>
              <w:left w:val="single" w:sz="4" w:space="0" w:color="auto"/>
              <w:bottom w:val="single" w:sz="4" w:space="0" w:color="auto"/>
              <w:right w:val="single" w:sz="4" w:space="0" w:color="auto"/>
            </w:tcBorders>
            <w:vAlign w:val="center"/>
            <w:hideMark/>
          </w:tcPr>
          <w:p w14:paraId="4AB4BE47" w14:textId="77777777" w:rsidR="00500637" w:rsidRPr="00520B23" w:rsidRDefault="00500637" w:rsidP="00500637">
            <w:pPr>
              <w:pStyle w:val="Tabletext"/>
              <w:keepNext/>
              <w:jc w:val="center"/>
            </w:pPr>
            <w:r w:rsidRPr="00520B23">
              <w:t>12</w:t>
            </w:r>
          </w:p>
        </w:tc>
      </w:tr>
      <w:tr w:rsidR="00500637" w:rsidRPr="00520B23" w14:paraId="49BEBFF8" w14:textId="77777777" w:rsidTr="009A0CFD">
        <w:trPr>
          <w:trHeight w:val="20"/>
        </w:trPr>
        <w:tc>
          <w:tcPr>
            <w:tcW w:w="1019" w:type="pct"/>
            <w:tcBorders>
              <w:top w:val="single" w:sz="4" w:space="0" w:color="auto"/>
              <w:left w:val="single" w:sz="4" w:space="0" w:color="auto"/>
              <w:bottom w:val="single" w:sz="4" w:space="0" w:color="auto"/>
              <w:right w:val="single" w:sz="4" w:space="0" w:color="auto"/>
            </w:tcBorders>
            <w:vAlign w:val="center"/>
            <w:hideMark/>
          </w:tcPr>
          <w:p w14:paraId="4BCC141B" w14:textId="77777777" w:rsidR="00500637" w:rsidRPr="00520B23" w:rsidRDefault="00500637" w:rsidP="00500637">
            <w:pPr>
              <w:pStyle w:val="Tabletext"/>
              <w:keepNext/>
              <w:ind w:left="113"/>
            </w:pPr>
            <w:r w:rsidRPr="00520B23">
              <w:t>Abdominal pain</w:t>
            </w:r>
          </w:p>
        </w:tc>
        <w:tc>
          <w:tcPr>
            <w:tcW w:w="472" w:type="pct"/>
            <w:tcBorders>
              <w:top w:val="single" w:sz="4" w:space="0" w:color="auto"/>
              <w:left w:val="single" w:sz="4" w:space="0" w:color="auto"/>
              <w:bottom w:val="single" w:sz="4" w:space="0" w:color="auto"/>
              <w:right w:val="single" w:sz="4" w:space="0" w:color="auto"/>
            </w:tcBorders>
            <w:vAlign w:val="center"/>
            <w:hideMark/>
          </w:tcPr>
          <w:p w14:paraId="6F2C31E3" w14:textId="77777777" w:rsidR="00500637" w:rsidRPr="00520B23" w:rsidRDefault="00500637" w:rsidP="00500637">
            <w:pPr>
              <w:pStyle w:val="Tabletext"/>
              <w:keepNext/>
              <w:jc w:val="center"/>
            </w:pPr>
            <w:r w:rsidRPr="00520B23">
              <w:t>5.4</w:t>
            </w:r>
          </w:p>
        </w:tc>
        <w:tc>
          <w:tcPr>
            <w:tcW w:w="504" w:type="pct"/>
            <w:tcBorders>
              <w:top w:val="single" w:sz="4" w:space="0" w:color="auto"/>
              <w:left w:val="single" w:sz="4" w:space="0" w:color="auto"/>
              <w:bottom w:val="single" w:sz="4" w:space="0" w:color="auto"/>
              <w:right w:val="single" w:sz="4" w:space="0" w:color="auto"/>
            </w:tcBorders>
            <w:vAlign w:val="center"/>
          </w:tcPr>
          <w:p w14:paraId="260F093E" w14:textId="1B2D2A17" w:rsidR="00500637" w:rsidRPr="00520B23" w:rsidRDefault="00500637" w:rsidP="00500637">
            <w:pPr>
              <w:pStyle w:val="Tabletext"/>
              <w:keepNext/>
              <w:jc w:val="center"/>
            </w:pPr>
            <w:r w:rsidRPr="00520B23">
              <w:t>N/R</w:t>
            </w:r>
          </w:p>
        </w:tc>
        <w:tc>
          <w:tcPr>
            <w:tcW w:w="620" w:type="pct"/>
            <w:tcBorders>
              <w:top w:val="single" w:sz="4" w:space="0" w:color="auto"/>
              <w:left w:val="single" w:sz="4" w:space="0" w:color="auto"/>
              <w:bottom w:val="single" w:sz="4" w:space="0" w:color="auto"/>
              <w:right w:val="single" w:sz="4" w:space="0" w:color="auto"/>
            </w:tcBorders>
            <w:vAlign w:val="center"/>
          </w:tcPr>
          <w:p w14:paraId="0D82C8C1" w14:textId="58D2B24D" w:rsidR="00500637" w:rsidRPr="00520B23" w:rsidRDefault="00500637" w:rsidP="00500637">
            <w:pPr>
              <w:pStyle w:val="Tabletext"/>
              <w:keepNext/>
              <w:jc w:val="center"/>
            </w:pPr>
            <w:r w:rsidRPr="00520B23">
              <w:t>3.7</w:t>
            </w:r>
          </w:p>
        </w:tc>
        <w:tc>
          <w:tcPr>
            <w:tcW w:w="448" w:type="pct"/>
            <w:tcBorders>
              <w:top w:val="single" w:sz="4" w:space="0" w:color="auto"/>
              <w:left w:val="single" w:sz="4" w:space="0" w:color="auto"/>
              <w:bottom w:val="single" w:sz="4" w:space="0" w:color="auto"/>
              <w:right w:val="single" w:sz="4" w:space="0" w:color="auto"/>
            </w:tcBorders>
            <w:vAlign w:val="center"/>
            <w:hideMark/>
          </w:tcPr>
          <w:p w14:paraId="6D5C4E2E" w14:textId="77777777" w:rsidR="00500637" w:rsidRPr="00520B23" w:rsidRDefault="00500637" w:rsidP="00500637">
            <w:pPr>
              <w:pStyle w:val="Tabletext"/>
              <w:keepNext/>
              <w:jc w:val="center"/>
            </w:pPr>
            <w:r w:rsidRPr="00520B23">
              <w:t>1.6</w:t>
            </w:r>
          </w:p>
        </w:tc>
        <w:tc>
          <w:tcPr>
            <w:tcW w:w="471" w:type="pct"/>
            <w:tcBorders>
              <w:top w:val="single" w:sz="4" w:space="0" w:color="auto"/>
              <w:left w:val="single" w:sz="4" w:space="0" w:color="auto"/>
              <w:bottom w:val="single" w:sz="4" w:space="0" w:color="auto"/>
              <w:right w:val="single" w:sz="4" w:space="0" w:color="auto"/>
            </w:tcBorders>
            <w:vAlign w:val="center"/>
          </w:tcPr>
          <w:p w14:paraId="09303226" w14:textId="77777777" w:rsidR="00500637" w:rsidRPr="00520B23" w:rsidRDefault="00500637" w:rsidP="00500637">
            <w:pPr>
              <w:pStyle w:val="Tabletext"/>
              <w:keepNext/>
              <w:jc w:val="center"/>
            </w:pPr>
            <w:r w:rsidRPr="00520B23">
              <w:t>N/R</w:t>
            </w:r>
          </w:p>
        </w:tc>
        <w:tc>
          <w:tcPr>
            <w:tcW w:w="394" w:type="pct"/>
            <w:tcBorders>
              <w:top w:val="single" w:sz="4" w:space="0" w:color="auto"/>
              <w:left w:val="single" w:sz="4" w:space="0" w:color="auto"/>
              <w:bottom w:val="single" w:sz="4" w:space="0" w:color="auto"/>
              <w:right w:val="single" w:sz="4" w:space="0" w:color="auto"/>
            </w:tcBorders>
            <w:vAlign w:val="center"/>
            <w:hideMark/>
          </w:tcPr>
          <w:p w14:paraId="1900A3F7" w14:textId="77777777" w:rsidR="00500637" w:rsidRPr="00520B23" w:rsidRDefault="00500637" w:rsidP="00500637">
            <w:pPr>
              <w:pStyle w:val="Tabletext"/>
              <w:keepNext/>
              <w:jc w:val="center"/>
            </w:pPr>
            <w:r w:rsidRPr="00520B23">
              <w:t>N/R</w:t>
            </w:r>
          </w:p>
        </w:tc>
        <w:tc>
          <w:tcPr>
            <w:tcW w:w="557" w:type="pct"/>
            <w:tcBorders>
              <w:top w:val="single" w:sz="4" w:space="0" w:color="auto"/>
              <w:left w:val="single" w:sz="4" w:space="0" w:color="auto"/>
              <w:bottom w:val="single" w:sz="4" w:space="0" w:color="auto"/>
              <w:right w:val="single" w:sz="4" w:space="0" w:color="auto"/>
            </w:tcBorders>
            <w:vAlign w:val="center"/>
          </w:tcPr>
          <w:p w14:paraId="489EEB22" w14:textId="77777777" w:rsidR="00500637" w:rsidRPr="00520B23" w:rsidRDefault="00500637" w:rsidP="00500637">
            <w:pPr>
              <w:pStyle w:val="Tabletext"/>
              <w:keepNext/>
              <w:jc w:val="center"/>
            </w:pPr>
            <w:r w:rsidRPr="00520B23">
              <w:t>N/R</w:t>
            </w:r>
          </w:p>
        </w:tc>
        <w:tc>
          <w:tcPr>
            <w:tcW w:w="515" w:type="pct"/>
            <w:tcBorders>
              <w:top w:val="single" w:sz="4" w:space="0" w:color="auto"/>
              <w:left w:val="single" w:sz="4" w:space="0" w:color="auto"/>
              <w:bottom w:val="single" w:sz="4" w:space="0" w:color="auto"/>
              <w:right w:val="single" w:sz="4" w:space="0" w:color="auto"/>
            </w:tcBorders>
            <w:vAlign w:val="center"/>
            <w:hideMark/>
          </w:tcPr>
          <w:p w14:paraId="13AF5E3B" w14:textId="77777777" w:rsidR="00500637" w:rsidRPr="00520B23" w:rsidRDefault="00500637" w:rsidP="00500637">
            <w:pPr>
              <w:pStyle w:val="Tabletext"/>
              <w:keepNext/>
              <w:jc w:val="center"/>
            </w:pPr>
            <w:r w:rsidRPr="00520B23">
              <w:t>N/R</w:t>
            </w:r>
          </w:p>
        </w:tc>
      </w:tr>
      <w:tr w:rsidR="00500637" w:rsidRPr="00520B23" w14:paraId="17286DF0" w14:textId="77777777" w:rsidTr="009A0CFD">
        <w:trPr>
          <w:trHeight w:val="20"/>
        </w:trPr>
        <w:tc>
          <w:tcPr>
            <w:tcW w:w="1019" w:type="pct"/>
            <w:tcBorders>
              <w:top w:val="single" w:sz="4" w:space="0" w:color="auto"/>
              <w:left w:val="single" w:sz="4" w:space="0" w:color="auto"/>
              <w:bottom w:val="single" w:sz="4" w:space="0" w:color="auto"/>
              <w:right w:val="single" w:sz="4" w:space="0" w:color="auto"/>
            </w:tcBorders>
            <w:vAlign w:val="center"/>
            <w:hideMark/>
          </w:tcPr>
          <w:p w14:paraId="35D77253" w14:textId="77777777" w:rsidR="00500637" w:rsidRPr="00520B23" w:rsidRDefault="00500637" w:rsidP="00500637">
            <w:pPr>
              <w:pStyle w:val="Tabletext"/>
              <w:keepNext/>
              <w:ind w:left="113"/>
            </w:pPr>
            <w:r w:rsidRPr="00520B23">
              <w:t>Neutropenia</w:t>
            </w:r>
          </w:p>
        </w:tc>
        <w:tc>
          <w:tcPr>
            <w:tcW w:w="472" w:type="pct"/>
            <w:tcBorders>
              <w:top w:val="single" w:sz="4" w:space="0" w:color="auto"/>
              <w:left w:val="single" w:sz="4" w:space="0" w:color="auto"/>
              <w:bottom w:val="single" w:sz="4" w:space="0" w:color="auto"/>
              <w:right w:val="single" w:sz="4" w:space="0" w:color="auto"/>
            </w:tcBorders>
            <w:vAlign w:val="center"/>
            <w:hideMark/>
          </w:tcPr>
          <w:p w14:paraId="25499CD7" w14:textId="77777777" w:rsidR="00500637" w:rsidRPr="00520B23" w:rsidRDefault="00500637" w:rsidP="00500637">
            <w:pPr>
              <w:pStyle w:val="Tabletext"/>
              <w:keepNext/>
              <w:jc w:val="center"/>
            </w:pPr>
            <w:r w:rsidRPr="00520B23">
              <w:t>1.6</w:t>
            </w:r>
          </w:p>
        </w:tc>
        <w:tc>
          <w:tcPr>
            <w:tcW w:w="504" w:type="pct"/>
            <w:tcBorders>
              <w:top w:val="single" w:sz="4" w:space="0" w:color="auto"/>
              <w:left w:val="single" w:sz="4" w:space="0" w:color="auto"/>
              <w:bottom w:val="single" w:sz="4" w:space="0" w:color="auto"/>
              <w:right w:val="single" w:sz="4" w:space="0" w:color="auto"/>
            </w:tcBorders>
            <w:vAlign w:val="center"/>
          </w:tcPr>
          <w:p w14:paraId="6C41B9DA" w14:textId="2EB47193" w:rsidR="00500637" w:rsidRPr="00520B23" w:rsidRDefault="00500637" w:rsidP="00500637">
            <w:pPr>
              <w:pStyle w:val="Tabletext"/>
              <w:keepNext/>
              <w:jc w:val="center"/>
            </w:pPr>
            <w:r w:rsidRPr="00520B23">
              <w:t>N/R</w:t>
            </w:r>
          </w:p>
        </w:tc>
        <w:tc>
          <w:tcPr>
            <w:tcW w:w="620" w:type="pct"/>
            <w:tcBorders>
              <w:top w:val="single" w:sz="4" w:space="0" w:color="auto"/>
              <w:left w:val="single" w:sz="4" w:space="0" w:color="auto"/>
              <w:bottom w:val="single" w:sz="4" w:space="0" w:color="auto"/>
              <w:right w:val="single" w:sz="4" w:space="0" w:color="auto"/>
            </w:tcBorders>
            <w:vAlign w:val="center"/>
          </w:tcPr>
          <w:p w14:paraId="1412B0E9" w14:textId="29E25E20" w:rsidR="00500637" w:rsidRPr="00520B23" w:rsidRDefault="00500637" w:rsidP="00500637">
            <w:pPr>
              <w:pStyle w:val="Tabletext"/>
              <w:keepNext/>
              <w:jc w:val="center"/>
            </w:pPr>
            <w:r w:rsidRPr="00520B23">
              <w:t>0.0</w:t>
            </w:r>
          </w:p>
        </w:tc>
        <w:tc>
          <w:tcPr>
            <w:tcW w:w="448" w:type="pct"/>
            <w:tcBorders>
              <w:top w:val="single" w:sz="4" w:space="0" w:color="auto"/>
              <w:left w:val="single" w:sz="4" w:space="0" w:color="auto"/>
              <w:bottom w:val="single" w:sz="4" w:space="0" w:color="auto"/>
              <w:right w:val="single" w:sz="4" w:space="0" w:color="auto"/>
            </w:tcBorders>
            <w:vAlign w:val="center"/>
            <w:hideMark/>
          </w:tcPr>
          <w:p w14:paraId="2C199517" w14:textId="77777777" w:rsidR="00500637" w:rsidRPr="00520B23" w:rsidRDefault="00500637" w:rsidP="00500637">
            <w:pPr>
              <w:pStyle w:val="Tabletext"/>
              <w:keepNext/>
              <w:jc w:val="center"/>
            </w:pPr>
            <w:r w:rsidRPr="00520B23">
              <w:t>45.0</w:t>
            </w:r>
          </w:p>
        </w:tc>
        <w:tc>
          <w:tcPr>
            <w:tcW w:w="471" w:type="pct"/>
            <w:tcBorders>
              <w:top w:val="single" w:sz="4" w:space="0" w:color="auto"/>
              <w:left w:val="single" w:sz="4" w:space="0" w:color="auto"/>
              <w:bottom w:val="single" w:sz="4" w:space="0" w:color="auto"/>
              <w:right w:val="single" w:sz="4" w:space="0" w:color="auto"/>
            </w:tcBorders>
            <w:vAlign w:val="center"/>
          </w:tcPr>
          <w:p w14:paraId="6C7960E7" w14:textId="77777777" w:rsidR="00500637" w:rsidRPr="00520B23" w:rsidRDefault="00500637" w:rsidP="00500637">
            <w:pPr>
              <w:pStyle w:val="Tabletext"/>
              <w:keepNext/>
              <w:jc w:val="center"/>
            </w:pPr>
            <w:r w:rsidRPr="00520B23">
              <w:t>N/R</w:t>
            </w:r>
          </w:p>
        </w:tc>
        <w:tc>
          <w:tcPr>
            <w:tcW w:w="394" w:type="pct"/>
            <w:tcBorders>
              <w:top w:val="single" w:sz="4" w:space="0" w:color="auto"/>
              <w:left w:val="single" w:sz="4" w:space="0" w:color="auto"/>
              <w:bottom w:val="single" w:sz="4" w:space="0" w:color="auto"/>
              <w:right w:val="single" w:sz="4" w:space="0" w:color="auto"/>
            </w:tcBorders>
            <w:vAlign w:val="center"/>
            <w:hideMark/>
          </w:tcPr>
          <w:p w14:paraId="07877E0D" w14:textId="77777777" w:rsidR="00500637" w:rsidRPr="00520B23" w:rsidRDefault="00500637" w:rsidP="00500637">
            <w:pPr>
              <w:pStyle w:val="Tabletext"/>
              <w:keepNext/>
              <w:jc w:val="center"/>
            </w:pPr>
            <w:r w:rsidRPr="00520B23">
              <w:t>25.8</w:t>
            </w:r>
          </w:p>
        </w:tc>
        <w:tc>
          <w:tcPr>
            <w:tcW w:w="557" w:type="pct"/>
            <w:tcBorders>
              <w:top w:val="single" w:sz="4" w:space="0" w:color="auto"/>
              <w:left w:val="single" w:sz="4" w:space="0" w:color="auto"/>
              <w:bottom w:val="single" w:sz="4" w:space="0" w:color="auto"/>
              <w:right w:val="single" w:sz="4" w:space="0" w:color="auto"/>
            </w:tcBorders>
            <w:vAlign w:val="center"/>
          </w:tcPr>
          <w:p w14:paraId="73FB5D36" w14:textId="77777777" w:rsidR="00500637" w:rsidRPr="00520B23" w:rsidRDefault="00500637" w:rsidP="00500637">
            <w:pPr>
              <w:pStyle w:val="Tabletext"/>
              <w:keepNext/>
              <w:jc w:val="center"/>
            </w:pPr>
            <w:r w:rsidRPr="00520B23">
              <w:t>N/R</w:t>
            </w:r>
          </w:p>
        </w:tc>
        <w:tc>
          <w:tcPr>
            <w:tcW w:w="515" w:type="pct"/>
            <w:tcBorders>
              <w:top w:val="single" w:sz="4" w:space="0" w:color="auto"/>
              <w:left w:val="single" w:sz="4" w:space="0" w:color="auto"/>
              <w:bottom w:val="single" w:sz="4" w:space="0" w:color="auto"/>
              <w:right w:val="single" w:sz="4" w:space="0" w:color="auto"/>
            </w:tcBorders>
            <w:vAlign w:val="center"/>
            <w:hideMark/>
          </w:tcPr>
          <w:p w14:paraId="0D33CC11" w14:textId="77777777" w:rsidR="00500637" w:rsidRPr="00520B23" w:rsidRDefault="00500637" w:rsidP="00500637">
            <w:pPr>
              <w:pStyle w:val="Tabletext"/>
              <w:keepNext/>
              <w:jc w:val="center"/>
            </w:pPr>
            <w:r w:rsidRPr="00520B23">
              <w:t>3</w:t>
            </w:r>
          </w:p>
        </w:tc>
      </w:tr>
      <w:tr w:rsidR="00500637" w:rsidRPr="00520B23" w14:paraId="7D2A2137" w14:textId="77777777" w:rsidTr="009A0CFD">
        <w:trPr>
          <w:trHeight w:val="20"/>
        </w:trPr>
        <w:tc>
          <w:tcPr>
            <w:tcW w:w="1019" w:type="pct"/>
            <w:tcBorders>
              <w:top w:val="single" w:sz="4" w:space="0" w:color="auto"/>
              <w:left w:val="single" w:sz="4" w:space="0" w:color="auto"/>
              <w:bottom w:val="single" w:sz="4" w:space="0" w:color="auto"/>
              <w:right w:val="single" w:sz="4" w:space="0" w:color="auto"/>
            </w:tcBorders>
            <w:vAlign w:val="center"/>
            <w:hideMark/>
          </w:tcPr>
          <w:p w14:paraId="050E47CA" w14:textId="77777777" w:rsidR="00500637" w:rsidRPr="00520B23" w:rsidRDefault="00500637" w:rsidP="00500637">
            <w:pPr>
              <w:pStyle w:val="Tabletext"/>
              <w:keepNext/>
              <w:ind w:left="113"/>
            </w:pPr>
            <w:r w:rsidRPr="00520B23">
              <w:t>Leukopenia</w:t>
            </w:r>
          </w:p>
        </w:tc>
        <w:tc>
          <w:tcPr>
            <w:tcW w:w="472" w:type="pct"/>
            <w:tcBorders>
              <w:top w:val="single" w:sz="4" w:space="0" w:color="auto"/>
              <w:left w:val="single" w:sz="4" w:space="0" w:color="auto"/>
              <w:bottom w:val="single" w:sz="4" w:space="0" w:color="auto"/>
              <w:right w:val="single" w:sz="4" w:space="0" w:color="auto"/>
            </w:tcBorders>
            <w:vAlign w:val="center"/>
            <w:hideMark/>
          </w:tcPr>
          <w:p w14:paraId="0FE4BB52" w14:textId="77777777" w:rsidR="00500637" w:rsidRPr="00520B23" w:rsidRDefault="00500637" w:rsidP="00500637">
            <w:pPr>
              <w:pStyle w:val="Tabletext"/>
              <w:keepNext/>
              <w:jc w:val="center"/>
            </w:pPr>
            <w:r w:rsidRPr="00520B23">
              <w:t>1.6</w:t>
            </w:r>
          </w:p>
        </w:tc>
        <w:tc>
          <w:tcPr>
            <w:tcW w:w="504" w:type="pct"/>
            <w:tcBorders>
              <w:top w:val="single" w:sz="4" w:space="0" w:color="auto"/>
              <w:left w:val="single" w:sz="4" w:space="0" w:color="auto"/>
              <w:bottom w:val="single" w:sz="4" w:space="0" w:color="auto"/>
              <w:right w:val="single" w:sz="4" w:space="0" w:color="auto"/>
            </w:tcBorders>
            <w:vAlign w:val="center"/>
          </w:tcPr>
          <w:p w14:paraId="4ED9F413" w14:textId="5B75D73D" w:rsidR="00500637" w:rsidRPr="00520B23" w:rsidRDefault="00500637" w:rsidP="00500637">
            <w:pPr>
              <w:pStyle w:val="Tabletext"/>
              <w:keepNext/>
              <w:jc w:val="center"/>
            </w:pPr>
            <w:r w:rsidRPr="00520B23">
              <w:t>N/R</w:t>
            </w:r>
          </w:p>
        </w:tc>
        <w:tc>
          <w:tcPr>
            <w:tcW w:w="620" w:type="pct"/>
            <w:tcBorders>
              <w:top w:val="single" w:sz="4" w:space="0" w:color="auto"/>
              <w:left w:val="single" w:sz="4" w:space="0" w:color="auto"/>
              <w:bottom w:val="single" w:sz="4" w:space="0" w:color="auto"/>
              <w:right w:val="single" w:sz="4" w:space="0" w:color="auto"/>
            </w:tcBorders>
            <w:vAlign w:val="center"/>
          </w:tcPr>
          <w:p w14:paraId="54F2EF56" w14:textId="3083E44C" w:rsidR="00500637" w:rsidRPr="00520B23" w:rsidRDefault="00500637" w:rsidP="00500637">
            <w:pPr>
              <w:pStyle w:val="Tabletext"/>
              <w:keepNext/>
              <w:jc w:val="center"/>
            </w:pPr>
            <w:r w:rsidRPr="00520B23">
              <w:t>0.0</w:t>
            </w:r>
          </w:p>
        </w:tc>
        <w:tc>
          <w:tcPr>
            <w:tcW w:w="448" w:type="pct"/>
            <w:tcBorders>
              <w:top w:val="single" w:sz="4" w:space="0" w:color="auto"/>
              <w:left w:val="single" w:sz="4" w:space="0" w:color="auto"/>
              <w:bottom w:val="single" w:sz="4" w:space="0" w:color="auto"/>
              <w:right w:val="single" w:sz="4" w:space="0" w:color="auto"/>
            </w:tcBorders>
            <w:vAlign w:val="center"/>
            <w:hideMark/>
          </w:tcPr>
          <w:p w14:paraId="06D49914" w14:textId="77777777" w:rsidR="00500637" w:rsidRPr="00520B23" w:rsidRDefault="00500637" w:rsidP="00500637">
            <w:pPr>
              <w:pStyle w:val="Tabletext"/>
              <w:keepNext/>
              <w:jc w:val="center"/>
            </w:pPr>
            <w:r w:rsidRPr="00520B23">
              <w:t>18.1</w:t>
            </w:r>
          </w:p>
        </w:tc>
        <w:tc>
          <w:tcPr>
            <w:tcW w:w="471" w:type="pct"/>
            <w:tcBorders>
              <w:top w:val="single" w:sz="4" w:space="0" w:color="auto"/>
              <w:left w:val="single" w:sz="4" w:space="0" w:color="auto"/>
              <w:bottom w:val="single" w:sz="4" w:space="0" w:color="auto"/>
              <w:right w:val="single" w:sz="4" w:space="0" w:color="auto"/>
            </w:tcBorders>
            <w:vAlign w:val="center"/>
          </w:tcPr>
          <w:p w14:paraId="250137C9" w14:textId="77777777" w:rsidR="00500637" w:rsidRPr="00520B23" w:rsidRDefault="00500637" w:rsidP="00500637">
            <w:pPr>
              <w:pStyle w:val="Tabletext"/>
              <w:keepNext/>
              <w:jc w:val="center"/>
            </w:pPr>
            <w:r w:rsidRPr="00520B23">
              <w:t>N/R</w:t>
            </w:r>
          </w:p>
        </w:tc>
        <w:tc>
          <w:tcPr>
            <w:tcW w:w="394" w:type="pct"/>
            <w:tcBorders>
              <w:top w:val="single" w:sz="4" w:space="0" w:color="auto"/>
              <w:left w:val="single" w:sz="4" w:space="0" w:color="auto"/>
              <w:bottom w:val="single" w:sz="4" w:space="0" w:color="auto"/>
              <w:right w:val="single" w:sz="4" w:space="0" w:color="auto"/>
            </w:tcBorders>
            <w:vAlign w:val="center"/>
            <w:hideMark/>
          </w:tcPr>
          <w:p w14:paraId="3AC5D13E" w14:textId="77777777" w:rsidR="00500637" w:rsidRPr="00520B23" w:rsidRDefault="00500637" w:rsidP="00500637">
            <w:pPr>
              <w:pStyle w:val="Tabletext"/>
              <w:keepNext/>
              <w:jc w:val="center"/>
            </w:pPr>
            <w:r w:rsidRPr="00520B23">
              <w:t>N/R</w:t>
            </w:r>
          </w:p>
        </w:tc>
        <w:tc>
          <w:tcPr>
            <w:tcW w:w="557" w:type="pct"/>
            <w:tcBorders>
              <w:top w:val="single" w:sz="4" w:space="0" w:color="auto"/>
              <w:left w:val="single" w:sz="4" w:space="0" w:color="auto"/>
              <w:bottom w:val="single" w:sz="4" w:space="0" w:color="auto"/>
              <w:right w:val="single" w:sz="4" w:space="0" w:color="auto"/>
            </w:tcBorders>
            <w:vAlign w:val="center"/>
          </w:tcPr>
          <w:p w14:paraId="51F90C57" w14:textId="77777777" w:rsidR="00500637" w:rsidRPr="00520B23" w:rsidRDefault="00500637" w:rsidP="00500637">
            <w:pPr>
              <w:pStyle w:val="Tabletext"/>
              <w:keepNext/>
              <w:jc w:val="center"/>
            </w:pPr>
            <w:r w:rsidRPr="00520B23">
              <w:t>N/R</w:t>
            </w:r>
          </w:p>
        </w:tc>
        <w:tc>
          <w:tcPr>
            <w:tcW w:w="515" w:type="pct"/>
            <w:tcBorders>
              <w:top w:val="single" w:sz="4" w:space="0" w:color="auto"/>
              <w:left w:val="single" w:sz="4" w:space="0" w:color="auto"/>
              <w:bottom w:val="single" w:sz="4" w:space="0" w:color="auto"/>
              <w:right w:val="single" w:sz="4" w:space="0" w:color="auto"/>
            </w:tcBorders>
            <w:vAlign w:val="center"/>
            <w:hideMark/>
          </w:tcPr>
          <w:p w14:paraId="5A5B571F" w14:textId="77777777" w:rsidR="00500637" w:rsidRPr="00520B23" w:rsidRDefault="00500637" w:rsidP="00500637">
            <w:pPr>
              <w:pStyle w:val="Tabletext"/>
              <w:keepNext/>
              <w:jc w:val="center"/>
            </w:pPr>
            <w:r w:rsidRPr="00520B23">
              <w:t>N/R</w:t>
            </w:r>
          </w:p>
        </w:tc>
      </w:tr>
      <w:tr w:rsidR="00500637" w:rsidRPr="00520B23" w14:paraId="616B1188" w14:textId="77777777" w:rsidTr="009A0CFD">
        <w:trPr>
          <w:trHeight w:val="20"/>
        </w:trPr>
        <w:tc>
          <w:tcPr>
            <w:tcW w:w="1019" w:type="pct"/>
            <w:tcBorders>
              <w:top w:val="single" w:sz="4" w:space="0" w:color="auto"/>
              <w:left w:val="single" w:sz="4" w:space="0" w:color="auto"/>
              <w:bottom w:val="single" w:sz="4" w:space="0" w:color="auto"/>
              <w:right w:val="single" w:sz="4" w:space="0" w:color="auto"/>
            </w:tcBorders>
            <w:vAlign w:val="center"/>
            <w:hideMark/>
          </w:tcPr>
          <w:p w14:paraId="54493CD5" w14:textId="77777777" w:rsidR="00500637" w:rsidRPr="00520B23" w:rsidRDefault="00500637" w:rsidP="00500637">
            <w:pPr>
              <w:pStyle w:val="Tabletext"/>
              <w:keepNext/>
              <w:ind w:left="113"/>
            </w:pPr>
            <w:r w:rsidRPr="00520B23">
              <w:t xml:space="preserve">White blood cell count decreased </w:t>
            </w:r>
          </w:p>
        </w:tc>
        <w:tc>
          <w:tcPr>
            <w:tcW w:w="472" w:type="pct"/>
            <w:tcBorders>
              <w:top w:val="single" w:sz="4" w:space="0" w:color="auto"/>
              <w:left w:val="single" w:sz="4" w:space="0" w:color="auto"/>
              <w:bottom w:val="single" w:sz="4" w:space="0" w:color="auto"/>
              <w:right w:val="single" w:sz="4" w:space="0" w:color="auto"/>
            </w:tcBorders>
            <w:vAlign w:val="center"/>
            <w:hideMark/>
          </w:tcPr>
          <w:p w14:paraId="18AF88FB" w14:textId="77777777" w:rsidR="00500637" w:rsidRPr="00520B23" w:rsidRDefault="00500637" w:rsidP="00500637">
            <w:pPr>
              <w:pStyle w:val="Tabletext"/>
              <w:keepNext/>
              <w:jc w:val="center"/>
            </w:pPr>
            <w:r w:rsidRPr="00520B23">
              <w:t>0.0</w:t>
            </w:r>
          </w:p>
        </w:tc>
        <w:tc>
          <w:tcPr>
            <w:tcW w:w="504" w:type="pct"/>
            <w:tcBorders>
              <w:top w:val="single" w:sz="4" w:space="0" w:color="auto"/>
              <w:left w:val="single" w:sz="4" w:space="0" w:color="auto"/>
              <w:bottom w:val="single" w:sz="4" w:space="0" w:color="auto"/>
              <w:right w:val="single" w:sz="4" w:space="0" w:color="auto"/>
            </w:tcBorders>
            <w:vAlign w:val="center"/>
          </w:tcPr>
          <w:p w14:paraId="25E90207" w14:textId="52CF19E6" w:rsidR="00500637" w:rsidRPr="00520B23" w:rsidRDefault="00500637" w:rsidP="00500637">
            <w:pPr>
              <w:pStyle w:val="Tabletext"/>
              <w:keepNext/>
              <w:jc w:val="center"/>
            </w:pPr>
            <w:r w:rsidRPr="00520B23">
              <w:t>N/R</w:t>
            </w:r>
          </w:p>
        </w:tc>
        <w:tc>
          <w:tcPr>
            <w:tcW w:w="620" w:type="pct"/>
            <w:tcBorders>
              <w:top w:val="single" w:sz="4" w:space="0" w:color="auto"/>
              <w:left w:val="single" w:sz="4" w:space="0" w:color="auto"/>
              <w:bottom w:val="single" w:sz="4" w:space="0" w:color="auto"/>
              <w:right w:val="single" w:sz="4" w:space="0" w:color="auto"/>
            </w:tcBorders>
            <w:vAlign w:val="center"/>
          </w:tcPr>
          <w:p w14:paraId="2126B13E" w14:textId="1A756D26" w:rsidR="00500637" w:rsidRPr="00520B23" w:rsidRDefault="00500637" w:rsidP="00500637">
            <w:pPr>
              <w:pStyle w:val="Tabletext"/>
              <w:keepNext/>
              <w:jc w:val="center"/>
            </w:pPr>
            <w:r w:rsidRPr="00520B23">
              <w:t>0.6</w:t>
            </w:r>
          </w:p>
        </w:tc>
        <w:tc>
          <w:tcPr>
            <w:tcW w:w="448" w:type="pct"/>
            <w:tcBorders>
              <w:top w:val="single" w:sz="4" w:space="0" w:color="auto"/>
              <w:left w:val="single" w:sz="4" w:space="0" w:color="auto"/>
              <w:bottom w:val="single" w:sz="4" w:space="0" w:color="auto"/>
              <w:right w:val="single" w:sz="4" w:space="0" w:color="auto"/>
            </w:tcBorders>
            <w:vAlign w:val="center"/>
            <w:hideMark/>
          </w:tcPr>
          <w:p w14:paraId="646A69DE" w14:textId="77777777" w:rsidR="00500637" w:rsidRPr="00520B23" w:rsidRDefault="00500637" w:rsidP="00500637">
            <w:pPr>
              <w:pStyle w:val="Tabletext"/>
              <w:keepNext/>
              <w:jc w:val="center"/>
            </w:pPr>
            <w:r w:rsidRPr="00520B23">
              <w:t>8.0</w:t>
            </w:r>
          </w:p>
        </w:tc>
        <w:tc>
          <w:tcPr>
            <w:tcW w:w="471" w:type="pct"/>
            <w:tcBorders>
              <w:top w:val="single" w:sz="4" w:space="0" w:color="auto"/>
              <w:left w:val="single" w:sz="4" w:space="0" w:color="auto"/>
              <w:bottom w:val="single" w:sz="4" w:space="0" w:color="auto"/>
              <w:right w:val="single" w:sz="4" w:space="0" w:color="auto"/>
            </w:tcBorders>
            <w:vAlign w:val="center"/>
          </w:tcPr>
          <w:p w14:paraId="616C5B63" w14:textId="77777777" w:rsidR="00500637" w:rsidRPr="00520B23" w:rsidRDefault="00500637" w:rsidP="00500637">
            <w:pPr>
              <w:pStyle w:val="Tabletext"/>
              <w:keepNext/>
              <w:jc w:val="center"/>
            </w:pPr>
            <w:r w:rsidRPr="00520B23">
              <w:t>N/R</w:t>
            </w:r>
          </w:p>
        </w:tc>
        <w:tc>
          <w:tcPr>
            <w:tcW w:w="394" w:type="pct"/>
            <w:tcBorders>
              <w:top w:val="single" w:sz="4" w:space="0" w:color="auto"/>
              <w:left w:val="single" w:sz="4" w:space="0" w:color="auto"/>
              <w:bottom w:val="single" w:sz="4" w:space="0" w:color="auto"/>
              <w:right w:val="single" w:sz="4" w:space="0" w:color="auto"/>
            </w:tcBorders>
            <w:vAlign w:val="center"/>
            <w:hideMark/>
          </w:tcPr>
          <w:p w14:paraId="14FADAD4" w14:textId="77777777" w:rsidR="00500637" w:rsidRPr="00520B23" w:rsidRDefault="00500637" w:rsidP="00500637">
            <w:pPr>
              <w:pStyle w:val="Tabletext"/>
              <w:keepNext/>
              <w:jc w:val="center"/>
            </w:pPr>
            <w:r w:rsidRPr="00520B23">
              <w:t>N/R</w:t>
            </w:r>
          </w:p>
        </w:tc>
        <w:tc>
          <w:tcPr>
            <w:tcW w:w="557" w:type="pct"/>
            <w:tcBorders>
              <w:top w:val="single" w:sz="4" w:space="0" w:color="auto"/>
              <w:left w:val="single" w:sz="4" w:space="0" w:color="auto"/>
              <w:bottom w:val="single" w:sz="4" w:space="0" w:color="auto"/>
              <w:right w:val="single" w:sz="4" w:space="0" w:color="auto"/>
            </w:tcBorders>
            <w:vAlign w:val="center"/>
          </w:tcPr>
          <w:p w14:paraId="76A9C623" w14:textId="77777777" w:rsidR="00500637" w:rsidRPr="00520B23" w:rsidRDefault="00500637" w:rsidP="00500637">
            <w:pPr>
              <w:pStyle w:val="Tabletext"/>
              <w:keepNext/>
              <w:jc w:val="center"/>
            </w:pPr>
            <w:r w:rsidRPr="00520B23">
              <w:t>N/R</w:t>
            </w:r>
          </w:p>
        </w:tc>
        <w:tc>
          <w:tcPr>
            <w:tcW w:w="515" w:type="pct"/>
            <w:tcBorders>
              <w:top w:val="single" w:sz="4" w:space="0" w:color="auto"/>
              <w:left w:val="single" w:sz="4" w:space="0" w:color="auto"/>
              <w:bottom w:val="single" w:sz="4" w:space="0" w:color="auto"/>
              <w:right w:val="single" w:sz="4" w:space="0" w:color="auto"/>
            </w:tcBorders>
            <w:vAlign w:val="center"/>
            <w:hideMark/>
          </w:tcPr>
          <w:p w14:paraId="6A2325B9" w14:textId="77777777" w:rsidR="00500637" w:rsidRPr="00520B23" w:rsidRDefault="00500637" w:rsidP="00500637">
            <w:pPr>
              <w:pStyle w:val="Tabletext"/>
              <w:keepNext/>
              <w:jc w:val="center"/>
            </w:pPr>
            <w:r w:rsidRPr="00520B23">
              <w:t>N/R</w:t>
            </w:r>
          </w:p>
        </w:tc>
      </w:tr>
      <w:tr w:rsidR="00500637" w:rsidRPr="00520B23" w14:paraId="61D6341B" w14:textId="77777777" w:rsidTr="009A0CFD">
        <w:trPr>
          <w:trHeight w:val="20"/>
        </w:trPr>
        <w:tc>
          <w:tcPr>
            <w:tcW w:w="1019" w:type="pct"/>
            <w:tcBorders>
              <w:top w:val="single" w:sz="4" w:space="0" w:color="auto"/>
              <w:left w:val="single" w:sz="4" w:space="0" w:color="auto"/>
              <w:bottom w:val="single" w:sz="4" w:space="0" w:color="auto"/>
              <w:right w:val="single" w:sz="4" w:space="0" w:color="auto"/>
            </w:tcBorders>
            <w:vAlign w:val="center"/>
            <w:hideMark/>
          </w:tcPr>
          <w:p w14:paraId="638C7AC0" w14:textId="77777777" w:rsidR="00500637" w:rsidRPr="00520B23" w:rsidRDefault="00500637" w:rsidP="00500637">
            <w:pPr>
              <w:pStyle w:val="Tabletext"/>
              <w:keepNext/>
              <w:ind w:left="113"/>
            </w:pPr>
            <w:r w:rsidRPr="00520B23">
              <w:t>Fatigue</w:t>
            </w:r>
          </w:p>
        </w:tc>
        <w:tc>
          <w:tcPr>
            <w:tcW w:w="472" w:type="pct"/>
            <w:tcBorders>
              <w:top w:val="single" w:sz="4" w:space="0" w:color="auto"/>
              <w:left w:val="single" w:sz="4" w:space="0" w:color="auto"/>
              <w:bottom w:val="single" w:sz="4" w:space="0" w:color="auto"/>
              <w:right w:val="single" w:sz="4" w:space="0" w:color="auto"/>
            </w:tcBorders>
            <w:vAlign w:val="center"/>
            <w:hideMark/>
          </w:tcPr>
          <w:p w14:paraId="1F4E0A9E" w14:textId="77777777" w:rsidR="00500637" w:rsidRPr="00520B23" w:rsidRDefault="00500637" w:rsidP="00500637">
            <w:pPr>
              <w:pStyle w:val="Tabletext"/>
              <w:keepNext/>
              <w:jc w:val="center"/>
            </w:pPr>
            <w:r w:rsidRPr="00520B23">
              <w:t>0.8</w:t>
            </w:r>
          </w:p>
        </w:tc>
        <w:tc>
          <w:tcPr>
            <w:tcW w:w="504" w:type="pct"/>
            <w:tcBorders>
              <w:top w:val="single" w:sz="4" w:space="0" w:color="auto"/>
              <w:left w:val="single" w:sz="4" w:space="0" w:color="auto"/>
              <w:bottom w:val="single" w:sz="4" w:space="0" w:color="auto"/>
              <w:right w:val="single" w:sz="4" w:space="0" w:color="auto"/>
            </w:tcBorders>
            <w:vAlign w:val="center"/>
          </w:tcPr>
          <w:p w14:paraId="46F809F0" w14:textId="6E21651E" w:rsidR="00500637" w:rsidRPr="00520B23" w:rsidRDefault="00500637" w:rsidP="00500637">
            <w:pPr>
              <w:pStyle w:val="Tabletext"/>
              <w:keepNext/>
              <w:jc w:val="center"/>
            </w:pPr>
            <w:r w:rsidRPr="00520B23">
              <w:t>N/R</w:t>
            </w:r>
          </w:p>
        </w:tc>
        <w:tc>
          <w:tcPr>
            <w:tcW w:w="620" w:type="pct"/>
            <w:tcBorders>
              <w:top w:val="single" w:sz="4" w:space="0" w:color="auto"/>
              <w:left w:val="single" w:sz="4" w:space="0" w:color="auto"/>
              <w:bottom w:val="single" w:sz="4" w:space="0" w:color="auto"/>
              <w:right w:val="single" w:sz="4" w:space="0" w:color="auto"/>
            </w:tcBorders>
            <w:vAlign w:val="center"/>
          </w:tcPr>
          <w:p w14:paraId="0FFA1456" w14:textId="76FF9B5C" w:rsidR="00500637" w:rsidRPr="00520B23" w:rsidRDefault="00500637" w:rsidP="00500637">
            <w:pPr>
              <w:pStyle w:val="Tabletext"/>
              <w:keepNext/>
              <w:jc w:val="center"/>
            </w:pPr>
            <w:r w:rsidRPr="00520B23">
              <w:t>4.3</w:t>
            </w:r>
          </w:p>
        </w:tc>
        <w:tc>
          <w:tcPr>
            <w:tcW w:w="448" w:type="pct"/>
            <w:tcBorders>
              <w:top w:val="single" w:sz="4" w:space="0" w:color="auto"/>
              <w:left w:val="single" w:sz="4" w:space="0" w:color="auto"/>
              <w:bottom w:val="single" w:sz="4" w:space="0" w:color="auto"/>
              <w:right w:val="single" w:sz="4" w:space="0" w:color="auto"/>
            </w:tcBorders>
            <w:vAlign w:val="center"/>
            <w:hideMark/>
          </w:tcPr>
          <w:p w14:paraId="07EADEEB" w14:textId="77777777" w:rsidR="00500637" w:rsidRPr="00520B23" w:rsidRDefault="00500637" w:rsidP="00500637">
            <w:pPr>
              <w:pStyle w:val="Tabletext"/>
              <w:keepNext/>
              <w:jc w:val="center"/>
            </w:pPr>
            <w:r w:rsidRPr="00520B23">
              <w:t>5.6</w:t>
            </w:r>
          </w:p>
        </w:tc>
        <w:tc>
          <w:tcPr>
            <w:tcW w:w="471" w:type="pct"/>
            <w:tcBorders>
              <w:top w:val="single" w:sz="4" w:space="0" w:color="auto"/>
              <w:left w:val="single" w:sz="4" w:space="0" w:color="auto"/>
              <w:bottom w:val="single" w:sz="4" w:space="0" w:color="auto"/>
              <w:right w:val="single" w:sz="4" w:space="0" w:color="auto"/>
            </w:tcBorders>
            <w:vAlign w:val="center"/>
          </w:tcPr>
          <w:p w14:paraId="58768F46" w14:textId="77777777" w:rsidR="00500637" w:rsidRPr="00520B23" w:rsidRDefault="00500637" w:rsidP="00500637">
            <w:pPr>
              <w:pStyle w:val="Tabletext"/>
              <w:keepNext/>
              <w:jc w:val="center"/>
            </w:pPr>
            <w:r w:rsidRPr="00520B23">
              <w:t>N/R</w:t>
            </w:r>
          </w:p>
        </w:tc>
        <w:tc>
          <w:tcPr>
            <w:tcW w:w="394" w:type="pct"/>
            <w:tcBorders>
              <w:top w:val="single" w:sz="4" w:space="0" w:color="auto"/>
              <w:left w:val="single" w:sz="4" w:space="0" w:color="auto"/>
              <w:bottom w:val="single" w:sz="4" w:space="0" w:color="auto"/>
              <w:right w:val="single" w:sz="4" w:space="0" w:color="auto"/>
            </w:tcBorders>
            <w:vAlign w:val="center"/>
            <w:hideMark/>
          </w:tcPr>
          <w:p w14:paraId="57634938" w14:textId="77777777" w:rsidR="00500637" w:rsidRPr="00520B23" w:rsidRDefault="00500637" w:rsidP="00500637">
            <w:pPr>
              <w:pStyle w:val="Tabletext"/>
              <w:keepNext/>
              <w:jc w:val="center"/>
            </w:pPr>
            <w:r w:rsidRPr="00520B23">
              <w:t>3.1</w:t>
            </w:r>
          </w:p>
        </w:tc>
        <w:tc>
          <w:tcPr>
            <w:tcW w:w="557" w:type="pct"/>
            <w:tcBorders>
              <w:top w:val="single" w:sz="4" w:space="0" w:color="auto"/>
              <w:left w:val="single" w:sz="4" w:space="0" w:color="auto"/>
              <w:bottom w:val="single" w:sz="4" w:space="0" w:color="auto"/>
              <w:right w:val="single" w:sz="4" w:space="0" w:color="auto"/>
            </w:tcBorders>
            <w:vAlign w:val="center"/>
          </w:tcPr>
          <w:p w14:paraId="16FCCC8D" w14:textId="77777777" w:rsidR="00500637" w:rsidRPr="00520B23" w:rsidRDefault="00500637" w:rsidP="00500637">
            <w:pPr>
              <w:pStyle w:val="Tabletext"/>
              <w:keepNext/>
              <w:jc w:val="center"/>
            </w:pPr>
            <w:r w:rsidRPr="00520B23">
              <w:t>N/R</w:t>
            </w:r>
          </w:p>
        </w:tc>
        <w:tc>
          <w:tcPr>
            <w:tcW w:w="515" w:type="pct"/>
            <w:tcBorders>
              <w:top w:val="single" w:sz="4" w:space="0" w:color="auto"/>
              <w:left w:val="single" w:sz="4" w:space="0" w:color="auto"/>
              <w:bottom w:val="single" w:sz="4" w:space="0" w:color="auto"/>
              <w:right w:val="single" w:sz="4" w:space="0" w:color="auto"/>
            </w:tcBorders>
            <w:vAlign w:val="center"/>
            <w:hideMark/>
          </w:tcPr>
          <w:p w14:paraId="7B400394" w14:textId="77777777" w:rsidR="00500637" w:rsidRPr="00520B23" w:rsidRDefault="00500637" w:rsidP="00500637">
            <w:pPr>
              <w:pStyle w:val="Tabletext"/>
              <w:keepNext/>
              <w:jc w:val="center"/>
            </w:pPr>
            <w:r w:rsidRPr="00520B23">
              <w:t>5</w:t>
            </w:r>
          </w:p>
        </w:tc>
      </w:tr>
      <w:tr w:rsidR="00500637" w:rsidRPr="00520B23" w14:paraId="380DD6B5" w14:textId="77777777" w:rsidTr="009A0CFD">
        <w:trPr>
          <w:trHeight w:val="20"/>
        </w:trPr>
        <w:tc>
          <w:tcPr>
            <w:tcW w:w="1019" w:type="pct"/>
            <w:tcBorders>
              <w:top w:val="single" w:sz="4" w:space="0" w:color="auto"/>
              <w:left w:val="single" w:sz="4" w:space="0" w:color="auto"/>
              <w:bottom w:val="single" w:sz="4" w:space="0" w:color="auto"/>
              <w:right w:val="single" w:sz="4" w:space="0" w:color="auto"/>
            </w:tcBorders>
            <w:vAlign w:val="center"/>
            <w:hideMark/>
          </w:tcPr>
          <w:p w14:paraId="7199ED03" w14:textId="77777777" w:rsidR="00500637" w:rsidRPr="00520B23" w:rsidRDefault="00500637" w:rsidP="00500637">
            <w:pPr>
              <w:pStyle w:val="Tabletext"/>
              <w:keepNext/>
              <w:ind w:left="113"/>
            </w:pPr>
            <w:r w:rsidRPr="00520B23">
              <w:t>Nausea</w:t>
            </w:r>
          </w:p>
        </w:tc>
        <w:tc>
          <w:tcPr>
            <w:tcW w:w="472" w:type="pct"/>
            <w:tcBorders>
              <w:top w:val="single" w:sz="4" w:space="0" w:color="auto"/>
              <w:left w:val="single" w:sz="4" w:space="0" w:color="auto"/>
              <w:bottom w:val="single" w:sz="4" w:space="0" w:color="auto"/>
              <w:right w:val="single" w:sz="4" w:space="0" w:color="auto"/>
            </w:tcBorders>
            <w:vAlign w:val="center"/>
            <w:hideMark/>
          </w:tcPr>
          <w:p w14:paraId="392679EF" w14:textId="77777777" w:rsidR="00500637" w:rsidRPr="00520B23" w:rsidRDefault="00500637" w:rsidP="00500637">
            <w:pPr>
              <w:pStyle w:val="Tabletext"/>
              <w:keepNext/>
              <w:jc w:val="center"/>
            </w:pPr>
            <w:r w:rsidRPr="00520B23">
              <w:t>0.0</w:t>
            </w:r>
          </w:p>
        </w:tc>
        <w:tc>
          <w:tcPr>
            <w:tcW w:w="504" w:type="pct"/>
            <w:tcBorders>
              <w:top w:val="single" w:sz="4" w:space="0" w:color="auto"/>
              <w:left w:val="single" w:sz="4" w:space="0" w:color="auto"/>
              <w:bottom w:val="single" w:sz="4" w:space="0" w:color="auto"/>
              <w:right w:val="single" w:sz="4" w:space="0" w:color="auto"/>
            </w:tcBorders>
            <w:vAlign w:val="center"/>
          </w:tcPr>
          <w:p w14:paraId="4A47CFCD" w14:textId="2D90AF40" w:rsidR="00500637" w:rsidRPr="00520B23" w:rsidRDefault="00972F0F" w:rsidP="00500637">
            <w:pPr>
              <w:pStyle w:val="Tabletext"/>
              <w:keepNext/>
              <w:jc w:val="center"/>
            </w:pPr>
            <w:r w:rsidRPr="00520B23">
              <w:t>N/R</w:t>
            </w:r>
          </w:p>
        </w:tc>
        <w:tc>
          <w:tcPr>
            <w:tcW w:w="620" w:type="pct"/>
            <w:tcBorders>
              <w:top w:val="single" w:sz="4" w:space="0" w:color="auto"/>
              <w:left w:val="single" w:sz="4" w:space="0" w:color="auto"/>
              <w:bottom w:val="single" w:sz="4" w:space="0" w:color="auto"/>
              <w:right w:val="single" w:sz="4" w:space="0" w:color="auto"/>
            </w:tcBorders>
            <w:vAlign w:val="center"/>
          </w:tcPr>
          <w:p w14:paraId="1420AAC1" w14:textId="34A21D38" w:rsidR="00500637" w:rsidRPr="00520B23" w:rsidRDefault="00500637" w:rsidP="00500637">
            <w:pPr>
              <w:pStyle w:val="Tabletext"/>
              <w:keepNext/>
              <w:jc w:val="center"/>
            </w:pPr>
            <w:r w:rsidRPr="00520B23">
              <w:t>4.3</w:t>
            </w:r>
          </w:p>
        </w:tc>
        <w:tc>
          <w:tcPr>
            <w:tcW w:w="448" w:type="pct"/>
            <w:tcBorders>
              <w:top w:val="single" w:sz="4" w:space="0" w:color="auto"/>
              <w:left w:val="single" w:sz="4" w:space="0" w:color="auto"/>
              <w:bottom w:val="single" w:sz="4" w:space="0" w:color="auto"/>
              <w:right w:val="single" w:sz="4" w:space="0" w:color="auto"/>
            </w:tcBorders>
            <w:vAlign w:val="center"/>
            <w:hideMark/>
          </w:tcPr>
          <w:p w14:paraId="44437B4A" w14:textId="77777777" w:rsidR="00500637" w:rsidRPr="00520B23" w:rsidRDefault="00500637" w:rsidP="00500637">
            <w:pPr>
              <w:pStyle w:val="Tabletext"/>
              <w:keepNext/>
              <w:jc w:val="center"/>
            </w:pPr>
            <w:r w:rsidRPr="00520B23">
              <w:t>5.2</w:t>
            </w:r>
          </w:p>
        </w:tc>
        <w:tc>
          <w:tcPr>
            <w:tcW w:w="471" w:type="pct"/>
            <w:tcBorders>
              <w:top w:val="single" w:sz="4" w:space="0" w:color="auto"/>
              <w:left w:val="single" w:sz="4" w:space="0" w:color="auto"/>
              <w:bottom w:val="single" w:sz="4" w:space="0" w:color="auto"/>
              <w:right w:val="single" w:sz="4" w:space="0" w:color="auto"/>
            </w:tcBorders>
            <w:vAlign w:val="center"/>
          </w:tcPr>
          <w:p w14:paraId="6BDDA32B" w14:textId="77777777" w:rsidR="00500637" w:rsidRPr="00520B23" w:rsidRDefault="00500637" w:rsidP="00500637">
            <w:pPr>
              <w:pStyle w:val="Tabletext"/>
              <w:keepNext/>
              <w:jc w:val="center"/>
            </w:pPr>
            <w:r w:rsidRPr="00520B23">
              <w:t>N/R</w:t>
            </w:r>
          </w:p>
        </w:tc>
        <w:tc>
          <w:tcPr>
            <w:tcW w:w="394" w:type="pct"/>
            <w:tcBorders>
              <w:top w:val="single" w:sz="4" w:space="0" w:color="auto"/>
              <w:left w:val="single" w:sz="4" w:space="0" w:color="auto"/>
              <w:bottom w:val="single" w:sz="4" w:space="0" w:color="auto"/>
              <w:right w:val="single" w:sz="4" w:space="0" w:color="auto"/>
            </w:tcBorders>
            <w:vAlign w:val="center"/>
            <w:hideMark/>
          </w:tcPr>
          <w:p w14:paraId="30C987EE" w14:textId="77777777" w:rsidR="00500637" w:rsidRPr="00520B23" w:rsidRDefault="00500637" w:rsidP="00500637">
            <w:pPr>
              <w:pStyle w:val="Tabletext"/>
              <w:keepNext/>
              <w:jc w:val="center"/>
            </w:pPr>
            <w:r w:rsidRPr="00520B23">
              <w:t>1.3</w:t>
            </w:r>
          </w:p>
        </w:tc>
        <w:tc>
          <w:tcPr>
            <w:tcW w:w="557" w:type="pct"/>
            <w:tcBorders>
              <w:top w:val="single" w:sz="4" w:space="0" w:color="auto"/>
              <w:left w:val="single" w:sz="4" w:space="0" w:color="auto"/>
              <w:bottom w:val="single" w:sz="4" w:space="0" w:color="auto"/>
              <w:right w:val="single" w:sz="4" w:space="0" w:color="auto"/>
            </w:tcBorders>
            <w:vAlign w:val="center"/>
          </w:tcPr>
          <w:p w14:paraId="3E709119" w14:textId="77777777" w:rsidR="00500637" w:rsidRPr="00520B23" w:rsidRDefault="00500637" w:rsidP="00500637">
            <w:pPr>
              <w:pStyle w:val="Tabletext"/>
              <w:keepNext/>
              <w:jc w:val="center"/>
            </w:pPr>
            <w:r w:rsidRPr="00520B23">
              <w:t>N/R</w:t>
            </w:r>
          </w:p>
        </w:tc>
        <w:tc>
          <w:tcPr>
            <w:tcW w:w="515" w:type="pct"/>
            <w:tcBorders>
              <w:top w:val="single" w:sz="4" w:space="0" w:color="auto"/>
              <w:left w:val="single" w:sz="4" w:space="0" w:color="auto"/>
              <w:bottom w:val="single" w:sz="4" w:space="0" w:color="auto"/>
              <w:right w:val="single" w:sz="4" w:space="0" w:color="auto"/>
            </w:tcBorders>
            <w:vAlign w:val="center"/>
            <w:hideMark/>
          </w:tcPr>
          <w:p w14:paraId="7F7B4B8A" w14:textId="77777777" w:rsidR="00500637" w:rsidRPr="00520B23" w:rsidRDefault="00500637" w:rsidP="00500637">
            <w:pPr>
              <w:pStyle w:val="Tabletext"/>
              <w:keepNext/>
              <w:jc w:val="center"/>
            </w:pPr>
            <w:r w:rsidRPr="00520B23">
              <w:t>N/R</w:t>
            </w:r>
          </w:p>
        </w:tc>
      </w:tr>
    </w:tbl>
    <w:p w14:paraId="69F8E1EC" w14:textId="644C6CA0" w:rsidR="002528F7" w:rsidRPr="00520B23" w:rsidRDefault="002528F7" w:rsidP="00AA5F28">
      <w:pPr>
        <w:pStyle w:val="TableFooter"/>
        <w:keepNext/>
        <w:rPr>
          <w:iCs/>
        </w:rPr>
      </w:pPr>
      <w:r w:rsidRPr="00FF79DB">
        <w:t>Source: Table 40, p109 of the submission</w:t>
      </w:r>
      <w:r w:rsidR="00500637">
        <w:t xml:space="preserve">, </w:t>
      </w:r>
      <w:proofErr w:type="spellStart"/>
      <w:r w:rsidR="00500637" w:rsidRPr="00520B23">
        <w:rPr>
          <w:iCs/>
          <w:sz w:val="16"/>
          <w:szCs w:val="16"/>
        </w:rPr>
        <w:t>Makker</w:t>
      </w:r>
      <w:proofErr w:type="spellEnd"/>
      <w:r w:rsidR="00500637" w:rsidRPr="00520B23">
        <w:rPr>
          <w:iCs/>
          <w:sz w:val="16"/>
          <w:szCs w:val="16"/>
        </w:rPr>
        <w:t xml:space="preserve"> 2022 (Supplementary Table S11, S12, S15); GARNET IA-3 Table 14.3.1.1a</w:t>
      </w:r>
    </w:p>
    <w:p w14:paraId="0C000EA7" w14:textId="62F01E5A" w:rsidR="002528F7" w:rsidRPr="00FF79DB" w:rsidRDefault="002528F7" w:rsidP="00AA5F28">
      <w:pPr>
        <w:pStyle w:val="TableFooter"/>
        <w:keepNext/>
      </w:pPr>
      <w:r w:rsidRPr="00FF79DB">
        <w:t>ITT = intention-to-treat; N/R = not reported; SAE = serious adverse event; TEAE = treatment-emergent adverse event</w:t>
      </w:r>
      <w:r w:rsidR="00972F0F">
        <w:t>; N/R = not reported</w:t>
      </w:r>
    </w:p>
    <w:p w14:paraId="793ED011" w14:textId="77777777" w:rsidR="002528F7" w:rsidRPr="00FF79DB" w:rsidRDefault="002528F7" w:rsidP="00AA5F28">
      <w:pPr>
        <w:pStyle w:val="TableFooter"/>
        <w:keepNext/>
      </w:pPr>
      <w:r w:rsidRPr="00FF79DB">
        <w:t xml:space="preserve">1 The anonymised </w:t>
      </w:r>
      <w:proofErr w:type="spellStart"/>
      <w:r w:rsidRPr="00FF79DB">
        <w:t>ZoptEC</w:t>
      </w:r>
      <w:proofErr w:type="spellEnd"/>
      <w:r w:rsidRPr="00FF79DB">
        <w:t xml:space="preserve"> IPD was licensed to the sponsor for indirect comparison purposes (unpublished data).</w:t>
      </w:r>
    </w:p>
    <w:p w14:paraId="79C10D3D" w14:textId="77777777" w:rsidR="002528F7" w:rsidRPr="00520B23" w:rsidRDefault="002528F7" w:rsidP="00AA5F28">
      <w:pPr>
        <w:pStyle w:val="TableFooter"/>
        <w:keepNext/>
        <w:rPr>
          <w:iCs/>
        </w:rPr>
      </w:pPr>
      <w:proofErr w:type="spellStart"/>
      <w:proofErr w:type="gramStart"/>
      <w:r w:rsidRPr="00520B23">
        <w:rPr>
          <w:iCs/>
        </w:rPr>
        <w:t>a</w:t>
      </w:r>
      <w:proofErr w:type="spellEnd"/>
      <w:proofErr w:type="gramEnd"/>
      <w:r w:rsidRPr="00520B23">
        <w:rPr>
          <w:iCs/>
        </w:rPr>
        <w:t xml:space="preserve"> Extracted from Tables 54&amp;14.3.1.5a, p198 of the submission and GARNET </w:t>
      </w:r>
      <w:proofErr w:type="spellStart"/>
      <w:r w:rsidRPr="00520B23">
        <w:rPr>
          <w:iCs/>
        </w:rPr>
        <w:t>TLFs_data</w:t>
      </w:r>
      <w:proofErr w:type="spellEnd"/>
      <w:r w:rsidRPr="00520B23">
        <w:rPr>
          <w:iCs/>
        </w:rPr>
        <w:t>-listings</w:t>
      </w:r>
    </w:p>
    <w:p w14:paraId="7E25E11B" w14:textId="043D7AF4" w:rsidR="002528F7" w:rsidRPr="00520B23" w:rsidRDefault="002528F7" w:rsidP="00AA5F28">
      <w:pPr>
        <w:pStyle w:val="TableFooter"/>
        <w:keepNext/>
        <w:rPr>
          <w:iCs/>
        </w:rPr>
      </w:pPr>
      <w:r w:rsidRPr="00520B23">
        <w:rPr>
          <w:iCs/>
        </w:rPr>
        <w:t>Note: Safety outcomes were not available from the UK RWE study.</w:t>
      </w:r>
    </w:p>
    <w:p w14:paraId="55DCF89F" w14:textId="77777777" w:rsidR="002528F7" w:rsidRPr="00FF79DB" w:rsidRDefault="002528F7" w:rsidP="002528F7">
      <w:pPr>
        <w:widowControl/>
      </w:pPr>
    </w:p>
    <w:p w14:paraId="2871574E" w14:textId="6DD2232E" w:rsidR="005211DB" w:rsidRPr="005211DB" w:rsidRDefault="00C976CB" w:rsidP="00E24AE9">
      <w:pPr>
        <w:pStyle w:val="ListParagraph"/>
        <w:widowControl/>
        <w:numPr>
          <w:ilvl w:val="1"/>
          <w:numId w:val="2"/>
        </w:numPr>
      </w:pPr>
      <w:r w:rsidRPr="00FF79DB">
        <w:t xml:space="preserve">Similar proportions of patients treated with </w:t>
      </w:r>
      <w:proofErr w:type="spellStart"/>
      <w:r w:rsidRPr="00FF79DB">
        <w:t>dostarlimab</w:t>
      </w:r>
      <w:proofErr w:type="spellEnd"/>
      <w:r w:rsidRPr="00FF79DB">
        <w:t xml:space="preserve"> and SoC experienced any grade </w:t>
      </w:r>
      <w:r w:rsidR="007446AE" w:rsidRPr="00FF79DB">
        <w:t>treatment emergent adverse event (</w:t>
      </w:r>
      <w:r w:rsidRPr="00FF79DB">
        <w:t>TEAEs</w:t>
      </w:r>
      <w:r w:rsidR="007446AE" w:rsidRPr="00FF79DB">
        <w:t>)</w:t>
      </w:r>
      <w:r w:rsidRPr="00FF79DB">
        <w:t xml:space="preserve"> (</w:t>
      </w:r>
      <w:proofErr w:type="spellStart"/>
      <w:r w:rsidRPr="00FF79DB">
        <w:t>dostarlimab</w:t>
      </w:r>
      <w:proofErr w:type="spellEnd"/>
      <w:r w:rsidRPr="00FF79DB">
        <w:t xml:space="preserve">= 95.3-100.0%; SoC= 95.4-99.5%), </w:t>
      </w:r>
      <w:r w:rsidR="007446AE" w:rsidRPr="00FF79DB">
        <w:t>adverse events (</w:t>
      </w:r>
      <w:r w:rsidRPr="00FF79DB">
        <w:t>AEs</w:t>
      </w:r>
      <w:r w:rsidR="007446AE" w:rsidRPr="00FF79DB">
        <w:t>)</w:t>
      </w:r>
      <w:r w:rsidRPr="00FF79DB">
        <w:t xml:space="preserve"> resulting in treatment discontinuation (</w:t>
      </w:r>
      <w:proofErr w:type="spellStart"/>
      <w:r w:rsidRPr="00FF79DB">
        <w:t>dostarlimab</w:t>
      </w:r>
      <w:proofErr w:type="spellEnd"/>
      <w:r w:rsidRPr="00FF79DB">
        <w:t>= 9.9-</w:t>
      </w:r>
      <w:r w:rsidRPr="00863CF8">
        <w:rPr>
          <w:iCs/>
        </w:rPr>
        <w:t>1</w:t>
      </w:r>
      <w:r w:rsidR="00FB6B86" w:rsidRPr="00863CF8">
        <w:rPr>
          <w:iCs/>
        </w:rPr>
        <w:t>5.7</w:t>
      </w:r>
      <w:r w:rsidRPr="00863CF8">
        <w:rPr>
          <w:iCs/>
        </w:rPr>
        <w:t>%</w:t>
      </w:r>
      <w:r w:rsidRPr="00FB6B86">
        <w:rPr>
          <w:i/>
        </w:rPr>
        <w:t>;</w:t>
      </w:r>
      <w:r w:rsidRPr="00FF79DB">
        <w:t xml:space="preserve"> SoC= 6.3-15.5%), while </w:t>
      </w:r>
      <w:r w:rsidR="00460D44" w:rsidRPr="00FF79DB">
        <w:t>serious adverse events (</w:t>
      </w:r>
      <w:r w:rsidRPr="00FF79DB">
        <w:t>SAEs</w:t>
      </w:r>
      <w:r w:rsidR="00460D44" w:rsidRPr="00FF79DB">
        <w:t>)</w:t>
      </w:r>
      <w:r w:rsidRPr="00FF79DB">
        <w:t xml:space="preserve"> were observed to be higher (</w:t>
      </w:r>
      <w:proofErr w:type="spellStart"/>
      <w:r w:rsidRPr="00FF79DB">
        <w:t>dostarlimab</w:t>
      </w:r>
      <w:proofErr w:type="spellEnd"/>
      <w:r w:rsidRPr="00FF79DB">
        <w:t xml:space="preserve"> = 34.1-46.6%; SoC= 26.4-30.1%).</w:t>
      </w:r>
      <w:r w:rsidR="005211DB">
        <w:t xml:space="preserve"> </w:t>
      </w:r>
      <w:r w:rsidR="005211DB" w:rsidRPr="00520B23">
        <w:rPr>
          <w:iCs/>
        </w:rPr>
        <w:t xml:space="preserve">The ESC noted there was an increase in AEs with longer exposure to </w:t>
      </w:r>
      <w:proofErr w:type="spellStart"/>
      <w:r w:rsidR="005211DB" w:rsidRPr="00520B23">
        <w:rPr>
          <w:iCs/>
        </w:rPr>
        <w:t>dostarlimab</w:t>
      </w:r>
      <w:proofErr w:type="spellEnd"/>
      <w:r w:rsidR="005211DB" w:rsidRPr="00520B23">
        <w:rPr>
          <w:iCs/>
        </w:rPr>
        <w:t>, for example treatment-related Grade ≥3 TEAEs increased from 13.2% to 17.6% at IA-2 and IA-3, respectively.</w:t>
      </w:r>
      <w:r w:rsidR="00863CF8">
        <w:rPr>
          <w:iCs/>
        </w:rPr>
        <w:t xml:space="preserve"> The PBAC noted that </w:t>
      </w:r>
      <w:r w:rsidR="00863CF8" w:rsidRPr="00520B23">
        <w:rPr>
          <w:iCs/>
        </w:rPr>
        <w:t>Grade ≥3 TEAEs</w:t>
      </w:r>
      <w:r w:rsidR="00863CF8">
        <w:rPr>
          <w:iCs/>
        </w:rPr>
        <w:t xml:space="preserve"> were generally slightly lower in GARNET Cohort A1 than in the SoC studies (48.1-56.9% vs 54-78.3%)</w:t>
      </w:r>
      <w:r w:rsidR="00E16D15">
        <w:rPr>
          <w:iCs/>
        </w:rPr>
        <w:t xml:space="preserve"> and </w:t>
      </w:r>
      <w:r w:rsidR="00E16D15">
        <w:rPr>
          <w:lang w:bidi="en-US"/>
        </w:rPr>
        <w:t xml:space="preserve">Grade ≥3 </w:t>
      </w:r>
      <w:r w:rsidR="00406A74">
        <w:rPr>
          <w:lang w:bidi="en-US"/>
        </w:rPr>
        <w:t xml:space="preserve">treatment related </w:t>
      </w:r>
      <w:r w:rsidR="00E16D15">
        <w:rPr>
          <w:lang w:bidi="en-US"/>
        </w:rPr>
        <w:t>TEAEs were also lower in GARNET than KN775 (13.2-19.3% vs 59.0%)</w:t>
      </w:r>
      <w:r w:rsidR="00863CF8">
        <w:rPr>
          <w:iCs/>
        </w:rPr>
        <w:t>.</w:t>
      </w:r>
      <w:r w:rsidR="00E16D15">
        <w:rPr>
          <w:iCs/>
        </w:rPr>
        <w:t xml:space="preserve"> The pre-PBAC response also noted that MOGA considered </w:t>
      </w:r>
      <w:proofErr w:type="spellStart"/>
      <w:r w:rsidR="00E16D15" w:rsidRPr="00670AB9">
        <w:rPr>
          <w:lang w:bidi="en-US"/>
        </w:rPr>
        <w:t>dostarlimab</w:t>
      </w:r>
      <w:proofErr w:type="spellEnd"/>
      <w:r w:rsidR="00E16D15" w:rsidRPr="00670AB9">
        <w:rPr>
          <w:lang w:bidi="en-US"/>
        </w:rPr>
        <w:t xml:space="preserve"> to be less toxic than chemotherapy</w:t>
      </w:r>
      <w:r w:rsidR="00E16D15">
        <w:rPr>
          <w:lang w:bidi="en-US"/>
        </w:rPr>
        <w:t>.</w:t>
      </w:r>
      <w:r w:rsidR="00863CF8">
        <w:rPr>
          <w:iCs/>
        </w:rPr>
        <w:t xml:space="preserve"> The PBAC considered that this was consistent with other PD-</w:t>
      </w:r>
      <w:r w:rsidR="00DA5130">
        <w:rPr>
          <w:iCs/>
        </w:rPr>
        <w:t>(</w:t>
      </w:r>
      <w:r w:rsidR="00863CF8">
        <w:rPr>
          <w:iCs/>
        </w:rPr>
        <w:t>L</w:t>
      </w:r>
      <w:r w:rsidR="00DA5130">
        <w:rPr>
          <w:iCs/>
        </w:rPr>
        <w:t>)</w:t>
      </w:r>
      <w:r w:rsidR="00863CF8">
        <w:rPr>
          <w:iCs/>
        </w:rPr>
        <w:t xml:space="preserve">1 </w:t>
      </w:r>
      <w:proofErr w:type="gramStart"/>
      <w:r w:rsidR="00863CF8">
        <w:rPr>
          <w:iCs/>
        </w:rPr>
        <w:t>inhibitors</w:t>
      </w:r>
      <w:proofErr w:type="gramEnd"/>
      <w:r w:rsidR="00863CF8">
        <w:rPr>
          <w:iCs/>
        </w:rPr>
        <w:t>.</w:t>
      </w:r>
    </w:p>
    <w:p w14:paraId="3378BE65" w14:textId="76FE44CA" w:rsidR="00B656DE" w:rsidRPr="00FF79DB" w:rsidRDefault="00C976CB" w:rsidP="00E24AE9">
      <w:pPr>
        <w:pStyle w:val="ListParagraph"/>
        <w:widowControl/>
        <w:numPr>
          <w:ilvl w:val="1"/>
          <w:numId w:val="2"/>
        </w:numPr>
      </w:pPr>
      <w:r w:rsidRPr="00FF79DB">
        <w:lastRenderedPageBreak/>
        <w:t xml:space="preserve">The submission noted the most common grade ≥3 TEAE experienced on </w:t>
      </w:r>
      <w:proofErr w:type="spellStart"/>
      <w:r w:rsidRPr="00FF79DB">
        <w:t>dostarlimab</w:t>
      </w:r>
      <w:proofErr w:type="spellEnd"/>
      <w:r w:rsidRPr="00FF79DB">
        <w:t xml:space="preserve"> in GARNET was anaemia, with similar occurrence reported for SoC across included trials (</w:t>
      </w:r>
      <w:proofErr w:type="spellStart"/>
      <w:r w:rsidRPr="00FF79DB">
        <w:t>dostarlimab</w:t>
      </w:r>
      <w:proofErr w:type="spellEnd"/>
      <w:r w:rsidRPr="00FF79DB">
        <w:t xml:space="preserve">= 9.9-14.7%; </w:t>
      </w:r>
      <w:r w:rsidR="008D6261" w:rsidRPr="00FF79DB">
        <w:t xml:space="preserve">SoC= 12-15.3%). The submission </w:t>
      </w:r>
      <w:r w:rsidRPr="00FF79DB">
        <w:t xml:space="preserve">acknowledged that </w:t>
      </w:r>
      <w:proofErr w:type="gramStart"/>
      <w:r w:rsidRPr="00FF79DB">
        <w:t>on the whole</w:t>
      </w:r>
      <w:proofErr w:type="gramEnd"/>
      <w:r w:rsidRPr="00FF79DB">
        <w:t xml:space="preserve">, the inconsistent reporting of disaggregated safety outcomes across included SoC studies made it challenging to determine the specific differences in grade ≥3 TEAEs between </w:t>
      </w:r>
      <w:proofErr w:type="spellStart"/>
      <w:r w:rsidRPr="00FF79DB">
        <w:t>dostarlimab</w:t>
      </w:r>
      <w:proofErr w:type="spellEnd"/>
      <w:r w:rsidRPr="00FF79DB">
        <w:t xml:space="preserve"> and </w:t>
      </w:r>
      <w:proofErr w:type="spellStart"/>
      <w:r w:rsidRPr="00FF79DB">
        <w:t>SoC.</w:t>
      </w:r>
      <w:proofErr w:type="spellEnd"/>
      <w:r w:rsidR="00863CF8">
        <w:t xml:space="preserve"> </w:t>
      </w:r>
    </w:p>
    <w:p w14:paraId="35CCCC6B" w14:textId="1AA5F7F8" w:rsidR="00B656DE" w:rsidRDefault="00B656DE" w:rsidP="00E24AE9">
      <w:pPr>
        <w:pStyle w:val="ListParagraph"/>
        <w:widowControl/>
        <w:numPr>
          <w:ilvl w:val="1"/>
          <w:numId w:val="2"/>
        </w:numPr>
      </w:pPr>
      <w:r w:rsidRPr="00FF79DB">
        <w:t xml:space="preserve">The most frequently reported TEAEs (≥15%) in </w:t>
      </w:r>
      <w:r w:rsidR="00D54C41" w:rsidRPr="00FF79DB">
        <w:t xml:space="preserve">patients </w:t>
      </w:r>
      <w:r w:rsidRPr="00FF79DB">
        <w:t xml:space="preserve">with </w:t>
      </w:r>
      <w:proofErr w:type="spellStart"/>
      <w:r w:rsidRPr="00FF79DB">
        <w:t>dMMR</w:t>
      </w:r>
      <w:proofErr w:type="spellEnd"/>
      <w:r w:rsidRPr="00FF79DB">
        <w:t xml:space="preserve"> EC in GARNET Cohort A1 were nausea, diarrhoea, anaemia, fatigue, asthenia, constipation, vomiting, abdominal pain, cough, arthralgia, urinary tract infection, and back pain. These TEAEs were mild or moderate in severity in most patients for whom the TEAEs were reported. </w:t>
      </w:r>
    </w:p>
    <w:p w14:paraId="6C26B736" w14:textId="5D3652DC" w:rsidR="00863CF8" w:rsidRPr="00FF79DB" w:rsidRDefault="00863CF8" w:rsidP="00E24AE9">
      <w:pPr>
        <w:pStyle w:val="ListParagraph"/>
        <w:widowControl/>
        <w:numPr>
          <w:ilvl w:val="1"/>
          <w:numId w:val="2"/>
        </w:numPr>
      </w:pPr>
      <w:r>
        <w:t>The PBAC noted that, based on other PD-</w:t>
      </w:r>
      <w:r w:rsidR="00DA5130">
        <w:t>(</w:t>
      </w:r>
      <w:r>
        <w:t>L</w:t>
      </w:r>
      <w:r w:rsidR="00DA5130">
        <w:t>)</w:t>
      </w:r>
      <w:r>
        <w:t xml:space="preserve">1 </w:t>
      </w:r>
      <w:proofErr w:type="gramStart"/>
      <w:r>
        <w:t>inhibitors</w:t>
      </w:r>
      <w:proofErr w:type="gramEnd"/>
      <w:r>
        <w:t xml:space="preserve">, AEs for </w:t>
      </w:r>
      <w:proofErr w:type="spellStart"/>
      <w:r>
        <w:t>dostarlimab</w:t>
      </w:r>
      <w:proofErr w:type="spellEnd"/>
      <w:r>
        <w:t xml:space="preserve"> would be expected to be different from AEs for chemotherapy.</w:t>
      </w:r>
    </w:p>
    <w:p w14:paraId="78F8A105" w14:textId="028F9488" w:rsidR="008D6261" w:rsidRPr="006710E4" w:rsidRDefault="008D6261" w:rsidP="00E24AE9">
      <w:pPr>
        <w:pStyle w:val="ListParagraph"/>
        <w:widowControl/>
        <w:numPr>
          <w:ilvl w:val="1"/>
          <w:numId w:val="2"/>
        </w:numPr>
      </w:pPr>
      <w:r w:rsidRPr="006710E4">
        <w:t xml:space="preserve">The TGA evaluator (TGA Clinical Evaluation Report) commented that “to date, only 515 patients have received </w:t>
      </w:r>
      <w:proofErr w:type="spellStart"/>
      <w:r w:rsidRPr="006710E4">
        <w:t>dostarlimab</w:t>
      </w:r>
      <w:proofErr w:type="spellEnd"/>
      <w:r w:rsidRPr="006710E4">
        <w:t xml:space="preserve"> monotherapy at the proposed dosage to provide safety data in support of the registration of </w:t>
      </w:r>
      <w:proofErr w:type="spellStart"/>
      <w:r w:rsidRPr="006710E4">
        <w:t>dostarlimab</w:t>
      </w:r>
      <w:proofErr w:type="spellEnd"/>
      <w:r w:rsidRPr="006710E4">
        <w:t>”</w:t>
      </w:r>
      <w:r w:rsidR="00D54C41" w:rsidRPr="006710E4">
        <w:t xml:space="preserve">, with </w:t>
      </w:r>
      <w:r w:rsidR="00282842" w:rsidRPr="006710E4">
        <w:t xml:space="preserve">a </w:t>
      </w:r>
      <w:r w:rsidRPr="006710E4">
        <w:t xml:space="preserve">median treatment duration </w:t>
      </w:r>
      <w:r w:rsidR="00282842" w:rsidRPr="006710E4">
        <w:t xml:space="preserve">of </w:t>
      </w:r>
      <w:r w:rsidRPr="006710E4">
        <w:t xml:space="preserve">20 weeks, </w:t>
      </w:r>
      <w:r w:rsidR="0058655A" w:rsidRPr="006710E4">
        <w:t xml:space="preserve">and </w:t>
      </w:r>
      <w:r w:rsidRPr="006710E4">
        <w:t xml:space="preserve">132 participants exposed for at least 48 weeks. It was noted that “there were no new safety signals across the larger population and there were no deaths considered treatment-related.” The TGA evaluator (TGA Clinical Evaluation Report) concluded that “while the adverse event profile is largely consistent with other much more widely studied PD-1 inhibitors, it cannot be stated at this time that there is sufficient longer-term data or characterisation of </w:t>
      </w:r>
      <w:proofErr w:type="spellStart"/>
      <w:r w:rsidRPr="006710E4">
        <w:t>dostarlimab</w:t>
      </w:r>
      <w:proofErr w:type="spellEnd"/>
      <w:r w:rsidRPr="006710E4">
        <w:t xml:space="preserve"> to warrant full registration</w:t>
      </w:r>
      <w:r w:rsidRPr="00520B23">
        <w:t>.”</w:t>
      </w:r>
      <w:r w:rsidR="00FB6B86" w:rsidRPr="00520B23">
        <w:t xml:space="preserve"> Further, the Delegate’s Overview </w:t>
      </w:r>
      <w:proofErr w:type="gramStart"/>
      <w:r w:rsidR="00FB6B86" w:rsidRPr="00520B23">
        <w:t>states</w:t>
      </w:r>
      <w:proofErr w:type="gramEnd"/>
      <w:r w:rsidR="00FB6B86" w:rsidRPr="00520B23">
        <w:t xml:space="preserve"> “The clinical evaluation highlighted limitations in the safety information, pointing specifically to a limited understanding of immune-related cardiac events and limits to the immunogenicity data so far in the study program”.</w:t>
      </w:r>
    </w:p>
    <w:p w14:paraId="04908C7F" w14:textId="25DB8503" w:rsidR="007F1017" w:rsidRPr="00FF79DB" w:rsidRDefault="007F1017" w:rsidP="00C9624D">
      <w:pPr>
        <w:pStyle w:val="Heading2"/>
      </w:pPr>
      <w:bookmarkStart w:id="33" w:name="_Toc93481982"/>
      <w:r w:rsidRPr="00FF79DB">
        <w:t>Benefits/harms</w:t>
      </w:r>
      <w:bookmarkEnd w:id="33"/>
    </w:p>
    <w:p w14:paraId="718A8B32" w14:textId="77777777" w:rsidR="004151CF" w:rsidRPr="00FF79DB" w:rsidRDefault="004151CF" w:rsidP="004151CF"/>
    <w:p w14:paraId="3964AC10" w14:textId="6735FA8E" w:rsidR="007F1017" w:rsidRPr="00520B23" w:rsidRDefault="00AF4F54" w:rsidP="00E24AE9">
      <w:pPr>
        <w:pStyle w:val="ListParagraph"/>
        <w:widowControl/>
        <w:numPr>
          <w:ilvl w:val="1"/>
          <w:numId w:val="2"/>
        </w:numPr>
        <w:rPr>
          <w:rFonts w:asciiTheme="minorHAnsi" w:hAnsiTheme="minorHAnsi" w:cstheme="minorHAnsi"/>
          <w:iCs/>
          <w:szCs w:val="24"/>
        </w:rPr>
      </w:pPr>
      <w:r w:rsidRPr="00520B23">
        <w:rPr>
          <w:iCs/>
        </w:rPr>
        <w:t xml:space="preserve">The PSCR stated the proportion of patients alive at two years of follow up is approximately 60% with </w:t>
      </w:r>
      <w:proofErr w:type="spellStart"/>
      <w:r w:rsidRPr="00520B23">
        <w:rPr>
          <w:iCs/>
        </w:rPr>
        <w:t>dostarlimab</w:t>
      </w:r>
      <w:proofErr w:type="spellEnd"/>
      <w:r w:rsidRPr="00520B23">
        <w:rPr>
          <w:iCs/>
        </w:rPr>
        <w:t xml:space="preserve"> compared to approximately 20% with SoC (</w:t>
      </w:r>
      <w:r w:rsidR="0089244D" w:rsidRPr="00520B23">
        <w:rPr>
          <w:iCs/>
        </w:rPr>
        <w:fldChar w:fldCharType="begin"/>
      </w:r>
      <w:r w:rsidR="0089244D" w:rsidRPr="00520B23">
        <w:rPr>
          <w:iCs/>
        </w:rPr>
        <w:instrText xml:space="preserve"> REF _Ref92009053 \h  \* MERGEFORMAT </w:instrText>
      </w:r>
      <w:r w:rsidR="0089244D" w:rsidRPr="00520B23">
        <w:rPr>
          <w:iCs/>
        </w:rPr>
      </w:r>
      <w:r w:rsidR="0089244D" w:rsidRPr="00520B23">
        <w:rPr>
          <w:iCs/>
        </w:rPr>
        <w:fldChar w:fldCharType="separate"/>
      </w:r>
      <w:r w:rsidR="004975AD" w:rsidRPr="004975AD">
        <w:t>Figure 2</w:t>
      </w:r>
      <w:r w:rsidR="0089244D" w:rsidRPr="00520B23">
        <w:rPr>
          <w:iCs/>
        </w:rPr>
        <w:fldChar w:fldCharType="end"/>
      </w:r>
      <w:r w:rsidRPr="00520B23">
        <w:rPr>
          <w:iCs/>
        </w:rPr>
        <w:t xml:space="preserve">), indicating that for every 100 patients treated with </w:t>
      </w:r>
      <w:proofErr w:type="spellStart"/>
      <w:r w:rsidRPr="00520B23">
        <w:rPr>
          <w:iCs/>
        </w:rPr>
        <w:t>dostarlimab</w:t>
      </w:r>
      <w:proofErr w:type="spellEnd"/>
      <w:r w:rsidRPr="00520B23">
        <w:rPr>
          <w:iCs/>
        </w:rPr>
        <w:t xml:space="preserve">, an additional 40 patients will be alive at 2 years. However, the ESC considered that an adequate assessment of the magnitude of any OS benefit was not possible with the available data. </w:t>
      </w:r>
    </w:p>
    <w:p w14:paraId="7A1772B6" w14:textId="77777777" w:rsidR="00B60939" w:rsidRPr="00FF79DB" w:rsidRDefault="00B60939" w:rsidP="00ED261D">
      <w:pPr>
        <w:pStyle w:val="Heading2"/>
        <w:keepNext/>
        <w:keepLines/>
      </w:pPr>
      <w:bookmarkStart w:id="34" w:name="_Toc93481983"/>
      <w:r w:rsidRPr="00FF79DB">
        <w:lastRenderedPageBreak/>
        <w:t>Clinical claim</w:t>
      </w:r>
      <w:bookmarkEnd w:id="34"/>
    </w:p>
    <w:p w14:paraId="7098B650" w14:textId="77777777" w:rsidR="00B60939" w:rsidRPr="00FF79DB" w:rsidRDefault="00B60939" w:rsidP="00ED261D">
      <w:pPr>
        <w:keepNext/>
        <w:keepLines/>
        <w:ind w:left="720" w:hanging="720"/>
      </w:pPr>
    </w:p>
    <w:p w14:paraId="04E6665E" w14:textId="57CF0D28" w:rsidR="00CB00E5" w:rsidRPr="00FF79DB" w:rsidRDefault="00CB00E5" w:rsidP="00C710FE">
      <w:pPr>
        <w:pStyle w:val="ListParagraph"/>
        <w:keepNext/>
        <w:keepLines/>
        <w:widowControl/>
        <w:numPr>
          <w:ilvl w:val="1"/>
          <w:numId w:val="2"/>
        </w:numPr>
      </w:pPr>
      <w:r w:rsidRPr="00FF79DB">
        <w:t xml:space="preserve">The submission described </w:t>
      </w:r>
      <w:proofErr w:type="spellStart"/>
      <w:r w:rsidRPr="00FF79DB">
        <w:t>dostarlimab</w:t>
      </w:r>
      <w:proofErr w:type="spellEnd"/>
      <w:r w:rsidRPr="00FF79DB">
        <w:t xml:space="preserve"> as superior in terms of effectiveness compared with SoC in patients with A/R </w:t>
      </w:r>
      <w:proofErr w:type="spellStart"/>
      <w:r w:rsidRPr="00FF79DB">
        <w:t>dMMR</w:t>
      </w:r>
      <w:proofErr w:type="spellEnd"/>
      <w:r w:rsidRPr="00FF79DB">
        <w:t xml:space="preserve"> EC following PBC. </w:t>
      </w:r>
    </w:p>
    <w:p w14:paraId="5FADF34D" w14:textId="4E163244" w:rsidR="00FD5B65" w:rsidRPr="00520B23" w:rsidRDefault="00106072" w:rsidP="00AF4F54">
      <w:pPr>
        <w:pStyle w:val="ListParagraph"/>
        <w:widowControl/>
        <w:numPr>
          <w:ilvl w:val="1"/>
          <w:numId w:val="2"/>
        </w:numPr>
        <w:rPr>
          <w:iCs/>
        </w:rPr>
      </w:pPr>
      <w:bookmarkStart w:id="35" w:name="_Ref99971593"/>
      <w:r w:rsidRPr="00520B23">
        <w:rPr>
          <w:iCs/>
        </w:rPr>
        <w:t xml:space="preserve">The </w:t>
      </w:r>
      <w:r w:rsidR="00863CF8">
        <w:rPr>
          <w:iCs/>
        </w:rPr>
        <w:t xml:space="preserve">PBAC agreed with </w:t>
      </w:r>
      <w:r w:rsidR="00AF4F54" w:rsidRPr="00520B23">
        <w:rPr>
          <w:iCs/>
        </w:rPr>
        <w:t>ESC that, w</w:t>
      </w:r>
      <w:r w:rsidRPr="00520B23">
        <w:rPr>
          <w:iCs/>
        </w:rPr>
        <w:t xml:space="preserve">hile it was likely reasonable to conclude that </w:t>
      </w:r>
      <w:proofErr w:type="spellStart"/>
      <w:r w:rsidRPr="00520B23">
        <w:rPr>
          <w:iCs/>
        </w:rPr>
        <w:t>dostarlimab</w:t>
      </w:r>
      <w:proofErr w:type="spellEnd"/>
      <w:r w:rsidRPr="00520B23">
        <w:rPr>
          <w:iCs/>
        </w:rPr>
        <w:t xml:space="preserve"> </w:t>
      </w:r>
      <w:r w:rsidR="00C710FE" w:rsidRPr="00520B23">
        <w:rPr>
          <w:iCs/>
        </w:rPr>
        <w:t>h</w:t>
      </w:r>
      <w:r w:rsidRPr="00520B23">
        <w:rPr>
          <w:iCs/>
        </w:rPr>
        <w:t xml:space="preserve">as superior efficacy compared </w:t>
      </w:r>
      <w:r w:rsidR="00C710FE" w:rsidRPr="00520B23">
        <w:rPr>
          <w:iCs/>
        </w:rPr>
        <w:t>with</w:t>
      </w:r>
      <w:r w:rsidRPr="00520B23">
        <w:rPr>
          <w:iCs/>
        </w:rPr>
        <w:t xml:space="preserve"> SoC, </w:t>
      </w:r>
      <w:r w:rsidR="00AF4F54" w:rsidRPr="00520B23">
        <w:rPr>
          <w:iCs/>
        </w:rPr>
        <w:t>an adequate assessment of the magnitude of the OS benefit was not possible with the available data</w:t>
      </w:r>
      <w:r w:rsidRPr="00520B23">
        <w:rPr>
          <w:iCs/>
        </w:rPr>
        <w:t xml:space="preserve"> because:</w:t>
      </w:r>
      <w:bookmarkEnd w:id="35"/>
    </w:p>
    <w:p w14:paraId="4CD43189" w14:textId="13B3A03C" w:rsidR="00106072" w:rsidRPr="00520B23" w:rsidRDefault="00C710FE" w:rsidP="00A103EB">
      <w:pPr>
        <w:pStyle w:val="ListParagraph"/>
        <w:widowControl/>
        <w:numPr>
          <w:ilvl w:val="0"/>
          <w:numId w:val="7"/>
        </w:numPr>
        <w:spacing w:after="0"/>
        <w:ind w:left="993" w:hanging="284"/>
        <w:rPr>
          <w:iCs/>
        </w:rPr>
      </w:pPr>
      <w:r w:rsidRPr="00520B23">
        <w:rPr>
          <w:iCs/>
        </w:rPr>
        <w:t xml:space="preserve">the evidence was </w:t>
      </w:r>
      <w:r w:rsidR="0089244D" w:rsidRPr="00520B23">
        <w:rPr>
          <w:iCs/>
        </w:rPr>
        <w:t xml:space="preserve">of </w:t>
      </w:r>
      <w:r w:rsidRPr="00520B23">
        <w:rPr>
          <w:iCs/>
        </w:rPr>
        <w:t xml:space="preserve">relatively low quality, with </w:t>
      </w:r>
      <w:r w:rsidR="00A103EB" w:rsidRPr="00520B23">
        <w:rPr>
          <w:iCs/>
        </w:rPr>
        <w:t xml:space="preserve">only a small single-arm phase I/II study of </w:t>
      </w:r>
      <w:proofErr w:type="spellStart"/>
      <w:r w:rsidR="00A103EB" w:rsidRPr="00520B23">
        <w:rPr>
          <w:iCs/>
        </w:rPr>
        <w:t>dostarlimab</w:t>
      </w:r>
      <w:proofErr w:type="spellEnd"/>
      <w:r w:rsidR="00A103EB" w:rsidRPr="00520B23">
        <w:rPr>
          <w:iCs/>
        </w:rPr>
        <w:t xml:space="preserve"> available, which was compared with </w:t>
      </w:r>
      <w:r w:rsidRPr="00520B23">
        <w:rPr>
          <w:iCs/>
        </w:rPr>
        <w:t xml:space="preserve">the SoC arms of </w:t>
      </w:r>
      <w:r w:rsidR="00A103EB" w:rsidRPr="00520B23">
        <w:rPr>
          <w:iCs/>
        </w:rPr>
        <w:t xml:space="preserve">randomised trials. The submission also conducted an </w:t>
      </w:r>
      <w:r w:rsidR="00106072" w:rsidRPr="00520B23">
        <w:rPr>
          <w:iCs/>
        </w:rPr>
        <w:t>adjusted IPTW analysis</w:t>
      </w:r>
      <w:r w:rsidR="00A103EB" w:rsidRPr="00520B23">
        <w:rPr>
          <w:iCs/>
        </w:rPr>
        <w:t xml:space="preserve">, however this </w:t>
      </w:r>
      <w:r w:rsidR="00106072" w:rsidRPr="00520B23">
        <w:rPr>
          <w:iCs/>
        </w:rPr>
        <w:t xml:space="preserve">was limited by key methodological and </w:t>
      </w:r>
      <w:r w:rsidR="00B002F6">
        <w:rPr>
          <w:iCs/>
        </w:rPr>
        <w:t>transitivity</w:t>
      </w:r>
      <w:r w:rsidR="00106072" w:rsidRPr="00520B23">
        <w:rPr>
          <w:iCs/>
        </w:rPr>
        <w:t xml:space="preserve"> issues including the nature of the study design as well as potential unobserved confounding</w:t>
      </w:r>
      <w:r w:rsidR="0089244D" w:rsidRPr="00520B23">
        <w:rPr>
          <w:iCs/>
        </w:rPr>
        <w:t xml:space="preserve">, the likelihood of which was increased due to </w:t>
      </w:r>
      <w:r w:rsidR="00106072" w:rsidRPr="00520B23">
        <w:rPr>
          <w:iCs/>
        </w:rPr>
        <w:t xml:space="preserve">incomplete </w:t>
      </w:r>
      <w:proofErr w:type="gramStart"/>
      <w:r w:rsidR="00106072" w:rsidRPr="00520B23">
        <w:rPr>
          <w:iCs/>
        </w:rPr>
        <w:t>matching;</w:t>
      </w:r>
      <w:proofErr w:type="gramEnd"/>
    </w:p>
    <w:p w14:paraId="606CA4BB" w14:textId="1A3AECC8" w:rsidR="009F1942" w:rsidRPr="006710E4" w:rsidRDefault="00106072" w:rsidP="009F1942">
      <w:pPr>
        <w:pStyle w:val="ListParagraph"/>
        <w:widowControl/>
        <w:numPr>
          <w:ilvl w:val="0"/>
          <w:numId w:val="7"/>
        </w:numPr>
        <w:spacing w:after="0"/>
        <w:ind w:left="993" w:hanging="284"/>
      </w:pPr>
      <w:r w:rsidRPr="006710E4">
        <w:t>The immaturity of the data from GARNET Cohort A1 (median survival was not reached</w:t>
      </w:r>
      <w:r w:rsidR="003971BF">
        <w:t xml:space="preserve">, </w:t>
      </w:r>
      <w:r w:rsidR="003971BF" w:rsidRPr="00520B23">
        <w:rPr>
          <w:iCs/>
        </w:rPr>
        <w:t>with only 37% of patients having died at IA-3</w:t>
      </w:r>
      <w:r w:rsidRPr="00520B23">
        <w:rPr>
          <w:iCs/>
        </w:rPr>
        <w:t>)</w:t>
      </w:r>
      <w:r w:rsidRPr="006710E4">
        <w:t xml:space="preserve"> limited the ability to interpret any median OS benefit from any of the indirect comparisons presented. </w:t>
      </w:r>
      <w:r w:rsidR="003971BF">
        <w:t>This</w:t>
      </w:r>
      <w:r w:rsidR="00645AB2" w:rsidRPr="006710E4">
        <w:t xml:space="preserve"> also </w:t>
      </w:r>
      <w:r w:rsidR="00523A8D" w:rsidRPr="006710E4">
        <w:t>increased</w:t>
      </w:r>
      <w:r w:rsidR="00645AB2" w:rsidRPr="006710E4">
        <w:t xml:space="preserve"> uncertainty regarding t</w:t>
      </w:r>
      <w:r w:rsidR="00523A8D" w:rsidRPr="006710E4">
        <w:t xml:space="preserve">he durability of any benefit </w:t>
      </w:r>
      <w:r w:rsidR="00851E5A" w:rsidRPr="006710E4">
        <w:t xml:space="preserve">with </w:t>
      </w:r>
      <w:proofErr w:type="spellStart"/>
      <w:r w:rsidR="00851E5A" w:rsidRPr="006710E4">
        <w:t>dostarlimab</w:t>
      </w:r>
      <w:proofErr w:type="spellEnd"/>
      <w:r w:rsidRPr="006710E4">
        <w:t xml:space="preserve">; </w:t>
      </w:r>
      <w:r w:rsidR="00C1016F" w:rsidRPr="006710E4">
        <w:t>and</w:t>
      </w:r>
    </w:p>
    <w:p w14:paraId="52C10DAE" w14:textId="5047660C" w:rsidR="00106072" w:rsidRPr="006710E4" w:rsidRDefault="00106072" w:rsidP="00E24AE9">
      <w:pPr>
        <w:pStyle w:val="ListParagraph"/>
        <w:widowControl/>
        <w:numPr>
          <w:ilvl w:val="0"/>
          <w:numId w:val="7"/>
        </w:numPr>
        <w:ind w:left="993" w:hanging="284"/>
      </w:pPr>
      <w:r w:rsidRPr="006710E4">
        <w:t xml:space="preserve">Only a </w:t>
      </w:r>
      <w:r w:rsidR="00C81E5A" w:rsidRPr="006710E4">
        <w:t>small</w:t>
      </w:r>
      <w:r w:rsidRPr="006710E4">
        <w:t xml:space="preserve"> benefit </w:t>
      </w:r>
      <w:r w:rsidR="00CE24F4" w:rsidRPr="006710E4">
        <w:t xml:space="preserve">in </w:t>
      </w:r>
      <w:r w:rsidRPr="006710E4">
        <w:t xml:space="preserve">PFS was observed in the indirect naïve comparison, which did not meet the nominated MCID of a </w:t>
      </w:r>
      <w:proofErr w:type="gramStart"/>
      <w:r w:rsidRPr="006710E4">
        <w:t>2.5 month</w:t>
      </w:r>
      <w:proofErr w:type="gramEnd"/>
      <w:r w:rsidRPr="006710E4">
        <w:t xml:space="preserve"> absolute increas</w:t>
      </w:r>
      <w:r w:rsidR="000B6F70" w:rsidRPr="006710E4">
        <w:t>e</w:t>
      </w:r>
      <w:r w:rsidRPr="006710E4">
        <w:t>.</w:t>
      </w:r>
    </w:p>
    <w:p w14:paraId="62364B04" w14:textId="33DE36DD" w:rsidR="003971BF" w:rsidRPr="00520B23" w:rsidRDefault="003971BF" w:rsidP="00E24AE9">
      <w:pPr>
        <w:pStyle w:val="ListParagraph"/>
        <w:widowControl/>
        <w:numPr>
          <w:ilvl w:val="1"/>
          <w:numId w:val="2"/>
        </w:numPr>
        <w:rPr>
          <w:iCs/>
        </w:rPr>
      </w:pPr>
      <w:r w:rsidRPr="00520B23">
        <w:rPr>
          <w:iCs/>
        </w:rPr>
        <w:t xml:space="preserve">The ESC further noted that no randomised studies were in progress that would provide greater uncertainty of the magnitude of the benefit of </w:t>
      </w:r>
      <w:proofErr w:type="spellStart"/>
      <w:r w:rsidRPr="00520B23">
        <w:rPr>
          <w:iCs/>
        </w:rPr>
        <w:t>dostarlimab</w:t>
      </w:r>
      <w:proofErr w:type="spellEnd"/>
      <w:r w:rsidRPr="00520B23">
        <w:rPr>
          <w:iCs/>
        </w:rPr>
        <w:t xml:space="preserve"> in the requested patient population. </w:t>
      </w:r>
    </w:p>
    <w:p w14:paraId="05F2B50D" w14:textId="7CAD8EA7" w:rsidR="00333D04" w:rsidRDefault="00333D04" w:rsidP="008C42D4">
      <w:pPr>
        <w:pStyle w:val="ListParagraph"/>
        <w:widowControl/>
        <w:numPr>
          <w:ilvl w:val="1"/>
          <w:numId w:val="2"/>
        </w:numPr>
        <w:rPr>
          <w:iCs/>
        </w:rPr>
      </w:pPr>
      <w:proofErr w:type="gramStart"/>
      <w:r w:rsidRPr="006710E4">
        <w:t>With regard to</w:t>
      </w:r>
      <w:proofErr w:type="gramEnd"/>
      <w:r w:rsidRPr="006710E4">
        <w:t xml:space="preserve"> safety, the submission described </w:t>
      </w:r>
      <w:proofErr w:type="spellStart"/>
      <w:r w:rsidRPr="006710E4">
        <w:t>dostarlimab</w:t>
      </w:r>
      <w:proofErr w:type="spellEnd"/>
      <w:r w:rsidRPr="006710E4">
        <w:t xml:space="preserve"> as non-inferior compared to </w:t>
      </w:r>
      <w:proofErr w:type="spellStart"/>
      <w:r w:rsidRPr="006710E4">
        <w:t>SoC.</w:t>
      </w:r>
      <w:proofErr w:type="spellEnd"/>
      <w:r w:rsidRPr="006710E4">
        <w:t xml:space="preserve"> </w:t>
      </w:r>
      <w:r w:rsidR="00C710FE" w:rsidRPr="00520B23">
        <w:rPr>
          <w:iCs/>
        </w:rPr>
        <w:t xml:space="preserve">The ESC considered this claim was uncertain due to the inconsistent reporting of disaggregated safety outcomes across the included studies. A relatively low number of patients have been exposed to the current </w:t>
      </w:r>
      <w:proofErr w:type="spellStart"/>
      <w:r w:rsidR="00C710FE" w:rsidRPr="00520B23">
        <w:rPr>
          <w:iCs/>
        </w:rPr>
        <w:t>dostarlimab</w:t>
      </w:r>
      <w:proofErr w:type="spellEnd"/>
      <w:r w:rsidR="00C710FE" w:rsidRPr="00520B23">
        <w:rPr>
          <w:iCs/>
        </w:rPr>
        <w:t xml:space="preserve"> dose and with limited follow-up. </w:t>
      </w:r>
      <w:r w:rsidR="008C42D4" w:rsidRPr="00520B23">
        <w:rPr>
          <w:iCs/>
        </w:rPr>
        <w:t>Longer follow-up will be required to provide more certainty regarding the relative safety.</w:t>
      </w:r>
      <w:r w:rsidR="00C710FE" w:rsidRPr="00520B23">
        <w:rPr>
          <w:iCs/>
        </w:rPr>
        <w:t xml:space="preserve"> </w:t>
      </w:r>
    </w:p>
    <w:p w14:paraId="29468485" w14:textId="041F3B66" w:rsidR="00863CF8" w:rsidRPr="00863CF8" w:rsidRDefault="00863CF8" w:rsidP="00C4440A">
      <w:pPr>
        <w:widowControl/>
        <w:numPr>
          <w:ilvl w:val="1"/>
          <w:numId w:val="2"/>
        </w:numPr>
        <w:spacing w:after="120"/>
        <w:rPr>
          <w:iCs/>
        </w:rPr>
      </w:pPr>
      <w:bookmarkStart w:id="36" w:name="_Hlk76376200"/>
      <w:r w:rsidRPr="00863CF8">
        <w:rPr>
          <w:rFonts w:asciiTheme="minorHAnsi" w:hAnsiTheme="minorHAnsi"/>
          <w:szCs w:val="20"/>
        </w:rPr>
        <w:t xml:space="preserve">The PBAC noted the limitations of the safety data available for </w:t>
      </w:r>
      <w:proofErr w:type="spellStart"/>
      <w:r w:rsidRPr="00863CF8">
        <w:rPr>
          <w:rFonts w:asciiTheme="minorHAnsi" w:hAnsiTheme="minorHAnsi"/>
          <w:szCs w:val="20"/>
        </w:rPr>
        <w:t>dostarlimab</w:t>
      </w:r>
      <w:proofErr w:type="spellEnd"/>
      <w:r w:rsidRPr="00863CF8">
        <w:rPr>
          <w:rFonts w:asciiTheme="minorHAnsi" w:hAnsiTheme="minorHAnsi"/>
          <w:szCs w:val="20"/>
        </w:rPr>
        <w:t xml:space="preserve"> and considered that the claim of non-inferior comparative safety may be reasonable</w:t>
      </w:r>
      <w:bookmarkEnd w:id="36"/>
      <w:r>
        <w:rPr>
          <w:rFonts w:asciiTheme="minorHAnsi" w:hAnsiTheme="minorHAnsi"/>
          <w:szCs w:val="20"/>
        </w:rPr>
        <w:t xml:space="preserve">, </w:t>
      </w:r>
      <w:r w:rsidR="001D1FCF">
        <w:rPr>
          <w:rFonts w:asciiTheme="minorHAnsi" w:hAnsiTheme="minorHAnsi"/>
          <w:szCs w:val="20"/>
        </w:rPr>
        <w:t>and</w:t>
      </w:r>
      <w:r>
        <w:rPr>
          <w:rFonts w:asciiTheme="minorHAnsi" w:hAnsiTheme="minorHAnsi"/>
          <w:szCs w:val="20"/>
        </w:rPr>
        <w:t xml:space="preserve"> safety </w:t>
      </w:r>
      <w:r w:rsidR="001D1FCF">
        <w:rPr>
          <w:rFonts w:asciiTheme="minorHAnsi" w:hAnsiTheme="minorHAnsi"/>
          <w:szCs w:val="20"/>
        </w:rPr>
        <w:t>outcomes are</w:t>
      </w:r>
      <w:r>
        <w:rPr>
          <w:rFonts w:asciiTheme="minorHAnsi" w:hAnsiTheme="minorHAnsi"/>
          <w:szCs w:val="20"/>
        </w:rPr>
        <w:t xml:space="preserve"> likely to be different for </w:t>
      </w:r>
      <w:proofErr w:type="spellStart"/>
      <w:r>
        <w:rPr>
          <w:rFonts w:asciiTheme="minorHAnsi" w:hAnsiTheme="minorHAnsi"/>
          <w:szCs w:val="20"/>
        </w:rPr>
        <w:t>dostarlimab</w:t>
      </w:r>
      <w:proofErr w:type="spellEnd"/>
      <w:r>
        <w:rPr>
          <w:rFonts w:asciiTheme="minorHAnsi" w:hAnsiTheme="minorHAnsi"/>
          <w:szCs w:val="20"/>
        </w:rPr>
        <w:t xml:space="preserve"> compared with chemotherapy.</w:t>
      </w:r>
    </w:p>
    <w:p w14:paraId="05CEDD8B" w14:textId="1671F053" w:rsidR="00666743" w:rsidRPr="00863CF8" w:rsidRDefault="00666743" w:rsidP="00666743">
      <w:pPr>
        <w:widowControl/>
        <w:rPr>
          <w:iCs/>
          <w:u w:val="single"/>
        </w:rPr>
      </w:pPr>
      <w:r w:rsidRPr="00863CF8">
        <w:rPr>
          <w:iCs/>
          <w:u w:val="single"/>
        </w:rPr>
        <w:t xml:space="preserve">Clinical claim versus pembrolizumab </w:t>
      </w:r>
    </w:p>
    <w:p w14:paraId="20323126" w14:textId="4DE24B02" w:rsidR="00666743" w:rsidRPr="00863CF8" w:rsidRDefault="00666743" w:rsidP="00666743">
      <w:pPr>
        <w:pStyle w:val="ListParagraph"/>
        <w:widowControl/>
        <w:numPr>
          <w:ilvl w:val="1"/>
          <w:numId w:val="2"/>
        </w:numPr>
        <w:rPr>
          <w:iCs/>
        </w:rPr>
      </w:pPr>
      <w:r w:rsidRPr="00863CF8">
        <w:rPr>
          <w:iCs/>
        </w:rPr>
        <w:t>The PSCR</w:t>
      </w:r>
      <w:r w:rsidR="00764405" w:rsidRPr="00863CF8">
        <w:rPr>
          <w:iCs/>
        </w:rPr>
        <w:t xml:space="preserve"> stated</w:t>
      </w:r>
      <w:r w:rsidRPr="00863CF8">
        <w:rPr>
          <w:iCs/>
        </w:rPr>
        <w:t xml:space="preserve"> that </w:t>
      </w:r>
      <w:r w:rsidR="00764405" w:rsidRPr="00863CF8">
        <w:rPr>
          <w:iCs/>
        </w:rPr>
        <w:t>“</w:t>
      </w:r>
      <w:r w:rsidRPr="00863CF8">
        <w:rPr>
          <w:iCs/>
        </w:rPr>
        <w:t>similar OS and PFS trends were observed across all interventions, suggestive of a comparable efficacy</w:t>
      </w:r>
      <w:r w:rsidR="00764405" w:rsidRPr="00863CF8">
        <w:rPr>
          <w:iCs/>
        </w:rPr>
        <w:t xml:space="preserve">” between </w:t>
      </w:r>
      <w:proofErr w:type="spellStart"/>
      <w:r w:rsidR="00764405" w:rsidRPr="00863CF8">
        <w:rPr>
          <w:iCs/>
        </w:rPr>
        <w:t>dostarlimab</w:t>
      </w:r>
      <w:proofErr w:type="spellEnd"/>
      <w:r w:rsidR="00764405" w:rsidRPr="00863CF8">
        <w:rPr>
          <w:iCs/>
        </w:rPr>
        <w:t xml:space="preserve">, pembrolizumab monotherapy and pembrolizumab in combination with </w:t>
      </w:r>
      <w:proofErr w:type="spellStart"/>
      <w:r w:rsidR="00764405" w:rsidRPr="00863CF8">
        <w:rPr>
          <w:iCs/>
        </w:rPr>
        <w:t>lenvatinib</w:t>
      </w:r>
      <w:proofErr w:type="spellEnd"/>
      <w:r w:rsidRPr="00863CF8">
        <w:rPr>
          <w:iCs/>
        </w:rPr>
        <w:t>.</w:t>
      </w:r>
      <w:r w:rsidR="00863CF8" w:rsidRPr="00863CF8">
        <w:rPr>
          <w:iCs/>
        </w:rPr>
        <w:t xml:space="preserve"> The PBAC </w:t>
      </w:r>
      <w:r w:rsidR="00406A74">
        <w:rPr>
          <w:iCs/>
        </w:rPr>
        <w:t xml:space="preserve">noted that the comparison was </w:t>
      </w:r>
      <w:r w:rsidR="002112C3">
        <w:rPr>
          <w:iCs/>
        </w:rPr>
        <w:t>naïve and based on limited data and</w:t>
      </w:r>
      <w:r w:rsidR="00674A45">
        <w:rPr>
          <w:iCs/>
        </w:rPr>
        <w:t xml:space="preserve"> considered that</w:t>
      </w:r>
      <w:r w:rsidR="002112C3">
        <w:rPr>
          <w:iCs/>
        </w:rPr>
        <w:t xml:space="preserve"> a</w:t>
      </w:r>
      <w:r w:rsidR="00863CF8" w:rsidRPr="00863CF8">
        <w:rPr>
          <w:iCs/>
        </w:rPr>
        <w:t xml:space="preserve"> comparison </w:t>
      </w:r>
      <w:r w:rsidR="002112C3">
        <w:rPr>
          <w:iCs/>
        </w:rPr>
        <w:t xml:space="preserve">with pembrolizumab to support the claim of non-inferiority </w:t>
      </w:r>
      <w:r w:rsidR="00863CF8" w:rsidRPr="00863CF8">
        <w:rPr>
          <w:iCs/>
        </w:rPr>
        <w:t>would require full independent evaluation</w:t>
      </w:r>
      <w:r w:rsidR="002112C3">
        <w:rPr>
          <w:iCs/>
        </w:rPr>
        <w:t>.</w:t>
      </w:r>
    </w:p>
    <w:p w14:paraId="74A1172E" w14:textId="2E1DFFC4" w:rsidR="00B60939" w:rsidRPr="00FF79DB" w:rsidRDefault="00B60939" w:rsidP="00C9624D">
      <w:pPr>
        <w:pStyle w:val="Heading2"/>
      </w:pPr>
      <w:bookmarkStart w:id="37" w:name="_Toc93481984"/>
      <w:r w:rsidRPr="00FF79DB">
        <w:lastRenderedPageBreak/>
        <w:t>Economic analysis</w:t>
      </w:r>
      <w:bookmarkEnd w:id="37"/>
      <w:r w:rsidR="00491B3A" w:rsidRPr="00FF79DB">
        <w:t xml:space="preserve"> </w:t>
      </w:r>
    </w:p>
    <w:p w14:paraId="63034741" w14:textId="77777777" w:rsidR="00B60939" w:rsidRPr="00FF79DB" w:rsidRDefault="00B60939" w:rsidP="00B60939">
      <w:pPr>
        <w:ind w:left="720" w:hanging="720"/>
      </w:pPr>
    </w:p>
    <w:p w14:paraId="30B07C2B" w14:textId="6DA5DB0E" w:rsidR="00780EA4" w:rsidRDefault="000A325E" w:rsidP="007B73A0">
      <w:pPr>
        <w:pStyle w:val="ListParagraph"/>
        <w:widowControl/>
        <w:numPr>
          <w:ilvl w:val="1"/>
          <w:numId w:val="2"/>
        </w:numPr>
      </w:pPr>
      <w:r w:rsidRPr="006710E4">
        <w:t xml:space="preserve">The submission presented a stepped economic evaluation of </w:t>
      </w:r>
      <w:proofErr w:type="spellStart"/>
      <w:r w:rsidRPr="006710E4">
        <w:t>dostarlimab</w:t>
      </w:r>
      <w:proofErr w:type="spellEnd"/>
      <w:r w:rsidRPr="006710E4">
        <w:t xml:space="preserve"> versus SoC in A/R </w:t>
      </w:r>
      <w:proofErr w:type="spellStart"/>
      <w:r w:rsidRPr="006710E4">
        <w:t>dMMR</w:t>
      </w:r>
      <w:proofErr w:type="spellEnd"/>
      <w:r w:rsidRPr="006710E4">
        <w:t xml:space="preserve"> EC following PBC. </w:t>
      </w:r>
      <w:r w:rsidR="00780EA4" w:rsidRPr="006710E4">
        <w:t>The type of economic evaluation presented was a cost-utility analysis.</w:t>
      </w:r>
      <w:r w:rsidR="00780EA4">
        <w:t xml:space="preserve"> </w:t>
      </w:r>
      <w:r w:rsidRPr="006710E4">
        <w:t xml:space="preserve">The </w:t>
      </w:r>
      <w:proofErr w:type="spellStart"/>
      <w:r w:rsidRPr="006710E4">
        <w:t>dostarlimab</w:t>
      </w:r>
      <w:proofErr w:type="spellEnd"/>
      <w:r w:rsidRPr="006710E4">
        <w:t xml:space="preserve"> arm of the model was informed by the GARNET Cohort A1 study, whilst the SoC arm of the model was informed by the doxorubicin arm of </w:t>
      </w:r>
      <w:proofErr w:type="spellStart"/>
      <w:r w:rsidRPr="006710E4">
        <w:t>ZoptEC</w:t>
      </w:r>
      <w:proofErr w:type="spellEnd"/>
      <w:r w:rsidRPr="006710E4">
        <w:t xml:space="preserve"> in the </w:t>
      </w:r>
      <w:r w:rsidR="006752DD" w:rsidRPr="006710E4">
        <w:t xml:space="preserve">base case. </w:t>
      </w:r>
    </w:p>
    <w:p w14:paraId="4E2A6A3E" w14:textId="143EC6C7" w:rsidR="00CE253A" w:rsidRDefault="006752DD" w:rsidP="007B73A0">
      <w:pPr>
        <w:pStyle w:val="ListParagraph"/>
        <w:widowControl/>
        <w:numPr>
          <w:ilvl w:val="1"/>
          <w:numId w:val="2"/>
        </w:numPr>
      </w:pPr>
      <w:r w:rsidRPr="006710E4">
        <w:t>The submission</w:t>
      </w:r>
      <w:r w:rsidR="000A325E" w:rsidRPr="006710E4">
        <w:t xml:space="preserve"> claimed that the </w:t>
      </w:r>
      <w:proofErr w:type="spellStart"/>
      <w:r w:rsidR="000A325E" w:rsidRPr="006710E4">
        <w:t>ZoptEC</w:t>
      </w:r>
      <w:proofErr w:type="spellEnd"/>
      <w:r w:rsidR="000A325E" w:rsidRPr="006710E4">
        <w:t xml:space="preserve"> trial was selected for use in the base case because the trial had both longer follow-up and IPD available for the estimation of survival. </w:t>
      </w:r>
      <w:r w:rsidR="00780EA4" w:rsidRPr="00780EA4">
        <w:t>The pre-PBAC response</w:t>
      </w:r>
      <w:r w:rsidR="00780EA4">
        <w:t xml:space="preserve"> further</w:t>
      </w:r>
      <w:r w:rsidR="00780EA4" w:rsidRPr="00780EA4">
        <w:t xml:space="preserve"> argued that the use of </w:t>
      </w:r>
      <w:proofErr w:type="spellStart"/>
      <w:r w:rsidR="00780EA4" w:rsidRPr="00780EA4">
        <w:t>ZoptEC</w:t>
      </w:r>
      <w:proofErr w:type="spellEnd"/>
      <w:r w:rsidR="00780EA4" w:rsidRPr="00780EA4">
        <w:t xml:space="preserve"> to inform the SoC arm of the model was conservative as it included </w:t>
      </w:r>
      <w:proofErr w:type="spellStart"/>
      <w:r w:rsidR="00780EA4" w:rsidRPr="00780EA4">
        <w:t>pMMR</w:t>
      </w:r>
      <w:proofErr w:type="spellEnd"/>
      <w:r w:rsidR="00780EA4" w:rsidRPr="00780EA4">
        <w:t xml:space="preserve"> patients. </w:t>
      </w:r>
      <w:r w:rsidR="000A325E" w:rsidRPr="006710E4">
        <w:t>The remaining S</w:t>
      </w:r>
      <w:r w:rsidR="00CE253A" w:rsidRPr="006710E4">
        <w:t>oC trials and study presented in the submission’s</w:t>
      </w:r>
      <w:r w:rsidR="000A325E" w:rsidRPr="006710E4">
        <w:t xml:space="preserve"> </w:t>
      </w:r>
      <w:r w:rsidRPr="006710E4">
        <w:t xml:space="preserve">clinical </w:t>
      </w:r>
      <w:r w:rsidR="004903F1" w:rsidRPr="006710E4">
        <w:t>evaluation</w:t>
      </w:r>
      <w:r w:rsidRPr="006710E4">
        <w:t xml:space="preserve"> </w:t>
      </w:r>
      <w:r w:rsidR="000A325E" w:rsidRPr="006710E4">
        <w:t>were used to inform the SoC arm in sensitivity analyses presented by the submission (</w:t>
      </w:r>
      <w:r w:rsidR="001D1FCF">
        <w:t>apart</w:t>
      </w:r>
      <w:r w:rsidR="001D1FCF" w:rsidRPr="006710E4">
        <w:t xml:space="preserve"> </w:t>
      </w:r>
      <w:r w:rsidR="000A325E" w:rsidRPr="006710E4">
        <w:t>f</w:t>
      </w:r>
      <w:r w:rsidR="001D1FCF">
        <w:t>rom</w:t>
      </w:r>
      <w:r w:rsidR="000A325E" w:rsidRPr="006710E4">
        <w:t xml:space="preserve"> </w:t>
      </w:r>
      <w:proofErr w:type="spellStart"/>
      <w:r w:rsidR="000A325E" w:rsidRPr="006710E4">
        <w:t>Scambia</w:t>
      </w:r>
      <w:proofErr w:type="spellEnd"/>
      <w:r w:rsidR="000A325E" w:rsidRPr="006710E4">
        <w:t xml:space="preserve"> 2020</w:t>
      </w:r>
      <w:r w:rsidR="001D1FCF">
        <w:t>,</w:t>
      </w:r>
      <w:r w:rsidR="000A325E" w:rsidRPr="006710E4">
        <w:t xml:space="preserve"> which did not report any </w:t>
      </w:r>
      <w:r w:rsidR="00052FA8" w:rsidRPr="006710E4">
        <w:t xml:space="preserve">Kaplan-Meier </w:t>
      </w:r>
      <w:r w:rsidR="000A325E" w:rsidRPr="006710E4">
        <w:t xml:space="preserve">data and had insufficient data to populate the SoC arm of the model). </w:t>
      </w:r>
    </w:p>
    <w:p w14:paraId="3949B993" w14:textId="25364C63" w:rsidR="00CE253A" w:rsidRPr="006710E4" w:rsidRDefault="00122DDD" w:rsidP="00E24AE9">
      <w:pPr>
        <w:pStyle w:val="ListParagraph"/>
        <w:widowControl/>
        <w:numPr>
          <w:ilvl w:val="1"/>
          <w:numId w:val="2"/>
        </w:numPr>
      </w:pPr>
      <w:r w:rsidRPr="006710E4">
        <w:fldChar w:fldCharType="begin"/>
      </w:r>
      <w:r w:rsidRPr="006710E4">
        <w:instrText xml:space="preserve"> REF _Ref92030522 \h  \* MERGEFORMAT </w:instrText>
      </w:r>
      <w:r w:rsidRPr="006710E4">
        <w:fldChar w:fldCharType="separate"/>
      </w:r>
      <w:r w:rsidR="004975AD" w:rsidRPr="004975AD">
        <w:t>Table 8</w:t>
      </w:r>
      <w:r w:rsidRPr="006710E4">
        <w:fldChar w:fldCharType="end"/>
      </w:r>
      <w:r w:rsidRPr="006710E4">
        <w:t xml:space="preserve"> </w:t>
      </w:r>
      <w:r w:rsidR="00CE253A" w:rsidRPr="006710E4">
        <w:t>presents a summary of the model structure used in the economic evaluatio</w:t>
      </w:r>
      <w:r w:rsidR="004903F1" w:rsidRPr="006710E4">
        <w:t>n presented in the submission.</w:t>
      </w:r>
    </w:p>
    <w:p w14:paraId="15A9AFA4" w14:textId="5A59AF3D" w:rsidR="00275C5A" w:rsidRPr="006710E4" w:rsidRDefault="00275C5A" w:rsidP="00EE5AE8">
      <w:pPr>
        <w:keepNext/>
        <w:keepLines/>
        <w:widowControl/>
        <w:rPr>
          <w:rStyle w:val="CommentReference"/>
        </w:rPr>
      </w:pPr>
      <w:bookmarkStart w:id="38" w:name="_Ref92030522"/>
      <w:r w:rsidRPr="006710E4">
        <w:rPr>
          <w:rStyle w:val="CommentReference"/>
        </w:rPr>
        <w:lastRenderedPageBreak/>
        <w:t xml:space="preserve">Table </w:t>
      </w:r>
      <w:r w:rsidR="00CE253A" w:rsidRPr="006710E4">
        <w:rPr>
          <w:rStyle w:val="CommentReference"/>
        </w:rPr>
        <w:fldChar w:fldCharType="begin"/>
      </w:r>
      <w:r w:rsidR="00CE253A" w:rsidRPr="006710E4">
        <w:rPr>
          <w:rStyle w:val="CommentReference"/>
        </w:rPr>
        <w:instrText xml:space="preserve"> SEQ Table \* ARABIC </w:instrText>
      </w:r>
      <w:r w:rsidR="00CE253A" w:rsidRPr="006710E4">
        <w:rPr>
          <w:rStyle w:val="CommentReference"/>
        </w:rPr>
        <w:fldChar w:fldCharType="separate"/>
      </w:r>
      <w:r w:rsidR="004975AD">
        <w:rPr>
          <w:rStyle w:val="CommentReference"/>
          <w:noProof/>
        </w:rPr>
        <w:t>8</w:t>
      </w:r>
      <w:r w:rsidR="00CE253A" w:rsidRPr="006710E4">
        <w:rPr>
          <w:rStyle w:val="CommentReference"/>
        </w:rPr>
        <w:fldChar w:fldCharType="end"/>
      </w:r>
      <w:bookmarkEnd w:id="38"/>
      <w:r w:rsidRPr="006710E4">
        <w:rPr>
          <w:rStyle w:val="CommentReference"/>
        </w:rPr>
        <w:t>: Summary of model structure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555"/>
        <w:gridCol w:w="7462"/>
      </w:tblGrid>
      <w:tr w:rsidR="00275C5A" w:rsidRPr="006710E4" w14:paraId="48BB958D" w14:textId="77777777" w:rsidTr="00C6665F">
        <w:trPr>
          <w:tblHeader/>
        </w:trPr>
        <w:tc>
          <w:tcPr>
            <w:tcW w:w="862" w:type="pct"/>
            <w:shd w:val="clear" w:color="auto" w:fill="auto"/>
            <w:vAlign w:val="center"/>
          </w:tcPr>
          <w:p w14:paraId="29C3D629" w14:textId="77777777" w:rsidR="00275C5A" w:rsidRPr="006710E4" w:rsidRDefault="00275C5A" w:rsidP="00EE5AE8">
            <w:pPr>
              <w:pStyle w:val="Tabletext"/>
              <w:keepNext/>
              <w:keepLines/>
              <w:rPr>
                <w:b/>
              </w:rPr>
            </w:pPr>
            <w:r w:rsidRPr="006710E4">
              <w:rPr>
                <w:b/>
              </w:rPr>
              <w:t>Component</w:t>
            </w:r>
          </w:p>
        </w:tc>
        <w:tc>
          <w:tcPr>
            <w:tcW w:w="4138" w:type="pct"/>
            <w:shd w:val="clear" w:color="auto" w:fill="auto"/>
            <w:vAlign w:val="center"/>
          </w:tcPr>
          <w:p w14:paraId="58FBA37B" w14:textId="77777777" w:rsidR="00275C5A" w:rsidRPr="006710E4" w:rsidRDefault="00275C5A" w:rsidP="00EE5AE8">
            <w:pPr>
              <w:pStyle w:val="Tabletext"/>
              <w:keepNext/>
              <w:keepLines/>
              <w:jc w:val="center"/>
              <w:rPr>
                <w:b/>
              </w:rPr>
            </w:pPr>
            <w:r w:rsidRPr="006710E4">
              <w:rPr>
                <w:b/>
              </w:rPr>
              <w:t>Summary</w:t>
            </w:r>
          </w:p>
        </w:tc>
      </w:tr>
      <w:tr w:rsidR="00C03842" w:rsidRPr="006710E4" w14:paraId="687A4F0C" w14:textId="77777777" w:rsidTr="00C6665F">
        <w:tc>
          <w:tcPr>
            <w:tcW w:w="862" w:type="pct"/>
            <w:shd w:val="clear" w:color="auto" w:fill="auto"/>
            <w:vAlign w:val="center"/>
          </w:tcPr>
          <w:p w14:paraId="0A416AFC" w14:textId="4266948A" w:rsidR="00C03842" w:rsidRPr="006710E4" w:rsidRDefault="00C03842" w:rsidP="00EE5AE8">
            <w:pPr>
              <w:pStyle w:val="Tabletext"/>
              <w:keepNext/>
              <w:keepLines/>
            </w:pPr>
            <w:r w:rsidRPr="006710E4">
              <w:t>Interventions compared</w:t>
            </w:r>
          </w:p>
        </w:tc>
        <w:tc>
          <w:tcPr>
            <w:tcW w:w="4138" w:type="pct"/>
            <w:shd w:val="clear" w:color="auto" w:fill="auto"/>
            <w:vAlign w:val="center"/>
          </w:tcPr>
          <w:p w14:paraId="0AB1F7C1" w14:textId="57D9BE62" w:rsidR="00C03842" w:rsidRPr="006710E4" w:rsidRDefault="00401DB2" w:rsidP="00EE5AE8">
            <w:pPr>
              <w:pStyle w:val="Tabletext"/>
              <w:keepNext/>
              <w:keepLines/>
            </w:pPr>
            <w:proofErr w:type="spellStart"/>
            <w:r w:rsidRPr="006710E4">
              <w:t>Dostarlimab</w:t>
            </w:r>
            <w:proofErr w:type="spellEnd"/>
            <w:r w:rsidRPr="006710E4">
              <w:t xml:space="preserve"> compared with doxorubicin. </w:t>
            </w:r>
            <w:r w:rsidR="000B2822" w:rsidRPr="006710E4">
              <w:t xml:space="preserve">This was inconsistent with the basket of comparators used </w:t>
            </w:r>
            <w:r w:rsidR="0058342F" w:rsidRPr="006710E4">
              <w:t xml:space="preserve">in </w:t>
            </w:r>
            <w:r w:rsidR="000B2822" w:rsidRPr="006710E4">
              <w:t>the submission’s financial estimates based on the UK RWE study.</w:t>
            </w:r>
          </w:p>
        </w:tc>
      </w:tr>
      <w:tr w:rsidR="002C0DEE" w:rsidRPr="006710E4" w14:paraId="5E72777B" w14:textId="77777777" w:rsidTr="00C6665F">
        <w:tc>
          <w:tcPr>
            <w:tcW w:w="862" w:type="pct"/>
            <w:shd w:val="clear" w:color="auto" w:fill="auto"/>
            <w:vAlign w:val="center"/>
          </w:tcPr>
          <w:p w14:paraId="4AB5926A" w14:textId="5142D086" w:rsidR="002C0DEE" w:rsidRPr="006710E4" w:rsidRDefault="002C0DEE" w:rsidP="00EE5AE8">
            <w:pPr>
              <w:pStyle w:val="Tabletext"/>
              <w:keepNext/>
              <w:keepLines/>
            </w:pPr>
            <w:r w:rsidRPr="006710E4">
              <w:t>Type of analysis</w:t>
            </w:r>
          </w:p>
        </w:tc>
        <w:tc>
          <w:tcPr>
            <w:tcW w:w="4138" w:type="pct"/>
            <w:shd w:val="clear" w:color="auto" w:fill="auto"/>
            <w:vAlign w:val="center"/>
          </w:tcPr>
          <w:p w14:paraId="32BED808" w14:textId="41A4E2EE" w:rsidR="002C0DEE" w:rsidRPr="006710E4" w:rsidRDefault="002C0DEE" w:rsidP="00EE5AE8">
            <w:pPr>
              <w:pStyle w:val="Tabletext"/>
              <w:keepNext/>
              <w:keepLines/>
            </w:pPr>
            <w:r w:rsidRPr="006710E4">
              <w:t>Cost-utility analysis</w:t>
            </w:r>
          </w:p>
        </w:tc>
      </w:tr>
      <w:tr w:rsidR="00275C5A" w:rsidRPr="006710E4" w14:paraId="6A8D84D4" w14:textId="77777777" w:rsidTr="00C6665F">
        <w:tc>
          <w:tcPr>
            <w:tcW w:w="862" w:type="pct"/>
            <w:shd w:val="clear" w:color="auto" w:fill="auto"/>
            <w:vAlign w:val="center"/>
          </w:tcPr>
          <w:p w14:paraId="5F652354" w14:textId="77777777" w:rsidR="00275C5A" w:rsidRPr="006710E4" w:rsidRDefault="00275C5A" w:rsidP="00EE5AE8">
            <w:pPr>
              <w:pStyle w:val="Tabletext"/>
              <w:keepNext/>
              <w:keepLines/>
            </w:pPr>
            <w:r w:rsidRPr="006710E4">
              <w:t>Time horizon</w:t>
            </w:r>
          </w:p>
        </w:tc>
        <w:tc>
          <w:tcPr>
            <w:tcW w:w="4138" w:type="pct"/>
            <w:shd w:val="clear" w:color="auto" w:fill="auto"/>
            <w:vAlign w:val="center"/>
          </w:tcPr>
          <w:p w14:paraId="460936F1" w14:textId="36F45956" w:rsidR="00275C5A" w:rsidRPr="00E73E59" w:rsidRDefault="009114CF" w:rsidP="006C7178">
            <w:pPr>
              <w:pStyle w:val="Tabletext"/>
              <w:keepNext/>
              <w:keepLines/>
              <w:rPr>
                <w:i/>
              </w:rPr>
            </w:pPr>
            <w:r w:rsidRPr="006710E4">
              <w:t>10 years in the model base case</w:t>
            </w:r>
            <w:r w:rsidR="00B85A34" w:rsidRPr="006C7178">
              <w:t xml:space="preserve">, shortened to 7.5 years in the PSCR. This compares with a </w:t>
            </w:r>
            <w:r w:rsidRPr="006C7178">
              <w:t xml:space="preserve">median follow-up of 12.5 months in the GARNET Cohort A1 study </w:t>
            </w:r>
            <w:r w:rsidR="00B85A34" w:rsidRPr="006C7178">
              <w:rPr>
                <w:iCs/>
              </w:rPr>
              <w:t>(29.4 months in IA-3 provided in the PSCR)</w:t>
            </w:r>
            <w:r w:rsidR="00B85A34" w:rsidRPr="006C7178">
              <w:t xml:space="preserve"> </w:t>
            </w:r>
            <w:r w:rsidRPr="006C7178">
              <w:t xml:space="preserve">and median follow-up of 26.7 months in the </w:t>
            </w:r>
            <w:proofErr w:type="spellStart"/>
            <w:r w:rsidRPr="006C7178">
              <w:t>ZoptEC</w:t>
            </w:r>
            <w:proofErr w:type="spellEnd"/>
            <w:r w:rsidRPr="006C7178">
              <w:t xml:space="preserve"> trial.</w:t>
            </w:r>
            <w:r w:rsidR="000B2822" w:rsidRPr="006C7178">
              <w:t xml:space="preserve"> Given the low five-year survival rate for Stage IV EC of 15% (67% of patients in GARNET Cohort A1 had Stage IV disease)</w:t>
            </w:r>
            <w:r w:rsidR="006B2A3C" w:rsidRPr="006C7178">
              <w:t>,</w:t>
            </w:r>
            <w:r w:rsidR="00991709" w:rsidRPr="006C7178">
              <w:t xml:space="preserve"> the fact that these patients have already failed PBC treatment,</w:t>
            </w:r>
            <w:r w:rsidR="000B2822" w:rsidRPr="006C7178">
              <w:t xml:space="preserve"> and </w:t>
            </w:r>
            <w:r w:rsidR="00991709" w:rsidRPr="006C7178">
              <w:t xml:space="preserve">the </w:t>
            </w:r>
            <w:r w:rsidR="00B85A34" w:rsidRPr="006C7178">
              <w:t>immature OS data from</w:t>
            </w:r>
            <w:r w:rsidR="000B2822" w:rsidRPr="006C7178">
              <w:t xml:space="preserve"> GARNET, a time horizon of </w:t>
            </w:r>
            <w:r w:rsidR="00B85A34" w:rsidRPr="006C7178">
              <w:t>7.5</w:t>
            </w:r>
            <w:r w:rsidR="000B2822" w:rsidRPr="006C7178">
              <w:t xml:space="preserve"> years may be optimistic.</w:t>
            </w:r>
            <w:r w:rsidR="00E73E59" w:rsidRPr="006C7178">
              <w:t xml:space="preserve"> </w:t>
            </w:r>
            <w:r w:rsidR="006C7178" w:rsidRPr="006C7178">
              <w:t>The time horizon was shortened to 6.25 years in the pre-PBAC response base case</w:t>
            </w:r>
            <w:r w:rsidR="006C7178">
              <w:t>.</w:t>
            </w:r>
          </w:p>
        </w:tc>
      </w:tr>
      <w:tr w:rsidR="00275C5A" w:rsidRPr="006710E4" w14:paraId="003209BF" w14:textId="77777777" w:rsidTr="00C6665F">
        <w:tc>
          <w:tcPr>
            <w:tcW w:w="862" w:type="pct"/>
            <w:shd w:val="clear" w:color="auto" w:fill="auto"/>
            <w:vAlign w:val="center"/>
          </w:tcPr>
          <w:p w14:paraId="522DAB95" w14:textId="77777777" w:rsidR="00275C5A" w:rsidRPr="006710E4" w:rsidRDefault="00275C5A" w:rsidP="00EE5AE8">
            <w:pPr>
              <w:pStyle w:val="Tabletext"/>
              <w:keepNext/>
              <w:keepLines/>
            </w:pPr>
            <w:r w:rsidRPr="006710E4">
              <w:t>Outcomes</w:t>
            </w:r>
          </w:p>
        </w:tc>
        <w:tc>
          <w:tcPr>
            <w:tcW w:w="4138" w:type="pct"/>
            <w:shd w:val="clear" w:color="auto" w:fill="auto"/>
            <w:vAlign w:val="center"/>
          </w:tcPr>
          <w:p w14:paraId="3D1C428E" w14:textId="5E9AF1B2" w:rsidR="00275C5A" w:rsidRPr="006710E4" w:rsidRDefault="00401DB2" w:rsidP="00EE5AE8">
            <w:pPr>
              <w:pStyle w:val="Tabletext"/>
              <w:keepNext/>
              <w:keepLines/>
            </w:pPr>
            <w:r w:rsidRPr="006710E4">
              <w:t xml:space="preserve">Life years </w:t>
            </w:r>
            <w:proofErr w:type="gramStart"/>
            <w:r w:rsidRPr="006710E4">
              <w:t>gained,</w:t>
            </w:r>
            <w:proofErr w:type="gramEnd"/>
            <w:r w:rsidRPr="006710E4">
              <w:t xml:space="preserve"> quality-adjusted life years gained</w:t>
            </w:r>
          </w:p>
        </w:tc>
      </w:tr>
      <w:tr w:rsidR="00275C5A" w:rsidRPr="006710E4" w14:paraId="29120B3F" w14:textId="77777777" w:rsidTr="00C6665F">
        <w:tc>
          <w:tcPr>
            <w:tcW w:w="862" w:type="pct"/>
            <w:shd w:val="clear" w:color="auto" w:fill="auto"/>
            <w:vAlign w:val="center"/>
          </w:tcPr>
          <w:p w14:paraId="1AAC94CB" w14:textId="77777777" w:rsidR="00275C5A" w:rsidRPr="006710E4" w:rsidRDefault="00275C5A" w:rsidP="00EE5AE8">
            <w:pPr>
              <w:pStyle w:val="Tabletext"/>
              <w:keepNext/>
              <w:keepLines/>
            </w:pPr>
            <w:r w:rsidRPr="006710E4">
              <w:t>Methods used to generate results</w:t>
            </w:r>
          </w:p>
        </w:tc>
        <w:tc>
          <w:tcPr>
            <w:tcW w:w="4138" w:type="pct"/>
            <w:shd w:val="clear" w:color="auto" w:fill="auto"/>
            <w:vAlign w:val="center"/>
          </w:tcPr>
          <w:p w14:paraId="69D4F042" w14:textId="4D45471C" w:rsidR="00275C5A" w:rsidRPr="006710E4" w:rsidRDefault="009114CF" w:rsidP="00EE5AE8">
            <w:pPr>
              <w:pStyle w:val="Tabletext"/>
              <w:keepNext/>
              <w:keepLines/>
            </w:pPr>
            <w:r w:rsidRPr="006710E4">
              <w:t>Partitioned survival model</w:t>
            </w:r>
          </w:p>
        </w:tc>
      </w:tr>
      <w:tr w:rsidR="00275C5A" w:rsidRPr="006710E4" w14:paraId="7F7ACECA" w14:textId="77777777" w:rsidTr="00C6665F">
        <w:tc>
          <w:tcPr>
            <w:tcW w:w="862" w:type="pct"/>
            <w:shd w:val="clear" w:color="auto" w:fill="auto"/>
            <w:vAlign w:val="center"/>
          </w:tcPr>
          <w:p w14:paraId="344631D3" w14:textId="77777777" w:rsidR="00275C5A" w:rsidRPr="006710E4" w:rsidRDefault="00275C5A" w:rsidP="00EE5AE8">
            <w:pPr>
              <w:pStyle w:val="Tabletext"/>
              <w:keepNext/>
              <w:keepLines/>
            </w:pPr>
            <w:r w:rsidRPr="006710E4">
              <w:t>Health states</w:t>
            </w:r>
          </w:p>
        </w:tc>
        <w:tc>
          <w:tcPr>
            <w:tcW w:w="4138" w:type="pct"/>
            <w:shd w:val="clear" w:color="auto" w:fill="auto"/>
            <w:vAlign w:val="center"/>
          </w:tcPr>
          <w:p w14:paraId="03F23F80" w14:textId="6AA51412" w:rsidR="00275C5A" w:rsidRPr="006710E4" w:rsidRDefault="009114CF" w:rsidP="00F93F77">
            <w:pPr>
              <w:pStyle w:val="Tabletext"/>
              <w:keepNext/>
              <w:keepLines/>
            </w:pPr>
            <w:r w:rsidRPr="006710E4">
              <w:t>Three health states:</w:t>
            </w:r>
            <w:r w:rsidR="00F93F77">
              <w:t xml:space="preserve"> </w:t>
            </w:r>
            <w:r w:rsidRPr="006710E4">
              <w:t>progression-free</w:t>
            </w:r>
            <w:r w:rsidR="00F93F77">
              <w:t xml:space="preserve">; </w:t>
            </w:r>
            <w:r w:rsidRPr="006710E4">
              <w:t>progressed disease</w:t>
            </w:r>
            <w:r w:rsidR="00F93F77">
              <w:t xml:space="preserve">; </w:t>
            </w:r>
            <w:r w:rsidRPr="006710E4">
              <w:t>dead</w:t>
            </w:r>
          </w:p>
        </w:tc>
      </w:tr>
      <w:tr w:rsidR="00275C5A" w:rsidRPr="006710E4" w14:paraId="7F944EEA" w14:textId="77777777" w:rsidTr="00C6665F">
        <w:tc>
          <w:tcPr>
            <w:tcW w:w="862" w:type="pct"/>
            <w:shd w:val="clear" w:color="auto" w:fill="auto"/>
            <w:vAlign w:val="center"/>
          </w:tcPr>
          <w:p w14:paraId="255C0B8D" w14:textId="77777777" w:rsidR="00275C5A" w:rsidRPr="006710E4" w:rsidRDefault="00275C5A" w:rsidP="00EE5AE8">
            <w:pPr>
              <w:pStyle w:val="Tabletext"/>
              <w:keepNext/>
              <w:keepLines/>
            </w:pPr>
            <w:r w:rsidRPr="006710E4">
              <w:t>Cycle length</w:t>
            </w:r>
          </w:p>
        </w:tc>
        <w:tc>
          <w:tcPr>
            <w:tcW w:w="4138" w:type="pct"/>
            <w:shd w:val="clear" w:color="auto" w:fill="auto"/>
            <w:vAlign w:val="center"/>
          </w:tcPr>
          <w:p w14:paraId="5733F6EA" w14:textId="6B809730" w:rsidR="00275C5A" w:rsidRPr="00E73E59" w:rsidRDefault="003455AA" w:rsidP="00E73E59">
            <w:pPr>
              <w:pStyle w:val="Tabletext"/>
              <w:keepNext/>
              <w:keepLines/>
              <w:rPr>
                <w:i/>
              </w:rPr>
            </w:pPr>
            <w:r w:rsidRPr="006710E4">
              <w:t>21 days</w:t>
            </w:r>
            <w:r w:rsidR="00240862" w:rsidRPr="006710E4">
              <w:t xml:space="preserve">. </w:t>
            </w:r>
          </w:p>
        </w:tc>
      </w:tr>
      <w:tr w:rsidR="00275C5A" w:rsidRPr="006710E4" w14:paraId="6EFF7035" w14:textId="77777777" w:rsidTr="00C6665F">
        <w:tc>
          <w:tcPr>
            <w:tcW w:w="862" w:type="pct"/>
            <w:shd w:val="clear" w:color="auto" w:fill="auto"/>
            <w:vAlign w:val="center"/>
          </w:tcPr>
          <w:p w14:paraId="77A45407" w14:textId="4E6D876F" w:rsidR="00275C5A" w:rsidRPr="006710E4" w:rsidRDefault="0029711A" w:rsidP="00EE5AE8">
            <w:pPr>
              <w:pStyle w:val="Tabletext"/>
              <w:keepNext/>
              <w:keepLines/>
            </w:pPr>
            <w:r w:rsidRPr="006710E4">
              <w:t>Allocation to health states</w:t>
            </w:r>
          </w:p>
        </w:tc>
        <w:tc>
          <w:tcPr>
            <w:tcW w:w="4138" w:type="pct"/>
            <w:shd w:val="clear" w:color="auto" w:fill="auto"/>
            <w:vAlign w:val="center"/>
          </w:tcPr>
          <w:p w14:paraId="7C30142E" w14:textId="7F2E0C7B" w:rsidR="003455AA" w:rsidRPr="006710E4" w:rsidRDefault="003455AA" w:rsidP="00EE5AE8">
            <w:pPr>
              <w:pStyle w:val="Tabletext"/>
              <w:keepNext/>
              <w:keepLines/>
            </w:pPr>
            <w:proofErr w:type="spellStart"/>
            <w:r w:rsidRPr="006710E4">
              <w:t>Dostarlimab</w:t>
            </w:r>
            <w:proofErr w:type="spellEnd"/>
            <w:r w:rsidRPr="006710E4">
              <w:t xml:space="preserve"> arm: </w:t>
            </w:r>
            <w:r w:rsidR="004A4C3D" w:rsidRPr="006710E4">
              <w:t xml:space="preserve">KM estimates for </w:t>
            </w:r>
            <w:r w:rsidRPr="006710E4">
              <w:t>PFS and OS from GARNET Cohort A1</w:t>
            </w:r>
            <w:r w:rsidR="004A4C3D" w:rsidRPr="006710E4">
              <w:t xml:space="preserve"> w</w:t>
            </w:r>
            <w:r w:rsidR="00011D25" w:rsidRPr="006710E4">
              <w:t>ere</w:t>
            </w:r>
            <w:r w:rsidR="004A4C3D" w:rsidRPr="006710E4">
              <w:t xml:space="preserve"> used for the first 19 cycles</w:t>
            </w:r>
            <w:r w:rsidRPr="006710E4">
              <w:t>, followed by extrapolation of PFS and OS</w:t>
            </w:r>
            <w:r w:rsidR="004A4C3D" w:rsidRPr="006710E4">
              <w:t xml:space="preserve">. </w:t>
            </w:r>
          </w:p>
          <w:p w14:paraId="09ADE4AD" w14:textId="17F97844" w:rsidR="00275C5A" w:rsidRPr="006710E4" w:rsidRDefault="004A4C3D" w:rsidP="00EE5AE8">
            <w:pPr>
              <w:pStyle w:val="Tabletext"/>
              <w:keepNext/>
              <w:keepLines/>
            </w:pPr>
            <w:r w:rsidRPr="006710E4">
              <w:t xml:space="preserve">SoC arm: KM estimates for </w:t>
            </w:r>
            <w:r w:rsidR="003455AA" w:rsidRPr="006710E4">
              <w:t xml:space="preserve">PFS and OS from </w:t>
            </w:r>
            <w:proofErr w:type="spellStart"/>
            <w:r w:rsidR="003455AA" w:rsidRPr="006710E4">
              <w:t>ZoptEC</w:t>
            </w:r>
            <w:proofErr w:type="spellEnd"/>
            <w:r w:rsidRPr="006710E4">
              <w:t xml:space="preserve"> w</w:t>
            </w:r>
            <w:r w:rsidR="00011D25" w:rsidRPr="006710E4">
              <w:t>ere</w:t>
            </w:r>
            <w:r w:rsidRPr="006710E4">
              <w:t xml:space="preserve"> used for the first 39 cycles</w:t>
            </w:r>
            <w:r w:rsidR="003455AA" w:rsidRPr="006710E4">
              <w:t>, followed by extrapolation of PFS and OS</w:t>
            </w:r>
            <w:r w:rsidRPr="006710E4">
              <w:t xml:space="preserve">. </w:t>
            </w:r>
          </w:p>
          <w:p w14:paraId="76387578" w14:textId="3F350872" w:rsidR="004A4C3D" w:rsidRPr="006710E4" w:rsidRDefault="004A4C3D" w:rsidP="00B85A34">
            <w:pPr>
              <w:pStyle w:val="Tabletext"/>
              <w:keepNext/>
              <w:keepLines/>
            </w:pPr>
            <w:r w:rsidRPr="006710E4">
              <w:t>Parametric functions were fitted to the trial data. The selection was based on statistical goodness of fit, visual fit to KM curves and clinical plausibility.</w:t>
            </w:r>
            <w:r w:rsidR="00982A1F" w:rsidRPr="006710E4">
              <w:t xml:space="preserve"> The lognormal function was chosen for </w:t>
            </w:r>
            <w:r w:rsidR="000B2EA6" w:rsidRPr="006710E4">
              <w:t xml:space="preserve">OS and PFS extrapolation in both arms. </w:t>
            </w:r>
          </w:p>
        </w:tc>
      </w:tr>
      <w:tr w:rsidR="002C0DEE" w:rsidRPr="006710E4" w14:paraId="333A48D6" w14:textId="77777777" w:rsidTr="00C6665F">
        <w:tc>
          <w:tcPr>
            <w:tcW w:w="862" w:type="pct"/>
            <w:shd w:val="clear" w:color="auto" w:fill="auto"/>
            <w:vAlign w:val="center"/>
          </w:tcPr>
          <w:p w14:paraId="15F496A3" w14:textId="22A40DE3" w:rsidR="002C0DEE" w:rsidRPr="006710E4" w:rsidRDefault="002C0DEE" w:rsidP="00EE5AE8">
            <w:pPr>
              <w:pStyle w:val="Tabletext"/>
              <w:keepNext/>
              <w:keepLines/>
            </w:pPr>
            <w:r w:rsidRPr="006710E4">
              <w:t xml:space="preserve">Utilities </w:t>
            </w:r>
          </w:p>
        </w:tc>
        <w:tc>
          <w:tcPr>
            <w:tcW w:w="4138" w:type="pct"/>
            <w:shd w:val="clear" w:color="auto" w:fill="auto"/>
            <w:vAlign w:val="center"/>
          </w:tcPr>
          <w:p w14:paraId="23FF5759" w14:textId="1DCD56EC" w:rsidR="00654648" w:rsidRPr="006710E4" w:rsidRDefault="00654648" w:rsidP="00EE5AE8">
            <w:pPr>
              <w:pStyle w:val="Tabletext"/>
              <w:keepNext/>
              <w:keepLines/>
              <w:rPr>
                <w:iCs/>
              </w:rPr>
            </w:pPr>
            <w:r w:rsidRPr="006710E4">
              <w:t>EQ-5D</w:t>
            </w:r>
            <w:r w:rsidR="00C174C0" w:rsidRPr="006710E4">
              <w:t>-5L</w:t>
            </w:r>
            <w:r w:rsidRPr="006710E4">
              <w:t xml:space="preserve"> scores from </w:t>
            </w:r>
            <w:r w:rsidR="00C174C0" w:rsidRPr="006710E4">
              <w:t>GARNET Cohort A1</w:t>
            </w:r>
            <w:r w:rsidRPr="006710E4">
              <w:t xml:space="preserve"> were used to derive utility estimates based on an Australian scoring algorithm</w:t>
            </w:r>
            <w:r w:rsidR="009542BB" w:rsidRPr="006710E4">
              <w:t xml:space="preserve"> (</w:t>
            </w:r>
            <w:proofErr w:type="spellStart"/>
            <w:r w:rsidR="009542BB" w:rsidRPr="006710E4">
              <w:t>Viney</w:t>
            </w:r>
            <w:proofErr w:type="spellEnd"/>
            <w:r w:rsidR="009542BB" w:rsidRPr="006710E4">
              <w:t xml:space="preserve"> 2011)</w:t>
            </w:r>
            <w:r w:rsidR="00C174C0" w:rsidRPr="006710E4">
              <w:t xml:space="preserve">. </w:t>
            </w:r>
            <w:r w:rsidR="00EF55A3" w:rsidRPr="006710E4">
              <w:t xml:space="preserve">The predicted utility scores by progression status estimated using the regression analysis were applied to equally for both the </w:t>
            </w:r>
            <w:proofErr w:type="spellStart"/>
            <w:r w:rsidR="00EF55A3" w:rsidRPr="006710E4">
              <w:t>dostarlimab</w:t>
            </w:r>
            <w:proofErr w:type="spellEnd"/>
            <w:r w:rsidR="00EF55A3" w:rsidRPr="006710E4">
              <w:t xml:space="preserve"> and SoC arms of the economic model.</w:t>
            </w:r>
            <w:r w:rsidR="00C6665F" w:rsidRPr="006710E4">
              <w:t xml:space="preserve"> </w:t>
            </w:r>
            <w:r w:rsidR="00C6665F" w:rsidRPr="006710E4">
              <w:rPr>
                <w:iCs/>
              </w:rPr>
              <w:t xml:space="preserve">Inappropriately no confidence intervals were reported. </w:t>
            </w:r>
          </w:p>
          <w:p w14:paraId="698C5BDF" w14:textId="77777777" w:rsidR="00982A1F" w:rsidRPr="006710E4" w:rsidRDefault="00982A1F" w:rsidP="00EE5AE8">
            <w:pPr>
              <w:pStyle w:val="Tabletext"/>
              <w:keepNext/>
              <w:keepLines/>
              <w:rPr>
                <w:iCs/>
              </w:rPr>
            </w:pPr>
          </w:p>
          <w:p w14:paraId="15C6C7CD" w14:textId="0815B577" w:rsidR="00654648" w:rsidRPr="00DA5130" w:rsidRDefault="007710B5" w:rsidP="00EE5AE8">
            <w:pPr>
              <w:pStyle w:val="Tabletext"/>
              <w:keepNext/>
              <w:keepLines/>
              <w:rPr>
                <w:vertAlign w:val="superscript"/>
              </w:rPr>
            </w:pPr>
            <w:r w:rsidRPr="006710E4">
              <w:t>PFS health state utility: 0.726</w:t>
            </w:r>
            <w:r w:rsidR="00DA5130">
              <w:rPr>
                <w:vertAlign w:val="superscript"/>
              </w:rPr>
              <w:t>a</w:t>
            </w:r>
          </w:p>
          <w:p w14:paraId="3A5BFB97" w14:textId="43DF4D27" w:rsidR="002C0DEE" w:rsidRPr="006710E4" w:rsidRDefault="00C174C0" w:rsidP="00EE5AE8">
            <w:pPr>
              <w:pStyle w:val="Tabletext"/>
              <w:keepNext/>
              <w:keepLines/>
            </w:pPr>
            <w:r w:rsidRPr="006710E4">
              <w:t>PD health state utility: 0.684</w:t>
            </w:r>
            <w:r w:rsidR="00DA5130">
              <w:rPr>
                <w:vertAlign w:val="superscript"/>
              </w:rPr>
              <w:t>a</w:t>
            </w:r>
            <w:r w:rsidR="00654648" w:rsidRPr="006710E4">
              <w:t xml:space="preserve"> </w:t>
            </w:r>
          </w:p>
          <w:p w14:paraId="68519BA7" w14:textId="77777777" w:rsidR="00982A1F" w:rsidRPr="006710E4" w:rsidRDefault="00982A1F" w:rsidP="00EE5AE8">
            <w:pPr>
              <w:pStyle w:val="Tabletext"/>
              <w:keepNext/>
              <w:keepLines/>
            </w:pPr>
          </w:p>
          <w:p w14:paraId="63439865" w14:textId="08C70B39" w:rsidR="00F814BA" w:rsidRPr="006710E4" w:rsidRDefault="00F814BA" w:rsidP="00011D25">
            <w:pPr>
              <w:pStyle w:val="Tabletext"/>
              <w:keepNext/>
              <w:keepLines/>
            </w:pPr>
            <w:r w:rsidRPr="006710E4">
              <w:t xml:space="preserve">Alternative utilities from </w:t>
            </w:r>
            <w:proofErr w:type="spellStart"/>
            <w:r w:rsidRPr="006710E4">
              <w:t>Thurgar</w:t>
            </w:r>
            <w:proofErr w:type="spellEnd"/>
            <w:r w:rsidRPr="006710E4">
              <w:t xml:space="preserve"> 2021, which was </w:t>
            </w:r>
            <w:r w:rsidR="00D769B0" w:rsidRPr="006710E4">
              <w:t xml:space="preserve">a published study of </w:t>
            </w:r>
            <w:proofErr w:type="spellStart"/>
            <w:r w:rsidR="00D769B0" w:rsidRPr="006710E4">
              <w:t>dostarlimab</w:t>
            </w:r>
            <w:proofErr w:type="spellEnd"/>
            <w:r w:rsidR="00D769B0" w:rsidRPr="006710E4">
              <w:t xml:space="preserve"> compared to </w:t>
            </w:r>
            <w:r w:rsidR="007F15C3" w:rsidRPr="006710E4">
              <w:t>paclitaxel (based on IXAMPLE2)</w:t>
            </w:r>
            <w:r w:rsidR="004D4BDC" w:rsidRPr="006710E4">
              <w:t>, w</w:t>
            </w:r>
            <w:r w:rsidR="00011D25" w:rsidRPr="006710E4">
              <w:t>ere</w:t>
            </w:r>
            <w:r w:rsidR="004D4BDC" w:rsidRPr="006710E4">
              <w:t xml:space="preserve"> tested in a sensitivity analysis. </w:t>
            </w:r>
            <w:proofErr w:type="spellStart"/>
            <w:r w:rsidR="004D4BDC" w:rsidRPr="006710E4">
              <w:t>Thurgar</w:t>
            </w:r>
            <w:proofErr w:type="spellEnd"/>
            <w:r w:rsidR="004D4BDC" w:rsidRPr="006710E4">
              <w:t xml:space="preserve"> 2021 used EQ-5D data from KEYNOTE-158 for women with </w:t>
            </w:r>
            <w:proofErr w:type="spellStart"/>
            <w:r w:rsidR="004D4BDC" w:rsidRPr="006710E4">
              <w:t>dMMR</w:t>
            </w:r>
            <w:proofErr w:type="spellEnd"/>
            <w:r w:rsidR="004D4BDC" w:rsidRPr="006710E4">
              <w:t>/MSI-H metastatic EC</w:t>
            </w:r>
            <w:r w:rsidR="005B6228" w:rsidRPr="006710E4">
              <w:t xml:space="preserve">. PF utilities of 0.817 (range 0.797-0.836) and PD utilities of 0.779 (range 0.699-0.859) was used in </w:t>
            </w:r>
            <w:proofErr w:type="spellStart"/>
            <w:r w:rsidR="005B6228" w:rsidRPr="006710E4">
              <w:t>Thurgar</w:t>
            </w:r>
            <w:proofErr w:type="spellEnd"/>
            <w:r w:rsidR="005B6228" w:rsidRPr="006710E4">
              <w:t xml:space="preserve"> 2021.</w:t>
            </w:r>
          </w:p>
        </w:tc>
      </w:tr>
      <w:tr w:rsidR="00126E29" w:rsidRPr="006710E4" w14:paraId="56B3CB23" w14:textId="77777777" w:rsidTr="00C6665F">
        <w:tc>
          <w:tcPr>
            <w:tcW w:w="862" w:type="pct"/>
            <w:shd w:val="clear" w:color="auto" w:fill="auto"/>
            <w:vAlign w:val="center"/>
          </w:tcPr>
          <w:p w14:paraId="330CC2D4" w14:textId="4C21560B" w:rsidR="00126E29" w:rsidRPr="006710E4" w:rsidRDefault="00126E29" w:rsidP="00EE5AE8">
            <w:pPr>
              <w:pStyle w:val="Tabletext"/>
              <w:keepNext/>
              <w:keepLines/>
            </w:pPr>
            <w:r w:rsidRPr="006710E4">
              <w:t>Discount rate</w:t>
            </w:r>
          </w:p>
        </w:tc>
        <w:tc>
          <w:tcPr>
            <w:tcW w:w="4138" w:type="pct"/>
            <w:shd w:val="clear" w:color="auto" w:fill="auto"/>
            <w:vAlign w:val="center"/>
          </w:tcPr>
          <w:p w14:paraId="0B9B0FA4" w14:textId="4B7912D8" w:rsidR="00126E29" w:rsidRPr="006710E4" w:rsidRDefault="00217797" w:rsidP="006C7178">
            <w:pPr>
              <w:pStyle w:val="Tabletext"/>
              <w:keepNext/>
              <w:keepLines/>
            </w:pPr>
            <w:r w:rsidRPr="00217797">
              <w:rPr>
                <w:color w:val="000000"/>
                <w:spacing w:val="53"/>
                <w:shd w:val="solid" w:color="000000" w:fill="000000"/>
                <w:fitText w:val="330" w:id="-1502445563"/>
                <w14:textFill>
                  <w14:solidFill>
                    <w14:srgbClr w14:val="000000">
                      <w14:alpha w14:val="100000"/>
                    </w14:srgbClr>
                  </w14:solidFill>
                </w14:textFill>
              </w:rPr>
              <w:t>|||</w:t>
            </w:r>
            <w:r w:rsidRPr="00217797">
              <w:rPr>
                <w:color w:val="000000"/>
                <w:spacing w:val="1"/>
                <w:shd w:val="solid" w:color="000000" w:fill="000000"/>
                <w:fitText w:val="330" w:id="-1502445563"/>
                <w14:textFill>
                  <w14:solidFill>
                    <w14:srgbClr w14:val="000000">
                      <w14:alpha w14:val="100000"/>
                    </w14:srgbClr>
                  </w14:solidFill>
                </w14:textFill>
              </w:rPr>
              <w:t>|</w:t>
            </w:r>
            <w:r w:rsidR="00126E29" w:rsidRPr="006710E4">
              <w:t xml:space="preserve">% per annum </w:t>
            </w:r>
          </w:p>
        </w:tc>
      </w:tr>
      <w:tr w:rsidR="002C0DEE" w:rsidRPr="006710E4" w14:paraId="793B6934" w14:textId="77777777" w:rsidTr="00C6665F">
        <w:tc>
          <w:tcPr>
            <w:tcW w:w="862" w:type="pct"/>
            <w:shd w:val="clear" w:color="auto" w:fill="auto"/>
            <w:vAlign w:val="center"/>
          </w:tcPr>
          <w:p w14:paraId="5E091407" w14:textId="08AD0379" w:rsidR="002C0DEE" w:rsidRPr="006710E4" w:rsidRDefault="002C0DEE" w:rsidP="00EE5AE8">
            <w:pPr>
              <w:pStyle w:val="Tabletext"/>
              <w:keepNext/>
              <w:keepLines/>
            </w:pPr>
            <w:r w:rsidRPr="006710E4">
              <w:t>Software package</w:t>
            </w:r>
          </w:p>
        </w:tc>
        <w:tc>
          <w:tcPr>
            <w:tcW w:w="4138" w:type="pct"/>
            <w:shd w:val="clear" w:color="auto" w:fill="auto"/>
            <w:vAlign w:val="center"/>
          </w:tcPr>
          <w:p w14:paraId="1D524C07" w14:textId="156ED99E" w:rsidR="002C0DEE" w:rsidRPr="006710E4" w:rsidRDefault="003455AA" w:rsidP="00EE5AE8">
            <w:pPr>
              <w:pStyle w:val="Tabletext"/>
              <w:keepNext/>
              <w:keepLines/>
            </w:pPr>
            <w:r w:rsidRPr="006710E4">
              <w:t>Microsoft Excel</w:t>
            </w:r>
          </w:p>
        </w:tc>
      </w:tr>
    </w:tbl>
    <w:p w14:paraId="5823F1E3" w14:textId="77777777" w:rsidR="00230AF6" w:rsidRPr="006710E4" w:rsidRDefault="00230AF6" w:rsidP="00EE5AE8">
      <w:pPr>
        <w:pStyle w:val="TableFooter"/>
        <w:keepNext/>
        <w:keepLines/>
      </w:pPr>
      <w:r w:rsidRPr="006710E4">
        <w:t>Source: Table 75, p157 of the submission.</w:t>
      </w:r>
    </w:p>
    <w:p w14:paraId="760382E7" w14:textId="689FB079" w:rsidR="00230AF6" w:rsidRDefault="00230AF6" w:rsidP="00EE5AE8">
      <w:pPr>
        <w:pStyle w:val="TableFooter"/>
        <w:keepNext/>
        <w:keepLines/>
      </w:pPr>
      <w:r w:rsidRPr="006710E4">
        <w:t>EC = endometrial cancer; KM = Kaplan-Meier; OS = overall survival; PD = progressed disease; P</w:t>
      </w:r>
      <w:r w:rsidR="000F687E" w:rsidRPr="006710E4">
        <w:t xml:space="preserve">FS = progression-free survival; RWE = real world evidence. </w:t>
      </w:r>
    </w:p>
    <w:p w14:paraId="514213F5" w14:textId="0EAFBCE1" w:rsidR="00DA5130" w:rsidRPr="006710E4" w:rsidRDefault="00DA5130" w:rsidP="00EE5AE8">
      <w:pPr>
        <w:pStyle w:val="TableFooter"/>
        <w:keepNext/>
        <w:keepLines/>
      </w:pPr>
      <w:r>
        <w:t>a</w:t>
      </w:r>
      <w:r w:rsidRPr="00DA5130">
        <w:t xml:space="preserve"> Note that the utility values were provided for the purposes of informing the PBAC consideration. Interpretation of the results and their application should therefore be limited to seeking to understand the basis for the PBAC outcome and should not be used for any other purpose.</w:t>
      </w:r>
    </w:p>
    <w:p w14:paraId="1D4C5D72" w14:textId="77777777" w:rsidR="00275C5A" w:rsidRPr="006710E4" w:rsidRDefault="00275C5A" w:rsidP="0023209F"/>
    <w:p w14:paraId="46BFC981" w14:textId="705FB897" w:rsidR="00413CCD" w:rsidRPr="006710E4" w:rsidRDefault="00240F63" w:rsidP="00E24AE9">
      <w:pPr>
        <w:pStyle w:val="ListParagraph"/>
        <w:widowControl/>
        <w:numPr>
          <w:ilvl w:val="1"/>
          <w:numId w:val="2"/>
        </w:numPr>
      </w:pPr>
      <w:r>
        <w:t>T</w:t>
      </w:r>
      <w:r w:rsidR="00CB4983" w:rsidRPr="006710E4">
        <w:t xml:space="preserve">he ITT </w:t>
      </w:r>
      <w:r w:rsidR="00B939D7" w:rsidRPr="006710E4">
        <w:t xml:space="preserve">population </w:t>
      </w:r>
      <w:r w:rsidR="00CB4983" w:rsidRPr="006710E4">
        <w:t xml:space="preserve">of GARNET Cohort A1 was used for the </w:t>
      </w:r>
      <w:proofErr w:type="spellStart"/>
      <w:r w:rsidR="00CB4983" w:rsidRPr="006710E4">
        <w:t>dostarlimab</w:t>
      </w:r>
      <w:proofErr w:type="spellEnd"/>
      <w:r w:rsidR="00CB4983" w:rsidRPr="006710E4">
        <w:t xml:space="preserve"> arm in the economic model, even though the primary efficacy </w:t>
      </w:r>
      <w:proofErr w:type="gramStart"/>
      <w:r w:rsidR="00CB4983" w:rsidRPr="006710E4">
        <w:t>set</w:t>
      </w:r>
      <w:proofErr w:type="gramEnd"/>
      <w:r w:rsidR="00CB4983" w:rsidRPr="006710E4">
        <w:t xml:space="preserve"> and the main analysis set were also available. This may have favoured </w:t>
      </w:r>
      <w:proofErr w:type="spellStart"/>
      <w:r w:rsidR="00CB4983" w:rsidRPr="006710E4">
        <w:t>dostarlimab</w:t>
      </w:r>
      <w:proofErr w:type="spellEnd"/>
      <w:r w:rsidR="00CB4983" w:rsidRPr="006710E4">
        <w:t xml:space="preserve"> as results of the ITT set were observed to be the most favourable for </w:t>
      </w:r>
      <w:proofErr w:type="spellStart"/>
      <w:r w:rsidR="00CB4983" w:rsidRPr="006710E4">
        <w:t>dostarlimab</w:t>
      </w:r>
      <w:proofErr w:type="spellEnd"/>
      <w:r w:rsidR="00CB4983" w:rsidRPr="006710E4">
        <w:t>, but it was unclear how much this would impact the</w:t>
      </w:r>
      <w:r w:rsidR="00CA6CE2" w:rsidRPr="00CA6CE2">
        <w:rPr>
          <w:iCs/>
        </w:rPr>
        <w:t xml:space="preserve"> </w:t>
      </w:r>
      <w:r w:rsidR="00CA6CE2" w:rsidRPr="00A300F5">
        <w:rPr>
          <w:iCs/>
        </w:rPr>
        <w:t>incremental cost effectiveness ratio</w:t>
      </w:r>
      <w:r w:rsidR="00CB4983" w:rsidRPr="006710E4">
        <w:t xml:space="preserve"> </w:t>
      </w:r>
      <w:r w:rsidR="00CA6CE2">
        <w:t>(</w:t>
      </w:r>
      <w:r w:rsidR="00CB4983" w:rsidRPr="006710E4">
        <w:t>ICER</w:t>
      </w:r>
      <w:r w:rsidR="00CA6CE2">
        <w:t>)</w:t>
      </w:r>
      <w:r w:rsidR="00CB4983" w:rsidRPr="006710E4">
        <w:t>.</w:t>
      </w:r>
    </w:p>
    <w:p w14:paraId="5C903AC9" w14:textId="341A851D" w:rsidR="00205803" w:rsidRPr="001D1FCF" w:rsidRDefault="00205803" w:rsidP="006C7530">
      <w:pPr>
        <w:pStyle w:val="ListParagraph"/>
        <w:widowControl/>
        <w:numPr>
          <w:ilvl w:val="1"/>
          <w:numId w:val="2"/>
        </w:numPr>
        <w:rPr>
          <w:iCs/>
        </w:rPr>
      </w:pPr>
      <w:r w:rsidRPr="006710E4">
        <w:t xml:space="preserve">The </w:t>
      </w:r>
      <w:r w:rsidR="007E500D" w:rsidRPr="006710E4">
        <w:t xml:space="preserve">fitted parametric survival curves for OS for </w:t>
      </w:r>
      <w:proofErr w:type="spellStart"/>
      <w:r w:rsidR="007E500D" w:rsidRPr="006710E4">
        <w:t>dostarlimab</w:t>
      </w:r>
      <w:proofErr w:type="spellEnd"/>
      <w:r w:rsidR="007E500D" w:rsidRPr="006710E4">
        <w:t xml:space="preserve"> and SoC are presented in </w:t>
      </w:r>
      <w:r w:rsidR="00B43477" w:rsidRPr="006710E4">
        <w:fldChar w:fldCharType="begin"/>
      </w:r>
      <w:r w:rsidR="00B43477" w:rsidRPr="006710E4">
        <w:instrText xml:space="preserve"> REF _Ref92999546 \h  \* MERGEFORMAT </w:instrText>
      </w:r>
      <w:r w:rsidR="00B43477" w:rsidRPr="006710E4">
        <w:fldChar w:fldCharType="separate"/>
      </w:r>
      <w:r w:rsidR="004975AD" w:rsidRPr="004975AD">
        <w:t>Figure 5</w:t>
      </w:r>
      <w:r w:rsidR="00B43477" w:rsidRPr="006710E4">
        <w:fldChar w:fldCharType="end"/>
      </w:r>
      <w:r w:rsidR="006C088E">
        <w:t xml:space="preserve"> </w:t>
      </w:r>
      <w:r w:rsidR="006C088E" w:rsidRPr="001D1FCF">
        <w:rPr>
          <w:iCs/>
        </w:rPr>
        <w:t xml:space="preserve">(noting that the Kaplan-Meier data in the </w:t>
      </w:r>
      <w:r w:rsidR="006C088E" w:rsidRPr="001D1FCF">
        <w:rPr>
          <w:iCs/>
        </w:rPr>
        <w:lastRenderedPageBreak/>
        <w:t>figure is based on the data-cut presented in the submission, IA-2)</w:t>
      </w:r>
      <w:r w:rsidR="00B43477" w:rsidRPr="001D1FCF">
        <w:rPr>
          <w:iCs/>
        </w:rPr>
        <w:t xml:space="preserve">. </w:t>
      </w:r>
      <w:r w:rsidR="00703F48" w:rsidRPr="001D1FCF">
        <w:rPr>
          <w:iCs/>
        </w:rPr>
        <w:t>The submission selected th</w:t>
      </w:r>
      <w:r w:rsidR="00FF317F" w:rsidRPr="001D1FCF">
        <w:rPr>
          <w:iCs/>
        </w:rPr>
        <w:t xml:space="preserve">e lognormal function for OS and PFS extrapolation in both arms </w:t>
      </w:r>
      <w:r w:rsidR="00C073E7" w:rsidRPr="001D1FCF">
        <w:rPr>
          <w:iCs/>
        </w:rPr>
        <w:t xml:space="preserve">as this function predicted a moderate plateauing of survival (unlike the exponential and Weibull functions), provided more conservative long-term OS estimates than the generalised gamma and </w:t>
      </w:r>
      <w:proofErr w:type="spellStart"/>
      <w:r w:rsidR="00C073E7" w:rsidRPr="001D1FCF">
        <w:rPr>
          <w:iCs/>
        </w:rPr>
        <w:t>Gompertz</w:t>
      </w:r>
      <w:proofErr w:type="spellEnd"/>
      <w:r w:rsidR="00C073E7" w:rsidRPr="001D1FCF">
        <w:rPr>
          <w:iCs/>
        </w:rPr>
        <w:t xml:space="preserve"> functions, and was a better statistical fit than the log-logistic function. All functional forms had reasonable fit with the Kaplan-Meier data</w:t>
      </w:r>
      <w:r w:rsidR="006C7530" w:rsidRPr="001D1FCF">
        <w:rPr>
          <w:iCs/>
        </w:rPr>
        <w:t xml:space="preserve"> </w:t>
      </w:r>
      <w:r w:rsidR="00A300F5" w:rsidRPr="001D1FCF">
        <w:rPr>
          <w:iCs/>
        </w:rPr>
        <w:t xml:space="preserve">(from IA-2) </w:t>
      </w:r>
      <w:r w:rsidR="006C7530" w:rsidRPr="001D1FCF">
        <w:rPr>
          <w:iCs/>
        </w:rPr>
        <w:t>based on both the Akaike information criterion and Bayesian information criterion (all criterion scores were within 5 points).</w:t>
      </w:r>
      <w:r w:rsidR="00C073E7" w:rsidRPr="001D1FCF">
        <w:rPr>
          <w:iCs/>
        </w:rPr>
        <w:t xml:space="preserve"> </w:t>
      </w:r>
    </w:p>
    <w:p w14:paraId="03D3057C" w14:textId="334E04CD" w:rsidR="00927D42" w:rsidRPr="006710E4" w:rsidRDefault="00927D42" w:rsidP="00927D42">
      <w:pPr>
        <w:keepNext/>
        <w:rPr>
          <w:rFonts w:ascii="Arial Narrow" w:hAnsi="Arial Narrow"/>
          <w:b/>
          <w:sz w:val="20"/>
          <w:szCs w:val="16"/>
        </w:rPr>
      </w:pPr>
      <w:bookmarkStart w:id="39" w:name="_Ref92999546"/>
      <w:r w:rsidRPr="006710E4">
        <w:rPr>
          <w:rStyle w:val="CommentReference"/>
        </w:rPr>
        <w:t xml:space="preserve">Figure </w:t>
      </w:r>
      <w:r w:rsidRPr="006710E4">
        <w:rPr>
          <w:rStyle w:val="CommentReference"/>
        </w:rPr>
        <w:fldChar w:fldCharType="begin"/>
      </w:r>
      <w:r w:rsidRPr="006710E4">
        <w:rPr>
          <w:rStyle w:val="CommentReference"/>
        </w:rPr>
        <w:instrText xml:space="preserve"> SEQ Figure \* ARABIC </w:instrText>
      </w:r>
      <w:r w:rsidRPr="006710E4">
        <w:rPr>
          <w:rStyle w:val="CommentReference"/>
        </w:rPr>
        <w:fldChar w:fldCharType="separate"/>
      </w:r>
      <w:r w:rsidR="004975AD">
        <w:rPr>
          <w:rStyle w:val="CommentReference"/>
          <w:noProof/>
        </w:rPr>
        <w:t>5</w:t>
      </w:r>
      <w:r w:rsidRPr="006710E4">
        <w:rPr>
          <w:rStyle w:val="CommentReference"/>
        </w:rPr>
        <w:fldChar w:fldCharType="end"/>
      </w:r>
      <w:bookmarkEnd w:id="39"/>
      <w:r w:rsidRPr="006710E4">
        <w:rPr>
          <w:rStyle w:val="CommentReference"/>
        </w:rPr>
        <w:t xml:space="preserve">: Parametric survival curves: </w:t>
      </w:r>
      <w:proofErr w:type="spellStart"/>
      <w:r w:rsidRPr="006710E4">
        <w:rPr>
          <w:rStyle w:val="CommentReference"/>
        </w:rPr>
        <w:t>Dostarlimab</w:t>
      </w:r>
      <w:proofErr w:type="spellEnd"/>
      <w:r w:rsidRPr="006710E4">
        <w:rPr>
          <w:rStyle w:val="CommentReference"/>
        </w:rPr>
        <w:t xml:space="preserve"> OS (GARNET Cohort A1 – </w:t>
      </w:r>
      <w:proofErr w:type="spellStart"/>
      <w:r w:rsidRPr="006710E4">
        <w:rPr>
          <w:rStyle w:val="CommentReference"/>
        </w:rPr>
        <w:t>dostarlimab</w:t>
      </w:r>
      <w:proofErr w:type="spellEnd"/>
      <w:r w:rsidRPr="006710E4">
        <w:rPr>
          <w:rStyle w:val="CommentReference"/>
        </w:rPr>
        <w:t xml:space="preserve"> arm</w:t>
      </w:r>
      <w:r w:rsidR="006C7178">
        <w:rPr>
          <w:rStyle w:val="CommentReference"/>
        </w:rPr>
        <w:t>, IA-2</w:t>
      </w:r>
      <w:r w:rsidRPr="006710E4">
        <w:rPr>
          <w:rStyle w:val="CommentReference"/>
        </w:rPr>
        <w:t>) and SoC OS (</w:t>
      </w:r>
      <w:proofErr w:type="spellStart"/>
      <w:r w:rsidRPr="006710E4">
        <w:rPr>
          <w:rStyle w:val="CommentReference"/>
        </w:rPr>
        <w:t>ZoptEC</w:t>
      </w:r>
      <w:proofErr w:type="spellEnd"/>
      <w:r w:rsidRPr="006710E4">
        <w:rPr>
          <w:rStyle w:val="CommentReference"/>
        </w:rPr>
        <w:t xml:space="preserve"> – doxorubicin arm)</w:t>
      </w:r>
    </w:p>
    <w:p w14:paraId="7B1C02CD" w14:textId="2D716F92" w:rsidR="007418E7" w:rsidRPr="006710E4" w:rsidRDefault="006957C9" w:rsidP="00927D42">
      <w:pPr>
        <w:pStyle w:val="TableFooter"/>
        <w:keepNext/>
      </w:pPr>
      <w:r w:rsidRPr="006710E4">
        <w:rPr>
          <w:noProof/>
          <w:lang w:eastAsia="en-AU"/>
        </w:rPr>
        <w:drawing>
          <wp:inline distT="0" distB="0" distL="0" distR="0" wp14:anchorId="73D1FFF0" wp14:editId="1E0381ED">
            <wp:extent cx="5676900" cy="3333750"/>
            <wp:effectExtent l="0" t="0" r="0" b="0"/>
            <wp:docPr id="1959018435" name="Picture 1959018435" descr="Figure 5: Parametric survival curves: Dostarlimab OS (GARNET Cohort A1 – dostarlimab arm, IA-2) and SoC OS (ZoptEC – doxorubicin 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018435" name="Picture 1959018435" descr="Figure 5: Parametric survival curves: Dostarlimab OS (GARNET Cohort A1 – dostarlimab arm, IA-2) and SoC OS (ZoptEC – doxorubicin ar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82954" cy="3337305"/>
                    </a:xfrm>
                    <a:prstGeom prst="rect">
                      <a:avLst/>
                    </a:prstGeom>
                    <a:noFill/>
                  </pic:spPr>
                </pic:pic>
              </a:graphicData>
            </a:graphic>
          </wp:inline>
        </w:drawing>
      </w:r>
    </w:p>
    <w:p w14:paraId="105A9137" w14:textId="78C2A2EC" w:rsidR="007418E7" w:rsidRPr="006710E4" w:rsidRDefault="000E64EA" w:rsidP="00927D42">
      <w:pPr>
        <w:pStyle w:val="TableFooter"/>
        <w:keepNext/>
      </w:pPr>
      <w:r w:rsidRPr="006710E4">
        <w:t>Source: Constructed during the evaluation using figures from sheets “OS_GARNET” and “</w:t>
      </w:r>
      <w:proofErr w:type="spellStart"/>
      <w:r w:rsidRPr="006710E4">
        <w:t>OS_ZoptEC</w:t>
      </w:r>
      <w:proofErr w:type="spellEnd"/>
      <w:r w:rsidRPr="006710E4">
        <w:t>” of the economic model titled “</w:t>
      </w:r>
      <w:proofErr w:type="spellStart"/>
      <w:r w:rsidRPr="006710E4">
        <w:t>Jemperli</w:t>
      </w:r>
      <w:proofErr w:type="spellEnd"/>
      <w:r w:rsidRPr="006710E4">
        <w:t xml:space="preserve"> (</w:t>
      </w:r>
      <w:proofErr w:type="spellStart"/>
      <w:r w:rsidRPr="006710E4">
        <w:t>dostarlimab</w:t>
      </w:r>
      <w:proofErr w:type="spellEnd"/>
      <w:r w:rsidRPr="006710E4">
        <w:t xml:space="preserve">) 2L </w:t>
      </w:r>
      <w:proofErr w:type="spellStart"/>
      <w:r w:rsidRPr="006710E4">
        <w:t>dMMR</w:t>
      </w:r>
      <w:proofErr w:type="spellEnd"/>
      <w:r w:rsidRPr="006710E4">
        <w:t xml:space="preserve"> EC CUA”.</w:t>
      </w:r>
    </w:p>
    <w:p w14:paraId="76137FFC" w14:textId="77777777" w:rsidR="00631C25" w:rsidRPr="006710E4" w:rsidRDefault="00631C25" w:rsidP="004E3BF4"/>
    <w:p w14:paraId="512A9548" w14:textId="112BAB3F" w:rsidR="0046014D" w:rsidRPr="00C073E7" w:rsidRDefault="006C7B78" w:rsidP="00B026E6">
      <w:pPr>
        <w:pStyle w:val="ListParagraph"/>
        <w:widowControl/>
        <w:numPr>
          <w:ilvl w:val="1"/>
          <w:numId w:val="2"/>
        </w:numPr>
      </w:pPr>
      <w:bookmarkStart w:id="40" w:name="_Ref92986688"/>
      <w:r w:rsidRPr="001D1FCF">
        <w:rPr>
          <w:iCs/>
        </w:rPr>
        <w:t xml:space="preserve">There was a </w:t>
      </w:r>
      <w:r w:rsidR="00B85A34" w:rsidRPr="001D1FCF">
        <w:rPr>
          <w:iCs/>
        </w:rPr>
        <w:t xml:space="preserve">large variance in OS extrapolations with different functions in the </w:t>
      </w:r>
      <w:proofErr w:type="spellStart"/>
      <w:r w:rsidR="00B85A34" w:rsidRPr="001D1FCF">
        <w:rPr>
          <w:iCs/>
        </w:rPr>
        <w:t>dostarlimab</w:t>
      </w:r>
      <w:proofErr w:type="spellEnd"/>
      <w:r w:rsidR="00B85A34" w:rsidRPr="001D1FCF">
        <w:rPr>
          <w:iCs/>
        </w:rPr>
        <w:t xml:space="preserve"> arm and </w:t>
      </w:r>
      <w:r w:rsidR="001F4345" w:rsidRPr="001D1FCF">
        <w:rPr>
          <w:iCs/>
        </w:rPr>
        <w:t>this variance became larger, the longer the extrapolation.</w:t>
      </w:r>
      <w:r w:rsidR="005D5585" w:rsidRPr="006710E4">
        <w:t xml:space="preserve"> </w:t>
      </w:r>
      <w:r w:rsidRPr="006710E4">
        <w:t xml:space="preserve">The choice of extrapolation function for OS for </w:t>
      </w:r>
      <w:proofErr w:type="spellStart"/>
      <w:r w:rsidRPr="006710E4">
        <w:t>dostarlimab</w:t>
      </w:r>
      <w:proofErr w:type="spellEnd"/>
      <w:r w:rsidRPr="006710E4">
        <w:t xml:space="preserve"> was a driver of the model, but </w:t>
      </w:r>
      <w:r w:rsidRPr="00A300F5">
        <w:rPr>
          <w:iCs/>
        </w:rPr>
        <w:t xml:space="preserve">the choice of extrapolation function of the SoC arm had a much smaller impact on the ICER, as the number of patients remaining alive when the extrapolation was used was lower and therefore inherently had higher certainty. </w:t>
      </w:r>
    </w:p>
    <w:p w14:paraId="29C2444B" w14:textId="734B2C84" w:rsidR="00C073E7" w:rsidRPr="001D1FCF" w:rsidRDefault="00C073E7" w:rsidP="00B04C3E">
      <w:pPr>
        <w:pStyle w:val="ListParagraph"/>
        <w:widowControl/>
        <w:numPr>
          <w:ilvl w:val="1"/>
          <w:numId w:val="2"/>
        </w:numPr>
        <w:rPr>
          <w:iCs/>
        </w:rPr>
      </w:pPr>
      <w:r w:rsidRPr="001D1FCF">
        <w:rPr>
          <w:iCs/>
        </w:rPr>
        <w:t>ESC noted</w:t>
      </w:r>
      <w:r w:rsidR="00AF1821" w:rsidRPr="001D1FCF">
        <w:rPr>
          <w:iCs/>
        </w:rPr>
        <w:t xml:space="preserve"> that there was a large separation between the </w:t>
      </w:r>
      <w:proofErr w:type="spellStart"/>
      <w:r w:rsidR="00AF1821" w:rsidRPr="001D1FCF">
        <w:rPr>
          <w:iCs/>
        </w:rPr>
        <w:t>dostarlimab</w:t>
      </w:r>
      <w:proofErr w:type="spellEnd"/>
      <w:r w:rsidR="00AF1821" w:rsidRPr="001D1FCF">
        <w:rPr>
          <w:iCs/>
        </w:rPr>
        <w:t xml:space="preserve"> and SoC extrapolated curves from </w:t>
      </w:r>
      <w:r w:rsidR="006C7B78" w:rsidRPr="001D1FCF">
        <w:rPr>
          <w:iCs/>
        </w:rPr>
        <w:t>early in the model, with a large difference continuing throughout the model time horizon (7.5 years in the PSCR). ESC noted that the</w:t>
      </w:r>
      <w:r w:rsidR="00A300F5" w:rsidRPr="001D1FCF">
        <w:rPr>
          <w:iCs/>
        </w:rPr>
        <w:t xml:space="preserve"> extrapolation function selected by the submission </w:t>
      </w:r>
      <w:r w:rsidR="00306D92" w:rsidRPr="001D1FCF">
        <w:rPr>
          <w:iCs/>
        </w:rPr>
        <w:t>(</w:t>
      </w:r>
      <w:r w:rsidR="00A300F5" w:rsidRPr="001D1FCF">
        <w:rPr>
          <w:iCs/>
        </w:rPr>
        <w:t>lognormal</w:t>
      </w:r>
      <w:r w:rsidR="00306D92" w:rsidRPr="001D1FCF">
        <w:rPr>
          <w:iCs/>
        </w:rPr>
        <w:t xml:space="preserve">) </w:t>
      </w:r>
      <w:r w:rsidR="00AF1821" w:rsidRPr="001D1FCF">
        <w:rPr>
          <w:iCs/>
        </w:rPr>
        <w:t>estimated</w:t>
      </w:r>
      <w:r w:rsidRPr="001D1FCF">
        <w:rPr>
          <w:iCs/>
        </w:rPr>
        <w:t xml:space="preserve"> a </w:t>
      </w:r>
      <w:r w:rsidR="00B34ECD" w:rsidRPr="001D1FCF">
        <w:rPr>
          <w:iCs/>
        </w:rPr>
        <w:t>22%</w:t>
      </w:r>
      <w:r w:rsidRPr="001D1FCF">
        <w:rPr>
          <w:iCs/>
        </w:rPr>
        <w:t xml:space="preserve"> difference in the proportion of patients alive in each arm at 7.5 years </w:t>
      </w:r>
      <w:r w:rsidR="00AF1821" w:rsidRPr="001D1FCF">
        <w:rPr>
          <w:iCs/>
        </w:rPr>
        <w:t xml:space="preserve">(with 25% of patients alive in the </w:t>
      </w:r>
      <w:proofErr w:type="spellStart"/>
      <w:r w:rsidR="00AF1821" w:rsidRPr="001D1FCF">
        <w:rPr>
          <w:iCs/>
        </w:rPr>
        <w:t>dostarlimab</w:t>
      </w:r>
      <w:proofErr w:type="spellEnd"/>
      <w:r w:rsidR="00AF1821" w:rsidRPr="001D1FCF">
        <w:rPr>
          <w:iCs/>
        </w:rPr>
        <w:t xml:space="preserve"> arm and 3% in the SoC arm).</w:t>
      </w:r>
      <w:r w:rsidRPr="001D1FCF">
        <w:rPr>
          <w:iCs/>
        </w:rPr>
        <w:t xml:space="preserve"> </w:t>
      </w:r>
      <w:r w:rsidR="006C7B78" w:rsidRPr="001D1FCF">
        <w:rPr>
          <w:iCs/>
        </w:rPr>
        <w:t xml:space="preserve">ESC considered that such </w:t>
      </w:r>
      <w:r w:rsidR="006C7B78" w:rsidRPr="001D1FCF">
        <w:rPr>
          <w:iCs/>
        </w:rPr>
        <w:lastRenderedPageBreak/>
        <w:t>a large difference in OS</w:t>
      </w:r>
      <w:r w:rsidR="00B04C3E" w:rsidRPr="001D1FCF">
        <w:rPr>
          <w:iCs/>
        </w:rPr>
        <w:t xml:space="preserve"> over time</w:t>
      </w:r>
      <w:r w:rsidR="006C7B78" w:rsidRPr="001D1FCF">
        <w:rPr>
          <w:iCs/>
        </w:rPr>
        <w:t xml:space="preserve">, </w:t>
      </w:r>
      <w:r w:rsidR="00B04C3E" w:rsidRPr="001D1FCF">
        <w:rPr>
          <w:iCs/>
        </w:rPr>
        <w:t xml:space="preserve">and the implied ongoing treatment benefits associated with </w:t>
      </w:r>
      <w:proofErr w:type="spellStart"/>
      <w:r w:rsidR="00B04C3E" w:rsidRPr="001D1FCF">
        <w:rPr>
          <w:iCs/>
        </w:rPr>
        <w:t>dostarlimab</w:t>
      </w:r>
      <w:proofErr w:type="spellEnd"/>
      <w:r w:rsidR="00B04C3E" w:rsidRPr="001D1FCF">
        <w:rPr>
          <w:iCs/>
        </w:rPr>
        <w:t xml:space="preserve"> over SoC, were not adequately justified by the clinical data presented.</w:t>
      </w:r>
      <w:r w:rsidRPr="001D1FCF">
        <w:rPr>
          <w:iCs/>
        </w:rPr>
        <w:t xml:space="preserve"> </w:t>
      </w:r>
      <w:r w:rsidR="00306D92" w:rsidRPr="001D1FCF">
        <w:rPr>
          <w:iCs/>
        </w:rPr>
        <w:t>Use of the exponential function in both arms (for OS) resulted in a more conservative difference in the proportion of patients alive at 7.5</w:t>
      </w:r>
      <w:r w:rsidR="00B34ECD" w:rsidRPr="001D1FCF">
        <w:rPr>
          <w:iCs/>
        </w:rPr>
        <w:t xml:space="preserve"> </w:t>
      </w:r>
      <w:r w:rsidR="00306D92" w:rsidRPr="001D1FCF">
        <w:rPr>
          <w:iCs/>
        </w:rPr>
        <w:t xml:space="preserve">years (a difference of 10.6%, with 11.1% of patients alive in the </w:t>
      </w:r>
      <w:proofErr w:type="spellStart"/>
      <w:r w:rsidR="00306D92" w:rsidRPr="001D1FCF">
        <w:rPr>
          <w:iCs/>
        </w:rPr>
        <w:t>dostarlimab</w:t>
      </w:r>
      <w:proofErr w:type="spellEnd"/>
      <w:r w:rsidR="00306D92" w:rsidRPr="001D1FCF">
        <w:rPr>
          <w:iCs/>
        </w:rPr>
        <w:t xml:space="preserve"> arm and 0.5% in the SoC arm).</w:t>
      </w:r>
    </w:p>
    <w:p w14:paraId="0EAC839F" w14:textId="49690427" w:rsidR="006C7B78" w:rsidRPr="006C088E" w:rsidRDefault="006C7B78" w:rsidP="006C7B78">
      <w:pPr>
        <w:pStyle w:val="ListParagraph"/>
        <w:widowControl/>
        <w:numPr>
          <w:ilvl w:val="1"/>
          <w:numId w:val="2"/>
        </w:numPr>
      </w:pPr>
      <w:bookmarkStart w:id="41" w:name="_Ref92981655"/>
      <w:bookmarkEnd w:id="40"/>
      <w:r w:rsidRPr="001D1FCF">
        <w:rPr>
          <w:iCs/>
        </w:rPr>
        <w:t xml:space="preserve">As noted above, the submission selected the lognormal function for OS and PFS extrapolation in both arms as this function predicted a moderate plateauing of survival. </w:t>
      </w:r>
      <w:r w:rsidRPr="006710E4">
        <w:t xml:space="preserve">The submission argued that as PFS in GARNET Cohort A1 plateaued from approximately six months, indicating a reduction in the rate of disease progression over this period, and given that disease progression was the primary reason for death in GARNET Cohort A1 (86%, 31/36, of deaths in GARNET Cohort A1 were attributed to progressive disease), the PFS plateau would be expected to translate into a subsequent plateauing of OS. </w:t>
      </w:r>
      <w:r w:rsidRPr="006710E4">
        <w:rPr>
          <w:iCs/>
        </w:rPr>
        <w:t>However, the submission also stated that in GARNET Cohort A1, “(PFS) data beyond six months would rely heavily on the tail of the dataset which is associated with increasingly uncertain estimates”. As such, the assumption of an OS plateau based on the PFS plateau may not be justified.</w:t>
      </w:r>
      <w:bookmarkEnd w:id="41"/>
      <w:r w:rsidRPr="006710E4">
        <w:rPr>
          <w:iCs/>
        </w:rPr>
        <w:t xml:space="preserve"> </w:t>
      </w:r>
    </w:p>
    <w:p w14:paraId="0B421B8B" w14:textId="72C1E0B5" w:rsidR="006C7B78" w:rsidRPr="001D1FCF" w:rsidRDefault="006C7B78" w:rsidP="006C7B78">
      <w:pPr>
        <w:pStyle w:val="ListParagraph"/>
        <w:widowControl/>
        <w:numPr>
          <w:ilvl w:val="1"/>
          <w:numId w:val="2"/>
        </w:numPr>
      </w:pPr>
      <w:r w:rsidRPr="001D1FCF">
        <w:t xml:space="preserve">The PSCR </w:t>
      </w:r>
      <w:r w:rsidR="00550171">
        <w:t xml:space="preserve">and pre-PBAC response </w:t>
      </w:r>
      <w:r w:rsidRPr="001D1FCF">
        <w:t xml:space="preserve">argued that there is a continued plateauing of OS in the Kaplan-Meier plot in the latest data cut-off (IA-3) and that the economic model understates the OS plateauing effect observed in the longer term based on the latest data cut-off. However, ESC considered that the updated data did not clearly indicate a longer-term plateau in OS, as outlined in </w:t>
      </w:r>
      <w:r w:rsidR="001D1FCF">
        <w:t>p</w:t>
      </w:r>
      <w:r w:rsidRPr="001D1FCF">
        <w:t xml:space="preserve">aragraph </w:t>
      </w:r>
      <w:r w:rsidR="001D1FCF">
        <w:fldChar w:fldCharType="begin"/>
      </w:r>
      <w:r w:rsidR="001D1FCF">
        <w:instrText xml:space="preserve"> REF _Ref99974223 \r \h </w:instrText>
      </w:r>
      <w:r w:rsidR="001D1FCF">
        <w:fldChar w:fldCharType="separate"/>
      </w:r>
      <w:r w:rsidR="004975AD">
        <w:t>6.17</w:t>
      </w:r>
      <w:r w:rsidR="001D1FCF">
        <w:fldChar w:fldCharType="end"/>
      </w:r>
      <w:r w:rsidRPr="001D1FCF">
        <w:t>.</w:t>
      </w:r>
    </w:p>
    <w:p w14:paraId="259EEBF6" w14:textId="3DAADFD2" w:rsidR="006C7B78" w:rsidRPr="00A300F5" w:rsidRDefault="00C05FAF" w:rsidP="002D5868">
      <w:pPr>
        <w:pStyle w:val="Caption"/>
        <w:keepNext/>
        <w:keepLines/>
        <w:spacing w:after="0"/>
        <w:rPr>
          <w:rFonts w:ascii="Arial Narrow" w:hAnsi="Arial Narrow"/>
          <w:color w:val="auto"/>
          <w:sz w:val="20"/>
          <w:szCs w:val="20"/>
        </w:rPr>
      </w:pPr>
      <w:r w:rsidRPr="00A300F5">
        <w:rPr>
          <w:rFonts w:ascii="Arial Narrow" w:hAnsi="Arial Narrow"/>
          <w:color w:val="auto"/>
          <w:sz w:val="20"/>
          <w:szCs w:val="20"/>
        </w:rPr>
        <w:t xml:space="preserve">Figure </w:t>
      </w:r>
      <w:r w:rsidRPr="00A300F5">
        <w:rPr>
          <w:rFonts w:ascii="Arial Narrow" w:hAnsi="Arial Narrow"/>
          <w:color w:val="auto"/>
          <w:sz w:val="20"/>
          <w:szCs w:val="20"/>
        </w:rPr>
        <w:fldChar w:fldCharType="begin"/>
      </w:r>
      <w:r w:rsidRPr="00A300F5">
        <w:rPr>
          <w:rFonts w:ascii="Arial Narrow" w:hAnsi="Arial Narrow"/>
          <w:color w:val="auto"/>
          <w:sz w:val="20"/>
          <w:szCs w:val="20"/>
        </w:rPr>
        <w:instrText xml:space="preserve"> SEQ Figure \* ARABIC </w:instrText>
      </w:r>
      <w:r w:rsidRPr="00A300F5">
        <w:rPr>
          <w:rFonts w:ascii="Arial Narrow" w:hAnsi="Arial Narrow"/>
          <w:color w:val="auto"/>
          <w:sz w:val="20"/>
          <w:szCs w:val="20"/>
        </w:rPr>
        <w:fldChar w:fldCharType="separate"/>
      </w:r>
      <w:r w:rsidR="004975AD">
        <w:rPr>
          <w:rFonts w:ascii="Arial Narrow" w:hAnsi="Arial Narrow"/>
          <w:noProof/>
          <w:color w:val="auto"/>
          <w:sz w:val="20"/>
          <w:szCs w:val="20"/>
        </w:rPr>
        <w:t>6</w:t>
      </w:r>
      <w:r w:rsidRPr="00A300F5">
        <w:rPr>
          <w:rFonts w:ascii="Arial Narrow" w:hAnsi="Arial Narrow"/>
          <w:color w:val="auto"/>
          <w:sz w:val="20"/>
          <w:szCs w:val="20"/>
        </w:rPr>
        <w:fldChar w:fldCharType="end"/>
      </w:r>
      <w:r w:rsidR="006C7B78" w:rsidRPr="00A300F5">
        <w:rPr>
          <w:rFonts w:ascii="Arial Narrow" w:hAnsi="Arial Narrow"/>
          <w:color w:val="auto"/>
          <w:sz w:val="20"/>
          <w:szCs w:val="20"/>
        </w:rPr>
        <w:t xml:space="preserve">: Comparison of observed </w:t>
      </w:r>
      <w:r w:rsidRPr="00A300F5">
        <w:rPr>
          <w:rFonts w:ascii="Arial Narrow" w:hAnsi="Arial Narrow"/>
          <w:color w:val="auto"/>
          <w:sz w:val="20"/>
          <w:szCs w:val="20"/>
        </w:rPr>
        <w:t>OS data from GARNET</w:t>
      </w:r>
      <w:r w:rsidR="006C7B78" w:rsidRPr="00A300F5">
        <w:rPr>
          <w:rFonts w:ascii="Arial Narrow" w:hAnsi="Arial Narrow"/>
          <w:color w:val="auto"/>
          <w:sz w:val="20"/>
          <w:szCs w:val="20"/>
        </w:rPr>
        <w:t xml:space="preserve"> and modelled </w:t>
      </w:r>
      <w:r w:rsidRPr="00A300F5">
        <w:rPr>
          <w:rFonts w:ascii="Arial Narrow" w:hAnsi="Arial Narrow"/>
          <w:color w:val="auto"/>
          <w:sz w:val="20"/>
          <w:szCs w:val="20"/>
        </w:rPr>
        <w:t>OS</w:t>
      </w:r>
      <w:r w:rsidR="006C7B78" w:rsidRPr="00A300F5">
        <w:rPr>
          <w:rFonts w:ascii="Arial Narrow" w:hAnsi="Arial Narrow"/>
          <w:color w:val="auto"/>
          <w:sz w:val="20"/>
          <w:szCs w:val="20"/>
        </w:rPr>
        <w:t xml:space="preserve"> data</w:t>
      </w:r>
    </w:p>
    <w:p w14:paraId="5CCEFD7A" w14:textId="0DF5A0B7" w:rsidR="006C7B78" w:rsidRDefault="006C7B78" w:rsidP="00C05FAF">
      <w:pPr>
        <w:pStyle w:val="PBACHeading1"/>
        <w:keepNext/>
        <w:keepLines/>
        <w:numPr>
          <w:ilvl w:val="0"/>
          <w:numId w:val="0"/>
        </w:numPr>
        <w:ind w:left="720"/>
        <w:outlineLvl w:val="9"/>
      </w:pPr>
      <w:r>
        <w:rPr>
          <w:noProof/>
          <w:lang w:eastAsia="en-AU"/>
        </w:rPr>
        <w:drawing>
          <wp:inline distT="0" distB="0" distL="0" distR="0" wp14:anchorId="78E1AFB8" wp14:editId="7C19A8A3">
            <wp:extent cx="5211445" cy="2276562"/>
            <wp:effectExtent l="0" t="0" r="8255" b="9525"/>
            <wp:docPr id="2" name="Picture 2" descr="Figure 6: Comparison of observed OS data from GARNET and modelled OS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igure 6: Comparison of observed OS data from GARNET and modelled OS dat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43419" cy="2290530"/>
                    </a:xfrm>
                    <a:prstGeom prst="rect">
                      <a:avLst/>
                    </a:prstGeom>
                    <a:noFill/>
                  </pic:spPr>
                </pic:pic>
              </a:graphicData>
            </a:graphic>
          </wp:inline>
        </w:drawing>
      </w:r>
    </w:p>
    <w:p w14:paraId="1ED75479" w14:textId="77777777" w:rsidR="00DA5130" w:rsidRDefault="00C05FAF" w:rsidP="00DA5130">
      <w:pPr>
        <w:pStyle w:val="TableFooter"/>
        <w:keepNext/>
        <w:keepLines/>
      </w:pPr>
      <w:r>
        <w:t>Source: Figure 5, p5 of the PSCR</w:t>
      </w:r>
      <w:r w:rsidR="00DA5130">
        <w:t xml:space="preserve"> </w:t>
      </w:r>
    </w:p>
    <w:p w14:paraId="0A69DEFD" w14:textId="5D04DE77" w:rsidR="00A300F5" w:rsidRPr="006710E4" w:rsidRDefault="00DA5130" w:rsidP="002D5868">
      <w:pPr>
        <w:pStyle w:val="TableFooter"/>
        <w:keepNext/>
        <w:keepLines/>
        <w:spacing w:after="200"/>
      </w:pPr>
      <w:r w:rsidRPr="00DA5130">
        <w:t>Note that the Kaplan Meier plots and fitted curve depicted in Figure 6 are presented specifically for the purposes of informing the PBAC consideration. Their interpretation and application should therefore be limited to seeking to understand the basis for the PBAC outcome and should not be used for any other purpose.</w:t>
      </w:r>
    </w:p>
    <w:p w14:paraId="11CAB106" w14:textId="225927C6" w:rsidR="000C6E02" w:rsidRPr="001D1FCF" w:rsidRDefault="00B04C3E" w:rsidP="000C6E02">
      <w:pPr>
        <w:pStyle w:val="ListParagraph"/>
        <w:widowControl/>
        <w:numPr>
          <w:ilvl w:val="1"/>
          <w:numId w:val="2"/>
        </w:numPr>
        <w:rPr>
          <w:iCs/>
        </w:rPr>
      </w:pPr>
      <w:r w:rsidRPr="001D1FCF">
        <w:rPr>
          <w:iCs/>
        </w:rPr>
        <w:t xml:space="preserve">Overall, ESC considered that the OS extrapolation was uncertain due to the relatively short follow-up in GARNET Cohort A1 (even with the extended follow-up provided in the PSCR) and the </w:t>
      </w:r>
      <w:r w:rsidR="000C6E02" w:rsidRPr="001D1FCF">
        <w:rPr>
          <w:iCs/>
        </w:rPr>
        <w:t>concerns (raised in the ‘Comparative effectiveness’ section) which meant that an adequate assessment of the magnitude of any OS benefit was not possible</w:t>
      </w:r>
      <w:r w:rsidRPr="001D1FCF">
        <w:rPr>
          <w:iCs/>
        </w:rPr>
        <w:t xml:space="preserve">. </w:t>
      </w:r>
      <w:r w:rsidR="00C87226" w:rsidRPr="001D1FCF">
        <w:rPr>
          <w:iCs/>
        </w:rPr>
        <w:t xml:space="preserve">ESC considered that the lack of complete convergence in OS curves </w:t>
      </w:r>
      <w:r w:rsidR="00612A4D" w:rsidRPr="001D1FCF">
        <w:rPr>
          <w:iCs/>
        </w:rPr>
        <w:t>within the model time horizon</w:t>
      </w:r>
      <w:r w:rsidR="00C87226" w:rsidRPr="001D1FCF">
        <w:rPr>
          <w:iCs/>
        </w:rPr>
        <w:t xml:space="preserve"> for patients receiving </w:t>
      </w:r>
      <w:proofErr w:type="spellStart"/>
      <w:r w:rsidR="00C87226" w:rsidRPr="001D1FCF">
        <w:rPr>
          <w:iCs/>
        </w:rPr>
        <w:t>dostarlimab</w:t>
      </w:r>
      <w:proofErr w:type="spellEnd"/>
      <w:r w:rsidR="00C87226" w:rsidRPr="001D1FCF">
        <w:rPr>
          <w:iCs/>
        </w:rPr>
        <w:t xml:space="preserve"> versus SoC may not be clinically plausible. This favoured </w:t>
      </w:r>
      <w:proofErr w:type="spellStart"/>
      <w:r w:rsidR="00C87226" w:rsidRPr="001D1FCF">
        <w:rPr>
          <w:iCs/>
        </w:rPr>
        <w:t>dostarlimab</w:t>
      </w:r>
      <w:proofErr w:type="spellEnd"/>
      <w:r w:rsidR="00C87226" w:rsidRPr="001D1FCF">
        <w:rPr>
          <w:iCs/>
        </w:rPr>
        <w:t xml:space="preserve"> by producing higher</w:t>
      </w:r>
      <w:r w:rsidR="00B42319" w:rsidRPr="00B42319">
        <w:t xml:space="preserve"> </w:t>
      </w:r>
      <w:r w:rsidR="00B42319" w:rsidRPr="00B42319">
        <w:rPr>
          <w:iCs/>
        </w:rPr>
        <w:t>quality-adjusted life-year</w:t>
      </w:r>
      <w:r w:rsidR="00B42319">
        <w:rPr>
          <w:iCs/>
        </w:rPr>
        <w:t>s</w:t>
      </w:r>
      <w:r w:rsidR="00C87226" w:rsidRPr="001D1FCF">
        <w:rPr>
          <w:iCs/>
        </w:rPr>
        <w:t xml:space="preserve"> </w:t>
      </w:r>
      <w:r w:rsidR="00B42319">
        <w:rPr>
          <w:iCs/>
        </w:rPr>
        <w:t>(</w:t>
      </w:r>
      <w:r w:rsidR="00C87226" w:rsidRPr="001D1FCF">
        <w:rPr>
          <w:iCs/>
        </w:rPr>
        <w:t>QALY</w:t>
      </w:r>
      <w:r w:rsidR="00B42319">
        <w:rPr>
          <w:iCs/>
        </w:rPr>
        <w:t>)</w:t>
      </w:r>
      <w:r w:rsidR="00C87226" w:rsidRPr="001D1FCF">
        <w:rPr>
          <w:iCs/>
        </w:rPr>
        <w:t>, and reduced costs of terminal care, than would have been observed under a scenario where complete convergence in OS occurred.</w:t>
      </w:r>
      <w:r w:rsidR="000C6E02" w:rsidRPr="001D1FCF">
        <w:rPr>
          <w:iCs/>
        </w:rPr>
        <w:t xml:space="preserve"> </w:t>
      </w:r>
      <w:proofErr w:type="gramStart"/>
      <w:r w:rsidR="00397765" w:rsidRPr="001D1FCF">
        <w:rPr>
          <w:iCs/>
        </w:rPr>
        <w:t>The majority of</w:t>
      </w:r>
      <w:proofErr w:type="gramEnd"/>
      <w:r w:rsidR="00397765" w:rsidRPr="001D1FCF">
        <w:rPr>
          <w:iCs/>
        </w:rPr>
        <w:t xml:space="preserve"> the benefit modelled was derived during the extrapolated period. </w:t>
      </w:r>
      <w:r w:rsidR="000C6E02" w:rsidRPr="001D1FCF">
        <w:rPr>
          <w:iCs/>
          <w:snapToGrid/>
          <w:lang w:eastAsia="en-AU"/>
        </w:rPr>
        <w:t xml:space="preserve">ESC noted that a higher degree of convergence could be achieved through use of the log-logistic, exponential or Weibull functions in both arms for OS, though none of these extrapolations led to complete convergence within </w:t>
      </w:r>
      <w:r w:rsidR="00612A4D" w:rsidRPr="001D1FCF">
        <w:rPr>
          <w:iCs/>
          <w:snapToGrid/>
          <w:lang w:eastAsia="en-AU"/>
        </w:rPr>
        <w:t>the model time horizon</w:t>
      </w:r>
      <w:r w:rsidR="000C6E02" w:rsidRPr="001D1FCF">
        <w:rPr>
          <w:iCs/>
          <w:snapToGrid/>
          <w:lang w:eastAsia="en-AU"/>
        </w:rPr>
        <w:t xml:space="preserve"> (</w:t>
      </w:r>
      <w:proofErr w:type="gramStart"/>
      <w:r w:rsidR="000C6E02" w:rsidRPr="001D1FCF">
        <w:rPr>
          <w:iCs/>
          <w:snapToGrid/>
          <w:lang w:eastAsia="en-AU"/>
        </w:rPr>
        <w:t>e.g.</w:t>
      </w:r>
      <w:proofErr w:type="gramEnd"/>
      <w:r w:rsidR="000C6E02" w:rsidRPr="001D1FCF">
        <w:rPr>
          <w:iCs/>
          <w:snapToGrid/>
          <w:lang w:eastAsia="en-AU"/>
        </w:rPr>
        <w:t xml:space="preserve"> using the exponential function, the difference in the proportion of patients alive would be 10.6% at 7.5 years and 5% at 10 years).</w:t>
      </w:r>
    </w:p>
    <w:p w14:paraId="0487EE0F" w14:textId="5157914C" w:rsidR="00B04C3E" w:rsidRPr="00550171" w:rsidRDefault="009F5214" w:rsidP="000C6E02">
      <w:pPr>
        <w:pStyle w:val="ListParagraph"/>
        <w:widowControl/>
        <w:numPr>
          <w:ilvl w:val="1"/>
          <w:numId w:val="2"/>
        </w:numPr>
        <w:rPr>
          <w:iCs/>
        </w:rPr>
      </w:pPr>
      <w:r w:rsidRPr="001D1FCF">
        <w:rPr>
          <w:iCs/>
        </w:rPr>
        <w:t xml:space="preserve">ESC considered that </w:t>
      </w:r>
      <w:r w:rsidR="000C6E02" w:rsidRPr="001D1FCF">
        <w:rPr>
          <w:iCs/>
        </w:rPr>
        <w:t xml:space="preserve">an alternative way to reduce </w:t>
      </w:r>
      <w:r w:rsidRPr="001D1FCF">
        <w:rPr>
          <w:iCs/>
        </w:rPr>
        <w:t>these u</w:t>
      </w:r>
      <w:r w:rsidR="00B04C3E" w:rsidRPr="001D1FCF">
        <w:rPr>
          <w:iCs/>
          <w:snapToGrid/>
          <w:lang w:eastAsia="en-AU"/>
        </w:rPr>
        <w:t>ncertaint</w:t>
      </w:r>
      <w:r w:rsidRPr="001D1FCF">
        <w:rPr>
          <w:iCs/>
          <w:snapToGrid/>
          <w:lang w:eastAsia="en-AU"/>
        </w:rPr>
        <w:t>ies</w:t>
      </w:r>
      <w:r w:rsidR="00B04C3E" w:rsidRPr="001D1FCF">
        <w:rPr>
          <w:iCs/>
          <w:snapToGrid/>
          <w:lang w:eastAsia="en-AU"/>
        </w:rPr>
        <w:t xml:space="preserve"> c</w:t>
      </w:r>
      <w:r w:rsidRPr="001D1FCF">
        <w:rPr>
          <w:iCs/>
          <w:snapToGrid/>
          <w:lang w:eastAsia="en-AU"/>
        </w:rPr>
        <w:t>ould</w:t>
      </w:r>
      <w:r w:rsidR="00B04C3E" w:rsidRPr="001D1FCF">
        <w:rPr>
          <w:iCs/>
          <w:snapToGrid/>
          <w:lang w:eastAsia="en-AU"/>
        </w:rPr>
        <w:t xml:space="preserve"> be </w:t>
      </w:r>
      <w:proofErr w:type="gramStart"/>
      <w:r w:rsidR="00B04C3E" w:rsidRPr="001D1FCF">
        <w:rPr>
          <w:iCs/>
          <w:snapToGrid/>
          <w:lang w:eastAsia="en-AU"/>
        </w:rPr>
        <w:t>through the use of</w:t>
      </w:r>
      <w:proofErr w:type="gramEnd"/>
      <w:r w:rsidR="00B04C3E" w:rsidRPr="001D1FCF">
        <w:rPr>
          <w:iCs/>
          <w:snapToGrid/>
          <w:lang w:eastAsia="en-AU"/>
        </w:rPr>
        <w:t xml:space="preserve"> a shorter time horizon. </w:t>
      </w:r>
      <w:r w:rsidR="00397765" w:rsidRPr="001D1FCF">
        <w:rPr>
          <w:iCs/>
          <w:snapToGrid/>
          <w:lang w:eastAsia="en-AU"/>
        </w:rPr>
        <w:t>While t</w:t>
      </w:r>
      <w:r w:rsidR="00B04C3E" w:rsidRPr="001D1FCF">
        <w:rPr>
          <w:iCs/>
          <w:snapToGrid/>
          <w:lang w:eastAsia="en-AU"/>
        </w:rPr>
        <w:t xml:space="preserve">he PSCR reduced the time horizon from 10 years to 7.5 years, </w:t>
      </w:r>
      <w:r w:rsidRPr="001D1FCF">
        <w:rPr>
          <w:iCs/>
          <w:snapToGrid/>
          <w:lang w:eastAsia="en-AU"/>
        </w:rPr>
        <w:t>the ESC considered that</w:t>
      </w:r>
      <w:r w:rsidR="00B04C3E" w:rsidRPr="001D1FCF">
        <w:rPr>
          <w:iCs/>
          <w:snapToGrid/>
          <w:lang w:eastAsia="en-AU"/>
        </w:rPr>
        <w:t xml:space="preserve"> 5 years may be </w:t>
      </w:r>
      <w:r w:rsidRPr="001D1FCF">
        <w:rPr>
          <w:iCs/>
          <w:snapToGrid/>
          <w:lang w:eastAsia="en-AU"/>
        </w:rPr>
        <w:t xml:space="preserve">more </w:t>
      </w:r>
      <w:r w:rsidR="00B04C3E" w:rsidRPr="001D1FCF">
        <w:rPr>
          <w:iCs/>
          <w:snapToGrid/>
          <w:lang w:eastAsia="en-AU"/>
        </w:rPr>
        <w:t>appropriate</w:t>
      </w:r>
      <w:r w:rsidR="00397765" w:rsidRPr="001D1FCF">
        <w:rPr>
          <w:iCs/>
          <w:snapToGrid/>
          <w:lang w:eastAsia="en-AU"/>
        </w:rPr>
        <w:t xml:space="preserve">. </w:t>
      </w:r>
    </w:p>
    <w:p w14:paraId="62AC0770" w14:textId="5FCDCD76" w:rsidR="00703F48" w:rsidRPr="00550171" w:rsidRDefault="00271713" w:rsidP="00703F48">
      <w:pPr>
        <w:pStyle w:val="ListParagraph"/>
        <w:widowControl/>
        <w:numPr>
          <w:ilvl w:val="1"/>
          <w:numId w:val="2"/>
        </w:numPr>
        <w:rPr>
          <w:iCs/>
        </w:rPr>
      </w:pPr>
      <w:r w:rsidRPr="00550171">
        <w:rPr>
          <w:iCs/>
        </w:rPr>
        <w:t>ESC noted that the model a</w:t>
      </w:r>
      <w:r w:rsidR="00703F48" w:rsidRPr="00550171">
        <w:rPr>
          <w:iCs/>
        </w:rPr>
        <w:t>pplied</w:t>
      </w:r>
      <w:r w:rsidRPr="00550171">
        <w:rPr>
          <w:iCs/>
        </w:rPr>
        <w:t xml:space="preserve"> a one</w:t>
      </w:r>
      <w:r w:rsidR="00703F48" w:rsidRPr="00550171">
        <w:rPr>
          <w:iCs/>
        </w:rPr>
        <w:t>-</w:t>
      </w:r>
      <w:r w:rsidRPr="00550171">
        <w:rPr>
          <w:iCs/>
        </w:rPr>
        <w:t>off terminal care cost of $</w:t>
      </w:r>
      <w:r w:rsidR="00217797" w:rsidRPr="00D35CD9">
        <w:rPr>
          <w:iCs/>
          <w:color w:val="000000"/>
          <w:w w:val="61"/>
          <w:shd w:val="solid" w:color="000000" w:fill="000000"/>
          <w:fitText w:val="475" w:id="-1502445562"/>
          <w14:textFill>
            <w14:solidFill>
              <w14:srgbClr w14:val="000000">
                <w14:alpha w14:val="100000"/>
              </w14:srgbClr>
            </w14:solidFill>
          </w14:textFill>
        </w:rPr>
        <w:t>||</w:t>
      </w:r>
      <w:proofErr w:type="gramStart"/>
      <w:r w:rsidR="00217797" w:rsidRPr="00D35CD9">
        <w:rPr>
          <w:iCs/>
          <w:color w:val="000000"/>
          <w:w w:val="61"/>
          <w:shd w:val="solid" w:color="000000" w:fill="000000"/>
          <w:fitText w:val="475" w:id="-1502445562"/>
          <w14:textFill>
            <w14:solidFill>
              <w14:srgbClr w14:val="000000">
                <w14:alpha w14:val="100000"/>
              </w14:srgbClr>
            </w14:solidFill>
          </w14:textFill>
        </w:rPr>
        <w:t>|  |</w:t>
      </w:r>
      <w:proofErr w:type="gramEnd"/>
      <w:r w:rsidR="00217797" w:rsidRPr="00D35CD9">
        <w:rPr>
          <w:iCs/>
          <w:color w:val="000000"/>
          <w:w w:val="61"/>
          <w:shd w:val="solid" w:color="000000" w:fill="000000"/>
          <w:fitText w:val="475" w:id="-1502445562"/>
          <w14:textFill>
            <w14:solidFill>
              <w14:srgbClr w14:val="000000">
                <w14:alpha w14:val="100000"/>
              </w14:srgbClr>
            </w14:solidFill>
          </w14:textFill>
        </w:rPr>
        <w:t>|</w:t>
      </w:r>
      <w:r w:rsidR="00217797" w:rsidRPr="00D35CD9">
        <w:rPr>
          <w:iCs/>
          <w:color w:val="000000"/>
          <w:spacing w:val="5"/>
          <w:w w:val="61"/>
          <w:shd w:val="solid" w:color="000000" w:fill="000000"/>
          <w:fitText w:val="475" w:id="-1502445562"/>
          <w14:textFill>
            <w14:solidFill>
              <w14:srgbClr w14:val="000000">
                <w14:alpha w14:val="100000"/>
              </w14:srgbClr>
            </w14:solidFill>
          </w14:textFill>
        </w:rPr>
        <w:t>|</w:t>
      </w:r>
      <w:r w:rsidRPr="00550171">
        <w:rPr>
          <w:iCs/>
        </w:rPr>
        <w:t xml:space="preserve"> for every death, based on </w:t>
      </w:r>
      <w:proofErr w:type="spellStart"/>
      <w:r w:rsidRPr="00550171">
        <w:rPr>
          <w:iCs/>
        </w:rPr>
        <w:t>Goldsbury</w:t>
      </w:r>
      <w:proofErr w:type="spellEnd"/>
      <w:r w:rsidRPr="00550171">
        <w:rPr>
          <w:iCs/>
        </w:rPr>
        <w:t xml:space="preserve"> 2018. </w:t>
      </w:r>
      <w:r w:rsidR="00703F48" w:rsidRPr="00550171">
        <w:rPr>
          <w:iCs/>
        </w:rPr>
        <w:t>However, ESC noted that these costs were averages of several kinds of cancers, of which none were endometrial. It is unclear whether this average would be representative of endometrial cancer costs. Further, ESC noted that the terminal care cost was based on the 12 months prior to death and considered this may result in double counting as some of these costs would have accrued in the progressed health state</w:t>
      </w:r>
      <w:r w:rsidR="00A45E7B" w:rsidRPr="00550171">
        <w:rPr>
          <w:iCs/>
        </w:rPr>
        <w:t>.</w:t>
      </w:r>
    </w:p>
    <w:p w14:paraId="299EF895" w14:textId="4153FA7C" w:rsidR="00703F48" w:rsidRPr="00550171" w:rsidRDefault="00703F48" w:rsidP="00703F48">
      <w:pPr>
        <w:pStyle w:val="ListParagraph"/>
        <w:widowControl/>
        <w:numPr>
          <w:ilvl w:val="1"/>
          <w:numId w:val="2"/>
        </w:numPr>
        <w:rPr>
          <w:iCs/>
        </w:rPr>
      </w:pPr>
      <w:r w:rsidRPr="00550171">
        <w:rPr>
          <w:iCs/>
        </w:rPr>
        <w:t xml:space="preserve">Given that there was no clinical evidence to support that </w:t>
      </w:r>
      <w:proofErr w:type="spellStart"/>
      <w:r w:rsidRPr="00550171">
        <w:rPr>
          <w:iCs/>
        </w:rPr>
        <w:t>dostarlimab</w:t>
      </w:r>
      <w:proofErr w:type="spellEnd"/>
      <w:r w:rsidRPr="00550171">
        <w:rPr>
          <w:iCs/>
        </w:rPr>
        <w:t xml:space="preserve"> would improve survival in the long term, and the issues with the cost estimate itself, ESC considered that it </w:t>
      </w:r>
      <w:r w:rsidR="00A45E7B" w:rsidRPr="00550171">
        <w:rPr>
          <w:iCs/>
        </w:rPr>
        <w:t>would be</w:t>
      </w:r>
      <w:r w:rsidRPr="00550171">
        <w:rPr>
          <w:iCs/>
        </w:rPr>
        <w:t xml:space="preserve"> more reasonable to assume that there would be no difference in terminal care costs between the treatment arms, or that a small difference may accrue due to the impact of discounting. ESC noted the impact of including terminal care costs on the ICER is driven by the difference in surviving proportions at the end of the model time horizon but ultimately this cost should accrue to all patients in both treatment arms.</w:t>
      </w:r>
      <w:r w:rsidR="00550171">
        <w:rPr>
          <w:iCs/>
        </w:rPr>
        <w:t xml:space="preserve"> The pre-PBAC response argued that the complete removal of terminal care costs </w:t>
      </w:r>
      <w:r w:rsidR="00780EA4">
        <w:rPr>
          <w:iCs/>
        </w:rPr>
        <w:t xml:space="preserve">would </w:t>
      </w:r>
      <w:r w:rsidR="00780EA4">
        <w:rPr>
          <w:lang w:bidi="en-US"/>
        </w:rPr>
        <w:t xml:space="preserve">bias results against </w:t>
      </w:r>
      <w:proofErr w:type="spellStart"/>
      <w:r w:rsidR="00780EA4">
        <w:rPr>
          <w:lang w:bidi="en-US"/>
        </w:rPr>
        <w:t>dostarlimab</w:t>
      </w:r>
      <w:proofErr w:type="spellEnd"/>
      <w:r w:rsidR="00780EA4">
        <w:rPr>
          <w:iCs/>
        </w:rPr>
        <w:t xml:space="preserve"> </w:t>
      </w:r>
      <w:r w:rsidR="00550171">
        <w:rPr>
          <w:iCs/>
        </w:rPr>
        <w:t>as “</w:t>
      </w:r>
      <w:proofErr w:type="spellStart"/>
      <w:r w:rsidR="00550171">
        <w:rPr>
          <w:lang w:bidi="en-US"/>
        </w:rPr>
        <w:t>dostarlimab’s</w:t>
      </w:r>
      <w:proofErr w:type="spellEnd"/>
      <w:r w:rsidR="00550171">
        <w:rPr>
          <w:lang w:bidi="en-US"/>
        </w:rPr>
        <w:t xml:space="preserve"> superior survival would result in reduced discounted terminal care costs, even with OS curves convergence, due to the impact of discounting”. </w:t>
      </w:r>
    </w:p>
    <w:p w14:paraId="6B06641A" w14:textId="2E746661" w:rsidR="00275C5A" w:rsidRPr="006710E4" w:rsidRDefault="00D82E9E" w:rsidP="00E24AE9">
      <w:pPr>
        <w:pStyle w:val="ListParagraph"/>
        <w:widowControl/>
        <w:numPr>
          <w:ilvl w:val="1"/>
          <w:numId w:val="2"/>
        </w:numPr>
      </w:pPr>
      <w:r w:rsidRPr="006710E4">
        <w:fldChar w:fldCharType="begin"/>
      </w:r>
      <w:r w:rsidRPr="006710E4">
        <w:instrText xml:space="preserve"> REF _Ref92041186 \h  \* MERGEFORMAT </w:instrText>
      </w:r>
      <w:r w:rsidRPr="006710E4">
        <w:fldChar w:fldCharType="separate"/>
      </w:r>
      <w:r w:rsidR="004975AD" w:rsidRPr="004975AD">
        <w:t>Table 9</w:t>
      </w:r>
      <w:r w:rsidRPr="006710E4">
        <w:fldChar w:fldCharType="end"/>
      </w:r>
      <w:r w:rsidRPr="006710E4">
        <w:t xml:space="preserve"> summarises the key</w:t>
      </w:r>
      <w:r w:rsidR="003E782B" w:rsidRPr="006710E4">
        <w:t xml:space="preserve"> drivers of the economic model</w:t>
      </w:r>
      <w:r w:rsidR="00780EA4">
        <w:t>, based on the base case proposed in the PSCR</w:t>
      </w:r>
      <w:r w:rsidR="003E782B" w:rsidRPr="006710E4">
        <w:t>.</w:t>
      </w:r>
      <w:r w:rsidR="00D43C9A" w:rsidRPr="006710E4">
        <w:t xml:space="preserve"> </w:t>
      </w:r>
    </w:p>
    <w:p w14:paraId="774D46B7" w14:textId="4835FF08" w:rsidR="00D110BD" w:rsidRPr="006710E4" w:rsidRDefault="00D110BD" w:rsidP="006B405D">
      <w:pPr>
        <w:keepNext/>
        <w:keepLines/>
        <w:widowControl/>
        <w:rPr>
          <w:rStyle w:val="CommentReference"/>
        </w:rPr>
      </w:pPr>
      <w:bookmarkStart w:id="42" w:name="_Ref92041186"/>
      <w:r w:rsidRPr="006710E4">
        <w:rPr>
          <w:rStyle w:val="CommentReference"/>
        </w:rPr>
        <w:t xml:space="preserve">Table </w:t>
      </w:r>
      <w:r w:rsidR="005B37DA" w:rsidRPr="006710E4">
        <w:rPr>
          <w:rStyle w:val="CommentReference"/>
        </w:rPr>
        <w:fldChar w:fldCharType="begin"/>
      </w:r>
      <w:r w:rsidR="005B37DA" w:rsidRPr="006710E4">
        <w:rPr>
          <w:rStyle w:val="CommentReference"/>
        </w:rPr>
        <w:instrText xml:space="preserve"> SEQ Table \* ARABIC </w:instrText>
      </w:r>
      <w:r w:rsidR="005B37DA" w:rsidRPr="006710E4">
        <w:rPr>
          <w:rStyle w:val="CommentReference"/>
        </w:rPr>
        <w:fldChar w:fldCharType="separate"/>
      </w:r>
      <w:r w:rsidR="004975AD">
        <w:rPr>
          <w:rStyle w:val="CommentReference"/>
          <w:noProof/>
        </w:rPr>
        <w:t>9</w:t>
      </w:r>
      <w:r w:rsidR="005B37DA" w:rsidRPr="006710E4">
        <w:rPr>
          <w:rStyle w:val="CommentReference"/>
        </w:rPr>
        <w:fldChar w:fldCharType="end"/>
      </w:r>
      <w:bookmarkEnd w:id="42"/>
      <w:r w:rsidRPr="006710E4">
        <w:rPr>
          <w:rStyle w:val="CommentReference"/>
        </w:rPr>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72"/>
        <w:gridCol w:w="4961"/>
        <w:gridCol w:w="2784"/>
      </w:tblGrid>
      <w:tr w:rsidR="00537182" w:rsidRPr="006710E4" w14:paraId="4DD8026E" w14:textId="77777777" w:rsidTr="009542BB">
        <w:trPr>
          <w:tblHeader/>
        </w:trPr>
        <w:tc>
          <w:tcPr>
            <w:tcW w:w="705" w:type="pct"/>
            <w:shd w:val="clear" w:color="auto" w:fill="auto"/>
            <w:vAlign w:val="center"/>
          </w:tcPr>
          <w:p w14:paraId="6A9EC2DA" w14:textId="77777777" w:rsidR="00D110BD" w:rsidRPr="006710E4" w:rsidRDefault="00D110BD" w:rsidP="006B405D">
            <w:pPr>
              <w:pStyle w:val="Tabletext"/>
              <w:keepNext/>
              <w:keepLines/>
              <w:rPr>
                <w:b/>
              </w:rPr>
            </w:pPr>
            <w:r w:rsidRPr="006710E4">
              <w:rPr>
                <w:b/>
              </w:rPr>
              <w:t>Description</w:t>
            </w:r>
          </w:p>
        </w:tc>
        <w:tc>
          <w:tcPr>
            <w:tcW w:w="2750" w:type="pct"/>
            <w:shd w:val="clear" w:color="auto" w:fill="auto"/>
            <w:vAlign w:val="center"/>
          </w:tcPr>
          <w:p w14:paraId="67A62672" w14:textId="77777777" w:rsidR="00D110BD" w:rsidRPr="006710E4" w:rsidRDefault="00D110BD" w:rsidP="006B405D">
            <w:pPr>
              <w:pStyle w:val="Tabletext"/>
              <w:keepNext/>
              <w:keepLines/>
              <w:jc w:val="center"/>
              <w:rPr>
                <w:b/>
              </w:rPr>
            </w:pPr>
            <w:r w:rsidRPr="006710E4">
              <w:rPr>
                <w:b/>
              </w:rPr>
              <w:t>Method/Value</w:t>
            </w:r>
          </w:p>
        </w:tc>
        <w:tc>
          <w:tcPr>
            <w:tcW w:w="1544" w:type="pct"/>
            <w:shd w:val="clear" w:color="auto" w:fill="auto"/>
            <w:vAlign w:val="center"/>
          </w:tcPr>
          <w:p w14:paraId="6CCE3D97" w14:textId="77777777" w:rsidR="00D110BD" w:rsidRPr="00780EA4" w:rsidRDefault="00D110BD" w:rsidP="006B405D">
            <w:pPr>
              <w:pStyle w:val="Tabletext"/>
              <w:keepNext/>
              <w:keepLines/>
              <w:jc w:val="center"/>
              <w:rPr>
                <w:b/>
              </w:rPr>
            </w:pPr>
            <w:r w:rsidRPr="00780EA4">
              <w:rPr>
                <w:b/>
              </w:rPr>
              <w:t>Impact</w:t>
            </w:r>
          </w:p>
          <w:p w14:paraId="6C1DC9EA" w14:textId="364FDBD9" w:rsidR="00490288" w:rsidRPr="00780EA4" w:rsidRDefault="00490288" w:rsidP="006B405D">
            <w:pPr>
              <w:pStyle w:val="Tabletext"/>
              <w:keepNext/>
              <w:keepLines/>
              <w:jc w:val="center"/>
              <w:rPr>
                <w:b/>
              </w:rPr>
            </w:pPr>
            <w:r w:rsidRPr="00780EA4">
              <w:rPr>
                <w:b/>
              </w:rPr>
              <w:t xml:space="preserve">Base case ICER in PSCR = </w:t>
            </w:r>
            <w:r w:rsidR="00703F48" w:rsidRPr="00780EA4">
              <w:rPr>
                <w:b/>
                <w:szCs w:val="20"/>
              </w:rPr>
              <w:t>$</w:t>
            </w:r>
            <w:r w:rsidR="00217797" w:rsidRPr="00217797">
              <w:rPr>
                <w:b/>
                <w:color w:val="000000"/>
                <w:spacing w:val="48"/>
                <w:szCs w:val="20"/>
                <w:shd w:val="solid" w:color="000000" w:fill="000000"/>
                <w:fitText w:val="330" w:id="-1502445561"/>
                <w14:textFill>
                  <w14:solidFill>
                    <w14:srgbClr w14:val="000000">
                      <w14:alpha w14:val="100000"/>
                    </w14:srgbClr>
                  </w14:solidFill>
                </w14:textFill>
              </w:rPr>
              <w:t>|||</w:t>
            </w:r>
            <w:r w:rsidR="00217797" w:rsidRPr="00217797">
              <w:rPr>
                <w:b/>
                <w:color w:val="000000"/>
                <w:spacing w:val="3"/>
                <w:szCs w:val="20"/>
                <w:shd w:val="solid" w:color="000000" w:fill="000000"/>
                <w:fitText w:val="330" w:id="-1502445561"/>
                <w14:textFill>
                  <w14:solidFill>
                    <w14:srgbClr w14:val="000000">
                      <w14:alpha w14:val="100000"/>
                    </w14:srgbClr>
                  </w14:solidFill>
                </w14:textFill>
              </w:rPr>
              <w:t>|</w:t>
            </w:r>
          </w:p>
        </w:tc>
      </w:tr>
      <w:tr w:rsidR="00537182" w:rsidRPr="006710E4" w14:paraId="3DE22150" w14:textId="77777777" w:rsidTr="009542BB">
        <w:tc>
          <w:tcPr>
            <w:tcW w:w="705" w:type="pct"/>
            <w:shd w:val="clear" w:color="auto" w:fill="auto"/>
            <w:vAlign w:val="center"/>
          </w:tcPr>
          <w:p w14:paraId="72E20981" w14:textId="56B93227" w:rsidR="00D110BD" w:rsidRPr="006710E4" w:rsidRDefault="00106B80" w:rsidP="006B405D">
            <w:pPr>
              <w:pStyle w:val="Tabletext"/>
              <w:keepNext/>
              <w:keepLines/>
            </w:pPr>
            <w:r w:rsidRPr="006710E4">
              <w:t>Extrapolation</w:t>
            </w:r>
            <w:r w:rsidR="00941699" w:rsidRPr="006710E4">
              <w:t xml:space="preserve"> function</w:t>
            </w:r>
            <w:r w:rsidR="006165D3" w:rsidRPr="006710E4">
              <w:t xml:space="preserve"> for OS</w:t>
            </w:r>
          </w:p>
        </w:tc>
        <w:tc>
          <w:tcPr>
            <w:tcW w:w="2750" w:type="pct"/>
            <w:shd w:val="clear" w:color="auto" w:fill="auto"/>
            <w:vAlign w:val="center"/>
          </w:tcPr>
          <w:p w14:paraId="64938802" w14:textId="78FCFAC3" w:rsidR="00106B80" w:rsidRPr="006710E4" w:rsidRDefault="00BF2CD2" w:rsidP="00AC02E7">
            <w:pPr>
              <w:pStyle w:val="Tabletext"/>
              <w:keepNext/>
              <w:keepLines/>
              <w:rPr>
                <w:iCs/>
              </w:rPr>
            </w:pPr>
            <w:r w:rsidRPr="006710E4">
              <w:t xml:space="preserve">Parametric functions were fitted to the trial data to extrapolate respective survival curves to the model time horizon. </w:t>
            </w:r>
          </w:p>
        </w:tc>
        <w:tc>
          <w:tcPr>
            <w:tcW w:w="1544" w:type="pct"/>
            <w:shd w:val="clear" w:color="auto" w:fill="auto"/>
            <w:vAlign w:val="center"/>
          </w:tcPr>
          <w:p w14:paraId="0AD58F2B" w14:textId="65B7EBA8" w:rsidR="00D110BD" w:rsidRPr="006710E4" w:rsidRDefault="00D110BD" w:rsidP="002A66F6">
            <w:pPr>
              <w:pStyle w:val="Tabletext"/>
              <w:keepNext/>
              <w:keepLines/>
            </w:pPr>
            <w:r w:rsidRPr="006710E4">
              <w:t xml:space="preserve">High, </w:t>
            </w:r>
            <w:r w:rsidR="00C16B7B" w:rsidRPr="006710E4">
              <w:t xml:space="preserve">favoured </w:t>
            </w:r>
            <w:proofErr w:type="spellStart"/>
            <w:r w:rsidR="00C16B7B" w:rsidRPr="006710E4">
              <w:t>dostarlimab</w:t>
            </w:r>
            <w:proofErr w:type="spellEnd"/>
            <w:r w:rsidR="00C16B7B" w:rsidRPr="006710E4">
              <w:t xml:space="preserve"> or SoC depending on the choice of extrapolation.</w:t>
            </w:r>
            <w:r w:rsidR="007844EE" w:rsidRPr="006710E4">
              <w:t xml:space="preserve"> </w:t>
            </w:r>
            <w:r w:rsidR="00C16B7B" w:rsidRPr="006710E4">
              <w:t xml:space="preserve">The choice of extrapolation (applied to both the </w:t>
            </w:r>
            <w:proofErr w:type="spellStart"/>
            <w:r w:rsidR="00C16B7B" w:rsidRPr="006710E4">
              <w:t>dostarlimab</w:t>
            </w:r>
            <w:proofErr w:type="spellEnd"/>
            <w:r w:rsidR="00C16B7B" w:rsidRPr="006710E4">
              <w:t xml:space="preserve"> and the SoC arms) for OS had a large impact on the ICER</w:t>
            </w:r>
            <w:r w:rsidR="002A66F6">
              <w:t xml:space="preserve"> </w:t>
            </w:r>
            <w:r w:rsidR="002A66F6" w:rsidRPr="00550171">
              <w:t>(</w:t>
            </w:r>
            <w:proofErr w:type="gramStart"/>
            <w:r w:rsidR="002A66F6" w:rsidRPr="00550171">
              <w:t>e.g.</w:t>
            </w:r>
            <w:proofErr w:type="gramEnd"/>
            <w:r w:rsidR="002A66F6" w:rsidRPr="00550171">
              <w:t xml:space="preserve"> 31% increase using exponential)</w:t>
            </w:r>
            <w:r w:rsidR="00C16B7B" w:rsidRPr="00550171">
              <w:t>.</w:t>
            </w:r>
            <w:r w:rsidR="00BF2CD2" w:rsidRPr="006710E4">
              <w:t xml:space="preserve"> </w:t>
            </w:r>
          </w:p>
        </w:tc>
      </w:tr>
      <w:tr w:rsidR="00537182" w:rsidRPr="006710E4" w14:paraId="3483847F" w14:textId="77777777" w:rsidTr="009542BB">
        <w:tc>
          <w:tcPr>
            <w:tcW w:w="705" w:type="pct"/>
            <w:shd w:val="clear" w:color="auto" w:fill="auto"/>
            <w:vAlign w:val="center"/>
          </w:tcPr>
          <w:p w14:paraId="2724D8D9" w14:textId="43E311A4" w:rsidR="00D110BD" w:rsidRPr="006710E4" w:rsidRDefault="00D83712" w:rsidP="006B405D">
            <w:pPr>
              <w:pStyle w:val="Tabletext"/>
              <w:keepNext/>
              <w:keepLines/>
            </w:pPr>
            <w:r w:rsidRPr="006710E4">
              <w:t xml:space="preserve">Time horizon </w:t>
            </w:r>
          </w:p>
        </w:tc>
        <w:tc>
          <w:tcPr>
            <w:tcW w:w="2750" w:type="pct"/>
            <w:shd w:val="clear" w:color="auto" w:fill="auto"/>
            <w:vAlign w:val="center"/>
          </w:tcPr>
          <w:p w14:paraId="4B9FCE0E" w14:textId="4C40471A" w:rsidR="00D110BD" w:rsidRPr="006710E4" w:rsidRDefault="00D83712" w:rsidP="00397765">
            <w:pPr>
              <w:pStyle w:val="Tabletext"/>
              <w:keepNext/>
              <w:keepLines/>
            </w:pPr>
            <w:r w:rsidRPr="006710E4">
              <w:t>Base case time horizon was 10 years</w:t>
            </w:r>
            <w:r w:rsidR="00490288">
              <w:t xml:space="preserve">, </w:t>
            </w:r>
            <w:r w:rsidR="00490288" w:rsidRPr="00550171">
              <w:rPr>
                <w:iCs/>
              </w:rPr>
              <w:t>which was reduced to 7.</w:t>
            </w:r>
            <w:r w:rsidR="00B42319" w:rsidRPr="00550171">
              <w:rPr>
                <w:iCs/>
              </w:rPr>
              <w:t>5</w:t>
            </w:r>
            <w:r w:rsidR="00B42319">
              <w:rPr>
                <w:iCs/>
              </w:rPr>
              <w:t> </w:t>
            </w:r>
            <w:r w:rsidR="00490288" w:rsidRPr="00550171">
              <w:rPr>
                <w:iCs/>
              </w:rPr>
              <w:t xml:space="preserve">years in the PSCR. ESC considered that </w:t>
            </w:r>
            <w:r w:rsidRPr="00550171">
              <w:rPr>
                <w:iCs/>
              </w:rPr>
              <w:t>a shorter time horizon</w:t>
            </w:r>
            <w:r w:rsidRPr="006710E4">
              <w:t xml:space="preserve"> of 5 years may be more appropriate given the </w:t>
            </w:r>
            <w:r w:rsidR="00490288">
              <w:t>immature OS data from</w:t>
            </w:r>
            <w:r w:rsidR="00BF2CD2" w:rsidRPr="006710E4">
              <w:t xml:space="preserve"> GARNET</w:t>
            </w:r>
            <w:r w:rsidRPr="006710E4">
              <w:t>.</w:t>
            </w:r>
            <w:r w:rsidR="009D1F95" w:rsidRPr="006710E4">
              <w:t xml:space="preserve"> </w:t>
            </w:r>
            <w:proofErr w:type="gramStart"/>
            <w:r w:rsidR="009D1F95" w:rsidRPr="006710E4">
              <w:t>The majority of</w:t>
            </w:r>
            <w:proofErr w:type="gramEnd"/>
            <w:r w:rsidR="009D1F95" w:rsidRPr="006710E4">
              <w:t xml:space="preserve"> benefit modelled was derived during the extrapolated period.</w:t>
            </w:r>
            <w:r w:rsidR="00392B66" w:rsidRPr="006710E4">
              <w:t xml:space="preserve"> </w:t>
            </w:r>
            <w:r w:rsidR="00095FD2" w:rsidRPr="006710E4">
              <w:t>A l</w:t>
            </w:r>
            <w:r w:rsidR="00392B66" w:rsidRPr="006710E4">
              <w:t>onger</w:t>
            </w:r>
            <w:r w:rsidR="00F53B85" w:rsidRPr="006710E4">
              <w:t xml:space="preserve"> OS</w:t>
            </w:r>
            <w:r w:rsidR="00392B66" w:rsidRPr="006710E4">
              <w:t xml:space="preserve"> extrapolation was also associated with increased uncertainty </w:t>
            </w:r>
            <w:r w:rsidR="00095FD2" w:rsidRPr="006710E4">
              <w:t xml:space="preserve">for </w:t>
            </w:r>
            <w:proofErr w:type="spellStart"/>
            <w:r w:rsidR="00095FD2" w:rsidRPr="006710E4">
              <w:t>dostarlimab</w:t>
            </w:r>
            <w:proofErr w:type="spellEnd"/>
            <w:r w:rsidR="00095FD2" w:rsidRPr="006710E4">
              <w:t xml:space="preserve"> arm </w:t>
            </w:r>
            <w:r w:rsidR="00392B66" w:rsidRPr="006710E4">
              <w:t xml:space="preserve">(see paragraph </w:t>
            </w:r>
            <w:r w:rsidR="00392B66" w:rsidRPr="006710E4">
              <w:fldChar w:fldCharType="begin"/>
            </w:r>
            <w:r w:rsidR="00392B66" w:rsidRPr="006710E4">
              <w:instrText xml:space="preserve"> REF _Ref92986688 \r \h </w:instrText>
            </w:r>
            <w:r w:rsidR="006710E4" w:rsidRPr="006710E4">
              <w:instrText xml:space="preserve"> \* MERGEFORMAT </w:instrText>
            </w:r>
            <w:r w:rsidR="00392B66" w:rsidRPr="006710E4">
              <w:fldChar w:fldCharType="separate"/>
            </w:r>
            <w:r w:rsidR="004975AD">
              <w:t>6.51</w:t>
            </w:r>
            <w:r w:rsidR="00392B66" w:rsidRPr="006710E4">
              <w:fldChar w:fldCharType="end"/>
            </w:r>
            <w:r w:rsidR="00392B66" w:rsidRPr="006710E4">
              <w:t>).</w:t>
            </w:r>
          </w:p>
        </w:tc>
        <w:tc>
          <w:tcPr>
            <w:tcW w:w="1544" w:type="pct"/>
            <w:shd w:val="clear" w:color="auto" w:fill="auto"/>
            <w:vAlign w:val="center"/>
          </w:tcPr>
          <w:p w14:paraId="4CB0C507" w14:textId="3852701E" w:rsidR="00D110BD" w:rsidRPr="006710E4" w:rsidRDefault="00537182" w:rsidP="002A66F6">
            <w:pPr>
              <w:pStyle w:val="Tabletext"/>
              <w:keepNext/>
              <w:keepLines/>
            </w:pPr>
            <w:r w:rsidRPr="006710E4">
              <w:t>High, favour</w:t>
            </w:r>
            <w:r w:rsidR="00C12B62" w:rsidRPr="006710E4">
              <w:t xml:space="preserve">ed </w:t>
            </w:r>
            <w:proofErr w:type="spellStart"/>
            <w:r w:rsidR="00C12B62" w:rsidRPr="006710E4">
              <w:t>dostarlimab</w:t>
            </w:r>
            <w:proofErr w:type="spellEnd"/>
            <w:r w:rsidR="00C12B62" w:rsidRPr="006710E4">
              <w:t xml:space="preserve">. Changing the time horizon to 5 years increased the ICER </w:t>
            </w:r>
            <w:r w:rsidR="00C12B62" w:rsidRPr="00550171">
              <w:rPr>
                <w:iCs/>
              </w:rPr>
              <w:t xml:space="preserve">to </w:t>
            </w:r>
            <w:r w:rsidR="00C16B7B" w:rsidRPr="00550171">
              <w:rPr>
                <w:iCs/>
              </w:rPr>
              <w:t>$</w:t>
            </w:r>
            <w:r w:rsidR="00217797" w:rsidRPr="00217797">
              <w:rPr>
                <w:iCs/>
                <w:color w:val="000000"/>
                <w:spacing w:val="53"/>
                <w:shd w:val="solid" w:color="000000" w:fill="000000"/>
                <w:fitText w:val="330" w:id="-1502445560"/>
                <w14:textFill>
                  <w14:solidFill>
                    <w14:srgbClr w14:val="000000">
                      <w14:alpha w14:val="100000"/>
                    </w14:srgbClr>
                  </w14:solidFill>
                </w14:textFill>
              </w:rPr>
              <w:t>|||</w:t>
            </w:r>
            <w:r w:rsidR="00217797" w:rsidRPr="00217797">
              <w:rPr>
                <w:iCs/>
                <w:color w:val="000000"/>
                <w:spacing w:val="1"/>
                <w:shd w:val="solid" w:color="000000" w:fill="000000"/>
                <w:fitText w:val="330" w:id="-1502445560"/>
                <w14:textFill>
                  <w14:solidFill>
                    <w14:srgbClr w14:val="000000">
                      <w14:alpha w14:val="100000"/>
                    </w14:srgbClr>
                  </w14:solidFill>
                </w14:textFill>
              </w:rPr>
              <w:t>|</w:t>
            </w:r>
            <w:r w:rsidR="00C16B7B" w:rsidRPr="00550171">
              <w:rPr>
                <w:iCs/>
              </w:rPr>
              <w:t xml:space="preserve"> (3</w:t>
            </w:r>
            <w:r w:rsidR="002A66F6" w:rsidRPr="00550171">
              <w:rPr>
                <w:iCs/>
              </w:rPr>
              <w:t>1</w:t>
            </w:r>
            <w:r w:rsidR="00C16B7B" w:rsidRPr="00550171">
              <w:rPr>
                <w:iCs/>
              </w:rPr>
              <w:t xml:space="preserve">%). </w:t>
            </w:r>
          </w:p>
        </w:tc>
      </w:tr>
      <w:tr w:rsidR="009542BB" w:rsidRPr="006710E4" w14:paraId="31FC70CC" w14:textId="77777777" w:rsidTr="009542BB">
        <w:tc>
          <w:tcPr>
            <w:tcW w:w="705" w:type="pct"/>
            <w:shd w:val="clear" w:color="auto" w:fill="auto"/>
            <w:vAlign w:val="center"/>
          </w:tcPr>
          <w:p w14:paraId="5E1002B7" w14:textId="2E986297" w:rsidR="009542BB" w:rsidRPr="006710E4" w:rsidRDefault="009542BB" w:rsidP="006B405D">
            <w:pPr>
              <w:pStyle w:val="Tabletext"/>
              <w:keepNext/>
              <w:keepLines/>
            </w:pPr>
            <w:r w:rsidRPr="006710E4">
              <w:t>Terminal care costs</w:t>
            </w:r>
          </w:p>
        </w:tc>
        <w:tc>
          <w:tcPr>
            <w:tcW w:w="2750" w:type="pct"/>
            <w:shd w:val="clear" w:color="auto" w:fill="auto"/>
            <w:vAlign w:val="center"/>
          </w:tcPr>
          <w:p w14:paraId="27451274" w14:textId="53C286D4" w:rsidR="009542BB" w:rsidRPr="006710E4" w:rsidRDefault="009542BB" w:rsidP="00397765">
            <w:pPr>
              <w:pStyle w:val="Tabletext"/>
              <w:keepNext/>
              <w:keepLines/>
              <w:rPr>
                <w:iCs/>
              </w:rPr>
            </w:pPr>
            <w:r w:rsidRPr="006710E4">
              <w:t>Base case assumed a once off terminal care cost of $</w:t>
            </w:r>
            <w:r w:rsidR="00217797" w:rsidRPr="00217797">
              <w:rPr>
                <w:color w:val="000000"/>
                <w:spacing w:val="53"/>
                <w:shd w:val="solid" w:color="000000" w:fill="000000"/>
                <w:fitText w:val="330" w:id="-1502445559"/>
                <w14:textFill>
                  <w14:solidFill>
                    <w14:srgbClr w14:val="000000">
                      <w14:alpha w14:val="100000"/>
                    </w14:srgbClr>
                  </w14:solidFill>
                </w14:textFill>
              </w:rPr>
              <w:t>|||</w:t>
            </w:r>
            <w:r w:rsidR="00217797" w:rsidRPr="00217797">
              <w:rPr>
                <w:color w:val="000000"/>
                <w:spacing w:val="1"/>
                <w:shd w:val="solid" w:color="000000" w:fill="000000"/>
                <w:fitText w:val="330" w:id="-1502445559"/>
                <w14:textFill>
                  <w14:solidFill>
                    <w14:srgbClr w14:val="000000">
                      <w14:alpha w14:val="100000"/>
                    </w14:srgbClr>
                  </w14:solidFill>
                </w14:textFill>
              </w:rPr>
              <w:t>|</w:t>
            </w:r>
            <w:r w:rsidRPr="006710E4">
              <w:t xml:space="preserve"> for every death, based on </w:t>
            </w:r>
            <w:proofErr w:type="spellStart"/>
            <w:r w:rsidRPr="006710E4">
              <w:t>Goldsbury</w:t>
            </w:r>
            <w:proofErr w:type="spellEnd"/>
            <w:r w:rsidRPr="006710E4">
              <w:t xml:space="preserve"> 2018</w:t>
            </w:r>
            <w:r w:rsidR="00DA6CDE" w:rsidRPr="006710E4">
              <w:t xml:space="preserve">. </w:t>
            </w:r>
            <w:r w:rsidRPr="006710E4">
              <w:rPr>
                <w:iCs/>
              </w:rPr>
              <w:t>However</w:t>
            </w:r>
            <w:r w:rsidR="006E0446">
              <w:rPr>
                <w:iCs/>
              </w:rPr>
              <w:t>,</w:t>
            </w:r>
            <w:r w:rsidR="00780EA4">
              <w:rPr>
                <w:iCs/>
              </w:rPr>
              <w:t xml:space="preserve"> ESC considered that,</w:t>
            </w:r>
            <w:r w:rsidRPr="006710E4">
              <w:rPr>
                <w:iCs/>
              </w:rPr>
              <w:t xml:space="preserve"> as treatment with </w:t>
            </w:r>
            <w:proofErr w:type="spellStart"/>
            <w:r w:rsidRPr="006710E4">
              <w:rPr>
                <w:iCs/>
              </w:rPr>
              <w:t>dostarlimab</w:t>
            </w:r>
            <w:proofErr w:type="spellEnd"/>
            <w:r w:rsidRPr="006710E4">
              <w:rPr>
                <w:iCs/>
              </w:rPr>
              <w:t xml:space="preserve"> delays rather than prevents death, </w:t>
            </w:r>
            <w:r w:rsidR="00294D17" w:rsidRPr="006710E4">
              <w:rPr>
                <w:iCs/>
              </w:rPr>
              <w:t>the application of terminal care cost</w:t>
            </w:r>
            <w:r w:rsidR="00DA6CDE" w:rsidRPr="006710E4">
              <w:rPr>
                <w:iCs/>
              </w:rPr>
              <w:t>s is uncertain</w:t>
            </w:r>
            <w:r w:rsidR="00294D17" w:rsidRPr="006710E4">
              <w:rPr>
                <w:iCs/>
              </w:rPr>
              <w:t xml:space="preserve"> unless a significant difference in the ‘cured’ population is clinically plausible</w:t>
            </w:r>
            <w:r w:rsidR="00EC7F93" w:rsidRPr="006710E4">
              <w:rPr>
                <w:iCs/>
              </w:rPr>
              <w:t xml:space="preserve"> as the terminal care costs will also (eventually) be incurred by patients treated with </w:t>
            </w:r>
            <w:proofErr w:type="spellStart"/>
            <w:r w:rsidR="00EC7F93" w:rsidRPr="006710E4">
              <w:rPr>
                <w:iCs/>
              </w:rPr>
              <w:t>dostarlimab</w:t>
            </w:r>
            <w:proofErr w:type="spellEnd"/>
            <w:r w:rsidR="00EC7F93" w:rsidRPr="006710E4">
              <w:rPr>
                <w:iCs/>
              </w:rPr>
              <w:t>, albeit not captured in the time horizon.</w:t>
            </w:r>
          </w:p>
        </w:tc>
        <w:tc>
          <w:tcPr>
            <w:tcW w:w="1544" w:type="pct"/>
            <w:shd w:val="clear" w:color="auto" w:fill="auto"/>
            <w:vAlign w:val="center"/>
          </w:tcPr>
          <w:p w14:paraId="1FE1BC2B" w14:textId="3B6C96A5" w:rsidR="009542BB" w:rsidRPr="006710E4" w:rsidRDefault="00657608" w:rsidP="003A234F">
            <w:pPr>
              <w:pStyle w:val="Tabletext"/>
              <w:keepNext/>
              <w:keepLines/>
            </w:pPr>
            <w:r w:rsidRPr="006710E4">
              <w:t xml:space="preserve">Removing terminal care </w:t>
            </w:r>
            <w:r w:rsidR="007844EE" w:rsidRPr="006710E4">
              <w:t>costs</w:t>
            </w:r>
            <w:r w:rsidRPr="006710E4">
              <w:t xml:space="preserve"> increased ICER by </w:t>
            </w:r>
            <w:r w:rsidRPr="00780EA4">
              <w:t>1</w:t>
            </w:r>
            <w:r w:rsidR="002A66F6" w:rsidRPr="00780EA4">
              <w:t>8</w:t>
            </w:r>
            <w:r w:rsidRPr="00780EA4">
              <w:t>%</w:t>
            </w:r>
            <w:r w:rsidRPr="002A66F6">
              <w:rPr>
                <w:i/>
              </w:rPr>
              <w:t>.</w:t>
            </w:r>
            <w:r w:rsidRPr="006710E4">
              <w:t xml:space="preserve"> Moderate and favours </w:t>
            </w:r>
            <w:proofErr w:type="spellStart"/>
            <w:r w:rsidRPr="006710E4">
              <w:t>dostarlimab</w:t>
            </w:r>
            <w:proofErr w:type="spellEnd"/>
            <w:r w:rsidR="003A234F">
              <w:t>.</w:t>
            </w:r>
          </w:p>
        </w:tc>
      </w:tr>
      <w:tr w:rsidR="00EE0F82" w:rsidRPr="006710E4" w14:paraId="06A5B3F0" w14:textId="77777777" w:rsidTr="009542BB">
        <w:tc>
          <w:tcPr>
            <w:tcW w:w="705" w:type="pct"/>
            <w:shd w:val="clear" w:color="auto" w:fill="auto"/>
            <w:vAlign w:val="center"/>
          </w:tcPr>
          <w:p w14:paraId="3894E70B" w14:textId="0B3BD0C6" w:rsidR="00EE0F82" w:rsidRPr="006710E4" w:rsidRDefault="00EE0F82" w:rsidP="006B405D">
            <w:pPr>
              <w:pStyle w:val="Tabletext"/>
              <w:keepNext/>
              <w:keepLines/>
            </w:pPr>
            <w:r w:rsidRPr="006710E4">
              <w:t>Utility</w:t>
            </w:r>
          </w:p>
        </w:tc>
        <w:tc>
          <w:tcPr>
            <w:tcW w:w="2750" w:type="pct"/>
            <w:shd w:val="clear" w:color="auto" w:fill="auto"/>
            <w:vAlign w:val="center"/>
          </w:tcPr>
          <w:p w14:paraId="437059AD" w14:textId="40295784" w:rsidR="00EE0F82" w:rsidRPr="006710E4" w:rsidRDefault="00EE0F82" w:rsidP="00217F86">
            <w:pPr>
              <w:pStyle w:val="Tabletext"/>
              <w:keepNext/>
              <w:keepLines/>
            </w:pPr>
            <w:r w:rsidRPr="006710E4">
              <w:t>Base case utility for PF (0.726) and PD (0.684)</w:t>
            </w:r>
            <w:r w:rsidR="00F56D8F" w:rsidRPr="006710E4">
              <w:t xml:space="preserve">. </w:t>
            </w:r>
            <w:r w:rsidR="008F3E93" w:rsidRPr="006710E4">
              <w:t xml:space="preserve">A higher utility value for PD or PF led to a lower ICER, and a </w:t>
            </w:r>
            <w:r w:rsidR="007844EE" w:rsidRPr="006710E4">
              <w:t>lower utility</w:t>
            </w:r>
            <w:r w:rsidR="008F3E93" w:rsidRPr="006710E4">
              <w:t xml:space="preserve"> value for PD or PF led to a higher ICER, irrespective of the </w:t>
            </w:r>
            <w:r w:rsidR="009542BB" w:rsidRPr="006710E4">
              <w:t xml:space="preserve">incremental </w:t>
            </w:r>
            <w:r w:rsidR="00E26EF7" w:rsidRPr="006710E4">
              <w:t>difference between PF and PD</w:t>
            </w:r>
            <w:r w:rsidR="009542BB" w:rsidRPr="006710E4">
              <w:t>.</w:t>
            </w:r>
            <w:r w:rsidR="0018688E" w:rsidRPr="006710E4">
              <w:t xml:space="preserve"> Sensitivity analys</w:t>
            </w:r>
            <w:r w:rsidR="00217F86" w:rsidRPr="006710E4">
              <w:t>e</w:t>
            </w:r>
            <w:r w:rsidR="0018688E" w:rsidRPr="006710E4">
              <w:t xml:space="preserve">s using values from </w:t>
            </w:r>
            <w:proofErr w:type="spellStart"/>
            <w:r w:rsidR="0018688E" w:rsidRPr="006710E4">
              <w:t>Thurgar</w:t>
            </w:r>
            <w:proofErr w:type="spellEnd"/>
            <w:r w:rsidR="0018688E" w:rsidRPr="006710E4">
              <w:t xml:space="preserve"> 2021, which were numerically higher than the base case (PF = 0.817, PD =0.779) but with a smaller incremental difference between states, w</w:t>
            </w:r>
            <w:r w:rsidR="00217F86" w:rsidRPr="006710E4">
              <w:t>ere</w:t>
            </w:r>
            <w:r w:rsidR="0018688E" w:rsidRPr="006710E4">
              <w:t xml:space="preserve"> tested by the submission.</w:t>
            </w:r>
          </w:p>
        </w:tc>
        <w:tc>
          <w:tcPr>
            <w:tcW w:w="1544" w:type="pct"/>
            <w:shd w:val="clear" w:color="auto" w:fill="auto"/>
            <w:vAlign w:val="center"/>
          </w:tcPr>
          <w:p w14:paraId="70075D25" w14:textId="6F5457D4" w:rsidR="00E26EF7" w:rsidRPr="006710E4" w:rsidRDefault="008F3E93" w:rsidP="006B405D">
            <w:pPr>
              <w:pStyle w:val="Tabletext"/>
              <w:keepNext/>
              <w:keepLines/>
            </w:pPr>
            <w:r w:rsidRPr="006710E4">
              <w:t xml:space="preserve">Using values from </w:t>
            </w:r>
            <w:proofErr w:type="spellStart"/>
            <w:r w:rsidRPr="006710E4">
              <w:t>Thurgar</w:t>
            </w:r>
            <w:proofErr w:type="spellEnd"/>
            <w:r w:rsidRPr="006710E4">
              <w:t xml:space="preserve"> 2021, reduced the ICER by 11.5%. </w:t>
            </w:r>
          </w:p>
          <w:p w14:paraId="311E78A7" w14:textId="77777777" w:rsidR="00E26EF7" w:rsidRPr="006710E4" w:rsidRDefault="00E26EF7" w:rsidP="006B405D">
            <w:pPr>
              <w:pStyle w:val="Tabletext"/>
              <w:keepNext/>
              <w:keepLines/>
            </w:pPr>
          </w:p>
          <w:p w14:paraId="482D2308" w14:textId="3F5B0008" w:rsidR="00EE0F82" w:rsidRPr="006710E4" w:rsidRDefault="0001122D" w:rsidP="00217F86">
            <w:pPr>
              <w:pStyle w:val="Tabletext"/>
              <w:keepNext/>
              <w:keepLines/>
              <w:rPr>
                <w:iCs/>
              </w:rPr>
            </w:pPr>
            <w:r w:rsidRPr="006710E4">
              <w:rPr>
                <w:iCs/>
              </w:rPr>
              <w:t>Moderate</w:t>
            </w:r>
            <w:r w:rsidR="00E26EF7" w:rsidRPr="006710E4">
              <w:rPr>
                <w:iCs/>
              </w:rPr>
              <w:t xml:space="preserve"> impact</w:t>
            </w:r>
            <w:r w:rsidRPr="006710E4">
              <w:rPr>
                <w:iCs/>
              </w:rPr>
              <w:t xml:space="preserve">. Possibly favoured </w:t>
            </w:r>
            <w:proofErr w:type="spellStart"/>
            <w:r w:rsidRPr="006710E4">
              <w:rPr>
                <w:iCs/>
              </w:rPr>
              <w:t>SoC.</w:t>
            </w:r>
            <w:proofErr w:type="spellEnd"/>
            <w:r w:rsidRPr="006710E4">
              <w:rPr>
                <w:iCs/>
              </w:rPr>
              <w:t xml:space="preserve"> However, should the utility in </w:t>
            </w:r>
            <w:r w:rsidR="00E26EF7" w:rsidRPr="006710E4">
              <w:rPr>
                <w:iCs/>
              </w:rPr>
              <w:t xml:space="preserve">the Australian population be numerically </w:t>
            </w:r>
            <w:r w:rsidR="00130EC4" w:rsidRPr="006710E4">
              <w:rPr>
                <w:iCs/>
              </w:rPr>
              <w:t xml:space="preserve">lower </w:t>
            </w:r>
            <w:r w:rsidR="00E26EF7" w:rsidRPr="006710E4">
              <w:rPr>
                <w:iCs/>
              </w:rPr>
              <w:t xml:space="preserve">than </w:t>
            </w:r>
            <w:r w:rsidR="009542BB" w:rsidRPr="006710E4">
              <w:rPr>
                <w:iCs/>
              </w:rPr>
              <w:t>calculated by the submission</w:t>
            </w:r>
            <w:r w:rsidR="00130EC4" w:rsidRPr="006710E4">
              <w:rPr>
                <w:iCs/>
              </w:rPr>
              <w:t xml:space="preserve"> (which was based on a </w:t>
            </w:r>
            <w:r w:rsidR="002D5868" w:rsidRPr="006710E4">
              <w:rPr>
                <w:iCs/>
              </w:rPr>
              <w:t>non-Australian</w:t>
            </w:r>
            <w:r w:rsidR="00130EC4" w:rsidRPr="006710E4">
              <w:rPr>
                <w:iCs/>
              </w:rPr>
              <w:t xml:space="preserve"> population and mapped therefore </w:t>
            </w:r>
            <w:r w:rsidR="0018688E" w:rsidRPr="006710E4">
              <w:rPr>
                <w:iCs/>
              </w:rPr>
              <w:t>carried uncertainty</w:t>
            </w:r>
            <w:r w:rsidR="00130EC4" w:rsidRPr="006710E4">
              <w:rPr>
                <w:iCs/>
              </w:rPr>
              <w:t>)</w:t>
            </w:r>
            <w:r w:rsidR="009542BB" w:rsidRPr="006710E4">
              <w:rPr>
                <w:iCs/>
              </w:rPr>
              <w:t xml:space="preserve">, may favour </w:t>
            </w:r>
            <w:proofErr w:type="spellStart"/>
            <w:r w:rsidR="009542BB" w:rsidRPr="006710E4">
              <w:rPr>
                <w:iCs/>
              </w:rPr>
              <w:t>dostarlimab</w:t>
            </w:r>
            <w:proofErr w:type="spellEnd"/>
            <w:r w:rsidR="009542BB" w:rsidRPr="006710E4">
              <w:rPr>
                <w:iCs/>
              </w:rPr>
              <w:t xml:space="preserve">. </w:t>
            </w:r>
          </w:p>
        </w:tc>
      </w:tr>
    </w:tbl>
    <w:p w14:paraId="0DC9BC51" w14:textId="66A11785" w:rsidR="00D82E9E" w:rsidRPr="006710E4" w:rsidRDefault="00D82E9E" w:rsidP="006B405D">
      <w:pPr>
        <w:pStyle w:val="TableFooter"/>
        <w:keepNext/>
        <w:keepLines/>
      </w:pPr>
      <w:r w:rsidRPr="006710E4">
        <w:t>Source: Table 117&amp;118, pp209-210 of the submission.</w:t>
      </w:r>
    </w:p>
    <w:p w14:paraId="4D102999" w14:textId="37501568" w:rsidR="00EE0F82" w:rsidRPr="006710E4" w:rsidRDefault="00EE0F82" w:rsidP="006B405D">
      <w:pPr>
        <w:pStyle w:val="TableFooter"/>
        <w:keepNext/>
        <w:keepLines/>
      </w:pPr>
      <w:r w:rsidRPr="006710E4">
        <w:t>PD = progressed disease; PF = progression free; OS = overall survival; SoC = standard of care</w:t>
      </w:r>
    </w:p>
    <w:p w14:paraId="438D30AA" w14:textId="77777777" w:rsidR="009D792E" w:rsidRPr="006710E4" w:rsidRDefault="009D792E" w:rsidP="00275C5A">
      <w:pPr>
        <w:widowControl/>
      </w:pPr>
    </w:p>
    <w:p w14:paraId="11E057BC" w14:textId="57B3622B" w:rsidR="00275C5A" w:rsidRPr="006710E4" w:rsidRDefault="00413CCD" w:rsidP="00E24AE9">
      <w:pPr>
        <w:pStyle w:val="ListParagraph"/>
        <w:widowControl/>
        <w:numPr>
          <w:ilvl w:val="1"/>
          <w:numId w:val="2"/>
        </w:numPr>
      </w:pPr>
      <w:r w:rsidRPr="006710E4">
        <w:fldChar w:fldCharType="begin"/>
      </w:r>
      <w:r w:rsidRPr="006710E4">
        <w:instrText xml:space="preserve"> REF _Ref92041617 \h  \* MERGEFORMAT </w:instrText>
      </w:r>
      <w:r w:rsidRPr="006710E4">
        <w:fldChar w:fldCharType="separate"/>
      </w:r>
      <w:r w:rsidR="004975AD" w:rsidRPr="004975AD">
        <w:t>Table 10</w:t>
      </w:r>
      <w:r w:rsidRPr="006710E4">
        <w:fldChar w:fldCharType="end"/>
      </w:r>
      <w:r w:rsidRPr="006710E4">
        <w:t xml:space="preserve"> summarises the results of the economic evaluation presented in the submission. </w:t>
      </w:r>
    </w:p>
    <w:p w14:paraId="63D487B8" w14:textId="20F62121" w:rsidR="00D110BD" w:rsidRPr="006710E4" w:rsidRDefault="00E351BD" w:rsidP="00E351BD">
      <w:pPr>
        <w:keepNext/>
        <w:widowControl/>
        <w:rPr>
          <w:rStyle w:val="CommentReference"/>
        </w:rPr>
      </w:pPr>
      <w:bookmarkStart w:id="43" w:name="_Ref92041617"/>
      <w:r w:rsidRPr="006710E4">
        <w:rPr>
          <w:rStyle w:val="CommentReference"/>
        </w:rPr>
        <w:t xml:space="preserve">Table </w:t>
      </w:r>
      <w:r w:rsidRPr="006710E4">
        <w:rPr>
          <w:rStyle w:val="CommentReference"/>
        </w:rPr>
        <w:fldChar w:fldCharType="begin"/>
      </w:r>
      <w:r w:rsidRPr="006710E4">
        <w:rPr>
          <w:rStyle w:val="CommentReference"/>
        </w:rPr>
        <w:instrText xml:space="preserve"> SEQ Table \* ARABIC </w:instrText>
      </w:r>
      <w:r w:rsidRPr="006710E4">
        <w:rPr>
          <w:rStyle w:val="CommentReference"/>
        </w:rPr>
        <w:fldChar w:fldCharType="separate"/>
      </w:r>
      <w:r w:rsidR="004975AD">
        <w:rPr>
          <w:rStyle w:val="CommentReference"/>
          <w:noProof/>
        </w:rPr>
        <w:t>10</w:t>
      </w:r>
      <w:r w:rsidRPr="006710E4">
        <w:rPr>
          <w:rStyle w:val="CommentReference"/>
        </w:rPr>
        <w:fldChar w:fldCharType="end"/>
      </w:r>
      <w:bookmarkEnd w:id="43"/>
      <w:r w:rsidR="005A373D" w:rsidRPr="006710E4">
        <w:rPr>
          <w:rStyle w:val="CommentReference"/>
        </w:rPr>
        <w:t>: Results of the stepped economic evaluation</w:t>
      </w:r>
      <w:r w:rsidR="003A234F">
        <w:rPr>
          <w:rStyle w:val="CommentReference"/>
        </w:rPr>
        <w:t xml:space="preserve"> (submission and PSCR)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757"/>
        <w:gridCol w:w="2451"/>
        <w:gridCol w:w="2298"/>
        <w:gridCol w:w="1511"/>
      </w:tblGrid>
      <w:tr w:rsidR="006B3928" w:rsidRPr="006710E4" w14:paraId="4BAEADB0" w14:textId="77777777" w:rsidTr="00EA5CC9">
        <w:trPr>
          <w:tblHeader/>
        </w:trPr>
        <w:tc>
          <w:tcPr>
            <w:tcW w:w="1529" w:type="pct"/>
            <w:vAlign w:val="center"/>
          </w:tcPr>
          <w:p w14:paraId="6EA4C704" w14:textId="77777777" w:rsidR="006B3928" w:rsidRPr="006710E4" w:rsidRDefault="006B3928" w:rsidP="00EA5CC9">
            <w:pPr>
              <w:pStyle w:val="Tabletext"/>
              <w:keepNext/>
              <w:keepLines/>
              <w:rPr>
                <w:b/>
              </w:rPr>
            </w:pPr>
            <w:r w:rsidRPr="006710E4">
              <w:rPr>
                <w:b/>
              </w:rPr>
              <w:t>Step and component</w:t>
            </w:r>
          </w:p>
        </w:tc>
        <w:tc>
          <w:tcPr>
            <w:tcW w:w="1359" w:type="pct"/>
            <w:vAlign w:val="center"/>
          </w:tcPr>
          <w:p w14:paraId="4273E149" w14:textId="77777777" w:rsidR="006B3928" w:rsidRPr="006710E4" w:rsidRDefault="006B3928" w:rsidP="00EA5CC9">
            <w:pPr>
              <w:pStyle w:val="Tabletext"/>
              <w:keepNext/>
              <w:keepLines/>
              <w:jc w:val="center"/>
              <w:rPr>
                <w:b/>
              </w:rPr>
            </w:pPr>
            <w:proofErr w:type="spellStart"/>
            <w:r w:rsidRPr="006710E4">
              <w:rPr>
                <w:b/>
              </w:rPr>
              <w:t>Dostarlimab</w:t>
            </w:r>
            <w:proofErr w:type="spellEnd"/>
          </w:p>
        </w:tc>
        <w:tc>
          <w:tcPr>
            <w:tcW w:w="1274" w:type="pct"/>
            <w:vAlign w:val="center"/>
          </w:tcPr>
          <w:p w14:paraId="729678AB" w14:textId="77777777" w:rsidR="006B3928" w:rsidRPr="006710E4" w:rsidRDefault="006B3928" w:rsidP="00EA5CC9">
            <w:pPr>
              <w:pStyle w:val="Tabletext"/>
              <w:keepNext/>
              <w:keepLines/>
              <w:jc w:val="center"/>
              <w:rPr>
                <w:b/>
              </w:rPr>
            </w:pPr>
            <w:r w:rsidRPr="006710E4">
              <w:rPr>
                <w:b/>
              </w:rPr>
              <w:t>SoC</w:t>
            </w:r>
          </w:p>
        </w:tc>
        <w:tc>
          <w:tcPr>
            <w:tcW w:w="838" w:type="pct"/>
            <w:vAlign w:val="center"/>
          </w:tcPr>
          <w:p w14:paraId="11A03F72" w14:textId="77777777" w:rsidR="006B3928" w:rsidRPr="006710E4" w:rsidRDefault="006B3928" w:rsidP="00EA5CC9">
            <w:pPr>
              <w:pStyle w:val="Tabletext"/>
              <w:keepNext/>
              <w:keepLines/>
              <w:jc w:val="center"/>
              <w:rPr>
                <w:b/>
              </w:rPr>
            </w:pPr>
            <w:r w:rsidRPr="006710E4">
              <w:rPr>
                <w:b/>
              </w:rPr>
              <w:t>Increment</w:t>
            </w:r>
          </w:p>
        </w:tc>
      </w:tr>
      <w:tr w:rsidR="006B3928" w:rsidRPr="006710E4" w14:paraId="4096C444" w14:textId="77777777" w:rsidTr="00EA5CC9">
        <w:tc>
          <w:tcPr>
            <w:tcW w:w="5000" w:type="pct"/>
            <w:gridSpan w:val="4"/>
            <w:vAlign w:val="center"/>
          </w:tcPr>
          <w:p w14:paraId="074A1866" w14:textId="77777777" w:rsidR="006B3928" w:rsidRPr="006710E4" w:rsidRDefault="006B3928" w:rsidP="00EA5CC9">
            <w:pPr>
              <w:pStyle w:val="Tabletext"/>
              <w:keepNext/>
              <w:keepLines/>
              <w:rPr>
                <w:b/>
                <w:snapToGrid w:val="0"/>
              </w:rPr>
            </w:pPr>
            <w:r w:rsidRPr="006710E4">
              <w:rPr>
                <w:b/>
                <w:snapToGrid w:val="0"/>
              </w:rPr>
              <w:t xml:space="preserve">Step 1: trial-based (24 months) costs and outcomes (LYs) </w:t>
            </w:r>
          </w:p>
        </w:tc>
      </w:tr>
      <w:tr w:rsidR="006B3928" w:rsidRPr="006710E4" w14:paraId="640E4327" w14:textId="77777777" w:rsidTr="00EA5CC9">
        <w:tc>
          <w:tcPr>
            <w:tcW w:w="1529" w:type="pct"/>
            <w:vAlign w:val="center"/>
          </w:tcPr>
          <w:p w14:paraId="72F43BEB" w14:textId="77777777" w:rsidR="006B3928" w:rsidRPr="006710E4" w:rsidRDefault="006B3928" w:rsidP="00EA5CC9">
            <w:pPr>
              <w:pStyle w:val="Tabletext"/>
              <w:keepNext/>
              <w:keepLines/>
              <w:rPr>
                <w:rFonts w:ascii="Times" w:hAnsi="Times"/>
              </w:rPr>
            </w:pPr>
            <w:r w:rsidRPr="006710E4">
              <w:t>Costs</w:t>
            </w:r>
          </w:p>
        </w:tc>
        <w:tc>
          <w:tcPr>
            <w:tcW w:w="1359" w:type="pct"/>
            <w:vAlign w:val="center"/>
          </w:tcPr>
          <w:p w14:paraId="1EAB90B2" w14:textId="5F94DEC1" w:rsidR="006B3928" w:rsidRPr="006710E4" w:rsidRDefault="006B3928" w:rsidP="00EA5CC9">
            <w:pPr>
              <w:pStyle w:val="Tabletext"/>
              <w:keepNext/>
              <w:keepLines/>
              <w:jc w:val="center"/>
              <w:rPr>
                <w:rFonts w:ascii="Times" w:hAnsi="Times"/>
              </w:rPr>
            </w:pPr>
            <w:r w:rsidRPr="006710E4">
              <w:t>$</w:t>
            </w:r>
            <w:r w:rsidR="00217797" w:rsidRPr="00217797">
              <w:rPr>
                <w:color w:val="000000"/>
                <w:shd w:val="solid" w:color="000000" w:fill="000000"/>
                <w14:textFill>
                  <w14:solidFill>
                    <w14:srgbClr w14:val="000000">
                      <w14:alpha w14:val="100000"/>
                    </w14:srgbClr>
                  </w14:solidFill>
                </w14:textFill>
              </w:rPr>
              <w:t>|</w:t>
            </w:r>
          </w:p>
        </w:tc>
        <w:tc>
          <w:tcPr>
            <w:tcW w:w="1274" w:type="pct"/>
            <w:vAlign w:val="center"/>
          </w:tcPr>
          <w:p w14:paraId="36DACCEA" w14:textId="65B5A72C" w:rsidR="006B3928" w:rsidRPr="006710E4" w:rsidRDefault="006B3928" w:rsidP="00EA5CC9">
            <w:pPr>
              <w:pStyle w:val="Tabletext"/>
              <w:keepNext/>
              <w:keepLines/>
              <w:jc w:val="center"/>
              <w:rPr>
                <w:rFonts w:ascii="Times" w:hAnsi="Times"/>
              </w:rPr>
            </w:pPr>
            <w:r w:rsidRPr="006710E4">
              <w:t>$</w:t>
            </w:r>
            <w:r w:rsidR="00217797" w:rsidRPr="00217797">
              <w:rPr>
                <w:color w:val="000000"/>
                <w:shd w:val="solid" w:color="000000" w:fill="000000"/>
                <w14:textFill>
                  <w14:solidFill>
                    <w14:srgbClr w14:val="000000">
                      <w14:alpha w14:val="100000"/>
                    </w14:srgbClr>
                  </w14:solidFill>
                </w14:textFill>
              </w:rPr>
              <w:t>|</w:t>
            </w:r>
            <w:r w:rsidR="004C17CD">
              <w:t xml:space="preserve"> </w:t>
            </w:r>
          </w:p>
        </w:tc>
        <w:tc>
          <w:tcPr>
            <w:tcW w:w="838" w:type="pct"/>
            <w:vAlign w:val="center"/>
          </w:tcPr>
          <w:p w14:paraId="02F3F518" w14:textId="3B206598" w:rsidR="006B3928" w:rsidRPr="006710E4" w:rsidRDefault="006B3928" w:rsidP="00EA5CC9">
            <w:pPr>
              <w:pStyle w:val="Tabletext"/>
              <w:keepNext/>
              <w:keepLines/>
              <w:jc w:val="center"/>
              <w:rPr>
                <w:rFonts w:ascii="Times" w:hAnsi="Times"/>
              </w:rPr>
            </w:pPr>
            <w:r w:rsidRPr="006710E4">
              <w:t>$</w:t>
            </w:r>
            <w:r w:rsidR="00217797" w:rsidRPr="00217797">
              <w:rPr>
                <w:color w:val="000000"/>
                <w:shd w:val="solid" w:color="000000" w:fill="000000"/>
                <w14:textFill>
                  <w14:solidFill>
                    <w14:srgbClr w14:val="000000">
                      <w14:alpha w14:val="100000"/>
                    </w14:srgbClr>
                  </w14:solidFill>
                </w14:textFill>
              </w:rPr>
              <w:t>|</w:t>
            </w:r>
          </w:p>
        </w:tc>
      </w:tr>
      <w:tr w:rsidR="006B3928" w:rsidRPr="006710E4" w14:paraId="38434D15" w14:textId="77777777" w:rsidTr="00EA5CC9">
        <w:tc>
          <w:tcPr>
            <w:tcW w:w="1529" w:type="pct"/>
            <w:vAlign w:val="center"/>
          </w:tcPr>
          <w:p w14:paraId="12331A2C" w14:textId="5073627C" w:rsidR="006B3928" w:rsidRPr="006710E4" w:rsidRDefault="006B3928" w:rsidP="00EA5CC9">
            <w:pPr>
              <w:pStyle w:val="Tabletext"/>
              <w:keepNext/>
              <w:keepLines/>
              <w:rPr>
                <w:rFonts w:ascii="Times" w:hAnsi="Times"/>
              </w:rPr>
            </w:pPr>
            <w:r w:rsidRPr="006710E4">
              <w:t>LY</w:t>
            </w:r>
            <w:r w:rsidR="00DB5976" w:rsidRPr="006710E4">
              <w:t xml:space="preserve"> gained</w:t>
            </w:r>
          </w:p>
        </w:tc>
        <w:tc>
          <w:tcPr>
            <w:tcW w:w="1359" w:type="pct"/>
            <w:vAlign w:val="center"/>
          </w:tcPr>
          <w:p w14:paraId="4D7FBCC9" w14:textId="77777777" w:rsidR="006B3928" w:rsidRPr="006710E4" w:rsidRDefault="006B3928" w:rsidP="00EA5CC9">
            <w:pPr>
              <w:pStyle w:val="Tabletext"/>
              <w:keepNext/>
              <w:keepLines/>
              <w:jc w:val="center"/>
              <w:rPr>
                <w:rFonts w:ascii="Times" w:hAnsi="Times"/>
              </w:rPr>
            </w:pPr>
            <w:r w:rsidRPr="006710E4">
              <w:t>1.4693</w:t>
            </w:r>
          </w:p>
        </w:tc>
        <w:tc>
          <w:tcPr>
            <w:tcW w:w="1274" w:type="pct"/>
            <w:vAlign w:val="center"/>
          </w:tcPr>
          <w:p w14:paraId="387A4AB4" w14:textId="77777777" w:rsidR="006B3928" w:rsidRPr="006710E4" w:rsidRDefault="006B3928" w:rsidP="00EA5CC9">
            <w:pPr>
              <w:pStyle w:val="Tabletext"/>
              <w:keepNext/>
              <w:keepLines/>
              <w:jc w:val="center"/>
              <w:rPr>
                <w:rFonts w:ascii="Times" w:hAnsi="Times"/>
              </w:rPr>
            </w:pPr>
            <w:r w:rsidRPr="006710E4">
              <w:t>1.0429</w:t>
            </w:r>
          </w:p>
        </w:tc>
        <w:tc>
          <w:tcPr>
            <w:tcW w:w="838" w:type="pct"/>
            <w:vAlign w:val="center"/>
          </w:tcPr>
          <w:p w14:paraId="4690B382" w14:textId="77777777" w:rsidR="006B3928" w:rsidRPr="006710E4" w:rsidRDefault="006B3928" w:rsidP="00EA5CC9">
            <w:pPr>
              <w:pStyle w:val="Tabletext"/>
              <w:keepNext/>
              <w:keepLines/>
              <w:jc w:val="center"/>
            </w:pPr>
            <w:r w:rsidRPr="006710E4">
              <w:t>0.4264</w:t>
            </w:r>
          </w:p>
        </w:tc>
      </w:tr>
      <w:tr w:rsidR="006B3928" w:rsidRPr="006710E4" w14:paraId="29CFA761" w14:textId="77777777" w:rsidTr="00EA5CC9">
        <w:tc>
          <w:tcPr>
            <w:tcW w:w="4162" w:type="pct"/>
            <w:gridSpan w:val="3"/>
            <w:vAlign w:val="center"/>
          </w:tcPr>
          <w:p w14:paraId="08F0E3B7" w14:textId="77777777" w:rsidR="006B3928" w:rsidRPr="006710E4" w:rsidRDefault="006B3928" w:rsidP="00EA5CC9">
            <w:pPr>
              <w:pStyle w:val="Tabletext"/>
              <w:keepNext/>
              <w:keepLines/>
              <w:rPr>
                <w:rFonts w:ascii="Times" w:hAnsi="Times"/>
                <w:snapToGrid w:val="0"/>
              </w:rPr>
            </w:pPr>
            <w:r w:rsidRPr="006710E4">
              <w:t>Incremental cost/extra LYG gained</w:t>
            </w:r>
          </w:p>
        </w:tc>
        <w:tc>
          <w:tcPr>
            <w:tcW w:w="838" w:type="pct"/>
            <w:vAlign w:val="center"/>
          </w:tcPr>
          <w:p w14:paraId="1C5CA917" w14:textId="446FEAF0" w:rsidR="006B3928" w:rsidRPr="006710E4" w:rsidRDefault="006B3928" w:rsidP="00EA5CC9">
            <w:pPr>
              <w:pStyle w:val="Tabletext"/>
              <w:keepNext/>
              <w:keepLines/>
              <w:jc w:val="center"/>
              <w:rPr>
                <w:rFonts w:ascii="Times" w:hAnsi="Times"/>
              </w:rPr>
            </w:pPr>
            <w:r w:rsidRPr="006710E4">
              <w:t>$</w:t>
            </w:r>
            <w:r w:rsidR="00217797" w:rsidRPr="00217797">
              <w:rPr>
                <w:color w:val="000000"/>
                <w:shd w:val="solid" w:color="000000" w:fill="000000"/>
                <w14:textFill>
                  <w14:solidFill>
                    <w14:srgbClr w14:val="000000">
                      <w14:alpha w14:val="100000"/>
                    </w14:srgbClr>
                  </w14:solidFill>
                </w14:textFill>
              </w:rPr>
              <w:t>|</w:t>
            </w:r>
          </w:p>
        </w:tc>
      </w:tr>
      <w:tr w:rsidR="006B3928" w:rsidRPr="006710E4" w14:paraId="3FFE6775" w14:textId="77777777" w:rsidTr="00EA5CC9">
        <w:tc>
          <w:tcPr>
            <w:tcW w:w="5000" w:type="pct"/>
            <w:gridSpan w:val="4"/>
            <w:vAlign w:val="center"/>
          </w:tcPr>
          <w:p w14:paraId="1E550DC8" w14:textId="77777777" w:rsidR="006B3928" w:rsidRPr="006710E4" w:rsidRDefault="006B3928" w:rsidP="00EA5CC9">
            <w:pPr>
              <w:pStyle w:val="Tabletext"/>
              <w:keepNext/>
              <w:keepLines/>
              <w:rPr>
                <w:b/>
                <w:snapToGrid w:val="0"/>
              </w:rPr>
            </w:pPr>
            <w:r w:rsidRPr="006710E4">
              <w:rPr>
                <w:b/>
                <w:snapToGrid w:val="0"/>
              </w:rPr>
              <w:t xml:space="preserve">Step 2: </w:t>
            </w:r>
            <w:r w:rsidRPr="006710E4">
              <w:rPr>
                <w:b/>
              </w:rPr>
              <w:t>time horizon extended to 10 years (LYs)</w:t>
            </w:r>
          </w:p>
        </w:tc>
      </w:tr>
      <w:tr w:rsidR="006B3928" w:rsidRPr="006710E4" w14:paraId="11A2A796" w14:textId="77777777" w:rsidTr="00EA5CC9">
        <w:tc>
          <w:tcPr>
            <w:tcW w:w="1529" w:type="pct"/>
            <w:vAlign w:val="center"/>
          </w:tcPr>
          <w:p w14:paraId="1DD3B704" w14:textId="77777777" w:rsidR="006B3928" w:rsidRPr="006710E4" w:rsidRDefault="006B3928" w:rsidP="00EA5CC9">
            <w:pPr>
              <w:pStyle w:val="Tabletext"/>
              <w:keepNext/>
              <w:keepLines/>
              <w:rPr>
                <w:rFonts w:ascii="Times" w:hAnsi="Times"/>
              </w:rPr>
            </w:pPr>
            <w:r w:rsidRPr="006710E4">
              <w:t>Costs</w:t>
            </w:r>
          </w:p>
        </w:tc>
        <w:tc>
          <w:tcPr>
            <w:tcW w:w="1359" w:type="pct"/>
            <w:vAlign w:val="center"/>
          </w:tcPr>
          <w:p w14:paraId="5E20E12E" w14:textId="5521E26E" w:rsidR="006B3928" w:rsidRPr="006710E4" w:rsidRDefault="006B3928" w:rsidP="00EA5CC9">
            <w:pPr>
              <w:pStyle w:val="Tabletext"/>
              <w:keepNext/>
              <w:keepLines/>
              <w:jc w:val="center"/>
              <w:rPr>
                <w:rFonts w:ascii="Times" w:hAnsi="Times"/>
              </w:rPr>
            </w:pPr>
            <w:r w:rsidRPr="006710E4">
              <w:t>$</w:t>
            </w:r>
            <w:r w:rsidR="00217797" w:rsidRPr="00217797">
              <w:rPr>
                <w:color w:val="000000"/>
                <w:shd w:val="solid" w:color="000000" w:fill="000000"/>
                <w14:textFill>
                  <w14:solidFill>
                    <w14:srgbClr w14:val="000000">
                      <w14:alpha w14:val="100000"/>
                    </w14:srgbClr>
                  </w14:solidFill>
                </w14:textFill>
              </w:rPr>
              <w:t>|</w:t>
            </w:r>
          </w:p>
        </w:tc>
        <w:tc>
          <w:tcPr>
            <w:tcW w:w="1274" w:type="pct"/>
            <w:vAlign w:val="center"/>
          </w:tcPr>
          <w:p w14:paraId="2E6B7B8D" w14:textId="4B10FE3E" w:rsidR="006B3928" w:rsidRPr="006710E4" w:rsidRDefault="006B3928" w:rsidP="00EA5CC9">
            <w:pPr>
              <w:pStyle w:val="Tabletext"/>
              <w:keepNext/>
              <w:keepLines/>
              <w:jc w:val="center"/>
              <w:rPr>
                <w:rFonts w:ascii="Times" w:hAnsi="Times"/>
              </w:rPr>
            </w:pPr>
            <w:r w:rsidRPr="006710E4">
              <w:t>$</w:t>
            </w:r>
            <w:r w:rsidR="00217797" w:rsidRPr="00217797">
              <w:rPr>
                <w:color w:val="000000"/>
                <w:shd w:val="solid" w:color="000000" w:fill="000000"/>
                <w14:textFill>
                  <w14:solidFill>
                    <w14:srgbClr w14:val="000000">
                      <w14:alpha w14:val="100000"/>
                    </w14:srgbClr>
                  </w14:solidFill>
                </w14:textFill>
              </w:rPr>
              <w:t>|</w:t>
            </w:r>
          </w:p>
        </w:tc>
        <w:tc>
          <w:tcPr>
            <w:tcW w:w="838" w:type="pct"/>
            <w:vAlign w:val="center"/>
          </w:tcPr>
          <w:p w14:paraId="6C6FA1E4" w14:textId="57387359" w:rsidR="006B3928" w:rsidRPr="006710E4" w:rsidRDefault="006B3928" w:rsidP="00EA5CC9">
            <w:pPr>
              <w:pStyle w:val="Tabletext"/>
              <w:keepNext/>
              <w:keepLines/>
              <w:jc w:val="center"/>
              <w:rPr>
                <w:rFonts w:ascii="Times" w:hAnsi="Times"/>
              </w:rPr>
            </w:pPr>
            <w:r w:rsidRPr="006710E4">
              <w:t>$</w:t>
            </w:r>
            <w:r w:rsidR="00217797" w:rsidRPr="00217797">
              <w:rPr>
                <w:color w:val="000000"/>
                <w:shd w:val="solid" w:color="000000" w:fill="000000"/>
                <w14:textFill>
                  <w14:solidFill>
                    <w14:srgbClr w14:val="000000">
                      <w14:alpha w14:val="100000"/>
                    </w14:srgbClr>
                  </w14:solidFill>
                </w14:textFill>
              </w:rPr>
              <w:t>|</w:t>
            </w:r>
          </w:p>
        </w:tc>
      </w:tr>
      <w:tr w:rsidR="006B3928" w:rsidRPr="006710E4" w14:paraId="3602AA7E" w14:textId="77777777" w:rsidTr="00EA5CC9">
        <w:tc>
          <w:tcPr>
            <w:tcW w:w="1529" w:type="pct"/>
            <w:vAlign w:val="center"/>
          </w:tcPr>
          <w:p w14:paraId="2803CD6E" w14:textId="07E44831" w:rsidR="006B3928" w:rsidRPr="006710E4" w:rsidRDefault="006B3928" w:rsidP="00EA5CC9">
            <w:pPr>
              <w:pStyle w:val="Tabletext"/>
              <w:keepNext/>
              <w:keepLines/>
              <w:rPr>
                <w:rFonts w:ascii="Times" w:hAnsi="Times"/>
              </w:rPr>
            </w:pPr>
            <w:r w:rsidRPr="006710E4">
              <w:t>LY</w:t>
            </w:r>
            <w:r w:rsidR="00DB5976" w:rsidRPr="006710E4">
              <w:t xml:space="preserve"> gained</w:t>
            </w:r>
          </w:p>
        </w:tc>
        <w:tc>
          <w:tcPr>
            <w:tcW w:w="1359" w:type="pct"/>
            <w:vAlign w:val="center"/>
          </w:tcPr>
          <w:p w14:paraId="34ECC7AF" w14:textId="77777777" w:rsidR="006B3928" w:rsidRPr="006710E4" w:rsidRDefault="006B3928" w:rsidP="00EA5CC9">
            <w:pPr>
              <w:pStyle w:val="Tabletext"/>
              <w:keepNext/>
              <w:keepLines/>
              <w:jc w:val="center"/>
              <w:rPr>
                <w:rFonts w:ascii="Times" w:hAnsi="Times"/>
              </w:rPr>
            </w:pPr>
            <w:r w:rsidRPr="006710E4">
              <w:t>3.4930</w:t>
            </w:r>
          </w:p>
        </w:tc>
        <w:tc>
          <w:tcPr>
            <w:tcW w:w="1274" w:type="pct"/>
            <w:vAlign w:val="center"/>
          </w:tcPr>
          <w:p w14:paraId="7AB54C6D" w14:textId="77777777" w:rsidR="006B3928" w:rsidRPr="006710E4" w:rsidRDefault="006B3928" w:rsidP="00EA5CC9">
            <w:pPr>
              <w:pStyle w:val="Tabletext"/>
              <w:keepNext/>
              <w:keepLines/>
              <w:jc w:val="center"/>
              <w:rPr>
                <w:rFonts w:ascii="Times" w:hAnsi="Times"/>
              </w:rPr>
            </w:pPr>
            <w:r w:rsidRPr="006710E4">
              <w:t>1.4530</w:t>
            </w:r>
          </w:p>
        </w:tc>
        <w:tc>
          <w:tcPr>
            <w:tcW w:w="838" w:type="pct"/>
            <w:vAlign w:val="center"/>
          </w:tcPr>
          <w:p w14:paraId="1841F938" w14:textId="77777777" w:rsidR="006B3928" w:rsidRPr="006710E4" w:rsidRDefault="006B3928" w:rsidP="00EA5CC9">
            <w:pPr>
              <w:pStyle w:val="Tabletext"/>
              <w:keepNext/>
              <w:keepLines/>
              <w:jc w:val="center"/>
            </w:pPr>
            <w:r w:rsidRPr="006710E4">
              <w:t>2.0400</w:t>
            </w:r>
          </w:p>
        </w:tc>
      </w:tr>
      <w:tr w:rsidR="006B3928" w:rsidRPr="006710E4" w14:paraId="65601BFF" w14:textId="77777777" w:rsidTr="00EA5CC9">
        <w:tc>
          <w:tcPr>
            <w:tcW w:w="4162" w:type="pct"/>
            <w:gridSpan w:val="3"/>
            <w:vAlign w:val="center"/>
          </w:tcPr>
          <w:p w14:paraId="1F5372C0" w14:textId="77777777" w:rsidR="006B3928" w:rsidRPr="006710E4" w:rsidRDefault="006B3928" w:rsidP="00EA5CC9">
            <w:pPr>
              <w:pStyle w:val="Tabletext"/>
              <w:keepNext/>
              <w:keepLines/>
              <w:rPr>
                <w:rFonts w:ascii="Times" w:hAnsi="Times"/>
                <w:snapToGrid w:val="0"/>
              </w:rPr>
            </w:pPr>
            <w:r w:rsidRPr="006710E4">
              <w:t>Incremental cost/extra LYG gained</w:t>
            </w:r>
          </w:p>
        </w:tc>
        <w:tc>
          <w:tcPr>
            <w:tcW w:w="838" w:type="pct"/>
            <w:vAlign w:val="center"/>
          </w:tcPr>
          <w:p w14:paraId="5F65F475" w14:textId="6D4169FE" w:rsidR="006B3928" w:rsidRPr="006710E4" w:rsidRDefault="006B3928" w:rsidP="00EA5CC9">
            <w:pPr>
              <w:pStyle w:val="Tabletext"/>
              <w:keepNext/>
              <w:keepLines/>
              <w:jc w:val="center"/>
              <w:rPr>
                <w:rFonts w:ascii="Times" w:hAnsi="Times"/>
              </w:rPr>
            </w:pPr>
            <w:r w:rsidRPr="006710E4">
              <w:t>$</w:t>
            </w:r>
            <w:r w:rsidR="00217797" w:rsidRPr="00217797">
              <w:rPr>
                <w:color w:val="000000"/>
                <w:shd w:val="solid" w:color="000000" w:fill="000000"/>
                <w14:textFill>
                  <w14:solidFill>
                    <w14:srgbClr w14:val="000000">
                      <w14:alpha w14:val="100000"/>
                    </w14:srgbClr>
                  </w14:solidFill>
                </w14:textFill>
              </w:rPr>
              <w:t>|</w:t>
            </w:r>
          </w:p>
        </w:tc>
      </w:tr>
      <w:tr w:rsidR="006B3928" w:rsidRPr="006710E4" w14:paraId="440E0A5F" w14:textId="77777777" w:rsidTr="00EA5CC9">
        <w:tc>
          <w:tcPr>
            <w:tcW w:w="5000" w:type="pct"/>
            <w:gridSpan w:val="4"/>
            <w:vAlign w:val="center"/>
          </w:tcPr>
          <w:p w14:paraId="331EEA44" w14:textId="77777777" w:rsidR="006B3928" w:rsidRPr="006710E4" w:rsidRDefault="006B3928" w:rsidP="00EA5CC9">
            <w:pPr>
              <w:pStyle w:val="Tabletext"/>
              <w:keepNext/>
              <w:keepLines/>
              <w:rPr>
                <w:b/>
                <w:snapToGrid w:val="0"/>
              </w:rPr>
            </w:pPr>
            <w:r w:rsidRPr="006710E4">
              <w:rPr>
                <w:b/>
                <w:snapToGrid w:val="0"/>
              </w:rPr>
              <w:t>Step 3: transformation of outcomes to QALYs</w:t>
            </w:r>
          </w:p>
        </w:tc>
      </w:tr>
      <w:tr w:rsidR="006B3928" w:rsidRPr="006710E4" w14:paraId="4D781167" w14:textId="77777777" w:rsidTr="00EA5CC9">
        <w:tc>
          <w:tcPr>
            <w:tcW w:w="1529" w:type="pct"/>
            <w:vAlign w:val="center"/>
          </w:tcPr>
          <w:p w14:paraId="69B0A5EB" w14:textId="77777777" w:rsidR="006B3928" w:rsidRPr="006710E4" w:rsidRDefault="006B3928" w:rsidP="00EA5CC9">
            <w:pPr>
              <w:pStyle w:val="Tabletext"/>
              <w:keepNext/>
              <w:keepLines/>
              <w:rPr>
                <w:rFonts w:ascii="Times" w:hAnsi="Times"/>
              </w:rPr>
            </w:pPr>
            <w:r w:rsidRPr="006710E4">
              <w:t>Costs</w:t>
            </w:r>
          </w:p>
        </w:tc>
        <w:tc>
          <w:tcPr>
            <w:tcW w:w="1359" w:type="pct"/>
            <w:vAlign w:val="center"/>
          </w:tcPr>
          <w:p w14:paraId="38DA062F" w14:textId="601FF483" w:rsidR="006B3928" w:rsidRPr="006710E4" w:rsidRDefault="006B3928" w:rsidP="00EA5CC9">
            <w:pPr>
              <w:pStyle w:val="Tabletext"/>
              <w:keepNext/>
              <w:keepLines/>
              <w:jc w:val="center"/>
              <w:rPr>
                <w:rFonts w:ascii="Times" w:hAnsi="Times"/>
              </w:rPr>
            </w:pPr>
            <w:r w:rsidRPr="006710E4">
              <w:t>$</w:t>
            </w:r>
            <w:r w:rsidR="00217797" w:rsidRPr="00217797">
              <w:rPr>
                <w:color w:val="000000"/>
                <w:shd w:val="solid" w:color="000000" w:fill="000000"/>
                <w14:textFill>
                  <w14:solidFill>
                    <w14:srgbClr w14:val="000000">
                      <w14:alpha w14:val="100000"/>
                    </w14:srgbClr>
                  </w14:solidFill>
                </w14:textFill>
              </w:rPr>
              <w:t>|</w:t>
            </w:r>
          </w:p>
        </w:tc>
        <w:tc>
          <w:tcPr>
            <w:tcW w:w="1274" w:type="pct"/>
            <w:vAlign w:val="center"/>
          </w:tcPr>
          <w:p w14:paraId="1F2BFC70" w14:textId="3BD12371" w:rsidR="006B3928" w:rsidRPr="006710E4" w:rsidRDefault="006B3928" w:rsidP="00EA5CC9">
            <w:pPr>
              <w:pStyle w:val="Tabletext"/>
              <w:keepNext/>
              <w:keepLines/>
              <w:jc w:val="center"/>
              <w:rPr>
                <w:rFonts w:ascii="Times" w:hAnsi="Times"/>
              </w:rPr>
            </w:pPr>
            <w:r w:rsidRPr="006710E4">
              <w:t>$</w:t>
            </w:r>
            <w:r w:rsidR="00217797" w:rsidRPr="00217797">
              <w:rPr>
                <w:color w:val="000000"/>
                <w:shd w:val="solid" w:color="000000" w:fill="000000"/>
                <w14:textFill>
                  <w14:solidFill>
                    <w14:srgbClr w14:val="000000">
                      <w14:alpha w14:val="100000"/>
                    </w14:srgbClr>
                  </w14:solidFill>
                </w14:textFill>
              </w:rPr>
              <w:t>|</w:t>
            </w:r>
          </w:p>
        </w:tc>
        <w:tc>
          <w:tcPr>
            <w:tcW w:w="838" w:type="pct"/>
            <w:vAlign w:val="center"/>
          </w:tcPr>
          <w:p w14:paraId="75801379" w14:textId="029C2E64" w:rsidR="006B3928" w:rsidRPr="006710E4" w:rsidRDefault="006B3928" w:rsidP="00EA5CC9">
            <w:pPr>
              <w:pStyle w:val="Tabletext"/>
              <w:keepNext/>
              <w:keepLines/>
              <w:jc w:val="center"/>
              <w:rPr>
                <w:rFonts w:ascii="Times" w:hAnsi="Times"/>
              </w:rPr>
            </w:pPr>
            <w:r w:rsidRPr="006710E4">
              <w:t>$</w:t>
            </w:r>
            <w:r w:rsidR="00217797" w:rsidRPr="00217797">
              <w:rPr>
                <w:color w:val="000000"/>
                <w:shd w:val="solid" w:color="000000" w:fill="000000"/>
                <w14:textFill>
                  <w14:solidFill>
                    <w14:srgbClr w14:val="000000">
                      <w14:alpha w14:val="100000"/>
                    </w14:srgbClr>
                  </w14:solidFill>
                </w14:textFill>
              </w:rPr>
              <w:t>|</w:t>
            </w:r>
          </w:p>
        </w:tc>
      </w:tr>
      <w:tr w:rsidR="006B3928" w:rsidRPr="006710E4" w14:paraId="01A62331" w14:textId="77777777" w:rsidTr="00EA5CC9">
        <w:tc>
          <w:tcPr>
            <w:tcW w:w="1529" w:type="pct"/>
            <w:vAlign w:val="center"/>
          </w:tcPr>
          <w:p w14:paraId="12406D6B" w14:textId="77777777" w:rsidR="006B3928" w:rsidRPr="006710E4" w:rsidRDefault="006B3928" w:rsidP="00EA5CC9">
            <w:pPr>
              <w:pStyle w:val="Tabletext"/>
              <w:keepNext/>
              <w:keepLines/>
              <w:rPr>
                <w:rFonts w:ascii="Times" w:hAnsi="Times"/>
              </w:rPr>
            </w:pPr>
            <w:r w:rsidRPr="006710E4">
              <w:t>QALY</w:t>
            </w:r>
          </w:p>
        </w:tc>
        <w:tc>
          <w:tcPr>
            <w:tcW w:w="1359" w:type="pct"/>
            <w:vAlign w:val="center"/>
          </w:tcPr>
          <w:p w14:paraId="4CB262E9" w14:textId="77777777" w:rsidR="006B3928" w:rsidRPr="006710E4" w:rsidRDefault="006B3928" w:rsidP="00EA5CC9">
            <w:pPr>
              <w:pStyle w:val="Tabletext"/>
              <w:keepNext/>
              <w:keepLines/>
              <w:jc w:val="center"/>
              <w:rPr>
                <w:rFonts w:ascii="Times" w:hAnsi="Times"/>
              </w:rPr>
            </w:pPr>
            <w:r w:rsidRPr="006710E4">
              <w:t>2.4657</w:t>
            </w:r>
          </w:p>
        </w:tc>
        <w:tc>
          <w:tcPr>
            <w:tcW w:w="1274" w:type="pct"/>
            <w:vAlign w:val="center"/>
          </w:tcPr>
          <w:p w14:paraId="72895198" w14:textId="77777777" w:rsidR="006B3928" w:rsidRPr="006710E4" w:rsidRDefault="006B3928" w:rsidP="00EA5CC9">
            <w:pPr>
              <w:pStyle w:val="Tabletext"/>
              <w:keepNext/>
              <w:keepLines/>
              <w:jc w:val="center"/>
              <w:rPr>
                <w:rFonts w:ascii="Times" w:hAnsi="Times"/>
              </w:rPr>
            </w:pPr>
            <w:r w:rsidRPr="006710E4">
              <w:t>1.0163</w:t>
            </w:r>
          </w:p>
        </w:tc>
        <w:tc>
          <w:tcPr>
            <w:tcW w:w="838" w:type="pct"/>
            <w:vAlign w:val="center"/>
          </w:tcPr>
          <w:p w14:paraId="190C22F7" w14:textId="77777777" w:rsidR="006B3928" w:rsidRPr="006710E4" w:rsidRDefault="006B3928" w:rsidP="00EA5CC9">
            <w:pPr>
              <w:pStyle w:val="Tabletext"/>
              <w:keepNext/>
              <w:keepLines/>
              <w:jc w:val="center"/>
            </w:pPr>
            <w:r w:rsidRPr="006710E4">
              <w:t>1.4494</w:t>
            </w:r>
          </w:p>
        </w:tc>
      </w:tr>
      <w:tr w:rsidR="006B3928" w:rsidRPr="006710E4" w14:paraId="3B7662D1" w14:textId="77777777" w:rsidTr="00EA5CC9">
        <w:tc>
          <w:tcPr>
            <w:tcW w:w="4162" w:type="pct"/>
            <w:gridSpan w:val="3"/>
            <w:vAlign w:val="center"/>
          </w:tcPr>
          <w:p w14:paraId="7D7A763E" w14:textId="77777777" w:rsidR="006B3928" w:rsidRPr="006710E4" w:rsidRDefault="006B3928" w:rsidP="00EA5CC9">
            <w:pPr>
              <w:pStyle w:val="Tabletext"/>
              <w:keepNext/>
              <w:keepLines/>
              <w:rPr>
                <w:rFonts w:ascii="Times" w:hAnsi="Times"/>
              </w:rPr>
            </w:pPr>
            <w:r w:rsidRPr="006710E4">
              <w:t>Incremental cost/extra QALY gained</w:t>
            </w:r>
          </w:p>
        </w:tc>
        <w:tc>
          <w:tcPr>
            <w:tcW w:w="838" w:type="pct"/>
            <w:vAlign w:val="center"/>
          </w:tcPr>
          <w:p w14:paraId="5E1735C3" w14:textId="7937E2D8" w:rsidR="006B3928" w:rsidRPr="006710E4" w:rsidRDefault="006B3928" w:rsidP="00EA5CC9">
            <w:pPr>
              <w:pStyle w:val="Tabletext"/>
              <w:keepNext/>
              <w:keepLines/>
              <w:jc w:val="center"/>
              <w:rPr>
                <w:rFonts w:ascii="Times" w:hAnsi="Times"/>
              </w:rPr>
            </w:pPr>
            <w:r w:rsidRPr="006710E4">
              <w:t>$</w:t>
            </w:r>
            <w:r w:rsidR="00217797" w:rsidRPr="00217797">
              <w:rPr>
                <w:color w:val="000000"/>
                <w:shd w:val="solid" w:color="000000" w:fill="000000"/>
                <w14:textFill>
                  <w14:solidFill>
                    <w14:srgbClr w14:val="000000">
                      <w14:alpha w14:val="100000"/>
                    </w14:srgbClr>
                  </w14:solidFill>
                </w14:textFill>
              </w:rPr>
              <w:t>|</w:t>
            </w:r>
          </w:p>
        </w:tc>
      </w:tr>
      <w:tr w:rsidR="006B3928" w:rsidRPr="006710E4" w14:paraId="39E54468" w14:textId="77777777" w:rsidTr="00EA5CC9">
        <w:tc>
          <w:tcPr>
            <w:tcW w:w="5000" w:type="pct"/>
            <w:gridSpan w:val="4"/>
            <w:vAlign w:val="center"/>
          </w:tcPr>
          <w:p w14:paraId="47B9B1C2" w14:textId="77777777" w:rsidR="006B3928" w:rsidRPr="006710E4" w:rsidRDefault="006B3928" w:rsidP="00EA5CC9">
            <w:pPr>
              <w:pStyle w:val="Tabletext"/>
              <w:keepNext/>
              <w:keepLines/>
              <w:rPr>
                <w:b/>
                <w:snapToGrid w:val="0"/>
              </w:rPr>
            </w:pPr>
            <w:r w:rsidRPr="006710E4">
              <w:rPr>
                <w:b/>
                <w:snapToGrid w:val="0"/>
              </w:rPr>
              <w:t>Step 4: incorporation of health care resource use costs (QALYs)</w:t>
            </w:r>
          </w:p>
        </w:tc>
      </w:tr>
      <w:tr w:rsidR="006B3928" w:rsidRPr="006710E4" w14:paraId="2DD62F39" w14:textId="77777777" w:rsidTr="00EA5CC9">
        <w:tc>
          <w:tcPr>
            <w:tcW w:w="1529" w:type="pct"/>
            <w:vAlign w:val="center"/>
          </w:tcPr>
          <w:p w14:paraId="2B7E16F5" w14:textId="77777777" w:rsidR="006B3928" w:rsidRPr="006710E4" w:rsidRDefault="006B3928" w:rsidP="00EA5CC9">
            <w:pPr>
              <w:pStyle w:val="Tabletext"/>
              <w:keepNext/>
              <w:keepLines/>
              <w:rPr>
                <w:rFonts w:ascii="Times" w:hAnsi="Times"/>
              </w:rPr>
            </w:pPr>
            <w:r w:rsidRPr="006710E4">
              <w:t>Costs</w:t>
            </w:r>
          </w:p>
        </w:tc>
        <w:tc>
          <w:tcPr>
            <w:tcW w:w="1359" w:type="pct"/>
            <w:vAlign w:val="center"/>
          </w:tcPr>
          <w:p w14:paraId="1F43924B" w14:textId="100B9F49" w:rsidR="006B3928" w:rsidRPr="006710E4" w:rsidRDefault="006B3928" w:rsidP="00EA5CC9">
            <w:pPr>
              <w:pStyle w:val="Tabletext"/>
              <w:keepNext/>
              <w:keepLines/>
              <w:jc w:val="center"/>
              <w:rPr>
                <w:rFonts w:ascii="Times" w:hAnsi="Times"/>
              </w:rPr>
            </w:pPr>
            <w:r w:rsidRPr="006710E4">
              <w:t>$</w:t>
            </w:r>
            <w:r w:rsidR="00217797" w:rsidRPr="00217797">
              <w:rPr>
                <w:color w:val="000000"/>
                <w:shd w:val="solid" w:color="000000" w:fill="000000"/>
                <w14:textFill>
                  <w14:solidFill>
                    <w14:srgbClr w14:val="000000">
                      <w14:alpha w14:val="100000"/>
                    </w14:srgbClr>
                  </w14:solidFill>
                </w14:textFill>
              </w:rPr>
              <w:t>|</w:t>
            </w:r>
          </w:p>
        </w:tc>
        <w:tc>
          <w:tcPr>
            <w:tcW w:w="1274" w:type="pct"/>
            <w:vAlign w:val="center"/>
          </w:tcPr>
          <w:p w14:paraId="7E500030" w14:textId="1CAA55A0" w:rsidR="006B3928" w:rsidRPr="006710E4" w:rsidRDefault="006B3928" w:rsidP="00EA5CC9">
            <w:pPr>
              <w:pStyle w:val="Tabletext"/>
              <w:keepNext/>
              <w:keepLines/>
              <w:jc w:val="center"/>
              <w:rPr>
                <w:rFonts w:ascii="Times" w:hAnsi="Times"/>
              </w:rPr>
            </w:pPr>
            <w:r w:rsidRPr="006710E4">
              <w:t>$</w:t>
            </w:r>
            <w:r w:rsidR="00217797" w:rsidRPr="00217797">
              <w:rPr>
                <w:color w:val="000000"/>
                <w:shd w:val="solid" w:color="000000" w:fill="000000"/>
                <w14:textFill>
                  <w14:solidFill>
                    <w14:srgbClr w14:val="000000">
                      <w14:alpha w14:val="100000"/>
                    </w14:srgbClr>
                  </w14:solidFill>
                </w14:textFill>
              </w:rPr>
              <w:t>|</w:t>
            </w:r>
          </w:p>
        </w:tc>
        <w:tc>
          <w:tcPr>
            <w:tcW w:w="838" w:type="pct"/>
            <w:vAlign w:val="center"/>
          </w:tcPr>
          <w:p w14:paraId="5E243370" w14:textId="1E41BCA6" w:rsidR="006B3928" w:rsidRPr="006710E4" w:rsidRDefault="006B3928" w:rsidP="00EA5CC9">
            <w:pPr>
              <w:pStyle w:val="Tabletext"/>
              <w:keepNext/>
              <w:keepLines/>
              <w:jc w:val="center"/>
              <w:rPr>
                <w:rFonts w:ascii="Times" w:hAnsi="Times"/>
              </w:rPr>
            </w:pPr>
            <w:r w:rsidRPr="006710E4">
              <w:t>$</w:t>
            </w:r>
            <w:r w:rsidR="00217797" w:rsidRPr="00217797">
              <w:rPr>
                <w:color w:val="000000"/>
                <w:shd w:val="solid" w:color="000000" w:fill="000000"/>
                <w14:textFill>
                  <w14:solidFill>
                    <w14:srgbClr w14:val="000000">
                      <w14:alpha w14:val="100000"/>
                    </w14:srgbClr>
                  </w14:solidFill>
                </w14:textFill>
              </w:rPr>
              <w:t>|</w:t>
            </w:r>
          </w:p>
        </w:tc>
      </w:tr>
      <w:tr w:rsidR="006B3928" w:rsidRPr="006710E4" w14:paraId="123D67E1" w14:textId="77777777" w:rsidTr="00EA5CC9">
        <w:tc>
          <w:tcPr>
            <w:tcW w:w="1529" w:type="pct"/>
            <w:vAlign w:val="center"/>
          </w:tcPr>
          <w:p w14:paraId="0CDE67E4" w14:textId="77777777" w:rsidR="006B3928" w:rsidRPr="006710E4" w:rsidRDefault="006B3928" w:rsidP="00EA5CC9">
            <w:pPr>
              <w:pStyle w:val="Tabletext"/>
              <w:keepNext/>
              <w:keepLines/>
              <w:rPr>
                <w:rFonts w:ascii="Times" w:hAnsi="Times"/>
              </w:rPr>
            </w:pPr>
            <w:r w:rsidRPr="006710E4">
              <w:t>QALY</w:t>
            </w:r>
          </w:p>
        </w:tc>
        <w:tc>
          <w:tcPr>
            <w:tcW w:w="1359" w:type="pct"/>
            <w:vAlign w:val="center"/>
          </w:tcPr>
          <w:p w14:paraId="4B44428F" w14:textId="77777777" w:rsidR="006B3928" w:rsidRPr="006710E4" w:rsidRDefault="006B3928" w:rsidP="00EA5CC9">
            <w:pPr>
              <w:pStyle w:val="Tabletext"/>
              <w:keepNext/>
              <w:keepLines/>
              <w:jc w:val="center"/>
              <w:rPr>
                <w:rFonts w:ascii="Times" w:hAnsi="Times"/>
              </w:rPr>
            </w:pPr>
            <w:r w:rsidRPr="006710E4">
              <w:t>2.4657</w:t>
            </w:r>
          </w:p>
        </w:tc>
        <w:tc>
          <w:tcPr>
            <w:tcW w:w="1274" w:type="pct"/>
            <w:vAlign w:val="center"/>
          </w:tcPr>
          <w:p w14:paraId="14BA52A6" w14:textId="77777777" w:rsidR="006B3928" w:rsidRPr="006710E4" w:rsidRDefault="006B3928" w:rsidP="00EA5CC9">
            <w:pPr>
              <w:pStyle w:val="Tabletext"/>
              <w:keepNext/>
              <w:keepLines/>
              <w:jc w:val="center"/>
              <w:rPr>
                <w:rFonts w:ascii="Times" w:hAnsi="Times"/>
              </w:rPr>
            </w:pPr>
            <w:r w:rsidRPr="006710E4">
              <w:t>1.0163</w:t>
            </w:r>
          </w:p>
        </w:tc>
        <w:tc>
          <w:tcPr>
            <w:tcW w:w="838" w:type="pct"/>
            <w:vAlign w:val="center"/>
          </w:tcPr>
          <w:p w14:paraId="4B0176F5" w14:textId="77777777" w:rsidR="006B3928" w:rsidRPr="006710E4" w:rsidRDefault="006B3928" w:rsidP="00EA5CC9">
            <w:pPr>
              <w:pStyle w:val="Tabletext"/>
              <w:keepNext/>
              <w:keepLines/>
              <w:jc w:val="center"/>
            </w:pPr>
            <w:r w:rsidRPr="006710E4">
              <w:t>1.4494</w:t>
            </w:r>
          </w:p>
        </w:tc>
      </w:tr>
      <w:tr w:rsidR="004C071B" w:rsidRPr="006710E4" w14:paraId="1C8D59C8" w14:textId="77777777" w:rsidTr="004C071B">
        <w:tc>
          <w:tcPr>
            <w:tcW w:w="4162" w:type="pct"/>
            <w:gridSpan w:val="3"/>
            <w:vAlign w:val="center"/>
          </w:tcPr>
          <w:p w14:paraId="49FA9CD5" w14:textId="000FE2EC" w:rsidR="004C071B" w:rsidRPr="006710E4" w:rsidRDefault="004C071B" w:rsidP="004C071B">
            <w:pPr>
              <w:pStyle w:val="Tabletext"/>
              <w:keepNext/>
              <w:keepLines/>
            </w:pPr>
            <w:r w:rsidRPr="006710E4">
              <w:rPr>
                <w:b/>
              </w:rPr>
              <w:t>Incremental cost/extra QALY gained (base case)</w:t>
            </w:r>
          </w:p>
        </w:tc>
        <w:tc>
          <w:tcPr>
            <w:tcW w:w="838" w:type="pct"/>
            <w:vAlign w:val="center"/>
          </w:tcPr>
          <w:p w14:paraId="2E5F6408" w14:textId="6A38262F" w:rsidR="004C071B" w:rsidRPr="006710E4" w:rsidRDefault="004C071B" w:rsidP="00EA5CC9">
            <w:pPr>
              <w:pStyle w:val="Tabletext"/>
              <w:keepNext/>
              <w:keepLines/>
              <w:jc w:val="center"/>
            </w:pPr>
            <w:r w:rsidRPr="006710E4">
              <w:rPr>
                <w:b/>
              </w:rPr>
              <w:t>$</w:t>
            </w:r>
            <w:r w:rsidR="00217797" w:rsidRPr="00217797">
              <w:rPr>
                <w:b/>
                <w:color w:val="000000"/>
                <w:shd w:val="solid" w:color="000000" w:fill="000000"/>
                <w14:textFill>
                  <w14:solidFill>
                    <w14:srgbClr w14:val="000000">
                      <w14:alpha w14:val="100000"/>
                    </w14:srgbClr>
                  </w14:solidFill>
                </w14:textFill>
              </w:rPr>
              <w:t>|</w:t>
            </w:r>
          </w:p>
        </w:tc>
      </w:tr>
      <w:tr w:rsidR="004C071B" w:rsidRPr="008E11D7" w14:paraId="2038C520" w14:textId="77777777" w:rsidTr="004C071B">
        <w:tc>
          <w:tcPr>
            <w:tcW w:w="5000" w:type="pct"/>
            <w:gridSpan w:val="4"/>
            <w:vAlign w:val="center"/>
          </w:tcPr>
          <w:p w14:paraId="6E286F0A" w14:textId="1C1AD6C3" w:rsidR="004C071B" w:rsidRPr="008E11D7" w:rsidRDefault="004C071B" w:rsidP="004C071B">
            <w:pPr>
              <w:pStyle w:val="Tabletext"/>
              <w:keepNext/>
              <w:keepLines/>
              <w:rPr>
                <w:b/>
                <w:iCs/>
              </w:rPr>
            </w:pPr>
            <w:r w:rsidRPr="008E11D7">
              <w:rPr>
                <w:b/>
                <w:iCs/>
              </w:rPr>
              <w:t>Revised base case presented in PSCR (</w:t>
            </w:r>
            <w:proofErr w:type="gramStart"/>
            <w:r w:rsidRPr="008E11D7">
              <w:rPr>
                <w:b/>
                <w:iCs/>
              </w:rPr>
              <w:t>7.5 year</w:t>
            </w:r>
            <w:proofErr w:type="gramEnd"/>
            <w:r w:rsidRPr="008E11D7">
              <w:rPr>
                <w:b/>
                <w:iCs/>
              </w:rPr>
              <w:t xml:space="preserve"> time horizon, removal of half-cycle correction for costs, 16.8% reduction to AEMP)</w:t>
            </w:r>
          </w:p>
        </w:tc>
      </w:tr>
      <w:tr w:rsidR="00192DBC" w:rsidRPr="008E11D7" w14:paraId="4B13EBE7" w14:textId="77777777" w:rsidTr="00EA5CC9">
        <w:tc>
          <w:tcPr>
            <w:tcW w:w="1529" w:type="pct"/>
            <w:vAlign w:val="center"/>
          </w:tcPr>
          <w:p w14:paraId="1BFC8D67" w14:textId="78B3D208" w:rsidR="00192DBC" w:rsidRPr="008E11D7" w:rsidRDefault="00192DBC" w:rsidP="00192DBC">
            <w:pPr>
              <w:pStyle w:val="Tabletext"/>
              <w:keepNext/>
              <w:keepLines/>
              <w:rPr>
                <w:iCs/>
              </w:rPr>
            </w:pPr>
            <w:r w:rsidRPr="008E11D7">
              <w:rPr>
                <w:iCs/>
              </w:rPr>
              <w:t>Costs</w:t>
            </w:r>
          </w:p>
        </w:tc>
        <w:tc>
          <w:tcPr>
            <w:tcW w:w="1359" w:type="pct"/>
            <w:vAlign w:val="center"/>
          </w:tcPr>
          <w:p w14:paraId="42C9725F" w14:textId="30793D1F" w:rsidR="00192DBC" w:rsidRPr="008E11D7" w:rsidRDefault="00192DBC" w:rsidP="00192DBC">
            <w:pPr>
              <w:pStyle w:val="Tabletext"/>
              <w:keepNext/>
              <w:keepLines/>
              <w:jc w:val="center"/>
              <w:rPr>
                <w:iCs/>
              </w:rPr>
            </w:pPr>
            <w:r w:rsidRPr="008E11D7">
              <w:rPr>
                <w:iCs/>
              </w:rPr>
              <w:t>$</w:t>
            </w:r>
            <w:r w:rsidR="00217797" w:rsidRPr="00217797">
              <w:rPr>
                <w:iCs/>
                <w:color w:val="000000"/>
                <w:shd w:val="solid" w:color="000000" w:fill="000000"/>
                <w14:textFill>
                  <w14:solidFill>
                    <w14:srgbClr w14:val="000000">
                      <w14:alpha w14:val="100000"/>
                    </w14:srgbClr>
                  </w14:solidFill>
                </w14:textFill>
              </w:rPr>
              <w:t>|</w:t>
            </w:r>
          </w:p>
        </w:tc>
        <w:tc>
          <w:tcPr>
            <w:tcW w:w="1274" w:type="pct"/>
            <w:vAlign w:val="center"/>
          </w:tcPr>
          <w:p w14:paraId="45358B11" w14:textId="79A30D8B" w:rsidR="00192DBC" w:rsidRPr="008E11D7" w:rsidRDefault="00192DBC" w:rsidP="00192DBC">
            <w:pPr>
              <w:pStyle w:val="Tabletext"/>
              <w:keepNext/>
              <w:keepLines/>
              <w:jc w:val="center"/>
              <w:rPr>
                <w:iCs/>
              </w:rPr>
            </w:pPr>
            <w:r w:rsidRPr="008E11D7">
              <w:rPr>
                <w:iCs/>
              </w:rPr>
              <w:t>$</w:t>
            </w:r>
            <w:r w:rsidR="00217797" w:rsidRPr="00217797">
              <w:rPr>
                <w:iCs/>
                <w:color w:val="000000"/>
                <w:shd w:val="solid" w:color="000000" w:fill="000000"/>
                <w14:textFill>
                  <w14:solidFill>
                    <w14:srgbClr w14:val="000000">
                      <w14:alpha w14:val="100000"/>
                    </w14:srgbClr>
                  </w14:solidFill>
                </w14:textFill>
              </w:rPr>
              <w:t>|</w:t>
            </w:r>
          </w:p>
        </w:tc>
        <w:tc>
          <w:tcPr>
            <w:tcW w:w="838" w:type="pct"/>
            <w:vAlign w:val="center"/>
          </w:tcPr>
          <w:p w14:paraId="3224DBE0" w14:textId="33AF3CF9" w:rsidR="00192DBC" w:rsidRPr="008E11D7" w:rsidRDefault="00192DBC" w:rsidP="00192DBC">
            <w:pPr>
              <w:pStyle w:val="Tabletext"/>
              <w:keepNext/>
              <w:keepLines/>
              <w:jc w:val="center"/>
              <w:rPr>
                <w:iCs/>
              </w:rPr>
            </w:pPr>
            <w:r w:rsidRPr="008E11D7">
              <w:rPr>
                <w:iCs/>
              </w:rPr>
              <w:t>$</w:t>
            </w:r>
            <w:r w:rsidR="00217797" w:rsidRPr="00217797">
              <w:rPr>
                <w:iCs/>
                <w:color w:val="000000"/>
                <w:shd w:val="solid" w:color="000000" w:fill="000000"/>
                <w14:textFill>
                  <w14:solidFill>
                    <w14:srgbClr w14:val="000000">
                      <w14:alpha w14:val="100000"/>
                    </w14:srgbClr>
                  </w14:solidFill>
                </w14:textFill>
              </w:rPr>
              <w:t>|</w:t>
            </w:r>
          </w:p>
        </w:tc>
      </w:tr>
      <w:tr w:rsidR="00192DBC" w:rsidRPr="008E11D7" w14:paraId="2FD669EB" w14:textId="77777777" w:rsidTr="00EA5CC9">
        <w:tc>
          <w:tcPr>
            <w:tcW w:w="1529" w:type="pct"/>
            <w:vAlign w:val="center"/>
          </w:tcPr>
          <w:p w14:paraId="51C08E19" w14:textId="258D7E29" w:rsidR="00192DBC" w:rsidRPr="008E11D7" w:rsidRDefault="00192DBC" w:rsidP="00192DBC">
            <w:pPr>
              <w:pStyle w:val="Tabletext"/>
              <w:keepNext/>
              <w:keepLines/>
              <w:rPr>
                <w:iCs/>
              </w:rPr>
            </w:pPr>
            <w:r w:rsidRPr="008E11D7">
              <w:rPr>
                <w:iCs/>
              </w:rPr>
              <w:t>QALY</w:t>
            </w:r>
          </w:p>
        </w:tc>
        <w:tc>
          <w:tcPr>
            <w:tcW w:w="1359" w:type="pct"/>
            <w:vAlign w:val="center"/>
          </w:tcPr>
          <w:p w14:paraId="63184207" w14:textId="64B57A53" w:rsidR="00192DBC" w:rsidRPr="008E11D7" w:rsidRDefault="00192DBC" w:rsidP="00192DBC">
            <w:pPr>
              <w:pStyle w:val="Tabletext"/>
              <w:keepNext/>
              <w:keepLines/>
              <w:jc w:val="center"/>
              <w:rPr>
                <w:iCs/>
              </w:rPr>
            </w:pPr>
            <w:r w:rsidRPr="008E11D7">
              <w:rPr>
                <w:iCs/>
              </w:rPr>
              <w:t>2.2050</w:t>
            </w:r>
          </w:p>
        </w:tc>
        <w:tc>
          <w:tcPr>
            <w:tcW w:w="1274" w:type="pct"/>
            <w:vAlign w:val="center"/>
          </w:tcPr>
          <w:p w14:paraId="34A9E46E" w14:textId="21229D31" w:rsidR="00192DBC" w:rsidRPr="008E11D7" w:rsidRDefault="00192DBC" w:rsidP="00192DBC">
            <w:pPr>
              <w:pStyle w:val="Tabletext"/>
              <w:keepNext/>
              <w:keepLines/>
              <w:jc w:val="center"/>
              <w:rPr>
                <w:iCs/>
              </w:rPr>
            </w:pPr>
            <w:r w:rsidRPr="008E11D7">
              <w:rPr>
                <w:iCs/>
              </w:rPr>
              <w:t>0.9924</w:t>
            </w:r>
          </w:p>
        </w:tc>
        <w:tc>
          <w:tcPr>
            <w:tcW w:w="838" w:type="pct"/>
            <w:vAlign w:val="center"/>
          </w:tcPr>
          <w:p w14:paraId="74AD1A49" w14:textId="47F52EE0" w:rsidR="00192DBC" w:rsidRPr="008E11D7" w:rsidRDefault="00192DBC" w:rsidP="00192DBC">
            <w:pPr>
              <w:pStyle w:val="Tabletext"/>
              <w:keepNext/>
              <w:keepLines/>
              <w:jc w:val="center"/>
              <w:rPr>
                <w:iCs/>
              </w:rPr>
            </w:pPr>
            <w:r w:rsidRPr="008E11D7">
              <w:rPr>
                <w:iCs/>
              </w:rPr>
              <w:t>1.2126</w:t>
            </w:r>
          </w:p>
        </w:tc>
      </w:tr>
      <w:tr w:rsidR="004C071B" w:rsidRPr="008E11D7" w14:paraId="55875F15" w14:textId="77777777" w:rsidTr="004C071B">
        <w:tc>
          <w:tcPr>
            <w:tcW w:w="4162" w:type="pct"/>
            <w:gridSpan w:val="3"/>
            <w:vAlign w:val="center"/>
          </w:tcPr>
          <w:p w14:paraId="3FA07B23" w14:textId="42026D56" w:rsidR="004C071B" w:rsidRPr="008E11D7" w:rsidRDefault="004C071B" w:rsidP="004C071B">
            <w:pPr>
              <w:pStyle w:val="Tabletext"/>
              <w:keepNext/>
              <w:keepLines/>
              <w:rPr>
                <w:iCs/>
                <w:szCs w:val="20"/>
              </w:rPr>
            </w:pPr>
            <w:r w:rsidRPr="008E11D7">
              <w:rPr>
                <w:b/>
                <w:iCs/>
                <w:szCs w:val="20"/>
              </w:rPr>
              <w:t>Incremental cost/extra QALY gained (base case)</w:t>
            </w:r>
          </w:p>
        </w:tc>
        <w:tc>
          <w:tcPr>
            <w:tcW w:w="838" w:type="pct"/>
            <w:vAlign w:val="center"/>
          </w:tcPr>
          <w:p w14:paraId="0AA0CA8E" w14:textId="11B26147" w:rsidR="004C071B" w:rsidRPr="008E11D7" w:rsidRDefault="004C071B" w:rsidP="004C071B">
            <w:pPr>
              <w:pStyle w:val="Tabletext"/>
              <w:keepNext/>
              <w:keepLines/>
              <w:jc w:val="center"/>
              <w:rPr>
                <w:iCs/>
                <w:szCs w:val="20"/>
              </w:rPr>
            </w:pPr>
            <w:r w:rsidRPr="008E11D7">
              <w:rPr>
                <w:b/>
                <w:iCs/>
                <w:szCs w:val="20"/>
              </w:rPr>
              <w:t>$</w:t>
            </w:r>
            <w:r w:rsidR="00217797" w:rsidRPr="00217797">
              <w:rPr>
                <w:b/>
                <w:iCs/>
                <w:color w:val="000000"/>
                <w:szCs w:val="20"/>
                <w:shd w:val="solid" w:color="000000" w:fill="000000"/>
                <w14:textFill>
                  <w14:solidFill>
                    <w14:srgbClr w14:val="000000">
                      <w14:alpha w14:val="100000"/>
                    </w14:srgbClr>
                  </w14:solidFill>
                </w14:textFill>
              </w:rPr>
              <w:t>|</w:t>
            </w:r>
          </w:p>
        </w:tc>
      </w:tr>
    </w:tbl>
    <w:p w14:paraId="47B04DD4" w14:textId="77777777" w:rsidR="006B3928" w:rsidRPr="006710E4" w:rsidRDefault="006B3928" w:rsidP="006B3928">
      <w:pPr>
        <w:pStyle w:val="TableFooter"/>
      </w:pPr>
      <w:r w:rsidRPr="006710E4">
        <w:t>Source: Table 112, p206 of the submission.</w:t>
      </w:r>
    </w:p>
    <w:p w14:paraId="4B18584A" w14:textId="0592AA46" w:rsidR="006B3928" w:rsidRPr="006710E4" w:rsidRDefault="006B3928" w:rsidP="004F3D87">
      <w:pPr>
        <w:pStyle w:val="TableFooter"/>
        <w:rPr>
          <w:rStyle w:val="CommentReference"/>
          <w:b w:val="0"/>
          <w:sz w:val="18"/>
          <w:szCs w:val="22"/>
        </w:rPr>
      </w:pPr>
      <w:r w:rsidRPr="006710E4">
        <w:t>ICER = incremental cost effectiveness ratio; LY = life years; QALY = quality adjusted life years; SoC = standard of care.</w:t>
      </w:r>
    </w:p>
    <w:p w14:paraId="2DA55011" w14:textId="77777777" w:rsidR="00D110BD" w:rsidRPr="006710E4" w:rsidRDefault="00D110BD" w:rsidP="00E723BA"/>
    <w:p w14:paraId="56457F1F" w14:textId="69ADC1C9" w:rsidR="00447161" w:rsidRDefault="007265A8" w:rsidP="00E24AE9">
      <w:pPr>
        <w:pStyle w:val="ListParagraph"/>
        <w:widowControl/>
        <w:numPr>
          <w:ilvl w:val="1"/>
          <w:numId w:val="2"/>
        </w:numPr>
      </w:pPr>
      <w:r w:rsidRPr="006710E4">
        <w:t xml:space="preserve">The extrapolation from </w:t>
      </w:r>
      <w:r w:rsidR="00A25FEC" w:rsidRPr="006710E4">
        <w:t xml:space="preserve">24 months </w:t>
      </w:r>
      <w:r w:rsidR="00A25FEC" w:rsidRPr="00A57042">
        <w:t xml:space="preserve">to </w:t>
      </w:r>
      <w:r w:rsidR="001F765F" w:rsidRPr="00A57042">
        <w:t xml:space="preserve">a </w:t>
      </w:r>
      <w:proofErr w:type="gramStart"/>
      <w:r w:rsidR="00A25FEC" w:rsidRPr="00A57042">
        <w:t>ten year</w:t>
      </w:r>
      <w:proofErr w:type="gramEnd"/>
      <w:r w:rsidR="00A25FEC" w:rsidRPr="00A57042">
        <w:t xml:space="preserve"> time</w:t>
      </w:r>
      <w:r w:rsidR="00A25FEC" w:rsidRPr="006710E4">
        <w:t xml:space="preserve"> horizon substantially reduced the ICER </w:t>
      </w:r>
      <w:r w:rsidR="004955FE" w:rsidRPr="006710E4">
        <w:t>(</w:t>
      </w:r>
      <w:r w:rsidR="00A25FEC" w:rsidRPr="006710E4">
        <w:t>by 7</w:t>
      </w:r>
      <w:r w:rsidR="008B13A5" w:rsidRPr="006710E4">
        <w:t>9</w:t>
      </w:r>
      <w:r w:rsidR="00A25FEC" w:rsidRPr="006710E4">
        <w:t>%</w:t>
      </w:r>
      <w:r w:rsidR="004955FE" w:rsidRPr="006710E4">
        <w:t>)</w:t>
      </w:r>
      <w:r w:rsidR="00A25FEC" w:rsidRPr="006710E4">
        <w:t xml:space="preserve">. </w:t>
      </w:r>
      <w:r w:rsidR="00AC02E7">
        <w:t>In the submission base case, t</w:t>
      </w:r>
      <w:r w:rsidR="00447161" w:rsidRPr="006710E4">
        <w:t xml:space="preserve">he largest contributors to the incremental cost in the model </w:t>
      </w:r>
      <w:r w:rsidR="004955FE" w:rsidRPr="006710E4">
        <w:t xml:space="preserve">were </w:t>
      </w:r>
      <w:r w:rsidR="00447161" w:rsidRPr="006710E4">
        <w:t xml:space="preserve">the drug acquisition costs (+108.6% of incremental cost), followed by terminal care costs (-13.5% of </w:t>
      </w:r>
      <w:r w:rsidR="003518B0" w:rsidRPr="006710E4">
        <w:t>incremental</w:t>
      </w:r>
      <w:r w:rsidR="00447161" w:rsidRPr="006710E4">
        <w:t xml:space="preserve"> cost). The incremental</w:t>
      </w:r>
      <w:r w:rsidR="003E782B" w:rsidRPr="006710E4">
        <w:t xml:space="preserve"> </w:t>
      </w:r>
      <w:r w:rsidRPr="006710E4">
        <w:t>life years (</w:t>
      </w:r>
      <w:r w:rsidR="003E782B" w:rsidRPr="006710E4">
        <w:t>L</w:t>
      </w:r>
      <w:r w:rsidRPr="006710E4">
        <w:t>Y</w:t>
      </w:r>
      <w:r w:rsidR="003E782B" w:rsidRPr="006710E4">
        <w:t>s</w:t>
      </w:r>
      <w:r w:rsidRPr="006710E4">
        <w:t>)</w:t>
      </w:r>
      <w:r w:rsidR="003E782B" w:rsidRPr="006710E4">
        <w:t xml:space="preserve"> and </w:t>
      </w:r>
      <w:r w:rsidRPr="006710E4">
        <w:t>quality adjusted life years (</w:t>
      </w:r>
      <w:r w:rsidR="003E782B" w:rsidRPr="006710E4">
        <w:t>QALYs</w:t>
      </w:r>
      <w:r w:rsidRPr="006710E4">
        <w:t>)</w:t>
      </w:r>
      <w:r w:rsidR="003E782B" w:rsidRPr="006710E4">
        <w:t xml:space="preserve"> accrued in the progression-free</w:t>
      </w:r>
      <w:r w:rsidR="00447161" w:rsidRPr="006710E4">
        <w:t xml:space="preserve"> health state accounted for more than half (61.6%) of the total incremental outcome between the two treatment groups. </w:t>
      </w:r>
      <w:r w:rsidR="00240862" w:rsidRPr="006710E4">
        <w:t xml:space="preserve">A </w:t>
      </w:r>
      <w:r w:rsidR="0017057D" w:rsidRPr="006710E4">
        <w:t>difference in PFS was modelled despite</w:t>
      </w:r>
      <w:r w:rsidR="00447161" w:rsidRPr="006710E4">
        <w:t xml:space="preserve"> the naïve comparison of </w:t>
      </w:r>
      <w:proofErr w:type="spellStart"/>
      <w:r w:rsidR="00447161" w:rsidRPr="006710E4">
        <w:t>dostarlimab</w:t>
      </w:r>
      <w:proofErr w:type="spellEnd"/>
      <w:r w:rsidR="00447161" w:rsidRPr="006710E4">
        <w:t xml:space="preserve"> and SoC not support</w:t>
      </w:r>
      <w:r w:rsidR="0017057D" w:rsidRPr="006710E4">
        <w:t>ing</w:t>
      </w:r>
      <w:r w:rsidR="00447161" w:rsidRPr="006710E4">
        <w:t xml:space="preserve"> a PFS benefit given the MCID was not met</w:t>
      </w:r>
      <w:r w:rsidR="00113E79" w:rsidRPr="006710E4">
        <w:t>, which may not be reasonable</w:t>
      </w:r>
      <w:r w:rsidR="00447161" w:rsidRPr="006710E4">
        <w:t>.</w:t>
      </w:r>
    </w:p>
    <w:p w14:paraId="1B7614CC" w14:textId="3A0FF449" w:rsidR="000A6160" w:rsidRPr="00AC4B28" w:rsidRDefault="000A6160" w:rsidP="00490288">
      <w:pPr>
        <w:pStyle w:val="ListParagraph"/>
        <w:widowControl/>
        <w:numPr>
          <w:ilvl w:val="1"/>
          <w:numId w:val="2"/>
        </w:numPr>
        <w:rPr>
          <w:iCs/>
        </w:rPr>
      </w:pPr>
      <w:r w:rsidRPr="00AC4B28">
        <w:rPr>
          <w:iCs/>
        </w:rPr>
        <w:t xml:space="preserve">The </w:t>
      </w:r>
      <w:r w:rsidR="00AC02E7" w:rsidRPr="00AC4B28">
        <w:rPr>
          <w:iCs/>
        </w:rPr>
        <w:t xml:space="preserve">PSCR proposed a </w:t>
      </w:r>
      <w:r w:rsidRPr="00AC4B28">
        <w:rPr>
          <w:iCs/>
        </w:rPr>
        <w:t xml:space="preserve">revised base case </w:t>
      </w:r>
      <w:r w:rsidR="00AC02E7" w:rsidRPr="00AC4B28">
        <w:rPr>
          <w:iCs/>
        </w:rPr>
        <w:t xml:space="preserve">with a </w:t>
      </w:r>
      <w:r w:rsidRPr="00AC4B28">
        <w:rPr>
          <w:iCs/>
        </w:rPr>
        <w:t xml:space="preserve">time horizon of 7.5 years and no half cycle correction </w:t>
      </w:r>
      <w:r w:rsidR="00AC02E7" w:rsidRPr="00AC4B28">
        <w:rPr>
          <w:iCs/>
        </w:rPr>
        <w:t xml:space="preserve">for </w:t>
      </w:r>
      <w:proofErr w:type="spellStart"/>
      <w:r w:rsidR="00AC02E7" w:rsidRPr="00AC4B28">
        <w:rPr>
          <w:iCs/>
        </w:rPr>
        <w:t>dostarlimab</w:t>
      </w:r>
      <w:proofErr w:type="spellEnd"/>
      <w:r w:rsidR="00AC02E7" w:rsidRPr="00AC4B28">
        <w:rPr>
          <w:iCs/>
        </w:rPr>
        <w:t xml:space="preserve"> drug costs, which</w:t>
      </w:r>
      <w:r w:rsidRPr="00AC4B28">
        <w:rPr>
          <w:iCs/>
        </w:rPr>
        <w:t xml:space="preserve"> increase</w:t>
      </w:r>
      <w:r w:rsidR="00AC02E7" w:rsidRPr="00AC4B28">
        <w:rPr>
          <w:iCs/>
        </w:rPr>
        <w:t>d</w:t>
      </w:r>
      <w:r w:rsidRPr="00AC4B28">
        <w:rPr>
          <w:iCs/>
        </w:rPr>
        <w:t xml:space="preserve"> the ICER to </w:t>
      </w:r>
      <w:r w:rsidR="009007EF" w:rsidRPr="009007EF">
        <w:rPr>
          <w:iCs/>
        </w:rPr>
        <w:t>$75,000 to &lt; $95,000</w:t>
      </w:r>
      <w:r w:rsidR="009007EF">
        <w:rPr>
          <w:iCs/>
        </w:rPr>
        <w:t xml:space="preserve"> per QALY</w:t>
      </w:r>
      <w:r w:rsidRPr="00AC4B28">
        <w:rPr>
          <w:iCs/>
        </w:rPr>
        <w:t xml:space="preserve">. </w:t>
      </w:r>
      <w:r w:rsidR="00AC02E7" w:rsidRPr="00AC4B28">
        <w:rPr>
          <w:iCs/>
        </w:rPr>
        <w:t>To re-align the ICER with the submission base case (</w:t>
      </w:r>
      <w:r w:rsidR="009007EF" w:rsidRPr="009007EF">
        <w:rPr>
          <w:iCs/>
        </w:rPr>
        <w:t xml:space="preserve">$55,000 to &lt; $75,000 </w:t>
      </w:r>
      <w:r w:rsidR="009007EF">
        <w:rPr>
          <w:iCs/>
        </w:rPr>
        <w:t>per QALY</w:t>
      </w:r>
      <w:r w:rsidR="00AC02E7" w:rsidRPr="00AC4B28">
        <w:rPr>
          <w:iCs/>
        </w:rPr>
        <w:t xml:space="preserve">), the PSCR proposed a </w:t>
      </w:r>
      <w:r w:rsidRPr="00E34E56">
        <w:rPr>
          <w:iCs/>
        </w:rPr>
        <w:t>16.8</w:t>
      </w:r>
      <w:r w:rsidRPr="00AC4B28">
        <w:rPr>
          <w:iCs/>
        </w:rPr>
        <w:t xml:space="preserve">% </w:t>
      </w:r>
      <w:r w:rsidR="00AC02E7" w:rsidRPr="00AC4B28">
        <w:rPr>
          <w:iCs/>
        </w:rPr>
        <w:t xml:space="preserve">reduction in the </w:t>
      </w:r>
      <w:r w:rsidRPr="00AC4B28">
        <w:rPr>
          <w:iCs/>
        </w:rPr>
        <w:t>price.</w:t>
      </w:r>
    </w:p>
    <w:p w14:paraId="4EEC7653" w14:textId="51355EB8" w:rsidR="00D944EA" w:rsidRPr="006710E4" w:rsidRDefault="00D944EA" w:rsidP="00E24AE9">
      <w:pPr>
        <w:pStyle w:val="ListParagraph"/>
        <w:widowControl/>
        <w:numPr>
          <w:ilvl w:val="1"/>
          <w:numId w:val="2"/>
        </w:numPr>
      </w:pPr>
      <w:r w:rsidRPr="006710E4">
        <w:t>A summary table of</w:t>
      </w:r>
      <w:r w:rsidR="003E782B" w:rsidRPr="006710E4">
        <w:t xml:space="preserve"> key</w:t>
      </w:r>
      <w:r w:rsidRPr="006710E4">
        <w:t xml:space="preserve"> univariate and multivariate sensitivity analyses</w:t>
      </w:r>
      <w:r w:rsidR="003A234F">
        <w:t>, based on the PSCR model,</w:t>
      </w:r>
      <w:r w:rsidRPr="006710E4">
        <w:t xml:space="preserve"> ar</w:t>
      </w:r>
      <w:r w:rsidR="003E782B" w:rsidRPr="006710E4">
        <w:t xml:space="preserve">e presented in </w:t>
      </w:r>
      <w:r w:rsidR="007265A8" w:rsidRPr="006710E4">
        <w:fldChar w:fldCharType="begin"/>
      </w:r>
      <w:r w:rsidR="007265A8" w:rsidRPr="006710E4">
        <w:instrText xml:space="preserve"> REF _Ref92296615 \h  \* MERGEFORMAT </w:instrText>
      </w:r>
      <w:r w:rsidR="007265A8" w:rsidRPr="006710E4">
        <w:fldChar w:fldCharType="separate"/>
      </w:r>
      <w:r w:rsidR="004975AD" w:rsidRPr="004975AD">
        <w:t>Table 11</w:t>
      </w:r>
      <w:r w:rsidR="007265A8" w:rsidRPr="006710E4">
        <w:fldChar w:fldCharType="end"/>
      </w:r>
      <w:r w:rsidR="003E782B" w:rsidRPr="006710E4">
        <w:t>.</w:t>
      </w:r>
    </w:p>
    <w:p w14:paraId="38436F41" w14:textId="00EAEC59" w:rsidR="00760F09" w:rsidRPr="003A234F" w:rsidRDefault="00760F09" w:rsidP="00D41722">
      <w:pPr>
        <w:keepNext/>
        <w:keepLines/>
        <w:widowControl/>
        <w:rPr>
          <w:rStyle w:val="CommentReference"/>
        </w:rPr>
      </w:pPr>
      <w:bookmarkStart w:id="44" w:name="_Ref92296615"/>
      <w:r w:rsidRPr="003A234F">
        <w:rPr>
          <w:rStyle w:val="CommentReference"/>
        </w:rPr>
        <w:t xml:space="preserve">Table </w:t>
      </w:r>
      <w:r w:rsidRPr="003A234F">
        <w:rPr>
          <w:rStyle w:val="CommentReference"/>
        </w:rPr>
        <w:fldChar w:fldCharType="begin"/>
      </w:r>
      <w:r w:rsidRPr="003A234F">
        <w:rPr>
          <w:rStyle w:val="CommentReference"/>
        </w:rPr>
        <w:instrText xml:space="preserve"> SEQ Table \* ARABIC </w:instrText>
      </w:r>
      <w:r w:rsidRPr="003A234F">
        <w:rPr>
          <w:rStyle w:val="CommentReference"/>
        </w:rPr>
        <w:fldChar w:fldCharType="separate"/>
      </w:r>
      <w:r w:rsidR="004975AD">
        <w:rPr>
          <w:rStyle w:val="CommentReference"/>
          <w:noProof/>
        </w:rPr>
        <w:t>11</w:t>
      </w:r>
      <w:r w:rsidRPr="003A234F">
        <w:rPr>
          <w:rStyle w:val="CommentReference"/>
        </w:rPr>
        <w:fldChar w:fldCharType="end"/>
      </w:r>
      <w:bookmarkEnd w:id="44"/>
      <w:r w:rsidRPr="003A234F">
        <w:rPr>
          <w:rStyle w:val="CommentReference"/>
        </w:rPr>
        <w:t>: Results of univariate and multivariate sensitivity analyses</w:t>
      </w:r>
      <w:r w:rsidR="003A234F">
        <w:rPr>
          <w:rStyle w:val="CommentReference"/>
        </w:rPr>
        <w:t xml:space="preserve"> based on PSCR model</w:t>
      </w:r>
    </w:p>
    <w:tbl>
      <w:tblPr>
        <w:tblStyle w:val="TableGrid"/>
        <w:tblW w:w="9017" w:type="dxa"/>
        <w:tblLayout w:type="fixed"/>
        <w:tblLook w:val="04A0" w:firstRow="1" w:lastRow="0" w:firstColumn="1" w:lastColumn="0" w:noHBand="0" w:noVBand="1"/>
      </w:tblPr>
      <w:tblGrid>
        <w:gridCol w:w="1092"/>
        <w:gridCol w:w="1596"/>
        <w:gridCol w:w="2694"/>
        <w:gridCol w:w="992"/>
        <w:gridCol w:w="851"/>
        <w:gridCol w:w="992"/>
        <w:gridCol w:w="800"/>
      </w:tblGrid>
      <w:tr w:rsidR="00762589" w:rsidRPr="00AC4B28" w14:paraId="576FEC1B" w14:textId="77777777" w:rsidTr="00217797">
        <w:tc>
          <w:tcPr>
            <w:tcW w:w="1092" w:type="dxa"/>
            <w:tcBorders>
              <w:top w:val="single" w:sz="4" w:space="0" w:color="auto"/>
              <w:left w:val="single" w:sz="4" w:space="0" w:color="auto"/>
              <w:bottom w:val="single" w:sz="4" w:space="0" w:color="auto"/>
              <w:right w:val="single" w:sz="4" w:space="0" w:color="auto"/>
            </w:tcBorders>
            <w:vAlign w:val="center"/>
            <w:hideMark/>
          </w:tcPr>
          <w:p w14:paraId="21EB1722" w14:textId="77777777" w:rsidR="00762589" w:rsidRPr="00AC4B28" w:rsidRDefault="00762589">
            <w:pPr>
              <w:pStyle w:val="Tabletext"/>
              <w:keepNext/>
              <w:keepLines/>
              <w:rPr>
                <w:rStyle w:val="CommentReference"/>
                <w:iCs/>
              </w:rPr>
            </w:pPr>
            <w:r w:rsidRPr="00AC4B28">
              <w:rPr>
                <w:rStyle w:val="CommentReference"/>
                <w:iCs/>
                <w:lang w:eastAsia="en-AU"/>
              </w:rPr>
              <w:t>Variable</w:t>
            </w:r>
          </w:p>
        </w:tc>
        <w:tc>
          <w:tcPr>
            <w:tcW w:w="1596" w:type="dxa"/>
            <w:tcBorders>
              <w:top w:val="single" w:sz="4" w:space="0" w:color="auto"/>
              <w:left w:val="single" w:sz="4" w:space="0" w:color="auto"/>
              <w:bottom w:val="single" w:sz="4" w:space="0" w:color="auto"/>
              <w:right w:val="single" w:sz="4" w:space="0" w:color="auto"/>
            </w:tcBorders>
            <w:vAlign w:val="center"/>
            <w:hideMark/>
          </w:tcPr>
          <w:p w14:paraId="52E34A58" w14:textId="77777777" w:rsidR="00762589" w:rsidRPr="00AC4B28" w:rsidRDefault="00762589">
            <w:pPr>
              <w:pStyle w:val="Tabletext"/>
              <w:keepNext/>
              <w:keepLines/>
              <w:jc w:val="center"/>
              <w:rPr>
                <w:rStyle w:val="CommentReference"/>
                <w:iCs/>
                <w:lang w:eastAsia="en-AU"/>
              </w:rPr>
            </w:pPr>
            <w:r w:rsidRPr="00AC4B28">
              <w:rPr>
                <w:rStyle w:val="CommentReference"/>
                <w:iCs/>
                <w:lang w:eastAsia="en-AU"/>
              </w:rPr>
              <w:t>Base case</w:t>
            </w:r>
          </w:p>
        </w:tc>
        <w:tc>
          <w:tcPr>
            <w:tcW w:w="2694" w:type="dxa"/>
            <w:tcBorders>
              <w:top w:val="single" w:sz="4" w:space="0" w:color="auto"/>
              <w:left w:val="single" w:sz="4" w:space="0" w:color="auto"/>
              <w:bottom w:val="single" w:sz="4" w:space="0" w:color="auto"/>
              <w:right w:val="single" w:sz="4" w:space="0" w:color="auto"/>
            </w:tcBorders>
            <w:vAlign w:val="center"/>
            <w:hideMark/>
          </w:tcPr>
          <w:p w14:paraId="74A7E762" w14:textId="77777777" w:rsidR="00762589" w:rsidRPr="00AC4B28" w:rsidRDefault="00762589">
            <w:pPr>
              <w:pStyle w:val="Tabletext"/>
              <w:keepNext/>
              <w:keepLines/>
              <w:jc w:val="center"/>
              <w:rPr>
                <w:rStyle w:val="CommentReference"/>
                <w:iCs/>
                <w:lang w:eastAsia="en-AU"/>
              </w:rPr>
            </w:pPr>
            <w:r w:rsidRPr="00AC4B28">
              <w:rPr>
                <w:rStyle w:val="CommentReference"/>
                <w:iCs/>
                <w:lang w:eastAsia="en-AU"/>
              </w:rPr>
              <w:t>Scenario</w:t>
            </w:r>
          </w:p>
        </w:tc>
        <w:tc>
          <w:tcPr>
            <w:tcW w:w="992" w:type="dxa"/>
            <w:tcBorders>
              <w:top w:val="single" w:sz="4" w:space="0" w:color="auto"/>
              <w:left w:val="single" w:sz="4" w:space="0" w:color="auto"/>
              <w:bottom w:val="single" w:sz="4" w:space="0" w:color="auto"/>
              <w:right w:val="single" w:sz="4" w:space="0" w:color="auto"/>
            </w:tcBorders>
            <w:vAlign w:val="center"/>
            <w:hideMark/>
          </w:tcPr>
          <w:p w14:paraId="68649D80" w14:textId="47489C1B" w:rsidR="00762589" w:rsidRPr="00AC4B28" w:rsidRDefault="00762589">
            <w:pPr>
              <w:pStyle w:val="Tabletext"/>
              <w:keepNext/>
              <w:keepLines/>
              <w:jc w:val="center"/>
              <w:rPr>
                <w:rStyle w:val="CommentReference"/>
                <w:iCs/>
                <w:lang w:eastAsia="en-AU"/>
              </w:rPr>
            </w:pPr>
            <w:r w:rsidRPr="00AC4B28">
              <w:rPr>
                <w:rStyle w:val="CommentReference"/>
                <w:iCs/>
                <w:lang w:eastAsia="en-AU"/>
              </w:rPr>
              <w:t>Δ cost</w:t>
            </w:r>
            <w:r w:rsidR="009007EF">
              <w:rPr>
                <w:rStyle w:val="CommentReference"/>
                <w:iCs/>
                <w:lang w:eastAsia="en-AU"/>
              </w:rPr>
              <w:t xml:space="preserve"> ($)</w:t>
            </w:r>
          </w:p>
        </w:tc>
        <w:tc>
          <w:tcPr>
            <w:tcW w:w="851" w:type="dxa"/>
            <w:tcBorders>
              <w:top w:val="single" w:sz="4" w:space="0" w:color="auto"/>
              <w:left w:val="single" w:sz="4" w:space="0" w:color="auto"/>
              <w:bottom w:val="single" w:sz="4" w:space="0" w:color="auto"/>
              <w:right w:val="single" w:sz="4" w:space="0" w:color="auto"/>
            </w:tcBorders>
            <w:vAlign w:val="center"/>
            <w:hideMark/>
          </w:tcPr>
          <w:p w14:paraId="76FB1DED" w14:textId="77777777" w:rsidR="00762589" w:rsidRPr="00AC4B28" w:rsidRDefault="00762589">
            <w:pPr>
              <w:pStyle w:val="Tabletext"/>
              <w:keepNext/>
              <w:keepLines/>
              <w:jc w:val="center"/>
              <w:rPr>
                <w:rStyle w:val="CommentReference"/>
                <w:iCs/>
                <w:lang w:eastAsia="en-AU"/>
              </w:rPr>
            </w:pPr>
            <w:r w:rsidRPr="00AC4B28">
              <w:rPr>
                <w:rStyle w:val="CommentReference"/>
                <w:iCs/>
                <w:lang w:eastAsia="en-AU"/>
              </w:rPr>
              <w:t>Δ QALY</w:t>
            </w:r>
          </w:p>
        </w:tc>
        <w:tc>
          <w:tcPr>
            <w:tcW w:w="992" w:type="dxa"/>
            <w:tcBorders>
              <w:top w:val="single" w:sz="4" w:space="0" w:color="auto"/>
              <w:left w:val="single" w:sz="4" w:space="0" w:color="auto"/>
              <w:bottom w:val="single" w:sz="4" w:space="0" w:color="auto"/>
              <w:right w:val="single" w:sz="4" w:space="0" w:color="auto"/>
            </w:tcBorders>
            <w:vAlign w:val="center"/>
            <w:hideMark/>
          </w:tcPr>
          <w:p w14:paraId="1AB7F28E" w14:textId="2D6FFE2B" w:rsidR="00762589" w:rsidRPr="00AC4B28" w:rsidRDefault="00762589">
            <w:pPr>
              <w:pStyle w:val="Tabletext"/>
              <w:keepNext/>
              <w:keepLines/>
              <w:jc w:val="center"/>
              <w:rPr>
                <w:rStyle w:val="CommentReference"/>
                <w:iCs/>
                <w:lang w:eastAsia="en-AU"/>
              </w:rPr>
            </w:pPr>
            <w:r w:rsidRPr="00AC4B28">
              <w:rPr>
                <w:rStyle w:val="CommentReference"/>
                <w:iCs/>
                <w:lang w:eastAsia="en-AU"/>
              </w:rPr>
              <w:t>ICER</w:t>
            </w:r>
            <w:r w:rsidR="009007EF">
              <w:rPr>
                <w:rStyle w:val="CommentReference"/>
                <w:iCs/>
                <w:lang w:eastAsia="en-AU"/>
              </w:rPr>
              <w:t xml:space="preserve"> ($)</w:t>
            </w:r>
          </w:p>
        </w:tc>
        <w:tc>
          <w:tcPr>
            <w:tcW w:w="800" w:type="dxa"/>
            <w:tcBorders>
              <w:top w:val="single" w:sz="4" w:space="0" w:color="auto"/>
              <w:left w:val="single" w:sz="4" w:space="0" w:color="auto"/>
              <w:bottom w:val="single" w:sz="4" w:space="0" w:color="auto"/>
              <w:right w:val="single" w:sz="4" w:space="0" w:color="auto"/>
            </w:tcBorders>
            <w:vAlign w:val="center"/>
            <w:hideMark/>
          </w:tcPr>
          <w:p w14:paraId="1DE0E2F7" w14:textId="77777777" w:rsidR="00762589" w:rsidRPr="00AC4B28" w:rsidRDefault="00762589">
            <w:pPr>
              <w:pStyle w:val="Tabletext"/>
              <w:keepNext/>
              <w:keepLines/>
              <w:jc w:val="center"/>
              <w:rPr>
                <w:rStyle w:val="CommentReference"/>
                <w:iCs/>
                <w:lang w:eastAsia="en-AU"/>
              </w:rPr>
            </w:pPr>
            <w:r w:rsidRPr="00AC4B28">
              <w:rPr>
                <w:rStyle w:val="CommentReference"/>
                <w:iCs/>
                <w:lang w:eastAsia="en-AU"/>
              </w:rPr>
              <w:t>% change</w:t>
            </w:r>
          </w:p>
        </w:tc>
      </w:tr>
      <w:tr w:rsidR="00762589" w:rsidRPr="00AC4B28" w14:paraId="1661BD9E" w14:textId="77777777" w:rsidTr="00217797">
        <w:tc>
          <w:tcPr>
            <w:tcW w:w="5382" w:type="dxa"/>
            <w:gridSpan w:val="3"/>
            <w:tcBorders>
              <w:top w:val="single" w:sz="4" w:space="0" w:color="auto"/>
              <w:left w:val="single" w:sz="4" w:space="0" w:color="auto"/>
              <w:bottom w:val="single" w:sz="4" w:space="0" w:color="auto"/>
              <w:right w:val="single" w:sz="4" w:space="0" w:color="auto"/>
            </w:tcBorders>
            <w:hideMark/>
          </w:tcPr>
          <w:p w14:paraId="7BC1A17F" w14:textId="77777777" w:rsidR="00762589" w:rsidRPr="00AC4B28" w:rsidRDefault="00762589">
            <w:pPr>
              <w:pStyle w:val="Tabletext"/>
              <w:keepNext/>
              <w:keepLines/>
              <w:rPr>
                <w:rStyle w:val="CommentReference"/>
                <w:iCs/>
                <w:lang w:eastAsia="en-AU"/>
              </w:rPr>
            </w:pPr>
            <w:r w:rsidRPr="00AC4B28">
              <w:rPr>
                <w:rStyle w:val="CommentReference"/>
                <w:iCs/>
                <w:lang w:eastAsia="en-AU"/>
              </w:rPr>
              <w:t>Base case (PSCR)</w:t>
            </w:r>
          </w:p>
        </w:tc>
        <w:tc>
          <w:tcPr>
            <w:tcW w:w="992" w:type="dxa"/>
            <w:tcBorders>
              <w:top w:val="single" w:sz="4" w:space="0" w:color="auto"/>
              <w:left w:val="single" w:sz="4" w:space="0" w:color="auto"/>
              <w:bottom w:val="single" w:sz="4" w:space="0" w:color="auto"/>
              <w:right w:val="single" w:sz="4" w:space="0" w:color="auto"/>
            </w:tcBorders>
            <w:shd w:val="solid" w:color="000000" w:fill="000000"/>
            <w:hideMark/>
          </w:tcPr>
          <w:p w14:paraId="4E5D6F3C" w14:textId="33727568" w:rsidR="00762589" w:rsidRPr="00217797" w:rsidRDefault="00217797">
            <w:pPr>
              <w:pStyle w:val="Tabletext"/>
              <w:keepNext/>
              <w:keepLines/>
              <w:jc w:val="center"/>
              <w:rPr>
                <w:rStyle w:val="CommentReference"/>
                <w:iCs/>
                <w:lang w:eastAsia="en-AU"/>
              </w:rPr>
            </w:pPr>
            <w:r w:rsidRPr="00217797">
              <w:rPr>
                <w:rStyle w:val="CommentReference"/>
                <w:iCs/>
                <w:color w:val="000000"/>
                <w:spacing w:val="36"/>
                <w:fitText w:val="210" w:id="-1502445312"/>
                <w:lang w:eastAsia="en-AU"/>
                <w14:textFill>
                  <w14:solidFill>
                    <w14:srgbClr w14:val="000000">
                      <w14:alpha w14:val="100000"/>
                    </w14:srgbClr>
                  </w14:solidFill>
                </w14:textFill>
              </w:rPr>
              <w:t>||</w:t>
            </w:r>
            <w:r w:rsidRPr="00217797">
              <w:rPr>
                <w:rStyle w:val="CommentReference"/>
                <w:iCs/>
                <w:color w:val="000000"/>
                <w:spacing w:val="1"/>
                <w:fitText w:val="210" w:id="-1502445312"/>
                <w:lang w:eastAsia="en-AU"/>
                <w14:textFill>
                  <w14:solidFill>
                    <w14:srgbClr w14:val="000000">
                      <w14:alpha w14:val="100000"/>
                    </w14:srgbClr>
                  </w14:solidFill>
                </w14:textFill>
              </w:rPr>
              <w:t>|</w:t>
            </w:r>
          </w:p>
        </w:tc>
        <w:tc>
          <w:tcPr>
            <w:tcW w:w="851" w:type="dxa"/>
            <w:tcBorders>
              <w:top w:val="single" w:sz="4" w:space="0" w:color="auto"/>
              <w:left w:val="single" w:sz="4" w:space="0" w:color="auto"/>
              <w:bottom w:val="single" w:sz="4" w:space="0" w:color="auto"/>
              <w:right w:val="single" w:sz="4" w:space="0" w:color="auto"/>
            </w:tcBorders>
            <w:hideMark/>
          </w:tcPr>
          <w:p w14:paraId="7181326D" w14:textId="77777777" w:rsidR="00762589" w:rsidRPr="00AC4B28" w:rsidRDefault="00762589">
            <w:pPr>
              <w:pStyle w:val="Tabletext"/>
              <w:keepNext/>
              <w:keepLines/>
              <w:jc w:val="center"/>
              <w:rPr>
                <w:rStyle w:val="CommentReference"/>
                <w:iCs/>
                <w:lang w:eastAsia="en-AU"/>
              </w:rPr>
            </w:pPr>
            <w:r w:rsidRPr="00AC4B28">
              <w:rPr>
                <w:rStyle w:val="CommentReference"/>
                <w:iCs/>
                <w:lang w:eastAsia="en-AU"/>
              </w:rPr>
              <w:t>1.2126</w:t>
            </w:r>
          </w:p>
        </w:tc>
        <w:tc>
          <w:tcPr>
            <w:tcW w:w="992" w:type="dxa"/>
            <w:tcBorders>
              <w:top w:val="single" w:sz="4" w:space="0" w:color="auto"/>
              <w:left w:val="single" w:sz="4" w:space="0" w:color="auto"/>
              <w:bottom w:val="single" w:sz="4" w:space="0" w:color="auto"/>
              <w:right w:val="single" w:sz="4" w:space="0" w:color="auto"/>
            </w:tcBorders>
            <w:hideMark/>
          </w:tcPr>
          <w:p w14:paraId="04787371" w14:textId="468EF753" w:rsidR="00762589" w:rsidRPr="009007EF" w:rsidRDefault="00217797">
            <w:pPr>
              <w:pStyle w:val="Tabletext"/>
              <w:keepNext/>
              <w:keepLines/>
              <w:jc w:val="center"/>
              <w:rPr>
                <w:rStyle w:val="CommentReference"/>
                <w:iCs/>
                <w:highlight w:val="yellow"/>
                <w:lang w:eastAsia="en-AU"/>
              </w:rPr>
            </w:pPr>
            <w:r w:rsidRPr="00217797">
              <w:rPr>
                <w:rStyle w:val="CommentReference"/>
                <w:iCs/>
                <w:color w:val="000000"/>
                <w:spacing w:val="148"/>
                <w:shd w:val="solid" w:color="000000" w:fill="000000"/>
                <w:fitText w:val="240" w:id="-1502445311"/>
                <w:lang w:eastAsia="en-AU"/>
                <w14:textFill>
                  <w14:solidFill>
                    <w14:srgbClr w14:val="000000">
                      <w14:alpha w14:val="100000"/>
                    </w14:srgbClr>
                  </w14:solidFill>
                </w14:textFill>
              </w:rPr>
              <w:t>|</w:t>
            </w:r>
            <w:r w:rsidRPr="00217797">
              <w:rPr>
                <w:rStyle w:val="CommentReference"/>
                <w:iCs/>
                <w:color w:val="000000"/>
                <w:spacing w:val="1"/>
                <w:shd w:val="solid" w:color="000000" w:fill="000000"/>
                <w:fitText w:val="240" w:id="-1502445311"/>
                <w:lang w:eastAsia="en-AU"/>
                <w14:textFill>
                  <w14:solidFill>
                    <w14:srgbClr w14:val="000000">
                      <w14:alpha w14:val="100000"/>
                    </w14:srgbClr>
                  </w14:solidFill>
                </w14:textFill>
              </w:rPr>
              <w:t>|</w:t>
            </w:r>
            <w:r w:rsidR="009007EF">
              <w:rPr>
                <w:rStyle w:val="CommentReference"/>
                <w:b w:val="0"/>
                <w:iCs/>
                <w:vertAlign w:val="superscript"/>
                <w:lang w:eastAsia="en-AU"/>
              </w:rPr>
              <w:t>2</w:t>
            </w:r>
          </w:p>
        </w:tc>
        <w:tc>
          <w:tcPr>
            <w:tcW w:w="800" w:type="dxa"/>
            <w:tcBorders>
              <w:top w:val="single" w:sz="4" w:space="0" w:color="auto"/>
              <w:left w:val="single" w:sz="4" w:space="0" w:color="auto"/>
              <w:bottom w:val="single" w:sz="4" w:space="0" w:color="auto"/>
              <w:right w:val="single" w:sz="4" w:space="0" w:color="auto"/>
            </w:tcBorders>
            <w:hideMark/>
          </w:tcPr>
          <w:p w14:paraId="1BF162A3" w14:textId="77777777" w:rsidR="00762589" w:rsidRPr="00AC4B28" w:rsidRDefault="00762589">
            <w:pPr>
              <w:pStyle w:val="Tabletext"/>
              <w:keepNext/>
              <w:keepLines/>
              <w:jc w:val="center"/>
              <w:rPr>
                <w:rStyle w:val="CommentReference"/>
                <w:iCs/>
                <w:lang w:eastAsia="en-AU"/>
              </w:rPr>
            </w:pPr>
            <w:r w:rsidRPr="00AC4B28">
              <w:rPr>
                <w:rStyle w:val="CommentReference"/>
                <w:iCs/>
                <w:lang w:eastAsia="en-AU"/>
              </w:rPr>
              <w:t>-</w:t>
            </w:r>
          </w:p>
        </w:tc>
      </w:tr>
      <w:tr w:rsidR="00762589" w:rsidRPr="00AC4B28" w14:paraId="1B2DF096" w14:textId="77777777" w:rsidTr="00762589">
        <w:tc>
          <w:tcPr>
            <w:tcW w:w="9017" w:type="dxa"/>
            <w:gridSpan w:val="7"/>
            <w:tcBorders>
              <w:top w:val="single" w:sz="4" w:space="0" w:color="auto"/>
              <w:left w:val="single" w:sz="4" w:space="0" w:color="auto"/>
              <w:bottom w:val="single" w:sz="4" w:space="0" w:color="auto"/>
              <w:right w:val="single" w:sz="4" w:space="0" w:color="auto"/>
            </w:tcBorders>
            <w:hideMark/>
          </w:tcPr>
          <w:p w14:paraId="3EB404EE" w14:textId="77777777" w:rsidR="00762589" w:rsidRPr="00AC4B28" w:rsidRDefault="00762589">
            <w:pPr>
              <w:pStyle w:val="Tabletext"/>
              <w:keepNext/>
              <w:keepLines/>
              <w:rPr>
                <w:rStyle w:val="CommentReference"/>
                <w:iCs/>
                <w:lang w:eastAsia="en-AU"/>
              </w:rPr>
            </w:pPr>
            <w:r w:rsidRPr="00AC4B28">
              <w:rPr>
                <w:rStyle w:val="CommentReference"/>
                <w:iCs/>
                <w:lang w:eastAsia="en-AU"/>
              </w:rPr>
              <w:t>Univariate analyses</w:t>
            </w:r>
          </w:p>
        </w:tc>
      </w:tr>
      <w:tr w:rsidR="00762589" w:rsidRPr="00AC4B28" w14:paraId="20783E92" w14:textId="77777777" w:rsidTr="00217797">
        <w:trPr>
          <w:trHeight w:val="281"/>
        </w:trPr>
        <w:tc>
          <w:tcPr>
            <w:tcW w:w="1092" w:type="dxa"/>
            <w:tcBorders>
              <w:top w:val="single" w:sz="4" w:space="0" w:color="auto"/>
              <w:left w:val="single" w:sz="4" w:space="0" w:color="auto"/>
              <w:bottom w:val="single" w:sz="4" w:space="0" w:color="auto"/>
              <w:right w:val="single" w:sz="4" w:space="0" w:color="auto"/>
            </w:tcBorders>
            <w:vAlign w:val="center"/>
            <w:hideMark/>
          </w:tcPr>
          <w:p w14:paraId="4C7360F7" w14:textId="77777777" w:rsidR="00762589" w:rsidRPr="00AC4B28" w:rsidRDefault="00762589">
            <w:pPr>
              <w:pStyle w:val="Tabletext"/>
              <w:keepNext/>
              <w:keepLines/>
              <w:rPr>
                <w:rStyle w:val="CommentReference"/>
                <w:b w:val="0"/>
                <w:iCs/>
                <w:szCs w:val="22"/>
                <w:lang w:eastAsia="en-AU"/>
              </w:rPr>
            </w:pPr>
            <w:r w:rsidRPr="00AC4B28">
              <w:rPr>
                <w:rStyle w:val="CommentReference"/>
                <w:b w:val="0"/>
                <w:iCs/>
                <w:lang w:eastAsia="en-AU"/>
              </w:rPr>
              <w:t>Time horizon</w:t>
            </w:r>
          </w:p>
        </w:tc>
        <w:tc>
          <w:tcPr>
            <w:tcW w:w="1596" w:type="dxa"/>
            <w:tcBorders>
              <w:top w:val="single" w:sz="4" w:space="0" w:color="auto"/>
              <w:left w:val="single" w:sz="4" w:space="0" w:color="auto"/>
              <w:bottom w:val="single" w:sz="4" w:space="0" w:color="auto"/>
              <w:right w:val="single" w:sz="4" w:space="0" w:color="auto"/>
            </w:tcBorders>
            <w:vAlign w:val="center"/>
            <w:hideMark/>
          </w:tcPr>
          <w:p w14:paraId="015BBF99" w14:textId="77777777" w:rsidR="00762589" w:rsidRPr="00AC4B28" w:rsidRDefault="00762589">
            <w:pPr>
              <w:pStyle w:val="Tabletext"/>
              <w:keepNext/>
              <w:keepLines/>
              <w:jc w:val="center"/>
              <w:rPr>
                <w:rStyle w:val="CommentReference"/>
                <w:b w:val="0"/>
                <w:iCs/>
                <w:lang w:eastAsia="en-AU"/>
              </w:rPr>
            </w:pPr>
            <w:r w:rsidRPr="00AC4B28">
              <w:rPr>
                <w:rStyle w:val="CommentReference"/>
                <w:b w:val="0"/>
                <w:iCs/>
                <w:lang w:eastAsia="en-AU"/>
              </w:rPr>
              <w:t>7.5 years</w:t>
            </w:r>
          </w:p>
        </w:tc>
        <w:tc>
          <w:tcPr>
            <w:tcW w:w="2694" w:type="dxa"/>
            <w:tcBorders>
              <w:top w:val="single" w:sz="4" w:space="0" w:color="auto"/>
              <w:left w:val="single" w:sz="4" w:space="0" w:color="auto"/>
              <w:bottom w:val="single" w:sz="4" w:space="0" w:color="auto"/>
              <w:right w:val="single" w:sz="4" w:space="0" w:color="auto"/>
            </w:tcBorders>
            <w:vAlign w:val="center"/>
            <w:hideMark/>
          </w:tcPr>
          <w:p w14:paraId="37D1F838" w14:textId="77777777" w:rsidR="00762589" w:rsidRPr="00AC4B28" w:rsidRDefault="00762589">
            <w:pPr>
              <w:pStyle w:val="Tabletext"/>
              <w:keepNext/>
              <w:keepLines/>
              <w:jc w:val="center"/>
              <w:rPr>
                <w:rStyle w:val="CommentReference"/>
                <w:b w:val="0"/>
                <w:iCs/>
                <w:lang w:eastAsia="en-AU"/>
              </w:rPr>
            </w:pPr>
            <w:r w:rsidRPr="00AC4B28">
              <w:rPr>
                <w:iCs/>
                <w:szCs w:val="20"/>
                <w:lang w:eastAsia="en-AU"/>
              </w:rPr>
              <w:t>5 years</w:t>
            </w:r>
          </w:p>
        </w:tc>
        <w:tc>
          <w:tcPr>
            <w:tcW w:w="992" w:type="dxa"/>
            <w:tcBorders>
              <w:top w:val="single" w:sz="4" w:space="0" w:color="auto"/>
              <w:left w:val="single" w:sz="4" w:space="0" w:color="auto"/>
              <w:bottom w:val="single" w:sz="4" w:space="0" w:color="auto"/>
              <w:right w:val="single" w:sz="4" w:space="0" w:color="auto"/>
            </w:tcBorders>
            <w:shd w:val="solid" w:color="000000" w:fill="000000"/>
            <w:vAlign w:val="center"/>
            <w:hideMark/>
          </w:tcPr>
          <w:p w14:paraId="0D2C598F" w14:textId="4568356C" w:rsidR="00762589" w:rsidRPr="00217797" w:rsidRDefault="00217797">
            <w:pPr>
              <w:pStyle w:val="Tabletext"/>
              <w:keepNext/>
              <w:keepLines/>
              <w:jc w:val="center"/>
              <w:rPr>
                <w:rStyle w:val="CommentReference"/>
                <w:b w:val="0"/>
                <w:iCs/>
                <w:lang w:eastAsia="en-AU"/>
              </w:rPr>
            </w:pPr>
            <w:r w:rsidRPr="00217797">
              <w:rPr>
                <w:rStyle w:val="CommentReference"/>
                <w:rFonts w:hint="eastAsia"/>
                <w:b w:val="0"/>
                <w:iCs/>
                <w:color w:val="000000"/>
                <w:w w:val="33"/>
                <w:fitText w:val="150" w:id="-1502445310"/>
                <w:lang w:eastAsia="en-AU"/>
                <w14:textFill>
                  <w14:solidFill>
                    <w14:srgbClr w14:val="000000">
                      <w14:alpha w14:val="100000"/>
                    </w14:srgbClr>
                  </w14:solidFill>
                </w14:textFill>
              </w:rPr>
              <w:t xml:space="preserve">　</w:t>
            </w:r>
            <w:r w:rsidRPr="00217797">
              <w:rPr>
                <w:rStyle w:val="CommentReference"/>
                <w:b w:val="0"/>
                <w:iCs/>
                <w:color w:val="000000"/>
                <w:w w:val="33"/>
                <w:fitText w:val="150" w:id="-1502445310"/>
                <w:lang w:eastAsia="en-AU"/>
                <w14:textFill>
                  <w14:solidFill>
                    <w14:srgbClr w14:val="000000">
                      <w14:alpha w14:val="100000"/>
                    </w14:srgbClr>
                  </w14:solidFill>
                </w14:textFill>
              </w:rPr>
              <w:t>|</w:t>
            </w:r>
            <w:r w:rsidRPr="00217797">
              <w:rPr>
                <w:rStyle w:val="CommentReference"/>
                <w:rFonts w:hint="eastAsia"/>
                <w:b w:val="0"/>
                <w:iCs/>
                <w:color w:val="000000"/>
                <w:w w:val="33"/>
                <w:fitText w:val="150" w:id="-1502445310"/>
                <w:lang w:eastAsia="en-AU"/>
                <w14:textFill>
                  <w14:solidFill>
                    <w14:srgbClr w14:val="000000">
                      <w14:alpha w14:val="100000"/>
                    </w14:srgbClr>
                  </w14:solidFill>
                </w14:textFill>
              </w:rPr>
              <w:t xml:space="preserve">　</w:t>
            </w:r>
          </w:p>
        </w:tc>
        <w:tc>
          <w:tcPr>
            <w:tcW w:w="851" w:type="dxa"/>
            <w:tcBorders>
              <w:top w:val="single" w:sz="4" w:space="0" w:color="auto"/>
              <w:left w:val="single" w:sz="4" w:space="0" w:color="auto"/>
              <w:bottom w:val="single" w:sz="4" w:space="0" w:color="auto"/>
              <w:right w:val="single" w:sz="4" w:space="0" w:color="auto"/>
            </w:tcBorders>
            <w:vAlign w:val="center"/>
            <w:hideMark/>
          </w:tcPr>
          <w:p w14:paraId="79748063" w14:textId="77777777" w:rsidR="00762589" w:rsidRPr="00AC4B28" w:rsidRDefault="00762589">
            <w:pPr>
              <w:pStyle w:val="Tabletext"/>
              <w:keepNext/>
              <w:keepLines/>
              <w:jc w:val="center"/>
              <w:rPr>
                <w:rStyle w:val="CommentReference"/>
                <w:b w:val="0"/>
                <w:iCs/>
                <w:lang w:eastAsia="en-AU"/>
              </w:rPr>
            </w:pPr>
            <w:r w:rsidRPr="00AC4B28">
              <w:rPr>
                <w:rStyle w:val="CommentReference"/>
                <w:b w:val="0"/>
                <w:iCs/>
                <w:lang w:eastAsia="en-AU"/>
              </w:rPr>
              <w:t>0.8867</w:t>
            </w:r>
          </w:p>
        </w:tc>
        <w:tc>
          <w:tcPr>
            <w:tcW w:w="992" w:type="dxa"/>
            <w:tcBorders>
              <w:top w:val="single" w:sz="4" w:space="0" w:color="auto"/>
              <w:left w:val="single" w:sz="4" w:space="0" w:color="auto"/>
              <w:bottom w:val="single" w:sz="4" w:space="0" w:color="auto"/>
              <w:right w:val="single" w:sz="4" w:space="0" w:color="auto"/>
            </w:tcBorders>
            <w:vAlign w:val="center"/>
            <w:hideMark/>
          </w:tcPr>
          <w:p w14:paraId="056E5413" w14:textId="2F6DD0D3" w:rsidR="00762589" w:rsidRPr="009007EF" w:rsidRDefault="00217797">
            <w:pPr>
              <w:pStyle w:val="Tabletext"/>
              <w:keepNext/>
              <w:keepLines/>
              <w:jc w:val="center"/>
              <w:rPr>
                <w:rStyle w:val="CommentReference"/>
                <w:b w:val="0"/>
                <w:iCs/>
                <w:highlight w:val="yellow"/>
                <w:lang w:eastAsia="en-AU"/>
              </w:rPr>
            </w:pPr>
            <w:r w:rsidRPr="00217797">
              <w:rPr>
                <w:rStyle w:val="CommentReference"/>
                <w:b w:val="0"/>
                <w:iCs/>
                <w:color w:val="000000"/>
                <w:spacing w:val="94"/>
                <w:shd w:val="solid" w:color="000000" w:fill="000000"/>
                <w:fitText w:val="180" w:id="-1502445309"/>
                <w:lang w:eastAsia="en-AU"/>
                <w14:textFill>
                  <w14:solidFill>
                    <w14:srgbClr w14:val="000000">
                      <w14:alpha w14:val="100000"/>
                    </w14:srgbClr>
                  </w14:solidFill>
                </w14:textFill>
              </w:rPr>
              <w:t>|</w:t>
            </w:r>
            <w:r w:rsidRPr="00217797">
              <w:rPr>
                <w:rStyle w:val="CommentReference"/>
                <w:b w:val="0"/>
                <w:iCs/>
                <w:color w:val="000000"/>
                <w:spacing w:val="1"/>
                <w:shd w:val="solid" w:color="000000" w:fill="000000"/>
                <w:fitText w:val="180" w:id="-1502445309"/>
                <w:lang w:eastAsia="en-AU"/>
                <w14:textFill>
                  <w14:solidFill>
                    <w14:srgbClr w14:val="000000">
                      <w14:alpha w14:val="100000"/>
                    </w14:srgbClr>
                  </w14:solidFill>
                </w14:textFill>
              </w:rPr>
              <w:t>|</w:t>
            </w:r>
            <w:r w:rsidR="003B348C">
              <w:rPr>
                <w:rStyle w:val="CommentReference"/>
                <w:b w:val="0"/>
                <w:iCs/>
                <w:vertAlign w:val="superscript"/>
                <w:lang w:eastAsia="en-AU"/>
              </w:rPr>
              <w:t>4</w:t>
            </w:r>
          </w:p>
        </w:tc>
        <w:tc>
          <w:tcPr>
            <w:tcW w:w="800" w:type="dxa"/>
            <w:tcBorders>
              <w:top w:val="single" w:sz="4" w:space="0" w:color="auto"/>
              <w:left w:val="single" w:sz="4" w:space="0" w:color="auto"/>
              <w:bottom w:val="single" w:sz="4" w:space="0" w:color="auto"/>
              <w:right w:val="single" w:sz="4" w:space="0" w:color="auto"/>
            </w:tcBorders>
            <w:vAlign w:val="center"/>
            <w:hideMark/>
          </w:tcPr>
          <w:p w14:paraId="749C04FC" w14:textId="77777777" w:rsidR="00762589" w:rsidRPr="00AC4B28" w:rsidRDefault="00762589">
            <w:pPr>
              <w:pStyle w:val="Tabletext"/>
              <w:keepNext/>
              <w:keepLines/>
              <w:jc w:val="center"/>
              <w:rPr>
                <w:rStyle w:val="CommentReference"/>
                <w:b w:val="0"/>
                <w:iCs/>
                <w:lang w:eastAsia="en-AU"/>
              </w:rPr>
            </w:pPr>
            <w:r w:rsidRPr="00AC4B28">
              <w:rPr>
                <w:rStyle w:val="CommentReference"/>
                <w:b w:val="0"/>
                <w:iCs/>
                <w:lang w:eastAsia="en-AU"/>
              </w:rPr>
              <w:t>+31.2%</w:t>
            </w:r>
          </w:p>
        </w:tc>
      </w:tr>
      <w:tr w:rsidR="00762589" w:rsidRPr="00AC4B28" w14:paraId="2994DDA0" w14:textId="77777777" w:rsidTr="00217797">
        <w:tc>
          <w:tcPr>
            <w:tcW w:w="1092" w:type="dxa"/>
            <w:vMerge w:val="restart"/>
            <w:tcBorders>
              <w:top w:val="single" w:sz="4" w:space="0" w:color="auto"/>
              <w:left w:val="single" w:sz="4" w:space="0" w:color="auto"/>
              <w:bottom w:val="single" w:sz="4" w:space="0" w:color="auto"/>
              <w:right w:val="single" w:sz="4" w:space="0" w:color="auto"/>
            </w:tcBorders>
            <w:vAlign w:val="center"/>
            <w:hideMark/>
          </w:tcPr>
          <w:p w14:paraId="400526CE" w14:textId="77777777" w:rsidR="00762589" w:rsidRPr="00AC4B28" w:rsidRDefault="00762589">
            <w:pPr>
              <w:pStyle w:val="Tabletext"/>
              <w:keepNext/>
              <w:keepLines/>
              <w:rPr>
                <w:rStyle w:val="CommentReference"/>
                <w:b w:val="0"/>
                <w:iCs/>
                <w:lang w:eastAsia="en-AU"/>
              </w:rPr>
            </w:pPr>
            <w:r w:rsidRPr="00AC4B28">
              <w:rPr>
                <w:rStyle w:val="CommentReference"/>
                <w:b w:val="0"/>
                <w:iCs/>
                <w:lang w:eastAsia="en-AU"/>
              </w:rPr>
              <w:t>Discount rate</w:t>
            </w:r>
          </w:p>
        </w:tc>
        <w:tc>
          <w:tcPr>
            <w:tcW w:w="1596" w:type="dxa"/>
            <w:vMerge w:val="restart"/>
            <w:tcBorders>
              <w:top w:val="single" w:sz="4" w:space="0" w:color="auto"/>
              <w:left w:val="single" w:sz="4" w:space="0" w:color="auto"/>
              <w:bottom w:val="single" w:sz="4" w:space="0" w:color="auto"/>
              <w:right w:val="single" w:sz="4" w:space="0" w:color="auto"/>
            </w:tcBorders>
            <w:vAlign w:val="center"/>
            <w:hideMark/>
          </w:tcPr>
          <w:p w14:paraId="20AE766B" w14:textId="41ABB447" w:rsidR="00762589" w:rsidRPr="009007EF" w:rsidRDefault="00217797">
            <w:pPr>
              <w:pStyle w:val="Tabletext"/>
              <w:keepNext/>
              <w:keepLines/>
              <w:jc w:val="center"/>
              <w:rPr>
                <w:rStyle w:val="CommentReference"/>
                <w:b w:val="0"/>
                <w:iCs/>
                <w:vertAlign w:val="superscript"/>
                <w:lang w:eastAsia="en-AU"/>
              </w:rPr>
            </w:pPr>
            <w:r w:rsidRPr="00217797">
              <w:rPr>
                <w:rStyle w:val="CommentReference"/>
                <w:b w:val="0"/>
                <w:iCs/>
                <w:color w:val="000000"/>
                <w:shd w:val="solid" w:color="000000" w:fill="000000"/>
                <w:lang w:eastAsia="en-AU"/>
                <w14:textFill>
                  <w14:solidFill>
                    <w14:srgbClr w14:val="000000">
                      <w14:alpha w14:val="100000"/>
                    </w14:srgbClr>
                  </w14:solidFill>
                </w14:textFill>
              </w:rPr>
              <w:t>|</w:t>
            </w:r>
            <w:r w:rsidR="00762589" w:rsidRPr="00AC4B28">
              <w:rPr>
                <w:rStyle w:val="CommentReference"/>
                <w:b w:val="0"/>
                <w:iCs/>
                <w:lang w:eastAsia="en-AU"/>
              </w:rPr>
              <w:t>%</w:t>
            </w:r>
            <w:r w:rsidR="009007EF">
              <w:rPr>
                <w:rStyle w:val="CommentReference"/>
                <w:b w:val="0"/>
                <w:iCs/>
                <w:vertAlign w:val="superscript"/>
                <w:lang w:eastAsia="en-AU"/>
              </w:rPr>
              <w:t>1</w:t>
            </w:r>
          </w:p>
        </w:tc>
        <w:tc>
          <w:tcPr>
            <w:tcW w:w="2694" w:type="dxa"/>
            <w:tcBorders>
              <w:top w:val="single" w:sz="4" w:space="0" w:color="auto"/>
              <w:left w:val="single" w:sz="4" w:space="0" w:color="auto"/>
              <w:bottom w:val="single" w:sz="4" w:space="0" w:color="auto"/>
              <w:right w:val="single" w:sz="4" w:space="0" w:color="auto"/>
            </w:tcBorders>
            <w:vAlign w:val="center"/>
            <w:hideMark/>
          </w:tcPr>
          <w:p w14:paraId="6001A895" w14:textId="357B9EE4" w:rsidR="00762589" w:rsidRPr="00AC4B28" w:rsidRDefault="00217797">
            <w:pPr>
              <w:pStyle w:val="Tabletext"/>
              <w:keepNext/>
              <w:keepLines/>
              <w:jc w:val="center"/>
              <w:rPr>
                <w:rStyle w:val="CommentReference"/>
                <w:b w:val="0"/>
                <w:iCs/>
                <w:lang w:eastAsia="en-AU"/>
              </w:rPr>
            </w:pPr>
            <w:r w:rsidRPr="00217797">
              <w:rPr>
                <w:rStyle w:val="CommentReference"/>
                <w:b w:val="0"/>
                <w:iCs/>
                <w:color w:val="000000"/>
                <w:shd w:val="solid" w:color="000000" w:fill="000000"/>
                <w:lang w:eastAsia="en-AU"/>
                <w14:textFill>
                  <w14:solidFill>
                    <w14:srgbClr w14:val="000000">
                      <w14:alpha w14:val="100000"/>
                    </w14:srgbClr>
                  </w14:solidFill>
                </w14:textFill>
              </w:rPr>
              <w:t>|</w:t>
            </w:r>
            <w:r w:rsidR="00762589" w:rsidRPr="00AC4B28">
              <w:rPr>
                <w:rStyle w:val="CommentReference"/>
                <w:b w:val="0"/>
                <w:iCs/>
                <w:lang w:eastAsia="en-AU"/>
              </w:rPr>
              <w:t>%</w:t>
            </w:r>
            <w:r w:rsidR="009007EF">
              <w:rPr>
                <w:rStyle w:val="CommentReference"/>
                <w:b w:val="0"/>
                <w:iCs/>
                <w:vertAlign w:val="superscript"/>
                <w:lang w:eastAsia="en-AU"/>
              </w:rPr>
              <w:t>1</w:t>
            </w:r>
          </w:p>
        </w:tc>
        <w:tc>
          <w:tcPr>
            <w:tcW w:w="992" w:type="dxa"/>
            <w:tcBorders>
              <w:top w:val="single" w:sz="4" w:space="0" w:color="auto"/>
              <w:left w:val="single" w:sz="4" w:space="0" w:color="auto"/>
              <w:bottom w:val="single" w:sz="4" w:space="0" w:color="auto"/>
              <w:right w:val="single" w:sz="4" w:space="0" w:color="auto"/>
            </w:tcBorders>
            <w:shd w:val="solid" w:color="000000" w:fill="000000"/>
            <w:vAlign w:val="center"/>
            <w:hideMark/>
          </w:tcPr>
          <w:p w14:paraId="3AAD416F" w14:textId="56F4CAC9" w:rsidR="00762589" w:rsidRPr="00217797" w:rsidRDefault="00217797">
            <w:pPr>
              <w:pStyle w:val="Tabletext"/>
              <w:keepNext/>
              <w:keepLines/>
              <w:jc w:val="center"/>
              <w:rPr>
                <w:rStyle w:val="CommentReference"/>
                <w:b w:val="0"/>
                <w:iCs/>
                <w:lang w:eastAsia="en-AU"/>
              </w:rPr>
            </w:pPr>
            <w:r w:rsidRPr="00217797">
              <w:rPr>
                <w:rStyle w:val="CommentReference"/>
                <w:rFonts w:hint="eastAsia"/>
                <w:b w:val="0"/>
                <w:iCs/>
                <w:color w:val="000000"/>
                <w:w w:val="33"/>
                <w:fitText w:val="150" w:id="-1502445308"/>
                <w:lang w:eastAsia="en-AU"/>
                <w14:textFill>
                  <w14:solidFill>
                    <w14:srgbClr w14:val="000000">
                      <w14:alpha w14:val="100000"/>
                    </w14:srgbClr>
                  </w14:solidFill>
                </w14:textFill>
              </w:rPr>
              <w:t xml:space="preserve">　</w:t>
            </w:r>
            <w:r w:rsidRPr="00217797">
              <w:rPr>
                <w:rStyle w:val="CommentReference"/>
                <w:b w:val="0"/>
                <w:iCs/>
                <w:color w:val="000000"/>
                <w:w w:val="33"/>
                <w:fitText w:val="150" w:id="-1502445308"/>
                <w:lang w:eastAsia="en-AU"/>
                <w14:textFill>
                  <w14:solidFill>
                    <w14:srgbClr w14:val="000000">
                      <w14:alpha w14:val="100000"/>
                    </w14:srgbClr>
                  </w14:solidFill>
                </w14:textFill>
              </w:rPr>
              <w:t>|</w:t>
            </w:r>
            <w:r w:rsidRPr="00217797">
              <w:rPr>
                <w:rStyle w:val="CommentReference"/>
                <w:rFonts w:hint="eastAsia"/>
                <w:b w:val="0"/>
                <w:iCs/>
                <w:color w:val="000000"/>
                <w:w w:val="33"/>
                <w:fitText w:val="150" w:id="-1502445308"/>
                <w:lang w:eastAsia="en-AU"/>
                <w14:textFill>
                  <w14:solidFill>
                    <w14:srgbClr w14:val="000000">
                      <w14:alpha w14:val="100000"/>
                    </w14:srgbClr>
                  </w14:solidFill>
                </w14:textFill>
              </w:rPr>
              <w:t xml:space="preserve">　</w:t>
            </w:r>
          </w:p>
        </w:tc>
        <w:tc>
          <w:tcPr>
            <w:tcW w:w="851" w:type="dxa"/>
            <w:tcBorders>
              <w:top w:val="single" w:sz="4" w:space="0" w:color="auto"/>
              <w:left w:val="single" w:sz="4" w:space="0" w:color="auto"/>
              <w:bottom w:val="single" w:sz="4" w:space="0" w:color="auto"/>
              <w:right w:val="single" w:sz="4" w:space="0" w:color="auto"/>
            </w:tcBorders>
            <w:vAlign w:val="center"/>
            <w:hideMark/>
          </w:tcPr>
          <w:p w14:paraId="23B408FB" w14:textId="77777777" w:rsidR="00762589" w:rsidRPr="00AC4B28" w:rsidRDefault="00762589">
            <w:pPr>
              <w:pStyle w:val="Tabletext"/>
              <w:keepNext/>
              <w:keepLines/>
              <w:jc w:val="center"/>
              <w:rPr>
                <w:rStyle w:val="CommentReference"/>
                <w:b w:val="0"/>
                <w:iCs/>
                <w:lang w:eastAsia="en-AU"/>
              </w:rPr>
            </w:pPr>
            <w:r w:rsidRPr="00AC4B28">
              <w:rPr>
                <w:rStyle w:val="CommentReference"/>
                <w:b w:val="0"/>
                <w:iCs/>
                <w:lang w:eastAsia="en-AU"/>
              </w:rPr>
              <w:t>1.2686</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C94DDD" w14:textId="15EECAC9" w:rsidR="00762589" w:rsidRPr="009007EF" w:rsidRDefault="00217797">
            <w:pPr>
              <w:pStyle w:val="Tabletext"/>
              <w:keepNext/>
              <w:keepLines/>
              <w:jc w:val="center"/>
              <w:rPr>
                <w:rStyle w:val="CommentReference"/>
                <w:b w:val="0"/>
                <w:iCs/>
                <w:highlight w:val="yellow"/>
                <w:lang w:eastAsia="en-AU"/>
              </w:rPr>
            </w:pPr>
            <w:r w:rsidRPr="00217797">
              <w:rPr>
                <w:rStyle w:val="CommentReference"/>
                <w:b w:val="0"/>
                <w:iCs/>
                <w:color w:val="000000"/>
                <w:spacing w:val="94"/>
                <w:shd w:val="solid" w:color="000000" w:fill="000000"/>
                <w:fitText w:val="180" w:id="-1502445307"/>
                <w:lang w:eastAsia="en-AU"/>
                <w14:textFill>
                  <w14:solidFill>
                    <w14:srgbClr w14:val="000000">
                      <w14:alpha w14:val="100000"/>
                    </w14:srgbClr>
                  </w14:solidFill>
                </w14:textFill>
              </w:rPr>
              <w:t>|</w:t>
            </w:r>
            <w:r w:rsidRPr="00217797">
              <w:rPr>
                <w:rStyle w:val="CommentReference"/>
                <w:b w:val="0"/>
                <w:iCs/>
                <w:color w:val="000000"/>
                <w:spacing w:val="1"/>
                <w:shd w:val="solid" w:color="000000" w:fill="000000"/>
                <w:fitText w:val="180" w:id="-1502445307"/>
                <w:lang w:eastAsia="en-AU"/>
                <w14:textFill>
                  <w14:solidFill>
                    <w14:srgbClr w14:val="000000">
                      <w14:alpha w14:val="100000"/>
                    </w14:srgbClr>
                  </w14:solidFill>
                </w14:textFill>
              </w:rPr>
              <w:t>|</w:t>
            </w:r>
            <w:r w:rsidR="009007EF">
              <w:rPr>
                <w:rStyle w:val="CommentReference"/>
                <w:b w:val="0"/>
                <w:iCs/>
                <w:vertAlign w:val="superscript"/>
                <w:lang w:eastAsia="en-AU"/>
              </w:rPr>
              <w:t>2</w:t>
            </w:r>
          </w:p>
        </w:tc>
        <w:tc>
          <w:tcPr>
            <w:tcW w:w="800" w:type="dxa"/>
            <w:tcBorders>
              <w:top w:val="single" w:sz="4" w:space="0" w:color="auto"/>
              <w:left w:val="single" w:sz="4" w:space="0" w:color="auto"/>
              <w:bottom w:val="single" w:sz="4" w:space="0" w:color="auto"/>
              <w:right w:val="single" w:sz="4" w:space="0" w:color="auto"/>
            </w:tcBorders>
            <w:vAlign w:val="center"/>
            <w:hideMark/>
          </w:tcPr>
          <w:p w14:paraId="61BCF877" w14:textId="77777777" w:rsidR="00762589" w:rsidRPr="00AC4B28" w:rsidRDefault="00762589">
            <w:pPr>
              <w:pStyle w:val="Tabletext"/>
              <w:keepNext/>
              <w:keepLines/>
              <w:jc w:val="center"/>
              <w:rPr>
                <w:rStyle w:val="CommentReference"/>
                <w:b w:val="0"/>
                <w:iCs/>
                <w:lang w:eastAsia="en-AU"/>
              </w:rPr>
            </w:pPr>
            <w:r w:rsidRPr="00AC4B28">
              <w:rPr>
                <w:rStyle w:val="CommentReference"/>
                <w:b w:val="0"/>
                <w:iCs/>
                <w:lang w:eastAsia="en-AU"/>
              </w:rPr>
              <w:t>-3.4%</w:t>
            </w:r>
          </w:p>
        </w:tc>
      </w:tr>
      <w:tr w:rsidR="00762589" w:rsidRPr="00AC4B28" w14:paraId="250F57E5" w14:textId="77777777" w:rsidTr="00217797">
        <w:tc>
          <w:tcPr>
            <w:tcW w:w="1092" w:type="dxa"/>
            <w:vMerge/>
            <w:tcBorders>
              <w:top w:val="single" w:sz="4" w:space="0" w:color="auto"/>
              <w:left w:val="single" w:sz="4" w:space="0" w:color="auto"/>
              <w:bottom w:val="single" w:sz="4" w:space="0" w:color="auto"/>
              <w:right w:val="single" w:sz="4" w:space="0" w:color="auto"/>
            </w:tcBorders>
            <w:vAlign w:val="center"/>
            <w:hideMark/>
          </w:tcPr>
          <w:p w14:paraId="4F070849" w14:textId="77777777" w:rsidR="00762589" w:rsidRPr="00AC4B28" w:rsidRDefault="00762589">
            <w:pPr>
              <w:rPr>
                <w:rStyle w:val="CommentReference"/>
                <w:rFonts w:cs="Times New Roman"/>
                <w:b w:val="0"/>
                <w:iCs/>
                <w:szCs w:val="22"/>
              </w:rPr>
            </w:pPr>
          </w:p>
        </w:tc>
        <w:tc>
          <w:tcPr>
            <w:tcW w:w="1596" w:type="dxa"/>
            <w:vMerge/>
            <w:tcBorders>
              <w:top w:val="single" w:sz="4" w:space="0" w:color="auto"/>
              <w:left w:val="single" w:sz="4" w:space="0" w:color="auto"/>
              <w:bottom w:val="single" w:sz="4" w:space="0" w:color="auto"/>
              <w:right w:val="single" w:sz="4" w:space="0" w:color="auto"/>
            </w:tcBorders>
            <w:vAlign w:val="center"/>
            <w:hideMark/>
          </w:tcPr>
          <w:p w14:paraId="5BD5A518" w14:textId="77777777" w:rsidR="00762589" w:rsidRPr="00AC4B28" w:rsidRDefault="00762589">
            <w:pPr>
              <w:rPr>
                <w:rStyle w:val="CommentReference"/>
                <w:rFonts w:cs="Times New Roman"/>
                <w:b w:val="0"/>
                <w:iCs/>
                <w:szCs w:val="22"/>
              </w:rPr>
            </w:pPr>
          </w:p>
        </w:tc>
        <w:tc>
          <w:tcPr>
            <w:tcW w:w="2694" w:type="dxa"/>
            <w:tcBorders>
              <w:top w:val="single" w:sz="4" w:space="0" w:color="auto"/>
              <w:left w:val="single" w:sz="4" w:space="0" w:color="auto"/>
              <w:bottom w:val="single" w:sz="4" w:space="0" w:color="auto"/>
              <w:right w:val="single" w:sz="4" w:space="0" w:color="auto"/>
            </w:tcBorders>
            <w:vAlign w:val="center"/>
            <w:hideMark/>
          </w:tcPr>
          <w:p w14:paraId="2E2B7BFC" w14:textId="1EFB5D64" w:rsidR="00762589" w:rsidRPr="00AC4B28" w:rsidRDefault="00217797">
            <w:pPr>
              <w:pStyle w:val="Tabletext"/>
              <w:keepNext/>
              <w:keepLines/>
              <w:jc w:val="center"/>
              <w:rPr>
                <w:rStyle w:val="CommentReference"/>
                <w:b w:val="0"/>
                <w:iCs/>
                <w:lang w:eastAsia="en-AU"/>
              </w:rPr>
            </w:pPr>
            <w:r w:rsidRPr="00217797">
              <w:rPr>
                <w:rStyle w:val="CommentReference"/>
                <w:b w:val="0"/>
                <w:iCs/>
                <w:color w:val="000000"/>
                <w:shd w:val="solid" w:color="000000" w:fill="000000"/>
                <w:lang w:eastAsia="en-AU"/>
                <w14:textFill>
                  <w14:solidFill>
                    <w14:srgbClr w14:val="000000">
                      <w14:alpha w14:val="100000"/>
                    </w14:srgbClr>
                  </w14:solidFill>
                </w14:textFill>
              </w:rPr>
              <w:t>|</w:t>
            </w:r>
            <w:r w:rsidR="00762589" w:rsidRPr="00AC4B28">
              <w:rPr>
                <w:rStyle w:val="CommentReference"/>
                <w:b w:val="0"/>
                <w:iCs/>
                <w:lang w:eastAsia="en-AU"/>
              </w:rPr>
              <w:t>%</w:t>
            </w:r>
            <w:r w:rsidR="009007EF">
              <w:rPr>
                <w:rStyle w:val="CommentReference"/>
                <w:b w:val="0"/>
                <w:iCs/>
                <w:vertAlign w:val="superscript"/>
                <w:lang w:eastAsia="en-AU"/>
              </w:rPr>
              <w:t>1</w:t>
            </w:r>
          </w:p>
        </w:tc>
        <w:tc>
          <w:tcPr>
            <w:tcW w:w="992" w:type="dxa"/>
            <w:tcBorders>
              <w:top w:val="single" w:sz="4" w:space="0" w:color="auto"/>
              <w:left w:val="single" w:sz="4" w:space="0" w:color="auto"/>
              <w:bottom w:val="single" w:sz="4" w:space="0" w:color="auto"/>
              <w:right w:val="single" w:sz="4" w:space="0" w:color="auto"/>
            </w:tcBorders>
            <w:shd w:val="solid" w:color="000000" w:fill="000000"/>
            <w:vAlign w:val="center"/>
            <w:hideMark/>
          </w:tcPr>
          <w:p w14:paraId="55404C76" w14:textId="2A1E35DA" w:rsidR="00762589" w:rsidRPr="00217797" w:rsidRDefault="00217797">
            <w:pPr>
              <w:pStyle w:val="Tabletext"/>
              <w:keepNext/>
              <w:keepLines/>
              <w:jc w:val="center"/>
              <w:rPr>
                <w:rStyle w:val="CommentReference"/>
                <w:b w:val="0"/>
                <w:iCs/>
                <w:lang w:eastAsia="en-AU"/>
              </w:rPr>
            </w:pPr>
            <w:r w:rsidRPr="00217797">
              <w:rPr>
                <w:rStyle w:val="CommentReference"/>
                <w:rFonts w:hint="eastAsia"/>
                <w:b w:val="0"/>
                <w:iCs/>
                <w:color w:val="000000"/>
                <w:w w:val="33"/>
                <w:fitText w:val="150" w:id="-1502445306"/>
                <w:lang w:eastAsia="en-AU"/>
                <w14:textFill>
                  <w14:solidFill>
                    <w14:srgbClr w14:val="000000">
                      <w14:alpha w14:val="100000"/>
                    </w14:srgbClr>
                  </w14:solidFill>
                </w14:textFill>
              </w:rPr>
              <w:t xml:space="preserve">　</w:t>
            </w:r>
            <w:r w:rsidRPr="00217797">
              <w:rPr>
                <w:rStyle w:val="CommentReference"/>
                <w:b w:val="0"/>
                <w:iCs/>
                <w:color w:val="000000"/>
                <w:w w:val="33"/>
                <w:fitText w:val="150" w:id="-1502445306"/>
                <w:lang w:eastAsia="en-AU"/>
                <w14:textFill>
                  <w14:solidFill>
                    <w14:srgbClr w14:val="000000">
                      <w14:alpha w14:val="100000"/>
                    </w14:srgbClr>
                  </w14:solidFill>
                </w14:textFill>
              </w:rPr>
              <w:t>|</w:t>
            </w:r>
            <w:r w:rsidRPr="00217797">
              <w:rPr>
                <w:rStyle w:val="CommentReference"/>
                <w:rFonts w:hint="eastAsia"/>
                <w:b w:val="0"/>
                <w:iCs/>
                <w:color w:val="000000"/>
                <w:w w:val="33"/>
                <w:fitText w:val="150" w:id="-1502445306"/>
                <w:lang w:eastAsia="en-AU"/>
                <w14:textFill>
                  <w14:solidFill>
                    <w14:srgbClr w14:val="000000">
                      <w14:alpha w14:val="100000"/>
                    </w14:srgbClr>
                  </w14:solidFill>
                </w14:textFill>
              </w:rPr>
              <w:t xml:space="preserve">　</w:t>
            </w:r>
          </w:p>
        </w:tc>
        <w:tc>
          <w:tcPr>
            <w:tcW w:w="851" w:type="dxa"/>
            <w:tcBorders>
              <w:top w:val="single" w:sz="4" w:space="0" w:color="auto"/>
              <w:left w:val="single" w:sz="4" w:space="0" w:color="auto"/>
              <w:bottom w:val="single" w:sz="4" w:space="0" w:color="auto"/>
              <w:right w:val="single" w:sz="4" w:space="0" w:color="auto"/>
            </w:tcBorders>
            <w:vAlign w:val="center"/>
            <w:hideMark/>
          </w:tcPr>
          <w:p w14:paraId="1EC22382" w14:textId="77777777" w:rsidR="00762589" w:rsidRPr="00AC4B28" w:rsidRDefault="00762589">
            <w:pPr>
              <w:pStyle w:val="Tabletext"/>
              <w:keepNext/>
              <w:keepLines/>
              <w:jc w:val="center"/>
              <w:rPr>
                <w:rStyle w:val="CommentReference"/>
                <w:b w:val="0"/>
                <w:iCs/>
                <w:lang w:eastAsia="en-AU"/>
              </w:rPr>
            </w:pPr>
            <w:r w:rsidRPr="00AC4B28">
              <w:rPr>
                <w:rStyle w:val="CommentReference"/>
                <w:b w:val="0"/>
                <w:iCs/>
                <w:lang w:eastAsia="en-AU"/>
              </w:rPr>
              <w:t>1.4177</w:t>
            </w:r>
          </w:p>
        </w:tc>
        <w:tc>
          <w:tcPr>
            <w:tcW w:w="992" w:type="dxa"/>
            <w:tcBorders>
              <w:top w:val="single" w:sz="4" w:space="0" w:color="auto"/>
              <w:left w:val="single" w:sz="4" w:space="0" w:color="auto"/>
              <w:bottom w:val="single" w:sz="4" w:space="0" w:color="auto"/>
              <w:right w:val="single" w:sz="4" w:space="0" w:color="auto"/>
            </w:tcBorders>
            <w:vAlign w:val="center"/>
            <w:hideMark/>
          </w:tcPr>
          <w:p w14:paraId="18D9077F" w14:textId="235AA872" w:rsidR="00762589" w:rsidRPr="009007EF" w:rsidRDefault="00217797">
            <w:pPr>
              <w:pStyle w:val="Tabletext"/>
              <w:keepNext/>
              <w:keepLines/>
              <w:jc w:val="center"/>
              <w:rPr>
                <w:rStyle w:val="CommentReference"/>
                <w:b w:val="0"/>
                <w:iCs/>
                <w:highlight w:val="yellow"/>
                <w:lang w:eastAsia="en-AU"/>
              </w:rPr>
            </w:pPr>
            <w:r w:rsidRPr="00217797">
              <w:rPr>
                <w:rStyle w:val="CommentReference"/>
                <w:b w:val="0"/>
                <w:iCs/>
                <w:color w:val="000000"/>
                <w:spacing w:val="94"/>
                <w:shd w:val="solid" w:color="000000" w:fill="000000"/>
                <w:fitText w:val="180" w:id="-1502445305"/>
                <w:lang w:eastAsia="en-AU"/>
                <w14:textFill>
                  <w14:solidFill>
                    <w14:srgbClr w14:val="000000">
                      <w14:alpha w14:val="100000"/>
                    </w14:srgbClr>
                  </w14:solidFill>
                </w14:textFill>
              </w:rPr>
              <w:t>|</w:t>
            </w:r>
            <w:r w:rsidRPr="00217797">
              <w:rPr>
                <w:rStyle w:val="CommentReference"/>
                <w:b w:val="0"/>
                <w:iCs/>
                <w:color w:val="000000"/>
                <w:spacing w:val="1"/>
                <w:shd w:val="solid" w:color="000000" w:fill="000000"/>
                <w:fitText w:val="180" w:id="-1502445305"/>
                <w:lang w:eastAsia="en-AU"/>
                <w14:textFill>
                  <w14:solidFill>
                    <w14:srgbClr w14:val="000000">
                      <w14:alpha w14:val="100000"/>
                    </w14:srgbClr>
                  </w14:solidFill>
                </w14:textFill>
              </w:rPr>
              <w:t>|</w:t>
            </w:r>
            <w:r w:rsidR="009007EF">
              <w:rPr>
                <w:rStyle w:val="CommentReference"/>
                <w:b w:val="0"/>
                <w:iCs/>
                <w:vertAlign w:val="superscript"/>
                <w:lang w:eastAsia="en-AU"/>
              </w:rPr>
              <w:t>2</w:t>
            </w:r>
          </w:p>
        </w:tc>
        <w:tc>
          <w:tcPr>
            <w:tcW w:w="800" w:type="dxa"/>
            <w:tcBorders>
              <w:top w:val="single" w:sz="4" w:space="0" w:color="auto"/>
              <w:left w:val="single" w:sz="4" w:space="0" w:color="auto"/>
              <w:bottom w:val="single" w:sz="4" w:space="0" w:color="auto"/>
              <w:right w:val="single" w:sz="4" w:space="0" w:color="auto"/>
            </w:tcBorders>
            <w:vAlign w:val="center"/>
            <w:hideMark/>
          </w:tcPr>
          <w:p w14:paraId="590161BC" w14:textId="77777777" w:rsidR="00762589" w:rsidRPr="00AC4B28" w:rsidRDefault="00762589">
            <w:pPr>
              <w:pStyle w:val="Tabletext"/>
              <w:keepNext/>
              <w:keepLines/>
              <w:jc w:val="center"/>
              <w:rPr>
                <w:rStyle w:val="CommentReference"/>
                <w:b w:val="0"/>
                <w:iCs/>
                <w:lang w:eastAsia="en-AU"/>
              </w:rPr>
            </w:pPr>
            <w:r w:rsidRPr="00AC4B28">
              <w:rPr>
                <w:rStyle w:val="CommentReference"/>
                <w:b w:val="0"/>
                <w:iCs/>
                <w:lang w:eastAsia="en-AU"/>
              </w:rPr>
              <w:t>-11.1%</w:t>
            </w:r>
          </w:p>
        </w:tc>
      </w:tr>
      <w:tr w:rsidR="00762589" w:rsidRPr="00AC4B28" w14:paraId="7C3F9552" w14:textId="77777777" w:rsidTr="00217797">
        <w:trPr>
          <w:trHeight w:val="214"/>
        </w:trPr>
        <w:tc>
          <w:tcPr>
            <w:tcW w:w="1092" w:type="dxa"/>
            <w:vMerge w:val="restart"/>
            <w:tcBorders>
              <w:top w:val="single" w:sz="4" w:space="0" w:color="auto"/>
              <w:left w:val="single" w:sz="4" w:space="0" w:color="auto"/>
              <w:bottom w:val="single" w:sz="4" w:space="0" w:color="auto"/>
              <w:right w:val="single" w:sz="4" w:space="0" w:color="auto"/>
            </w:tcBorders>
            <w:vAlign w:val="center"/>
            <w:hideMark/>
          </w:tcPr>
          <w:p w14:paraId="58ABA390" w14:textId="77777777" w:rsidR="00762589" w:rsidRPr="00AC4B28" w:rsidRDefault="00762589">
            <w:pPr>
              <w:pStyle w:val="Tabletext"/>
              <w:keepNext/>
              <w:keepLines/>
              <w:rPr>
                <w:rStyle w:val="CommentReference"/>
                <w:b w:val="0"/>
                <w:iCs/>
                <w:lang w:eastAsia="en-AU"/>
              </w:rPr>
            </w:pPr>
            <w:r w:rsidRPr="00AC4B28">
              <w:rPr>
                <w:rStyle w:val="CommentReference"/>
                <w:b w:val="0"/>
                <w:iCs/>
                <w:lang w:eastAsia="en-AU"/>
              </w:rPr>
              <w:t>Extrapolation function</w:t>
            </w:r>
          </w:p>
        </w:tc>
        <w:tc>
          <w:tcPr>
            <w:tcW w:w="1596" w:type="dxa"/>
            <w:vMerge w:val="restart"/>
            <w:tcBorders>
              <w:top w:val="single" w:sz="4" w:space="0" w:color="auto"/>
              <w:left w:val="single" w:sz="4" w:space="0" w:color="auto"/>
              <w:bottom w:val="single" w:sz="4" w:space="0" w:color="auto"/>
              <w:right w:val="single" w:sz="4" w:space="0" w:color="auto"/>
            </w:tcBorders>
            <w:vAlign w:val="center"/>
            <w:hideMark/>
          </w:tcPr>
          <w:p w14:paraId="4BAEAE11" w14:textId="77777777" w:rsidR="00762589" w:rsidRPr="00AC4B28" w:rsidRDefault="00762589">
            <w:pPr>
              <w:pStyle w:val="Tabletext"/>
              <w:keepNext/>
              <w:keepLines/>
              <w:jc w:val="center"/>
              <w:rPr>
                <w:rStyle w:val="CommentReference"/>
                <w:b w:val="0"/>
                <w:iCs/>
                <w:lang w:eastAsia="en-AU"/>
              </w:rPr>
            </w:pPr>
            <w:r w:rsidRPr="00AC4B28">
              <w:rPr>
                <w:rStyle w:val="CommentReference"/>
                <w:b w:val="0"/>
                <w:iCs/>
                <w:lang w:eastAsia="en-AU"/>
              </w:rPr>
              <w:t>OS: lognormal; PFS: lognormal</w:t>
            </w:r>
          </w:p>
        </w:tc>
        <w:tc>
          <w:tcPr>
            <w:tcW w:w="2694" w:type="dxa"/>
            <w:tcBorders>
              <w:top w:val="single" w:sz="4" w:space="0" w:color="auto"/>
              <w:left w:val="single" w:sz="4" w:space="0" w:color="auto"/>
              <w:bottom w:val="single" w:sz="4" w:space="0" w:color="auto"/>
              <w:right w:val="single" w:sz="4" w:space="0" w:color="auto"/>
            </w:tcBorders>
            <w:vAlign w:val="center"/>
            <w:hideMark/>
          </w:tcPr>
          <w:p w14:paraId="0758AB74" w14:textId="77777777" w:rsidR="00762589" w:rsidRPr="00AC4B28" w:rsidRDefault="00762589">
            <w:pPr>
              <w:pStyle w:val="Tabletext"/>
              <w:keepNext/>
              <w:keepLines/>
              <w:jc w:val="center"/>
              <w:rPr>
                <w:rStyle w:val="CommentReference"/>
                <w:b w:val="0"/>
                <w:iCs/>
                <w:lang w:eastAsia="en-AU"/>
              </w:rPr>
            </w:pPr>
            <w:r w:rsidRPr="00AC4B28">
              <w:rPr>
                <w:rStyle w:val="CommentReference"/>
                <w:b w:val="0"/>
                <w:iCs/>
                <w:lang w:eastAsia="en-AU"/>
              </w:rPr>
              <w:t>OS extrapolations loglogistic</w:t>
            </w:r>
          </w:p>
        </w:tc>
        <w:tc>
          <w:tcPr>
            <w:tcW w:w="992" w:type="dxa"/>
            <w:tcBorders>
              <w:top w:val="single" w:sz="4" w:space="0" w:color="auto"/>
              <w:left w:val="single" w:sz="4" w:space="0" w:color="auto"/>
              <w:bottom w:val="single" w:sz="4" w:space="0" w:color="auto"/>
              <w:right w:val="single" w:sz="4" w:space="0" w:color="auto"/>
            </w:tcBorders>
            <w:shd w:val="solid" w:color="000000" w:fill="000000"/>
            <w:vAlign w:val="center"/>
            <w:hideMark/>
          </w:tcPr>
          <w:p w14:paraId="6FB63C7B" w14:textId="7F06E0E5" w:rsidR="00762589" w:rsidRPr="00217797" w:rsidRDefault="00217797">
            <w:pPr>
              <w:pStyle w:val="Tabletext"/>
              <w:keepNext/>
              <w:keepLines/>
              <w:jc w:val="center"/>
              <w:rPr>
                <w:rStyle w:val="CommentReference"/>
                <w:b w:val="0"/>
                <w:iCs/>
                <w:lang w:eastAsia="en-AU"/>
              </w:rPr>
            </w:pPr>
            <w:r w:rsidRPr="00217797">
              <w:rPr>
                <w:rStyle w:val="CommentReference"/>
                <w:rFonts w:hint="eastAsia"/>
                <w:b w:val="0"/>
                <w:iCs/>
                <w:color w:val="000000"/>
                <w:w w:val="33"/>
                <w:fitText w:val="150" w:id="-1502445304"/>
                <w:lang w:eastAsia="en-AU"/>
                <w14:textFill>
                  <w14:solidFill>
                    <w14:srgbClr w14:val="000000">
                      <w14:alpha w14:val="100000"/>
                    </w14:srgbClr>
                  </w14:solidFill>
                </w14:textFill>
              </w:rPr>
              <w:t xml:space="preserve">　</w:t>
            </w:r>
            <w:r w:rsidRPr="00217797">
              <w:rPr>
                <w:rStyle w:val="CommentReference"/>
                <w:b w:val="0"/>
                <w:iCs/>
                <w:color w:val="000000"/>
                <w:w w:val="33"/>
                <w:fitText w:val="150" w:id="-1502445304"/>
                <w:lang w:eastAsia="en-AU"/>
                <w14:textFill>
                  <w14:solidFill>
                    <w14:srgbClr w14:val="000000">
                      <w14:alpha w14:val="100000"/>
                    </w14:srgbClr>
                  </w14:solidFill>
                </w14:textFill>
              </w:rPr>
              <w:t>|</w:t>
            </w:r>
            <w:r w:rsidRPr="00217797">
              <w:rPr>
                <w:rStyle w:val="CommentReference"/>
                <w:rFonts w:hint="eastAsia"/>
                <w:b w:val="0"/>
                <w:iCs/>
                <w:color w:val="000000"/>
                <w:w w:val="33"/>
                <w:fitText w:val="150" w:id="-1502445304"/>
                <w:lang w:eastAsia="en-AU"/>
                <w14:textFill>
                  <w14:solidFill>
                    <w14:srgbClr w14:val="000000">
                      <w14:alpha w14:val="100000"/>
                    </w14:srgbClr>
                  </w14:solidFill>
                </w14:textFill>
              </w:rPr>
              <w:t xml:space="preserve">　</w:t>
            </w:r>
          </w:p>
        </w:tc>
        <w:tc>
          <w:tcPr>
            <w:tcW w:w="851" w:type="dxa"/>
            <w:tcBorders>
              <w:top w:val="single" w:sz="4" w:space="0" w:color="auto"/>
              <w:left w:val="single" w:sz="4" w:space="0" w:color="auto"/>
              <w:bottom w:val="single" w:sz="4" w:space="0" w:color="auto"/>
              <w:right w:val="single" w:sz="4" w:space="0" w:color="auto"/>
            </w:tcBorders>
            <w:vAlign w:val="center"/>
            <w:hideMark/>
          </w:tcPr>
          <w:p w14:paraId="3D3B357E" w14:textId="77777777" w:rsidR="00762589" w:rsidRPr="00AC4B28" w:rsidRDefault="00762589">
            <w:pPr>
              <w:pStyle w:val="Tabletext"/>
              <w:keepNext/>
              <w:keepLines/>
              <w:jc w:val="center"/>
              <w:rPr>
                <w:rStyle w:val="CommentReference"/>
                <w:b w:val="0"/>
                <w:iCs/>
                <w:lang w:eastAsia="en-AU"/>
              </w:rPr>
            </w:pPr>
            <w:r w:rsidRPr="00AC4B28">
              <w:rPr>
                <w:rStyle w:val="CommentReference"/>
                <w:b w:val="0"/>
                <w:iCs/>
                <w:lang w:eastAsia="en-AU"/>
              </w:rPr>
              <w:t>1.1159</w:t>
            </w:r>
          </w:p>
        </w:tc>
        <w:tc>
          <w:tcPr>
            <w:tcW w:w="992" w:type="dxa"/>
            <w:tcBorders>
              <w:top w:val="single" w:sz="4" w:space="0" w:color="auto"/>
              <w:left w:val="single" w:sz="4" w:space="0" w:color="auto"/>
              <w:bottom w:val="single" w:sz="4" w:space="0" w:color="auto"/>
              <w:right w:val="single" w:sz="4" w:space="0" w:color="auto"/>
            </w:tcBorders>
            <w:vAlign w:val="center"/>
            <w:hideMark/>
          </w:tcPr>
          <w:p w14:paraId="237FF186" w14:textId="44C33BCA" w:rsidR="00762589" w:rsidRPr="009007EF" w:rsidRDefault="00217797">
            <w:pPr>
              <w:pStyle w:val="Tabletext"/>
              <w:keepNext/>
              <w:keepLines/>
              <w:jc w:val="center"/>
              <w:rPr>
                <w:rStyle w:val="CommentReference"/>
                <w:b w:val="0"/>
                <w:iCs/>
                <w:highlight w:val="yellow"/>
                <w:lang w:eastAsia="en-AU"/>
              </w:rPr>
            </w:pPr>
            <w:r w:rsidRPr="00217797">
              <w:rPr>
                <w:rStyle w:val="CommentReference"/>
                <w:b w:val="0"/>
                <w:iCs/>
                <w:color w:val="000000"/>
                <w:spacing w:val="94"/>
                <w:shd w:val="solid" w:color="000000" w:fill="000000"/>
                <w:fitText w:val="180" w:id="-1502445303"/>
                <w:lang w:eastAsia="en-AU"/>
                <w14:textFill>
                  <w14:solidFill>
                    <w14:srgbClr w14:val="000000">
                      <w14:alpha w14:val="100000"/>
                    </w14:srgbClr>
                  </w14:solidFill>
                </w14:textFill>
              </w:rPr>
              <w:t>|</w:t>
            </w:r>
            <w:r w:rsidRPr="00217797">
              <w:rPr>
                <w:rStyle w:val="CommentReference"/>
                <w:b w:val="0"/>
                <w:iCs/>
                <w:color w:val="000000"/>
                <w:spacing w:val="1"/>
                <w:shd w:val="solid" w:color="000000" w:fill="000000"/>
                <w:fitText w:val="180" w:id="-1502445303"/>
                <w:lang w:eastAsia="en-AU"/>
                <w14:textFill>
                  <w14:solidFill>
                    <w14:srgbClr w14:val="000000">
                      <w14:alpha w14:val="100000"/>
                    </w14:srgbClr>
                  </w14:solidFill>
                </w14:textFill>
              </w:rPr>
              <w:t>|</w:t>
            </w:r>
            <w:r w:rsidR="009007EF">
              <w:rPr>
                <w:rStyle w:val="CommentReference"/>
                <w:b w:val="0"/>
                <w:iCs/>
                <w:vertAlign w:val="superscript"/>
                <w:lang w:eastAsia="en-AU"/>
              </w:rPr>
              <w:t>2</w:t>
            </w:r>
          </w:p>
        </w:tc>
        <w:tc>
          <w:tcPr>
            <w:tcW w:w="800" w:type="dxa"/>
            <w:tcBorders>
              <w:top w:val="single" w:sz="4" w:space="0" w:color="auto"/>
              <w:left w:val="single" w:sz="4" w:space="0" w:color="auto"/>
              <w:bottom w:val="single" w:sz="4" w:space="0" w:color="auto"/>
              <w:right w:val="single" w:sz="4" w:space="0" w:color="auto"/>
            </w:tcBorders>
            <w:vAlign w:val="center"/>
            <w:hideMark/>
          </w:tcPr>
          <w:p w14:paraId="7E6177D8" w14:textId="77777777" w:rsidR="00762589" w:rsidRPr="00AC4B28" w:rsidRDefault="00762589">
            <w:pPr>
              <w:pStyle w:val="Tabletext"/>
              <w:keepNext/>
              <w:keepLines/>
              <w:jc w:val="center"/>
              <w:rPr>
                <w:rStyle w:val="CommentReference"/>
                <w:b w:val="0"/>
                <w:iCs/>
                <w:lang w:eastAsia="en-AU"/>
              </w:rPr>
            </w:pPr>
            <w:r w:rsidRPr="00AC4B28">
              <w:rPr>
                <w:rStyle w:val="CommentReference"/>
                <w:b w:val="0"/>
                <w:iCs/>
                <w:lang w:eastAsia="en-AU"/>
              </w:rPr>
              <w:t>+11.4%</w:t>
            </w:r>
          </w:p>
        </w:tc>
      </w:tr>
      <w:tr w:rsidR="00762589" w:rsidRPr="00AC4B28" w14:paraId="3D97E666" w14:textId="77777777" w:rsidTr="00217797">
        <w:tc>
          <w:tcPr>
            <w:tcW w:w="1092" w:type="dxa"/>
            <w:vMerge/>
            <w:tcBorders>
              <w:top w:val="single" w:sz="4" w:space="0" w:color="auto"/>
              <w:left w:val="single" w:sz="4" w:space="0" w:color="auto"/>
              <w:bottom w:val="single" w:sz="4" w:space="0" w:color="auto"/>
              <w:right w:val="single" w:sz="4" w:space="0" w:color="auto"/>
            </w:tcBorders>
            <w:vAlign w:val="center"/>
            <w:hideMark/>
          </w:tcPr>
          <w:p w14:paraId="2E5074BC" w14:textId="77777777" w:rsidR="00762589" w:rsidRPr="00AC4B28" w:rsidRDefault="00762589">
            <w:pPr>
              <w:rPr>
                <w:rStyle w:val="CommentReference"/>
                <w:rFonts w:cs="Times New Roman"/>
                <w:b w:val="0"/>
                <w:iCs/>
                <w:szCs w:val="22"/>
              </w:rPr>
            </w:pPr>
          </w:p>
        </w:tc>
        <w:tc>
          <w:tcPr>
            <w:tcW w:w="1596" w:type="dxa"/>
            <w:vMerge/>
            <w:tcBorders>
              <w:top w:val="single" w:sz="4" w:space="0" w:color="auto"/>
              <w:left w:val="single" w:sz="4" w:space="0" w:color="auto"/>
              <w:bottom w:val="single" w:sz="4" w:space="0" w:color="auto"/>
              <w:right w:val="single" w:sz="4" w:space="0" w:color="auto"/>
            </w:tcBorders>
            <w:vAlign w:val="center"/>
            <w:hideMark/>
          </w:tcPr>
          <w:p w14:paraId="5F9B1335" w14:textId="77777777" w:rsidR="00762589" w:rsidRPr="00AC4B28" w:rsidRDefault="00762589">
            <w:pPr>
              <w:rPr>
                <w:rStyle w:val="CommentReference"/>
                <w:rFonts w:cs="Times New Roman"/>
                <w:b w:val="0"/>
                <w:iCs/>
                <w:szCs w:val="22"/>
              </w:rPr>
            </w:pPr>
          </w:p>
        </w:tc>
        <w:tc>
          <w:tcPr>
            <w:tcW w:w="2694" w:type="dxa"/>
            <w:tcBorders>
              <w:top w:val="single" w:sz="4" w:space="0" w:color="auto"/>
              <w:left w:val="single" w:sz="4" w:space="0" w:color="auto"/>
              <w:bottom w:val="single" w:sz="4" w:space="0" w:color="auto"/>
              <w:right w:val="single" w:sz="4" w:space="0" w:color="auto"/>
            </w:tcBorders>
            <w:vAlign w:val="center"/>
            <w:hideMark/>
          </w:tcPr>
          <w:p w14:paraId="5B3CB9F6" w14:textId="77777777" w:rsidR="00762589" w:rsidRPr="00AC4B28" w:rsidRDefault="00762589">
            <w:pPr>
              <w:pStyle w:val="Tabletext"/>
              <w:keepNext/>
              <w:keepLines/>
              <w:jc w:val="center"/>
              <w:rPr>
                <w:rStyle w:val="CommentReference"/>
                <w:b w:val="0"/>
                <w:iCs/>
                <w:lang w:eastAsia="en-AU"/>
              </w:rPr>
            </w:pPr>
            <w:r w:rsidRPr="00AC4B28">
              <w:rPr>
                <w:rStyle w:val="CommentReference"/>
                <w:b w:val="0"/>
                <w:iCs/>
                <w:lang w:eastAsia="en-AU"/>
              </w:rPr>
              <w:t>OS extrapolations exponential</w:t>
            </w:r>
          </w:p>
        </w:tc>
        <w:tc>
          <w:tcPr>
            <w:tcW w:w="992" w:type="dxa"/>
            <w:tcBorders>
              <w:top w:val="single" w:sz="4" w:space="0" w:color="auto"/>
              <w:left w:val="single" w:sz="4" w:space="0" w:color="auto"/>
              <w:bottom w:val="single" w:sz="4" w:space="0" w:color="auto"/>
              <w:right w:val="single" w:sz="4" w:space="0" w:color="auto"/>
            </w:tcBorders>
            <w:shd w:val="solid" w:color="000000" w:fill="000000"/>
            <w:vAlign w:val="center"/>
            <w:hideMark/>
          </w:tcPr>
          <w:p w14:paraId="43B6E6D0" w14:textId="2F316DD9" w:rsidR="00762589" w:rsidRPr="00217797" w:rsidRDefault="00217797">
            <w:pPr>
              <w:pStyle w:val="Tabletext"/>
              <w:keepNext/>
              <w:keepLines/>
              <w:jc w:val="center"/>
              <w:rPr>
                <w:rStyle w:val="CommentReference"/>
                <w:b w:val="0"/>
                <w:iCs/>
                <w:lang w:eastAsia="en-AU"/>
              </w:rPr>
            </w:pPr>
            <w:r w:rsidRPr="00217797">
              <w:rPr>
                <w:rStyle w:val="CommentReference"/>
                <w:rFonts w:hint="eastAsia"/>
                <w:b w:val="0"/>
                <w:iCs/>
                <w:color w:val="000000"/>
                <w:w w:val="33"/>
                <w:fitText w:val="150" w:id="-1502445302"/>
                <w:lang w:eastAsia="en-AU"/>
                <w14:textFill>
                  <w14:solidFill>
                    <w14:srgbClr w14:val="000000">
                      <w14:alpha w14:val="100000"/>
                    </w14:srgbClr>
                  </w14:solidFill>
                </w14:textFill>
              </w:rPr>
              <w:t xml:space="preserve">　</w:t>
            </w:r>
            <w:r w:rsidRPr="00217797">
              <w:rPr>
                <w:rStyle w:val="CommentReference"/>
                <w:b w:val="0"/>
                <w:iCs/>
                <w:color w:val="000000"/>
                <w:w w:val="33"/>
                <w:fitText w:val="150" w:id="-1502445302"/>
                <w:lang w:eastAsia="en-AU"/>
                <w14:textFill>
                  <w14:solidFill>
                    <w14:srgbClr w14:val="000000">
                      <w14:alpha w14:val="100000"/>
                    </w14:srgbClr>
                  </w14:solidFill>
                </w14:textFill>
              </w:rPr>
              <w:t>|</w:t>
            </w:r>
            <w:r w:rsidRPr="00217797">
              <w:rPr>
                <w:rStyle w:val="CommentReference"/>
                <w:rFonts w:hint="eastAsia"/>
                <w:b w:val="0"/>
                <w:iCs/>
                <w:color w:val="000000"/>
                <w:w w:val="33"/>
                <w:fitText w:val="150" w:id="-1502445302"/>
                <w:lang w:eastAsia="en-AU"/>
                <w14:textFill>
                  <w14:solidFill>
                    <w14:srgbClr w14:val="000000">
                      <w14:alpha w14:val="100000"/>
                    </w14:srgbClr>
                  </w14:solidFill>
                </w14:textFill>
              </w:rPr>
              <w:t xml:space="preserve">　</w:t>
            </w:r>
          </w:p>
        </w:tc>
        <w:tc>
          <w:tcPr>
            <w:tcW w:w="851" w:type="dxa"/>
            <w:tcBorders>
              <w:top w:val="single" w:sz="4" w:space="0" w:color="auto"/>
              <w:left w:val="single" w:sz="4" w:space="0" w:color="auto"/>
              <w:bottom w:val="single" w:sz="4" w:space="0" w:color="auto"/>
              <w:right w:val="single" w:sz="4" w:space="0" w:color="auto"/>
            </w:tcBorders>
            <w:vAlign w:val="center"/>
            <w:hideMark/>
          </w:tcPr>
          <w:p w14:paraId="5AC1883C" w14:textId="77777777" w:rsidR="00762589" w:rsidRPr="00AC4B28" w:rsidRDefault="00762589">
            <w:pPr>
              <w:pStyle w:val="Tabletext"/>
              <w:keepNext/>
              <w:keepLines/>
              <w:jc w:val="center"/>
              <w:rPr>
                <w:rStyle w:val="CommentReference"/>
                <w:b w:val="0"/>
                <w:iCs/>
                <w:lang w:eastAsia="en-AU"/>
              </w:rPr>
            </w:pPr>
            <w:r w:rsidRPr="00AC4B28">
              <w:rPr>
                <w:rStyle w:val="CommentReference"/>
                <w:b w:val="0"/>
                <w:iCs/>
                <w:lang w:eastAsia="en-AU"/>
              </w:rPr>
              <w:t>0.9917</w:t>
            </w:r>
          </w:p>
        </w:tc>
        <w:tc>
          <w:tcPr>
            <w:tcW w:w="992" w:type="dxa"/>
            <w:tcBorders>
              <w:top w:val="single" w:sz="4" w:space="0" w:color="auto"/>
              <w:left w:val="single" w:sz="4" w:space="0" w:color="auto"/>
              <w:bottom w:val="single" w:sz="4" w:space="0" w:color="auto"/>
              <w:right w:val="single" w:sz="4" w:space="0" w:color="auto"/>
            </w:tcBorders>
            <w:vAlign w:val="center"/>
            <w:hideMark/>
          </w:tcPr>
          <w:p w14:paraId="4D945B5C" w14:textId="7AF84F2D" w:rsidR="00762589" w:rsidRPr="009007EF" w:rsidRDefault="00217797">
            <w:pPr>
              <w:pStyle w:val="Tabletext"/>
              <w:keepNext/>
              <w:keepLines/>
              <w:jc w:val="center"/>
              <w:rPr>
                <w:rStyle w:val="CommentReference"/>
                <w:b w:val="0"/>
                <w:iCs/>
                <w:highlight w:val="yellow"/>
                <w:lang w:eastAsia="en-AU"/>
              </w:rPr>
            </w:pPr>
            <w:r w:rsidRPr="00217797">
              <w:rPr>
                <w:rStyle w:val="CommentReference"/>
                <w:b w:val="0"/>
                <w:iCs/>
                <w:color w:val="000000"/>
                <w:spacing w:val="94"/>
                <w:shd w:val="solid" w:color="000000" w:fill="000000"/>
                <w:fitText w:val="180" w:id="-1502445301"/>
                <w:lang w:eastAsia="en-AU"/>
                <w14:textFill>
                  <w14:solidFill>
                    <w14:srgbClr w14:val="000000">
                      <w14:alpha w14:val="100000"/>
                    </w14:srgbClr>
                  </w14:solidFill>
                </w14:textFill>
              </w:rPr>
              <w:t>|</w:t>
            </w:r>
            <w:r w:rsidRPr="00217797">
              <w:rPr>
                <w:rStyle w:val="CommentReference"/>
                <w:b w:val="0"/>
                <w:iCs/>
                <w:color w:val="000000"/>
                <w:spacing w:val="1"/>
                <w:shd w:val="solid" w:color="000000" w:fill="000000"/>
                <w:fitText w:val="180" w:id="-1502445301"/>
                <w:lang w:eastAsia="en-AU"/>
                <w14:textFill>
                  <w14:solidFill>
                    <w14:srgbClr w14:val="000000">
                      <w14:alpha w14:val="100000"/>
                    </w14:srgbClr>
                  </w14:solidFill>
                </w14:textFill>
              </w:rPr>
              <w:t>|</w:t>
            </w:r>
            <w:r w:rsidR="003B348C">
              <w:rPr>
                <w:rStyle w:val="CommentReference"/>
                <w:b w:val="0"/>
                <w:iCs/>
                <w:vertAlign w:val="superscript"/>
                <w:lang w:eastAsia="en-AU"/>
              </w:rPr>
              <w:t>4</w:t>
            </w:r>
          </w:p>
        </w:tc>
        <w:tc>
          <w:tcPr>
            <w:tcW w:w="800" w:type="dxa"/>
            <w:tcBorders>
              <w:top w:val="single" w:sz="4" w:space="0" w:color="auto"/>
              <w:left w:val="single" w:sz="4" w:space="0" w:color="auto"/>
              <w:bottom w:val="single" w:sz="4" w:space="0" w:color="auto"/>
              <w:right w:val="single" w:sz="4" w:space="0" w:color="auto"/>
            </w:tcBorders>
            <w:vAlign w:val="center"/>
            <w:hideMark/>
          </w:tcPr>
          <w:p w14:paraId="4F81B209" w14:textId="77777777" w:rsidR="00762589" w:rsidRPr="00AC4B28" w:rsidRDefault="00762589">
            <w:pPr>
              <w:pStyle w:val="Tabletext"/>
              <w:keepNext/>
              <w:keepLines/>
              <w:jc w:val="center"/>
              <w:rPr>
                <w:rStyle w:val="CommentReference"/>
                <w:b w:val="0"/>
                <w:iCs/>
                <w:lang w:eastAsia="en-AU"/>
              </w:rPr>
            </w:pPr>
            <w:r w:rsidRPr="00AC4B28">
              <w:rPr>
                <w:rStyle w:val="CommentReference"/>
                <w:b w:val="0"/>
                <w:iCs/>
                <w:lang w:eastAsia="en-AU"/>
              </w:rPr>
              <w:t>+31.1%</w:t>
            </w:r>
          </w:p>
        </w:tc>
      </w:tr>
      <w:tr w:rsidR="00762589" w:rsidRPr="00AC4B28" w14:paraId="5CD7C1F7" w14:textId="77777777" w:rsidTr="00217797">
        <w:tc>
          <w:tcPr>
            <w:tcW w:w="1092" w:type="dxa"/>
            <w:vMerge/>
            <w:tcBorders>
              <w:top w:val="single" w:sz="4" w:space="0" w:color="auto"/>
              <w:left w:val="single" w:sz="4" w:space="0" w:color="auto"/>
              <w:bottom w:val="single" w:sz="4" w:space="0" w:color="auto"/>
              <w:right w:val="single" w:sz="4" w:space="0" w:color="auto"/>
            </w:tcBorders>
            <w:vAlign w:val="center"/>
            <w:hideMark/>
          </w:tcPr>
          <w:p w14:paraId="076EBCD0" w14:textId="77777777" w:rsidR="00762589" w:rsidRPr="00AC4B28" w:rsidRDefault="00762589">
            <w:pPr>
              <w:rPr>
                <w:rStyle w:val="CommentReference"/>
                <w:rFonts w:cs="Times New Roman"/>
                <w:b w:val="0"/>
                <w:iCs/>
                <w:szCs w:val="22"/>
              </w:rPr>
            </w:pPr>
          </w:p>
        </w:tc>
        <w:tc>
          <w:tcPr>
            <w:tcW w:w="1596" w:type="dxa"/>
            <w:vMerge/>
            <w:tcBorders>
              <w:top w:val="single" w:sz="4" w:space="0" w:color="auto"/>
              <w:left w:val="single" w:sz="4" w:space="0" w:color="auto"/>
              <w:bottom w:val="single" w:sz="4" w:space="0" w:color="auto"/>
              <w:right w:val="single" w:sz="4" w:space="0" w:color="auto"/>
            </w:tcBorders>
            <w:vAlign w:val="center"/>
            <w:hideMark/>
          </w:tcPr>
          <w:p w14:paraId="3E4E1E4D" w14:textId="77777777" w:rsidR="00762589" w:rsidRPr="00AC4B28" w:rsidRDefault="00762589">
            <w:pPr>
              <w:rPr>
                <w:rStyle w:val="CommentReference"/>
                <w:rFonts w:cs="Times New Roman"/>
                <w:b w:val="0"/>
                <w:iCs/>
                <w:szCs w:val="22"/>
              </w:rPr>
            </w:pPr>
          </w:p>
        </w:tc>
        <w:tc>
          <w:tcPr>
            <w:tcW w:w="2694" w:type="dxa"/>
            <w:tcBorders>
              <w:top w:val="single" w:sz="4" w:space="0" w:color="auto"/>
              <w:left w:val="single" w:sz="4" w:space="0" w:color="auto"/>
              <w:bottom w:val="single" w:sz="4" w:space="0" w:color="auto"/>
              <w:right w:val="single" w:sz="4" w:space="0" w:color="auto"/>
            </w:tcBorders>
            <w:vAlign w:val="center"/>
            <w:hideMark/>
          </w:tcPr>
          <w:p w14:paraId="55ED464A" w14:textId="77777777" w:rsidR="00762589" w:rsidRPr="00AC4B28" w:rsidRDefault="00762589">
            <w:pPr>
              <w:pStyle w:val="Tabletext"/>
              <w:keepNext/>
              <w:keepLines/>
              <w:jc w:val="center"/>
              <w:rPr>
                <w:rStyle w:val="CommentReference"/>
                <w:b w:val="0"/>
                <w:iCs/>
                <w:lang w:eastAsia="en-AU"/>
              </w:rPr>
            </w:pPr>
            <w:r w:rsidRPr="00AC4B28">
              <w:rPr>
                <w:rStyle w:val="CommentReference"/>
                <w:b w:val="0"/>
                <w:iCs/>
                <w:lang w:eastAsia="en-AU"/>
              </w:rPr>
              <w:t>OS extrapolations Weibull</w:t>
            </w:r>
          </w:p>
        </w:tc>
        <w:tc>
          <w:tcPr>
            <w:tcW w:w="992" w:type="dxa"/>
            <w:tcBorders>
              <w:top w:val="single" w:sz="4" w:space="0" w:color="auto"/>
              <w:left w:val="single" w:sz="4" w:space="0" w:color="auto"/>
              <w:bottom w:val="single" w:sz="4" w:space="0" w:color="auto"/>
              <w:right w:val="single" w:sz="4" w:space="0" w:color="auto"/>
            </w:tcBorders>
            <w:shd w:val="solid" w:color="000000" w:fill="000000"/>
            <w:vAlign w:val="center"/>
            <w:hideMark/>
          </w:tcPr>
          <w:p w14:paraId="0AAE6851" w14:textId="129FD2F8" w:rsidR="00762589" w:rsidRPr="00217797" w:rsidRDefault="00217797">
            <w:pPr>
              <w:pStyle w:val="Tabletext"/>
              <w:keepNext/>
              <w:keepLines/>
              <w:jc w:val="center"/>
              <w:rPr>
                <w:rStyle w:val="CommentReference"/>
                <w:b w:val="0"/>
                <w:iCs/>
                <w:lang w:eastAsia="en-AU"/>
              </w:rPr>
            </w:pPr>
            <w:r w:rsidRPr="00217797">
              <w:rPr>
                <w:rStyle w:val="CommentReference"/>
                <w:rFonts w:hint="eastAsia"/>
                <w:b w:val="0"/>
                <w:iCs/>
                <w:color w:val="000000"/>
                <w:w w:val="33"/>
                <w:fitText w:val="150" w:id="-1502445300"/>
                <w:lang w:eastAsia="en-AU"/>
                <w14:textFill>
                  <w14:solidFill>
                    <w14:srgbClr w14:val="000000">
                      <w14:alpha w14:val="100000"/>
                    </w14:srgbClr>
                  </w14:solidFill>
                </w14:textFill>
              </w:rPr>
              <w:t xml:space="preserve">　</w:t>
            </w:r>
            <w:r w:rsidRPr="00217797">
              <w:rPr>
                <w:rStyle w:val="CommentReference"/>
                <w:b w:val="0"/>
                <w:iCs/>
                <w:color w:val="000000"/>
                <w:w w:val="33"/>
                <w:fitText w:val="150" w:id="-1502445300"/>
                <w:lang w:eastAsia="en-AU"/>
                <w14:textFill>
                  <w14:solidFill>
                    <w14:srgbClr w14:val="000000">
                      <w14:alpha w14:val="100000"/>
                    </w14:srgbClr>
                  </w14:solidFill>
                </w14:textFill>
              </w:rPr>
              <w:t>|</w:t>
            </w:r>
            <w:r w:rsidRPr="00217797">
              <w:rPr>
                <w:rStyle w:val="CommentReference"/>
                <w:rFonts w:hint="eastAsia"/>
                <w:b w:val="0"/>
                <w:iCs/>
                <w:color w:val="000000"/>
                <w:w w:val="33"/>
                <w:fitText w:val="150" w:id="-1502445300"/>
                <w:lang w:eastAsia="en-AU"/>
                <w14:textFill>
                  <w14:solidFill>
                    <w14:srgbClr w14:val="000000">
                      <w14:alpha w14:val="100000"/>
                    </w14:srgbClr>
                  </w14:solidFill>
                </w14:textFill>
              </w:rPr>
              <w:t xml:space="preserve">　</w:t>
            </w:r>
          </w:p>
        </w:tc>
        <w:tc>
          <w:tcPr>
            <w:tcW w:w="851" w:type="dxa"/>
            <w:tcBorders>
              <w:top w:val="single" w:sz="4" w:space="0" w:color="auto"/>
              <w:left w:val="single" w:sz="4" w:space="0" w:color="auto"/>
              <w:bottom w:val="single" w:sz="4" w:space="0" w:color="auto"/>
              <w:right w:val="single" w:sz="4" w:space="0" w:color="auto"/>
            </w:tcBorders>
            <w:vAlign w:val="center"/>
            <w:hideMark/>
          </w:tcPr>
          <w:p w14:paraId="5FE4A053" w14:textId="77777777" w:rsidR="00762589" w:rsidRPr="00AC4B28" w:rsidRDefault="00762589">
            <w:pPr>
              <w:pStyle w:val="Tabletext"/>
              <w:keepNext/>
              <w:keepLines/>
              <w:jc w:val="center"/>
              <w:rPr>
                <w:rStyle w:val="CommentReference"/>
                <w:b w:val="0"/>
                <w:iCs/>
                <w:lang w:eastAsia="en-AU"/>
              </w:rPr>
            </w:pPr>
            <w:r w:rsidRPr="00AC4B28">
              <w:rPr>
                <w:rStyle w:val="CommentReference"/>
                <w:b w:val="0"/>
                <w:iCs/>
                <w:lang w:eastAsia="en-AU"/>
              </w:rPr>
              <w:t>1.0423</w:t>
            </w:r>
          </w:p>
        </w:tc>
        <w:tc>
          <w:tcPr>
            <w:tcW w:w="992" w:type="dxa"/>
            <w:tcBorders>
              <w:top w:val="single" w:sz="4" w:space="0" w:color="auto"/>
              <w:left w:val="single" w:sz="4" w:space="0" w:color="auto"/>
              <w:bottom w:val="single" w:sz="4" w:space="0" w:color="auto"/>
              <w:right w:val="single" w:sz="4" w:space="0" w:color="auto"/>
            </w:tcBorders>
            <w:vAlign w:val="center"/>
            <w:hideMark/>
          </w:tcPr>
          <w:p w14:paraId="60E77322" w14:textId="5C42C34F" w:rsidR="00762589" w:rsidRPr="009007EF" w:rsidRDefault="00217797">
            <w:pPr>
              <w:pStyle w:val="Tabletext"/>
              <w:keepNext/>
              <w:keepLines/>
              <w:jc w:val="center"/>
              <w:rPr>
                <w:rStyle w:val="CommentReference"/>
                <w:b w:val="0"/>
                <w:iCs/>
                <w:highlight w:val="yellow"/>
                <w:lang w:eastAsia="en-AU"/>
              </w:rPr>
            </w:pPr>
            <w:r w:rsidRPr="00217797">
              <w:rPr>
                <w:rStyle w:val="CommentReference"/>
                <w:b w:val="0"/>
                <w:iCs/>
                <w:color w:val="000000"/>
                <w:spacing w:val="94"/>
                <w:shd w:val="solid" w:color="000000" w:fill="000000"/>
                <w:fitText w:val="180" w:id="-1502445299"/>
                <w:lang w:eastAsia="en-AU"/>
                <w14:textFill>
                  <w14:solidFill>
                    <w14:srgbClr w14:val="000000">
                      <w14:alpha w14:val="100000"/>
                    </w14:srgbClr>
                  </w14:solidFill>
                </w14:textFill>
              </w:rPr>
              <w:t>|</w:t>
            </w:r>
            <w:r w:rsidRPr="00217797">
              <w:rPr>
                <w:rStyle w:val="CommentReference"/>
                <w:b w:val="0"/>
                <w:iCs/>
                <w:color w:val="000000"/>
                <w:spacing w:val="1"/>
                <w:shd w:val="solid" w:color="000000" w:fill="000000"/>
                <w:fitText w:val="180" w:id="-1502445299"/>
                <w:lang w:eastAsia="en-AU"/>
                <w14:textFill>
                  <w14:solidFill>
                    <w14:srgbClr w14:val="000000">
                      <w14:alpha w14:val="100000"/>
                    </w14:srgbClr>
                  </w14:solidFill>
                </w14:textFill>
              </w:rPr>
              <w:t>|</w:t>
            </w:r>
            <w:r w:rsidR="003B348C">
              <w:rPr>
                <w:rStyle w:val="CommentReference"/>
                <w:b w:val="0"/>
                <w:iCs/>
                <w:vertAlign w:val="superscript"/>
                <w:lang w:eastAsia="en-AU"/>
              </w:rPr>
              <w:t>4</w:t>
            </w:r>
          </w:p>
        </w:tc>
        <w:tc>
          <w:tcPr>
            <w:tcW w:w="800" w:type="dxa"/>
            <w:tcBorders>
              <w:top w:val="single" w:sz="4" w:space="0" w:color="auto"/>
              <w:left w:val="single" w:sz="4" w:space="0" w:color="auto"/>
              <w:bottom w:val="single" w:sz="4" w:space="0" w:color="auto"/>
              <w:right w:val="single" w:sz="4" w:space="0" w:color="auto"/>
            </w:tcBorders>
            <w:vAlign w:val="center"/>
            <w:hideMark/>
          </w:tcPr>
          <w:p w14:paraId="2A38B72B" w14:textId="77777777" w:rsidR="00762589" w:rsidRPr="00AC4B28" w:rsidRDefault="00762589">
            <w:pPr>
              <w:pStyle w:val="Tabletext"/>
              <w:keepNext/>
              <w:keepLines/>
              <w:jc w:val="center"/>
              <w:rPr>
                <w:rStyle w:val="CommentReference"/>
                <w:b w:val="0"/>
                <w:iCs/>
                <w:lang w:eastAsia="en-AU"/>
              </w:rPr>
            </w:pPr>
            <w:r w:rsidRPr="00AC4B28">
              <w:rPr>
                <w:rStyle w:val="CommentReference"/>
                <w:b w:val="0"/>
                <w:iCs/>
                <w:lang w:eastAsia="en-AU"/>
              </w:rPr>
              <w:t>+23.7%</w:t>
            </w:r>
          </w:p>
        </w:tc>
      </w:tr>
      <w:tr w:rsidR="00762589" w:rsidRPr="00AC4B28" w14:paraId="747248C3" w14:textId="77777777" w:rsidTr="00217797">
        <w:tc>
          <w:tcPr>
            <w:tcW w:w="1092" w:type="dxa"/>
            <w:vMerge w:val="restart"/>
            <w:tcBorders>
              <w:top w:val="single" w:sz="4" w:space="0" w:color="auto"/>
              <w:left w:val="single" w:sz="4" w:space="0" w:color="auto"/>
              <w:bottom w:val="single" w:sz="4" w:space="0" w:color="auto"/>
              <w:right w:val="single" w:sz="4" w:space="0" w:color="auto"/>
            </w:tcBorders>
            <w:vAlign w:val="center"/>
            <w:hideMark/>
          </w:tcPr>
          <w:p w14:paraId="5C38F64C" w14:textId="77777777" w:rsidR="00762589" w:rsidRPr="00AC4B28" w:rsidRDefault="00762589">
            <w:pPr>
              <w:pStyle w:val="Tabletext"/>
              <w:keepNext/>
              <w:keepLines/>
              <w:rPr>
                <w:rStyle w:val="CommentReference"/>
                <w:b w:val="0"/>
                <w:iCs/>
                <w:lang w:eastAsia="en-AU"/>
              </w:rPr>
            </w:pPr>
            <w:r w:rsidRPr="00AC4B28">
              <w:rPr>
                <w:rStyle w:val="CommentReference"/>
                <w:b w:val="0"/>
                <w:iCs/>
                <w:lang w:eastAsia="en-AU"/>
              </w:rPr>
              <w:t>Terminal care costs</w:t>
            </w:r>
          </w:p>
        </w:tc>
        <w:tc>
          <w:tcPr>
            <w:tcW w:w="1596" w:type="dxa"/>
            <w:vMerge w:val="restart"/>
            <w:tcBorders>
              <w:top w:val="single" w:sz="4" w:space="0" w:color="auto"/>
              <w:left w:val="single" w:sz="4" w:space="0" w:color="auto"/>
              <w:bottom w:val="single" w:sz="4" w:space="0" w:color="auto"/>
              <w:right w:val="single" w:sz="4" w:space="0" w:color="auto"/>
            </w:tcBorders>
            <w:vAlign w:val="center"/>
            <w:hideMark/>
          </w:tcPr>
          <w:p w14:paraId="104DAC16" w14:textId="76EFF01A" w:rsidR="00762589" w:rsidRPr="00AC4B28" w:rsidRDefault="00762589">
            <w:pPr>
              <w:pStyle w:val="Tabletext"/>
              <w:keepNext/>
              <w:keepLines/>
              <w:jc w:val="center"/>
              <w:rPr>
                <w:rStyle w:val="CommentReference"/>
                <w:b w:val="0"/>
                <w:iCs/>
                <w:lang w:eastAsia="en-AU"/>
              </w:rPr>
            </w:pPr>
            <w:proofErr w:type="spellStart"/>
            <w:r w:rsidRPr="00AC4B28">
              <w:rPr>
                <w:rStyle w:val="CommentReference"/>
                <w:b w:val="0"/>
                <w:iCs/>
                <w:lang w:eastAsia="en-AU"/>
              </w:rPr>
              <w:t>Goldsbury</w:t>
            </w:r>
            <w:proofErr w:type="spellEnd"/>
            <w:r w:rsidRPr="00AC4B28">
              <w:rPr>
                <w:rStyle w:val="CommentReference"/>
                <w:b w:val="0"/>
                <w:iCs/>
                <w:lang w:eastAsia="en-AU"/>
              </w:rPr>
              <w:t xml:space="preserve"> 2018 ($</w:t>
            </w:r>
            <w:r w:rsidR="00217797" w:rsidRPr="00217797">
              <w:rPr>
                <w:rStyle w:val="CommentReference"/>
                <w:b w:val="0"/>
                <w:iCs/>
                <w:color w:val="000000"/>
                <w:shd w:val="solid" w:color="000000" w:fill="000000"/>
                <w:lang w:eastAsia="en-AU"/>
                <w14:textFill>
                  <w14:solidFill>
                    <w14:srgbClr w14:val="000000">
                      <w14:alpha w14:val="100000"/>
                    </w14:srgbClr>
                  </w14:solidFill>
                </w14:textFill>
              </w:rPr>
              <w:t>|</w:t>
            </w:r>
            <w:r w:rsidRPr="00AC4B28">
              <w:rPr>
                <w:rStyle w:val="CommentReference"/>
                <w:b w:val="0"/>
                <w:iCs/>
                <w:lang w:eastAsia="en-AU"/>
              </w:rPr>
              <w:t>)</w:t>
            </w:r>
          </w:p>
        </w:tc>
        <w:tc>
          <w:tcPr>
            <w:tcW w:w="2694" w:type="dxa"/>
            <w:tcBorders>
              <w:top w:val="single" w:sz="4" w:space="0" w:color="auto"/>
              <w:left w:val="single" w:sz="4" w:space="0" w:color="auto"/>
              <w:bottom w:val="single" w:sz="4" w:space="0" w:color="auto"/>
              <w:right w:val="single" w:sz="4" w:space="0" w:color="auto"/>
            </w:tcBorders>
            <w:vAlign w:val="center"/>
            <w:hideMark/>
          </w:tcPr>
          <w:p w14:paraId="0ECF7FBE" w14:textId="77777777" w:rsidR="00762589" w:rsidRPr="00AC4B28" w:rsidRDefault="00762589">
            <w:pPr>
              <w:pStyle w:val="Tabletext"/>
              <w:keepNext/>
              <w:keepLines/>
              <w:jc w:val="center"/>
              <w:rPr>
                <w:rStyle w:val="CommentReference"/>
                <w:b w:val="0"/>
                <w:iCs/>
                <w:lang w:eastAsia="en-AU"/>
              </w:rPr>
            </w:pPr>
            <w:r w:rsidRPr="00AC4B28">
              <w:rPr>
                <w:rStyle w:val="CommentReference"/>
                <w:b w:val="0"/>
                <w:iCs/>
                <w:lang w:eastAsia="en-AU"/>
              </w:rPr>
              <w:t>Assumed to be $0</w:t>
            </w:r>
          </w:p>
        </w:tc>
        <w:tc>
          <w:tcPr>
            <w:tcW w:w="992" w:type="dxa"/>
            <w:tcBorders>
              <w:top w:val="single" w:sz="4" w:space="0" w:color="auto"/>
              <w:left w:val="single" w:sz="4" w:space="0" w:color="auto"/>
              <w:bottom w:val="single" w:sz="4" w:space="0" w:color="auto"/>
              <w:right w:val="single" w:sz="4" w:space="0" w:color="auto"/>
            </w:tcBorders>
            <w:shd w:val="solid" w:color="000000" w:fill="000000"/>
            <w:vAlign w:val="center"/>
            <w:hideMark/>
          </w:tcPr>
          <w:p w14:paraId="496454E5" w14:textId="6F846C26" w:rsidR="00762589" w:rsidRPr="00217797" w:rsidRDefault="00217797">
            <w:pPr>
              <w:pStyle w:val="Tabletext"/>
              <w:keepNext/>
              <w:keepLines/>
              <w:jc w:val="center"/>
              <w:rPr>
                <w:rStyle w:val="CommentReference"/>
                <w:b w:val="0"/>
                <w:iCs/>
                <w:lang w:eastAsia="en-AU"/>
              </w:rPr>
            </w:pPr>
            <w:r w:rsidRPr="00217797">
              <w:rPr>
                <w:rStyle w:val="CommentReference"/>
                <w:rFonts w:hint="eastAsia"/>
                <w:b w:val="0"/>
                <w:iCs/>
                <w:color w:val="000000"/>
                <w:w w:val="33"/>
                <w:fitText w:val="150" w:id="-1502445298"/>
                <w:lang w:eastAsia="en-AU"/>
                <w14:textFill>
                  <w14:solidFill>
                    <w14:srgbClr w14:val="000000">
                      <w14:alpha w14:val="100000"/>
                    </w14:srgbClr>
                  </w14:solidFill>
                </w14:textFill>
              </w:rPr>
              <w:t xml:space="preserve">　</w:t>
            </w:r>
            <w:r w:rsidRPr="00217797">
              <w:rPr>
                <w:rStyle w:val="CommentReference"/>
                <w:b w:val="0"/>
                <w:iCs/>
                <w:color w:val="000000"/>
                <w:w w:val="33"/>
                <w:fitText w:val="150" w:id="-1502445298"/>
                <w:lang w:eastAsia="en-AU"/>
                <w14:textFill>
                  <w14:solidFill>
                    <w14:srgbClr w14:val="000000">
                      <w14:alpha w14:val="100000"/>
                    </w14:srgbClr>
                  </w14:solidFill>
                </w14:textFill>
              </w:rPr>
              <w:t>|</w:t>
            </w:r>
            <w:r w:rsidRPr="00217797">
              <w:rPr>
                <w:rStyle w:val="CommentReference"/>
                <w:rFonts w:hint="eastAsia"/>
                <w:b w:val="0"/>
                <w:iCs/>
                <w:color w:val="000000"/>
                <w:w w:val="33"/>
                <w:fitText w:val="150" w:id="-1502445298"/>
                <w:lang w:eastAsia="en-AU"/>
                <w14:textFill>
                  <w14:solidFill>
                    <w14:srgbClr w14:val="000000">
                      <w14:alpha w14:val="100000"/>
                    </w14:srgbClr>
                  </w14:solidFill>
                </w14:textFill>
              </w:rPr>
              <w:t xml:space="preserve">　</w:t>
            </w:r>
          </w:p>
        </w:tc>
        <w:tc>
          <w:tcPr>
            <w:tcW w:w="851" w:type="dxa"/>
            <w:tcBorders>
              <w:top w:val="single" w:sz="4" w:space="0" w:color="auto"/>
              <w:left w:val="single" w:sz="4" w:space="0" w:color="auto"/>
              <w:bottom w:val="single" w:sz="4" w:space="0" w:color="auto"/>
              <w:right w:val="single" w:sz="4" w:space="0" w:color="auto"/>
            </w:tcBorders>
            <w:vAlign w:val="center"/>
            <w:hideMark/>
          </w:tcPr>
          <w:p w14:paraId="2919A9DD" w14:textId="77777777" w:rsidR="00762589" w:rsidRPr="00AC4B28" w:rsidRDefault="00762589">
            <w:pPr>
              <w:pStyle w:val="Tabletext"/>
              <w:keepNext/>
              <w:keepLines/>
              <w:jc w:val="center"/>
              <w:rPr>
                <w:rStyle w:val="CommentReference"/>
                <w:b w:val="0"/>
                <w:iCs/>
                <w:lang w:eastAsia="en-AU"/>
              </w:rPr>
            </w:pPr>
            <w:r w:rsidRPr="00AC4B28">
              <w:rPr>
                <w:rStyle w:val="CommentReference"/>
                <w:b w:val="0"/>
                <w:iCs/>
                <w:lang w:eastAsia="en-AU"/>
              </w:rPr>
              <w:t>1.2126</w:t>
            </w:r>
          </w:p>
        </w:tc>
        <w:tc>
          <w:tcPr>
            <w:tcW w:w="992" w:type="dxa"/>
            <w:tcBorders>
              <w:top w:val="single" w:sz="4" w:space="0" w:color="auto"/>
              <w:left w:val="single" w:sz="4" w:space="0" w:color="auto"/>
              <w:bottom w:val="single" w:sz="4" w:space="0" w:color="auto"/>
              <w:right w:val="single" w:sz="4" w:space="0" w:color="auto"/>
            </w:tcBorders>
            <w:vAlign w:val="center"/>
            <w:hideMark/>
          </w:tcPr>
          <w:p w14:paraId="58964080" w14:textId="487976F8" w:rsidR="00762589" w:rsidRPr="009007EF" w:rsidRDefault="00217797">
            <w:pPr>
              <w:pStyle w:val="Tabletext"/>
              <w:keepNext/>
              <w:keepLines/>
              <w:jc w:val="center"/>
              <w:rPr>
                <w:rStyle w:val="CommentReference"/>
                <w:b w:val="0"/>
                <w:iCs/>
                <w:highlight w:val="yellow"/>
                <w:lang w:eastAsia="en-AU"/>
              </w:rPr>
            </w:pPr>
            <w:r w:rsidRPr="00217797">
              <w:rPr>
                <w:rStyle w:val="CommentReference"/>
                <w:b w:val="0"/>
                <w:iCs/>
                <w:color w:val="000000"/>
                <w:spacing w:val="94"/>
                <w:shd w:val="solid" w:color="000000" w:fill="000000"/>
                <w:fitText w:val="180" w:id="-1502445297"/>
                <w:lang w:eastAsia="en-AU"/>
                <w14:textFill>
                  <w14:solidFill>
                    <w14:srgbClr w14:val="000000">
                      <w14:alpha w14:val="100000"/>
                    </w14:srgbClr>
                  </w14:solidFill>
                </w14:textFill>
              </w:rPr>
              <w:t>|</w:t>
            </w:r>
            <w:r w:rsidRPr="00217797">
              <w:rPr>
                <w:rStyle w:val="CommentReference"/>
                <w:b w:val="0"/>
                <w:iCs/>
                <w:color w:val="000000"/>
                <w:spacing w:val="1"/>
                <w:shd w:val="solid" w:color="000000" w:fill="000000"/>
                <w:fitText w:val="180" w:id="-1502445297"/>
                <w:lang w:eastAsia="en-AU"/>
                <w14:textFill>
                  <w14:solidFill>
                    <w14:srgbClr w14:val="000000">
                      <w14:alpha w14:val="100000"/>
                    </w14:srgbClr>
                  </w14:solidFill>
                </w14:textFill>
              </w:rPr>
              <w:t>|</w:t>
            </w:r>
            <w:r w:rsidR="003B348C">
              <w:rPr>
                <w:rStyle w:val="CommentReference"/>
                <w:b w:val="0"/>
                <w:iCs/>
                <w:vertAlign w:val="superscript"/>
                <w:lang w:eastAsia="en-AU"/>
              </w:rPr>
              <w:t>4</w:t>
            </w:r>
          </w:p>
        </w:tc>
        <w:tc>
          <w:tcPr>
            <w:tcW w:w="800" w:type="dxa"/>
            <w:tcBorders>
              <w:top w:val="single" w:sz="4" w:space="0" w:color="auto"/>
              <w:left w:val="single" w:sz="4" w:space="0" w:color="auto"/>
              <w:bottom w:val="single" w:sz="4" w:space="0" w:color="auto"/>
              <w:right w:val="single" w:sz="4" w:space="0" w:color="auto"/>
            </w:tcBorders>
            <w:vAlign w:val="center"/>
            <w:hideMark/>
          </w:tcPr>
          <w:p w14:paraId="173557B4" w14:textId="77777777" w:rsidR="00762589" w:rsidRPr="00AC4B28" w:rsidRDefault="00762589">
            <w:pPr>
              <w:pStyle w:val="Tabletext"/>
              <w:keepNext/>
              <w:keepLines/>
              <w:jc w:val="center"/>
              <w:rPr>
                <w:rStyle w:val="CommentReference"/>
                <w:b w:val="0"/>
                <w:iCs/>
                <w:lang w:eastAsia="en-AU"/>
              </w:rPr>
            </w:pPr>
            <w:r w:rsidRPr="00AC4B28">
              <w:rPr>
                <w:rStyle w:val="CommentReference"/>
                <w:b w:val="0"/>
                <w:iCs/>
                <w:lang w:eastAsia="en-AU"/>
              </w:rPr>
              <w:t>+18.3%</w:t>
            </w:r>
          </w:p>
        </w:tc>
      </w:tr>
      <w:tr w:rsidR="00762589" w:rsidRPr="00AC4B28" w14:paraId="0F3F8D14" w14:textId="77777777" w:rsidTr="00217797">
        <w:tc>
          <w:tcPr>
            <w:tcW w:w="1092" w:type="dxa"/>
            <w:vMerge/>
            <w:tcBorders>
              <w:top w:val="single" w:sz="4" w:space="0" w:color="auto"/>
              <w:left w:val="single" w:sz="4" w:space="0" w:color="auto"/>
              <w:bottom w:val="single" w:sz="4" w:space="0" w:color="auto"/>
              <w:right w:val="single" w:sz="4" w:space="0" w:color="auto"/>
            </w:tcBorders>
            <w:vAlign w:val="center"/>
            <w:hideMark/>
          </w:tcPr>
          <w:p w14:paraId="5F5E5FC4" w14:textId="77777777" w:rsidR="00762589" w:rsidRPr="00AC4B28" w:rsidRDefault="00762589">
            <w:pPr>
              <w:rPr>
                <w:rStyle w:val="CommentReference"/>
                <w:rFonts w:cs="Times New Roman"/>
                <w:b w:val="0"/>
                <w:iCs/>
                <w:szCs w:val="22"/>
              </w:rPr>
            </w:pPr>
          </w:p>
        </w:tc>
        <w:tc>
          <w:tcPr>
            <w:tcW w:w="1596" w:type="dxa"/>
            <w:vMerge/>
            <w:tcBorders>
              <w:top w:val="single" w:sz="4" w:space="0" w:color="auto"/>
              <w:left w:val="single" w:sz="4" w:space="0" w:color="auto"/>
              <w:bottom w:val="single" w:sz="4" w:space="0" w:color="auto"/>
              <w:right w:val="single" w:sz="4" w:space="0" w:color="auto"/>
            </w:tcBorders>
            <w:vAlign w:val="center"/>
            <w:hideMark/>
          </w:tcPr>
          <w:p w14:paraId="428CD704" w14:textId="77777777" w:rsidR="00762589" w:rsidRPr="00AC4B28" w:rsidRDefault="00762589">
            <w:pPr>
              <w:rPr>
                <w:rStyle w:val="CommentReference"/>
                <w:rFonts w:cs="Times New Roman"/>
                <w:b w:val="0"/>
                <w:iCs/>
                <w:szCs w:val="22"/>
              </w:rPr>
            </w:pPr>
          </w:p>
        </w:tc>
        <w:tc>
          <w:tcPr>
            <w:tcW w:w="2694" w:type="dxa"/>
            <w:tcBorders>
              <w:top w:val="single" w:sz="4" w:space="0" w:color="auto"/>
              <w:left w:val="single" w:sz="4" w:space="0" w:color="auto"/>
              <w:bottom w:val="single" w:sz="4" w:space="0" w:color="auto"/>
              <w:right w:val="single" w:sz="4" w:space="0" w:color="auto"/>
            </w:tcBorders>
            <w:vAlign w:val="center"/>
            <w:hideMark/>
          </w:tcPr>
          <w:p w14:paraId="3021951D" w14:textId="2B6F343D" w:rsidR="00762589" w:rsidRPr="00AC4B28" w:rsidRDefault="00762589">
            <w:pPr>
              <w:pStyle w:val="Tabletext"/>
              <w:keepNext/>
              <w:keepLines/>
              <w:jc w:val="center"/>
              <w:rPr>
                <w:rStyle w:val="CommentReference"/>
                <w:b w:val="0"/>
                <w:iCs/>
                <w:lang w:eastAsia="en-AU"/>
              </w:rPr>
            </w:pPr>
            <w:r w:rsidRPr="00AC4B28">
              <w:rPr>
                <w:rStyle w:val="CommentReference"/>
                <w:b w:val="0"/>
                <w:iCs/>
                <w:lang w:eastAsia="en-AU"/>
              </w:rPr>
              <w:t>Assumed to be halved ($</w:t>
            </w:r>
            <w:r w:rsidR="00217797" w:rsidRPr="00217797">
              <w:rPr>
                <w:rStyle w:val="CommentReference"/>
                <w:b w:val="0"/>
                <w:iCs/>
                <w:color w:val="000000"/>
                <w:spacing w:val="154"/>
                <w:shd w:val="solid" w:color="000000" w:fill="000000"/>
                <w:fitText w:val="240" w:id="-1502445296"/>
                <w:lang w:eastAsia="en-AU"/>
                <w14:textFill>
                  <w14:solidFill>
                    <w14:srgbClr w14:val="000000">
                      <w14:alpha w14:val="100000"/>
                    </w14:srgbClr>
                  </w14:solidFill>
                </w14:textFill>
              </w:rPr>
              <w:t>|</w:t>
            </w:r>
            <w:r w:rsidR="00217797" w:rsidRPr="00217797">
              <w:rPr>
                <w:rStyle w:val="CommentReference"/>
                <w:b w:val="0"/>
                <w:iCs/>
                <w:color w:val="000000"/>
                <w:spacing w:val="1"/>
                <w:shd w:val="solid" w:color="000000" w:fill="000000"/>
                <w:fitText w:val="240" w:id="-1502445296"/>
                <w:lang w:eastAsia="en-AU"/>
                <w14:textFill>
                  <w14:solidFill>
                    <w14:srgbClr w14:val="000000">
                      <w14:alpha w14:val="100000"/>
                    </w14:srgbClr>
                  </w14:solidFill>
                </w14:textFill>
              </w:rPr>
              <w:t>|</w:t>
            </w:r>
            <w:r w:rsidRPr="00AC4B28">
              <w:rPr>
                <w:rStyle w:val="CommentReference"/>
                <w:b w:val="0"/>
                <w:iCs/>
                <w:lang w:eastAsia="en-AU"/>
              </w:rPr>
              <w:t>)</w:t>
            </w:r>
          </w:p>
        </w:tc>
        <w:tc>
          <w:tcPr>
            <w:tcW w:w="992" w:type="dxa"/>
            <w:tcBorders>
              <w:top w:val="single" w:sz="4" w:space="0" w:color="auto"/>
              <w:left w:val="single" w:sz="4" w:space="0" w:color="auto"/>
              <w:bottom w:val="single" w:sz="4" w:space="0" w:color="auto"/>
              <w:right w:val="single" w:sz="4" w:space="0" w:color="auto"/>
            </w:tcBorders>
            <w:shd w:val="solid" w:color="000000" w:fill="000000"/>
            <w:vAlign w:val="center"/>
            <w:hideMark/>
          </w:tcPr>
          <w:p w14:paraId="13623927" w14:textId="2329C862" w:rsidR="00762589" w:rsidRPr="00217797" w:rsidRDefault="00217797">
            <w:pPr>
              <w:pStyle w:val="Tabletext"/>
              <w:keepNext/>
              <w:keepLines/>
              <w:jc w:val="center"/>
              <w:rPr>
                <w:rStyle w:val="CommentReference"/>
                <w:b w:val="0"/>
                <w:iCs/>
                <w:lang w:eastAsia="en-AU"/>
              </w:rPr>
            </w:pPr>
            <w:r w:rsidRPr="00217797">
              <w:rPr>
                <w:rStyle w:val="CommentReference"/>
                <w:rFonts w:hint="eastAsia"/>
                <w:b w:val="0"/>
                <w:iCs/>
                <w:color w:val="000000"/>
                <w:w w:val="33"/>
                <w:fitText w:val="150" w:id="-1502445312"/>
                <w:lang w:eastAsia="en-AU"/>
                <w14:textFill>
                  <w14:solidFill>
                    <w14:srgbClr w14:val="000000">
                      <w14:alpha w14:val="100000"/>
                    </w14:srgbClr>
                  </w14:solidFill>
                </w14:textFill>
              </w:rPr>
              <w:t xml:space="preserve">　</w:t>
            </w:r>
            <w:r w:rsidRPr="00217797">
              <w:rPr>
                <w:rStyle w:val="CommentReference"/>
                <w:b w:val="0"/>
                <w:iCs/>
                <w:color w:val="000000"/>
                <w:w w:val="33"/>
                <w:fitText w:val="150" w:id="-1502445312"/>
                <w:lang w:eastAsia="en-AU"/>
                <w14:textFill>
                  <w14:solidFill>
                    <w14:srgbClr w14:val="000000">
                      <w14:alpha w14:val="100000"/>
                    </w14:srgbClr>
                  </w14:solidFill>
                </w14:textFill>
              </w:rPr>
              <w:t>|</w:t>
            </w:r>
            <w:r w:rsidRPr="00217797">
              <w:rPr>
                <w:rStyle w:val="CommentReference"/>
                <w:rFonts w:hint="eastAsia"/>
                <w:b w:val="0"/>
                <w:iCs/>
                <w:color w:val="000000"/>
                <w:w w:val="33"/>
                <w:fitText w:val="150" w:id="-1502445312"/>
                <w:lang w:eastAsia="en-AU"/>
                <w14:textFill>
                  <w14:solidFill>
                    <w14:srgbClr w14:val="000000">
                      <w14:alpha w14:val="100000"/>
                    </w14:srgbClr>
                  </w14:solidFill>
                </w14:textFill>
              </w:rPr>
              <w:t xml:space="preserve">　</w:t>
            </w:r>
          </w:p>
        </w:tc>
        <w:tc>
          <w:tcPr>
            <w:tcW w:w="851" w:type="dxa"/>
            <w:tcBorders>
              <w:top w:val="single" w:sz="4" w:space="0" w:color="auto"/>
              <w:left w:val="single" w:sz="4" w:space="0" w:color="auto"/>
              <w:bottom w:val="single" w:sz="4" w:space="0" w:color="auto"/>
              <w:right w:val="single" w:sz="4" w:space="0" w:color="auto"/>
            </w:tcBorders>
            <w:vAlign w:val="center"/>
            <w:hideMark/>
          </w:tcPr>
          <w:p w14:paraId="3A3748D0" w14:textId="77777777" w:rsidR="00762589" w:rsidRPr="00AC4B28" w:rsidRDefault="00762589">
            <w:pPr>
              <w:pStyle w:val="Tabletext"/>
              <w:keepNext/>
              <w:keepLines/>
              <w:jc w:val="center"/>
              <w:rPr>
                <w:rStyle w:val="CommentReference"/>
                <w:b w:val="0"/>
                <w:iCs/>
                <w:lang w:eastAsia="en-AU"/>
              </w:rPr>
            </w:pPr>
            <w:r w:rsidRPr="00AC4B28">
              <w:rPr>
                <w:rStyle w:val="CommentReference"/>
                <w:b w:val="0"/>
                <w:iCs/>
                <w:lang w:eastAsia="en-AU"/>
              </w:rPr>
              <w:t>1.2126</w:t>
            </w:r>
          </w:p>
        </w:tc>
        <w:tc>
          <w:tcPr>
            <w:tcW w:w="992" w:type="dxa"/>
            <w:tcBorders>
              <w:top w:val="single" w:sz="4" w:space="0" w:color="auto"/>
              <w:left w:val="single" w:sz="4" w:space="0" w:color="auto"/>
              <w:bottom w:val="single" w:sz="4" w:space="0" w:color="auto"/>
              <w:right w:val="single" w:sz="4" w:space="0" w:color="auto"/>
            </w:tcBorders>
            <w:vAlign w:val="center"/>
            <w:hideMark/>
          </w:tcPr>
          <w:p w14:paraId="75F11D84" w14:textId="36DF2073" w:rsidR="00762589" w:rsidRPr="009007EF" w:rsidRDefault="00217797">
            <w:pPr>
              <w:pStyle w:val="Tabletext"/>
              <w:keepNext/>
              <w:keepLines/>
              <w:jc w:val="center"/>
              <w:rPr>
                <w:rStyle w:val="CommentReference"/>
                <w:b w:val="0"/>
                <w:iCs/>
                <w:highlight w:val="yellow"/>
                <w:lang w:eastAsia="en-AU"/>
              </w:rPr>
            </w:pPr>
            <w:r w:rsidRPr="00217797">
              <w:rPr>
                <w:rStyle w:val="CommentReference"/>
                <w:b w:val="0"/>
                <w:iCs/>
                <w:color w:val="000000"/>
                <w:spacing w:val="94"/>
                <w:shd w:val="solid" w:color="000000" w:fill="000000"/>
                <w:fitText w:val="180" w:id="-1502445311"/>
                <w:lang w:eastAsia="en-AU"/>
                <w14:textFill>
                  <w14:solidFill>
                    <w14:srgbClr w14:val="000000">
                      <w14:alpha w14:val="100000"/>
                    </w14:srgbClr>
                  </w14:solidFill>
                </w14:textFill>
              </w:rPr>
              <w:t>|</w:t>
            </w:r>
            <w:r w:rsidRPr="00217797">
              <w:rPr>
                <w:rStyle w:val="CommentReference"/>
                <w:b w:val="0"/>
                <w:iCs/>
                <w:color w:val="000000"/>
                <w:spacing w:val="1"/>
                <w:shd w:val="solid" w:color="000000" w:fill="000000"/>
                <w:fitText w:val="180" w:id="-1502445311"/>
                <w:lang w:eastAsia="en-AU"/>
                <w14:textFill>
                  <w14:solidFill>
                    <w14:srgbClr w14:val="000000">
                      <w14:alpha w14:val="100000"/>
                    </w14:srgbClr>
                  </w14:solidFill>
                </w14:textFill>
              </w:rPr>
              <w:t>|</w:t>
            </w:r>
            <w:r w:rsidR="009007EF">
              <w:rPr>
                <w:rStyle w:val="CommentReference"/>
                <w:b w:val="0"/>
                <w:iCs/>
                <w:vertAlign w:val="superscript"/>
                <w:lang w:eastAsia="en-AU"/>
              </w:rPr>
              <w:t>2</w:t>
            </w:r>
          </w:p>
        </w:tc>
        <w:tc>
          <w:tcPr>
            <w:tcW w:w="800" w:type="dxa"/>
            <w:tcBorders>
              <w:top w:val="single" w:sz="4" w:space="0" w:color="auto"/>
              <w:left w:val="single" w:sz="4" w:space="0" w:color="auto"/>
              <w:bottom w:val="single" w:sz="4" w:space="0" w:color="auto"/>
              <w:right w:val="single" w:sz="4" w:space="0" w:color="auto"/>
            </w:tcBorders>
            <w:vAlign w:val="center"/>
            <w:hideMark/>
          </w:tcPr>
          <w:p w14:paraId="3E063582" w14:textId="77777777" w:rsidR="00762589" w:rsidRPr="00AC4B28" w:rsidRDefault="00762589">
            <w:pPr>
              <w:pStyle w:val="Tabletext"/>
              <w:keepNext/>
              <w:keepLines/>
              <w:jc w:val="center"/>
              <w:rPr>
                <w:rStyle w:val="CommentReference"/>
                <w:b w:val="0"/>
                <w:iCs/>
                <w:lang w:eastAsia="en-AU"/>
              </w:rPr>
            </w:pPr>
            <w:r w:rsidRPr="00AC4B28">
              <w:rPr>
                <w:rStyle w:val="CommentReference"/>
                <w:b w:val="0"/>
                <w:iCs/>
                <w:lang w:eastAsia="en-AU"/>
              </w:rPr>
              <w:t>+9.1%</w:t>
            </w:r>
          </w:p>
        </w:tc>
      </w:tr>
      <w:tr w:rsidR="00762589" w:rsidRPr="00AC4B28" w14:paraId="57909928" w14:textId="77777777" w:rsidTr="00217797">
        <w:tc>
          <w:tcPr>
            <w:tcW w:w="1092" w:type="dxa"/>
            <w:vMerge w:val="restart"/>
            <w:tcBorders>
              <w:top w:val="single" w:sz="4" w:space="0" w:color="auto"/>
              <w:left w:val="single" w:sz="4" w:space="0" w:color="auto"/>
              <w:bottom w:val="single" w:sz="4" w:space="0" w:color="auto"/>
              <w:right w:val="single" w:sz="4" w:space="0" w:color="auto"/>
            </w:tcBorders>
            <w:vAlign w:val="center"/>
            <w:hideMark/>
          </w:tcPr>
          <w:p w14:paraId="1413EB5F" w14:textId="77777777" w:rsidR="00762589" w:rsidRPr="00AC4B28" w:rsidRDefault="00762589">
            <w:pPr>
              <w:pStyle w:val="Tabletext"/>
              <w:keepNext/>
              <w:keepLines/>
              <w:rPr>
                <w:rStyle w:val="CommentReference"/>
                <w:b w:val="0"/>
                <w:iCs/>
                <w:lang w:eastAsia="en-AU"/>
              </w:rPr>
            </w:pPr>
            <w:r w:rsidRPr="00AC4B28">
              <w:rPr>
                <w:rStyle w:val="CommentReference"/>
                <w:b w:val="0"/>
                <w:iCs/>
                <w:lang w:eastAsia="en-AU"/>
              </w:rPr>
              <w:t>Utility</w:t>
            </w:r>
          </w:p>
        </w:tc>
        <w:tc>
          <w:tcPr>
            <w:tcW w:w="1596" w:type="dxa"/>
            <w:vMerge w:val="restart"/>
            <w:tcBorders>
              <w:top w:val="single" w:sz="4" w:space="0" w:color="auto"/>
              <w:left w:val="single" w:sz="4" w:space="0" w:color="auto"/>
              <w:bottom w:val="single" w:sz="4" w:space="0" w:color="auto"/>
              <w:right w:val="single" w:sz="4" w:space="0" w:color="auto"/>
            </w:tcBorders>
            <w:vAlign w:val="center"/>
            <w:hideMark/>
          </w:tcPr>
          <w:p w14:paraId="5B394A57" w14:textId="77777777" w:rsidR="00762589" w:rsidRPr="00AC4B28" w:rsidRDefault="00762589">
            <w:pPr>
              <w:pStyle w:val="Tabletext"/>
              <w:keepNext/>
              <w:keepLines/>
              <w:jc w:val="center"/>
              <w:rPr>
                <w:rStyle w:val="CommentReference"/>
                <w:b w:val="0"/>
                <w:iCs/>
                <w:lang w:eastAsia="en-AU"/>
              </w:rPr>
            </w:pPr>
            <w:r w:rsidRPr="00AC4B28">
              <w:rPr>
                <w:rStyle w:val="CommentReference"/>
                <w:b w:val="0"/>
                <w:iCs/>
                <w:lang w:eastAsia="en-AU"/>
              </w:rPr>
              <w:t>GARNET Cohort A1 (PF: 0.726, PD: 0.684)</w:t>
            </w:r>
          </w:p>
        </w:tc>
        <w:tc>
          <w:tcPr>
            <w:tcW w:w="2694" w:type="dxa"/>
            <w:tcBorders>
              <w:top w:val="single" w:sz="4" w:space="0" w:color="auto"/>
              <w:left w:val="single" w:sz="4" w:space="0" w:color="auto"/>
              <w:bottom w:val="single" w:sz="4" w:space="0" w:color="auto"/>
              <w:right w:val="single" w:sz="4" w:space="0" w:color="auto"/>
            </w:tcBorders>
            <w:vAlign w:val="center"/>
            <w:hideMark/>
          </w:tcPr>
          <w:p w14:paraId="3FE5D99A" w14:textId="77777777" w:rsidR="00762589" w:rsidRPr="00AC4B28" w:rsidRDefault="00762589">
            <w:pPr>
              <w:pStyle w:val="Tabletext"/>
              <w:keepNext/>
              <w:keepLines/>
              <w:jc w:val="center"/>
              <w:rPr>
                <w:rStyle w:val="CommentReference"/>
                <w:b w:val="0"/>
                <w:iCs/>
                <w:lang w:eastAsia="en-AU"/>
              </w:rPr>
            </w:pPr>
            <w:proofErr w:type="spellStart"/>
            <w:r w:rsidRPr="00AC4B28">
              <w:rPr>
                <w:rStyle w:val="CommentReference"/>
                <w:b w:val="0"/>
                <w:iCs/>
                <w:lang w:eastAsia="en-AU"/>
              </w:rPr>
              <w:t>Thurgar</w:t>
            </w:r>
            <w:proofErr w:type="spellEnd"/>
            <w:r w:rsidRPr="00AC4B28">
              <w:rPr>
                <w:rStyle w:val="CommentReference"/>
                <w:b w:val="0"/>
                <w:iCs/>
                <w:lang w:eastAsia="en-AU"/>
              </w:rPr>
              <w:t xml:space="preserve"> 2021 (PF: 0.817; PD: 0.779)</w:t>
            </w:r>
          </w:p>
        </w:tc>
        <w:tc>
          <w:tcPr>
            <w:tcW w:w="992" w:type="dxa"/>
            <w:tcBorders>
              <w:top w:val="single" w:sz="4" w:space="0" w:color="auto"/>
              <w:left w:val="single" w:sz="4" w:space="0" w:color="auto"/>
              <w:bottom w:val="single" w:sz="4" w:space="0" w:color="auto"/>
              <w:right w:val="single" w:sz="4" w:space="0" w:color="auto"/>
            </w:tcBorders>
            <w:shd w:val="solid" w:color="000000" w:fill="000000"/>
            <w:vAlign w:val="center"/>
            <w:hideMark/>
          </w:tcPr>
          <w:p w14:paraId="6FD9B54B" w14:textId="045C4085" w:rsidR="00762589" w:rsidRPr="00217797" w:rsidRDefault="00217797">
            <w:pPr>
              <w:pStyle w:val="Tabletext"/>
              <w:keepNext/>
              <w:keepLines/>
              <w:jc w:val="center"/>
              <w:rPr>
                <w:rStyle w:val="CommentReference"/>
                <w:b w:val="0"/>
                <w:iCs/>
                <w:lang w:eastAsia="en-AU"/>
              </w:rPr>
            </w:pPr>
            <w:r w:rsidRPr="00217797">
              <w:rPr>
                <w:rStyle w:val="CommentReference"/>
                <w:rFonts w:hint="eastAsia"/>
                <w:b w:val="0"/>
                <w:iCs/>
                <w:color w:val="000000"/>
                <w:w w:val="33"/>
                <w:fitText w:val="150" w:id="-1502445310"/>
                <w:lang w:eastAsia="en-AU"/>
                <w14:textFill>
                  <w14:solidFill>
                    <w14:srgbClr w14:val="000000">
                      <w14:alpha w14:val="100000"/>
                    </w14:srgbClr>
                  </w14:solidFill>
                </w14:textFill>
              </w:rPr>
              <w:t xml:space="preserve">　</w:t>
            </w:r>
            <w:r w:rsidRPr="00217797">
              <w:rPr>
                <w:rStyle w:val="CommentReference"/>
                <w:b w:val="0"/>
                <w:iCs/>
                <w:color w:val="000000"/>
                <w:w w:val="33"/>
                <w:fitText w:val="150" w:id="-1502445310"/>
                <w:lang w:eastAsia="en-AU"/>
                <w14:textFill>
                  <w14:solidFill>
                    <w14:srgbClr w14:val="000000">
                      <w14:alpha w14:val="100000"/>
                    </w14:srgbClr>
                  </w14:solidFill>
                </w14:textFill>
              </w:rPr>
              <w:t>|</w:t>
            </w:r>
            <w:r w:rsidRPr="00217797">
              <w:rPr>
                <w:rStyle w:val="CommentReference"/>
                <w:rFonts w:hint="eastAsia"/>
                <w:b w:val="0"/>
                <w:iCs/>
                <w:color w:val="000000"/>
                <w:w w:val="33"/>
                <w:fitText w:val="150" w:id="-1502445310"/>
                <w:lang w:eastAsia="en-AU"/>
                <w14:textFill>
                  <w14:solidFill>
                    <w14:srgbClr w14:val="000000">
                      <w14:alpha w14:val="100000"/>
                    </w14:srgbClr>
                  </w14:solidFill>
                </w14:textFill>
              </w:rPr>
              <w:t xml:space="preserve">　</w:t>
            </w:r>
          </w:p>
        </w:tc>
        <w:tc>
          <w:tcPr>
            <w:tcW w:w="851" w:type="dxa"/>
            <w:tcBorders>
              <w:top w:val="single" w:sz="4" w:space="0" w:color="auto"/>
              <w:left w:val="single" w:sz="4" w:space="0" w:color="auto"/>
              <w:bottom w:val="single" w:sz="4" w:space="0" w:color="auto"/>
              <w:right w:val="single" w:sz="4" w:space="0" w:color="auto"/>
            </w:tcBorders>
            <w:vAlign w:val="center"/>
            <w:hideMark/>
          </w:tcPr>
          <w:p w14:paraId="0E0D01F9" w14:textId="77777777" w:rsidR="00762589" w:rsidRPr="00AC4B28" w:rsidRDefault="00762589">
            <w:pPr>
              <w:pStyle w:val="Tabletext"/>
              <w:keepNext/>
              <w:keepLines/>
              <w:jc w:val="center"/>
              <w:rPr>
                <w:rStyle w:val="CommentReference"/>
                <w:b w:val="0"/>
                <w:iCs/>
                <w:lang w:eastAsia="en-AU"/>
              </w:rPr>
            </w:pPr>
            <w:r w:rsidRPr="00AC4B28">
              <w:rPr>
                <w:rStyle w:val="CommentReference"/>
                <w:b w:val="0"/>
                <w:iCs/>
                <w:lang w:eastAsia="en-AU"/>
              </w:rPr>
              <w:t>1.3695</w:t>
            </w:r>
          </w:p>
        </w:tc>
        <w:tc>
          <w:tcPr>
            <w:tcW w:w="992" w:type="dxa"/>
            <w:tcBorders>
              <w:top w:val="single" w:sz="4" w:space="0" w:color="auto"/>
              <w:left w:val="single" w:sz="4" w:space="0" w:color="auto"/>
              <w:bottom w:val="single" w:sz="4" w:space="0" w:color="auto"/>
              <w:right w:val="single" w:sz="4" w:space="0" w:color="auto"/>
            </w:tcBorders>
            <w:vAlign w:val="center"/>
            <w:hideMark/>
          </w:tcPr>
          <w:p w14:paraId="24116D86" w14:textId="2E7BABB1" w:rsidR="00762589" w:rsidRPr="009007EF" w:rsidRDefault="00217797">
            <w:pPr>
              <w:pStyle w:val="Tabletext"/>
              <w:keepNext/>
              <w:keepLines/>
              <w:jc w:val="center"/>
              <w:rPr>
                <w:rStyle w:val="CommentReference"/>
                <w:b w:val="0"/>
                <w:iCs/>
                <w:highlight w:val="yellow"/>
                <w:lang w:eastAsia="en-AU"/>
              </w:rPr>
            </w:pPr>
            <w:r w:rsidRPr="00217797">
              <w:rPr>
                <w:rStyle w:val="CommentReference"/>
                <w:b w:val="0"/>
                <w:iCs/>
                <w:color w:val="000000"/>
                <w:spacing w:val="94"/>
                <w:shd w:val="solid" w:color="000000" w:fill="000000"/>
                <w:fitText w:val="180" w:id="-1502445309"/>
                <w:lang w:eastAsia="en-AU"/>
                <w14:textFill>
                  <w14:solidFill>
                    <w14:srgbClr w14:val="000000">
                      <w14:alpha w14:val="100000"/>
                    </w14:srgbClr>
                  </w14:solidFill>
                </w14:textFill>
              </w:rPr>
              <w:t>|</w:t>
            </w:r>
            <w:r w:rsidRPr="00217797">
              <w:rPr>
                <w:rStyle w:val="CommentReference"/>
                <w:b w:val="0"/>
                <w:iCs/>
                <w:color w:val="000000"/>
                <w:spacing w:val="1"/>
                <w:shd w:val="solid" w:color="000000" w:fill="000000"/>
                <w:fitText w:val="180" w:id="-1502445309"/>
                <w:lang w:eastAsia="en-AU"/>
                <w14:textFill>
                  <w14:solidFill>
                    <w14:srgbClr w14:val="000000">
                      <w14:alpha w14:val="100000"/>
                    </w14:srgbClr>
                  </w14:solidFill>
                </w14:textFill>
              </w:rPr>
              <w:t>|</w:t>
            </w:r>
            <w:r w:rsidR="009007EF">
              <w:rPr>
                <w:rStyle w:val="CommentReference"/>
                <w:b w:val="0"/>
                <w:iCs/>
                <w:vertAlign w:val="superscript"/>
                <w:lang w:eastAsia="en-AU"/>
              </w:rPr>
              <w:t>2</w:t>
            </w:r>
          </w:p>
        </w:tc>
        <w:tc>
          <w:tcPr>
            <w:tcW w:w="800" w:type="dxa"/>
            <w:tcBorders>
              <w:top w:val="single" w:sz="4" w:space="0" w:color="auto"/>
              <w:left w:val="single" w:sz="4" w:space="0" w:color="auto"/>
              <w:bottom w:val="single" w:sz="4" w:space="0" w:color="auto"/>
              <w:right w:val="single" w:sz="4" w:space="0" w:color="auto"/>
            </w:tcBorders>
            <w:vAlign w:val="center"/>
            <w:hideMark/>
          </w:tcPr>
          <w:p w14:paraId="4BA36CC5" w14:textId="77777777" w:rsidR="00762589" w:rsidRPr="00AC4B28" w:rsidRDefault="00762589">
            <w:pPr>
              <w:pStyle w:val="Tabletext"/>
              <w:keepNext/>
              <w:keepLines/>
              <w:jc w:val="center"/>
              <w:rPr>
                <w:rStyle w:val="CommentReference"/>
                <w:b w:val="0"/>
                <w:iCs/>
                <w:lang w:eastAsia="en-AU"/>
              </w:rPr>
            </w:pPr>
            <w:r w:rsidRPr="00AC4B28">
              <w:rPr>
                <w:rStyle w:val="CommentReference"/>
                <w:b w:val="0"/>
                <w:iCs/>
                <w:lang w:eastAsia="en-AU"/>
              </w:rPr>
              <w:t>-11.5%</w:t>
            </w:r>
          </w:p>
        </w:tc>
      </w:tr>
      <w:tr w:rsidR="00762589" w:rsidRPr="00AC4B28" w14:paraId="476152E5" w14:textId="77777777" w:rsidTr="00217797">
        <w:tc>
          <w:tcPr>
            <w:tcW w:w="1092" w:type="dxa"/>
            <w:vMerge/>
            <w:tcBorders>
              <w:top w:val="single" w:sz="4" w:space="0" w:color="auto"/>
              <w:left w:val="single" w:sz="4" w:space="0" w:color="auto"/>
              <w:bottom w:val="single" w:sz="4" w:space="0" w:color="auto"/>
              <w:right w:val="single" w:sz="4" w:space="0" w:color="auto"/>
            </w:tcBorders>
            <w:vAlign w:val="center"/>
            <w:hideMark/>
          </w:tcPr>
          <w:p w14:paraId="61507A55" w14:textId="77777777" w:rsidR="00762589" w:rsidRPr="00AC4B28" w:rsidRDefault="00762589">
            <w:pPr>
              <w:rPr>
                <w:rStyle w:val="CommentReference"/>
                <w:rFonts w:cs="Times New Roman"/>
                <w:b w:val="0"/>
                <w:iCs/>
                <w:szCs w:val="22"/>
              </w:rPr>
            </w:pPr>
          </w:p>
        </w:tc>
        <w:tc>
          <w:tcPr>
            <w:tcW w:w="1596" w:type="dxa"/>
            <w:vMerge/>
            <w:tcBorders>
              <w:top w:val="single" w:sz="4" w:space="0" w:color="auto"/>
              <w:left w:val="single" w:sz="4" w:space="0" w:color="auto"/>
              <w:bottom w:val="single" w:sz="4" w:space="0" w:color="auto"/>
              <w:right w:val="single" w:sz="4" w:space="0" w:color="auto"/>
            </w:tcBorders>
            <w:vAlign w:val="center"/>
            <w:hideMark/>
          </w:tcPr>
          <w:p w14:paraId="6771F0CF" w14:textId="77777777" w:rsidR="00762589" w:rsidRPr="00AC4B28" w:rsidRDefault="00762589">
            <w:pPr>
              <w:rPr>
                <w:rStyle w:val="CommentReference"/>
                <w:rFonts w:cs="Times New Roman"/>
                <w:b w:val="0"/>
                <w:iCs/>
                <w:szCs w:val="22"/>
              </w:rPr>
            </w:pPr>
          </w:p>
        </w:tc>
        <w:tc>
          <w:tcPr>
            <w:tcW w:w="2694" w:type="dxa"/>
            <w:tcBorders>
              <w:top w:val="single" w:sz="4" w:space="0" w:color="auto"/>
              <w:left w:val="single" w:sz="4" w:space="0" w:color="auto"/>
              <w:bottom w:val="single" w:sz="4" w:space="0" w:color="auto"/>
              <w:right w:val="single" w:sz="4" w:space="0" w:color="auto"/>
            </w:tcBorders>
            <w:vAlign w:val="center"/>
            <w:hideMark/>
          </w:tcPr>
          <w:p w14:paraId="19301E8D" w14:textId="77777777" w:rsidR="00762589" w:rsidRPr="00AC4B28" w:rsidRDefault="00762589">
            <w:pPr>
              <w:pStyle w:val="Tabletext"/>
              <w:keepNext/>
              <w:keepLines/>
              <w:jc w:val="center"/>
              <w:rPr>
                <w:rStyle w:val="CommentReference"/>
                <w:b w:val="0"/>
                <w:iCs/>
                <w:lang w:eastAsia="en-AU"/>
              </w:rPr>
            </w:pPr>
            <w:r w:rsidRPr="00AC4B28">
              <w:rPr>
                <w:rStyle w:val="CommentReference"/>
                <w:b w:val="0"/>
                <w:iCs/>
                <w:lang w:eastAsia="en-AU"/>
              </w:rPr>
              <w:t>10% lower utility in progressed disease health state</w:t>
            </w:r>
          </w:p>
        </w:tc>
        <w:tc>
          <w:tcPr>
            <w:tcW w:w="992" w:type="dxa"/>
            <w:tcBorders>
              <w:top w:val="single" w:sz="4" w:space="0" w:color="auto"/>
              <w:left w:val="single" w:sz="4" w:space="0" w:color="auto"/>
              <w:bottom w:val="single" w:sz="4" w:space="0" w:color="auto"/>
              <w:right w:val="single" w:sz="4" w:space="0" w:color="auto"/>
            </w:tcBorders>
            <w:shd w:val="solid" w:color="000000" w:fill="000000"/>
            <w:vAlign w:val="center"/>
            <w:hideMark/>
          </w:tcPr>
          <w:p w14:paraId="6610C988" w14:textId="461C8ABB" w:rsidR="00762589" w:rsidRPr="00217797" w:rsidRDefault="00217797">
            <w:pPr>
              <w:pStyle w:val="Tabletext"/>
              <w:keepNext/>
              <w:keepLines/>
              <w:jc w:val="center"/>
              <w:rPr>
                <w:rStyle w:val="CommentReference"/>
                <w:b w:val="0"/>
                <w:iCs/>
                <w:lang w:eastAsia="en-AU"/>
              </w:rPr>
            </w:pPr>
            <w:r w:rsidRPr="00217797">
              <w:rPr>
                <w:rStyle w:val="CommentReference"/>
                <w:rFonts w:hint="eastAsia"/>
                <w:b w:val="0"/>
                <w:iCs/>
                <w:color w:val="000000"/>
                <w:w w:val="33"/>
                <w:fitText w:val="150" w:id="-1502445308"/>
                <w:lang w:eastAsia="en-AU"/>
                <w14:textFill>
                  <w14:solidFill>
                    <w14:srgbClr w14:val="000000">
                      <w14:alpha w14:val="100000"/>
                    </w14:srgbClr>
                  </w14:solidFill>
                </w14:textFill>
              </w:rPr>
              <w:t xml:space="preserve">　</w:t>
            </w:r>
            <w:r w:rsidRPr="00217797">
              <w:rPr>
                <w:rStyle w:val="CommentReference"/>
                <w:b w:val="0"/>
                <w:iCs/>
                <w:color w:val="000000"/>
                <w:w w:val="33"/>
                <w:fitText w:val="150" w:id="-1502445308"/>
                <w:lang w:eastAsia="en-AU"/>
                <w14:textFill>
                  <w14:solidFill>
                    <w14:srgbClr w14:val="000000">
                      <w14:alpha w14:val="100000"/>
                    </w14:srgbClr>
                  </w14:solidFill>
                </w14:textFill>
              </w:rPr>
              <w:t>|</w:t>
            </w:r>
            <w:r w:rsidRPr="00217797">
              <w:rPr>
                <w:rStyle w:val="CommentReference"/>
                <w:rFonts w:hint="eastAsia"/>
                <w:b w:val="0"/>
                <w:iCs/>
                <w:color w:val="000000"/>
                <w:w w:val="33"/>
                <w:fitText w:val="150" w:id="-1502445308"/>
                <w:lang w:eastAsia="en-AU"/>
                <w14:textFill>
                  <w14:solidFill>
                    <w14:srgbClr w14:val="000000">
                      <w14:alpha w14:val="100000"/>
                    </w14:srgbClr>
                  </w14:solidFill>
                </w14:textFill>
              </w:rPr>
              <w:t xml:space="preserve">　</w:t>
            </w:r>
          </w:p>
        </w:tc>
        <w:tc>
          <w:tcPr>
            <w:tcW w:w="851" w:type="dxa"/>
            <w:tcBorders>
              <w:top w:val="single" w:sz="4" w:space="0" w:color="auto"/>
              <w:left w:val="single" w:sz="4" w:space="0" w:color="auto"/>
              <w:bottom w:val="single" w:sz="4" w:space="0" w:color="auto"/>
              <w:right w:val="single" w:sz="4" w:space="0" w:color="auto"/>
            </w:tcBorders>
            <w:vAlign w:val="center"/>
            <w:hideMark/>
          </w:tcPr>
          <w:p w14:paraId="2D105D18" w14:textId="77777777" w:rsidR="00762589" w:rsidRPr="00AC4B28" w:rsidRDefault="00762589">
            <w:pPr>
              <w:pStyle w:val="Tabletext"/>
              <w:keepNext/>
              <w:keepLines/>
              <w:jc w:val="center"/>
              <w:rPr>
                <w:rStyle w:val="CommentReference"/>
                <w:b w:val="0"/>
                <w:iCs/>
                <w:lang w:eastAsia="en-AU"/>
              </w:rPr>
            </w:pPr>
            <w:r w:rsidRPr="00AC4B28">
              <w:rPr>
                <w:rStyle w:val="CommentReference"/>
                <w:b w:val="0"/>
                <w:iCs/>
                <w:lang w:eastAsia="en-AU"/>
              </w:rPr>
              <w:t>1.1758</w:t>
            </w:r>
          </w:p>
        </w:tc>
        <w:tc>
          <w:tcPr>
            <w:tcW w:w="992" w:type="dxa"/>
            <w:tcBorders>
              <w:top w:val="single" w:sz="4" w:space="0" w:color="auto"/>
              <w:left w:val="single" w:sz="4" w:space="0" w:color="auto"/>
              <w:bottom w:val="single" w:sz="4" w:space="0" w:color="auto"/>
              <w:right w:val="single" w:sz="4" w:space="0" w:color="auto"/>
            </w:tcBorders>
            <w:vAlign w:val="center"/>
            <w:hideMark/>
          </w:tcPr>
          <w:p w14:paraId="67D030C4" w14:textId="71A498AD" w:rsidR="00762589" w:rsidRPr="009007EF" w:rsidRDefault="00217797">
            <w:pPr>
              <w:pStyle w:val="Tabletext"/>
              <w:keepNext/>
              <w:keepLines/>
              <w:jc w:val="center"/>
              <w:rPr>
                <w:rStyle w:val="CommentReference"/>
                <w:b w:val="0"/>
                <w:iCs/>
                <w:highlight w:val="yellow"/>
                <w:lang w:eastAsia="en-AU"/>
              </w:rPr>
            </w:pPr>
            <w:r w:rsidRPr="00217797">
              <w:rPr>
                <w:rStyle w:val="CommentReference"/>
                <w:b w:val="0"/>
                <w:iCs/>
                <w:color w:val="000000"/>
                <w:spacing w:val="94"/>
                <w:shd w:val="solid" w:color="000000" w:fill="000000"/>
                <w:fitText w:val="180" w:id="-1502445307"/>
                <w:lang w:eastAsia="en-AU"/>
                <w14:textFill>
                  <w14:solidFill>
                    <w14:srgbClr w14:val="000000">
                      <w14:alpha w14:val="100000"/>
                    </w14:srgbClr>
                  </w14:solidFill>
                </w14:textFill>
              </w:rPr>
              <w:t>|</w:t>
            </w:r>
            <w:r w:rsidRPr="00217797">
              <w:rPr>
                <w:rStyle w:val="CommentReference"/>
                <w:b w:val="0"/>
                <w:iCs/>
                <w:color w:val="000000"/>
                <w:spacing w:val="1"/>
                <w:shd w:val="solid" w:color="000000" w:fill="000000"/>
                <w:fitText w:val="180" w:id="-1502445307"/>
                <w:lang w:eastAsia="en-AU"/>
                <w14:textFill>
                  <w14:solidFill>
                    <w14:srgbClr w14:val="000000">
                      <w14:alpha w14:val="100000"/>
                    </w14:srgbClr>
                  </w14:solidFill>
                </w14:textFill>
              </w:rPr>
              <w:t>|</w:t>
            </w:r>
            <w:r w:rsidR="003B348C">
              <w:rPr>
                <w:rStyle w:val="CommentReference"/>
                <w:b w:val="0"/>
                <w:iCs/>
                <w:vertAlign w:val="superscript"/>
                <w:lang w:eastAsia="en-AU"/>
              </w:rPr>
              <w:t>2</w:t>
            </w:r>
          </w:p>
        </w:tc>
        <w:tc>
          <w:tcPr>
            <w:tcW w:w="800" w:type="dxa"/>
            <w:tcBorders>
              <w:top w:val="single" w:sz="4" w:space="0" w:color="auto"/>
              <w:left w:val="single" w:sz="4" w:space="0" w:color="auto"/>
              <w:bottom w:val="single" w:sz="4" w:space="0" w:color="auto"/>
              <w:right w:val="single" w:sz="4" w:space="0" w:color="auto"/>
            </w:tcBorders>
            <w:vAlign w:val="center"/>
            <w:hideMark/>
          </w:tcPr>
          <w:p w14:paraId="38EBC13F" w14:textId="77777777" w:rsidR="00762589" w:rsidRPr="00AC4B28" w:rsidRDefault="00762589">
            <w:pPr>
              <w:pStyle w:val="Tabletext"/>
              <w:keepNext/>
              <w:keepLines/>
              <w:jc w:val="center"/>
              <w:rPr>
                <w:rStyle w:val="CommentReference"/>
                <w:b w:val="0"/>
                <w:iCs/>
                <w:lang w:eastAsia="en-AU"/>
              </w:rPr>
            </w:pPr>
            <w:r w:rsidRPr="00AC4B28">
              <w:rPr>
                <w:rStyle w:val="CommentReference"/>
                <w:b w:val="0"/>
                <w:iCs/>
                <w:lang w:eastAsia="en-AU"/>
              </w:rPr>
              <w:t>+3.1%</w:t>
            </w:r>
          </w:p>
        </w:tc>
      </w:tr>
      <w:tr w:rsidR="00762589" w:rsidRPr="00AC4B28" w14:paraId="719947EA" w14:textId="77777777" w:rsidTr="00217797">
        <w:tc>
          <w:tcPr>
            <w:tcW w:w="5382" w:type="dxa"/>
            <w:gridSpan w:val="3"/>
            <w:tcBorders>
              <w:top w:val="single" w:sz="4" w:space="0" w:color="auto"/>
              <w:left w:val="single" w:sz="4" w:space="0" w:color="auto"/>
              <w:bottom w:val="single" w:sz="4" w:space="0" w:color="auto"/>
              <w:right w:val="single" w:sz="4" w:space="0" w:color="auto"/>
            </w:tcBorders>
            <w:vAlign w:val="center"/>
          </w:tcPr>
          <w:p w14:paraId="758C79F0" w14:textId="77777777" w:rsidR="00762589" w:rsidRPr="00AC4B28" w:rsidRDefault="00762589" w:rsidP="00762589">
            <w:pPr>
              <w:pStyle w:val="Tabletext"/>
              <w:keepNext/>
              <w:keepLines/>
              <w:rPr>
                <w:rStyle w:val="CommentReference"/>
                <w:b w:val="0"/>
                <w:iCs/>
                <w:lang w:eastAsia="en-AU"/>
              </w:rPr>
            </w:pPr>
            <w:r w:rsidRPr="00AC4B28">
              <w:rPr>
                <w:rStyle w:val="CommentReference"/>
                <w:b w:val="0"/>
                <w:iCs/>
                <w:lang w:eastAsia="en-AU"/>
              </w:rPr>
              <w:t>No difference in PFS modelled</w:t>
            </w:r>
          </w:p>
        </w:tc>
        <w:tc>
          <w:tcPr>
            <w:tcW w:w="992" w:type="dxa"/>
            <w:tcBorders>
              <w:top w:val="single" w:sz="4" w:space="0" w:color="auto"/>
              <w:left w:val="single" w:sz="4" w:space="0" w:color="auto"/>
              <w:bottom w:val="single" w:sz="4" w:space="0" w:color="auto"/>
              <w:right w:val="single" w:sz="4" w:space="0" w:color="auto"/>
            </w:tcBorders>
            <w:shd w:val="solid" w:color="000000" w:fill="000000"/>
            <w:vAlign w:val="center"/>
            <w:hideMark/>
          </w:tcPr>
          <w:p w14:paraId="292ED2D7" w14:textId="2DECB370" w:rsidR="00762589" w:rsidRPr="00217797" w:rsidRDefault="00217797">
            <w:pPr>
              <w:pStyle w:val="Tabletext"/>
              <w:keepNext/>
              <w:keepLines/>
              <w:jc w:val="center"/>
              <w:rPr>
                <w:rStyle w:val="CommentReference"/>
                <w:b w:val="0"/>
                <w:iCs/>
                <w:lang w:eastAsia="en-AU"/>
              </w:rPr>
            </w:pPr>
            <w:r w:rsidRPr="00217797">
              <w:rPr>
                <w:rStyle w:val="CommentReference"/>
                <w:rFonts w:hint="eastAsia"/>
                <w:b w:val="0"/>
                <w:iCs/>
                <w:color w:val="000000"/>
                <w:w w:val="33"/>
                <w:fitText w:val="150" w:id="-1502445306"/>
                <w:lang w:eastAsia="en-AU"/>
                <w14:textFill>
                  <w14:solidFill>
                    <w14:srgbClr w14:val="000000">
                      <w14:alpha w14:val="100000"/>
                    </w14:srgbClr>
                  </w14:solidFill>
                </w14:textFill>
              </w:rPr>
              <w:t xml:space="preserve">　</w:t>
            </w:r>
            <w:r w:rsidRPr="00217797">
              <w:rPr>
                <w:rStyle w:val="CommentReference"/>
                <w:b w:val="0"/>
                <w:iCs/>
                <w:color w:val="000000"/>
                <w:w w:val="33"/>
                <w:fitText w:val="150" w:id="-1502445306"/>
                <w:lang w:eastAsia="en-AU"/>
                <w14:textFill>
                  <w14:solidFill>
                    <w14:srgbClr w14:val="000000">
                      <w14:alpha w14:val="100000"/>
                    </w14:srgbClr>
                  </w14:solidFill>
                </w14:textFill>
              </w:rPr>
              <w:t>|</w:t>
            </w:r>
            <w:r w:rsidRPr="00217797">
              <w:rPr>
                <w:rStyle w:val="CommentReference"/>
                <w:rFonts w:hint="eastAsia"/>
                <w:b w:val="0"/>
                <w:iCs/>
                <w:color w:val="000000"/>
                <w:w w:val="33"/>
                <w:fitText w:val="150" w:id="-1502445306"/>
                <w:lang w:eastAsia="en-AU"/>
                <w14:textFill>
                  <w14:solidFill>
                    <w14:srgbClr w14:val="000000">
                      <w14:alpha w14:val="100000"/>
                    </w14:srgbClr>
                  </w14:solidFill>
                </w14:textFill>
              </w:rPr>
              <w:t xml:space="preserve">　</w:t>
            </w:r>
          </w:p>
        </w:tc>
        <w:tc>
          <w:tcPr>
            <w:tcW w:w="851" w:type="dxa"/>
            <w:tcBorders>
              <w:top w:val="single" w:sz="4" w:space="0" w:color="auto"/>
              <w:left w:val="single" w:sz="4" w:space="0" w:color="auto"/>
              <w:bottom w:val="single" w:sz="4" w:space="0" w:color="auto"/>
              <w:right w:val="single" w:sz="4" w:space="0" w:color="auto"/>
            </w:tcBorders>
            <w:vAlign w:val="center"/>
            <w:hideMark/>
          </w:tcPr>
          <w:p w14:paraId="045B5641" w14:textId="77777777" w:rsidR="00762589" w:rsidRPr="00AC4B28" w:rsidRDefault="00762589">
            <w:pPr>
              <w:pStyle w:val="Tabletext"/>
              <w:keepNext/>
              <w:keepLines/>
              <w:jc w:val="center"/>
              <w:rPr>
                <w:rStyle w:val="CommentReference"/>
                <w:b w:val="0"/>
                <w:iCs/>
                <w:lang w:eastAsia="en-AU"/>
              </w:rPr>
            </w:pPr>
            <w:r w:rsidRPr="00AC4B28">
              <w:rPr>
                <w:rStyle w:val="CommentReference"/>
                <w:b w:val="0"/>
                <w:iCs/>
                <w:lang w:eastAsia="en-AU"/>
              </w:rPr>
              <w:t>1.1637</w:t>
            </w:r>
          </w:p>
        </w:tc>
        <w:tc>
          <w:tcPr>
            <w:tcW w:w="992" w:type="dxa"/>
            <w:tcBorders>
              <w:top w:val="single" w:sz="4" w:space="0" w:color="auto"/>
              <w:left w:val="single" w:sz="4" w:space="0" w:color="auto"/>
              <w:bottom w:val="single" w:sz="4" w:space="0" w:color="auto"/>
              <w:right w:val="single" w:sz="4" w:space="0" w:color="auto"/>
            </w:tcBorders>
            <w:vAlign w:val="center"/>
            <w:hideMark/>
          </w:tcPr>
          <w:p w14:paraId="3F08AE6A" w14:textId="76B008A0" w:rsidR="00762589" w:rsidRPr="009007EF" w:rsidRDefault="00217797">
            <w:pPr>
              <w:pStyle w:val="Tabletext"/>
              <w:keepNext/>
              <w:keepLines/>
              <w:jc w:val="center"/>
              <w:rPr>
                <w:rStyle w:val="CommentReference"/>
                <w:b w:val="0"/>
                <w:iCs/>
                <w:highlight w:val="yellow"/>
                <w:lang w:eastAsia="en-AU"/>
              </w:rPr>
            </w:pPr>
            <w:r w:rsidRPr="00217797">
              <w:rPr>
                <w:rStyle w:val="CommentReference"/>
                <w:b w:val="0"/>
                <w:iCs/>
                <w:color w:val="000000"/>
                <w:spacing w:val="94"/>
                <w:shd w:val="solid" w:color="000000" w:fill="000000"/>
                <w:fitText w:val="180" w:id="-1502445305"/>
                <w:lang w:eastAsia="en-AU"/>
                <w14:textFill>
                  <w14:solidFill>
                    <w14:srgbClr w14:val="000000">
                      <w14:alpha w14:val="100000"/>
                    </w14:srgbClr>
                  </w14:solidFill>
                </w14:textFill>
              </w:rPr>
              <w:t>|</w:t>
            </w:r>
            <w:r w:rsidRPr="00217797">
              <w:rPr>
                <w:rStyle w:val="CommentReference"/>
                <w:b w:val="0"/>
                <w:iCs/>
                <w:color w:val="000000"/>
                <w:spacing w:val="1"/>
                <w:shd w:val="solid" w:color="000000" w:fill="000000"/>
                <w:fitText w:val="180" w:id="-1502445305"/>
                <w:lang w:eastAsia="en-AU"/>
                <w14:textFill>
                  <w14:solidFill>
                    <w14:srgbClr w14:val="000000">
                      <w14:alpha w14:val="100000"/>
                    </w14:srgbClr>
                  </w14:solidFill>
                </w14:textFill>
              </w:rPr>
              <w:t>|</w:t>
            </w:r>
            <w:r w:rsidR="009007EF">
              <w:rPr>
                <w:rStyle w:val="CommentReference"/>
                <w:b w:val="0"/>
                <w:iCs/>
                <w:vertAlign w:val="superscript"/>
                <w:lang w:eastAsia="en-AU"/>
              </w:rPr>
              <w:t>2</w:t>
            </w:r>
          </w:p>
        </w:tc>
        <w:tc>
          <w:tcPr>
            <w:tcW w:w="800" w:type="dxa"/>
            <w:tcBorders>
              <w:top w:val="single" w:sz="4" w:space="0" w:color="auto"/>
              <w:left w:val="single" w:sz="4" w:space="0" w:color="auto"/>
              <w:bottom w:val="single" w:sz="4" w:space="0" w:color="auto"/>
              <w:right w:val="single" w:sz="4" w:space="0" w:color="auto"/>
            </w:tcBorders>
            <w:vAlign w:val="center"/>
            <w:hideMark/>
          </w:tcPr>
          <w:p w14:paraId="4B17F831" w14:textId="77777777" w:rsidR="00762589" w:rsidRPr="00AC4B28" w:rsidRDefault="00762589">
            <w:pPr>
              <w:pStyle w:val="Tabletext"/>
              <w:keepNext/>
              <w:keepLines/>
              <w:jc w:val="center"/>
              <w:rPr>
                <w:rStyle w:val="CommentReference"/>
                <w:b w:val="0"/>
                <w:iCs/>
                <w:lang w:eastAsia="en-AU"/>
              </w:rPr>
            </w:pPr>
            <w:r w:rsidRPr="00AC4B28">
              <w:rPr>
                <w:rStyle w:val="CommentReference"/>
                <w:b w:val="0"/>
                <w:iCs/>
                <w:lang w:eastAsia="en-AU"/>
              </w:rPr>
              <w:t>+0.6%</w:t>
            </w:r>
          </w:p>
        </w:tc>
      </w:tr>
      <w:tr w:rsidR="00762589" w:rsidRPr="00AC4B28" w14:paraId="6F95EF3A" w14:textId="77777777" w:rsidTr="00762589">
        <w:trPr>
          <w:trHeight w:val="201"/>
        </w:trPr>
        <w:tc>
          <w:tcPr>
            <w:tcW w:w="9017" w:type="dxa"/>
            <w:gridSpan w:val="7"/>
            <w:tcBorders>
              <w:top w:val="single" w:sz="4" w:space="0" w:color="auto"/>
              <w:left w:val="single" w:sz="4" w:space="0" w:color="auto"/>
              <w:bottom w:val="single" w:sz="4" w:space="0" w:color="auto"/>
              <w:right w:val="single" w:sz="4" w:space="0" w:color="auto"/>
            </w:tcBorders>
            <w:vAlign w:val="center"/>
            <w:hideMark/>
          </w:tcPr>
          <w:p w14:paraId="2068CD3A" w14:textId="77777777" w:rsidR="00762589" w:rsidRPr="00AC4B28" w:rsidRDefault="00762589">
            <w:pPr>
              <w:pStyle w:val="Tabletext"/>
              <w:keepNext/>
              <w:keepLines/>
              <w:rPr>
                <w:rStyle w:val="CommentReference"/>
                <w:iCs/>
                <w:lang w:eastAsia="en-AU"/>
              </w:rPr>
            </w:pPr>
            <w:r w:rsidRPr="00AC4B28">
              <w:rPr>
                <w:rStyle w:val="CommentReference"/>
                <w:iCs/>
                <w:lang w:eastAsia="en-AU"/>
              </w:rPr>
              <w:t>Multivariate analyses</w:t>
            </w:r>
          </w:p>
        </w:tc>
      </w:tr>
      <w:tr w:rsidR="00762589" w:rsidRPr="00AC4B28" w14:paraId="73B29211" w14:textId="77777777" w:rsidTr="00217797">
        <w:tc>
          <w:tcPr>
            <w:tcW w:w="1092" w:type="dxa"/>
            <w:vMerge w:val="restart"/>
            <w:tcBorders>
              <w:top w:val="single" w:sz="4" w:space="0" w:color="auto"/>
              <w:left w:val="single" w:sz="4" w:space="0" w:color="auto"/>
              <w:bottom w:val="single" w:sz="4" w:space="0" w:color="auto"/>
              <w:right w:val="single" w:sz="4" w:space="0" w:color="auto"/>
            </w:tcBorders>
            <w:vAlign w:val="center"/>
            <w:hideMark/>
          </w:tcPr>
          <w:p w14:paraId="66077702" w14:textId="77777777" w:rsidR="00762589" w:rsidRPr="00AC4B28" w:rsidRDefault="00762589">
            <w:pPr>
              <w:pStyle w:val="Tabletext"/>
              <w:keepNext/>
              <w:keepLines/>
              <w:rPr>
                <w:rStyle w:val="CommentReference"/>
                <w:b w:val="0"/>
                <w:iCs/>
                <w:lang w:eastAsia="en-AU"/>
              </w:rPr>
            </w:pPr>
            <w:r w:rsidRPr="00AC4B28">
              <w:rPr>
                <w:rStyle w:val="CommentReference"/>
                <w:b w:val="0"/>
                <w:iCs/>
                <w:lang w:eastAsia="en-AU"/>
              </w:rPr>
              <w:t>Time horizon and extrapolation function</w:t>
            </w:r>
          </w:p>
        </w:tc>
        <w:tc>
          <w:tcPr>
            <w:tcW w:w="1596" w:type="dxa"/>
            <w:vMerge w:val="restart"/>
            <w:tcBorders>
              <w:top w:val="single" w:sz="4" w:space="0" w:color="auto"/>
              <w:left w:val="single" w:sz="4" w:space="0" w:color="auto"/>
              <w:bottom w:val="single" w:sz="4" w:space="0" w:color="auto"/>
              <w:right w:val="single" w:sz="4" w:space="0" w:color="auto"/>
            </w:tcBorders>
            <w:vAlign w:val="center"/>
            <w:hideMark/>
          </w:tcPr>
          <w:p w14:paraId="476D7A24" w14:textId="77777777" w:rsidR="00762589" w:rsidRPr="00AC4B28" w:rsidRDefault="00762589">
            <w:pPr>
              <w:pStyle w:val="Tabletext"/>
              <w:keepNext/>
              <w:keepLines/>
              <w:jc w:val="center"/>
              <w:rPr>
                <w:rStyle w:val="CommentReference"/>
                <w:b w:val="0"/>
                <w:iCs/>
                <w:lang w:eastAsia="en-AU"/>
              </w:rPr>
            </w:pPr>
            <w:r w:rsidRPr="00AC4B28">
              <w:rPr>
                <w:rStyle w:val="CommentReference"/>
                <w:b w:val="0"/>
                <w:iCs/>
                <w:lang w:eastAsia="en-AU"/>
              </w:rPr>
              <w:t xml:space="preserve">Time horizon of 7.5 years and extrapolations of OS: lognormal </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DF39EEE" w14:textId="77777777" w:rsidR="00762589" w:rsidRPr="00AC4B28" w:rsidRDefault="00762589">
            <w:pPr>
              <w:pStyle w:val="Tabletext"/>
              <w:keepNext/>
              <w:keepLines/>
              <w:jc w:val="center"/>
              <w:rPr>
                <w:iCs/>
                <w:szCs w:val="20"/>
              </w:rPr>
            </w:pPr>
            <w:r w:rsidRPr="00AC4B28">
              <w:rPr>
                <w:iCs/>
                <w:szCs w:val="20"/>
                <w:lang w:eastAsia="en-AU"/>
              </w:rPr>
              <w:t>5 years and OS extrapolations log logistic</w:t>
            </w:r>
          </w:p>
        </w:tc>
        <w:tc>
          <w:tcPr>
            <w:tcW w:w="992" w:type="dxa"/>
            <w:tcBorders>
              <w:top w:val="single" w:sz="4" w:space="0" w:color="auto"/>
              <w:left w:val="single" w:sz="4" w:space="0" w:color="auto"/>
              <w:bottom w:val="single" w:sz="4" w:space="0" w:color="auto"/>
              <w:right w:val="single" w:sz="4" w:space="0" w:color="auto"/>
            </w:tcBorders>
            <w:shd w:val="solid" w:color="000000" w:fill="000000"/>
            <w:vAlign w:val="center"/>
            <w:hideMark/>
          </w:tcPr>
          <w:p w14:paraId="1624E0DD" w14:textId="6A1647FE" w:rsidR="00762589" w:rsidRPr="00217797" w:rsidRDefault="00217797">
            <w:pPr>
              <w:pStyle w:val="Tabletext"/>
              <w:keepNext/>
              <w:keepLines/>
              <w:jc w:val="center"/>
              <w:rPr>
                <w:rStyle w:val="CommentReference"/>
                <w:b w:val="0"/>
                <w:iCs/>
                <w:szCs w:val="22"/>
              </w:rPr>
            </w:pPr>
            <w:r w:rsidRPr="00217797">
              <w:rPr>
                <w:rStyle w:val="CommentReference"/>
                <w:rFonts w:hint="eastAsia"/>
                <w:b w:val="0"/>
                <w:iCs/>
                <w:color w:val="000000"/>
                <w:w w:val="33"/>
                <w:fitText w:val="150" w:id="-1502445304"/>
                <w:lang w:eastAsia="en-AU"/>
                <w14:textFill>
                  <w14:solidFill>
                    <w14:srgbClr w14:val="000000">
                      <w14:alpha w14:val="100000"/>
                    </w14:srgbClr>
                  </w14:solidFill>
                </w14:textFill>
              </w:rPr>
              <w:t xml:space="preserve">　</w:t>
            </w:r>
            <w:r w:rsidRPr="00217797">
              <w:rPr>
                <w:rStyle w:val="CommentReference"/>
                <w:b w:val="0"/>
                <w:iCs/>
                <w:color w:val="000000"/>
                <w:w w:val="33"/>
                <w:fitText w:val="150" w:id="-1502445304"/>
                <w:lang w:eastAsia="en-AU"/>
                <w14:textFill>
                  <w14:solidFill>
                    <w14:srgbClr w14:val="000000">
                      <w14:alpha w14:val="100000"/>
                    </w14:srgbClr>
                  </w14:solidFill>
                </w14:textFill>
              </w:rPr>
              <w:t>|</w:t>
            </w:r>
            <w:r w:rsidRPr="00217797">
              <w:rPr>
                <w:rStyle w:val="CommentReference"/>
                <w:rFonts w:hint="eastAsia"/>
                <w:b w:val="0"/>
                <w:iCs/>
                <w:color w:val="000000"/>
                <w:w w:val="33"/>
                <w:fitText w:val="150" w:id="-1502445304"/>
                <w:lang w:eastAsia="en-AU"/>
                <w14:textFill>
                  <w14:solidFill>
                    <w14:srgbClr w14:val="000000">
                      <w14:alpha w14:val="100000"/>
                    </w14:srgbClr>
                  </w14:solidFill>
                </w14:textFill>
              </w:rPr>
              <w:t xml:space="preserve">　</w:t>
            </w:r>
          </w:p>
        </w:tc>
        <w:tc>
          <w:tcPr>
            <w:tcW w:w="851" w:type="dxa"/>
            <w:tcBorders>
              <w:top w:val="single" w:sz="4" w:space="0" w:color="auto"/>
              <w:left w:val="single" w:sz="4" w:space="0" w:color="auto"/>
              <w:bottom w:val="single" w:sz="4" w:space="0" w:color="auto"/>
              <w:right w:val="single" w:sz="4" w:space="0" w:color="auto"/>
            </w:tcBorders>
            <w:vAlign w:val="center"/>
            <w:hideMark/>
          </w:tcPr>
          <w:p w14:paraId="1FD32DF1" w14:textId="77777777" w:rsidR="00762589" w:rsidRPr="00AC4B28" w:rsidRDefault="00762589">
            <w:pPr>
              <w:pStyle w:val="Tabletext"/>
              <w:keepNext/>
              <w:keepLines/>
              <w:jc w:val="center"/>
              <w:rPr>
                <w:rStyle w:val="CommentReference"/>
                <w:b w:val="0"/>
                <w:iCs/>
                <w:lang w:eastAsia="en-AU"/>
              </w:rPr>
            </w:pPr>
            <w:r w:rsidRPr="00AC4B28">
              <w:rPr>
                <w:rStyle w:val="CommentReference"/>
                <w:b w:val="0"/>
                <w:iCs/>
                <w:lang w:eastAsia="en-AU"/>
              </w:rPr>
              <w:t>0.8372</w:t>
            </w:r>
          </w:p>
        </w:tc>
        <w:tc>
          <w:tcPr>
            <w:tcW w:w="992" w:type="dxa"/>
            <w:tcBorders>
              <w:top w:val="single" w:sz="4" w:space="0" w:color="auto"/>
              <w:left w:val="single" w:sz="4" w:space="0" w:color="auto"/>
              <w:bottom w:val="single" w:sz="4" w:space="0" w:color="auto"/>
              <w:right w:val="single" w:sz="4" w:space="0" w:color="auto"/>
            </w:tcBorders>
            <w:vAlign w:val="center"/>
            <w:hideMark/>
          </w:tcPr>
          <w:p w14:paraId="03963E1C" w14:textId="58A3A29B" w:rsidR="00762589" w:rsidRPr="009007EF" w:rsidRDefault="00217797">
            <w:pPr>
              <w:pStyle w:val="Tabletext"/>
              <w:keepNext/>
              <w:keepLines/>
              <w:jc w:val="center"/>
              <w:rPr>
                <w:rStyle w:val="CommentReference"/>
                <w:b w:val="0"/>
                <w:iCs/>
                <w:highlight w:val="yellow"/>
                <w:lang w:eastAsia="en-AU"/>
              </w:rPr>
            </w:pPr>
            <w:r w:rsidRPr="00217797">
              <w:rPr>
                <w:rStyle w:val="CommentReference"/>
                <w:b w:val="0"/>
                <w:iCs/>
                <w:color w:val="000000"/>
                <w:spacing w:val="94"/>
                <w:shd w:val="solid" w:color="000000" w:fill="000000"/>
                <w:fitText w:val="180" w:id="-1502445303"/>
                <w:lang w:eastAsia="en-AU"/>
                <w14:textFill>
                  <w14:solidFill>
                    <w14:srgbClr w14:val="000000">
                      <w14:alpha w14:val="100000"/>
                    </w14:srgbClr>
                  </w14:solidFill>
                </w14:textFill>
              </w:rPr>
              <w:t>|</w:t>
            </w:r>
            <w:r w:rsidRPr="00217797">
              <w:rPr>
                <w:rStyle w:val="CommentReference"/>
                <w:b w:val="0"/>
                <w:iCs/>
                <w:color w:val="000000"/>
                <w:spacing w:val="1"/>
                <w:shd w:val="solid" w:color="000000" w:fill="000000"/>
                <w:fitText w:val="180" w:id="-1502445303"/>
                <w:lang w:eastAsia="en-AU"/>
                <w14:textFill>
                  <w14:solidFill>
                    <w14:srgbClr w14:val="000000">
                      <w14:alpha w14:val="100000"/>
                    </w14:srgbClr>
                  </w14:solidFill>
                </w14:textFill>
              </w:rPr>
              <w:t>|</w:t>
            </w:r>
            <w:r w:rsidR="003B348C">
              <w:rPr>
                <w:rStyle w:val="CommentReference"/>
                <w:b w:val="0"/>
                <w:iCs/>
                <w:vertAlign w:val="superscript"/>
                <w:lang w:eastAsia="en-AU"/>
              </w:rPr>
              <w:t>4</w:t>
            </w:r>
          </w:p>
        </w:tc>
        <w:tc>
          <w:tcPr>
            <w:tcW w:w="800" w:type="dxa"/>
            <w:tcBorders>
              <w:top w:val="single" w:sz="4" w:space="0" w:color="auto"/>
              <w:left w:val="single" w:sz="4" w:space="0" w:color="auto"/>
              <w:bottom w:val="single" w:sz="4" w:space="0" w:color="auto"/>
              <w:right w:val="single" w:sz="4" w:space="0" w:color="auto"/>
            </w:tcBorders>
            <w:vAlign w:val="center"/>
            <w:hideMark/>
          </w:tcPr>
          <w:p w14:paraId="35D97D8E" w14:textId="77777777" w:rsidR="00762589" w:rsidRPr="00AC4B28" w:rsidRDefault="00762589">
            <w:pPr>
              <w:pStyle w:val="Tabletext"/>
              <w:keepNext/>
              <w:keepLines/>
              <w:jc w:val="center"/>
              <w:rPr>
                <w:rStyle w:val="CommentReference"/>
                <w:b w:val="0"/>
                <w:iCs/>
                <w:lang w:eastAsia="en-AU"/>
              </w:rPr>
            </w:pPr>
            <w:r w:rsidRPr="00AC4B28">
              <w:rPr>
                <w:rStyle w:val="CommentReference"/>
                <w:b w:val="0"/>
                <w:iCs/>
                <w:lang w:eastAsia="en-AU"/>
              </w:rPr>
              <w:t>+42.3%</w:t>
            </w:r>
          </w:p>
        </w:tc>
      </w:tr>
      <w:tr w:rsidR="00762589" w:rsidRPr="00AC4B28" w14:paraId="5E085A5A" w14:textId="77777777" w:rsidTr="00217797">
        <w:tc>
          <w:tcPr>
            <w:tcW w:w="1092" w:type="dxa"/>
            <w:vMerge/>
            <w:tcBorders>
              <w:top w:val="single" w:sz="4" w:space="0" w:color="auto"/>
              <w:left w:val="single" w:sz="4" w:space="0" w:color="auto"/>
              <w:bottom w:val="single" w:sz="4" w:space="0" w:color="auto"/>
              <w:right w:val="single" w:sz="4" w:space="0" w:color="auto"/>
            </w:tcBorders>
            <w:vAlign w:val="center"/>
            <w:hideMark/>
          </w:tcPr>
          <w:p w14:paraId="249A7C15" w14:textId="77777777" w:rsidR="00762589" w:rsidRPr="00AC4B28" w:rsidRDefault="00762589">
            <w:pPr>
              <w:rPr>
                <w:rStyle w:val="CommentReference"/>
                <w:rFonts w:cs="Times New Roman"/>
                <w:b w:val="0"/>
                <w:iCs/>
                <w:szCs w:val="22"/>
              </w:rPr>
            </w:pPr>
          </w:p>
        </w:tc>
        <w:tc>
          <w:tcPr>
            <w:tcW w:w="1596" w:type="dxa"/>
            <w:vMerge/>
            <w:tcBorders>
              <w:top w:val="single" w:sz="4" w:space="0" w:color="auto"/>
              <w:left w:val="single" w:sz="4" w:space="0" w:color="auto"/>
              <w:bottom w:val="single" w:sz="4" w:space="0" w:color="auto"/>
              <w:right w:val="single" w:sz="4" w:space="0" w:color="auto"/>
            </w:tcBorders>
            <w:vAlign w:val="center"/>
            <w:hideMark/>
          </w:tcPr>
          <w:p w14:paraId="5596E64D" w14:textId="77777777" w:rsidR="00762589" w:rsidRPr="00AC4B28" w:rsidRDefault="00762589">
            <w:pPr>
              <w:rPr>
                <w:rStyle w:val="CommentReference"/>
                <w:rFonts w:cs="Times New Roman"/>
                <w:b w:val="0"/>
                <w:iCs/>
                <w:szCs w:val="22"/>
              </w:rPr>
            </w:pP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90E0C6A" w14:textId="77777777" w:rsidR="00762589" w:rsidRPr="00AC4B28" w:rsidRDefault="00762589">
            <w:pPr>
              <w:pStyle w:val="Tabletext"/>
              <w:keepNext/>
              <w:keepLines/>
              <w:jc w:val="center"/>
              <w:rPr>
                <w:iCs/>
                <w:szCs w:val="20"/>
              </w:rPr>
            </w:pPr>
            <w:r w:rsidRPr="00AC4B28">
              <w:rPr>
                <w:iCs/>
                <w:szCs w:val="20"/>
                <w:lang w:eastAsia="en-AU"/>
              </w:rPr>
              <w:t>5 years and OS extrapolations exponential</w:t>
            </w:r>
          </w:p>
        </w:tc>
        <w:tc>
          <w:tcPr>
            <w:tcW w:w="992" w:type="dxa"/>
            <w:tcBorders>
              <w:top w:val="single" w:sz="4" w:space="0" w:color="auto"/>
              <w:left w:val="single" w:sz="4" w:space="0" w:color="auto"/>
              <w:bottom w:val="single" w:sz="4" w:space="0" w:color="auto"/>
              <w:right w:val="single" w:sz="4" w:space="0" w:color="auto"/>
            </w:tcBorders>
            <w:shd w:val="solid" w:color="000000" w:fill="000000"/>
            <w:vAlign w:val="center"/>
            <w:hideMark/>
          </w:tcPr>
          <w:p w14:paraId="4AFEFC53" w14:textId="05728BAE" w:rsidR="00762589" w:rsidRPr="00217797" w:rsidRDefault="00217797">
            <w:pPr>
              <w:pStyle w:val="Tabletext"/>
              <w:keepNext/>
              <w:keepLines/>
              <w:jc w:val="center"/>
              <w:rPr>
                <w:rStyle w:val="CommentReference"/>
                <w:b w:val="0"/>
                <w:iCs/>
                <w:szCs w:val="22"/>
              </w:rPr>
            </w:pPr>
            <w:r w:rsidRPr="00217797">
              <w:rPr>
                <w:rStyle w:val="CommentReference"/>
                <w:rFonts w:hint="eastAsia"/>
                <w:b w:val="0"/>
                <w:iCs/>
                <w:color w:val="000000"/>
                <w:w w:val="33"/>
                <w:fitText w:val="150" w:id="-1502445302"/>
                <w:lang w:eastAsia="en-AU"/>
                <w14:textFill>
                  <w14:solidFill>
                    <w14:srgbClr w14:val="000000">
                      <w14:alpha w14:val="100000"/>
                    </w14:srgbClr>
                  </w14:solidFill>
                </w14:textFill>
              </w:rPr>
              <w:t xml:space="preserve">　</w:t>
            </w:r>
            <w:r w:rsidRPr="00217797">
              <w:rPr>
                <w:rStyle w:val="CommentReference"/>
                <w:b w:val="0"/>
                <w:iCs/>
                <w:color w:val="000000"/>
                <w:w w:val="33"/>
                <w:fitText w:val="150" w:id="-1502445302"/>
                <w:lang w:eastAsia="en-AU"/>
                <w14:textFill>
                  <w14:solidFill>
                    <w14:srgbClr w14:val="000000">
                      <w14:alpha w14:val="100000"/>
                    </w14:srgbClr>
                  </w14:solidFill>
                </w14:textFill>
              </w:rPr>
              <w:t>|</w:t>
            </w:r>
            <w:r w:rsidRPr="00217797">
              <w:rPr>
                <w:rStyle w:val="CommentReference"/>
                <w:rFonts w:hint="eastAsia"/>
                <w:b w:val="0"/>
                <w:iCs/>
                <w:color w:val="000000"/>
                <w:w w:val="33"/>
                <w:fitText w:val="150" w:id="-1502445302"/>
                <w:lang w:eastAsia="en-AU"/>
                <w14:textFill>
                  <w14:solidFill>
                    <w14:srgbClr w14:val="000000">
                      <w14:alpha w14:val="100000"/>
                    </w14:srgbClr>
                  </w14:solidFill>
                </w14:textFill>
              </w:rPr>
              <w:t xml:space="preserve">　</w:t>
            </w:r>
          </w:p>
        </w:tc>
        <w:tc>
          <w:tcPr>
            <w:tcW w:w="851" w:type="dxa"/>
            <w:tcBorders>
              <w:top w:val="single" w:sz="4" w:space="0" w:color="auto"/>
              <w:left w:val="single" w:sz="4" w:space="0" w:color="auto"/>
              <w:bottom w:val="single" w:sz="4" w:space="0" w:color="auto"/>
              <w:right w:val="single" w:sz="4" w:space="0" w:color="auto"/>
            </w:tcBorders>
            <w:vAlign w:val="center"/>
            <w:hideMark/>
          </w:tcPr>
          <w:p w14:paraId="3322D05F" w14:textId="77777777" w:rsidR="00762589" w:rsidRPr="00AC4B28" w:rsidRDefault="00762589">
            <w:pPr>
              <w:pStyle w:val="Tabletext"/>
              <w:keepNext/>
              <w:keepLines/>
              <w:jc w:val="center"/>
              <w:rPr>
                <w:rStyle w:val="CommentReference"/>
                <w:b w:val="0"/>
                <w:iCs/>
                <w:lang w:eastAsia="en-AU"/>
              </w:rPr>
            </w:pPr>
            <w:r w:rsidRPr="00AC4B28">
              <w:rPr>
                <w:rStyle w:val="CommentReference"/>
                <w:b w:val="0"/>
                <w:iCs/>
                <w:lang w:eastAsia="en-AU"/>
              </w:rPr>
              <w:t>0.7945</w:t>
            </w:r>
          </w:p>
        </w:tc>
        <w:tc>
          <w:tcPr>
            <w:tcW w:w="992" w:type="dxa"/>
            <w:tcBorders>
              <w:top w:val="single" w:sz="4" w:space="0" w:color="auto"/>
              <w:left w:val="single" w:sz="4" w:space="0" w:color="auto"/>
              <w:bottom w:val="single" w:sz="4" w:space="0" w:color="auto"/>
              <w:right w:val="single" w:sz="4" w:space="0" w:color="auto"/>
            </w:tcBorders>
            <w:vAlign w:val="center"/>
            <w:hideMark/>
          </w:tcPr>
          <w:p w14:paraId="59A0ACA5" w14:textId="76C2563D" w:rsidR="00762589" w:rsidRPr="009007EF" w:rsidRDefault="00217797">
            <w:pPr>
              <w:pStyle w:val="Tabletext"/>
              <w:keepNext/>
              <w:keepLines/>
              <w:jc w:val="center"/>
              <w:rPr>
                <w:rStyle w:val="CommentReference"/>
                <w:b w:val="0"/>
                <w:iCs/>
                <w:highlight w:val="yellow"/>
                <w:lang w:eastAsia="en-AU"/>
              </w:rPr>
            </w:pPr>
            <w:r w:rsidRPr="00217797">
              <w:rPr>
                <w:rStyle w:val="CommentReference"/>
                <w:b w:val="0"/>
                <w:iCs/>
                <w:color w:val="000000"/>
                <w:spacing w:val="94"/>
                <w:shd w:val="solid" w:color="000000" w:fill="000000"/>
                <w:fitText w:val="180" w:id="-1502445301"/>
                <w:lang w:eastAsia="en-AU"/>
                <w14:textFill>
                  <w14:solidFill>
                    <w14:srgbClr w14:val="000000">
                      <w14:alpha w14:val="100000"/>
                    </w14:srgbClr>
                  </w14:solidFill>
                </w14:textFill>
              </w:rPr>
              <w:t>|</w:t>
            </w:r>
            <w:r w:rsidRPr="00217797">
              <w:rPr>
                <w:rStyle w:val="CommentReference"/>
                <w:b w:val="0"/>
                <w:iCs/>
                <w:color w:val="000000"/>
                <w:spacing w:val="1"/>
                <w:shd w:val="solid" w:color="000000" w:fill="000000"/>
                <w:fitText w:val="180" w:id="-1502445301"/>
                <w:lang w:eastAsia="en-AU"/>
                <w14:textFill>
                  <w14:solidFill>
                    <w14:srgbClr w14:val="000000">
                      <w14:alpha w14:val="100000"/>
                    </w14:srgbClr>
                  </w14:solidFill>
                </w14:textFill>
              </w:rPr>
              <w:t>|</w:t>
            </w:r>
            <w:r w:rsidR="003B348C">
              <w:rPr>
                <w:rStyle w:val="CommentReference"/>
                <w:b w:val="0"/>
                <w:iCs/>
                <w:vertAlign w:val="superscript"/>
                <w:lang w:eastAsia="en-AU"/>
              </w:rPr>
              <w:t>5</w:t>
            </w:r>
          </w:p>
        </w:tc>
        <w:tc>
          <w:tcPr>
            <w:tcW w:w="800" w:type="dxa"/>
            <w:tcBorders>
              <w:top w:val="single" w:sz="4" w:space="0" w:color="auto"/>
              <w:left w:val="single" w:sz="4" w:space="0" w:color="auto"/>
              <w:bottom w:val="single" w:sz="4" w:space="0" w:color="auto"/>
              <w:right w:val="single" w:sz="4" w:space="0" w:color="auto"/>
            </w:tcBorders>
            <w:vAlign w:val="center"/>
            <w:hideMark/>
          </w:tcPr>
          <w:p w14:paraId="040C1182" w14:textId="77777777" w:rsidR="00762589" w:rsidRPr="00AC4B28" w:rsidRDefault="00762589">
            <w:pPr>
              <w:pStyle w:val="Tabletext"/>
              <w:keepNext/>
              <w:keepLines/>
              <w:jc w:val="center"/>
              <w:rPr>
                <w:rStyle w:val="CommentReference"/>
                <w:b w:val="0"/>
                <w:iCs/>
                <w:lang w:eastAsia="en-AU"/>
              </w:rPr>
            </w:pPr>
            <w:r w:rsidRPr="00AC4B28">
              <w:rPr>
                <w:rStyle w:val="CommentReference"/>
                <w:b w:val="0"/>
                <w:iCs/>
                <w:lang w:eastAsia="en-AU"/>
              </w:rPr>
              <w:t>+53.9%</w:t>
            </w:r>
          </w:p>
        </w:tc>
      </w:tr>
      <w:tr w:rsidR="00762589" w:rsidRPr="00AC4B28" w14:paraId="5959DC9B" w14:textId="77777777" w:rsidTr="00217797">
        <w:tc>
          <w:tcPr>
            <w:tcW w:w="1092" w:type="dxa"/>
            <w:vMerge w:val="restart"/>
            <w:tcBorders>
              <w:top w:val="single" w:sz="4" w:space="0" w:color="auto"/>
              <w:left w:val="single" w:sz="4" w:space="0" w:color="auto"/>
              <w:bottom w:val="single" w:sz="4" w:space="0" w:color="auto"/>
              <w:right w:val="single" w:sz="4" w:space="0" w:color="auto"/>
            </w:tcBorders>
            <w:vAlign w:val="center"/>
            <w:hideMark/>
          </w:tcPr>
          <w:p w14:paraId="017F1C65" w14:textId="77777777" w:rsidR="00762589" w:rsidRPr="00AC4B28" w:rsidRDefault="00762589">
            <w:pPr>
              <w:pStyle w:val="Tabletext"/>
              <w:keepNext/>
              <w:keepLines/>
              <w:rPr>
                <w:rStyle w:val="CommentReference"/>
                <w:b w:val="0"/>
                <w:iCs/>
                <w:lang w:eastAsia="en-AU"/>
              </w:rPr>
            </w:pPr>
            <w:r w:rsidRPr="00AC4B28">
              <w:rPr>
                <w:rStyle w:val="CommentReference"/>
                <w:b w:val="0"/>
                <w:iCs/>
                <w:lang w:eastAsia="en-AU"/>
              </w:rPr>
              <w:t>Time horizon and terminal care costs</w:t>
            </w:r>
          </w:p>
        </w:tc>
        <w:tc>
          <w:tcPr>
            <w:tcW w:w="1596" w:type="dxa"/>
            <w:vMerge w:val="restart"/>
            <w:tcBorders>
              <w:top w:val="single" w:sz="4" w:space="0" w:color="auto"/>
              <w:left w:val="single" w:sz="4" w:space="0" w:color="auto"/>
              <w:bottom w:val="single" w:sz="4" w:space="0" w:color="auto"/>
              <w:right w:val="single" w:sz="4" w:space="0" w:color="auto"/>
            </w:tcBorders>
            <w:vAlign w:val="center"/>
            <w:hideMark/>
          </w:tcPr>
          <w:p w14:paraId="0470FF2D" w14:textId="3B6D8669" w:rsidR="00762589" w:rsidRPr="00AC4B28" w:rsidRDefault="00762589">
            <w:pPr>
              <w:pStyle w:val="Tabletext"/>
              <w:keepNext/>
              <w:keepLines/>
              <w:jc w:val="center"/>
              <w:rPr>
                <w:rStyle w:val="CommentReference"/>
                <w:b w:val="0"/>
                <w:iCs/>
                <w:lang w:eastAsia="en-AU"/>
              </w:rPr>
            </w:pPr>
            <w:r w:rsidRPr="00AC4B28">
              <w:rPr>
                <w:rStyle w:val="CommentReference"/>
                <w:b w:val="0"/>
                <w:iCs/>
                <w:lang w:eastAsia="en-AU"/>
              </w:rPr>
              <w:t>Time horizon of 7.5 years and terminal care costs applied ($</w:t>
            </w:r>
            <w:r w:rsidR="00217797" w:rsidRPr="00217797">
              <w:rPr>
                <w:rStyle w:val="CommentReference"/>
                <w:b w:val="0"/>
                <w:iCs/>
                <w:color w:val="000000"/>
                <w:spacing w:val="154"/>
                <w:shd w:val="solid" w:color="000000" w:fill="000000"/>
                <w:fitText w:val="240" w:id="-1502445300"/>
                <w:lang w:eastAsia="en-AU"/>
                <w14:textFill>
                  <w14:solidFill>
                    <w14:srgbClr w14:val="000000">
                      <w14:alpha w14:val="100000"/>
                    </w14:srgbClr>
                  </w14:solidFill>
                </w14:textFill>
              </w:rPr>
              <w:t>|</w:t>
            </w:r>
            <w:r w:rsidR="00217797" w:rsidRPr="00217797">
              <w:rPr>
                <w:rStyle w:val="CommentReference"/>
                <w:b w:val="0"/>
                <w:iCs/>
                <w:color w:val="000000"/>
                <w:spacing w:val="1"/>
                <w:shd w:val="solid" w:color="000000" w:fill="000000"/>
                <w:fitText w:val="240" w:id="-1502445300"/>
                <w:lang w:eastAsia="en-AU"/>
                <w14:textFill>
                  <w14:solidFill>
                    <w14:srgbClr w14:val="000000">
                      <w14:alpha w14:val="100000"/>
                    </w14:srgbClr>
                  </w14:solidFill>
                </w14:textFill>
              </w:rPr>
              <w:t>|</w:t>
            </w:r>
            <w:r w:rsidRPr="00AC4B28">
              <w:rPr>
                <w:rStyle w:val="CommentReference"/>
                <w:b w:val="0"/>
                <w:iCs/>
                <w:lang w:eastAsia="en-AU"/>
              </w:rPr>
              <w:t>)</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FA0277" w14:textId="77777777" w:rsidR="00762589" w:rsidRPr="00AC4B28" w:rsidRDefault="00762589">
            <w:pPr>
              <w:pStyle w:val="Tabletext"/>
              <w:keepNext/>
              <w:keepLines/>
              <w:jc w:val="center"/>
              <w:rPr>
                <w:iCs/>
                <w:szCs w:val="20"/>
              </w:rPr>
            </w:pPr>
            <w:r w:rsidRPr="00AC4B28">
              <w:rPr>
                <w:iCs/>
                <w:szCs w:val="20"/>
                <w:lang w:eastAsia="en-AU"/>
              </w:rPr>
              <w:t>5 years and terminal care costs assumed to be $0</w:t>
            </w:r>
          </w:p>
        </w:tc>
        <w:tc>
          <w:tcPr>
            <w:tcW w:w="992" w:type="dxa"/>
            <w:tcBorders>
              <w:top w:val="single" w:sz="4" w:space="0" w:color="auto"/>
              <w:left w:val="single" w:sz="4" w:space="0" w:color="auto"/>
              <w:bottom w:val="single" w:sz="4" w:space="0" w:color="auto"/>
              <w:right w:val="single" w:sz="4" w:space="0" w:color="auto"/>
            </w:tcBorders>
            <w:shd w:val="solid" w:color="000000" w:fill="000000"/>
            <w:vAlign w:val="center"/>
            <w:hideMark/>
          </w:tcPr>
          <w:p w14:paraId="7B3D7F81" w14:textId="340B25F8" w:rsidR="00762589" w:rsidRPr="00217797" w:rsidRDefault="00217797">
            <w:pPr>
              <w:pStyle w:val="Tabletext"/>
              <w:keepNext/>
              <w:keepLines/>
              <w:jc w:val="center"/>
              <w:rPr>
                <w:rStyle w:val="CommentReference"/>
                <w:b w:val="0"/>
                <w:iCs/>
                <w:szCs w:val="22"/>
              </w:rPr>
            </w:pPr>
            <w:r w:rsidRPr="00217797">
              <w:rPr>
                <w:rStyle w:val="CommentReference"/>
                <w:rFonts w:hint="eastAsia"/>
                <w:b w:val="0"/>
                <w:iCs/>
                <w:color w:val="000000"/>
                <w:w w:val="33"/>
                <w:fitText w:val="150" w:id="-1502445299"/>
                <w:lang w:eastAsia="en-AU"/>
                <w14:textFill>
                  <w14:solidFill>
                    <w14:srgbClr w14:val="000000">
                      <w14:alpha w14:val="100000"/>
                    </w14:srgbClr>
                  </w14:solidFill>
                </w14:textFill>
              </w:rPr>
              <w:t xml:space="preserve">　</w:t>
            </w:r>
            <w:r w:rsidRPr="00217797">
              <w:rPr>
                <w:rStyle w:val="CommentReference"/>
                <w:b w:val="0"/>
                <w:iCs/>
                <w:color w:val="000000"/>
                <w:w w:val="33"/>
                <w:fitText w:val="150" w:id="-1502445299"/>
                <w:lang w:eastAsia="en-AU"/>
                <w14:textFill>
                  <w14:solidFill>
                    <w14:srgbClr w14:val="000000">
                      <w14:alpha w14:val="100000"/>
                    </w14:srgbClr>
                  </w14:solidFill>
                </w14:textFill>
              </w:rPr>
              <w:t>|</w:t>
            </w:r>
            <w:r w:rsidRPr="00217797">
              <w:rPr>
                <w:rStyle w:val="CommentReference"/>
                <w:rFonts w:hint="eastAsia"/>
                <w:b w:val="0"/>
                <w:iCs/>
                <w:color w:val="000000"/>
                <w:w w:val="33"/>
                <w:fitText w:val="150" w:id="-1502445299"/>
                <w:lang w:eastAsia="en-AU"/>
                <w14:textFill>
                  <w14:solidFill>
                    <w14:srgbClr w14:val="000000">
                      <w14:alpha w14:val="100000"/>
                    </w14:srgbClr>
                  </w14:solidFill>
                </w14:textFill>
              </w:rPr>
              <w:t xml:space="preserve">　</w:t>
            </w:r>
          </w:p>
        </w:tc>
        <w:tc>
          <w:tcPr>
            <w:tcW w:w="851" w:type="dxa"/>
            <w:tcBorders>
              <w:top w:val="single" w:sz="4" w:space="0" w:color="auto"/>
              <w:left w:val="single" w:sz="4" w:space="0" w:color="auto"/>
              <w:bottom w:val="single" w:sz="4" w:space="0" w:color="auto"/>
              <w:right w:val="single" w:sz="4" w:space="0" w:color="auto"/>
            </w:tcBorders>
            <w:vAlign w:val="center"/>
            <w:hideMark/>
          </w:tcPr>
          <w:p w14:paraId="01516497" w14:textId="77777777" w:rsidR="00762589" w:rsidRPr="00AC4B28" w:rsidRDefault="00762589">
            <w:pPr>
              <w:pStyle w:val="Tabletext"/>
              <w:keepNext/>
              <w:keepLines/>
              <w:jc w:val="center"/>
              <w:rPr>
                <w:rStyle w:val="CommentReference"/>
                <w:b w:val="0"/>
                <w:iCs/>
                <w:lang w:eastAsia="en-AU"/>
              </w:rPr>
            </w:pPr>
            <w:r w:rsidRPr="00AC4B28">
              <w:rPr>
                <w:rStyle w:val="CommentReference"/>
                <w:b w:val="0"/>
                <w:iCs/>
                <w:lang w:eastAsia="en-AU"/>
              </w:rPr>
              <w:t>0.8867</w:t>
            </w:r>
          </w:p>
        </w:tc>
        <w:tc>
          <w:tcPr>
            <w:tcW w:w="992" w:type="dxa"/>
            <w:tcBorders>
              <w:top w:val="single" w:sz="4" w:space="0" w:color="auto"/>
              <w:left w:val="single" w:sz="4" w:space="0" w:color="auto"/>
              <w:bottom w:val="single" w:sz="4" w:space="0" w:color="auto"/>
              <w:right w:val="single" w:sz="4" w:space="0" w:color="auto"/>
            </w:tcBorders>
            <w:vAlign w:val="center"/>
            <w:hideMark/>
          </w:tcPr>
          <w:p w14:paraId="2A8C978D" w14:textId="7C69D7AD" w:rsidR="00762589" w:rsidRPr="009007EF" w:rsidRDefault="00217797">
            <w:pPr>
              <w:pStyle w:val="Tabletext"/>
              <w:keepNext/>
              <w:keepLines/>
              <w:jc w:val="center"/>
              <w:rPr>
                <w:rStyle w:val="CommentReference"/>
                <w:b w:val="0"/>
                <w:iCs/>
                <w:highlight w:val="yellow"/>
                <w:lang w:eastAsia="en-AU"/>
              </w:rPr>
            </w:pPr>
            <w:r w:rsidRPr="00217797">
              <w:rPr>
                <w:rStyle w:val="CommentReference"/>
                <w:b w:val="0"/>
                <w:iCs/>
                <w:color w:val="000000"/>
                <w:spacing w:val="94"/>
                <w:shd w:val="solid" w:color="000000" w:fill="000000"/>
                <w:fitText w:val="180" w:id="-1502445298"/>
                <w:lang w:eastAsia="en-AU"/>
                <w14:textFill>
                  <w14:solidFill>
                    <w14:srgbClr w14:val="000000">
                      <w14:alpha w14:val="100000"/>
                    </w14:srgbClr>
                  </w14:solidFill>
                </w14:textFill>
              </w:rPr>
              <w:t>|</w:t>
            </w:r>
            <w:r w:rsidRPr="00217797">
              <w:rPr>
                <w:rStyle w:val="CommentReference"/>
                <w:b w:val="0"/>
                <w:iCs/>
                <w:color w:val="000000"/>
                <w:spacing w:val="1"/>
                <w:shd w:val="solid" w:color="000000" w:fill="000000"/>
                <w:fitText w:val="180" w:id="-1502445298"/>
                <w:lang w:eastAsia="en-AU"/>
                <w14:textFill>
                  <w14:solidFill>
                    <w14:srgbClr w14:val="000000">
                      <w14:alpha w14:val="100000"/>
                    </w14:srgbClr>
                  </w14:solidFill>
                </w14:textFill>
              </w:rPr>
              <w:t>|</w:t>
            </w:r>
            <w:r w:rsidR="003B348C">
              <w:rPr>
                <w:rStyle w:val="CommentReference"/>
                <w:b w:val="0"/>
                <w:iCs/>
                <w:vertAlign w:val="superscript"/>
                <w:lang w:eastAsia="en-AU"/>
              </w:rPr>
              <w:t>5</w:t>
            </w:r>
          </w:p>
        </w:tc>
        <w:tc>
          <w:tcPr>
            <w:tcW w:w="800" w:type="dxa"/>
            <w:tcBorders>
              <w:top w:val="single" w:sz="4" w:space="0" w:color="auto"/>
              <w:left w:val="single" w:sz="4" w:space="0" w:color="auto"/>
              <w:bottom w:val="single" w:sz="4" w:space="0" w:color="auto"/>
              <w:right w:val="single" w:sz="4" w:space="0" w:color="auto"/>
            </w:tcBorders>
            <w:vAlign w:val="center"/>
            <w:hideMark/>
          </w:tcPr>
          <w:p w14:paraId="6E9EB385" w14:textId="77777777" w:rsidR="00762589" w:rsidRPr="00AC4B28" w:rsidRDefault="00762589">
            <w:pPr>
              <w:pStyle w:val="Tabletext"/>
              <w:keepNext/>
              <w:keepLines/>
              <w:jc w:val="center"/>
              <w:rPr>
                <w:rStyle w:val="CommentReference"/>
                <w:b w:val="0"/>
                <w:iCs/>
                <w:lang w:eastAsia="en-AU"/>
              </w:rPr>
            </w:pPr>
            <w:r w:rsidRPr="00AC4B28">
              <w:rPr>
                <w:rStyle w:val="CommentReference"/>
                <w:b w:val="0"/>
                <w:iCs/>
                <w:lang w:eastAsia="en-AU"/>
              </w:rPr>
              <w:t>+60.8%</w:t>
            </w:r>
          </w:p>
        </w:tc>
      </w:tr>
      <w:tr w:rsidR="00762589" w:rsidRPr="00AC4B28" w14:paraId="0F93480C" w14:textId="77777777" w:rsidTr="00217797">
        <w:tc>
          <w:tcPr>
            <w:tcW w:w="1092" w:type="dxa"/>
            <w:vMerge/>
            <w:tcBorders>
              <w:top w:val="single" w:sz="4" w:space="0" w:color="auto"/>
              <w:left w:val="single" w:sz="4" w:space="0" w:color="auto"/>
              <w:bottom w:val="single" w:sz="4" w:space="0" w:color="auto"/>
              <w:right w:val="single" w:sz="4" w:space="0" w:color="auto"/>
            </w:tcBorders>
            <w:vAlign w:val="center"/>
            <w:hideMark/>
          </w:tcPr>
          <w:p w14:paraId="6770FC19" w14:textId="77777777" w:rsidR="00762589" w:rsidRPr="00AC4B28" w:rsidRDefault="00762589">
            <w:pPr>
              <w:rPr>
                <w:rStyle w:val="CommentReference"/>
                <w:rFonts w:cs="Times New Roman"/>
                <w:b w:val="0"/>
                <w:iCs/>
                <w:szCs w:val="22"/>
              </w:rPr>
            </w:pPr>
          </w:p>
        </w:tc>
        <w:tc>
          <w:tcPr>
            <w:tcW w:w="1596" w:type="dxa"/>
            <w:vMerge/>
            <w:tcBorders>
              <w:top w:val="single" w:sz="4" w:space="0" w:color="auto"/>
              <w:left w:val="single" w:sz="4" w:space="0" w:color="auto"/>
              <w:bottom w:val="single" w:sz="4" w:space="0" w:color="auto"/>
              <w:right w:val="single" w:sz="4" w:space="0" w:color="auto"/>
            </w:tcBorders>
            <w:vAlign w:val="center"/>
            <w:hideMark/>
          </w:tcPr>
          <w:p w14:paraId="74844A75" w14:textId="77777777" w:rsidR="00762589" w:rsidRPr="00AC4B28" w:rsidRDefault="00762589">
            <w:pPr>
              <w:rPr>
                <w:rStyle w:val="CommentReference"/>
                <w:rFonts w:cs="Times New Roman"/>
                <w:b w:val="0"/>
                <w:iCs/>
                <w:szCs w:val="22"/>
              </w:rPr>
            </w:pP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229629E" w14:textId="0BDAF157" w:rsidR="00762589" w:rsidRPr="00AC4B28" w:rsidRDefault="00762589">
            <w:pPr>
              <w:pStyle w:val="Tabletext"/>
              <w:keepNext/>
              <w:keepLines/>
              <w:jc w:val="center"/>
              <w:rPr>
                <w:iCs/>
                <w:szCs w:val="20"/>
              </w:rPr>
            </w:pPr>
            <w:r w:rsidRPr="00AC4B28">
              <w:rPr>
                <w:iCs/>
                <w:szCs w:val="20"/>
                <w:lang w:eastAsia="en-AU"/>
              </w:rPr>
              <w:t>5 years and terminal care costs assumed to be halved ($</w:t>
            </w:r>
            <w:r w:rsidR="00217797" w:rsidRPr="00217797">
              <w:rPr>
                <w:iCs/>
                <w:color w:val="000000"/>
                <w:spacing w:val="154"/>
                <w:szCs w:val="20"/>
                <w:shd w:val="solid" w:color="000000" w:fill="000000"/>
                <w:fitText w:val="240" w:id="-1502445297"/>
                <w:lang w:eastAsia="en-AU"/>
                <w14:textFill>
                  <w14:solidFill>
                    <w14:srgbClr w14:val="000000">
                      <w14:alpha w14:val="100000"/>
                    </w14:srgbClr>
                  </w14:solidFill>
                </w14:textFill>
              </w:rPr>
              <w:t>|</w:t>
            </w:r>
            <w:r w:rsidR="00217797" w:rsidRPr="00217797">
              <w:rPr>
                <w:iCs/>
                <w:color w:val="000000"/>
                <w:spacing w:val="1"/>
                <w:szCs w:val="20"/>
                <w:shd w:val="solid" w:color="000000" w:fill="000000"/>
                <w:fitText w:val="240" w:id="-1502445297"/>
                <w:lang w:eastAsia="en-AU"/>
                <w14:textFill>
                  <w14:solidFill>
                    <w14:srgbClr w14:val="000000">
                      <w14:alpha w14:val="100000"/>
                    </w14:srgbClr>
                  </w14:solidFill>
                </w14:textFill>
              </w:rPr>
              <w:t>|</w:t>
            </w:r>
            <w:r w:rsidRPr="00AC4B28">
              <w:rPr>
                <w:iCs/>
                <w:szCs w:val="20"/>
                <w:lang w:eastAsia="en-AU"/>
              </w:rPr>
              <w:t>)</w:t>
            </w:r>
          </w:p>
        </w:tc>
        <w:tc>
          <w:tcPr>
            <w:tcW w:w="992" w:type="dxa"/>
            <w:tcBorders>
              <w:top w:val="single" w:sz="4" w:space="0" w:color="auto"/>
              <w:left w:val="single" w:sz="4" w:space="0" w:color="auto"/>
              <w:bottom w:val="single" w:sz="4" w:space="0" w:color="auto"/>
              <w:right w:val="single" w:sz="4" w:space="0" w:color="auto"/>
            </w:tcBorders>
            <w:shd w:val="solid" w:color="000000" w:fill="000000"/>
            <w:vAlign w:val="center"/>
            <w:hideMark/>
          </w:tcPr>
          <w:p w14:paraId="58B90177" w14:textId="7248E421" w:rsidR="00762589" w:rsidRPr="00217797" w:rsidRDefault="00217797">
            <w:pPr>
              <w:pStyle w:val="Tabletext"/>
              <w:keepNext/>
              <w:keepLines/>
              <w:jc w:val="center"/>
              <w:rPr>
                <w:rStyle w:val="CommentReference"/>
                <w:b w:val="0"/>
                <w:iCs/>
                <w:szCs w:val="22"/>
              </w:rPr>
            </w:pPr>
            <w:r w:rsidRPr="00217797">
              <w:rPr>
                <w:rStyle w:val="CommentReference"/>
                <w:rFonts w:hint="eastAsia"/>
                <w:b w:val="0"/>
                <w:iCs/>
                <w:color w:val="000000"/>
                <w:w w:val="33"/>
                <w:fitText w:val="150" w:id="-1502445296"/>
                <w:lang w:eastAsia="en-AU"/>
                <w14:textFill>
                  <w14:solidFill>
                    <w14:srgbClr w14:val="000000">
                      <w14:alpha w14:val="100000"/>
                    </w14:srgbClr>
                  </w14:solidFill>
                </w14:textFill>
              </w:rPr>
              <w:t xml:space="preserve">　</w:t>
            </w:r>
            <w:r w:rsidRPr="00217797">
              <w:rPr>
                <w:rStyle w:val="CommentReference"/>
                <w:b w:val="0"/>
                <w:iCs/>
                <w:color w:val="000000"/>
                <w:w w:val="33"/>
                <w:fitText w:val="150" w:id="-1502445296"/>
                <w:lang w:eastAsia="en-AU"/>
                <w14:textFill>
                  <w14:solidFill>
                    <w14:srgbClr w14:val="000000">
                      <w14:alpha w14:val="100000"/>
                    </w14:srgbClr>
                  </w14:solidFill>
                </w14:textFill>
              </w:rPr>
              <w:t>|</w:t>
            </w:r>
            <w:r w:rsidRPr="00217797">
              <w:rPr>
                <w:rStyle w:val="CommentReference"/>
                <w:rFonts w:hint="eastAsia"/>
                <w:b w:val="0"/>
                <w:iCs/>
                <w:color w:val="000000"/>
                <w:w w:val="33"/>
                <w:fitText w:val="150" w:id="-1502445296"/>
                <w:lang w:eastAsia="en-AU"/>
                <w14:textFill>
                  <w14:solidFill>
                    <w14:srgbClr w14:val="000000">
                      <w14:alpha w14:val="100000"/>
                    </w14:srgbClr>
                  </w14:solidFill>
                </w14:textFill>
              </w:rPr>
              <w:t xml:space="preserve">　</w:t>
            </w:r>
          </w:p>
        </w:tc>
        <w:tc>
          <w:tcPr>
            <w:tcW w:w="851" w:type="dxa"/>
            <w:tcBorders>
              <w:top w:val="single" w:sz="4" w:space="0" w:color="auto"/>
              <w:left w:val="single" w:sz="4" w:space="0" w:color="auto"/>
              <w:bottom w:val="single" w:sz="4" w:space="0" w:color="auto"/>
              <w:right w:val="single" w:sz="4" w:space="0" w:color="auto"/>
            </w:tcBorders>
            <w:vAlign w:val="center"/>
            <w:hideMark/>
          </w:tcPr>
          <w:p w14:paraId="4C7A29AA" w14:textId="77777777" w:rsidR="00762589" w:rsidRPr="00AC4B28" w:rsidRDefault="00762589">
            <w:pPr>
              <w:pStyle w:val="Tabletext"/>
              <w:keepNext/>
              <w:keepLines/>
              <w:jc w:val="center"/>
              <w:rPr>
                <w:rStyle w:val="CommentReference"/>
                <w:b w:val="0"/>
                <w:iCs/>
                <w:lang w:eastAsia="en-AU"/>
              </w:rPr>
            </w:pPr>
            <w:r w:rsidRPr="00AC4B28">
              <w:rPr>
                <w:rStyle w:val="CommentReference"/>
                <w:b w:val="0"/>
                <w:iCs/>
                <w:lang w:eastAsia="en-AU"/>
              </w:rPr>
              <w:t>0.8867</w:t>
            </w:r>
          </w:p>
        </w:tc>
        <w:tc>
          <w:tcPr>
            <w:tcW w:w="992" w:type="dxa"/>
            <w:tcBorders>
              <w:top w:val="single" w:sz="4" w:space="0" w:color="auto"/>
              <w:left w:val="single" w:sz="4" w:space="0" w:color="auto"/>
              <w:bottom w:val="single" w:sz="4" w:space="0" w:color="auto"/>
              <w:right w:val="single" w:sz="4" w:space="0" w:color="auto"/>
            </w:tcBorders>
            <w:vAlign w:val="center"/>
            <w:hideMark/>
          </w:tcPr>
          <w:p w14:paraId="059D4D22" w14:textId="209F4842" w:rsidR="00762589" w:rsidRPr="009007EF" w:rsidRDefault="00217797">
            <w:pPr>
              <w:pStyle w:val="Tabletext"/>
              <w:keepNext/>
              <w:keepLines/>
              <w:jc w:val="center"/>
              <w:rPr>
                <w:rStyle w:val="CommentReference"/>
                <w:b w:val="0"/>
                <w:iCs/>
                <w:highlight w:val="yellow"/>
                <w:lang w:eastAsia="en-AU"/>
              </w:rPr>
            </w:pPr>
            <w:r w:rsidRPr="00217797">
              <w:rPr>
                <w:rStyle w:val="CommentReference"/>
                <w:b w:val="0"/>
                <w:iCs/>
                <w:color w:val="000000"/>
                <w:spacing w:val="94"/>
                <w:shd w:val="solid" w:color="000000" w:fill="000000"/>
                <w:fitText w:val="180" w:id="-1502445312"/>
                <w:lang w:eastAsia="en-AU"/>
                <w14:textFill>
                  <w14:solidFill>
                    <w14:srgbClr w14:val="000000">
                      <w14:alpha w14:val="100000"/>
                    </w14:srgbClr>
                  </w14:solidFill>
                </w14:textFill>
              </w:rPr>
              <w:t>|</w:t>
            </w:r>
            <w:r w:rsidRPr="00217797">
              <w:rPr>
                <w:rStyle w:val="CommentReference"/>
                <w:b w:val="0"/>
                <w:iCs/>
                <w:color w:val="000000"/>
                <w:spacing w:val="1"/>
                <w:shd w:val="solid" w:color="000000" w:fill="000000"/>
                <w:fitText w:val="180" w:id="-1502445312"/>
                <w:lang w:eastAsia="en-AU"/>
                <w14:textFill>
                  <w14:solidFill>
                    <w14:srgbClr w14:val="000000">
                      <w14:alpha w14:val="100000"/>
                    </w14:srgbClr>
                  </w14:solidFill>
                </w14:textFill>
              </w:rPr>
              <w:t>|</w:t>
            </w:r>
            <w:r w:rsidR="003B348C">
              <w:rPr>
                <w:rStyle w:val="CommentReference"/>
                <w:b w:val="0"/>
                <w:iCs/>
                <w:vertAlign w:val="superscript"/>
                <w:lang w:eastAsia="en-AU"/>
              </w:rPr>
              <w:t>5</w:t>
            </w:r>
          </w:p>
        </w:tc>
        <w:tc>
          <w:tcPr>
            <w:tcW w:w="800" w:type="dxa"/>
            <w:tcBorders>
              <w:top w:val="single" w:sz="4" w:space="0" w:color="auto"/>
              <w:left w:val="single" w:sz="4" w:space="0" w:color="auto"/>
              <w:bottom w:val="single" w:sz="4" w:space="0" w:color="auto"/>
              <w:right w:val="single" w:sz="4" w:space="0" w:color="auto"/>
            </w:tcBorders>
            <w:vAlign w:val="center"/>
            <w:hideMark/>
          </w:tcPr>
          <w:p w14:paraId="7EA4B3D1" w14:textId="77777777" w:rsidR="00762589" w:rsidRPr="00AC4B28" w:rsidRDefault="00762589">
            <w:pPr>
              <w:pStyle w:val="Tabletext"/>
              <w:keepNext/>
              <w:keepLines/>
              <w:jc w:val="center"/>
              <w:rPr>
                <w:rStyle w:val="CommentReference"/>
                <w:b w:val="0"/>
                <w:iCs/>
                <w:lang w:eastAsia="en-AU"/>
              </w:rPr>
            </w:pPr>
            <w:r w:rsidRPr="00AC4B28">
              <w:rPr>
                <w:rStyle w:val="CommentReference"/>
                <w:b w:val="0"/>
                <w:iCs/>
                <w:lang w:eastAsia="en-AU"/>
              </w:rPr>
              <w:t>+46.0%</w:t>
            </w:r>
          </w:p>
        </w:tc>
      </w:tr>
      <w:tr w:rsidR="00762589" w:rsidRPr="00AC4B28" w14:paraId="20BB6CF1" w14:textId="77777777" w:rsidTr="00217797">
        <w:tc>
          <w:tcPr>
            <w:tcW w:w="1092" w:type="dxa"/>
            <w:vMerge w:val="restart"/>
            <w:tcBorders>
              <w:top w:val="single" w:sz="4" w:space="0" w:color="auto"/>
              <w:left w:val="single" w:sz="4" w:space="0" w:color="auto"/>
              <w:bottom w:val="single" w:sz="4" w:space="0" w:color="auto"/>
              <w:right w:val="single" w:sz="4" w:space="0" w:color="auto"/>
            </w:tcBorders>
            <w:vAlign w:val="center"/>
            <w:hideMark/>
          </w:tcPr>
          <w:p w14:paraId="203FB639" w14:textId="77777777" w:rsidR="00762589" w:rsidRPr="00AC4B28" w:rsidRDefault="00762589">
            <w:pPr>
              <w:pStyle w:val="Tabletext"/>
              <w:keepNext/>
              <w:keepLines/>
              <w:rPr>
                <w:rStyle w:val="CommentReference"/>
                <w:b w:val="0"/>
                <w:iCs/>
                <w:lang w:eastAsia="en-AU"/>
              </w:rPr>
            </w:pPr>
            <w:r w:rsidRPr="00AC4B28">
              <w:rPr>
                <w:rStyle w:val="CommentReference"/>
                <w:b w:val="0"/>
                <w:iCs/>
                <w:lang w:eastAsia="en-AU"/>
              </w:rPr>
              <w:t>Extrapolation function and terminal care costs</w:t>
            </w:r>
          </w:p>
        </w:tc>
        <w:tc>
          <w:tcPr>
            <w:tcW w:w="1596" w:type="dxa"/>
            <w:vMerge w:val="restart"/>
            <w:tcBorders>
              <w:top w:val="single" w:sz="4" w:space="0" w:color="auto"/>
              <w:left w:val="single" w:sz="4" w:space="0" w:color="auto"/>
              <w:bottom w:val="single" w:sz="4" w:space="0" w:color="auto"/>
              <w:right w:val="single" w:sz="4" w:space="0" w:color="auto"/>
            </w:tcBorders>
            <w:vAlign w:val="center"/>
            <w:hideMark/>
          </w:tcPr>
          <w:p w14:paraId="473E7595" w14:textId="381368A0" w:rsidR="00762589" w:rsidRPr="00AC4B28" w:rsidRDefault="00762589">
            <w:pPr>
              <w:pStyle w:val="Tabletext"/>
              <w:keepNext/>
              <w:keepLines/>
              <w:jc w:val="center"/>
              <w:rPr>
                <w:rStyle w:val="CommentReference"/>
                <w:b w:val="0"/>
                <w:iCs/>
                <w:lang w:eastAsia="en-AU"/>
              </w:rPr>
            </w:pPr>
            <w:r w:rsidRPr="00AC4B28">
              <w:rPr>
                <w:rStyle w:val="CommentReference"/>
                <w:b w:val="0"/>
                <w:iCs/>
                <w:lang w:eastAsia="en-AU"/>
              </w:rPr>
              <w:t>Extrapolations of OS: lognormal and terminal care costs applied ($</w:t>
            </w:r>
            <w:r w:rsidR="00217797" w:rsidRPr="00217797">
              <w:rPr>
                <w:rStyle w:val="CommentReference"/>
                <w:b w:val="0"/>
                <w:iCs/>
                <w:color w:val="000000"/>
                <w:spacing w:val="154"/>
                <w:shd w:val="solid" w:color="000000" w:fill="000000"/>
                <w:fitText w:val="240" w:id="-1502445311"/>
                <w:lang w:eastAsia="en-AU"/>
                <w14:textFill>
                  <w14:solidFill>
                    <w14:srgbClr w14:val="000000">
                      <w14:alpha w14:val="100000"/>
                    </w14:srgbClr>
                  </w14:solidFill>
                </w14:textFill>
              </w:rPr>
              <w:t>|</w:t>
            </w:r>
            <w:r w:rsidR="00217797" w:rsidRPr="00217797">
              <w:rPr>
                <w:rStyle w:val="CommentReference"/>
                <w:b w:val="0"/>
                <w:iCs/>
                <w:color w:val="000000"/>
                <w:spacing w:val="1"/>
                <w:shd w:val="solid" w:color="000000" w:fill="000000"/>
                <w:fitText w:val="240" w:id="-1502445311"/>
                <w:lang w:eastAsia="en-AU"/>
                <w14:textFill>
                  <w14:solidFill>
                    <w14:srgbClr w14:val="000000">
                      <w14:alpha w14:val="100000"/>
                    </w14:srgbClr>
                  </w14:solidFill>
                </w14:textFill>
              </w:rPr>
              <w:t>|</w:t>
            </w:r>
            <w:r w:rsidRPr="00AC4B28">
              <w:rPr>
                <w:rStyle w:val="CommentReference"/>
                <w:b w:val="0"/>
                <w:iCs/>
                <w:lang w:eastAsia="en-AU"/>
              </w:rPr>
              <w:t>)</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231BCE8" w14:textId="77777777" w:rsidR="00762589" w:rsidRPr="00AC4B28" w:rsidRDefault="00762589">
            <w:pPr>
              <w:pStyle w:val="Tabletext"/>
              <w:keepNext/>
              <w:keepLines/>
              <w:jc w:val="center"/>
              <w:rPr>
                <w:rStyle w:val="CommentReference"/>
                <w:b w:val="0"/>
                <w:iCs/>
                <w:lang w:eastAsia="en-AU"/>
              </w:rPr>
            </w:pPr>
            <w:r w:rsidRPr="00AC4B28">
              <w:rPr>
                <w:iCs/>
                <w:szCs w:val="20"/>
                <w:lang w:eastAsia="en-AU"/>
              </w:rPr>
              <w:t>OS extrapolations: log logistic + terminal care costs assumed to be $0</w:t>
            </w:r>
          </w:p>
        </w:tc>
        <w:tc>
          <w:tcPr>
            <w:tcW w:w="992" w:type="dxa"/>
            <w:tcBorders>
              <w:top w:val="single" w:sz="4" w:space="0" w:color="auto"/>
              <w:left w:val="single" w:sz="4" w:space="0" w:color="auto"/>
              <w:bottom w:val="single" w:sz="4" w:space="0" w:color="auto"/>
              <w:right w:val="single" w:sz="4" w:space="0" w:color="auto"/>
            </w:tcBorders>
            <w:shd w:val="solid" w:color="000000" w:fill="000000"/>
            <w:vAlign w:val="center"/>
            <w:hideMark/>
          </w:tcPr>
          <w:p w14:paraId="0928D9B7" w14:textId="4C8F4CD2" w:rsidR="00762589" w:rsidRPr="00217797" w:rsidRDefault="00217797">
            <w:pPr>
              <w:pStyle w:val="Tabletext"/>
              <w:keepNext/>
              <w:keepLines/>
              <w:jc w:val="center"/>
              <w:rPr>
                <w:rStyle w:val="CommentReference"/>
                <w:b w:val="0"/>
                <w:iCs/>
                <w:lang w:eastAsia="en-AU"/>
              </w:rPr>
            </w:pPr>
            <w:r w:rsidRPr="00217797">
              <w:rPr>
                <w:rStyle w:val="CommentReference"/>
                <w:rFonts w:hint="eastAsia"/>
                <w:b w:val="0"/>
                <w:iCs/>
                <w:color w:val="000000"/>
                <w:w w:val="33"/>
                <w:fitText w:val="150" w:id="-1502445310"/>
                <w:lang w:eastAsia="en-AU"/>
                <w14:textFill>
                  <w14:solidFill>
                    <w14:srgbClr w14:val="000000">
                      <w14:alpha w14:val="100000"/>
                    </w14:srgbClr>
                  </w14:solidFill>
                </w14:textFill>
              </w:rPr>
              <w:t xml:space="preserve">　</w:t>
            </w:r>
            <w:r w:rsidRPr="00217797">
              <w:rPr>
                <w:rStyle w:val="CommentReference"/>
                <w:b w:val="0"/>
                <w:iCs/>
                <w:color w:val="000000"/>
                <w:w w:val="33"/>
                <w:fitText w:val="150" w:id="-1502445310"/>
                <w:lang w:eastAsia="en-AU"/>
                <w14:textFill>
                  <w14:solidFill>
                    <w14:srgbClr w14:val="000000">
                      <w14:alpha w14:val="100000"/>
                    </w14:srgbClr>
                  </w14:solidFill>
                </w14:textFill>
              </w:rPr>
              <w:t>|</w:t>
            </w:r>
            <w:r w:rsidRPr="00217797">
              <w:rPr>
                <w:rStyle w:val="CommentReference"/>
                <w:rFonts w:hint="eastAsia"/>
                <w:b w:val="0"/>
                <w:iCs/>
                <w:color w:val="000000"/>
                <w:w w:val="33"/>
                <w:fitText w:val="150" w:id="-1502445310"/>
                <w:lang w:eastAsia="en-AU"/>
                <w14:textFill>
                  <w14:solidFill>
                    <w14:srgbClr w14:val="000000">
                      <w14:alpha w14:val="100000"/>
                    </w14:srgbClr>
                  </w14:solidFill>
                </w14:textFill>
              </w:rPr>
              <w:t xml:space="preserve">　</w:t>
            </w:r>
          </w:p>
        </w:tc>
        <w:tc>
          <w:tcPr>
            <w:tcW w:w="851" w:type="dxa"/>
            <w:tcBorders>
              <w:top w:val="single" w:sz="4" w:space="0" w:color="auto"/>
              <w:left w:val="single" w:sz="4" w:space="0" w:color="auto"/>
              <w:bottom w:val="single" w:sz="4" w:space="0" w:color="auto"/>
              <w:right w:val="single" w:sz="4" w:space="0" w:color="auto"/>
            </w:tcBorders>
            <w:vAlign w:val="center"/>
            <w:hideMark/>
          </w:tcPr>
          <w:p w14:paraId="7F34F541" w14:textId="77777777" w:rsidR="00762589" w:rsidRPr="00AC4B28" w:rsidRDefault="00762589">
            <w:pPr>
              <w:pStyle w:val="Tabletext"/>
              <w:keepNext/>
              <w:keepLines/>
              <w:jc w:val="center"/>
              <w:rPr>
                <w:rStyle w:val="CommentReference"/>
                <w:b w:val="0"/>
                <w:iCs/>
                <w:lang w:eastAsia="en-AU"/>
              </w:rPr>
            </w:pPr>
            <w:r w:rsidRPr="00AC4B28">
              <w:rPr>
                <w:rStyle w:val="CommentReference"/>
                <w:b w:val="0"/>
                <w:iCs/>
                <w:lang w:eastAsia="en-AU"/>
              </w:rPr>
              <w:t>1.1159</w:t>
            </w:r>
          </w:p>
        </w:tc>
        <w:tc>
          <w:tcPr>
            <w:tcW w:w="992" w:type="dxa"/>
            <w:tcBorders>
              <w:top w:val="single" w:sz="4" w:space="0" w:color="auto"/>
              <w:left w:val="single" w:sz="4" w:space="0" w:color="auto"/>
              <w:bottom w:val="single" w:sz="4" w:space="0" w:color="auto"/>
              <w:right w:val="single" w:sz="4" w:space="0" w:color="auto"/>
            </w:tcBorders>
            <w:vAlign w:val="center"/>
            <w:hideMark/>
          </w:tcPr>
          <w:p w14:paraId="2DB1AC29" w14:textId="5151FFF2" w:rsidR="00762589" w:rsidRPr="009007EF" w:rsidRDefault="00217797">
            <w:pPr>
              <w:pStyle w:val="Tabletext"/>
              <w:keepNext/>
              <w:keepLines/>
              <w:jc w:val="center"/>
              <w:rPr>
                <w:rStyle w:val="CommentReference"/>
                <w:b w:val="0"/>
                <w:iCs/>
                <w:highlight w:val="yellow"/>
                <w:lang w:eastAsia="en-AU"/>
              </w:rPr>
            </w:pPr>
            <w:r w:rsidRPr="00217797">
              <w:rPr>
                <w:rStyle w:val="CommentReference"/>
                <w:b w:val="0"/>
                <w:iCs/>
                <w:color w:val="000000"/>
                <w:spacing w:val="94"/>
                <w:shd w:val="solid" w:color="000000" w:fill="000000"/>
                <w:fitText w:val="180" w:id="-1502445309"/>
                <w:lang w:eastAsia="en-AU"/>
                <w14:textFill>
                  <w14:solidFill>
                    <w14:srgbClr w14:val="000000">
                      <w14:alpha w14:val="100000"/>
                    </w14:srgbClr>
                  </w14:solidFill>
                </w14:textFill>
              </w:rPr>
              <w:t>|</w:t>
            </w:r>
            <w:r w:rsidRPr="00217797">
              <w:rPr>
                <w:rStyle w:val="CommentReference"/>
                <w:b w:val="0"/>
                <w:iCs/>
                <w:color w:val="000000"/>
                <w:spacing w:val="1"/>
                <w:shd w:val="solid" w:color="000000" w:fill="000000"/>
                <w:fitText w:val="180" w:id="-1502445309"/>
                <w:lang w:eastAsia="en-AU"/>
                <w14:textFill>
                  <w14:solidFill>
                    <w14:srgbClr w14:val="000000">
                      <w14:alpha w14:val="100000"/>
                    </w14:srgbClr>
                  </w14:solidFill>
                </w14:textFill>
              </w:rPr>
              <w:t>|</w:t>
            </w:r>
            <w:r w:rsidR="009007EF">
              <w:rPr>
                <w:rStyle w:val="CommentReference"/>
                <w:b w:val="0"/>
                <w:iCs/>
                <w:vertAlign w:val="superscript"/>
                <w:lang w:eastAsia="en-AU"/>
              </w:rPr>
              <w:t>4</w:t>
            </w:r>
          </w:p>
        </w:tc>
        <w:tc>
          <w:tcPr>
            <w:tcW w:w="800" w:type="dxa"/>
            <w:tcBorders>
              <w:top w:val="single" w:sz="4" w:space="0" w:color="auto"/>
              <w:left w:val="single" w:sz="4" w:space="0" w:color="auto"/>
              <w:bottom w:val="single" w:sz="4" w:space="0" w:color="auto"/>
              <w:right w:val="single" w:sz="4" w:space="0" w:color="auto"/>
            </w:tcBorders>
            <w:vAlign w:val="center"/>
            <w:hideMark/>
          </w:tcPr>
          <w:p w14:paraId="142669F4" w14:textId="77777777" w:rsidR="00762589" w:rsidRPr="00AC4B28" w:rsidRDefault="00762589">
            <w:pPr>
              <w:pStyle w:val="Tabletext"/>
              <w:keepNext/>
              <w:keepLines/>
              <w:jc w:val="center"/>
              <w:rPr>
                <w:rStyle w:val="CommentReference"/>
                <w:b w:val="0"/>
                <w:iCs/>
                <w:lang w:eastAsia="en-AU"/>
              </w:rPr>
            </w:pPr>
            <w:r w:rsidRPr="00AC4B28">
              <w:rPr>
                <w:rStyle w:val="CommentReference"/>
                <w:b w:val="0"/>
                <w:iCs/>
                <w:lang w:eastAsia="en-AU"/>
              </w:rPr>
              <w:t>+28.5%</w:t>
            </w:r>
          </w:p>
        </w:tc>
      </w:tr>
      <w:tr w:rsidR="00762589" w:rsidRPr="00AC4B28" w14:paraId="2C88F7FB" w14:textId="77777777" w:rsidTr="00217797">
        <w:tc>
          <w:tcPr>
            <w:tcW w:w="1092" w:type="dxa"/>
            <w:vMerge/>
            <w:tcBorders>
              <w:top w:val="single" w:sz="4" w:space="0" w:color="auto"/>
              <w:left w:val="single" w:sz="4" w:space="0" w:color="auto"/>
              <w:bottom w:val="single" w:sz="4" w:space="0" w:color="auto"/>
              <w:right w:val="single" w:sz="4" w:space="0" w:color="auto"/>
            </w:tcBorders>
            <w:vAlign w:val="center"/>
            <w:hideMark/>
          </w:tcPr>
          <w:p w14:paraId="514F0EF9" w14:textId="77777777" w:rsidR="00762589" w:rsidRPr="00AC4B28" w:rsidRDefault="00762589">
            <w:pPr>
              <w:rPr>
                <w:rStyle w:val="CommentReference"/>
                <w:rFonts w:cs="Times New Roman"/>
                <w:b w:val="0"/>
                <w:iCs/>
                <w:szCs w:val="22"/>
              </w:rPr>
            </w:pPr>
          </w:p>
        </w:tc>
        <w:tc>
          <w:tcPr>
            <w:tcW w:w="1596" w:type="dxa"/>
            <w:vMerge/>
            <w:tcBorders>
              <w:top w:val="single" w:sz="4" w:space="0" w:color="auto"/>
              <w:left w:val="single" w:sz="4" w:space="0" w:color="auto"/>
              <w:bottom w:val="single" w:sz="4" w:space="0" w:color="auto"/>
              <w:right w:val="single" w:sz="4" w:space="0" w:color="auto"/>
            </w:tcBorders>
            <w:vAlign w:val="center"/>
            <w:hideMark/>
          </w:tcPr>
          <w:p w14:paraId="60FE53DA" w14:textId="77777777" w:rsidR="00762589" w:rsidRPr="00AC4B28" w:rsidRDefault="00762589">
            <w:pPr>
              <w:rPr>
                <w:rStyle w:val="CommentReference"/>
                <w:rFonts w:cs="Times New Roman"/>
                <w:b w:val="0"/>
                <w:iCs/>
                <w:szCs w:val="22"/>
              </w:rPr>
            </w:pP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E3B388" w14:textId="77777777" w:rsidR="00762589" w:rsidRPr="00AC4B28" w:rsidRDefault="00762589">
            <w:pPr>
              <w:pStyle w:val="Tabletext"/>
              <w:keepNext/>
              <w:keepLines/>
              <w:jc w:val="center"/>
              <w:rPr>
                <w:rStyle w:val="CommentReference"/>
                <w:b w:val="0"/>
                <w:iCs/>
                <w:lang w:eastAsia="en-AU"/>
              </w:rPr>
            </w:pPr>
            <w:r w:rsidRPr="00AC4B28">
              <w:rPr>
                <w:iCs/>
                <w:szCs w:val="20"/>
                <w:lang w:eastAsia="en-AU"/>
              </w:rPr>
              <w:t>OS extrapolations: exponential + terminal care costs assumed to be $0</w:t>
            </w:r>
          </w:p>
        </w:tc>
        <w:tc>
          <w:tcPr>
            <w:tcW w:w="992" w:type="dxa"/>
            <w:tcBorders>
              <w:top w:val="single" w:sz="4" w:space="0" w:color="auto"/>
              <w:left w:val="single" w:sz="4" w:space="0" w:color="auto"/>
              <w:bottom w:val="single" w:sz="4" w:space="0" w:color="auto"/>
              <w:right w:val="single" w:sz="4" w:space="0" w:color="auto"/>
            </w:tcBorders>
            <w:shd w:val="solid" w:color="000000" w:fill="000000"/>
            <w:vAlign w:val="center"/>
            <w:hideMark/>
          </w:tcPr>
          <w:p w14:paraId="156B1A03" w14:textId="789C3A43" w:rsidR="00762589" w:rsidRPr="00217797" w:rsidRDefault="00217797">
            <w:pPr>
              <w:pStyle w:val="Tabletext"/>
              <w:keepNext/>
              <w:keepLines/>
              <w:jc w:val="center"/>
              <w:rPr>
                <w:rStyle w:val="CommentReference"/>
                <w:b w:val="0"/>
                <w:iCs/>
                <w:lang w:eastAsia="en-AU"/>
              </w:rPr>
            </w:pPr>
            <w:r w:rsidRPr="00217797">
              <w:rPr>
                <w:rStyle w:val="CommentReference"/>
                <w:rFonts w:hint="eastAsia"/>
                <w:b w:val="0"/>
                <w:iCs/>
                <w:color w:val="000000"/>
                <w:w w:val="33"/>
                <w:fitText w:val="150" w:id="-1502445308"/>
                <w:lang w:eastAsia="en-AU"/>
                <w14:textFill>
                  <w14:solidFill>
                    <w14:srgbClr w14:val="000000">
                      <w14:alpha w14:val="100000"/>
                    </w14:srgbClr>
                  </w14:solidFill>
                </w14:textFill>
              </w:rPr>
              <w:t xml:space="preserve">　</w:t>
            </w:r>
            <w:r w:rsidRPr="00217797">
              <w:rPr>
                <w:rStyle w:val="CommentReference"/>
                <w:b w:val="0"/>
                <w:iCs/>
                <w:color w:val="000000"/>
                <w:w w:val="33"/>
                <w:fitText w:val="150" w:id="-1502445308"/>
                <w:lang w:eastAsia="en-AU"/>
                <w14:textFill>
                  <w14:solidFill>
                    <w14:srgbClr w14:val="000000">
                      <w14:alpha w14:val="100000"/>
                    </w14:srgbClr>
                  </w14:solidFill>
                </w14:textFill>
              </w:rPr>
              <w:t>|</w:t>
            </w:r>
            <w:r w:rsidRPr="00217797">
              <w:rPr>
                <w:rStyle w:val="CommentReference"/>
                <w:rFonts w:hint="eastAsia"/>
                <w:b w:val="0"/>
                <w:iCs/>
                <w:color w:val="000000"/>
                <w:w w:val="33"/>
                <w:fitText w:val="150" w:id="-1502445308"/>
                <w:lang w:eastAsia="en-AU"/>
                <w14:textFill>
                  <w14:solidFill>
                    <w14:srgbClr w14:val="000000">
                      <w14:alpha w14:val="100000"/>
                    </w14:srgbClr>
                  </w14:solidFill>
                </w14:textFill>
              </w:rPr>
              <w:t xml:space="preserve">　</w:t>
            </w:r>
          </w:p>
        </w:tc>
        <w:tc>
          <w:tcPr>
            <w:tcW w:w="851" w:type="dxa"/>
            <w:tcBorders>
              <w:top w:val="single" w:sz="4" w:space="0" w:color="auto"/>
              <w:left w:val="single" w:sz="4" w:space="0" w:color="auto"/>
              <w:bottom w:val="single" w:sz="4" w:space="0" w:color="auto"/>
              <w:right w:val="single" w:sz="4" w:space="0" w:color="auto"/>
            </w:tcBorders>
            <w:vAlign w:val="center"/>
            <w:hideMark/>
          </w:tcPr>
          <w:p w14:paraId="48D1A202" w14:textId="77777777" w:rsidR="00762589" w:rsidRPr="00AC4B28" w:rsidRDefault="00762589">
            <w:pPr>
              <w:pStyle w:val="Tabletext"/>
              <w:keepNext/>
              <w:keepLines/>
              <w:jc w:val="center"/>
              <w:rPr>
                <w:rStyle w:val="CommentReference"/>
                <w:b w:val="0"/>
                <w:iCs/>
                <w:lang w:eastAsia="en-AU"/>
              </w:rPr>
            </w:pPr>
            <w:r w:rsidRPr="00AC4B28">
              <w:rPr>
                <w:rStyle w:val="CommentReference"/>
                <w:b w:val="0"/>
                <w:iCs/>
                <w:lang w:eastAsia="en-AU"/>
              </w:rPr>
              <w:t>0.9917</w:t>
            </w:r>
          </w:p>
        </w:tc>
        <w:tc>
          <w:tcPr>
            <w:tcW w:w="992" w:type="dxa"/>
            <w:tcBorders>
              <w:top w:val="single" w:sz="4" w:space="0" w:color="auto"/>
              <w:left w:val="single" w:sz="4" w:space="0" w:color="auto"/>
              <w:bottom w:val="single" w:sz="4" w:space="0" w:color="auto"/>
              <w:right w:val="single" w:sz="4" w:space="0" w:color="auto"/>
            </w:tcBorders>
            <w:vAlign w:val="center"/>
            <w:hideMark/>
          </w:tcPr>
          <w:p w14:paraId="2D40F40E" w14:textId="2EA306D6" w:rsidR="00762589" w:rsidRPr="009007EF" w:rsidRDefault="00217797">
            <w:pPr>
              <w:pStyle w:val="Tabletext"/>
              <w:keepNext/>
              <w:keepLines/>
              <w:jc w:val="center"/>
              <w:rPr>
                <w:rStyle w:val="CommentReference"/>
                <w:b w:val="0"/>
                <w:iCs/>
                <w:highlight w:val="yellow"/>
                <w:lang w:eastAsia="en-AU"/>
              </w:rPr>
            </w:pPr>
            <w:r w:rsidRPr="00217797">
              <w:rPr>
                <w:rStyle w:val="CommentReference"/>
                <w:b w:val="0"/>
                <w:iCs/>
                <w:color w:val="000000"/>
                <w:spacing w:val="94"/>
                <w:shd w:val="solid" w:color="000000" w:fill="000000"/>
                <w:fitText w:val="180" w:id="-1502445307"/>
                <w:lang w:eastAsia="en-AU"/>
                <w14:textFill>
                  <w14:solidFill>
                    <w14:srgbClr w14:val="000000">
                      <w14:alpha w14:val="100000"/>
                    </w14:srgbClr>
                  </w14:solidFill>
                </w14:textFill>
              </w:rPr>
              <w:t>|</w:t>
            </w:r>
            <w:r w:rsidRPr="00217797">
              <w:rPr>
                <w:rStyle w:val="CommentReference"/>
                <w:b w:val="0"/>
                <w:iCs/>
                <w:color w:val="000000"/>
                <w:spacing w:val="1"/>
                <w:shd w:val="solid" w:color="000000" w:fill="000000"/>
                <w:fitText w:val="180" w:id="-1502445307"/>
                <w:lang w:eastAsia="en-AU"/>
                <w14:textFill>
                  <w14:solidFill>
                    <w14:srgbClr w14:val="000000">
                      <w14:alpha w14:val="100000"/>
                    </w14:srgbClr>
                  </w14:solidFill>
                </w14:textFill>
              </w:rPr>
              <w:t>|</w:t>
            </w:r>
            <w:r w:rsidR="009007EF">
              <w:rPr>
                <w:rStyle w:val="CommentReference"/>
                <w:b w:val="0"/>
                <w:iCs/>
                <w:vertAlign w:val="superscript"/>
                <w:lang w:eastAsia="en-AU"/>
              </w:rPr>
              <w:t>4</w:t>
            </w:r>
          </w:p>
        </w:tc>
        <w:tc>
          <w:tcPr>
            <w:tcW w:w="800" w:type="dxa"/>
            <w:tcBorders>
              <w:top w:val="single" w:sz="4" w:space="0" w:color="auto"/>
              <w:left w:val="single" w:sz="4" w:space="0" w:color="auto"/>
              <w:bottom w:val="single" w:sz="4" w:space="0" w:color="auto"/>
              <w:right w:val="single" w:sz="4" w:space="0" w:color="auto"/>
            </w:tcBorders>
            <w:vAlign w:val="center"/>
            <w:hideMark/>
          </w:tcPr>
          <w:p w14:paraId="2FDF81F2" w14:textId="77777777" w:rsidR="00762589" w:rsidRPr="00AC4B28" w:rsidRDefault="00762589">
            <w:pPr>
              <w:pStyle w:val="Tabletext"/>
              <w:keepNext/>
              <w:keepLines/>
              <w:jc w:val="center"/>
              <w:rPr>
                <w:rStyle w:val="CommentReference"/>
                <w:b w:val="0"/>
                <w:iCs/>
                <w:lang w:eastAsia="en-AU"/>
              </w:rPr>
            </w:pPr>
            <w:r w:rsidRPr="00AC4B28">
              <w:rPr>
                <w:rStyle w:val="CommentReference"/>
                <w:b w:val="0"/>
                <w:iCs/>
                <w:lang w:eastAsia="en-AU"/>
              </w:rPr>
              <w:t>+44.6%</w:t>
            </w:r>
          </w:p>
        </w:tc>
      </w:tr>
    </w:tbl>
    <w:p w14:paraId="6E721271" w14:textId="0EC7388F" w:rsidR="00F96901" w:rsidRPr="00780EA4" w:rsidRDefault="00F96901" w:rsidP="00D41722">
      <w:pPr>
        <w:pStyle w:val="TableFooter"/>
        <w:keepNext/>
        <w:keepLines/>
      </w:pPr>
      <w:r w:rsidRPr="00780EA4">
        <w:t>Source: Table 117&amp;118, pp209-210 of the submission.</w:t>
      </w:r>
    </w:p>
    <w:p w14:paraId="3F62315E" w14:textId="73921BBA" w:rsidR="00F96901" w:rsidRDefault="00F96901" w:rsidP="00D41722">
      <w:pPr>
        <w:pStyle w:val="TableFooter"/>
        <w:keepNext/>
        <w:keepLines/>
      </w:pPr>
      <w:r w:rsidRPr="00780EA4">
        <w:t xml:space="preserve">KM = Kaplan-Meier; ICER = incremental cost effectiveness ratio; OS = overall survival; PD = progressed disease; PF = progression-free; </w:t>
      </w:r>
      <w:r w:rsidR="009953FD" w:rsidRPr="00780EA4">
        <w:t>PFS = progression-free survival</w:t>
      </w:r>
      <w:r w:rsidRPr="00780EA4">
        <w:t>; QALY = quality adjusted life years.</w:t>
      </w:r>
    </w:p>
    <w:p w14:paraId="48D829B7" w14:textId="77777777" w:rsidR="009007EF" w:rsidRPr="00EF5C91" w:rsidRDefault="009007EF" w:rsidP="009007EF">
      <w:pPr>
        <w:pStyle w:val="TableFigureFooter"/>
        <w:spacing w:after="0"/>
        <w:contextualSpacing w:val="0"/>
        <w:rPr>
          <w:iCs/>
        </w:rPr>
      </w:pPr>
      <w:r w:rsidRPr="00EF5C91">
        <w:rPr>
          <w:iCs/>
        </w:rPr>
        <w:t xml:space="preserve">The redacted values correspond to the following ranges: </w:t>
      </w:r>
    </w:p>
    <w:p w14:paraId="27C53908" w14:textId="68C28EEF" w:rsidR="009007EF" w:rsidRPr="00EF5C91" w:rsidRDefault="009007EF" w:rsidP="009007EF">
      <w:pPr>
        <w:rPr>
          <w:rFonts w:ascii="Arial Narrow" w:hAnsi="Arial Narrow"/>
          <w:iCs/>
          <w:sz w:val="18"/>
          <w:szCs w:val="18"/>
        </w:rPr>
      </w:pPr>
      <w:r w:rsidRPr="00EF5C91">
        <w:rPr>
          <w:rFonts w:ascii="Arial Narrow" w:hAnsi="Arial Narrow"/>
          <w:iCs/>
          <w:sz w:val="18"/>
          <w:szCs w:val="18"/>
          <w:vertAlign w:val="superscript"/>
        </w:rPr>
        <w:t>1</w:t>
      </w:r>
      <w:r w:rsidRPr="00EF5C91">
        <w:rPr>
          <w:rFonts w:ascii="Arial Narrow" w:hAnsi="Arial Narrow"/>
          <w:iCs/>
          <w:sz w:val="18"/>
          <w:szCs w:val="18"/>
        </w:rPr>
        <w:t xml:space="preserve"> </w:t>
      </w:r>
      <w:r>
        <w:rPr>
          <w:rFonts w:ascii="Arial Narrow" w:hAnsi="Arial Narrow"/>
          <w:iCs/>
          <w:sz w:val="18"/>
          <w:szCs w:val="18"/>
        </w:rPr>
        <w:t>Commercially sensitive</w:t>
      </w:r>
    </w:p>
    <w:p w14:paraId="5429C2CB" w14:textId="0333C852" w:rsidR="009007EF" w:rsidRPr="00EF5C91" w:rsidRDefault="009007EF" w:rsidP="009007EF">
      <w:pPr>
        <w:rPr>
          <w:rFonts w:ascii="Arial Narrow" w:hAnsi="Arial Narrow"/>
          <w:iCs/>
          <w:sz w:val="18"/>
          <w:szCs w:val="18"/>
        </w:rPr>
      </w:pPr>
      <w:r w:rsidRPr="00EF5C91">
        <w:rPr>
          <w:rFonts w:ascii="Arial Narrow" w:hAnsi="Arial Narrow"/>
          <w:iCs/>
          <w:sz w:val="18"/>
          <w:szCs w:val="18"/>
          <w:vertAlign w:val="superscript"/>
        </w:rPr>
        <w:t>2</w:t>
      </w:r>
      <w:r w:rsidRPr="00EF5C91">
        <w:rPr>
          <w:rFonts w:ascii="Arial Narrow" w:hAnsi="Arial Narrow"/>
          <w:iCs/>
          <w:sz w:val="18"/>
          <w:szCs w:val="18"/>
        </w:rPr>
        <w:t xml:space="preserve"> $55,000 to &lt; $75,000 </w:t>
      </w:r>
    </w:p>
    <w:p w14:paraId="6B79E966" w14:textId="77777777" w:rsidR="009007EF" w:rsidRPr="009007EF" w:rsidRDefault="009007EF" w:rsidP="009007EF">
      <w:pPr>
        <w:rPr>
          <w:rFonts w:ascii="Arial Narrow" w:hAnsi="Arial Narrow"/>
          <w:iCs/>
          <w:sz w:val="18"/>
          <w:szCs w:val="18"/>
        </w:rPr>
      </w:pPr>
      <w:r w:rsidRPr="00780813">
        <w:rPr>
          <w:rFonts w:ascii="Arial Narrow" w:hAnsi="Arial Narrow"/>
          <w:iCs/>
          <w:sz w:val="18"/>
          <w:szCs w:val="18"/>
          <w:vertAlign w:val="superscript"/>
        </w:rPr>
        <w:t>3</w:t>
      </w:r>
      <w:r>
        <w:rPr>
          <w:rFonts w:ascii="Arial Narrow" w:hAnsi="Arial Narrow"/>
          <w:iCs/>
          <w:sz w:val="18"/>
          <w:szCs w:val="18"/>
        </w:rPr>
        <w:t xml:space="preserve"> </w:t>
      </w:r>
      <w:r w:rsidRPr="009007EF">
        <w:rPr>
          <w:rFonts w:ascii="Arial Narrow" w:hAnsi="Arial Narrow"/>
          <w:iCs/>
          <w:sz w:val="18"/>
          <w:szCs w:val="18"/>
        </w:rPr>
        <w:t>$25,000 to &lt; $35,000</w:t>
      </w:r>
    </w:p>
    <w:p w14:paraId="0F027950" w14:textId="1948CF6B" w:rsidR="009007EF" w:rsidRPr="00EF5C91" w:rsidRDefault="009007EF" w:rsidP="009007EF">
      <w:pPr>
        <w:rPr>
          <w:rFonts w:ascii="Arial Narrow" w:hAnsi="Arial Narrow"/>
          <w:iCs/>
          <w:sz w:val="18"/>
          <w:szCs w:val="18"/>
        </w:rPr>
      </w:pPr>
      <w:r w:rsidRPr="00780813">
        <w:rPr>
          <w:rFonts w:ascii="Arial Narrow" w:hAnsi="Arial Narrow"/>
          <w:iCs/>
          <w:sz w:val="18"/>
          <w:szCs w:val="18"/>
          <w:vertAlign w:val="superscript"/>
        </w:rPr>
        <w:t>4</w:t>
      </w:r>
      <w:r>
        <w:rPr>
          <w:rFonts w:ascii="Arial Narrow" w:hAnsi="Arial Narrow"/>
          <w:iCs/>
          <w:sz w:val="18"/>
          <w:szCs w:val="18"/>
        </w:rPr>
        <w:t xml:space="preserve"> </w:t>
      </w:r>
      <w:r w:rsidR="003B348C" w:rsidRPr="00780813">
        <w:rPr>
          <w:rFonts w:ascii="Arial Narrow" w:hAnsi="Arial Narrow"/>
          <w:iCs/>
          <w:sz w:val="18"/>
          <w:szCs w:val="18"/>
        </w:rPr>
        <w:t>$75,000 to &lt; $95,000</w:t>
      </w:r>
    </w:p>
    <w:p w14:paraId="26AF0E90" w14:textId="77777777" w:rsidR="003B348C" w:rsidRPr="003B348C" w:rsidRDefault="009007EF" w:rsidP="003B348C">
      <w:pPr>
        <w:rPr>
          <w:rFonts w:ascii="Arial Narrow" w:hAnsi="Arial Narrow"/>
          <w:iCs/>
          <w:sz w:val="18"/>
          <w:szCs w:val="18"/>
        </w:rPr>
      </w:pPr>
      <w:r w:rsidRPr="00780813">
        <w:rPr>
          <w:rFonts w:ascii="Arial Narrow" w:hAnsi="Arial Narrow"/>
          <w:iCs/>
          <w:sz w:val="18"/>
          <w:szCs w:val="18"/>
          <w:vertAlign w:val="superscript"/>
        </w:rPr>
        <w:t>5</w:t>
      </w:r>
      <w:r>
        <w:rPr>
          <w:rFonts w:ascii="Arial Narrow" w:hAnsi="Arial Narrow"/>
          <w:iCs/>
          <w:sz w:val="18"/>
          <w:szCs w:val="18"/>
        </w:rPr>
        <w:t xml:space="preserve"> </w:t>
      </w:r>
      <w:r w:rsidR="003B348C" w:rsidRPr="003B348C">
        <w:rPr>
          <w:rFonts w:ascii="Arial Narrow" w:hAnsi="Arial Narrow"/>
          <w:iCs/>
          <w:sz w:val="18"/>
          <w:szCs w:val="18"/>
        </w:rPr>
        <w:t xml:space="preserve">$95,000 to &lt; $115,000 </w:t>
      </w:r>
    </w:p>
    <w:p w14:paraId="1F2A39B4" w14:textId="6FEFF717" w:rsidR="00E67E6B" w:rsidRPr="006710E4" w:rsidRDefault="00E67E6B" w:rsidP="007D1D8A"/>
    <w:p w14:paraId="6B7EA56A" w14:textId="69CA0EF1" w:rsidR="006C7530" w:rsidRPr="003B348C" w:rsidRDefault="00271713" w:rsidP="003B348C">
      <w:pPr>
        <w:pStyle w:val="ListParagraph"/>
        <w:widowControl/>
        <w:numPr>
          <w:ilvl w:val="1"/>
          <w:numId w:val="2"/>
        </w:numPr>
        <w:rPr>
          <w:iCs/>
        </w:rPr>
      </w:pPr>
      <w:bookmarkStart w:id="45" w:name="_Ref95731993"/>
      <w:r w:rsidRPr="00AC4B28">
        <w:rPr>
          <w:iCs/>
        </w:rPr>
        <w:t>ESC noted</w:t>
      </w:r>
      <w:r w:rsidR="006C7530" w:rsidRPr="00AC4B28">
        <w:rPr>
          <w:iCs/>
        </w:rPr>
        <w:t xml:space="preserve"> a</w:t>
      </w:r>
      <w:r w:rsidRPr="00AC4B28">
        <w:rPr>
          <w:iCs/>
        </w:rPr>
        <w:t xml:space="preserve"> multivariate sensitivity analys</w:t>
      </w:r>
      <w:r w:rsidR="006C7530" w:rsidRPr="00AC4B28">
        <w:rPr>
          <w:iCs/>
        </w:rPr>
        <w:t>i</w:t>
      </w:r>
      <w:r w:rsidRPr="00AC4B28">
        <w:rPr>
          <w:iCs/>
        </w:rPr>
        <w:t xml:space="preserve">s in which </w:t>
      </w:r>
      <w:r w:rsidR="00B4665F" w:rsidRPr="00AC4B28">
        <w:rPr>
          <w:iCs/>
        </w:rPr>
        <w:t xml:space="preserve">terminal care costs were </w:t>
      </w:r>
      <w:r w:rsidR="00AA0CE5" w:rsidRPr="00AC4B28">
        <w:rPr>
          <w:iCs/>
        </w:rPr>
        <w:t>remo</w:t>
      </w:r>
      <w:r w:rsidR="00B4665F" w:rsidRPr="00AC4B28">
        <w:rPr>
          <w:iCs/>
        </w:rPr>
        <w:t xml:space="preserve">ved and </w:t>
      </w:r>
      <w:r w:rsidR="002936CD" w:rsidRPr="00AC4B28">
        <w:rPr>
          <w:iCs/>
        </w:rPr>
        <w:t xml:space="preserve">the </w:t>
      </w:r>
      <w:r w:rsidR="00B4665F" w:rsidRPr="00AC4B28">
        <w:rPr>
          <w:iCs/>
        </w:rPr>
        <w:t xml:space="preserve">time horizon </w:t>
      </w:r>
      <w:r w:rsidR="006C7530" w:rsidRPr="00AC4B28">
        <w:rPr>
          <w:iCs/>
        </w:rPr>
        <w:t xml:space="preserve">was </w:t>
      </w:r>
      <w:r w:rsidR="00B4665F" w:rsidRPr="00AC4B28">
        <w:rPr>
          <w:iCs/>
        </w:rPr>
        <w:t>reduced to 5 years resulted in</w:t>
      </w:r>
      <w:r w:rsidR="002936CD" w:rsidRPr="00AC4B28">
        <w:rPr>
          <w:iCs/>
        </w:rPr>
        <w:t xml:space="preserve"> an</w:t>
      </w:r>
      <w:r w:rsidR="00B4665F" w:rsidRPr="00AC4B28">
        <w:rPr>
          <w:iCs/>
        </w:rPr>
        <w:t xml:space="preserve"> ICER of </w:t>
      </w:r>
      <w:r w:rsidR="003B348C" w:rsidRPr="003B348C">
        <w:rPr>
          <w:iCs/>
        </w:rPr>
        <w:t>$95,000 to &lt; $115,000</w:t>
      </w:r>
      <w:r w:rsidR="00703F48" w:rsidRPr="003B348C">
        <w:rPr>
          <w:iCs/>
        </w:rPr>
        <w:t>/QALY</w:t>
      </w:r>
      <w:r w:rsidR="006C7530" w:rsidRPr="003B348C">
        <w:rPr>
          <w:iCs/>
        </w:rPr>
        <w:t xml:space="preserve"> (6</w:t>
      </w:r>
      <w:r w:rsidR="00AA0CE5" w:rsidRPr="003B348C">
        <w:rPr>
          <w:iCs/>
        </w:rPr>
        <w:t>1</w:t>
      </w:r>
      <w:r w:rsidR="006C7530" w:rsidRPr="003B348C">
        <w:rPr>
          <w:iCs/>
        </w:rPr>
        <w:t>% increase)</w:t>
      </w:r>
      <w:r w:rsidR="00703F48" w:rsidRPr="003B348C">
        <w:rPr>
          <w:iCs/>
        </w:rPr>
        <w:t xml:space="preserve">. </w:t>
      </w:r>
      <w:r w:rsidR="006C7530" w:rsidRPr="003B348C">
        <w:rPr>
          <w:iCs/>
        </w:rPr>
        <w:t xml:space="preserve">ESC also noted another analysis in which </w:t>
      </w:r>
      <w:r w:rsidR="00AA0CE5" w:rsidRPr="003B348C">
        <w:rPr>
          <w:iCs/>
        </w:rPr>
        <w:t>terminal care costs were remo</w:t>
      </w:r>
      <w:r w:rsidR="009C6A69" w:rsidRPr="003B348C">
        <w:rPr>
          <w:iCs/>
        </w:rPr>
        <w:t>v</w:t>
      </w:r>
      <w:r w:rsidR="006C7530" w:rsidRPr="003B348C">
        <w:rPr>
          <w:iCs/>
        </w:rPr>
        <w:t xml:space="preserve">ed and with exponential extrapolation of both arms for OS (increased convergence) resulted in an ICER of </w:t>
      </w:r>
      <w:r w:rsidR="003B348C" w:rsidRPr="003B348C">
        <w:rPr>
          <w:iCs/>
        </w:rPr>
        <w:t>$75,000 to &lt; $95,000</w:t>
      </w:r>
      <w:r w:rsidR="006C7530" w:rsidRPr="003B348C">
        <w:rPr>
          <w:iCs/>
        </w:rPr>
        <w:t>/QALY (</w:t>
      </w:r>
      <w:r w:rsidR="00AA0CE5" w:rsidRPr="003B348C">
        <w:rPr>
          <w:iCs/>
        </w:rPr>
        <w:t>45</w:t>
      </w:r>
      <w:r w:rsidR="006C7530" w:rsidRPr="003B348C">
        <w:rPr>
          <w:iCs/>
        </w:rPr>
        <w:t>% increase)</w:t>
      </w:r>
      <w:r w:rsidR="009C6A69" w:rsidRPr="003B348C">
        <w:rPr>
          <w:iCs/>
        </w:rPr>
        <w:t xml:space="preserve"> but noted that this scenario still led to a 10.6% difference in the proportion of patients alive in each arm at 7.5 years</w:t>
      </w:r>
      <w:r w:rsidR="006C7530" w:rsidRPr="003B348C">
        <w:rPr>
          <w:iCs/>
        </w:rPr>
        <w:t>.</w:t>
      </w:r>
      <w:r w:rsidR="006C7530" w:rsidRPr="003B348C" w:rsidDel="00271713">
        <w:rPr>
          <w:iCs/>
        </w:rPr>
        <w:t xml:space="preserve"> </w:t>
      </w:r>
      <w:r w:rsidR="00B34ECD" w:rsidRPr="003B348C">
        <w:rPr>
          <w:iCs/>
        </w:rPr>
        <w:t xml:space="preserve">Complete convergence of both arms for OS </w:t>
      </w:r>
      <w:r w:rsidR="00A57042" w:rsidRPr="003B348C">
        <w:rPr>
          <w:iCs/>
        </w:rPr>
        <w:t>over 7.5 years</w:t>
      </w:r>
      <w:r w:rsidR="00B34ECD" w:rsidRPr="003B348C">
        <w:rPr>
          <w:iCs/>
        </w:rPr>
        <w:t xml:space="preserve"> could not be tested using the current structure of the model.</w:t>
      </w:r>
      <w:bookmarkEnd w:id="45"/>
      <w:r w:rsidR="00B34ECD" w:rsidRPr="003B348C">
        <w:rPr>
          <w:iCs/>
        </w:rPr>
        <w:t xml:space="preserve"> </w:t>
      </w:r>
    </w:p>
    <w:p w14:paraId="72593417" w14:textId="05760B7A" w:rsidR="00271713" w:rsidRPr="00AC4B28" w:rsidRDefault="006C7530" w:rsidP="00E24AE9">
      <w:pPr>
        <w:pStyle w:val="ListParagraph"/>
        <w:widowControl/>
        <w:numPr>
          <w:ilvl w:val="1"/>
          <w:numId w:val="2"/>
        </w:numPr>
        <w:rPr>
          <w:iCs/>
        </w:rPr>
      </w:pPr>
      <w:r w:rsidRPr="00AC4B28">
        <w:rPr>
          <w:iCs/>
        </w:rPr>
        <w:t xml:space="preserve">ESC noted that </w:t>
      </w:r>
      <w:r w:rsidR="00AA0CE5" w:rsidRPr="00AC4B28">
        <w:rPr>
          <w:iCs/>
        </w:rPr>
        <w:t xml:space="preserve">inclusion of </w:t>
      </w:r>
      <w:r w:rsidRPr="00AC4B28">
        <w:rPr>
          <w:iCs/>
        </w:rPr>
        <w:t xml:space="preserve">terminal care costs had an increasing impact with shorter time horizons, and a </w:t>
      </w:r>
      <w:r w:rsidR="001975F3" w:rsidRPr="00AC4B28">
        <w:rPr>
          <w:iCs/>
        </w:rPr>
        <w:t>decreas</w:t>
      </w:r>
      <w:r w:rsidRPr="00AC4B28">
        <w:rPr>
          <w:iCs/>
        </w:rPr>
        <w:t xml:space="preserve">ing impact </w:t>
      </w:r>
      <w:r w:rsidR="001975F3" w:rsidRPr="00AC4B28">
        <w:rPr>
          <w:iCs/>
        </w:rPr>
        <w:t>when the difference in surviving proportions at the end of the model time horizon was reduced.</w:t>
      </w:r>
    </w:p>
    <w:p w14:paraId="0CE535D8" w14:textId="4C032E15" w:rsidR="00FA606F" w:rsidRPr="003B348C" w:rsidRDefault="00AC4B28" w:rsidP="00211D7F">
      <w:pPr>
        <w:pStyle w:val="ListParagraph"/>
        <w:widowControl/>
        <w:numPr>
          <w:ilvl w:val="1"/>
          <w:numId w:val="2"/>
        </w:numPr>
        <w:rPr>
          <w:iCs/>
        </w:rPr>
      </w:pPr>
      <w:r w:rsidRPr="003B348C">
        <w:rPr>
          <w:iCs/>
        </w:rPr>
        <w:t xml:space="preserve">To address the </w:t>
      </w:r>
      <w:r w:rsidRPr="00DC03F1">
        <w:rPr>
          <w:lang w:bidi="en-US"/>
        </w:rPr>
        <w:t>uncertainty associated with long-term survival estimates</w:t>
      </w:r>
      <w:r>
        <w:rPr>
          <w:lang w:bidi="en-US"/>
        </w:rPr>
        <w:t xml:space="preserve"> </w:t>
      </w:r>
      <w:r w:rsidRPr="003B348C">
        <w:rPr>
          <w:iCs/>
        </w:rPr>
        <w:t>t</w:t>
      </w:r>
      <w:r w:rsidR="00FA606F" w:rsidRPr="003B348C">
        <w:rPr>
          <w:iCs/>
        </w:rPr>
        <w:t xml:space="preserve">he pre-PBAC response </w:t>
      </w:r>
      <w:r w:rsidR="003E59E6" w:rsidRPr="003B348C">
        <w:rPr>
          <w:iCs/>
        </w:rPr>
        <w:t xml:space="preserve">provided a revised model including </w:t>
      </w:r>
      <w:r w:rsidR="00FA606F" w:rsidRPr="003B348C">
        <w:rPr>
          <w:iCs/>
        </w:rPr>
        <w:t>survival curve convergence (between 5 and 7.5 years) and removal of terminal care costs</w:t>
      </w:r>
      <w:r w:rsidRPr="003B348C">
        <w:rPr>
          <w:iCs/>
        </w:rPr>
        <w:t>.</w:t>
      </w:r>
      <w:r w:rsidR="00FA606F" w:rsidRPr="003B348C">
        <w:rPr>
          <w:iCs/>
        </w:rPr>
        <w:t xml:space="preserve"> </w:t>
      </w:r>
      <w:r w:rsidR="00EF1CD7" w:rsidRPr="003B348C">
        <w:rPr>
          <w:iCs/>
        </w:rPr>
        <w:t>As convergence would require structural changes to the model, t</w:t>
      </w:r>
      <w:r w:rsidR="00FA606F" w:rsidRPr="003B348C">
        <w:rPr>
          <w:iCs/>
        </w:rPr>
        <w:t xml:space="preserve">he pre-PBAC response also conducted an </w:t>
      </w:r>
      <w:r w:rsidR="003E59E6" w:rsidRPr="003B348C">
        <w:rPr>
          <w:iCs/>
        </w:rPr>
        <w:t xml:space="preserve">alternative </w:t>
      </w:r>
      <w:r w:rsidR="00FA606F" w:rsidRPr="003B348C">
        <w:rPr>
          <w:iCs/>
        </w:rPr>
        <w:t xml:space="preserve">analysis with a </w:t>
      </w:r>
      <w:proofErr w:type="gramStart"/>
      <w:r w:rsidR="00FA606F" w:rsidRPr="003B348C">
        <w:rPr>
          <w:iCs/>
        </w:rPr>
        <w:t>6.25 year</w:t>
      </w:r>
      <w:proofErr w:type="gramEnd"/>
      <w:r w:rsidR="00FA606F" w:rsidRPr="003B348C">
        <w:rPr>
          <w:iCs/>
        </w:rPr>
        <w:t xml:space="preserve"> time horizon</w:t>
      </w:r>
      <w:r w:rsidR="003E59E6" w:rsidRPr="003B348C">
        <w:rPr>
          <w:iCs/>
        </w:rPr>
        <w:t xml:space="preserve"> (no convergence) and removal of terminal care costs. Maintaining an ICER of $</w:t>
      </w:r>
      <w:r w:rsidR="003B348C" w:rsidRPr="003B348C">
        <w:rPr>
          <w:iCs/>
        </w:rPr>
        <w:t>$55,000 to &lt; $75,000</w:t>
      </w:r>
      <w:r w:rsidR="003E59E6" w:rsidRPr="003B348C">
        <w:rPr>
          <w:iCs/>
        </w:rPr>
        <w:t>/QALY, the two approaches resulted in similar AEMPs ($</w:t>
      </w:r>
      <w:proofErr w:type="gramStart"/>
      <w:r w:rsidR="00217797" w:rsidRPr="004975AD">
        <w:rPr>
          <w:iCs/>
          <w:color w:val="000000"/>
          <w:w w:val="15"/>
          <w:shd w:val="solid" w:color="000000" w:fill="000000"/>
          <w:fitText w:val="-20" w:id="-1502445306"/>
          <w14:textFill>
            <w14:solidFill>
              <w14:srgbClr w14:val="000000">
                <w14:alpha w14:val="100000"/>
              </w14:srgbClr>
            </w14:solidFill>
          </w14:textFill>
        </w:rPr>
        <w:t xml:space="preserve">|  </w:t>
      </w:r>
      <w:r w:rsidR="00217797" w:rsidRPr="004975AD">
        <w:rPr>
          <w:iCs/>
          <w:color w:val="000000"/>
          <w:spacing w:val="-69"/>
          <w:w w:val="15"/>
          <w:shd w:val="solid" w:color="000000" w:fill="000000"/>
          <w:fitText w:val="-20" w:id="-1502445306"/>
          <w14:textFill>
            <w14:solidFill>
              <w14:srgbClr w14:val="000000">
                <w14:alpha w14:val="100000"/>
              </w14:srgbClr>
            </w14:solidFill>
          </w14:textFill>
        </w:rPr>
        <w:t>|</w:t>
      </w:r>
      <w:proofErr w:type="gramEnd"/>
      <w:r w:rsidR="003E59E6" w:rsidRPr="003B348C">
        <w:rPr>
          <w:iCs/>
        </w:rPr>
        <w:t xml:space="preserve"> per 500</w:t>
      </w:r>
      <w:r w:rsidR="003B348C">
        <w:rPr>
          <w:iCs/>
        </w:rPr>
        <w:t> </w:t>
      </w:r>
      <w:r w:rsidR="003E59E6" w:rsidRPr="003B348C">
        <w:rPr>
          <w:iCs/>
        </w:rPr>
        <w:t xml:space="preserve">mg vial for the first approach, and </w:t>
      </w:r>
      <w:r w:rsidR="00FA606F" w:rsidRPr="003B348C">
        <w:rPr>
          <w:iCs/>
        </w:rPr>
        <w:t>$</w:t>
      </w:r>
      <w:r w:rsidR="00217797" w:rsidRPr="004975AD">
        <w:rPr>
          <w:iCs/>
          <w:color w:val="000000"/>
          <w:w w:val="15"/>
          <w:shd w:val="solid" w:color="000000" w:fill="000000"/>
          <w:fitText w:val="-20" w:id="-1502445305"/>
          <w14:textFill>
            <w14:solidFill>
              <w14:srgbClr w14:val="000000">
                <w14:alpha w14:val="100000"/>
              </w14:srgbClr>
            </w14:solidFill>
          </w14:textFill>
        </w:rPr>
        <w:t xml:space="preserve">|  </w:t>
      </w:r>
      <w:r w:rsidR="00217797" w:rsidRPr="004975AD">
        <w:rPr>
          <w:iCs/>
          <w:color w:val="000000"/>
          <w:spacing w:val="-69"/>
          <w:w w:val="15"/>
          <w:shd w:val="solid" w:color="000000" w:fill="000000"/>
          <w:fitText w:val="-20" w:id="-1502445305"/>
          <w14:textFill>
            <w14:solidFill>
              <w14:srgbClr w14:val="000000">
                <w14:alpha w14:val="100000"/>
              </w14:srgbClr>
            </w14:solidFill>
          </w14:textFill>
        </w:rPr>
        <w:t>|</w:t>
      </w:r>
      <w:r w:rsidR="00FA606F" w:rsidRPr="003B348C">
        <w:rPr>
          <w:iCs/>
        </w:rPr>
        <w:t xml:space="preserve"> </w:t>
      </w:r>
      <w:r w:rsidR="003E59E6" w:rsidRPr="003B348C">
        <w:rPr>
          <w:iCs/>
        </w:rPr>
        <w:t>for the alternative approach)</w:t>
      </w:r>
      <w:r w:rsidR="00FA606F" w:rsidRPr="003B348C">
        <w:rPr>
          <w:iCs/>
        </w:rPr>
        <w:t xml:space="preserve">. </w:t>
      </w:r>
      <w:r w:rsidRPr="003B348C">
        <w:rPr>
          <w:iCs/>
        </w:rPr>
        <w:t>The sponsor</w:t>
      </w:r>
      <w:r w:rsidR="00FA606F" w:rsidRPr="003B348C">
        <w:rPr>
          <w:iCs/>
        </w:rPr>
        <w:t xml:space="preserve"> propose</w:t>
      </w:r>
      <w:r w:rsidRPr="003B348C">
        <w:rPr>
          <w:iCs/>
        </w:rPr>
        <w:t>d</w:t>
      </w:r>
      <w:r w:rsidR="00FA606F" w:rsidRPr="003B348C">
        <w:rPr>
          <w:iCs/>
        </w:rPr>
        <w:t xml:space="preserve"> a reduced effective AEMP of $</w:t>
      </w:r>
      <w:proofErr w:type="gramStart"/>
      <w:r w:rsidR="00217797" w:rsidRPr="004975AD">
        <w:rPr>
          <w:iCs/>
          <w:color w:val="000000"/>
          <w:w w:val="15"/>
          <w:shd w:val="solid" w:color="000000" w:fill="000000"/>
          <w:fitText w:val="-20" w:id="-1502445304"/>
          <w14:textFill>
            <w14:solidFill>
              <w14:srgbClr w14:val="000000">
                <w14:alpha w14:val="100000"/>
              </w14:srgbClr>
            </w14:solidFill>
          </w14:textFill>
        </w:rPr>
        <w:t xml:space="preserve">|  </w:t>
      </w:r>
      <w:r w:rsidR="00217797" w:rsidRPr="004975AD">
        <w:rPr>
          <w:iCs/>
          <w:color w:val="000000"/>
          <w:spacing w:val="-69"/>
          <w:w w:val="15"/>
          <w:shd w:val="solid" w:color="000000" w:fill="000000"/>
          <w:fitText w:val="-20" w:id="-1502445304"/>
          <w14:textFill>
            <w14:solidFill>
              <w14:srgbClr w14:val="000000">
                <w14:alpha w14:val="100000"/>
              </w14:srgbClr>
            </w14:solidFill>
          </w14:textFill>
        </w:rPr>
        <w:t>|</w:t>
      </w:r>
      <w:proofErr w:type="gramEnd"/>
      <w:r w:rsidR="00FA606F" w:rsidRPr="003B348C">
        <w:rPr>
          <w:iCs/>
        </w:rPr>
        <w:t xml:space="preserve"> per </w:t>
      </w:r>
      <w:r w:rsidR="003B348C" w:rsidRPr="003B348C">
        <w:rPr>
          <w:iCs/>
        </w:rPr>
        <w:t>500</w:t>
      </w:r>
      <w:r w:rsidR="003B348C">
        <w:rPr>
          <w:iCs/>
        </w:rPr>
        <w:t> </w:t>
      </w:r>
      <w:r w:rsidR="00FA606F" w:rsidRPr="003B348C">
        <w:rPr>
          <w:iCs/>
        </w:rPr>
        <w:t>mg vial</w:t>
      </w:r>
      <w:r w:rsidRPr="003B348C">
        <w:rPr>
          <w:iCs/>
        </w:rPr>
        <w:t>, based on a 6.25 year time horizon and no terminal care costs</w:t>
      </w:r>
      <w:r w:rsidR="00FA606F" w:rsidRPr="003B348C">
        <w:rPr>
          <w:iCs/>
        </w:rPr>
        <w:t>.</w:t>
      </w:r>
      <w:r w:rsidR="003E59E6" w:rsidRPr="003B348C">
        <w:rPr>
          <w:iCs/>
        </w:rPr>
        <w:t xml:space="preserve"> </w:t>
      </w:r>
    </w:p>
    <w:p w14:paraId="1E2F1DCC" w14:textId="014055C9" w:rsidR="003F6980" w:rsidRPr="006710E4" w:rsidRDefault="00EF274A" w:rsidP="00E24AE9">
      <w:pPr>
        <w:pStyle w:val="ListParagraph"/>
        <w:widowControl/>
        <w:numPr>
          <w:ilvl w:val="1"/>
          <w:numId w:val="2"/>
        </w:numPr>
      </w:pPr>
      <w:r w:rsidRPr="006710E4">
        <w:t xml:space="preserve">Multivariate sensitivity analyses were conducted by the submission with respect to the data source used to </w:t>
      </w:r>
      <w:r w:rsidR="00B46DCF" w:rsidRPr="006710E4">
        <w:t>inform</w:t>
      </w:r>
      <w:r w:rsidRPr="006710E4">
        <w:t xml:space="preserve"> the SoC arm of the model, using the studies </w:t>
      </w:r>
      <w:r w:rsidR="003E782B" w:rsidRPr="006710E4">
        <w:t>included in the submission’s clinical evaluation</w:t>
      </w:r>
      <w:r w:rsidRPr="006710E4">
        <w:t xml:space="preserve"> (IXAMPLE2, KEYNOTE-775, and the UK RWE). The choice of SoC </w:t>
      </w:r>
      <w:r w:rsidR="0041315A" w:rsidRPr="006710E4">
        <w:t xml:space="preserve">arm </w:t>
      </w:r>
      <w:r w:rsidRPr="006710E4">
        <w:t xml:space="preserve">used to </w:t>
      </w:r>
      <w:r w:rsidR="00B46DCF" w:rsidRPr="006710E4">
        <w:t>inform</w:t>
      </w:r>
      <w:r w:rsidRPr="006710E4">
        <w:t xml:space="preserve"> the SoC arm had a low</w:t>
      </w:r>
      <w:r w:rsidR="0025434C" w:rsidRPr="006710E4">
        <w:t xml:space="preserve"> to </w:t>
      </w:r>
      <w:r w:rsidRPr="006710E4">
        <w:t xml:space="preserve">moderate impact on the ICER. Depending on the SoC </w:t>
      </w:r>
      <w:r w:rsidR="0041315A" w:rsidRPr="006710E4">
        <w:t xml:space="preserve">arm </w:t>
      </w:r>
      <w:r w:rsidRPr="006710E4">
        <w:t xml:space="preserve">selected, the resulting ICER </w:t>
      </w:r>
      <w:r w:rsidR="00AD6B76" w:rsidRPr="006710E4">
        <w:t xml:space="preserve">varied </w:t>
      </w:r>
      <w:r w:rsidRPr="006710E4">
        <w:t xml:space="preserve">by up to 10.5% (see </w:t>
      </w:r>
      <w:r w:rsidR="003F6980" w:rsidRPr="006710E4">
        <w:fldChar w:fldCharType="begin"/>
      </w:r>
      <w:r w:rsidR="003F6980" w:rsidRPr="006710E4">
        <w:instrText xml:space="preserve"> REF _Ref92052951 \h  \* MERGEFORMAT </w:instrText>
      </w:r>
      <w:r w:rsidR="003F6980" w:rsidRPr="006710E4">
        <w:fldChar w:fldCharType="separate"/>
      </w:r>
      <w:r w:rsidR="004975AD" w:rsidRPr="004975AD">
        <w:t>Table 12</w:t>
      </w:r>
      <w:r w:rsidR="003F6980" w:rsidRPr="006710E4">
        <w:fldChar w:fldCharType="end"/>
      </w:r>
      <w:r w:rsidRPr="006710E4">
        <w:t>).</w:t>
      </w:r>
    </w:p>
    <w:p w14:paraId="683019EA" w14:textId="5DF85E9A" w:rsidR="003F6980" w:rsidRPr="006710E4" w:rsidRDefault="003F6980" w:rsidP="003F6980">
      <w:pPr>
        <w:keepNext/>
        <w:widowControl/>
        <w:rPr>
          <w:rFonts w:ascii="Arial Narrow" w:hAnsi="Arial Narrow"/>
          <w:sz w:val="20"/>
          <w:szCs w:val="16"/>
        </w:rPr>
      </w:pPr>
      <w:bookmarkStart w:id="46" w:name="_Ref92052951"/>
      <w:r w:rsidRPr="006710E4">
        <w:rPr>
          <w:rStyle w:val="CommentReference"/>
        </w:rPr>
        <w:t xml:space="preserve">Table </w:t>
      </w:r>
      <w:r w:rsidRPr="006710E4">
        <w:rPr>
          <w:rStyle w:val="CommentReference"/>
        </w:rPr>
        <w:fldChar w:fldCharType="begin"/>
      </w:r>
      <w:r w:rsidRPr="006710E4">
        <w:rPr>
          <w:rStyle w:val="CommentReference"/>
        </w:rPr>
        <w:instrText xml:space="preserve"> SEQ Table \* ARABIC </w:instrText>
      </w:r>
      <w:r w:rsidRPr="006710E4">
        <w:rPr>
          <w:rStyle w:val="CommentReference"/>
        </w:rPr>
        <w:fldChar w:fldCharType="separate"/>
      </w:r>
      <w:r w:rsidR="004975AD">
        <w:rPr>
          <w:rStyle w:val="CommentReference"/>
          <w:noProof/>
        </w:rPr>
        <w:t>12</w:t>
      </w:r>
      <w:r w:rsidRPr="006710E4">
        <w:rPr>
          <w:rStyle w:val="CommentReference"/>
        </w:rPr>
        <w:fldChar w:fldCharType="end"/>
      </w:r>
      <w:bookmarkEnd w:id="46"/>
      <w:r w:rsidRPr="006710E4">
        <w:rPr>
          <w:rStyle w:val="CommentReference"/>
        </w:rPr>
        <w:t>: Results of the multivariate sensitivity analyses (applying PFS, OS, chemotherapy regimens and treatment durations) of alternative SoC studies</w:t>
      </w:r>
    </w:p>
    <w:tbl>
      <w:tblPr>
        <w:tblStyle w:val="TableGrid"/>
        <w:tblW w:w="0" w:type="auto"/>
        <w:tblLook w:val="04A0" w:firstRow="1" w:lastRow="0" w:firstColumn="1" w:lastColumn="0" w:noHBand="0" w:noVBand="1"/>
      </w:tblPr>
      <w:tblGrid>
        <w:gridCol w:w="1696"/>
        <w:gridCol w:w="1134"/>
        <w:gridCol w:w="1276"/>
        <w:gridCol w:w="1418"/>
        <w:gridCol w:w="1275"/>
        <w:gridCol w:w="1418"/>
        <w:gridCol w:w="800"/>
      </w:tblGrid>
      <w:tr w:rsidR="00EF274A" w:rsidRPr="006710E4" w14:paraId="73AC4550" w14:textId="77777777" w:rsidTr="00217797">
        <w:tc>
          <w:tcPr>
            <w:tcW w:w="1696" w:type="dxa"/>
            <w:vAlign w:val="center"/>
          </w:tcPr>
          <w:p w14:paraId="4E58E859" w14:textId="77777777" w:rsidR="00EF274A" w:rsidRPr="006710E4" w:rsidRDefault="00EF274A" w:rsidP="003F6980">
            <w:pPr>
              <w:pStyle w:val="Tabletext"/>
              <w:keepNext/>
              <w:rPr>
                <w:rStyle w:val="CommentReference"/>
              </w:rPr>
            </w:pPr>
            <w:r w:rsidRPr="006710E4">
              <w:rPr>
                <w:rStyle w:val="CommentReference"/>
              </w:rPr>
              <w:t>Study</w:t>
            </w:r>
          </w:p>
        </w:tc>
        <w:tc>
          <w:tcPr>
            <w:tcW w:w="1134" w:type="dxa"/>
            <w:tcBorders>
              <w:bottom w:val="single" w:sz="4" w:space="0" w:color="auto"/>
            </w:tcBorders>
            <w:vAlign w:val="center"/>
          </w:tcPr>
          <w:p w14:paraId="43D6788C" w14:textId="178D1036" w:rsidR="00EF274A" w:rsidRPr="006710E4" w:rsidRDefault="00EF274A" w:rsidP="003F6980">
            <w:pPr>
              <w:pStyle w:val="Tabletext"/>
              <w:keepNext/>
              <w:jc w:val="center"/>
              <w:rPr>
                <w:rStyle w:val="CommentReference"/>
              </w:rPr>
            </w:pPr>
            <w:r w:rsidRPr="006710E4">
              <w:rPr>
                <w:rStyle w:val="CommentReference"/>
              </w:rPr>
              <w:t>Total Costs</w:t>
            </w:r>
            <w:r w:rsidR="003B348C">
              <w:rPr>
                <w:rStyle w:val="CommentReference"/>
              </w:rPr>
              <w:t xml:space="preserve"> ($)</w:t>
            </w:r>
          </w:p>
        </w:tc>
        <w:tc>
          <w:tcPr>
            <w:tcW w:w="1276" w:type="dxa"/>
            <w:vAlign w:val="center"/>
          </w:tcPr>
          <w:p w14:paraId="15DB6103" w14:textId="77777777" w:rsidR="00EF274A" w:rsidRPr="006710E4" w:rsidRDefault="00EF274A" w:rsidP="003F6980">
            <w:pPr>
              <w:pStyle w:val="Tabletext"/>
              <w:keepNext/>
              <w:jc w:val="center"/>
              <w:rPr>
                <w:rStyle w:val="CommentReference"/>
              </w:rPr>
            </w:pPr>
            <w:r w:rsidRPr="006710E4">
              <w:rPr>
                <w:rStyle w:val="CommentReference"/>
              </w:rPr>
              <w:t>Total QALYs</w:t>
            </w:r>
          </w:p>
        </w:tc>
        <w:tc>
          <w:tcPr>
            <w:tcW w:w="1418" w:type="dxa"/>
            <w:vAlign w:val="center"/>
          </w:tcPr>
          <w:p w14:paraId="1C2574E0" w14:textId="3C317C9E" w:rsidR="00EF274A" w:rsidRPr="006710E4" w:rsidRDefault="00EF274A" w:rsidP="003F6980">
            <w:pPr>
              <w:pStyle w:val="Tabletext"/>
              <w:keepNext/>
              <w:jc w:val="center"/>
              <w:rPr>
                <w:rStyle w:val="CommentReference"/>
              </w:rPr>
            </w:pPr>
            <w:proofErr w:type="spellStart"/>
            <w:r w:rsidRPr="006710E4">
              <w:rPr>
                <w:rStyle w:val="CommentReference"/>
              </w:rPr>
              <w:t>Incr</w:t>
            </w:r>
            <w:proofErr w:type="spellEnd"/>
            <w:r w:rsidRPr="006710E4">
              <w:rPr>
                <w:rStyle w:val="CommentReference"/>
              </w:rPr>
              <w:t xml:space="preserve"> cost vs </w:t>
            </w:r>
            <w:proofErr w:type="spellStart"/>
            <w:r w:rsidRPr="006710E4">
              <w:rPr>
                <w:rStyle w:val="CommentReference"/>
              </w:rPr>
              <w:t>dostarlimab</w:t>
            </w:r>
            <w:proofErr w:type="spellEnd"/>
            <w:r w:rsidR="003B348C">
              <w:rPr>
                <w:rStyle w:val="CommentReference"/>
              </w:rPr>
              <w:t xml:space="preserve"> ($)</w:t>
            </w:r>
          </w:p>
        </w:tc>
        <w:tc>
          <w:tcPr>
            <w:tcW w:w="1275" w:type="dxa"/>
            <w:vAlign w:val="center"/>
          </w:tcPr>
          <w:p w14:paraId="64018579" w14:textId="5B25AC8B" w:rsidR="00EF274A" w:rsidRPr="006710E4" w:rsidRDefault="00EF274A" w:rsidP="003F6980">
            <w:pPr>
              <w:pStyle w:val="Tabletext"/>
              <w:keepNext/>
              <w:jc w:val="center"/>
              <w:rPr>
                <w:rStyle w:val="CommentReference"/>
              </w:rPr>
            </w:pPr>
            <w:proofErr w:type="spellStart"/>
            <w:r w:rsidRPr="006710E4">
              <w:rPr>
                <w:rStyle w:val="CommentReference"/>
              </w:rPr>
              <w:t>Incr</w:t>
            </w:r>
            <w:proofErr w:type="spellEnd"/>
            <w:r w:rsidRPr="006710E4">
              <w:rPr>
                <w:rStyle w:val="CommentReference"/>
              </w:rPr>
              <w:t xml:space="preserve"> QALY vs </w:t>
            </w:r>
            <w:proofErr w:type="spellStart"/>
            <w:r w:rsidRPr="006710E4">
              <w:rPr>
                <w:rStyle w:val="CommentReference"/>
              </w:rPr>
              <w:t>dostarlimab</w:t>
            </w:r>
            <w:proofErr w:type="spellEnd"/>
            <w:r w:rsidR="003B348C">
              <w:rPr>
                <w:rStyle w:val="CommentReference"/>
              </w:rPr>
              <w:t xml:space="preserve"> </w:t>
            </w:r>
          </w:p>
        </w:tc>
        <w:tc>
          <w:tcPr>
            <w:tcW w:w="1418" w:type="dxa"/>
            <w:vAlign w:val="center"/>
          </w:tcPr>
          <w:p w14:paraId="296A5377" w14:textId="2AE7F4D9" w:rsidR="00EF274A" w:rsidRPr="006710E4" w:rsidRDefault="00EF274A" w:rsidP="003F6980">
            <w:pPr>
              <w:pStyle w:val="Tabletext"/>
              <w:keepNext/>
              <w:jc w:val="center"/>
              <w:rPr>
                <w:rStyle w:val="CommentReference"/>
              </w:rPr>
            </w:pPr>
            <w:r w:rsidRPr="006710E4">
              <w:rPr>
                <w:rStyle w:val="CommentReference"/>
              </w:rPr>
              <w:t xml:space="preserve">ICER vs </w:t>
            </w:r>
            <w:proofErr w:type="spellStart"/>
            <w:r w:rsidRPr="006710E4">
              <w:rPr>
                <w:rStyle w:val="CommentReference"/>
              </w:rPr>
              <w:t>dostarlimab</w:t>
            </w:r>
            <w:proofErr w:type="spellEnd"/>
            <w:r w:rsidR="003B348C">
              <w:rPr>
                <w:rStyle w:val="CommentReference"/>
              </w:rPr>
              <w:t xml:space="preserve"> ($)</w:t>
            </w:r>
          </w:p>
        </w:tc>
        <w:tc>
          <w:tcPr>
            <w:tcW w:w="800" w:type="dxa"/>
            <w:vAlign w:val="center"/>
          </w:tcPr>
          <w:p w14:paraId="6F10D445" w14:textId="77777777" w:rsidR="00EF274A" w:rsidRPr="006710E4" w:rsidRDefault="00EF274A" w:rsidP="003F6980">
            <w:pPr>
              <w:pStyle w:val="Tabletext"/>
              <w:keepNext/>
              <w:jc w:val="center"/>
              <w:rPr>
                <w:rStyle w:val="CommentReference"/>
              </w:rPr>
            </w:pPr>
            <w:r w:rsidRPr="006710E4">
              <w:rPr>
                <w:rStyle w:val="CommentReference"/>
              </w:rPr>
              <w:t>% change</w:t>
            </w:r>
          </w:p>
        </w:tc>
      </w:tr>
      <w:tr w:rsidR="00EF274A" w:rsidRPr="006710E4" w14:paraId="5F507A0E" w14:textId="77777777" w:rsidTr="00217797">
        <w:tc>
          <w:tcPr>
            <w:tcW w:w="1696" w:type="dxa"/>
          </w:tcPr>
          <w:p w14:paraId="32EBFDC8" w14:textId="77777777" w:rsidR="00EF274A" w:rsidRPr="006710E4" w:rsidRDefault="00EF274A" w:rsidP="003F6980">
            <w:pPr>
              <w:pStyle w:val="Tabletext"/>
              <w:keepNext/>
            </w:pPr>
            <w:r w:rsidRPr="006710E4">
              <w:t>GARNET Cohort A1 (</w:t>
            </w:r>
            <w:proofErr w:type="spellStart"/>
            <w:r w:rsidRPr="006710E4">
              <w:t>dostarlimab</w:t>
            </w:r>
            <w:proofErr w:type="spellEnd"/>
            <w:r w:rsidRPr="006710E4">
              <w:t>)</w:t>
            </w:r>
          </w:p>
        </w:tc>
        <w:tc>
          <w:tcPr>
            <w:tcW w:w="1134" w:type="dxa"/>
            <w:tcBorders>
              <w:bottom w:val="single" w:sz="4" w:space="0" w:color="auto"/>
            </w:tcBorders>
            <w:shd w:val="solid" w:color="000000" w:fill="000000"/>
            <w:vAlign w:val="center"/>
          </w:tcPr>
          <w:p w14:paraId="2273B4E7" w14:textId="146179F9" w:rsidR="00EF274A" w:rsidRPr="00217797" w:rsidRDefault="00217797" w:rsidP="003F6980">
            <w:pPr>
              <w:pStyle w:val="Tabletext"/>
              <w:keepNext/>
              <w:jc w:val="center"/>
              <w:rPr>
                <w:vertAlign w:val="superscript"/>
              </w:rPr>
            </w:pPr>
            <w:r w:rsidRPr="00217797">
              <w:rPr>
                <w:rFonts w:hint="eastAsia"/>
                <w:color w:val="000000"/>
                <w:w w:val="20"/>
                <w:fitText w:val="90" w:id="-1502445303"/>
                <w14:textFill>
                  <w14:solidFill>
                    <w14:srgbClr w14:val="000000">
                      <w14:alpha w14:val="100000"/>
                    </w14:srgbClr>
                  </w14:solidFill>
                </w14:textFill>
              </w:rPr>
              <w:t xml:space="preserve">　</w:t>
            </w:r>
            <w:r w:rsidRPr="00217797">
              <w:rPr>
                <w:color w:val="000000"/>
                <w:w w:val="20"/>
                <w:fitText w:val="90" w:id="-1502445303"/>
                <w14:textFill>
                  <w14:solidFill>
                    <w14:srgbClr w14:val="000000">
                      <w14:alpha w14:val="100000"/>
                    </w14:srgbClr>
                  </w14:solidFill>
                </w14:textFill>
              </w:rPr>
              <w:t>|</w:t>
            </w:r>
            <w:r w:rsidRPr="00217797">
              <w:rPr>
                <w:rFonts w:hint="eastAsia"/>
                <w:color w:val="000000"/>
                <w:w w:val="20"/>
                <w:fitText w:val="90" w:id="-1502445303"/>
                <w14:textFill>
                  <w14:solidFill>
                    <w14:srgbClr w14:val="000000">
                      <w14:alpha w14:val="100000"/>
                    </w14:srgbClr>
                  </w14:solidFill>
                </w14:textFill>
              </w:rPr>
              <w:t xml:space="preserve">　</w:t>
            </w:r>
          </w:p>
        </w:tc>
        <w:tc>
          <w:tcPr>
            <w:tcW w:w="1276" w:type="dxa"/>
            <w:vAlign w:val="center"/>
          </w:tcPr>
          <w:p w14:paraId="4BEFD430" w14:textId="77777777" w:rsidR="00EF274A" w:rsidRPr="006710E4" w:rsidRDefault="00EF274A" w:rsidP="003F6980">
            <w:pPr>
              <w:pStyle w:val="Tabletext"/>
              <w:keepNext/>
              <w:jc w:val="center"/>
            </w:pPr>
            <w:r w:rsidRPr="006710E4">
              <w:t>2.4657</w:t>
            </w:r>
          </w:p>
        </w:tc>
        <w:tc>
          <w:tcPr>
            <w:tcW w:w="1418" w:type="dxa"/>
            <w:tcBorders>
              <w:bottom w:val="single" w:sz="4" w:space="0" w:color="auto"/>
            </w:tcBorders>
            <w:vAlign w:val="center"/>
          </w:tcPr>
          <w:p w14:paraId="4AAC2036" w14:textId="77777777" w:rsidR="00EF274A" w:rsidRPr="006710E4" w:rsidRDefault="00EF274A" w:rsidP="003F6980">
            <w:pPr>
              <w:pStyle w:val="Tabletext"/>
              <w:keepNext/>
              <w:jc w:val="center"/>
            </w:pPr>
            <w:r w:rsidRPr="006710E4">
              <w:t>-</w:t>
            </w:r>
          </w:p>
        </w:tc>
        <w:tc>
          <w:tcPr>
            <w:tcW w:w="1275" w:type="dxa"/>
            <w:vAlign w:val="center"/>
          </w:tcPr>
          <w:p w14:paraId="485C8B3D" w14:textId="77777777" w:rsidR="00EF274A" w:rsidRPr="006710E4" w:rsidRDefault="00EF274A" w:rsidP="003F6980">
            <w:pPr>
              <w:pStyle w:val="Tabletext"/>
              <w:keepNext/>
              <w:jc w:val="center"/>
            </w:pPr>
            <w:r w:rsidRPr="006710E4">
              <w:t>-</w:t>
            </w:r>
          </w:p>
        </w:tc>
        <w:tc>
          <w:tcPr>
            <w:tcW w:w="1418" w:type="dxa"/>
            <w:vAlign w:val="center"/>
          </w:tcPr>
          <w:p w14:paraId="215671E9" w14:textId="77777777" w:rsidR="00EF274A" w:rsidRPr="006710E4" w:rsidRDefault="00EF274A" w:rsidP="003F6980">
            <w:pPr>
              <w:pStyle w:val="Tabletext"/>
              <w:keepNext/>
              <w:jc w:val="center"/>
            </w:pPr>
            <w:r w:rsidRPr="006710E4">
              <w:t>-</w:t>
            </w:r>
          </w:p>
        </w:tc>
        <w:tc>
          <w:tcPr>
            <w:tcW w:w="800" w:type="dxa"/>
            <w:vAlign w:val="center"/>
          </w:tcPr>
          <w:p w14:paraId="0C5CCDD1" w14:textId="77777777" w:rsidR="00EF274A" w:rsidRPr="006710E4" w:rsidRDefault="00EF274A" w:rsidP="003F6980">
            <w:pPr>
              <w:pStyle w:val="Tabletext"/>
              <w:keepNext/>
              <w:jc w:val="center"/>
            </w:pPr>
            <w:r w:rsidRPr="006710E4">
              <w:t>-</w:t>
            </w:r>
          </w:p>
        </w:tc>
      </w:tr>
      <w:tr w:rsidR="00EF274A" w:rsidRPr="006710E4" w14:paraId="19E29D73" w14:textId="77777777" w:rsidTr="00217797">
        <w:tc>
          <w:tcPr>
            <w:tcW w:w="1696" w:type="dxa"/>
          </w:tcPr>
          <w:p w14:paraId="2D674E98" w14:textId="77777777" w:rsidR="00EF274A" w:rsidRPr="006710E4" w:rsidRDefault="00EF274A" w:rsidP="003F6980">
            <w:pPr>
              <w:pStyle w:val="Tabletext"/>
              <w:keepNext/>
            </w:pPr>
            <w:proofErr w:type="spellStart"/>
            <w:r w:rsidRPr="006710E4">
              <w:t>ZoptEC</w:t>
            </w:r>
            <w:proofErr w:type="spellEnd"/>
            <w:r w:rsidRPr="006710E4">
              <w:t xml:space="preserve"> (base case)</w:t>
            </w:r>
          </w:p>
        </w:tc>
        <w:tc>
          <w:tcPr>
            <w:tcW w:w="1134" w:type="dxa"/>
            <w:tcBorders>
              <w:bottom w:val="single" w:sz="4" w:space="0" w:color="auto"/>
            </w:tcBorders>
            <w:shd w:val="solid" w:color="000000" w:fill="000000"/>
            <w:vAlign w:val="center"/>
          </w:tcPr>
          <w:p w14:paraId="6F3ED915" w14:textId="3956B5FC" w:rsidR="00EF274A" w:rsidRPr="00217797" w:rsidRDefault="00217797" w:rsidP="003F6980">
            <w:pPr>
              <w:pStyle w:val="Tabletext"/>
              <w:keepNext/>
              <w:jc w:val="center"/>
            </w:pPr>
            <w:r w:rsidRPr="00217797">
              <w:rPr>
                <w:rFonts w:hint="eastAsia"/>
                <w:color w:val="000000"/>
                <w:w w:val="20"/>
                <w:fitText w:val="90" w:id="-1502445302"/>
                <w14:textFill>
                  <w14:solidFill>
                    <w14:srgbClr w14:val="000000">
                      <w14:alpha w14:val="100000"/>
                    </w14:srgbClr>
                  </w14:solidFill>
                </w14:textFill>
              </w:rPr>
              <w:t xml:space="preserve">　</w:t>
            </w:r>
            <w:r w:rsidRPr="00217797">
              <w:rPr>
                <w:color w:val="000000"/>
                <w:w w:val="20"/>
                <w:fitText w:val="90" w:id="-1502445302"/>
                <w14:textFill>
                  <w14:solidFill>
                    <w14:srgbClr w14:val="000000">
                      <w14:alpha w14:val="100000"/>
                    </w14:srgbClr>
                  </w14:solidFill>
                </w14:textFill>
              </w:rPr>
              <w:t>|</w:t>
            </w:r>
            <w:r w:rsidRPr="00217797">
              <w:rPr>
                <w:rFonts w:hint="eastAsia"/>
                <w:color w:val="000000"/>
                <w:w w:val="20"/>
                <w:fitText w:val="90" w:id="-1502445302"/>
                <w14:textFill>
                  <w14:solidFill>
                    <w14:srgbClr w14:val="000000">
                      <w14:alpha w14:val="100000"/>
                    </w14:srgbClr>
                  </w14:solidFill>
                </w14:textFill>
              </w:rPr>
              <w:t xml:space="preserve">　</w:t>
            </w:r>
          </w:p>
        </w:tc>
        <w:tc>
          <w:tcPr>
            <w:tcW w:w="1276" w:type="dxa"/>
            <w:vAlign w:val="center"/>
          </w:tcPr>
          <w:p w14:paraId="591AFFDA" w14:textId="77777777" w:rsidR="00EF274A" w:rsidRPr="006710E4" w:rsidRDefault="00EF274A" w:rsidP="003F6980">
            <w:pPr>
              <w:pStyle w:val="Tabletext"/>
              <w:keepNext/>
              <w:jc w:val="center"/>
            </w:pPr>
            <w:r w:rsidRPr="006710E4">
              <w:t>1.0163</w:t>
            </w:r>
          </w:p>
        </w:tc>
        <w:tc>
          <w:tcPr>
            <w:tcW w:w="1418" w:type="dxa"/>
            <w:tcBorders>
              <w:bottom w:val="single" w:sz="4" w:space="0" w:color="auto"/>
            </w:tcBorders>
            <w:shd w:val="solid" w:color="000000" w:fill="000000"/>
            <w:vAlign w:val="center"/>
          </w:tcPr>
          <w:p w14:paraId="7BD62688" w14:textId="54893E9F" w:rsidR="00EF274A" w:rsidRPr="00217797" w:rsidRDefault="00217797" w:rsidP="003F6980">
            <w:pPr>
              <w:pStyle w:val="Tabletext"/>
              <w:keepNext/>
              <w:jc w:val="center"/>
            </w:pPr>
            <w:r w:rsidRPr="00217797">
              <w:rPr>
                <w:color w:val="000000"/>
                <w14:textFill>
                  <w14:solidFill>
                    <w14:srgbClr w14:val="000000">
                      <w14:alpha w14:val="100000"/>
                    </w14:srgbClr>
                  </w14:solidFill>
                </w14:textFill>
              </w:rPr>
              <w:t>|</w:t>
            </w:r>
          </w:p>
        </w:tc>
        <w:tc>
          <w:tcPr>
            <w:tcW w:w="1275" w:type="dxa"/>
            <w:vAlign w:val="center"/>
          </w:tcPr>
          <w:p w14:paraId="61913587" w14:textId="77777777" w:rsidR="00EF274A" w:rsidRPr="006710E4" w:rsidRDefault="00EF274A" w:rsidP="003F6980">
            <w:pPr>
              <w:pStyle w:val="Tabletext"/>
              <w:keepNext/>
              <w:jc w:val="center"/>
            </w:pPr>
            <w:r w:rsidRPr="006710E4">
              <w:t>1.4494</w:t>
            </w:r>
          </w:p>
        </w:tc>
        <w:tc>
          <w:tcPr>
            <w:tcW w:w="1418" w:type="dxa"/>
            <w:vAlign w:val="center"/>
          </w:tcPr>
          <w:p w14:paraId="1ABF5B48" w14:textId="7AFF0C87" w:rsidR="00EF274A" w:rsidRPr="003B348C" w:rsidRDefault="00217797" w:rsidP="003F6980">
            <w:pPr>
              <w:pStyle w:val="Tabletext"/>
              <w:keepNext/>
              <w:jc w:val="center"/>
              <w:rPr>
                <w:highlight w:val="yellow"/>
              </w:rPr>
            </w:pPr>
            <w:r w:rsidRPr="00217797">
              <w:rPr>
                <w:color w:val="000000"/>
                <w:shd w:val="solid" w:color="000000" w:fill="000000"/>
                <w14:textFill>
                  <w14:solidFill>
                    <w14:srgbClr w14:val="000000">
                      <w14:alpha w14:val="100000"/>
                    </w14:srgbClr>
                  </w14:solidFill>
                </w14:textFill>
              </w:rPr>
              <w:t>|</w:t>
            </w:r>
            <w:r w:rsidR="0083731E">
              <w:rPr>
                <w:vertAlign w:val="superscript"/>
              </w:rPr>
              <w:t>2</w:t>
            </w:r>
          </w:p>
        </w:tc>
        <w:tc>
          <w:tcPr>
            <w:tcW w:w="800" w:type="dxa"/>
            <w:vAlign w:val="center"/>
          </w:tcPr>
          <w:p w14:paraId="3A1D8776" w14:textId="77777777" w:rsidR="00EF274A" w:rsidRPr="006710E4" w:rsidRDefault="00EF274A" w:rsidP="003F6980">
            <w:pPr>
              <w:pStyle w:val="Tabletext"/>
              <w:keepNext/>
              <w:jc w:val="center"/>
            </w:pPr>
            <w:r w:rsidRPr="006710E4">
              <w:t>-</w:t>
            </w:r>
          </w:p>
        </w:tc>
      </w:tr>
      <w:tr w:rsidR="00EF274A" w:rsidRPr="006710E4" w14:paraId="064412FA" w14:textId="77777777" w:rsidTr="00217797">
        <w:tc>
          <w:tcPr>
            <w:tcW w:w="1696" w:type="dxa"/>
            <w:vAlign w:val="center"/>
          </w:tcPr>
          <w:p w14:paraId="25BF079E" w14:textId="77777777" w:rsidR="00EF274A" w:rsidRPr="006710E4" w:rsidRDefault="00EF274A" w:rsidP="003F6980">
            <w:pPr>
              <w:pStyle w:val="Tabletext"/>
              <w:keepNext/>
            </w:pPr>
            <w:r w:rsidRPr="006710E4">
              <w:t>IXAMPLE2</w:t>
            </w:r>
          </w:p>
        </w:tc>
        <w:tc>
          <w:tcPr>
            <w:tcW w:w="1134" w:type="dxa"/>
            <w:tcBorders>
              <w:bottom w:val="single" w:sz="4" w:space="0" w:color="auto"/>
            </w:tcBorders>
            <w:shd w:val="solid" w:color="000000" w:fill="000000"/>
            <w:vAlign w:val="center"/>
          </w:tcPr>
          <w:p w14:paraId="2C93ECC6" w14:textId="368B4C1D" w:rsidR="00EF274A" w:rsidRPr="00217797" w:rsidRDefault="00217797" w:rsidP="003F6980">
            <w:pPr>
              <w:pStyle w:val="Tabletext"/>
              <w:keepNext/>
              <w:jc w:val="center"/>
            </w:pPr>
            <w:r w:rsidRPr="00217797">
              <w:rPr>
                <w:rFonts w:hint="eastAsia"/>
                <w:color w:val="000000"/>
                <w:w w:val="20"/>
                <w:fitText w:val="90" w:id="-1502445301"/>
                <w14:textFill>
                  <w14:solidFill>
                    <w14:srgbClr w14:val="000000">
                      <w14:alpha w14:val="100000"/>
                    </w14:srgbClr>
                  </w14:solidFill>
                </w14:textFill>
              </w:rPr>
              <w:t xml:space="preserve">　</w:t>
            </w:r>
            <w:r w:rsidRPr="00217797">
              <w:rPr>
                <w:color w:val="000000"/>
                <w:w w:val="20"/>
                <w:fitText w:val="90" w:id="-1502445301"/>
                <w14:textFill>
                  <w14:solidFill>
                    <w14:srgbClr w14:val="000000">
                      <w14:alpha w14:val="100000"/>
                    </w14:srgbClr>
                  </w14:solidFill>
                </w14:textFill>
              </w:rPr>
              <w:t>|</w:t>
            </w:r>
            <w:r w:rsidRPr="00217797">
              <w:rPr>
                <w:rFonts w:hint="eastAsia"/>
                <w:color w:val="000000"/>
                <w:w w:val="20"/>
                <w:fitText w:val="90" w:id="-1502445301"/>
                <w14:textFill>
                  <w14:solidFill>
                    <w14:srgbClr w14:val="000000">
                      <w14:alpha w14:val="100000"/>
                    </w14:srgbClr>
                  </w14:solidFill>
                </w14:textFill>
              </w:rPr>
              <w:t xml:space="preserve">　</w:t>
            </w:r>
          </w:p>
        </w:tc>
        <w:tc>
          <w:tcPr>
            <w:tcW w:w="1276" w:type="dxa"/>
            <w:vAlign w:val="center"/>
          </w:tcPr>
          <w:p w14:paraId="41EF407F" w14:textId="77777777" w:rsidR="00EF274A" w:rsidRPr="006710E4" w:rsidRDefault="00EF274A" w:rsidP="003F6980">
            <w:pPr>
              <w:pStyle w:val="Tabletext"/>
              <w:keepNext/>
              <w:jc w:val="center"/>
            </w:pPr>
            <w:r w:rsidRPr="006710E4">
              <w:t>1.1460</w:t>
            </w:r>
          </w:p>
        </w:tc>
        <w:tc>
          <w:tcPr>
            <w:tcW w:w="1418" w:type="dxa"/>
            <w:tcBorders>
              <w:bottom w:val="single" w:sz="4" w:space="0" w:color="auto"/>
            </w:tcBorders>
            <w:shd w:val="solid" w:color="000000" w:fill="000000"/>
            <w:vAlign w:val="center"/>
          </w:tcPr>
          <w:p w14:paraId="128A1671" w14:textId="305CF5C2" w:rsidR="00EF274A" w:rsidRPr="00217797" w:rsidRDefault="00217797" w:rsidP="003F6980">
            <w:pPr>
              <w:pStyle w:val="Tabletext"/>
              <w:keepNext/>
              <w:jc w:val="center"/>
            </w:pPr>
            <w:r w:rsidRPr="00217797">
              <w:rPr>
                <w:color w:val="000000"/>
                <w14:textFill>
                  <w14:solidFill>
                    <w14:srgbClr w14:val="000000">
                      <w14:alpha w14:val="100000"/>
                    </w14:srgbClr>
                  </w14:solidFill>
                </w14:textFill>
              </w:rPr>
              <w:t>|</w:t>
            </w:r>
          </w:p>
        </w:tc>
        <w:tc>
          <w:tcPr>
            <w:tcW w:w="1275" w:type="dxa"/>
            <w:vAlign w:val="center"/>
          </w:tcPr>
          <w:p w14:paraId="568B9968" w14:textId="77777777" w:rsidR="00EF274A" w:rsidRPr="006710E4" w:rsidRDefault="00EF274A" w:rsidP="003F6980">
            <w:pPr>
              <w:pStyle w:val="Tabletext"/>
              <w:keepNext/>
              <w:jc w:val="center"/>
            </w:pPr>
            <w:r w:rsidRPr="006710E4">
              <w:t>1.3197</w:t>
            </w:r>
          </w:p>
        </w:tc>
        <w:tc>
          <w:tcPr>
            <w:tcW w:w="1418" w:type="dxa"/>
            <w:vAlign w:val="center"/>
          </w:tcPr>
          <w:p w14:paraId="44891900" w14:textId="5644748E" w:rsidR="00EF274A" w:rsidRPr="003B348C" w:rsidRDefault="00217797" w:rsidP="003F6980">
            <w:pPr>
              <w:pStyle w:val="Tabletext"/>
              <w:keepNext/>
              <w:jc w:val="center"/>
              <w:rPr>
                <w:highlight w:val="yellow"/>
              </w:rPr>
            </w:pPr>
            <w:r w:rsidRPr="00217797">
              <w:rPr>
                <w:color w:val="000000"/>
                <w:shd w:val="solid" w:color="000000" w:fill="000000"/>
                <w14:textFill>
                  <w14:solidFill>
                    <w14:srgbClr w14:val="000000">
                      <w14:alpha w14:val="100000"/>
                    </w14:srgbClr>
                  </w14:solidFill>
                </w14:textFill>
              </w:rPr>
              <w:t>|</w:t>
            </w:r>
            <w:r w:rsidR="0083731E">
              <w:rPr>
                <w:vertAlign w:val="superscript"/>
              </w:rPr>
              <w:t>2</w:t>
            </w:r>
          </w:p>
        </w:tc>
        <w:tc>
          <w:tcPr>
            <w:tcW w:w="800" w:type="dxa"/>
            <w:vAlign w:val="center"/>
          </w:tcPr>
          <w:p w14:paraId="5A90F641" w14:textId="77777777" w:rsidR="00EF274A" w:rsidRPr="006710E4" w:rsidRDefault="00EF274A" w:rsidP="003F6980">
            <w:pPr>
              <w:pStyle w:val="Tabletext"/>
              <w:keepNext/>
              <w:jc w:val="center"/>
            </w:pPr>
            <w:r w:rsidRPr="006710E4">
              <w:t>10.5%</w:t>
            </w:r>
          </w:p>
        </w:tc>
      </w:tr>
      <w:tr w:rsidR="00EF274A" w:rsidRPr="006710E4" w14:paraId="5E95F1A0" w14:textId="77777777" w:rsidTr="00217797">
        <w:tc>
          <w:tcPr>
            <w:tcW w:w="1696" w:type="dxa"/>
            <w:vAlign w:val="center"/>
          </w:tcPr>
          <w:p w14:paraId="7C98C1DB" w14:textId="77777777" w:rsidR="00EF274A" w:rsidRPr="006710E4" w:rsidRDefault="00EF274A" w:rsidP="003F6980">
            <w:pPr>
              <w:pStyle w:val="Tabletext"/>
              <w:keepNext/>
            </w:pPr>
            <w:r w:rsidRPr="006710E4">
              <w:t>KEYNOTE-775 ITT</w:t>
            </w:r>
          </w:p>
        </w:tc>
        <w:tc>
          <w:tcPr>
            <w:tcW w:w="1134" w:type="dxa"/>
            <w:tcBorders>
              <w:bottom w:val="single" w:sz="4" w:space="0" w:color="auto"/>
            </w:tcBorders>
            <w:shd w:val="solid" w:color="000000" w:fill="000000"/>
            <w:vAlign w:val="center"/>
          </w:tcPr>
          <w:p w14:paraId="0B51E1E0" w14:textId="58125E0B" w:rsidR="00EF274A" w:rsidRPr="00217797" w:rsidRDefault="00217797" w:rsidP="003F6980">
            <w:pPr>
              <w:pStyle w:val="Tabletext"/>
              <w:keepNext/>
              <w:jc w:val="center"/>
            </w:pPr>
            <w:r w:rsidRPr="00217797">
              <w:rPr>
                <w:rFonts w:hint="eastAsia"/>
                <w:color w:val="000000"/>
                <w:w w:val="20"/>
                <w:fitText w:val="90" w:id="-1502445300"/>
                <w14:textFill>
                  <w14:solidFill>
                    <w14:srgbClr w14:val="000000">
                      <w14:alpha w14:val="100000"/>
                    </w14:srgbClr>
                  </w14:solidFill>
                </w14:textFill>
              </w:rPr>
              <w:t xml:space="preserve">　</w:t>
            </w:r>
            <w:r w:rsidRPr="00217797">
              <w:rPr>
                <w:color w:val="000000"/>
                <w:w w:val="20"/>
                <w:fitText w:val="90" w:id="-1502445300"/>
                <w14:textFill>
                  <w14:solidFill>
                    <w14:srgbClr w14:val="000000">
                      <w14:alpha w14:val="100000"/>
                    </w14:srgbClr>
                  </w14:solidFill>
                </w14:textFill>
              </w:rPr>
              <w:t>|</w:t>
            </w:r>
            <w:r w:rsidRPr="00217797">
              <w:rPr>
                <w:rFonts w:hint="eastAsia"/>
                <w:color w:val="000000"/>
                <w:w w:val="20"/>
                <w:fitText w:val="90" w:id="-1502445300"/>
                <w14:textFill>
                  <w14:solidFill>
                    <w14:srgbClr w14:val="000000">
                      <w14:alpha w14:val="100000"/>
                    </w14:srgbClr>
                  </w14:solidFill>
                </w14:textFill>
              </w:rPr>
              <w:t xml:space="preserve">　</w:t>
            </w:r>
          </w:p>
        </w:tc>
        <w:tc>
          <w:tcPr>
            <w:tcW w:w="1276" w:type="dxa"/>
            <w:vAlign w:val="center"/>
          </w:tcPr>
          <w:p w14:paraId="5F5316D4" w14:textId="77777777" w:rsidR="00EF274A" w:rsidRPr="006710E4" w:rsidRDefault="00EF274A" w:rsidP="003F6980">
            <w:pPr>
              <w:pStyle w:val="Tabletext"/>
              <w:keepNext/>
              <w:jc w:val="center"/>
            </w:pPr>
            <w:r w:rsidRPr="006710E4">
              <w:t>0.9590</w:t>
            </w:r>
          </w:p>
        </w:tc>
        <w:tc>
          <w:tcPr>
            <w:tcW w:w="1418" w:type="dxa"/>
            <w:tcBorders>
              <w:bottom w:val="single" w:sz="4" w:space="0" w:color="auto"/>
            </w:tcBorders>
            <w:shd w:val="solid" w:color="000000" w:fill="000000"/>
            <w:vAlign w:val="center"/>
          </w:tcPr>
          <w:p w14:paraId="119FB5A9" w14:textId="255A68F7" w:rsidR="00EF274A" w:rsidRPr="00217797" w:rsidRDefault="00217797" w:rsidP="003F6980">
            <w:pPr>
              <w:pStyle w:val="Tabletext"/>
              <w:keepNext/>
              <w:jc w:val="center"/>
            </w:pPr>
            <w:r w:rsidRPr="00217797">
              <w:rPr>
                <w:color w:val="000000"/>
                <w14:textFill>
                  <w14:solidFill>
                    <w14:srgbClr w14:val="000000">
                      <w14:alpha w14:val="100000"/>
                    </w14:srgbClr>
                  </w14:solidFill>
                </w14:textFill>
              </w:rPr>
              <w:t>|</w:t>
            </w:r>
          </w:p>
        </w:tc>
        <w:tc>
          <w:tcPr>
            <w:tcW w:w="1275" w:type="dxa"/>
            <w:vAlign w:val="center"/>
          </w:tcPr>
          <w:p w14:paraId="3708C46D" w14:textId="77777777" w:rsidR="00EF274A" w:rsidRPr="006710E4" w:rsidRDefault="00EF274A" w:rsidP="003F6980">
            <w:pPr>
              <w:pStyle w:val="Tabletext"/>
              <w:keepNext/>
              <w:jc w:val="center"/>
            </w:pPr>
            <w:r w:rsidRPr="006710E4">
              <w:t>1.5067</w:t>
            </w:r>
          </w:p>
        </w:tc>
        <w:tc>
          <w:tcPr>
            <w:tcW w:w="1418" w:type="dxa"/>
            <w:vAlign w:val="center"/>
          </w:tcPr>
          <w:p w14:paraId="66644DA1" w14:textId="7425AD25" w:rsidR="00EF274A" w:rsidRPr="003B348C" w:rsidRDefault="00217797" w:rsidP="003F6980">
            <w:pPr>
              <w:pStyle w:val="Tabletext"/>
              <w:keepNext/>
              <w:jc w:val="center"/>
              <w:rPr>
                <w:highlight w:val="yellow"/>
              </w:rPr>
            </w:pPr>
            <w:r w:rsidRPr="00217797">
              <w:rPr>
                <w:color w:val="000000"/>
                <w:shd w:val="solid" w:color="000000" w:fill="000000"/>
                <w14:textFill>
                  <w14:solidFill>
                    <w14:srgbClr w14:val="000000">
                      <w14:alpha w14:val="100000"/>
                    </w14:srgbClr>
                  </w14:solidFill>
                </w14:textFill>
              </w:rPr>
              <w:t>|</w:t>
            </w:r>
            <w:r w:rsidR="0083731E">
              <w:rPr>
                <w:vertAlign w:val="superscript"/>
              </w:rPr>
              <w:t>2</w:t>
            </w:r>
          </w:p>
        </w:tc>
        <w:tc>
          <w:tcPr>
            <w:tcW w:w="800" w:type="dxa"/>
            <w:vAlign w:val="center"/>
          </w:tcPr>
          <w:p w14:paraId="310316FF" w14:textId="77777777" w:rsidR="00EF274A" w:rsidRPr="006710E4" w:rsidRDefault="00EF274A" w:rsidP="003F6980">
            <w:pPr>
              <w:pStyle w:val="Tabletext"/>
              <w:keepNext/>
              <w:jc w:val="center"/>
            </w:pPr>
            <w:r w:rsidRPr="006710E4">
              <w:t>-4.7%</w:t>
            </w:r>
          </w:p>
        </w:tc>
      </w:tr>
      <w:tr w:rsidR="00EF274A" w:rsidRPr="006710E4" w14:paraId="31553710" w14:textId="77777777" w:rsidTr="00217797">
        <w:tc>
          <w:tcPr>
            <w:tcW w:w="1696" w:type="dxa"/>
            <w:vAlign w:val="center"/>
          </w:tcPr>
          <w:p w14:paraId="396381C9" w14:textId="77777777" w:rsidR="00EF274A" w:rsidRPr="006710E4" w:rsidRDefault="00EF274A" w:rsidP="003F6980">
            <w:pPr>
              <w:pStyle w:val="Tabletext"/>
              <w:keepNext/>
            </w:pPr>
            <w:r w:rsidRPr="006710E4">
              <w:t xml:space="preserve">KEYNOTE-775 </w:t>
            </w:r>
            <w:proofErr w:type="spellStart"/>
            <w:r w:rsidRPr="006710E4">
              <w:t>dMMR</w:t>
            </w:r>
            <w:proofErr w:type="spellEnd"/>
            <w:r w:rsidRPr="006710E4">
              <w:t xml:space="preserve"> subgroup</w:t>
            </w:r>
          </w:p>
        </w:tc>
        <w:tc>
          <w:tcPr>
            <w:tcW w:w="1134" w:type="dxa"/>
            <w:tcBorders>
              <w:bottom w:val="single" w:sz="4" w:space="0" w:color="auto"/>
            </w:tcBorders>
            <w:shd w:val="solid" w:color="000000" w:fill="000000"/>
            <w:vAlign w:val="center"/>
          </w:tcPr>
          <w:p w14:paraId="3976BCC2" w14:textId="797883A1" w:rsidR="00EF274A" w:rsidRPr="00217797" w:rsidRDefault="00217797" w:rsidP="003F6980">
            <w:pPr>
              <w:pStyle w:val="Tabletext"/>
              <w:keepNext/>
              <w:jc w:val="center"/>
            </w:pPr>
            <w:r w:rsidRPr="00217797">
              <w:rPr>
                <w:rFonts w:hint="eastAsia"/>
                <w:color w:val="000000"/>
                <w:w w:val="20"/>
                <w:fitText w:val="90" w:id="-1502445299"/>
                <w14:textFill>
                  <w14:solidFill>
                    <w14:srgbClr w14:val="000000">
                      <w14:alpha w14:val="100000"/>
                    </w14:srgbClr>
                  </w14:solidFill>
                </w14:textFill>
              </w:rPr>
              <w:t xml:space="preserve">　</w:t>
            </w:r>
            <w:r w:rsidRPr="00217797">
              <w:rPr>
                <w:color w:val="000000"/>
                <w:w w:val="20"/>
                <w:fitText w:val="90" w:id="-1502445299"/>
                <w14:textFill>
                  <w14:solidFill>
                    <w14:srgbClr w14:val="000000">
                      <w14:alpha w14:val="100000"/>
                    </w14:srgbClr>
                  </w14:solidFill>
                </w14:textFill>
              </w:rPr>
              <w:t>|</w:t>
            </w:r>
            <w:r w:rsidRPr="00217797">
              <w:rPr>
                <w:rFonts w:hint="eastAsia"/>
                <w:color w:val="000000"/>
                <w:w w:val="20"/>
                <w:fitText w:val="90" w:id="-1502445299"/>
                <w14:textFill>
                  <w14:solidFill>
                    <w14:srgbClr w14:val="000000">
                      <w14:alpha w14:val="100000"/>
                    </w14:srgbClr>
                  </w14:solidFill>
                </w14:textFill>
              </w:rPr>
              <w:t xml:space="preserve">　</w:t>
            </w:r>
          </w:p>
        </w:tc>
        <w:tc>
          <w:tcPr>
            <w:tcW w:w="1276" w:type="dxa"/>
            <w:vAlign w:val="center"/>
          </w:tcPr>
          <w:p w14:paraId="1B3435EC" w14:textId="77777777" w:rsidR="00EF274A" w:rsidRPr="006710E4" w:rsidRDefault="00EF274A" w:rsidP="003F6980">
            <w:pPr>
              <w:pStyle w:val="Tabletext"/>
              <w:keepNext/>
              <w:jc w:val="center"/>
            </w:pPr>
            <w:r w:rsidRPr="006710E4">
              <w:t>0.8575</w:t>
            </w:r>
          </w:p>
        </w:tc>
        <w:tc>
          <w:tcPr>
            <w:tcW w:w="1418" w:type="dxa"/>
            <w:tcBorders>
              <w:bottom w:val="single" w:sz="4" w:space="0" w:color="auto"/>
            </w:tcBorders>
            <w:shd w:val="solid" w:color="000000" w:fill="000000"/>
            <w:vAlign w:val="center"/>
          </w:tcPr>
          <w:p w14:paraId="3D05513D" w14:textId="3720F771" w:rsidR="00EF274A" w:rsidRPr="00217797" w:rsidRDefault="00217797" w:rsidP="003F6980">
            <w:pPr>
              <w:pStyle w:val="Tabletext"/>
              <w:keepNext/>
              <w:jc w:val="center"/>
            </w:pPr>
            <w:r w:rsidRPr="00217797">
              <w:rPr>
                <w:color w:val="000000"/>
                <w14:textFill>
                  <w14:solidFill>
                    <w14:srgbClr w14:val="000000">
                      <w14:alpha w14:val="100000"/>
                    </w14:srgbClr>
                  </w14:solidFill>
                </w14:textFill>
              </w:rPr>
              <w:t>|</w:t>
            </w:r>
          </w:p>
        </w:tc>
        <w:tc>
          <w:tcPr>
            <w:tcW w:w="1275" w:type="dxa"/>
            <w:vAlign w:val="center"/>
          </w:tcPr>
          <w:p w14:paraId="100A54F9" w14:textId="77777777" w:rsidR="00EF274A" w:rsidRPr="006710E4" w:rsidRDefault="00EF274A" w:rsidP="003F6980">
            <w:pPr>
              <w:pStyle w:val="Tabletext"/>
              <w:keepNext/>
              <w:jc w:val="center"/>
            </w:pPr>
            <w:r w:rsidRPr="006710E4">
              <w:t>1.6082</w:t>
            </w:r>
          </w:p>
        </w:tc>
        <w:tc>
          <w:tcPr>
            <w:tcW w:w="1418" w:type="dxa"/>
            <w:vAlign w:val="center"/>
          </w:tcPr>
          <w:p w14:paraId="776A96B1" w14:textId="524EDEF0" w:rsidR="00EF274A" w:rsidRPr="003B348C" w:rsidRDefault="00217797" w:rsidP="003F6980">
            <w:pPr>
              <w:pStyle w:val="Tabletext"/>
              <w:keepNext/>
              <w:jc w:val="center"/>
              <w:rPr>
                <w:highlight w:val="yellow"/>
              </w:rPr>
            </w:pPr>
            <w:r w:rsidRPr="00217797">
              <w:rPr>
                <w:color w:val="000000"/>
                <w:shd w:val="solid" w:color="000000" w:fill="000000"/>
                <w14:textFill>
                  <w14:solidFill>
                    <w14:srgbClr w14:val="000000">
                      <w14:alpha w14:val="100000"/>
                    </w14:srgbClr>
                  </w14:solidFill>
                </w14:textFill>
              </w:rPr>
              <w:t>|</w:t>
            </w:r>
            <w:r w:rsidR="0083731E">
              <w:rPr>
                <w:vertAlign w:val="superscript"/>
              </w:rPr>
              <w:t>2</w:t>
            </w:r>
          </w:p>
        </w:tc>
        <w:tc>
          <w:tcPr>
            <w:tcW w:w="800" w:type="dxa"/>
            <w:vAlign w:val="center"/>
          </w:tcPr>
          <w:p w14:paraId="4F23F405" w14:textId="77777777" w:rsidR="00EF274A" w:rsidRPr="006710E4" w:rsidRDefault="00EF274A" w:rsidP="003F6980">
            <w:pPr>
              <w:pStyle w:val="Tabletext"/>
              <w:keepNext/>
              <w:jc w:val="center"/>
            </w:pPr>
            <w:r w:rsidRPr="006710E4">
              <w:t>-10.5%</w:t>
            </w:r>
          </w:p>
        </w:tc>
      </w:tr>
      <w:tr w:rsidR="00EF274A" w:rsidRPr="006710E4" w14:paraId="4B719D13" w14:textId="77777777" w:rsidTr="00217797">
        <w:tc>
          <w:tcPr>
            <w:tcW w:w="1696" w:type="dxa"/>
            <w:vAlign w:val="center"/>
          </w:tcPr>
          <w:p w14:paraId="2D2E3316" w14:textId="77777777" w:rsidR="00EF274A" w:rsidRPr="006710E4" w:rsidRDefault="00EF274A" w:rsidP="003F6980">
            <w:pPr>
              <w:pStyle w:val="Tabletext"/>
              <w:keepNext/>
            </w:pPr>
            <w:r w:rsidRPr="006710E4">
              <w:t>UK RWE study</w:t>
            </w:r>
          </w:p>
        </w:tc>
        <w:tc>
          <w:tcPr>
            <w:tcW w:w="1134" w:type="dxa"/>
            <w:shd w:val="solid" w:color="000000" w:fill="000000"/>
            <w:vAlign w:val="center"/>
          </w:tcPr>
          <w:p w14:paraId="606A9766" w14:textId="1FC1D822" w:rsidR="00EF274A" w:rsidRPr="00217797" w:rsidRDefault="00217797" w:rsidP="003F6980">
            <w:pPr>
              <w:pStyle w:val="Tabletext"/>
              <w:keepNext/>
              <w:jc w:val="center"/>
            </w:pPr>
            <w:r w:rsidRPr="00217797">
              <w:rPr>
                <w:rFonts w:hint="eastAsia"/>
                <w:color w:val="000000"/>
                <w:w w:val="20"/>
                <w:fitText w:val="90" w:id="-1502445298"/>
                <w14:textFill>
                  <w14:solidFill>
                    <w14:srgbClr w14:val="000000">
                      <w14:alpha w14:val="100000"/>
                    </w14:srgbClr>
                  </w14:solidFill>
                </w14:textFill>
              </w:rPr>
              <w:t xml:space="preserve">　</w:t>
            </w:r>
            <w:r w:rsidRPr="00217797">
              <w:rPr>
                <w:color w:val="000000"/>
                <w:w w:val="20"/>
                <w:fitText w:val="90" w:id="-1502445298"/>
                <w14:textFill>
                  <w14:solidFill>
                    <w14:srgbClr w14:val="000000">
                      <w14:alpha w14:val="100000"/>
                    </w14:srgbClr>
                  </w14:solidFill>
                </w14:textFill>
              </w:rPr>
              <w:t>|</w:t>
            </w:r>
            <w:r w:rsidRPr="00217797">
              <w:rPr>
                <w:rFonts w:hint="eastAsia"/>
                <w:color w:val="000000"/>
                <w:w w:val="20"/>
                <w:fitText w:val="90" w:id="-1502445298"/>
                <w14:textFill>
                  <w14:solidFill>
                    <w14:srgbClr w14:val="000000">
                      <w14:alpha w14:val="100000"/>
                    </w14:srgbClr>
                  </w14:solidFill>
                </w14:textFill>
              </w:rPr>
              <w:t xml:space="preserve">　</w:t>
            </w:r>
          </w:p>
        </w:tc>
        <w:tc>
          <w:tcPr>
            <w:tcW w:w="1276" w:type="dxa"/>
            <w:vAlign w:val="center"/>
          </w:tcPr>
          <w:p w14:paraId="743F1E09" w14:textId="77777777" w:rsidR="00EF274A" w:rsidRPr="006710E4" w:rsidRDefault="00EF274A" w:rsidP="003F6980">
            <w:pPr>
              <w:pStyle w:val="Tabletext"/>
              <w:keepNext/>
              <w:jc w:val="center"/>
            </w:pPr>
            <w:r w:rsidRPr="006710E4">
              <w:t>0.9736</w:t>
            </w:r>
          </w:p>
        </w:tc>
        <w:tc>
          <w:tcPr>
            <w:tcW w:w="1418" w:type="dxa"/>
            <w:shd w:val="solid" w:color="000000" w:fill="000000"/>
            <w:vAlign w:val="center"/>
          </w:tcPr>
          <w:p w14:paraId="34703462" w14:textId="3E3777E2" w:rsidR="00EF274A" w:rsidRPr="00217797" w:rsidRDefault="00217797" w:rsidP="003F6980">
            <w:pPr>
              <w:pStyle w:val="Tabletext"/>
              <w:keepNext/>
              <w:jc w:val="center"/>
            </w:pPr>
            <w:r w:rsidRPr="00217797">
              <w:rPr>
                <w:color w:val="000000"/>
                <w14:textFill>
                  <w14:solidFill>
                    <w14:srgbClr w14:val="000000">
                      <w14:alpha w14:val="100000"/>
                    </w14:srgbClr>
                  </w14:solidFill>
                </w14:textFill>
              </w:rPr>
              <w:t>|</w:t>
            </w:r>
          </w:p>
        </w:tc>
        <w:tc>
          <w:tcPr>
            <w:tcW w:w="1275" w:type="dxa"/>
            <w:vAlign w:val="center"/>
          </w:tcPr>
          <w:p w14:paraId="4F9669D8" w14:textId="77777777" w:rsidR="00EF274A" w:rsidRPr="006710E4" w:rsidRDefault="00EF274A" w:rsidP="003F6980">
            <w:pPr>
              <w:pStyle w:val="Tabletext"/>
              <w:keepNext/>
              <w:jc w:val="center"/>
            </w:pPr>
            <w:r w:rsidRPr="006710E4">
              <w:t>1.4921</w:t>
            </w:r>
          </w:p>
        </w:tc>
        <w:tc>
          <w:tcPr>
            <w:tcW w:w="1418" w:type="dxa"/>
            <w:vAlign w:val="center"/>
          </w:tcPr>
          <w:p w14:paraId="58675FEE" w14:textId="590EB186" w:rsidR="00EF274A" w:rsidRPr="003B348C" w:rsidRDefault="00217797" w:rsidP="003F6980">
            <w:pPr>
              <w:pStyle w:val="Tabletext"/>
              <w:keepNext/>
              <w:jc w:val="center"/>
              <w:rPr>
                <w:highlight w:val="yellow"/>
              </w:rPr>
            </w:pPr>
            <w:r w:rsidRPr="00217797">
              <w:rPr>
                <w:color w:val="000000"/>
                <w:shd w:val="solid" w:color="000000" w:fill="000000"/>
                <w14:textFill>
                  <w14:solidFill>
                    <w14:srgbClr w14:val="000000">
                      <w14:alpha w14:val="100000"/>
                    </w14:srgbClr>
                  </w14:solidFill>
                </w14:textFill>
              </w:rPr>
              <w:t>|</w:t>
            </w:r>
            <w:r w:rsidR="0083731E">
              <w:rPr>
                <w:vertAlign w:val="superscript"/>
              </w:rPr>
              <w:t>2</w:t>
            </w:r>
          </w:p>
        </w:tc>
        <w:tc>
          <w:tcPr>
            <w:tcW w:w="800" w:type="dxa"/>
            <w:vAlign w:val="center"/>
          </w:tcPr>
          <w:p w14:paraId="10D80CD9" w14:textId="77777777" w:rsidR="00EF274A" w:rsidRPr="006710E4" w:rsidRDefault="00EF274A" w:rsidP="003F6980">
            <w:pPr>
              <w:pStyle w:val="Tabletext"/>
              <w:keepNext/>
              <w:jc w:val="center"/>
            </w:pPr>
            <w:r w:rsidRPr="006710E4">
              <w:t>-4.0%</w:t>
            </w:r>
          </w:p>
        </w:tc>
      </w:tr>
    </w:tbl>
    <w:p w14:paraId="1F67C3D1" w14:textId="77777777" w:rsidR="003F6980" w:rsidRPr="006710E4" w:rsidRDefault="003F6980" w:rsidP="003F6980">
      <w:pPr>
        <w:pStyle w:val="TableFooter"/>
        <w:keepNext/>
        <w:keepLines/>
      </w:pPr>
      <w:r w:rsidRPr="006710E4">
        <w:t xml:space="preserve">Source: Table 121, p211 of the submission. </w:t>
      </w:r>
    </w:p>
    <w:p w14:paraId="71F9902E" w14:textId="024D9A5C" w:rsidR="00EF274A" w:rsidRPr="006710E4" w:rsidRDefault="003F6980" w:rsidP="009E5292">
      <w:pPr>
        <w:pStyle w:val="TableFooter"/>
        <w:keepNext/>
        <w:keepLines/>
      </w:pPr>
      <w:proofErr w:type="spellStart"/>
      <w:r w:rsidRPr="006710E4">
        <w:t>dMMR</w:t>
      </w:r>
      <w:proofErr w:type="spellEnd"/>
      <w:r w:rsidRPr="006710E4">
        <w:t xml:space="preserve"> = mismatch repair deficient; ICER = incremental cost effectiveness ratio; </w:t>
      </w:r>
      <w:proofErr w:type="spellStart"/>
      <w:r w:rsidRPr="006710E4">
        <w:t>Incr</w:t>
      </w:r>
      <w:proofErr w:type="spellEnd"/>
      <w:r w:rsidRPr="006710E4">
        <w:t xml:space="preserve"> = incremental; ITT = intention-to-treat; OS = overall survival; PFS = progression-free survival; RWE = real world evidence; QALY = quality adjusted life years; SoC = standard of care.</w:t>
      </w:r>
    </w:p>
    <w:p w14:paraId="212EDE8A" w14:textId="77777777" w:rsidR="003B348C" w:rsidRPr="00EF5C91" w:rsidRDefault="003B348C" w:rsidP="003B348C">
      <w:pPr>
        <w:pStyle w:val="TableFigureFooter"/>
        <w:spacing w:after="0"/>
        <w:contextualSpacing w:val="0"/>
        <w:rPr>
          <w:iCs/>
        </w:rPr>
      </w:pPr>
      <w:r w:rsidRPr="00EF5C91">
        <w:rPr>
          <w:iCs/>
        </w:rPr>
        <w:t xml:space="preserve">The redacted values correspond to the following ranges: </w:t>
      </w:r>
    </w:p>
    <w:p w14:paraId="38702E66" w14:textId="77777777" w:rsidR="003B348C" w:rsidRPr="00EF5C91" w:rsidRDefault="003B348C" w:rsidP="003B348C">
      <w:pPr>
        <w:rPr>
          <w:rFonts w:ascii="Arial Narrow" w:hAnsi="Arial Narrow"/>
          <w:iCs/>
          <w:sz w:val="18"/>
          <w:szCs w:val="18"/>
        </w:rPr>
      </w:pPr>
      <w:r w:rsidRPr="00EF5C91">
        <w:rPr>
          <w:rFonts w:ascii="Arial Narrow" w:hAnsi="Arial Narrow"/>
          <w:iCs/>
          <w:sz w:val="18"/>
          <w:szCs w:val="18"/>
          <w:vertAlign w:val="superscript"/>
        </w:rPr>
        <w:t>2</w:t>
      </w:r>
      <w:r w:rsidRPr="00EF5C91">
        <w:rPr>
          <w:rFonts w:ascii="Arial Narrow" w:hAnsi="Arial Narrow"/>
          <w:iCs/>
          <w:sz w:val="18"/>
          <w:szCs w:val="18"/>
        </w:rPr>
        <w:t xml:space="preserve"> $55,000 to &lt; $75,000 </w:t>
      </w:r>
    </w:p>
    <w:p w14:paraId="1A1CA823" w14:textId="78D2F1F3" w:rsidR="00666743" w:rsidRPr="00D560D8" w:rsidRDefault="00666743" w:rsidP="007132B2">
      <w:pPr>
        <w:widowControl/>
        <w:outlineLvl w:val="2"/>
        <w:rPr>
          <w:b/>
          <w:iCs/>
          <w:u w:val="single"/>
        </w:rPr>
      </w:pPr>
      <w:r w:rsidRPr="00D560D8">
        <w:rPr>
          <w:b/>
          <w:iCs/>
          <w:u w:val="single"/>
        </w:rPr>
        <w:t xml:space="preserve">Cost-minimisation versus pembrolizumab monotherapy </w:t>
      </w:r>
    </w:p>
    <w:p w14:paraId="338AF083" w14:textId="318B763E" w:rsidR="00764405" w:rsidRPr="00D560D8" w:rsidRDefault="00764405" w:rsidP="00764405">
      <w:pPr>
        <w:pStyle w:val="ListParagraph"/>
        <w:widowControl/>
        <w:numPr>
          <w:ilvl w:val="1"/>
          <w:numId w:val="2"/>
        </w:numPr>
        <w:spacing w:after="120"/>
        <w:rPr>
          <w:iCs/>
        </w:rPr>
      </w:pPr>
      <w:r w:rsidRPr="00D560D8">
        <w:rPr>
          <w:iCs/>
        </w:rPr>
        <w:t xml:space="preserve">The </w:t>
      </w:r>
      <w:r w:rsidR="00666743" w:rsidRPr="00D560D8">
        <w:rPr>
          <w:iCs/>
        </w:rPr>
        <w:t>PSCR claim</w:t>
      </w:r>
      <w:r w:rsidRPr="00D560D8">
        <w:rPr>
          <w:iCs/>
        </w:rPr>
        <w:t xml:space="preserve">ed that </w:t>
      </w:r>
      <w:proofErr w:type="spellStart"/>
      <w:r w:rsidRPr="00D560D8">
        <w:rPr>
          <w:iCs/>
        </w:rPr>
        <w:t>dostarlimab</w:t>
      </w:r>
      <w:proofErr w:type="spellEnd"/>
      <w:r w:rsidRPr="00D560D8">
        <w:rPr>
          <w:iCs/>
        </w:rPr>
        <w:t xml:space="preserve"> is</w:t>
      </w:r>
      <w:r w:rsidR="00666743" w:rsidRPr="00D560D8">
        <w:rPr>
          <w:iCs/>
        </w:rPr>
        <w:t xml:space="preserve"> </w:t>
      </w:r>
      <w:r w:rsidRPr="00D560D8">
        <w:rPr>
          <w:iCs/>
        </w:rPr>
        <w:t>“</w:t>
      </w:r>
      <w:r w:rsidR="00666743" w:rsidRPr="00D560D8">
        <w:rPr>
          <w:iCs/>
        </w:rPr>
        <w:t>of similar efficacy and safety</w:t>
      </w:r>
      <w:r w:rsidRPr="00D560D8">
        <w:rPr>
          <w:iCs/>
        </w:rPr>
        <w:t>”</w:t>
      </w:r>
      <w:r w:rsidR="00666743" w:rsidRPr="00D560D8">
        <w:rPr>
          <w:iCs/>
        </w:rPr>
        <w:t xml:space="preserve"> to pembrolizumab monotherapy </w:t>
      </w:r>
      <w:r w:rsidRPr="00D560D8">
        <w:rPr>
          <w:iCs/>
        </w:rPr>
        <w:t>and</w:t>
      </w:r>
      <w:r w:rsidR="00666743" w:rsidRPr="00D560D8">
        <w:rPr>
          <w:iCs/>
        </w:rPr>
        <w:t xml:space="preserve"> presented a cost-minimisation a</w:t>
      </w:r>
      <w:r w:rsidR="00C329CF" w:rsidRPr="00D560D8">
        <w:rPr>
          <w:iCs/>
        </w:rPr>
        <w:t>ppro</w:t>
      </w:r>
      <w:r w:rsidR="00A45E7B" w:rsidRPr="00D560D8">
        <w:rPr>
          <w:iCs/>
        </w:rPr>
        <w:t>a</w:t>
      </w:r>
      <w:r w:rsidR="00C329CF" w:rsidRPr="00D560D8">
        <w:rPr>
          <w:iCs/>
        </w:rPr>
        <w:t>ch</w:t>
      </w:r>
      <w:r w:rsidR="00666743" w:rsidRPr="00D560D8">
        <w:rPr>
          <w:iCs/>
        </w:rPr>
        <w:t xml:space="preserve"> in the </w:t>
      </w:r>
      <w:proofErr w:type="spellStart"/>
      <w:r w:rsidR="00666743" w:rsidRPr="00D560D8">
        <w:rPr>
          <w:iCs/>
        </w:rPr>
        <w:t>dMMR</w:t>
      </w:r>
      <w:proofErr w:type="spellEnd"/>
      <w:r w:rsidR="00666743" w:rsidRPr="00D560D8">
        <w:rPr>
          <w:iCs/>
        </w:rPr>
        <w:t xml:space="preserve"> population. The </w:t>
      </w:r>
      <w:r w:rsidRPr="00D560D8">
        <w:rPr>
          <w:iCs/>
        </w:rPr>
        <w:t xml:space="preserve">PSCR estimated that the </w:t>
      </w:r>
      <w:proofErr w:type="spellStart"/>
      <w:r w:rsidRPr="00D560D8">
        <w:rPr>
          <w:iCs/>
        </w:rPr>
        <w:t>equi</w:t>
      </w:r>
      <w:proofErr w:type="spellEnd"/>
      <w:r w:rsidRPr="00D560D8">
        <w:rPr>
          <w:iCs/>
        </w:rPr>
        <w:t>-effective doses were:</w:t>
      </w:r>
    </w:p>
    <w:p w14:paraId="7D649958" w14:textId="308DDD4C" w:rsidR="00764405" w:rsidRPr="00D560D8" w:rsidRDefault="00666743" w:rsidP="0063667E">
      <w:pPr>
        <w:pStyle w:val="ListParagraph"/>
        <w:widowControl/>
        <w:numPr>
          <w:ilvl w:val="0"/>
          <w:numId w:val="24"/>
        </w:numPr>
        <w:spacing w:after="120"/>
        <w:ind w:left="1077" w:hanging="357"/>
        <w:contextualSpacing/>
        <w:rPr>
          <w:iCs/>
        </w:rPr>
      </w:pPr>
      <w:r w:rsidRPr="00D560D8">
        <w:rPr>
          <w:iCs/>
        </w:rPr>
        <w:t>1,</w:t>
      </w:r>
      <w:r w:rsidR="003B348C" w:rsidRPr="00D560D8">
        <w:rPr>
          <w:iCs/>
        </w:rPr>
        <w:t>000</w:t>
      </w:r>
      <w:r w:rsidR="003B348C">
        <w:rPr>
          <w:iCs/>
        </w:rPr>
        <w:t> </w:t>
      </w:r>
      <w:r w:rsidRPr="00D560D8">
        <w:rPr>
          <w:iCs/>
        </w:rPr>
        <w:t xml:space="preserve">mg </w:t>
      </w:r>
      <w:proofErr w:type="spellStart"/>
      <w:r w:rsidRPr="00D560D8">
        <w:rPr>
          <w:iCs/>
        </w:rPr>
        <w:t>dostarlimab</w:t>
      </w:r>
      <w:proofErr w:type="spellEnd"/>
      <w:r w:rsidRPr="00D560D8">
        <w:rPr>
          <w:iCs/>
        </w:rPr>
        <w:t xml:space="preserve"> every 6 weeks</w:t>
      </w:r>
      <w:r w:rsidR="00764405" w:rsidRPr="00D560D8">
        <w:rPr>
          <w:iCs/>
        </w:rPr>
        <w:t>;</w:t>
      </w:r>
      <w:r w:rsidRPr="00D560D8">
        <w:rPr>
          <w:iCs/>
        </w:rPr>
        <w:t xml:space="preserve"> and </w:t>
      </w:r>
    </w:p>
    <w:p w14:paraId="2278FB3B" w14:textId="485AF469" w:rsidR="00764405" w:rsidRPr="00D560D8" w:rsidRDefault="003B348C" w:rsidP="0063667E">
      <w:pPr>
        <w:pStyle w:val="ListParagraph"/>
        <w:widowControl/>
        <w:numPr>
          <w:ilvl w:val="0"/>
          <w:numId w:val="24"/>
        </w:numPr>
        <w:spacing w:after="120"/>
        <w:ind w:left="1077" w:hanging="357"/>
        <w:rPr>
          <w:iCs/>
        </w:rPr>
      </w:pPr>
      <w:r w:rsidRPr="00D560D8">
        <w:rPr>
          <w:iCs/>
        </w:rPr>
        <w:t>400</w:t>
      </w:r>
      <w:r>
        <w:rPr>
          <w:iCs/>
        </w:rPr>
        <w:t> </w:t>
      </w:r>
      <w:r w:rsidR="00666743" w:rsidRPr="00D560D8">
        <w:rPr>
          <w:iCs/>
        </w:rPr>
        <w:t xml:space="preserve">mg pembrolizumab every 6 weeks (i.e., calculated as </w:t>
      </w:r>
      <w:r w:rsidRPr="00D560D8">
        <w:rPr>
          <w:iCs/>
        </w:rPr>
        <w:t>200</w:t>
      </w:r>
      <w:r>
        <w:rPr>
          <w:iCs/>
        </w:rPr>
        <w:t> </w:t>
      </w:r>
      <w:r w:rsidR="00666743" w:rsidRPr="00D560D8">
        <w:rPr>
          <w:iCs/>
        </w:rPr>
        <w:t>mg pembrolizumab administered</w:t>
      </w:r>
      <w:r w:rsidR="00764405" w:rsidRPr="00D560D8">
        <w:rPr>
          <w:iCs/>
        </w:rPr>
        <w:t xml:space="preserve"> every 3 weeks multiplied by 2).</w:t>
      </w:r>
    </w:p>
    <w:p w14:paraId="0C5B650A" w14:textId="213C674C" w:rsidR="00666743" w:rsidRPr="00D560D8" w:rsidRDefault="00764405" w:rsidP="00C329CF">
      <w:pPr>
        <w:pStyle w:val="ListParagraph"/>
        <w:widowControl/>
        <w:spacing w:after="120"/>
        <w:ind w:left="709"/>
        <w:rPr>
          <w:iCs/>
        </w:rPr>
      </w:pPr>
      <w:r w:rsidRPr="00D560D8">
        <w:rPr>
          <w:iCs/>
        </w:rPr>
        <w:t xml:space="preserve">The PSCR stated this was </w:t>
      </w:r>
      <w:r w:rsidR="00666743" w:rsidRPr="00D560D8">
        <w:rPr>
          <w:iCs/>
        </w:rPr>
        <w:t xml:space="preserve">based on dosing in the pivotal studies and </w:t>
      </w:r>
      <w:r w:rsidRPr="00D560D8">
        <w:rPr>
          <w:iCs/>
        </w:rPr>
        <w:t xml:space="preserve">an </w:t>
      </w:r>
      <w:r w:rsidR="00666743" w:rsidRPr="00D560D8">
        <w:rPr>
          <w:iCs/>
        </w:rPr>
        <w:t>assumption that both regimens would have the same treatment duration given the common mechanism of action (i.e., PD-1 inhibitor).</w:t>
      </w:r>
    </w:p>
    <w:p w14:paraId="255389CE" w14:textId="32A53CB7" w:rsidR="00BC4605" w:rsidRPr="00D560D8" w:rsidRDefault="00BC4605" w:rsidP="007E40B7">
      <w:pPr>
        <w:pStyle w:val="ListParagraph"/>
        <w:widowControl/>
        <w:numPr>
          <w:ilvl w:val="1"/>
          <w:numId w:val="2"/>
        </w:numPr>
        <w:spacing w:after="120"/>
        <w:rPr>
          <w:iCs/>
        </w:rPr>
      </w:pPr>
      <w:r w:rsidRPr="00D560D8">
        <w:rPr>
          <w:iCs/>
        </w:rPr>
        <w:t>The PSCR did not account for</w:t>
      </w:r>
      <w:r w:rsidR="007E40B7" w:rsidRPr="00D560D8">
        <w:rPr>
          <w:iCs/>
        </w:rPr>
        <w:t xml:space="preserve"> differences in </w:t>
      </w:r>
      <w:r w:rsidR="00745146" w:rsidRPr="00D560D8">
        <w:rPr>
          <w:iCs/>
        </w:rPr>
        <w:t xml:space="preserve">relative dose intensity, </w:t>
      </w:r>
      <w:r w:rsidR="007E40B7" w:rsidRPr="00D560D8">
        <w:rPr>
          <w:iCs/>
        </w:rPr>
        <w:t>administration costs, adverse event</w:t>
      </w:r>
      <w:r w:rsidR="00745146" w:rsidRPr="00D560D8">
        <w:rPr>
          <w:iCs/>
        </w:rPr>
        <w:t xml:space="preserve"> cost</w:t>
      </w:r>
      <w:r w:rsidR="007E40B7" w:rsidRPr="00D560D8">
        <w:rPr>
          <w:iCs/>
        </w:rPr>
        <w:t xml:space="preserve">s </w:t>
      </w:r>
      <w:r w:rsidR="00745BF1" w:rsidRPr="00D560D8">
        <w:rPr>
          <w:iCs/>
        </w:rPr>
        <w:t>or</w:t>
      </w:r>
      <w:r w:rsidR="007E40B7" w:rsidRPr="00D560D8">
        <w:rPr>
          <w:iCs/>
        </w:rPr>
        <w:t xml:space="preserve"> disease management costs.</w:t>
      </w:r>
    </w:p>
    <w:p w14:paraId="63DF230B" w14:textId="77777777" w:rsidR="00666743" w:rsidRPr="006710E4" w:rsidRDefault="00666743" w:rsidP="00EF274A">
      <w:pPr>
        <w:widowControl/>
      </w:pPr>
    </w:p>
    <w:p w14:paraId="472842D7" w14:textId="515B1F42" w:rsidR="00C25D9C" w:rsidRPr="004625F2" w:rsidRDefault="00E30818" w:rsidP="00C9624D">
      <w:pPr>
        <w:pStyle w:val="Heading2"/>
        <w:rPr>
          <w:iCs/>
        </w:rPr>
      </w:pPr>
      <w:bookmarkStart w:id="47" w:name="_Toc93481985"/>
      <w:r w:rsidRPr="004625F2">
        <w:rPr>
          <w:iCs/>
        </w:rPr>
        <w:t>Drug cost/patient/</w:t>
      </w:r>
      <w:r w:rsidR="00C25D9C" w:rsidRPr="004625F2">
        <w:rPr>
          <w:iCs/>
        </w:rPr>
        <w:t>course</w:t>
      </w:r>
      <w:bookmarkEnd w:id="47"/>
    </w:p>
    <w:p w14:paraId="6E990161" w14:textId="77777777" w:rsidR="00C25D9C" w:rsidRPr="006710E4" w:rsidRDefault="00C25D9C" w:rsidP="00E05630">
      <w:pPr>
        <w:keepNext/>
        <w:widowControl/>
      </w:pPr>
    </w:p>
    <w:p w14:paraId="2B33EF28" w14:textId="0D283966" w:rsidR="00F07B7E" w:rsidRPr="006710E4" w:rsidRDefault="00B0365B" w:rsidP="00E24AE9">
      <w:pPr>
        <w:pStyle w:val="ListParagraph"/>
        <w:widowControl/>
        <w:numPr>
          <w:ilvl w:val="1"/>
          <w:numId w:val="2"/>
        </w:numPr>
        <w:spacing w:after="120"/>
      </w:pPr>
      <w:r w:rsidRPr="006710E4">
        <w:t xml:space="preserve">Drug acquisition costs of </w:t>
      </w:r>
      <w:proofErr w:type="spellStart"/>
      <w:r w:rsidRPr="006710E4">
        <w:t>dostarlimab</w:t>
      </w:r>
      <w:proofErr w:type="spellEnd"/>
      <w:r w:rsidRPr="006710E4">
        <w:t xml:space="preserve"> and SoC are summarised in </w:t>
      </w:r>
      <w:r w:rsidRPr="006710E4">
        <w:fldChar w:fldCharType="begin"/>
      </w:r>
      <w:r w:rsidRPr="006710E4">
        <w:instrText xml:space="preserve"> REF _Ref92101459 \h  \* MERGEFORMAT </w:instrText>
      </w:r>
      <w:r w:rsidRPr="006710E4">
        <w:fldChar w:fldCharType="separate"/>
      </w:r>
      <w:r w:rsidR="004975AD" w:rsidRPr="004975AD">
        <w:t>Table 13</w:t>
      </w:r>
      <w:r w:rsidRPr="006710E4">
        <w:fldChar w:fldCharType="end"/>
      </w:r>
      <w:r w:rsidRPr="006710E4">
        <w:t xml:space="preserve"> below</w:t>
      </w:r>
      <w:r w:rsidR="00F82B6F">
        <w:t>, using the updated price per vial proposed in the pre-PBAC response</w:t>
      </w:r>
      <w:r w:rsidRPr="006710E4">
        <w:t xml:space="preserve">. </w:t>
      </w:r>
    </w:p>
    <w:p w14:paraId="026A8B61" w14:textId="192E54FD" w:rsidR="00F07B7E" w:rsidRPr="006710E4" w:rsidRDefault="00F07B7E" w:rsidP="00BB4FF9">
      <w:pPr>
        <w:keepNext/>
        <w:keepLines/>
        <w:widowControl/>
        <w:rPr>
          <w:rStyle w:val="CommentReference"/>
        </w:rPr>
      </w:pPr>
      <w:bookmarkStart w:id="48" w:name="_Ref92101459"/>
      <w:r w:rsidRPr="006710E4">
        <w:rPr>
          <w:rStyle w:val="CommentReference"/>
        </w:rPr>
        <w:t xml:space="preserve">Table </w:t>
      </w:r>
      <w:r w:rsidR="00B0365B" w:rsidRPr="006710E4">
        <w:rPr>
          <w:rStyle w:val="CommentReference"/>
        </w:rPr>
        <w:fldChar w:fldCharType="begin"/>
      </w:r>
      <w:r w:rsidR="00B0365B" w:rsidRPr="006710E4">
        <w:rPr>
          <w:rStyle w:val="CommentReference"/>
        </w:rPr>
        <w:instrText xml:space="preserve"> SEQ Table \* ARABIC </w:instrText>
      </w:r>
      <w:r w:rsidR="00B0365B" w:rsidRPr="006710E4">
        <w:rPr>
          <w:rStyle w:val="CommentReference"/>
        </w:rPr>
        <w:fldChar w:fldCharType="separate"/>
      </w:r>
      <w:r w:rsidR="004975AD">
        <w:rPr>
          <w:rStyle w:val="CommentReference"/>
          <w:noProof/>
        </w:rPr>
        <w:t>13</w:t>
      </w:r>
      <w:r w:rsidR="00B0365B" w:rsidRPr="006710E4">
        <w:rPr>
          <w:rStyle w:val="CommentReference"/>
        </w:rPr>
        <w:fldChar w:fldCharType="end"/>
      </w:r>
      <w:bookmarkEnd w:id="48"/>
      <w:r w:rsidRPr="006710E4">
        <w:rPr>
          <w:rStyle w:val="CommentReference"/>
        </w:rPr>
        <w:t xml:space="preserve">: Drug cost per patient for </w:t>
      </w:r>
      <w:proofErr w:type="spellStart"/>
      <w:r w:rsidR="00853238" w:rsidRPr="006710E4">
        <w:rPr>
          <w:rStyle w:val="CommentReference"/>
        </w:rPr>
        <w:t>dostarlimab</w:t>
      </w:r>
      <w:proofErr w:type="spellEnd"/>
      <w:r w:rsidRPr="006710E4">
        <w:rPr>
          <w:rStyle w:val="CommentReference"/>
        </w:rPr>
        <w:t xml:space="preserve"> and </w:t>
      </w:r>
      <w:r w:rsidR="00853238" w:rsidRPr="006710E4">
        <w:rPr>
          <w:rStyle w:val="CommentReference"/>
        </w:rPr>
        <w:t xml:space="preserve">SoC </w:t>
      </w:r>
      <w:r w:rsidRPr="006710E4">
        <w:rPr>
          <w:rStyle w:val="CommentReference"/>
        </w:rPr>
        <w:t>drugs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70"/>
        <w:gridCol w:w="1208"/>
        <w:gridCol w:w="1208"/>
        <w:gridCol w:w="1212"/>
        <w:gridCol w:w="1711"/>
        <w:gridCol w:w="1104"/>
        <w:gridCol w:w="1104"/>
      </w:tblGrid>
      <w:tr w:rsidR="00D953C6" w:rsidRPr="006710E4" w14:paraId="02FADA28" w14:textId="77777777" w:rsidTr="007E7A82">
        <w:trPr>
          <w:jc w:val="center"/>
        </w:trPr>
        <w:tc>
          <w:tcPr>
            <w:tcW w:w="815" w:type="pct"/>
            <w:vMerge w:val="restart"/>
            <w:shd w:val="clear" w:color="auto" w:fill="auto"/>
            <w:vAlign w:val="center"/>
          </w:tcPr>
          <w:p w14:paraId="290CA664" w14:textId="77777777" w:rsidR="00D953C6" w:rsidRPr="006710E4" w:rsidRDefault="00D953C6" w:rsidP="00BB4FF9">
            <w:pPr>
              <w:keepNext/>
              <w:keepLines/>
              <w:widowControl/>
              <w:jc w:val="left"/>
              <w:rPr>
                <w:rFonts w:ascii="Arial Narrow" w:hAnsi="Arial Narrow"/>
                <w:b/>
                <w:sz w:val="20"/>
              </w:rPr>
            </w:pPr>
          </w:p>
        </w:tc>
        <w:tc>
          <w:tcPr>
            <w:tcW w:w="2012" w:type="pct"/>
            <w:gridSpan w:val="3"/>
            <w:shd w:val="clear" w:color="auto" w:fill="auto"/>
            <w:vAlign w:val="center"/>
          </w:tcPr>
          <w:p w14:paraId="395EF04C" w14:textId="77488754" w:rsidR="00D953C6" w:rsidRPr="006710E4" w:rsidRDefault="00D953C6" w:rsidP="00BB4FF9">
            <w:pPr>
              <w:keepNext/>
              <w:keepLines/>
              <w:widowControl/>
              <w:jc w:val="center"/>
              <w:rPr>
                <w:rFonts w:ascii="Arial Narrow" w:hAnsi="Arial Narrow"/>
                <w:b/>
                <w:sz w:val="20"/>
              </w:rPr>
            </w:pPr>
            <w:proofErr w:type="spellStart"/>
            <w:r w:rsidRPr="006710E4">
              <w:rPr>
                <w:rFonts w:ascii="Arial Narrow" w:hAnsi="Arial Narrow"/>
                <w:b/>
                <w:sz w:val="20"/>
              </w:rPr>
              <w:t>Dostarlimab</w:t>
            </w:r>
            <w:proofErr w:type="spellEnd"/>
          </w:p>
        </w:tc>
        <w:tc>
          <w:tcPr>
            <w:tcW w:w="2173" w:type="pct"/>
            <w:gridSpan w:val="3"/>
          </w:tcPr>
          <w:p w14:paraId="7FEB5A79" w14:textId="1F7F3296" w:rsidR="00D953C6" w:rsidRPr="006710E4" w:rsidRDefault="00D953C6" w:rsidP="00BB4FF9">
            <w:pPr>
              <w:keepNext/>
              <w:keepLines/>
              <w:widowControl/>
              <w:jc w:val="center"/>
              <w:rPr>
                <w:rFonts w:ascii="Arial Narrow" w:hAnsi="Arial Narrow"/>
                <w:b/>
                <w:sz w:val="20"/>
              </w:rPr>
            </w:pPr>
            <w:r w:rsidRPr="006710E4">
              <w:rPr>
                <w:rFonts w:ascii="Arial Narrow" w:hAnsi="Arial Narrow"/>
                <w:b/>
                <w:sz w:val="20"/>
              </w:rPr>
              <w:t>SoC</w:t>
            </w:r>
          </w:p>
        </w:tc>
      </w:tr>
      <w:tr w:rsidR="00D953C6" w:rsidRPr="006710E4" w14:paraId="389669D8" w14:textId="77777777" w:rsidTr="007E7A82">
        <w:trPr>
          <w:jc w:val="center"/>
        </w:trPr>
        <w:tc>
          <w:tcPr>
            <w:tcW w:w="815" w:type="pct"/>
            <w:vMerge/>
            <w:shd w:val="clear" w:color="auto" w:fill="auto"/>
            <w:vAlign w:val="center"/>
          </w:tcPr>
          <w:p w14:paraId="4C71C468" w14:textId="77777777" w:rsidR="00D953C6" w:rsidRPr="006710E4" w:rsidRDefault="00D953C6" w:rsidP="00BB4FF9">
            <w:pPr>
              <w:keepNext/>
              <w:keepLines/>
              <w:widowControl/>
              <w:jc w:val="left"/>
              <w:rPr>
                <w:rFonts w:ascii="Arial Narrow" w:hAnsi="Arial Narrow"/>
                <w:b/>
                <w:sz w:val="20"/>
              </w:rPr>
            </w:pPr>
          </w:p>
        </w:tc>
        <w:tc>
          <w:tcPr>
            <w:tcW w:w="670" w:type="pct"/>
            <w:shd w:val="clear" w:color="auto" w:fill="auto"/>
            <w:vAlign w:val="center"/>
          </w:tcPr>
          <w:p w14:paraId="0C18AF15" w14:textId="23DCA91A" w:rsidR="00D953C6" w:rsidRPr="006710E4" w:rsidRDefault="00D953C6" w:rsidP="00D953C6">
            <w:pPr>
              <w:keepNext/>
              <w:keepLines/>
              <w:widowControl/>
              <w:jc w:val="center"/>
              <w:rPr>
                <w:rFonts w:ascii="Arial Narrow" w:hAnsi="Arial Narrow"/>
                <w:b/>
                <w:sz w:val="20"/>
              </w:rPr>
            </w:pPr>
            <w:r w:rsidRPr="006710E4">
              <w:rPr>
                <w:rFonts w:ascii="Arial Narrow" w:hAnsi="Arial Narrow"/>
                <w:b/>
                <w:sz w:val="20"/>
              </w:rPr>
              <w:t>GARNET</w:t>
            </w:r>
          </w:p>
        </w:tc>
        <w:tc>
          <w:tcPr>
            <w:tcW w:w="670" w:type="pct"/>
            <w:vAlign w:val="center"/>
          </w:tcPr>
          <w:p w14:paraId="648C4975" w14:textId="433A8C68" w:rsidR="00D953C6" w:rsidRPr="006710E4" w:rsidRDefault="00D953C6" w:rsidP="00D953C6">
            <w:pPr>
              <w:keepNext/>
              <w:keepLines/>
              <w:widowControl/>
              <w:jc w:val="center"/>
              <w:rPr>
                <w:rFonts w:ascii="Arial Narrow" w:hAnsi="Arial Narrow"/>
                <w:b/>
                <w:sz w:val="20"/>
              </w:rPr>
            </w:pPr>
            <w:r w:rsidRPr="006710E4">
              <w:rPr>
                <w:rFonts w:ascii="Arial Narrow" w:hAnsi="Arial Narrow"/>
                <w:b/>
                <w:sz w:val="20"/>
              </w:rPr>
              <w:t>Economic model</w:t>
            </w:r>
          </w:p>
        </w:tc>
        <w:tc>
          <w:tcPr>
            <w:tcW w:w="672" w:type="pct"/>
            <w:vAlign w:val="center"/>
          </w:tcPr>
          <w:p w14:paraId="3F69BE4D" w14:textId="3BDBD229" w:rsidR="00D953C6" w:rsidRPr="006710E4" w:rsidRDefault="00D953C6" w:rsidP="00D953C6">
            <w:pPr>
              <w:keepNext/>
              <w:keepLines/>
              <w:widowControl/>
              <w:jc w:val="center"/>
              <w:rPr>
                <w:rFonts w:ascii="Arial Narrow" w:hAnsi="Arial Narrow"/>
                <w:b/>
                <w:sz w:val="20"/>
              </w:rPr>
            </w:pPr>
            <w:r w:rsidRPr="006710E4">
              <w:rPr>
                <w:rFonts w:ascii="Arial Narrow" w:hAnsi="Arial Narrow"/>
                <w:b/>
                <w:sz w:val="20"/>
              </w:rPr>
              <w:t>Financial estimates</w:t>
            </w:r>
          </w:p>
        </w:tc>
        <w:tc>
          <w:tcPr>
            <w:tcW w:w="949" w:type="pct"/>
            <w:vAlign w:val="center"/>
          </w:tcPr>
          <w:p w14:paraId="6B825AA9" w14:textId="69D78E3D" w:rsidR="00D953C6" w:rsidRPr="006710E4" w:rsidRDefault="00D953C6" w:rsidP="00D953C6">
            <w:pPr>
              <w:keepNext/>
              <w:keepLines/>
              <w:widowControl/>
              <w:jc w:val="center"/>
              <w:rPr>
                <w:rFonts w:ascii="Arial Narrow" w:hAnsi="Arial Narrow"/>
                <w:b/>
                <w:sz w:val="20"/>
              </w:rPr>
            </w:pPr>
            <w:proofErr w:type="spellStart"/>
            <w:r w:rsidRPr="006710E4">
              <w:rPr>
                <w:rFonts w:ascii="Arial Narrow" w:hAnsi="Arial Narrow"/>
                <w:b/>
                <w:sz w:val="20"/>
              </w:rPr>
              <w:t>ZoptEC</w:t>
            </w:r>
            <w:proofErr w:type="spellEnd"/>
            <w:r w:rsidRPr="006710E4">
              <w:rPr>
                <w:rFonts w:ascii="Arial Narrow" w:hAnsi="Arial Narrow"/>
                <w:b/>
                <w:sz w:val="20"/>
              </w:rPr>
              <w:t xml:space="preserve"> (doxorubicin)</w:t>
            </w:r>
          </w:p>
        </w:tc>
        <w:tc>
          <w:tcPr>
            <w:tcW w:w="612" w:type="pct"/>
            <w:shd w:val="clear" w:color="auto" w:fill="auto"/>
            <w:vAlign w:val="center"/>
          </w:tcPr>
          <w:p w14:paraId="36DF8A02" w14:textId="1796DEC9" w:rsidR="00D953C6" w:rsidRPr="006710E4" w:rsidRDefault="00D953C6" w:rsidP="00D953C6">
            <w:pPr>
              <w:keepNext/>
              <w:keepLines/>
              <w:widowControl/>
              <w:jc w:val="center"/>
              <w:rPr>
                <w:rFonts w:ascii="Arial Narrow" w:hAnsi="Arial Narrow"/>
                <w:b/>
                <w:sz w:val="20"/>
              </w:rPr>
            </w:pPr>
            <w:r w:rsidRPr="006710E4">
              <w:rPr>
                <w:rFonts w:ascii="Arial Narrow" w:hAnsi="Arial Narrow"/>
                <w:b/>
                <w:sz w:val="20"/>
              </w:rPr>
              <w:t>Economic Model (doxorubicin)</w:t>
            </w:r>
          </w:p>
        </w:tc>
        <w:tc>
          <w:tcPr>
            <w:tcW w:w="612" w:type="pct"/>
            <w:vAlign w:val="center"/>
          </w:tcPr>
          <w:p w14:paraId="7651BB96" w14:textId="64052305" w:rsidR="00D953C6" w:rsidRPr="006710E4" w:rsidRDefault="00D953C6" w:rsidP="00D953C6">
            <w:pPr>
              <w:keepNext/>
              <w:keepLines/>
              <w:widowControl/>
              <w:jc w:val="center"/>
              <w:rPr>
                <w:rFonts w:ascii="Arial Narrow" w:hAnsi="Arial Narrow"/>
                <w:b/>
                <w:sz w:val="20"/>
              </w:rPr>
            </w:pPr>
            <w:r w:rsidRPr="006710E4">
              <w:rPr>
                <w:rFonts w:ascii="Arial Narrow" w:hAnsi="Arial Narrow"/>
                <w:b/>
                <w:sz w:val="20"/>
              </w:rPr>
              <w:t>Financial estimates (basket of comparators)</w:t>
            </w:r>
          </w:p>
        </w:tc>
      </w:tr>
      <w:tr w:rsidR="00523DBD" w:rsidRPr="006710E4" w14:paraId="2B01144A" w14:textId="77777777" w:rsidTr="00523DBD">
        <w:trPr>
          <w:jc w:val="center"/>
        </w:trPr>
        <w:tc>
          <w:tcPr>
            <w:tcW w:w="815" w:type="pct"/>
            <w:shd w:val="clear" w:color="auto" w:fill="auto"/>
            <w:vAlign w:val="center"/>
          </w:tcPr>
          <w:p w14:paraId="7D676326" w14:textId="77777777" w:rsidR="00523DBD" w:rsidRPr="006710E4" w:rsidRDefault="00523DBD" w:rsidP="00BB4FF9">
            <w:pPr>
              <w:keepNext/>
              <w:keepLines/>
              <w:widowControl/>
              <w:jc w:val="left"/>
              <w:rPr>
                <w:rFonts w:ascii="Arial Narrow" w:hAnsi="Arial Narrow"/>
                <w:sz w:val="20"/>
              </w:rPr>
            </w:pPr>
            <w:r w:rsidRPr="006710E4">
              <w:rPr>
                <w:rFonts w:ascii="Arial Narrow" w:hAnsi="Arial Narrow"/>
                <w:sz w:val="20"/>
              </w:rPr>
              <w:t>Mean dose</w:t>
            </w:r>
          </w:p>
        </w:tc>
        <w:tc>
          <w:tcPr>
            <w:tcW w:w="2012" w:type="pct"/>
            <w:gridSpan w:val="3"/>
            <w:shd w:val="clear" w:color="auto" w:fill="auto"/>
            <w:vAlign w:val="center"/>
          </w:tcPr>
          <w:p w14:paraId="304AF39F" w14:textId="506F8AFA" w:rsidR="00523DBD" w:rsidRPr="006710E4" w:rsidRDefault="00523DBD" w:rsidP="00BB4FF9">
            <w:pPr>
              <w:keepNext/>
              <w:keepLines/>
              <w:widowControl/>
              <w:jc w:val="center"/>
              <w:rPr>
                <w:rFonts w:ascii="Arial Narrow" w:hAnsi="Arial Narrow"/>
                <w:sz w:val="20"/>
              </w:rPr>
            </w:pPr>
            <w:r w:rsidRPr="006710E4">
              <w:rPr>
                <w:rFonts w:ascii="Arial Narrow" w:hAnsi="Arial Narrow"/>
                <w:sz w:val="20"/>
              </w:rPr>
              <w:t>500</w:t>
            </w:r>
            <w:r w:rsidR="00892EA4">
              <w:rPr>
                <w:rFonts w:ascii="Arial Narrow" w:hAnsi="Arial Narrow"/>
                <w:sz w:val="20"/>
              </w:rPr>
              <w:t> </w:t>
            </w:r>
            <w:r w:rsidRPr="006710E4">
              <w:rPr>
                <w:rFonts w:ascii="Arial Narrow" w:hAnsi="Arial Narrow"/>
                <w:sz w:val="20"/>
              </w:rPr>
              <w:t>mg Q3W for the first four doses, followed by 1,000</w:t>
            </w:r>
            <w:r w:rsidR="00892EA4">
              <w:rPr>
                <w:rFonts w:ascii="Arial Narrow" w:hAnsi="Arial Narrow"/>
                <w:sz w:val="20"/>
              </w:rPr>
              <w:t> </w:t>
            </w:r>
            <w:r w:rsidRPr="006710E4">
              <w:rPr>
                <w:rFonts w:ascii="Arial Narrow" w:hAnsi="Arial Narrow"/>
                <w:sz w:val="20"/>
              </w:rPr>
              <w:t>mg Q6W thereafter</w:t>
            </w:r>
          </w:p>
        </w:tc>
        <w:tc>
          <w:tcPr>
            <w:tcW w:w="1561" w:type="pct"/>
            <w:gridSpan w:val="2"/>
            <w:shd w:val="clear" w:color="auto" w:fill="auto"/>
            <w:vAlign w:val="center"/>
          </w:tcPr>
          <w:p w14:paraId="6BE03623" w14:textId="623376B4" w:rsidR="00523DBD" w:rsidRPr="006710E4" w:rsidRDefault="00523DBD" w:rsidP="00BB4FF9">
            <w:pPr>
              <w:keepNext/>
              <w:keepLines/>
              <w:widowControl/>
              <w:jc w:val="center"/>
              <w:rPr>
                <w:rFonts w:ascii="Arial Narrow" w:hAnsi="Arial Narrow"/>
                <w:sz w:val="20"/>
              </w:rPr>
            </w:pPr>
            <w:r w:rsidRPr="006710E4">
              <w:rPr>
                <w:rFonts w:ascii="Arial Narrow" w:hAnsi="Arial Narrow"/>
                <w:sz w:val="20"/>
              </w:rPr>
              <w:t>60</w:t>
            </w:r>
            <w:r w:rsidR="00892EA4">
              <w:rPr>
                <w:rFonts w:ascii="Arial Narrow" w:hAnsi="Arial Narrow"/>
                <w:sz w:val="20"/>
              </w:rPr>
              <w:t> </w:t>
            </w:r>
            <w:r w:rsidRPr="006710E4">
              <w:rPr>
                <w:rFonts w:ascii="Arial Narrow" w:hAnsi="Arial Narrow"/>
                <w:sz w:val="20"/>
              </w:rPr>
              <w:t>mg/m</w:t>
            </w:r>
            <w:r w:rsidRPr="006710E4">
              <w:rPr>
                <w:rFonts w:ascii="Arial Narrow" w:hAnsi="Arial Narrow"/>
                <w:sz w:val="20"/>
                <w:vertAlign w:val="superscript"/>
              </w:rPr>
              <w:t>2</w:t>
            </w:r>
            <w:r w:rsidRPr="006710E4">
              <w:rPr>
                <w:rFonts w:ascii="Arial Narrow" w:hAnsi="Arial Narrow"/>
                <w:sz w:val="20"/>
              </w:rPr>
              <w:t xml:space="preserve"> Q3W</w:t>
            </w:r>
          </w:p>
        </w:tc>
        <w:tc>
          <w:tcPr>
            <w:tcW w:w="612" w:type="pct"/>
            <w:vAlign w:val="center"/>
          </w:tcPr>
          <w:p w14:paraId="1389DD72" w14:textId="62C0331B" w:rsidR="00523DBD" w:rsidRPr="006710E4" w:rsidRDefault="00523DBD" w:rsidP="00BB4FF9">
            <w:pPr>
              <w:keepNext/>
              <w:keepLines/>
              <w:widowControl/>
              <w:jc w:val="center"/>
              <w:rPr>
                <w:rFonts w:ascii="Arial Narrow" w:hAnsi="Arial Narrow"/>
                <w:sz w:val="20"/>
              </w:rPr>
            </w:pPr>
            <w:r w:rsidRPr="006710E4">
              <w:rPr>
                <w:rFonts w:ascii="Arial Narrow" w:hAnsi="Arial Narrow"/>
                <w:sz w:val="20"/>
              </w:rPr>
              <w:t>Basket of comparators</w:t>
            </w:r>
          </w:p>
        </w:tc>
      </w:tr>
      <w:tr w:rsidR="00523DBD" w:rsidRPr="006710E4" w14:paraId="40B01E59" w14:textId="77777777" w:rsidTr="00523DBD">
        <w:trPr>
          <w:jc w:val="center"/>
        </w:trPr>
        <w:tc>
          <w:tcPr>
            <w:tcW w:w="815" w:type="pct"/>
            <w:shd w:val="clear" w:color="auto" w:fill="auto"/>
            <w:vAlign w:val="center"/>
          </w:tcPr>
          <w:p w14:paraId="6374255C" w14:textId="77777777" w:rsidR="00523DBD" w:rsidRPr="006710E4" w:rsidRDefault="00523DBD" w:rsidP="00FD62B4">
            <w:pPr>
              <w:keepNext/>
              <w:keepLines/>
              <w:widowControl/>
              <w:jc w:val="left"/>
              <w:rPr>
                <w:rFonts w:ascii="Arial Narrow" w:hAnsi="Arial Narrow"/>
                <w:sz w:val="20"/>
              </w:rPr>
            </w:pPr>
            <w:r w:rsidRPr="006710E4">
              <w:rPr>
                <w:rFonts w:ascii="Arial Narrow" w:hAnsi="Arial Narrow"/>
                <w:sz w:val="20"/>
              </w:rPr>
              <w:t>Mean duration</w:t>
            </w:r>
          </w:p>
        </w:tc>
        <w:tc>
          <w:tcPr>
            <w:tcW w:w="670" w:type="pct"/>
            <w:shd w:val="clear" w:color="auto" w:fill="auto"/>
            <w:vAlign w:val="center"/>
          </w:tcPr>
          <w:p w14:paraId="0D0191A6" w14:textId="0A51CE00" w:rsidR="00523DBD" w:rsidRPr="006710E4" w:rsidRDefault="00523DBD" w:rsidP="00FD62B4">
            <w:pPr>
              <w:keepNext/>
              <w:keepLines/>
              <w:widowControl/>
              <w:jc w:val="center"/>
              <w:rPr>
                <w:rFonts w:ascii="Arial Narrow" w:hAnsi="Arial Narrow"/>
                <w:iCs/>
                <w:sz w:val="20"/>
              </w:rPr>
            </w:pPr>
            <w:r w:rsidRPr="006710E4">
              <w:rPr>
                <w:rFonts w:ascii="Arial Narrow" w:hAnsi="Arial Narrow"/>
                <w:iCs/>
                <w:sz w:val="20"/>
              </w:rPr>
              <w:t>40.8 weeks</w:t>
            </w:r>
          </w:p>
        </w:tc>
        <w:tc>
          <w:tcPr>
            <w:tcW w:w="1342" w:type="pct"/>
            <w:gridSpan w:val="2"/>
            <w:shd w:val="clear" w:color="auto" w:fill="auto"/>
            <w:vAlign w:val="center"/>
          </w:tcPr>
          <w:p w14:paraId="75873393" w14:textId="3B09F5B1" w:rsidR="00523DBD" w:rsidRPr="006710E4" w:rsidRDefault="003E417C" w:rsidP="00013345">
            <w:pPr>
              <w:keepNext/>
              <w:keepLines/>
              <w:widowControl/>
              <w:jc w:val="center"/>
              <w:rPr>
                <w:rFonts w:ascii="Arial Narrow" w:hAnsi="Arial Narrow"/>
                <w:sz w:val="20"/>
              </w:rPr>
            </w:pPr>
            <w:r w:rsidRPr="00D80796">
              <w:rPr>
                <w:rFonts w:ascii="Arial Narrow" w:hAnsi="Arial Narrow"/>
                <w:sz w:val="20"/>
              </w:rPr>
              <w:t>54.</w:t>
            </w:r>
            <w:r w:rsidR="00013345">
              <w:rPr>
                <w:rFonts w:ascii="Arial Narrow" w:hAnsi="Arial Narrow"/>
                <w:sz w:val="20"/>
              </w:rPr>
              <w:t>4</w:t>
            </w:r>
            <w:r w:rsidR="00013345" w:rsidRPr="00D80796">
              <w:rPr>
                <w:rFonts w:ascii="Arial Narrow" w:hAnsi="Arial Narrow"/>
                <w:sz w:val="20"/>
              </w:rPr>
              <w:t xml:space="preserve"> </w:t>
            </w:r>
            <w:r w:rsidR="00523DBD" w:rsidRPr="00D80796">
              <w:rPr>
                <w:rFonts w:ascii="Arial Narrow" w:hAnsi="Arial Narrow"/>
                <w:sz w:val="20"/>
              </w:rPr>
              <w:t>weeks</w:t>
            </w:r>
            <w:r w:rsidR="00523DBD" w:rsidRPr="006710E4">
              <w:rPr>
                <w:rFonts w:ascii="Arial Narrow" w:hAnsi="Arial Narrow"/>
                <w:iCs/>
                <w:sz w:val="20"/>
              </w:rPr>
              <w:t xml:space="preserve"> </w:t>
            </w:r>
            <w:r w:rsidR="00523DBD" w:rsidRPr="006710E4">
              <w:rPr>
                <w:rFonts w:ascii="Arial Narrow" w:hAnsi="Arial Narrow"/>
                <w:iCs/>
                <w:sz w:val="20"/>
                <w:vertAlign w:val="superscript"/>
              </w:rPr>
              <w:t>b</w:t>
            </w:r>
          </w:p>
        </w:tc>
        <w:tc>
          <w:tcPr>
            <w:tcW w:w="1561" w:type="pct"/>
            <w:gridSpan w:val="2"/>
            <w:shd w:val="clear" w:color="auto" w:fill="auto"/>
          </w:tcPr>
          <w:p w14:paraId="1B830C75" w14:textId="0D0582CC" w:rsidR="00523DBD" w:rsidRPr="006710E4" w:rsidRDefault="00523DBD" w:rsidP="00FD62B4">
            <w:pPr>
              <w:keepNext/>
              <w:keepLines/>
              <w:widowControl/>
              <w:jc w:val="center"/>
              <w:rPr>
                <w:rFonts w:ascii="Arial Narrow" w:hAnsi="Arial Narrow"/>
                <w:sz w:val="20"/>
              </w:rPr>
            </w:pPr>
            <w:r w:rsidRPr="006710E4">
              <w:rPr>
                <w:rFonts w:ascii="Arial Narrow" w:hAnsi="Arial Narrow"/>
                <w:sz w:val="20"/>
              </w:rPr>
              <w:t xml:space="preserve">12 weeks </w:t>
            </w:r>
            <w:r w:rsidRPr="006710E4">
              <w:rPr>
                <w:rFonts w:ascii="Arial Narrow" w:hAnsi="Arial Narrow"/>
                <w:sz w:val="20"/>
                <w:vertAlign w:val="superscript"/>
              </w:rPr>
              <w:t>c</w:t>
            </w:r>
          </w:p>
        </w:tc>
        <w:tc>
          <w:tcPr>
            <w:tcW w:w="612" w:type="pct"/>
            <w:vAlign w:val="center"/>
          </w:tcPr>
          <w:p w14:paraId="0D819EA7" w14:textId="27778C40" w:rsidR="00523DBD" w:rsidRPr="006710E4" w:rsidRDefault="00523DBD" w:rsidP="00FD62B4">
            <w:pPr>
              <w:keepNext/>
              <w:keepLines/>
              <w:widowControl/>
              <w:jc w:val="center"/>
              <w:rPr>
                <w:rFonts w:ascii="Arial Narrow" w:hAnsi="Arial Narrow"/>
                <w:sz w:val="20"/>
              </w:rPr>
            </w:pPr>
            <w:r w:rsidRPr="006710E4">
              <w:rPr>
                <w:rFonts w:ascii="Arial Narrow" w:hAnsi="Arial Narrow"/>
                <w:sz w:val="20"/>
              </w:rPr>
              <w:t xml:space="preserve">12.75 weeks </w:t>
            </w:r>
            <w:r w:rsidRPr="006710E4">
              <w:rPr>
                <w:rFonts w:ascii="Arial Narrow" w:hAnsi="Arial Narrow"/>
                <w:sz w:val="20"/>
                <w:vertAlign w:val="superscript"/>
              </w:rPr>
              <w:t>e</w:t>
            </w:r>
          </w:p>
        </w:tc>
      </w:tr>
      <w:tr w:rsidR="00523DBD" w:rsidRPr="006710E4" w14:paraId="664199FE" w14:textId="77777777" w:rsidTr="00523DBD">
        <w:trPr>
          <w:jc w:val="center"/>
        </w:trPr>
        <w:tc>
          <w:tcPr>
            <w:tcW w:w="815" w:type="pct"/>
            <w:shd w:val="clear" w:color="auto" w:fill="auto"/>
            <w:vAlign w:val="center"/>
          </w:tcPr>
          <w:p w14:paraId="34EFD369" w14:textId="387AC130" w:rsidR="00523DBD" w:rsidRPr="006710E4" w:rsidRDefault="00523DBD" w:rsidP="00FD62B4">
            <w:pPr>
              <w:keepNext/>
              <w:keepLines/>
              <w:widowControl/>
              <w:jc w:val="left"/>
              <w:rPr>
                <w:rFonts w:ascii="Arial Narrow" w:hAnsi="Arial Narrow"/>
                <w:sz w:val="20"/>
              </w:rPr>
            </w:pPr>
            <w:r w:rsidRPr="006710E4">
              <w:rPr>
                <w:rFonts w:ascii="Arial Narrow" w:hAnsi="Arial Narrow"/>
                <w:sz w:val="20"/>
              </w:rPr>
              <w:t>Cost/patient/course</w:t>
            </w:r>
          </w:p>
        </w:tc>
        <w:tc>
          <w:tcPr>
            <w:tcW w:w="670" w:type="pct"/>
            <w:shd w:val="clear" w:color="auto" w:fill="auto"/>
            <w:vAlign w:val="center"/>
          </w:tcPr>
          <w:p w14:paraId="75DA8A06" w14:textId="3B477086" w:rsidR="00523DBD" w:rsidRPr="006710E4" w:rsidRDefault="00523DBD" w:rsidP="00FD62B4">
            <w:pPr>
              <w:keepNext/>
              <w:keepLines/>
              <w:widowControl/>
              <w:jc w:val="center"/>
              <w:rPr>
                <w:rFonts w:ascii="Arial Narrow" w:hAnsi="Arial Narrow"/>
                <w:iCs/>
                <w:sz w:val="20"/>
              </w:rPr>
            </w:pPr>
            <w:r w:rsidRPr="006710E4">
              <w:rPr>
                <w:rFonts w:ascii="Arial Narrow" w:hAnsi="Arial Narrow"/>
                <w:iCs/>
                <w:sz w:val="20"/>
              </w:rPr>
              <w:t>$</w:t>
            </w:r>
            <w:r w:rsidR="00217797" w:rsidRPr="00217797">
              <w:rPr>
                <w:rFonts w:ascii="Arial Narrow" w:hAnsi="Arial Narrow" w:hint="eastAsia"/>
                <w:iCs/>
                <w:color w:val="000000"/>
                <w:w w:val="16"/>
                <w:sz w:val="20"/>
                <w:shd w:val="solid" w:color="000000" w:fill="000000"/>
                <w:fitText w:val="75" w:id="-1502445297"/>
                <w14:textFill>
                  <w14:solidFill>
                    <w14:srgbClr w14:val="000000">
                      <w14:alpha w14:val="100000"/>
                    </w14:srgbClr>
                  </w14:solidFill>
                </w14:textFill>
              </w:rPr>
              <w:t xml:space="preserve">　</w:t>
            </w:r>
            <w:proofErr w:type="gramStart"/>
            <w:r w:rsidR="00217797" w:rsidRPr="00217797">
              <w:rPr>
                <w:rFonts w:ascii="Arial Narrow" w:hAnsi="Arial Narrow"/>
                <w:iCs/>
                <w:color w:val="000000"/>
                <w:w w:val="16"/>
                <w:sz w:val="20"/>
                <w:shd w:val="solid" w:color="000000" w:fill="000000"/>
                <w:fitText w:val="75" w:id="-1502445297"/>
                <w14:textFill>
                  <w14:solidFill>
                    <w14:srgbClr w14:val="000000">
                      <w14:alpha w14:val="100000"/>
                    </w14:srgbClr>
                  </w14:solidFill>
                </w14:textFill>
              </w:rPr>
              <w:t>|</w:t>
            </w:r>
            <w:r w:rsidR="00217797" w:rsidRPr="00217797">
              <w:rPr>
                <w:rFonts w:ascii="Arial Narrow" w:hAnsi="Arial Narrow" w:hint="eastAsia"/>
                <w:iCs/>
                <w:color w:val="000000"/>
                <w:spacing w:val="5"/>
                <w:w w:val="16"/>
                <w:sz w:val="20"/>
                <w:shd w:val="solid" w:color="000000" w:fill="000000"/>
                <w:fitText w:val="75" w:id="-1502445297"/>
                <w14:textFill>
                  <w14:solidFill>
                    <w14:srgbClr w14:val="000000">
                      <w14:alpha w14:val="100000"/>
                    </w14:srgbClr>
                  </w14:solidFill>
                </w14:textFill>
              </w:rPr>
              <w:t xml:space="preserve">　</w:t>
            </w:r>
            <w:r w:rsidRPr="006710E4">
              <w:rPr>
                <w:rFonts w:ascii="Arial Narrow" w:hAnsi="Arial Narrow"/>
                <w:iCs/>
                <w:sz w:val="20"/>
              </w:rPr>
              <w:t xml:space="preserve"> </w:t>
            </w:r>
            <w:r w:rsidRPr="006710E4">
              <w:rPr>
                <w:rFonts w:ascii="Arial Narrow" w:hAnsi="Arial Narrow"/>
                <w:iCs/>
                <w:sz w:val="20"/>
                <w:vertAlign w:val="superscript"/>
              </w:rPr>
              <w:t>a</w:t>
            </w:r>
            <w:proofErr w:type="gramEnd"/>
          </w:p>
        </w:tc>
        <w:tc>
          <w:tcPr>
            <w:tcW w:w="1342" w:type="pct"/>
            <w:gridSpan w:val="2"/>
            <w:shd w:val="clear" w:color="auto" w:fill="auto"/>
            <w:vAlign w:val="center"/>
          </w:tcPr>
          <w:p w14:paraId="4A7432FF" w14:textId="3FC025DB" w:rsidR="00523DBD" w:rsidRPr="006710E4" w:rsidRDefault="003E417C" w:rsidP="00FD62B4">
            <w:pPr>
              <w:keepNext/>
              <w:keepLines/>
              <w:widowControl/>
              <w:jc w:val="center"/>
              <w:rPr>
                <w:rFonts w:ascii="Arial Narrow" w:hAnsi="Arial Narrow"/>
                <w:sz w:val="20"/>
              </w:rPr>
            </w:pPr>
            <w:r w:rsidRPr="003E417C">
              <w:rPr>
                <w:rFonts w:ascii="Arial Narrow" w:hAnsi="Arial Narrow"/>
                <w:i/>
                <w:iCs/>
                <w:sz w:val="20"/>
              </w:rPr>
              <w:t>$</w:t>
            </w:r>
            <w:r w:rsidR="00217797" w:rsidRPr="00217797">
              <w:rPr>
                <w:rFonts w:ascii="Arial Narrow" w:hAnsi="Arial Narrow"/>
                <w:color w:val="000000"/>
                <w:sz w:val="20"/>
                <w:shd w:val="solid" w:color="000000" w:fill="000000"/>
                <w14:textFill>
                  <w14:solidFill>
                    <w14:srgbClr w14:val="000000">
                      <w14:alpha w14:val="100000"/>
                    </w14:srgbClr>
                  </w14:solidFill>
                </w14:textFill>
              </w:rPr>
              <w:t>|</w:t>
            </w:r>
            <w:r w:rsidR="00620AFC">
              <w:rPr>
                <w:rFonts w:ascii="Arial Narrow" w:hAnsi="Arial Narrow"/>
                <w:i/>
                <w:iCs/>
                <w:sz w:val="20"/>
              </w:rPr>
              <w:t xml:space="preserve"> </w:t>
            </w:r>
            <w:r w:rsidR="00523DBD" w:rsidRPr="006710E4">
              <w:rPr>
                <w:rFonts w:ascii="Arial Narrow" w:hAnsi="Arial Narrow"/>
                <w:iCs/>
                <w:sz w:val="20"/>
                <w:vertAlign w:val="superscript"/>
              </w:rPr>
              <w:t>b</w:t>
            </w:r>
          </w:p>
        </w:tc>
        <w:tc>
          <w:tcPr>
            <w:tcW w:w="1561" w:type="pct"/>
            <w:gridSpan w:val="2"/>
            <w:shd w:val="clear" w:color="auto" w:fill="auto"/>
          </w:tcPr>
          <w:p w14:paraId="56E6BC36" w14:textId="0636072D" w:rsidR="00523DBD" w:rsidRPr="006710E4" w:rsidRDefault="00523DBD" w:rsidP="00FD62B4">
            <w:pPr>
              <w:keepNext/>
              <w:keepLines/>
              <w:widowControl/>
              <w:jc w:val="center"/>
              <w:rPr>
                <w:rFonts w:ascii="Arial Narrow" w:hAnsi="Arial Narrow"/>
                <w:sz w:val="20"/>
              </w:rPr>
            </w:pPr>
            <w:r w:rsidRPr="006710E4">
              <w:rPr>
                <w:rFonts w:ascii="Arial Narrow" w:hAnsi="Arial Narrow"/>
                <w:sz w:val="20"/>
              </w:rPr>
              <w:t>$</w:t>
            </w:r>
            <w:r w:rsidR="00217797" w:rsidRPr="00217797">
              <w:rPr>
                <w:rFonts w:ascii="Arial Narrow" w:hAnsi="Arial Narrow"/>
                <w:color w:val="000000"/>
                <w:sz w:val="20"/>
                <w:shd w:val="solid" w:color="000000" w:fill="000000"/>
                <w14:textFill>
                  <w14:solidFill>
                    <w14:srgbClr w14:val="000000">
                      <w14:alpha w14:val="100000"/>
                    </w14:srgbClr>
                  </w14:solidFill>
                </w14:textFill>
              </w:rPr>
              <w:t>|</w:t>
            </w:r>
            <w:r w:rsidRPr="006710E4">
              <w:rPr>
                <w:rFonts w:ascii="Arial Narrow" w:hAnsi="Arial Narrow"/>
                <w:sz w:val="20"/>
              </w:rPr>
              <w:t xml:space="preserve"> </w:t>
            </w:r>
            <w:r w:rsidRPr="006710E4">
              <w:rPr>
                <w:rFonts w:ascii="Arial Narrow" w:hAnsi="Arial Narrow"/>
                <w:sz w:val="20"/>
                <w:vertAlign w:val="superscript"/>
              </w:rPr>
              <w:t>d</w:t>
            </w:r>
          </w:p>
        </w:tc>
        <w:tc>
          <w:tcPr>
            <w:tcW w:w="612" w:type="pct"/>
            <w:vAlign w:val="center"/>
          </w:tcPr>
          <w:p w14:paraId="6CCF42C6" w14:textId="5AE46C39" w:rsidR="00523DBD" w:rsidRPr="006710E4" w:rsidRDefault="00523DBD" w:rsidP="00FD62B4">
            <w:pPr>
              <w:keepNext/>
              <w:keepLines/>
              <w:widowControl/>
              <w:jc w:val="center"/>
              <w:rPr>
                <w:rFonts w:ascii="Arial Narrow" w:hAnsi="Arial Narrow"/>
                <w:sz w:val="20"/>
              </w:rPr>
            </w:pPr>
            <w:r w:rsidRPr="006710E4">
              <w:rPr>
                <w:rFonts w:ascii="Arial Narrow" w:hAnsi="Arial Narrow"/>
                <w:sz w:val="20"/>
              </w:rPr>
              <w:t>$</w:t>
            </w:r>
            <w:r w:rsidR="00217797" w:rsidRPr="00217797">
              <w:rPr>
                <w:rFonts w:ascii="Arial Narrow" w:hAnsi="Arial Narrow" w:hint="eastAsia"/>
                <w:color w:val="000000"/>
                <w:w w:val="20"/>
                <w:sz w:val="20"/>
                <w:shd w:val="solid" w:color="000000" w:fill="000000"/>
                <w:fitText w:val="90" w:id="-1502445296"/>
                <w14:textFill>
                  <w14:solidFill>
                    <w14:srgbClr w14:val="000000">
                      <w14:alpha w14:val="100000"/>
                    </w14:srgbClr>
                  </w14:solidFill>
                </w14:textFill>
              </w:rPr>
              <w:t xml:space="preserve">　</w:t>
            </w:r>
            <w:r w:rsidR="00217797" w:rsidRPr="00217797">
              <w:rPr>
                <w:rFonts w:ascii="Arial Narrow" w:hAnsi="Arial Narrow"/>
                <w:color w:val="000000"/>
                <w:w w:val="20"/>
                <w:sz w:val="20"/>
                <w:shd w:val="solid" w:color="000000" w:fill="000000"/>
                <w:fitText w:val="90" w:id="-1502445296"/>
                <w14:textFill>
                  <w14:solidFill>
                    <w14:srgbClr w14:val="000000">
                      <w14:alpha w14:val="100000"/>
                    </w14:srgbClr>
                  </w14:solidFill>
                </w14:textFill>
              </w:rPr>
              <w:t>|</w:t>
            </w:r>
            <w:r w:rsidR="00217797" w:rsidRPr="00217797">
              <w:rPr>
                <w:rFonts w:ascii="Arial Narrow" w:hAnsi="Arial Narrow" w:hint="eastAsia"/>
                <w:color w:val="000000"/>
                <w:spacing w:val="3"/>
                <w:w w:val="20"/>
                <w:sz w:val="20"/>
                <w:shd w:val="solid" w:color="000000" w:fill="000000"/>
                <w:fitText w:val="90" w:id="-1502445296"/>
                <w14:textFill>
                  <w14:solidFill>
                    <w14:srgbClr w14:val="000000">
                      <w14:alpha w14:val="100000"/>
                    </w14:srgbClr>
                  </w14:solidFill>
                </w14:textFill>
              </w:rPr>
              <w:t xml:space="preserve">　</w:t>
            </w:r>
            <w:r w:rsidRPr="006710E4">
              <w:rPr>
                <w:rFonts w:ascii="Arial Narrow" w:hAnsi="Arial Narrow"/>
                <w:sz w:val="20"/>
                <w:vertAlign w:val="superscript"/>
              </w:rPr>
              <w:t>f</w:t>
            </w:r>
          </w:p>
        </w:tc>
      </w:tr>
    </w:tbl>
    <w:p w14:paraId="7DBD8D0C" w14:textId="4CE9CA5E" w:rsidR="00F07B7E" w:rsidRPr="006710E4" w:rsidRDefault="00F07B7E" w:rsidP="00BB4FF9">
      <w:pPr>
        <w:pStyle w:val="TableFooter"/>
        <w:keepNext/>
        <w:keepLines/>
        <w:widowControl/>
      </w:pPr>
      <w:r w:rsidRPr="006710E4">
        <w:t xml:space="preserve">Source: </w:t>
      </w:r>
      <w:r w:rsidR="00796B3A" w:rsidRPr="006710E4">
        <w:t>sheets “Costs” and “</w:t>
      </w:r>
      <w:proofErr w:type="spellStart"/>
      <w:r w:rsidR="00796B3A" w:rsidRPr="006710E4">
        <w:t>Dostarlimab</w:t>
      </w:r>
      <w:proofErr w:type="spellEnd"/>
      <w:r w:rsidR="00796B3A" w:rsidRPr="006710E4">
        <w:t>” of the economic model titled “</w:t>
      </w:r>
      <w:proofErr w:type="spellStart"/>
      <w:r w:rsidR="00796B3A" w:rsidRPr="006710E4">
        <w:t>Jemperli</w:t>
      </w:r>
      <w:proofErr w:type="spellEnd"/>
      <w:r w:rsidR="00796B3A" w:rsidRPr="006710E4">
        <w:t xml:space="preserve"> (</w:t>
      </w:r>
      <w:proofErr w:type="spellStart"/>
      <w:r w:rsidR="00796B3A" w:rsidRPr="006710E4">
        <w:t>dostarlimab</w:t>
      </w:r>
      <w:proofErr w:type="spellEnd"/>
      <w:r w:rsidR="00796B3A" w:rsidRPr="006710E4">
        <w:t xml:space="preserve">) 2L </w:t>
      </w:r>
      <w:proofErr w:type="spellStart"/>
      <w:r w:rsidR="00796B3A" w:rsidRPr="006710E4">
        <w:t>dMMR</w:t>
      </w:r>
      <w:proofErr w:type="spellEnd"/>
      <w:r w:rsidR="00796B3A" w:rsidRPr="006710E4">
        <w:t xml:space="preserve"> EC CUA” and sheets “4a Scripts – affected” and “4b Impact – affected (pub)” of the </w:t>
      </w:r>
      <w:r w:rsidR="002C2DA2" w:rsidRPr="006710E4">
        <w:t>financial mo</w:t>
      </w:r>
      <w:r w:rsidR="00796B3A" w:rsidRPr="006710E4">
        <w:t>del titled “</w:t>
      </w:r>
      <w:proofErr w:type="spellStart"/>
      <w:r w:rsidR="00796B3A" w:rsidRPr="006710E4">
        <w:t>Jemperli</w:t>
      </w:r>
      <w:proofErr w:type="spellEnd"/>
      <w:r w:rsidR="00796B3A" w:rsidRPr="006710E4">
        <w:t xml:space="preserve"> (</w:t>
      </w:r>
      <w:proofErr w:type="spellStart"/>
      <w:r w:rsidR="00796B3A" w:rsidRPr="006710E4">
        <w:t>dostarlimab</w:t>
      </w:r>
      <w:proofErr w:type="spellEnd"/>
      <w:r w:rsidR="00796B3A" w:rsidRPr="006710E4">
        <w:t xml:space="preserve">) 2L </w:t>
      </w:r>
      <w:proofErr w:type="spellStart"/>
      <w:r w:rsidR="00796B3A" w:rsidRPr="006710E4">
        <w:t>dMMR</w:t>
      </w:r>
      <w:proofErr w:type="spellEnd"/>
      <w:r w:rsidR="00796B3A" w:rsidRPr="006710E4">
        <w:t xml:space="preserve"> EC BIM”.</w:t>
      </w:r>
    </w:p>
    <w:p w14:paraId="52A72C52" w14:textId="0F052C68" w:rsidR="00F16A9A" w:rsidRPr="006710E4" w:rsidRDefault="00F16A9A" w:rsidP="00BB4FF9">
      <w:pPr>
        <w:pStyle w:val="TableFooter"/>
        <w:keepNext/>
        <w:keepLines/>
        <w:widowControl/>
      </w:pPr>
      <w:r w:rsidRPr="006710E4">
        <w:t>Q3W</w:t>
      </w:r>
      <w:r w:rsidR="00567140" w:rsidRPr="006710E4">
        <w:t xml:space="preserve"> = every 3 weeks</w:t>
      </w:r>
      <w:r w:rsidRPr="006710E4">
        <w:t xml:space="preserve">; Q6W </w:t>
      </w:r>
      <w:r w:rsidR="00567140" w:rsidRPr="006710E4">
        <w:t>= every 6 weeks.</w:t>
      </w:r>
      <w:r w:rsidRPr="006710E4">
        <w:t xml:space="preserve"> </w:t>
      </w:r>
    </w:p>
    <w:p w14:paraId="129F5873" w14:textId="2CF473BF" w:rsidR="00EC37AF" w:rsidRPr="006710E4" w:rsidRDefault="009A69EE" w:rsidP="00BB4FF9">
      <w:pPr>
        <w:pStyle w:val="TableFooter"/>
        <w:keepNext/>
        <w:keepLines/>
        <w:widowControl/>
      </w:pPr>
      <w:r w:rsidRPr="006710E4">
        <w:t xml:space="preserve">a </w:t>
      </w:r>
      <w:r w:rsidR="0029663F" w:rsidRPr="006710E4">
        <w:t xml:space="preserve">Price based on 9.63 administrations required for a period of 40.8 weeks </w:t>
      </w:r>
      <w:r w:rsidR="00CA0D64" w:rsidRPr="006710E4">
        <w:t>($</w:t>
      </w:r>
      <w:proofErr w:type="gramStart"/>
      <w:r w:rsidR="00217797" w:rsidRPr="00217797">
        <w:rPr>
          <w:color w:val="000000"/>
          <w:spacing w:val="40"/>
          <w:shd w:val="solid" w:color="000000" w:fill="000000"/>
          <w:fitText w:val="280" w:id="-1502445312"/>
          <w14:textFill>
            <w14:solidFill>
              <w14:srgbClr w14:val="000000">
                <w14:alpha w14:val="100000"/>
              </w14:srgbClr>
            </w14:solidFill>
          </w14:textFill>
        </w:rPr>
        <w:t xml:space="preserve">|  </w:t>
      </w:r>
      <w:r w:rsidR="00217797" w:rsidRPr="00217797">
        <w:rPr>
          <w:color w:val="000000"/>
          <w:spacing w:val="2"/>
          <w:shd w:val="solid" w:color="000000" w:fill="000000"/>
          <w:fitText w:val="280" w:id="-1502445312"/>
          <w14:textFill>
            <w14:solidFill>
              <w14:srgbClr w14:val="000000">
                <w14:alpha w14:val="100000"/>
              </w14:srgbClr>
            </w14:solidFill>
          </w14:textFill>
        </w:rPr>
        <w:t>|</w:t>
      </w:r>
      <w:proofErr w:type="gramEnd"/>
      <w:r w:rsidR="0029663F" w:rsidRPr="006710E4">
        <w:t>*first 4 doses + $</w:t>
      </w:r>
      <w:r w:rsidR="00217797" w:rsidRPr="00217797">
        <w:rPr>
          <w:color w:val="000000"/>
          <w:spacing w:val="35"/>
          <w:shd w:val="solid" w:color="000000" w:fill="000000"/>
          <w:fitText w:val="265" w:id="-1502445311"/>
          <w14:textFill>
            <w14:solidFill>
              <w14:srgbClr w14:val="000000">
                <w14:alpha w14:val="100000"/>
              </w14:srgbClr>
            </w14:solidFill>
          </w14:textFill>
        </w:rPr>
        <w:t xml:space="preserve">|  </w:t>
      </w:r>
      <w:r w:rsidR="00217797" w:rsidRPr="00217797">
        <w:rPr>
          <w:color w:val="000000"/>
          <w:spacing w:val="2"/>
          <w:shd w:val="solid" w:color="000000" w:fill="000000"/>
          <w:fitText w:val="265" w:id="-1502445311"/>
          <w14:textFill>
            <w14:solidFill>
              <w14:srgbClr w14:val="000000">
                <w14:alpha w14:val="100000"/>
              </w14:srgbClr>
            </w14:solidFill>
          </w14:textFill>
        </w:rPr>
        <w:t>|</w:t>
      </w:r>
      <w:r w:rsidR="0029663F" w:rsidRPr="006710E4">
        <w:t>*5.63 subsequent doses). Weighted 35% public and 65% private, as used in the model and financial estimates.</w:t>
      </w:r>
    </w:p>
    <w:p w14:paraId="0D269A80" w14:textId="6CC04A8C" w:rsidR="009A69EE" w:rsidRPr="00A41A77" w:rsidRDefault="00EC37AF" w:rsidP="00BB4FF9">
      <w:pPr>
        <w:pStyle w:val="TableFooter"/>
        <w:keepNext/>
        <w:keepLines/>
        <w:widowControl/>
      </w:pPr>
      <w:r w:rsidRPr="00A41A77">
        <w:t xml:space="preserve">b </w:t>
      </w:r>
      <w:proofErr w:type="gramStart"/>
      <w:r w:rsidR="002D6DB7" w:rsidRPr="00A41A77">
        <w:t>As</w:t>
      </w:r>
      <w:proofErr w:type="gramEnd"/>
      <w:r w:rsidR="002D6DB7" w:rsidRPr="00A41A77">
        <w:t xml:space="preserve"> </w:t>
      </w:r>
      <w:r w:rsidR="003E417C" w:rsidRPr="00A41A77">
        <w:t xml:space="preserve">updated in </w:t>
      </w:r>
      <w:r w:rsidR="00A41A77">
        <w:t xml:space="preserve">the </w:t>
      </w:r>
      <w:r w:rsidR="00A41A77" w:rsidRPr="00A41A77">
        <w:t>pre-PBAC</w:t>
      </w:r>
      <w:r w:rsidR="00620AFC">
        <w:t xml:space="preserve"> response</w:t>
      </w:r>
      <w:r w:rsidR="00A41A77" w:rsidRPr="00A41A77">
        <w:t xml:space="preserve"> </w:t>
      </w:r>
      <w:r w:rsidR="003E417C" w:rsidRPr="00A41A77">
        <w:t>(removal of half-cycle correction</w:t>
      </w:r>
      <w:r w:rsidR="00A41A77">
        <w:t>, 6.25 year time horizon and removal of terminal care cost,</w:t>
      </w:r>
      <w:r w:rsidR="003E417C" w:rsidRPr="00A41A77">
        <w:t xml:space="preserve"> and incorporating lower AEMP), undiscounted. </w:t>
      </w:r>
    </w:p>
    <w:p w14:paraId="3014B580" w14:textId="1B26FF99" w:rsidR="00E521DD" w:rsidRPr="006710E4" w:rsidRDefault="00523DBD" w:rsidP="00BB4FF9">
      <w:pPr>
        <w:pStyle w:val="TableFooter"/>
        <w:keepNext/>
        <w:keepLines/>
        <w:widowControl/>
      </w:pPr>
      <w:r w:rsidRPr="006710E4">
        <w:t>c</w:t>
      </w:r>
      <w:r w:rsidR="00E521DD" w:rsidRPr="006710E4">
        <w:t xml:space="preserve"> Based on a median treatment duration of 4 cycles, in line with the </w:t>
      </w:r>
      <w:proofErr w:type="spellStart"/>
      <w:r w:rsidR="00E521DD" w:rsidRPr="006710E4">
        <w:t>ZoptEC</w:t>
      </w:r>
      <w:proofErr w:type="spellEnd"/>
      <w:r w:rsidR="00E521DD" w:rsidRPr="006710E4">
        <w:t xml:space="preserve"> trial.</w:t>
      </w:r>
    </w:p>
    <w:p w14:paraId="04254418" w14:textId="26C19460" w:rsidR="00E521DD" w:rsidRPr="006710E4" w:rsidRDefault="00523DBD" w:rsidP="00BB4FF9">
      <w:pPr>
        <w:pStyle w:val="TableFooter"/>
        <w:keepNext/>
        <w:keepLines/>
        <w:widowControl/>
      </w:pPr>
      <w:r w:rsidRPr="006710E4">
        <w:t>d</w:t>
      </w:r>
      <w:r w:rsidR="00E521DD" w:rsidRPr="006710E4">
        <w:t xml:space="preserve"> Price per total drug costs per course of doxorubicin ($</w:t>
      </w:r>
      <w:proofErr w:type="gramStart"/>
      <w:r w:rsidR="00217797" w:rsidRPr="00217797">
        <w:rPr>
          <w:color w:val="000000"/>
          <w:spacing w:val="40"/>
          <w:shd w:val="solid" w:color="000000" w:fill="000000"/>
          <w:fitText w:val="280" w:id="-1502445310"/>
          <w14:textFill>
            <w14:solidFill>
              <w14:srgbClr w14:val="000000">
                <w14:alpha w14:val="100000"/>
              </w14:srgbClr>
            </w14:solidFill>
          </w14:textFill>
        </w:rPr>
        <w:t xml:space="preserve">|  </w:t>
      </w:r>
      <w:r w:rsidR="00217797" w:rsidRPr="00217797">
        <w:rPr>
          <w:color w:val="000000"/>
          <w:spacing w:val="2"/>
          <w:shd w:val="solid" w:color="000000" w:fill="000000"/>
          <w:fitText w:val="280" w:id="-1502445310"/>
          <w14:textFill>
            <w14:solidFill>
              <w14:srgbClr w14:val="000000">
                <w14:alpha w14:val="100000"/>
              </w14:srgbClr>
            </w14:solidFill>
          </w14:textFill>
        </w:rPr>
        <w:t>|</w:t>
      </w:r>
      <w:proofErr w:type="gramEnd"/>
      <w:r w:rsidR="00E521DD" w:rsidRPr="006710E4">
        <w:t xml:space="preserve"> per cycle*median of 4 cycles per course). Weighted 35% public and 65% private, </w:t>
      </w:r>
      <w:r w:rsidR="003C367F" w:rsidRPr="006710E4">
        <w:t xml:space="preserve">as used in the model and financial estimates. </w:t>
      </w:r>
    </w:p>
    <w:p w14:paraId="4D1E47FD" w14:textId="1E0FA1E4" w:rsidR="00E521DD" w:rsidRPr="006710E4" w:rsidRDefault="00523DBD" w:rsidP="00BB4FF9">
      <w:pPr>
        <w:pStyle w:val="TableFooter"/>
        <w:keepNext/>
        <w:keepLines/>
        <w:widowControl/>
      </w:pPr>
      <w:r w:rsidRPr="006710E4">
        <w:t>e</w:t>
      </w:r>
      <w:r w:rsidR="00E521DD" w:rsidRPr="006710E4">
        <w:t xml:space="preserve"> Based on a median treatment duration of 4.25 cycles, in line the UK RWE</w:t>
      </w:r>
      <w:r w:rsidR="003C367F" w:rsidRPr="006710E4">
        <w:t xml:space="preserve"> study</w:t>
      </w:r>
      <w:r w:rsidR="00E521DD" w:rsidRPr="006710E4">
        <w:t>.</w:t>
      </w:r>
      <w:r w:rsidR="003C367F" w:rsidRPr="006710E4">
        <w:t xml:space="preserve"> </w:t>
      </w:r>
    </w:p>
    <w:p w14:paraId="5CC46622" w14:textId="46418A0F" w:rsidR="00647E32" w:rsidRPr="006710E4" w:rsidRDefault="00523DBD" w:rsidP="00BB4FF9">
      <w:pPr>
        <w:pStyle w:val="TableFooter"/>
        <w:keepNext/>
        <w:keepLines/>
        <w:widowControl/>
      </w:pPr>
      <w:r w:rsidRPr="006710E4">
        <w:t>f</w:t>
      </w:r>
      <w:r w:rsidR="00E521DD" w:rsidRPr="006710E4">
        <w:t xml:space="preserve"> Price per total drug costs per course of carboplatin and/or doxorubicin and/or paclitaxel </w:t>
      </w:r>
      <w:r w:rsidR="003C367F" w:rsidRPr="006710E4">
        <w:t xml:space="preserve">(either as single agent or as part of combination) considering the proportional utilisation based on the UK RWE study </w:t>
      </w:r>
      <w:r w:rsidR="00E521DD" w:rsidRPr="006710E4">
        <w:t>($</w:t>
      </w:r>
      <w:proofErr w:type="gramStart"/>
      <w:r w:rsidR="00217797" w:rsidRPr="00217797">
        <w:rPr>
          <w:color w:val="000000"/>
          <w:spacing w:val="40"/>
          <w:shd w:val="solid" w:color="000000" w:fill="000000"/>
          <w:fitText w:val="280" w:id="-1502445309"/>
          <w14:textFill>
            <w14:solidFill>
              <w14:srgbClr w14:val="000000">
                <w14:alpha w14:val="100000"/>
              </w14:srgbClr>
            </w14:solidFill>
          </w14:textFill>
        </w:rPr>
        <w:t xml:space="preserve">|  </w:t>
      </w:r>
      <w:r w:rsidR="00217797" w:rsidRPr="00217797">
        <w:rPr>
          <w:color w:val="000000"/>
          <w:spacing w:val="2"/>
          <w:shd w:val="solid" w:color="000000" w:fill="000000"/>
          <w:fitText w:val="280" w:id="-1502445309"/>
          <w14:textFill>
            <w14:solidFill>
              <w14:srgbClr w14:val="000000">
                <w14:alpha w14:val="100000"/>
              </w14:srgbClr>
            </w14:solidFill>
          </w14:textFill>
        </w:rPr>
        <w:t>|</w:t>
      </w:r>
      <w:proofErr w:type="gramEnd"/>
      <w:r w:rsidR="00E521DD" w:rsidRPr="006710E4">
        <w:t>*</w:t>
      </w:r>
      <w:r w:rsidR="003C367F" w:rsidRPr="006710E4">
        <w:t>68</w:t>
      </w:r>
      <w:r w:rsidR="00E521DD" w:rsidRPr="006710E4">
        <w:t>% + $</w:t>
      </w:r>
      <w:r w:rsidR="00217797" w:rsidRPr="00217797">
        <w:rPr>
          <w:color w:val="000000"/>
          <w:spacing w:val="40"/>
          <w:shd w:val="solid" w:color="000000" w:fill="000000"/>
          <w:fitText w:val="280" w:id="-1502445308"/>
          <w14:textFill>
            <w14:solidFill>
              <w14:srgbClr w14:val="000000">
                <w14:alpha w14:val="100000"/>
              </w14:srgbClr>
            </w14:solidFill>
          </w14:textFill>
        </w:rPr>
        <w:t xml:space="preserve">|  </w:t>
      </w:r>
      <w:r w:rsidR="00217797" w:rsidRPr="00217797">
        <w:rPr>
          <w:color w:val="000000"/>
          <w:spacing w:val="2"/>
          <w:shd w:val="solid" w:color="000000" w:fill="000000"/>
          <w:fitText w:val="280" w:id="-1502445308"/>
          <w14:textFill>
            <w14:solidFill>
              <w14:srgbClr w14:val="000000">
                <w14:alpha w14:val="100000"/>
              </w14:srgbClr>
            </w14:solidFill>
          </w14:textFill>
        </w:rPr>
        <w:t>|</w:t>
      </w:r>
      <w:r w:rsidR="00E521DD" w:rsidRPr="006710E4">
        <w:t>*</w:t>
      </w:r>
      <w:r w:rsidR="003C367F" w:rsidRPr="006710E4">
        <w:t>36</w:t>
      </w:r>
      <w:r w:rsidR="00E521DD" w:rsidRPr="006710E4">
        <w:t xml:space="preserve">% + </w:t>
      </w:r>
      <w:r w:rsidR="00892EA4">
        <w:t>$</w:t>
      </w:r>
      <w:r w:rsidR="00217797" w:rsidRPr="00217797">
        <w:rPr>
          <w:color w:val="000000"/>
          <w:spacing w:val="40"/>
          <w:shd w:val="solid" w:color="000000" w:fill="000000"/>
          <w:fitText w:val="280" w:id="-1502445307"/>
          <w14:textFill>
            <w14:solidFill>
              <w14:srgbClr w14:val="000000">
                <w14:alpha w14:val="100000"/>
              </w14:srgbClr>
            </w14:solidFill>
          </w14:textFill>
        </w:rPr>
        <w:t xml:space="preserve">|  </w:t>
      </w:r>
      <w:r w:rsidR="00217797" w:rsidRPr="00217797">
        <w:rPr>
          <w:color w:val="000000"/>
          <w:spacing w:val="2"/>
          <w:shd w:val="solid" w:color="000000" w:fill="000000"/>
          <w:fitText w:val="280" w:id="-1502445307"/>
          <w14:textFill>
            <w14:solidFill>
              <w14:srgbClr w14:val="000000">
                <w14:alpha w14:val="100000"/>
              </w14:srgbClr>
            </w14:solidFill>
          </w14:textFill>
        </w:rPr>
        <w:t>|</w:t>
      </w:r>
      <w:r w:rsidR="00E521DD" w:rsidRPr="006710E4">
        <w:t>*</w:t>
      </w:r>
      <w:r w:rsidR="003C367F" w:rsidRPr="006710E4">
        <w:t>52</w:t>
      </w:r>
      <w:r w:rsidR="00E521DD" w:rsidRPr="006710E4">
        <w:t>% respectively per cycle*median of 4.25 cycles per course).</w:t>
      </w:r>
      <w:r w:rsidR="003C367F" w:rsidRPr="006710E4">
        <w:t xml:space="preserve"> Weighted 35% public and 65% private, as used in the model and financial estimates.</w:t>
      </w:r>
    </w:p>
    <w:p w14:paraId="4702A06C" w14:textId="6020D554" w:rsidR="00F07B7E" w:rsidRPr="006710E4" w:rsidRDefault="00F07B7E" w:rsidP="000E60CF">
      <w:pPr>
        <w:widowControl/>
      </w:pPr>
    </w:p>
    <w:p w14:paraId="268768EF" w14:textId="77777777" w:rsidR="00B60939" w:rsidRPr="004625F2" w:rsidRDefault="00B60939" w:rsidP="00C9624D">
      <w:pPr>
        <w:pStyle w:val="Heading2"/>
        <w:rPr>
          <w:iCs/>
        </w:rPr>
      </w:pPr>
      <w:bookmarkStart w:id="49" w:name="_Toc93481986"/>
      <w:r w:rsidRPr="004625F2">
        <w:rPr>
          <w:iCs/>
        </w:rPr>
        <w:t>Estimated PBS usage &amp; financial implications</w:t>
      </w:r>
      <w:bookmarkEnd w:id="49"/>
    </w:p>
    <w:p w14:paraId="33D1652D" w14:textId="77777777" w:rsidR="00B60939" w:rsidRPr="006710E4" w:rsidRDefault="00B60939" w:rsidP="00B60939">
      <w:pPr>
        <w:ind w:left="720" w:hanging="720"/>
        <w:rPr>
          <w:b/>
        </w:rPr>
      </w:pPr>
    </w:p>
    <w:p w14:paraId="2442CBC4" w14:textId="1CF35011" w:rsidR="00C4440A" w:rsidRPr="00FF79DB" w:rsidRDefault="00C4440A" w:rsidP="00C4440A">
      <w:pPr>
        <w:pStyle w:val="ListParagraph"/>
        <w:widowControl/>
        <w:numPr>
          <w:ilvl w:val="1"/>
          <w:numId w:val="2"/>
        </w:numPr>
      </w:pPr>
      <w:r w:rsidRPr="00FF79DB">
        <w:t>This submission w</w:t>
      </w:r>
      <w:r>
        <w:t>as</w:t>
      </w:r>
      <w:r w:rsidRPr="00FF79DB">
        <w:t xml:space="preserve"> considered by DUSC</w:t>
      </w:r>
      <w:r w:rsidRPr="00C4440A">
        <w:t>.</w:t>
      </w:r>
    </w:p>
    <w:p w14:paraId="318FD893" w14:textId="7F2E0DA6" w:rsidR="00C4440A" w:rsidRPr="00FF79DB" w:rsidRDefault="00C4440A" w:rsidP="00C4440A">
      <w:pPr>
        <w:pStyle w:val="ListParagraph"/>
        <w:widowControl/>
        <w:numPr>
          <w:ilvl w:val="1"/>
          <w:numId w:val="2"/>
        </w:numPr>
      </w:pPr>
      <w:r w:rsidRPr="00FF79DB">
        <w:t xml:space="preserve">The submission used an epidemiological approach to estimate the utilisation and financial impact of listing </w:t>
      </w:r>
      <w:proofErr w:type="spellStart"/>
      <w:r w:rsidRPr="00FF79DB">
        <w:t>dostarlimab</w:t>
      </w:r>
      <w:proofErr w:type="spellEnd"/>
      <w:r w:rsidRPr="00FF79DB">
        <w:t xml:space="preserve"> on the PBS for 2L </w:t>
      </w:r>
      <w:proofErr w:type="spellStart"/>
      <w:r w:rsidRPr="00FF79DB">
        <w:t>dMMR</w:t>
      </w:r>
      <w:proofErr w:type="spellEnd"/>
      <w:r w:rsidRPr="00FF79DB">
        <w:t xml:space="preserve"> A/R EC. A summary of the key assumptions used to calculate the financial estimates is presented in </w:t>
      </w:r>
      <w:r w:rsidRPr="00FF79DB">
        <w:fldChar w:fldCharType="begin"/>
      </w:r>
      <w:r w:rsidRPr="00FF79DB">
        <w:instrText xml:space="preserve"> REF _Ref92105534 \h  \* MERGEFORMAT </w:instrText>
      </w:r>
      <w:r w:rsidRPr="00FF79DB">
        <w:fldChar w:fldCharType="separate"/>
      </w:r>
      <w:r w:rsidR="004975AD" w:rsidRPr="004975AD">
        <w:t>Table 14</w:t>
      </w:r>
      <w:r w:rsidRPr="00FF79DB">
        <w:fldChar w:fldCharType="end"/>
      </w:r>
      <w:r w:rsidRPr="00FF79DB">
        <w:t>.</w:t>
      </w:r>
    </w:p>
    <w:p w14:paraId="767445FB" w14:textId="2E713F9F" w:rsidR="00C4440A" w:rsidRPr="00FF79DB" w:rsidRDefault="00C4440A" w:rsidP="002D5868">
      <w:pPr>
        <w:keepNext/>
        <w:widowControl/>
        <w:rPr>
          <w:rStyle w:val="CommentReference"/>
        </w:rPr>
      </w:pPr>
      <w:bookmarkStart w:id="50" w:name="_Ref92105534"/>
      <w:r w:rsidRPr="00FF79DB">
        <w:rPr>
          <w:rStyle w:val="CommentReference"/>
        </w:rPr>
        <w:t xml:space="preserve">Table </w:t>
      </w:r>
      <w:r w:rsidRPr="00FF79DB">
        <w:rPr>
          <w:rStyle w:val="CommentReference"/>
        </w:rPr>
        <w:fldChar w:fldCharType="begin"/>
      </w:r>
      <w:r w:rsidRPr="00FF79DB">
        <w:rPr>
          <w:rStyle w:val="CommentReference"/>
        </w:rPr>
        <w:instrText xml:space="preserve"> SEQ Table \* ARABIC </w:instrText>
      </w:r>
      <w:r w:rsidRPr="00FF79DB">
        <w:rPr>
          <w:rStyle w:val="CommentReference"/>
        </w:rPr>
        <w:fldChar w:fldCharType="separate"/>
      </w:r>
      <w:r w:rsidR="004975AD">
        <w:rPr>
          <w:rStyle w:val="CommentReference"/>
          <w:noProof/>
        </w:rPr>
        <w:t>14</w:t>
      </w:r>
      <w:r w:rsidRPr="00FF79DB">
        <w:rPr>
          <w:rStyle w:val="CommentReference"/>
        </w:rPr>
        <w:fldChar w:fldCharType="end"/>
      </w:r>
      <w:bookmarkEnd w:id="50"/>
      <w:r w:rsidRPr="00FF79DB">
        <w:rPr>
          <w:rStyle w:val="CommentReference"/>
        </w:rPr>
        <w:t>: Data sources and parameter values applied in the utilisation and financial estimates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863"/>
        <w:gridCol w:w="4486"/>
      </w:tblGrid>
      <w:tr w:rsidR="00C4440A" w:rsidRPr="00FF79DB" w14:paraId="02C75061" w14:textId="77777777" w:rsidTr="00DB44EC">
        <w:trPr>
          <w:cantSplit/>
          <w:tblHeader/>
        </w:trPr>
        <w:tc>
          <w:tcPr>
            <w:tcW w:w="0" w:type="auto"/>
            <w:vAlign w:val="center"/>
          </w:tcPr>
          <w:p w14:paraId="65ADB26E" w14:textId="77777777" w:rsidR="00C4440A" w:rsidRPr="00FF79DB" w:rsidRDefault="00C4440A" w:rsidP="002D5868">
            <w:pPr>
              <w:pStyle w:val="Tabletext"/>
              <w:keepNext/>
              <w:rPr>
                <w:b/>
              </w:rPr>
            </w:pPr>
            <w:r w:rsidRPr="00FF79DB">
              <w:rPr>
                <w:b/>
              </w:rPr>
              <w:t>Data</w:t>
            </w:r>
          </w:p>
        </w:tc>
        <w:tc>
          <w:tcPr>
            <w:tcW w:w="2863" w:type="dxa"/>
            <w:vAlign w:val="center"/>
          </w:tcPr>
          <w:p w14:paraId="53A316BA" w14:textId="77777777" w:rsidR="00C4440A" w:rsidRPr="00FF79DB" w:rsidRDefault="00C4440A" w:rsidP="002D5868">
            <w:pPr>
              <w:pStyle w:val="Tabletext"/>
              <w:keepNext/>
              <w:jc w:val="center"/>
              <w:rPr>
                <w:b/>
              </w:rPr>
            </w:pPr>
            <w:r w:rsidRPr="00FF79DB">
              <w:rPr>
                <w:b/>
              </w:rPr>
              <w:t>Value and Source</w:t>
            </w:r>
          </w:p>
        </w:tc>
        <w:tc>
          <w:tcPr>
            <w:tcW w:w="4486" w:type="dxa"/>
            <w:vAlign w:val="center"/>
          </w:tcPr>
          <w:p w14:paraId="32ABC592" w14:textId="77777777" w:rsidR="00C4440A" w:rsidRPr="00FF79DB" w:rsidRDefault="00C4440A" w:rsidP="002D5868">
            <w:pPr>
              <w:pStyle w:val="Tabletext"/>
              <w:keepNext/>
              <w:jc w:val="center"/>
              <w:rPr>
                <w:b/>
              </w:rPr>
            </w:pPr>
            <w:r w:rsidRPr="00FF79DB">
              <w:rPr>
                <w:b/>
              </w:rPr>
              <w:t>Comment</w:t>
            </w:r>
          </w:p>
        </w:tc>
      </w:tr>
      <w:tr w:rsidR="00C4440A" w:rsidRPr="00FF79DB" w14:paraId="01B40EFB" w14:textId="77777777" w:rsidTr="00C4440A">
        <w:trPr>
          <w:cantSplit/>
        </w:trPr>
        <w:tc>
          <w:tcPr>
            <w:tcW w:w="0" w:type="auto"/>
            <w:gridSpan w:val="3"/>
            <w:vAlign w:val="center"/>
          </w:tcPr>
          <w:p w14:paraId="336340A7" w14:textId="77777777" w:rsidR="00C4440A" w:rsidRPr="00FF79DB" w:rsidRDefault="00C4440A" w:rsidP="002D5868">
            <w:pPr>
              <w:pStyle w:val="Tabletext"/>
              <w:keepNext/>
              <w:rPr>
                <w:b/>
              </w:rPr>
            </w:pPr>
            <w:r w:rsidRPr="00FF79DB">
              <w:rPr>
                <w:b/>
              </w:rPr>
              <w:t>Eligible population</w:t>
            </w:r>
          </w:p>
        </w:tc>
      </w:tr>
      <w:tr w:rsidR="00C4440A" w:rsidRPr="00FF79DB" w14:paraId="457A09DB" w14:textId="77777777" w:rsidTr="00DB44EC">
        <w:trPr>
          <w:cantSplit/>
        </w:trPr>
        <w:tc>
          <w:tcPr>
            <w:tcW w:w="0" w:type="auto"/>
            <w:vAlign w:val="center"/>
          </w:tcPr>
          <w:p w14:paraId="73AF6229" w14:textId="77777777" w:rsidR="00C4440A" w:rsidRPr="00FF79DB" w:rsidRDefault="00C4440A" w:rsidP="002D5868">
            <w:pPr>
              <w:pStyle w:val="Tabletext"/>
              <w:keepNext/>
            </w:pPr>
            <w:r w:rsidRPr="00FF79DB">
              <w:t>Incident patients</w:t>
            </w:r>
          </w:p>
        </w:tc>
        <w:tc>
          <w:tcPr>
            <w:tcW w:w="2863" w:type="dxa"/>
            <w:vAlign w:val="center"/>
          </w:tcPr>
          <w:p w14:paraId="2A55BAD4" w14:textId="77777777" w:rsidR="00C4440A" w:rsidRPr="00FF79DB" w:rsidRDefault="00C4440A" w:rsidP="002D5868">
            <w:pPr>
              <w:pStyle w:val="Tabletext"/>
              <w:keepNext/>
            </w:pPr>
            <w:r w:rsidRPr="00FF79DB">
              <w:t>Year 1: 3,395 increasing to Year 6: 4,115</w:t>
            </w:r>
          </w:p>
          <w:p w14:paraId="35ED3234" w14:textId="77777777" w:rsidR="00C4440A" w:rsidRPr="00FF79DB" w:rsidRDefault="00C4440A" w:rsidP="002D5868">
            <w:pPr>
              <w:pStyle w:val="Tabletext"/>
              <w:keepNext/>
            </w:pPr>
            <w:r w:rsidRPr="00FF79DB">
              <w:t>Source: Calculated by applying the average growth rate (3.9%) of uterine cancer incidence projections for 2018-2021 (AIHW) to the incidence of uterine cancer in 2021.</w:t>
            </w:r>
          </w:p>
        </w:tc>
        <w:tc>
          <w:tcPr>
            <w:tcW w:w="4486" w:type="dxa"/>
            <w:vAlign w:val="center"/>
          </w:tcPr>
          <w:p w14:paraId="67ABD0E7" w14:textId="42962F26" w:rsidR="00C4440A" w:rsidRPr="00FF79DB" w:rsidRDefault="00AB3FB7" w:rsidP="002D5868">
            <w:pPr>
              <w:pStyle w:val="Tabletext"/>
              <w:keepNext/>
              <w:rPr>
                <w:i/>
              </w:rPr>
            </w:pPr>
            <w:r w:rsidRPr="00AB3FB7">
              <w:rPr>
                <w:iCs/>
              </w:rPr>
              <w:t xml:space="preserve">DUSC noted that prevalent patients </w:t>
            </w:r>
            <w:r w:rsidR="00E5762F" w:rsidRPr="00E5762F">
              <w:rPr>
                <w:rFonts w:eastAsiaTheme="majorEastAsia" w:cstheme="minorHAnsi"/>
                <w:bCs/>
                <w:szCs w:val="24"/>
                <w:lang w:bidi="en-US"/>
              </w:rPr>
              <w:t xml:space="preserve">(those diagnosed prior to year 1 of the estimates who recur and become eligible for </w:t>
            </w:r>
            <w:proofErr w:type="spellStart"/>
            <w:r w:rsidR="00E5762F" w:rsidRPr="00E5762F">
              <w:rPr>
                <w:rFonts w:eastAsiaTheme="majorEastAsia" w:cstheme="minorHAnsi"/>
                <w:bCs/>
                <w:szCs w:val="24"/>
                <w:lang w:bidi="en-US"/>
              </w:rPr>
              <w:t>dostarlimab</w:t>
            </w:r>
            <w:proofErr w:type="spellEnd"/>
            <w:r w:rsidR="00E5762F" w:rsidRPr="00E5762F">
              <w:rPr>
                <w:rFonts w:eastAsiaTheme="majorEastAsia" w:cstheme="minorHAnsi"/>
                <w:bCs/>
                <w:szCs w:val="24"/>
                <w:lang w:bidi="en-US"/>
              </w:rPr>
              <w:t xml:space="preserve">) </w:t>
            </w:r>
            <w:r w:rsidRPr="00AB3FB7">
              <w:rPr>
                <w:iCs/>
              </w:rPr>
              <w:t>should also have been included.</w:t>
            </w:r>
            <w:r w:rsidR="00E5762F">
              <w:rPr>
                <w:iCs/>
              </w:rPr>
              <w:t xml:space="preserve"> The pre-PBAC response argued that </w:t>
            </w:r>
            <w:r w:rsidR="00227728">
              <w:rPr>
                <w:iCs/>
              </w:rPr>
              <w:t xml:space="preserve">these patients were implicitly accounted for given the </w:t>
            </w:r>
            <w:r w:rsidR="00227728" w:rsidRPr="00227728">
              <w:rPr>
                <w:iCs/>
              </w:rPr>
              <w:t xml:space="preserve">prevalent pool of Stage I/II patients diagnosed from 2016 onwards (prior to year 1) </w:t>
            </w:r>
            <w:r w:rsidR="00227728">
              <w:rPr>
                <w:iCs/>
              </w:rPr>
              <w:t>was included (</w:t>
            </w:r>
            <w:r w:rsidR="00227728" w:rsidRPr="00227728">
              <w:rPr>
                <w:iCs/>
              </w:rPr>
              <w:t>adjusted for timing as disease recurrence was expected to occur over time</w:t>
            </w:r>
            <w:r w:rsidR="00227728">
              <w:rPr>
                <w:iCs/>
              </w:rPr>
              <w:t>).</w:t>
            </w:r>
          </w:p>
        </w:tc>
      </w:tr>
      <w:tr w:rsidR="00C4440A" w:rsidRPr="00FF79DB" w14:paraId="2E5956E1" w14:textId="77777777" w:rsidTr="00DB44EC">
        <w:trPr>
          <w:cantSplit/>
        </w:trPr>
        <w:tc>
          <w:tcPr>
            <w:tcW w:w="0" w:type="auto"/>
            <w:vAlign w:val="center"/>
          </w:tcPr>
          <w:p w14:paraId="75D8EB86" w14:textId="77777777" w:rsidR="00C4440A" w:rsidRPr="00FF79DB" w:rsidRDefault="00C4440A" w:rsidP="002D5868">
            <w:pPr>
              <w:pStyle w:val="Tabletext"/>
              <w:keepNext/>
            </w:pPr>
            <w:r w:rsidRPr="00FF79DB">
              <w:t>Proportion of uterine cancer reported as EC</w:t>
            </w:r>
          </w:p>
        </w:tc>
        <w:tc>
          <w:tcPr>
            <w:tcW w:w="2863" w:type="dxa"/>
            <w:vAlign w:val="center"/>
          </w:tcPr>
          <w:p w14:paraId="1DD07323" w14:textId="77777777" w:rsidR="00C4440A" w:rsidRPr="00FF79DB" w:rsidRDefault="00C4440A" w:rsidP="002D5868">
            <w:pPr>
              <w:pStyle w:val="Tabletext"/>
              <w:keepNext/>
            </w:pPr>
            <w:r w:rsidRPr="00FF79DB">
              <w:t>95.0%</w:t>
            </w:r>
          </w:p>
          <w:p w14:paraId="60DDB824" w14:textId="77777777" w:rsidR="00C4440A" w:rsidRPr="00FF79DB" w:rsidRDefault="00C4440A" w:rsidP="002D5868">
            <w:pPr>
              <w:pStyle w:val="Tabletext"/>
              <w:keepNext/>
            </w:pPr>
            <w:r w:rsidRPr="00FF79DB">
              <w:t>Source: NZ Ministry of Health ‘Cancer: New registrations and deaths 2013’.</w:t>
            </w:r>
          </w:p>
        </w:tc>
        <w:tc>
          <w:tcPr>
            <w:tcW w:w="4486" w:type="dxa"/>
            <w:vAlign w:val="center"/>
          </w:tcPr>
          <w:p w14:paraId="34EE2049" w14:textId="6F36A4DA" w:rsidR="00C4440A" w:rsidRPr="00FF79DB" w:rsidRDefault="00AB3FB7" w:rsidP="002D5868">
            <w:pPr>
              <w:pStyle w:val="Tabletext"/>
              <w:keepNext/>
              <w:rPr>
                <w:i/>
              </w:rPr>
            </w:pPr>
            <w:r w:rsidRPr="00AB3FB7">
              <w:rPr>
                <w:iCs/>
              </w:rPr>
              <w:t>DUSC considered this source appeared reasonable.</w:t>
            </w:r>
          </w:p>
        </w:tc>
      </w:tr>
      <w:tr w:rsidR="00C4440A" w:rsidRPr="00FF79DB" w14:paraId="69B20312" w14:textId="77777777" w:rsidTr="00DB44EC">
        <w:trPr>
          <w:cantSplit/>
        </w:trPr>
        <w:tc>
          <w:tcPr>
            <w:tcW w:w="0" w:type="auto"/>
            <w:vAlign w:val="center"/>
          </w:tcPr>
          <w:p w14:paraId="3466BEB8" w14:textId="77777777" w:rsidR="00C4440A" w:rsidRPr="00FF79DB" w:rsidRDefault="00C4440A" w:rsidP="00C4440A">
            <w:pPr>
              <w:pStyle w:val="Tabletext"/>
            </w:pPr>
            <w:r w:rsidRPr="00FF79DB">
              <w:t>Proportion with each staging of disease</w:t>
            </w:r>
          </w:p>
        </w:tc>
        <w:tc>
          <w:tcPr>
            <w:tcW w:w="2863" w:type="dxa"/>
            <w:vAlign w:val="center"/>
          </w:tcPr>
          <w:p w14:paraId="64AF6F89" w14:textId="77777777" w:rsidR="00C4440A" w:rsidRPr="00FF79DB" w:rsidRDefault="00C4440A" w:rsidP="00C4440A">
            <w:pPr>
              <w:pStyle w:val="Tabletext"/>
            </w:pPr>
            <w:r w:rsidRPr="00FF79DB">
              <w:t>I-II: 79.0%</w:t>
            </w:r>
          </w:p>
          <w:p w14:paraId="3956BAAE" w14:textId="77777777" w:rsidR="00C4440A" w:rsidRPr="00FF79DB" w:rsidRDefault="00C4440A" w:rsidP="00C4440A">
            <w:pPr>
              <w:pStyle w:val="Tabletext"/>
            </w:pPr>
            <w:r w:rsidRPr="00FF79DB">
              <w:t>III-IV: 21.0%</w:t>
            </w:r>
          </w:p>
          <w:p w14:paraId="4F446BDE" w14:textId="77777777" w:rsidR="00C4440A" w:rsidRPr="00FF79DB" w:rsidRDefault="00C4440A" w:rsidP="00C4440A">
            <w:pPr>
              <w:pStyle w:val="Tabletext"/>
            </w:pPr>
            <w:r w:rsidRPr="00FF79DB">
              <w:t>Source: Gupta 2021.</w:t>
            </w:r>
          </w:p>
        </w:tc>
        <w:tc>
          <w:tcPr>
            <w:tcW w:w="4486" w:type="dxa"/>
            <w:vAlign w:val="center"/>
          </w:tcPr>
          <w:p w14:paraId="0EEB0881" w14:textId="2C4253AF" w:rsidR="00C4440A" w:rsidRPr="00FF79DB" w:rsidRDefault="00AB3FB7" w:rsidP="00C4440A">
            <w:pPr>
              <w:pStyle w:val="Tabletext"/>
              <w:rPr>
                <w:i/>
              </w:rPr>
            </w:pPr>
            <w:r w:rsidRPr="00AB3FB7">
              <w:rPr>
                <w:iCs/>
              </w:rPr>
              <w:t>DUSC considered that a proportion of Stage III patients would be treated with curative intent and should be added to the estimate of the number of Stage I and II patients.</w:t>
            </w:r>
          </w:p>
        </w:tc>
      </w:tr>
      <w:tr w:rsidR="00C4440A" w:rsidRPr="00FF79DB" w14:paraId="77DD1A0C" w14:textId="77777777" w:rsidTr="00DB44EC">
        <w:trPr>
          <w:cantSplit/>
        </w:trPr>
        <w:tc>
          <w:tcPr>
            <w:tcW w:w="0" w:type="auto"/>
            <w:vAlign w:val="center"/>
          </w:tcPr>
          <w:p w14:paraId="6D2CAAF2" w14:textId="77777777" w:rsidR="00C4440A" w:rsidRPr="00FF79DB" w:rsidRDefault="00C4440A" w:rsidP="00C4440A">
            <w:pPr>
              <w:pStyle w:val="Tabletext"/>
            </w:pPr>
            <w:r w:rsidRPr="00FF79DB">
              <w:t>Proportion with Stage I-II first recurrence</w:t>
            </w:r>
          </w:p>
        </w:tc>
        <w:tc>
          <w:tcPr>
            <w:tcW w:w="2863" w:type="dxa"/>
            <w:vAlign w:val="center"/>
          </w:tcPr>
          <w:p w14:paraId="65A6E4D9" w14:textId="77777777" w:rsidR="00C4440A" w:rsidRPr="00FF79DB" w:rsidRDefault="00C4440A" w:rsidP="00C4440A">
            <w:pPr>
              <w:pStyle w:val="Tabletext"/>
            </w:pPr>
            <w:r w:rsidRPr="00FF79DB">
              <w:t>Recurrence rate: 7.2%</w:t>
            </w:r>
          </w:p>
          <w:p w14:paraId="4EA63811" w14:textId="77777777" w:rsidR="00C4440A" w:rsidRPr="00FF79DB" w:rsidRDefault="00C4440A" w:rsidP="00C4440A">
            <w:pPr>
              <w:pStyle w:val="Tabletext"/>
            </w:pPr>
            <w:r w:rsidRPr="00FF79DB">
              <w:t>Source: Francis 2019.</w:t>
            </w:r>
          </w:p>
        </w:tc>
        <w:tc>
          <w:tcPr>
            <w:tcW w:w="4486" w:type="dxa"/>
            <w:vAlign w:val="center"/>
          </w:tcPr>
          <w:p w14:paraId="59C1B8D8" w14:textId="204FAAA1" w:rsidR="00C4440A" w:rsidRPr="00AB3FB7" w:rsidRDefault="00C4440A" w:rsidP="00C4440A">
            <w:pPr>
              <w:pStyle w:val="Tabletext"/>
            </w:pPr>
            <w:r w:rsidRPr="00AB3FB7">
              <w:t xml:space="preserve">May be underestimated. A higher recurrence rate (13% and 12.4%) was reported by Fung-Kee-Fung 2006 and </w:t>
            </w:r>
            <w:proofErr w:type="spellStart"/>
            <w:r w:rsidRPr="00AB3FB7">
              <w:t>Huijgens</w:t>
            </w:r>
            <w:proofErr w:type="spellEnd"/>
            <w:r w:rsidRPr="00AB3FB7">
              <w:t xml:space="preserve"> 2013 respectively.</w:t>
            </w:r>
            <w:r w:rsidR="003B0FCA">
              <w:t xml:space="preserve"> I</w:t>
            </w:r>
            <w:r w:rsidR="003B0FCA" w:rsidRPr="003B0FCA">
              <w:t xml:space="preserve">t may be more appropriate to estimate different rates of recurrence for de novo Stage I, II and III patients treated with curative </w:t>
            </w:r>
            <w:r w:rsidR="003B0FCA" w:rsidRPr="004625F2">
              <w:t>intent</w:t>
            </w:r>
            <w:r w:rsidR="004625F2" w:rsidRPr="004625F2">
              <w:t xml:space="preserve"> and patients with unresectable Stage III and IV treated with palliative intent chemotherapy</w:t>
            </w:r>
            <w:r w:rsidR="003B0FCA">
              <w:t xml:space="preserve">. </w:t>
            </w:r>
            <w:r w:rsidR="003B0FCA" w:rsidRPr="003B0FCA">
              <w:t xml:space="preserve">DUSC </w:t>
            </w:r>
            <w:r w:rsidR="003B0FCA">
              <w:t>considered</w:t>
            </w:r>
            <w:r w:rsidR="003B0FCA" w:rsidRPr="003B0FCA">
              <w:t xml:space="preserve"> that most patients will recur early</w:t>
            </w:r>
            <w:r w:rsidR="003B0FCA">
              <w:t>.</w:t>
            </w:r>
          </w:p>
        </w:tc>
      </w:tr>
      <w:tr w:rsidR="00C4440A" w:rsidRPr="00FF79DB" w14:paraId="5A318C42" w14:textId="77777777" w:rsidTr="00DB44EC">
        <w:trPr>
          <w:cantSplit/>
        </w:trPr>
        <w:tc>
          <w:tcPr>
            <w:tcW w:w="0" w:type="auto"/>
            <w:vAlign w:val="center"/>
          </w:tcPr>
          <w:p w14:paraId="783D278E" w14:textId="77777777" w:rsidR="00C4440A" w:rsidRPr="00FF79DB" w:rsidRDefault="00C4440A" w:rsidP="00C4440A">
            <w:pPr>
              <w:pStyle w:val="Tabletext"/>
            </w:pPr>
            <w:r w:rsidRPr="00FF79DB">
              <w:t xml:space="preserve">Proportion receiving 1L PBC (pre and post -introduction of </w:t>
            </w:r>
            <w:proofErr w:type="spellStart"/>
            <w:r w:rsidRPr="00FF79DB">
              <w:t>dostarlimab</w:t>
            </w:r>
            <w:proofErr w:type="spellEnd"/>
            <w:r w:rsidRPr="00FF79DB">
              <w:t>)</w:t>
            </w:r>
          </w:p>
        </w:tc>
        <w:tc>
          <w:tcPr>
            <w:tcW w:w="2863" w:type="dxa"/>
            <w:vAlign w:val="center"/>
          </w:tcPr>
          <w:p w14:paraId="5D2373B0" w14:textId="77777777" w:rsidR="00C4440A" w:rsidRPr="00FF79DB" w:rsidRDefault="00C4440A" w:rsidP="00C4440A">
            <w:pPr>
              <w:pStyle w:val="Tabletext"/>
            </w:pPr>
            <w:r w:rsidRPr="00FF79DB">
              <w:t>72% (90% eligible for 1L treatment; 80% of whom treated with PBC)</w:t>
            </w:r>
          </w:p>
          <w:p w14:paraId="3419FF94" w14:textId="77777777" w:rsidR="00C4440A" w:rsidRPr="00FF79DB" w:rsidRDefault="00C4440A" w:rsidP="00C4440A">
            <w:pPr>
              <w:pStyle w:val="Tabletext"/>
            </w:pPr>
            <w:r w:rsidRPr="00FF79DB">
              <w:t>Source: Australian clinical expert opinion (n=5) provided during the Advisory Board in 2021.</w:t>
            </w:r>
          </w:p>
          <w:p w14:paraId="646EA608" w14:textId="77777777" w:rsidR="00C4440A" w:rsidRPr="00FF79DB" w:rsidRDefault="00C4440A" w:rsidP="00C4440A">
            <w:pPr>
              <w:pStyle w:val="Tabletext"/>
            </w:pPr>
          </w:p>
          <w:p w14:paraId="03E475E0" w14:textId="77777777" w:rsidR="00C4440A" w:rsidRPr="003B0FCA" w:rsidRDefault="00C4440A" w:rsidP="00C4440A">
            <w:pPr>
              <w:pStyle w:val="Tabletext"/>
              <w:rPr>
                <w:iCs/>
              </w:rPr>
            </w:pPr>
            <w:r w:rsidRPr="003B0FCA">
              <w:rPr>
                <w:iCs/>
              </w:rPr>
              <w:t xml:space="preserve">The proportion receiving 1L PBC was implicitly assumed to be 72% by the submission both before and after introduction of </w:t>
            </w:r>
            <w:proofErr w:type="spellStart"/>
            <w:r w:rsidRPr="003B0FCA">
              <w:rPr>
                <w:iCs/>
              </w:rPr>
              <w:t>dostarlimab</w:t>
            </w:r>
            <w:proofErr w:type="spellEnd"/>
            <w:r w:rsidRPr="003B0FCA">
              <w:rPr>
                <w:iCs/>
              </w:rPr>
              <w:t xml:space="preserve">. </w:t>
            </w:r>
          </w:p>
        </w:tc>
        <w:tc>
          <w:tcPr>
            <w:tcW w:w="4486" w:type="dxa"/>
            <w:vAlign w:val="center"/>
          </w:tcPr>
          <w:p w14:paraId="33B4A8F8" w14:textId="0D63C4B7" w:rsidR="00C4440A" w:rsidRDefault="00C4440A" w:rsidP="00C4440A">
            <w:pPr>
              <w:pStyle w:val="Tabletext"/>
              <w:rPr>
                <w:iCs/>
              </w:rPr>
            </w:pPr>
            <w:r w:rsidRPr="003B0FCA">
              <w:rPr>
                <w:iCs/>
              </w:rPr>
              <w:t xml:space="preserve">Survey results were based on five anonymous respondents and may be uncertain. The proportion of patients treated with PBC could not be verified during evaluation. The proportion receiving 1L PBC post-introduction of </w:t>
            </w:r>
            <w:proofErr w:type="spellStart"/>
            <w:r w:rsidRPr="003B0FCA">
              <w:rPr>
                <w:iCs/>
              </w:rPr>
              <w:t>dostarlimab</w:t>
            </w:r>
            <w:proofErr w:type="spellEnd"/>
            <w:r w:rsidRPr="003B0FCA">
              <w:rPr>
                <w:iCs/>
              </w:rPr>
              <w:t xml:space="preserve"> was likely underestimated as usage of 1L PBC will likely increase post </w:t>
            </w:r>
            <w:proofErr w:type="spellStart"/>
            <w:r w:rsidRPr="003B0FCA">
              <w:rPr>
                <w:iCs/>
              </w:rPr>
              <w:t>dostarlimab</w:t>
            </w:r>
            <w:proofErr w:type="spellEnd"/>
            <w:r w:rsidRPr="003B0FCA">
              <w:rPr>
                <w:iCs/>
              </w:rPr>
              <w:t xml:space="preserve"> listing as it would be a requirement for access.</w:t>
            </w:r>
            <w:r w:rsidR="003B0FCA">
              <w:rPr>
                <w:iCs/>
              </w:rPr>
              <w:t xml:space="preserve"> DUSC considered that:</w:t>
            </w:r>
          </w:p>
          <w:p w14:paraId="5C58523C" w14:textId="07911BC5" w:rsidR="003B0FCA" w:rsidRPr="003B0FCA" w:rsidRDefault="003B0FCA" w:rsidP="003B0FCA">
            <w:pPr>
              <w:pStyle w:val="ListParagraph"/>
              <w:numPr>
                <w:ilvl w:val="0"/>
                <w:numId w:val="37"/>
              </w:numPr>
              <w:spacing w:after="0"/>
              <w:ind w:left="170" w:hanging="170"/>
              <w:contextualSpacing/>
              <w:jc w:val="left"/>
              <w:rPr>
                <w:rFonts w:ascii="Arial Narrow" w:hAnsi="Arial Narrow" w:cs="Times New Roman"/>
                <w:iCs/>
                <w:snapToGrid/>
                <w:sz w:val="20"/>
              </w:rPr>
            </w:pPr>
            <w:r w:rsidRPr="003B0FCA">
              <w:rPr>
                <w:rFonts w:ascii="Arial Narrow" w:hAnsi="Arial Narrow" w:cs="Times New Roman"/>
                <w:iCs/>
                <w:snapToGrid/>
                <w:sz w:val="20"/>
              </w:rPr>
              <w:t>A larger proportion of Stage III and IV patients would receive 1L PBC in the adjuvant or advanced setting, and 72% was an underestimate in this group.</w:t>
            </w:r>
          </w:p>
          <w:p w14:paraId="4357B0EC" w14:textId="477E5F6C" w:rsidR="003B0FCA" w:rsidRPr="003B0FCA" w:rsidRDefault="003B0FCA" w:rsidP="003B0FCA">
            <w:pPr>
              <w:pStyle w:val="ListParagraph"/>
              <w:numPr>
                <w:ilvl w:val="0"/>
                <w:numId w:val="37"/>
              </w:numPr>
              <w:spacing w:after="0"/>
              <w:ind w:left="170" w:hanging="170"/>
              <w:contextualSpacing/>
              <w:jc w:val="left"/>
              <w:rPr>
                <w:rFonts w:ascii="Arial Narrow" w:hAnsi="Arial Narrow" w:cs="Times New Roman"/>
                <w:iCs/>
                <w:snapToGrid/>
                <w:sz w:val="20"/>
              </w:rPr>
            </w:pPr>
            <w:r w:rsidRPr="003B0FCA">
              <w:rPr>
                <w:rFonts w:ascii="Arial Narrow" w:hAnsi="Arial Narrow" w:cs="Times New Roman"/>
                <w:iCs/>
                <w:snapToGrid/>
                <w:sz w:val="20"/>
              </w:rPr>
              <w:t>High risk Stage I and II patients who are more likely to relapse would receive 1L platinum chemotherapy, and 72% was an underestimate in this group.</w:t>
            </w:r>
          </w:p>
          <w:p w14:paraId="6E8AB43D" w14:textId="471404BD" w:rsidR="003B0FCA" w:rsidRPr="003B0FCA" w:rsidRDefault="003B0FCA" w:rsidP="00C4440A">
            <w:pPr>
              <w:pStyle w:val="ListParagraph"/>
              <w:numPr>
                <w:ilvl w:val="0"/>
                <w:numId w:val="37"/>
              </w:numPr>
              <w:spacing w:after="0"/>
              <w:ind w:left="170" w:hanging="170"/>
              <w:contextualSpacing/>
              <w:jc w:val="left"/>
              <w:rPr>
                <w:rFonts w:ascii="Arial Narrow" w:hAnsi="Arial Narrow" w:cs="Times New Roman"/>
                <w:iCs/>
                <w:snapToGrid/>
                <w:sz w:val="20"/>
              </w:rPr>
            </w:pPr>
            <w:r w:rsidRPr="003B0FCA">
              <w:rPr>
                <w:rFonts w:ascii="Arial Narrow" w:hAnsi="Arial Narrow" w:cs="Times New Roman"/>
                <w:iCs/>
                <w:snapToGrid/>
                <w:sz w:val="20"/>
              </w:rPr>
              <w:t xml:space="preserve">A small minority of Stage I and II patients with loco-regional recurrence (for example, vaginal) would be likely to be treated with salvage radiotherapy or surgery and may not receive PBC, and 72% was an overestimate in this small group. </w:t>
            </w:r>
          </w:p>
        </w:tc>
      </w:tr>
      <w:tr w:rsidR="00C4440A" w:rsidRPr="00FF79DB" w14:paraId="44F7ED9B" w14:textId="77777777" w:rsidTr="00DB44EC">
        <w:trPr>
          <w:cantSplit/>
        </w:trPr>
        <w:tc>
          <w:tcPr>
            <w:tcW w:w="0" w:type="auto"/>
            <w:vAlign w:val="center"/>
          </w:tcPr>
          <w:p w14:paraId="39DEA2CF" w14:textId="77777777" w:rsidR="00C4440A" w:rsidRPr="00FF79DB" w:rsidRDefault="00C4440A" w:rsidP="00C4440A">
            <w:pPr>
              <w:pStyle w:val="Tabletext"/>
            </w:pPr>
            <w:r w:rsidRPr="00FF79DB">
              <w:t xml:space="preserve">Proportion who </w:t>
            </w:r>
            <w:proofErr w:type="gramStart"/>
            <w:r w:rsidRPr="00FF79DB">
              <w:t>progress</w:t>
            </w:r>
            <w:proofErr w:type="gramEnd"/>
            <w:r w:rsidRPr="00FF79DB">
              <w:t xml:space="preserve"> following 1L PBC</w:t>
            </w:r>
          </w:p>
        </w:tc>
        <w:tc>
          <w:tcPr>
            <w:tcW w:w="2863" w:type="dxa"/>
            <w:vAlign w:val="center"/>
          </w:tcPr>
          <w:p w14:paraId="2D18A914" w14:textId="77777777" w:rsidR="00C4440A" w:rsidRPr="00FF79DB" w:rsidRDefault="00C4440A" w:rsidP="00C4440A">
            <w:pPr>
              <w:pStyle w:val="Tabletext"/>
            </w:pPr>
            <w:r w:rsidRPr="00FF79DB">
              <w:t xml:space="preserve">The probability of progression following 1L PBC followed a typical pattern (observed to be highest in </w:t>
            </w:r>
            <w:proofErr w:type="spellStart"/>
            <w:r w:rsidRPr="00FF79DB">
              <w:t>Yr</w:t>
            </w:r>
            <w:proofErr w:type="spellEnd"/>
            <w:r w:rsidRPr="00FF79DB">
              <w:t xml:space="preserve"> 2 and 3, followed by slower rate of progression over the later years). </w:t>
            </w:r>
          </w:p>
          <w:p w14:paraId="261B41DA" w14:textId="77777777" w:rsidR="00C4440A" w:rsidRPr="00FF79DB" w:rsidRDefault="00C4440A" w:rsidP="00C4440A">
            <w:pPr>
              <w:pStyle w:val="Tabletext"/>
            </w:pPr>
            <w:r w:rsidRPr="00FF79DB">
              <w:t xml:space="preserve">Source: Miller 2020. </w:t>
            </w:r>
          </w:p>
        </w:tc>
        <w:tc>
          <w:tcPr>
            <w:tcW w:w="4486" w:type="dxa"/>
            <w:vAlign w:val="center"/>
          </w:tcPr>
          <w:p w14:paraId="7EBA1D03" w14:textId="77777777" w:rsidR="00C4440A" w:rsidRPr="003B0FCA" w:rsidRDefault="00C4440A" w:rsidP="00C4440A">
            <w:pPr>
              <w:pStyle w:val="Tabletext"/>
              <w:rPr>
                <w:iCs/>
              </w:rPr>
            </w:pPr>
            <w:r w:rsidRPr="003B0FCA">
              <w:rPr>
                <w:iCs/>
              </w:rPr>
              <w:t xml:space="preserve">The proportion of patients who progressed following 1L PBC were likely underestimated. Progression was applied inconsistently (2027 estimates had 10 years’ worth of progression, while estimates for 2022 were limited to six years of progression). It was unclear why a maximum of 10 years was used by the submission even though data up to 14 years were available. </w:t>
            </w:r>
          </w:p>
        </w:tc>
      </w:tr>
      <w:tr w:rsidR="00C4440A" w:rsidRPr="00FF79DB" w14:paraId="4F140BED" w14:textId="77777777" w:rsidTr="00DB44EC">
        <w:trPr>
          <w:cantSplit/>
        </w:trPr>
        <w:tc>
          <w:tcPr>
            <w:tcW w:w="0" w:type="auto"/>
            <w:vAlign w:val="center"/>
          </w:tcPr>
          <w:p w14:paraId="76633456" w14:textId="77777777" w:rsidR="00C4440A" w:rsidRPr="00FF79DB" w:rsidRDefault="00C4440A" w:rsidP="00C4440A">
            <w:pPr>
              <w:pStyle w:val="Tabletext"/>
            </w:pPr>
            <w:r w:rsidRPr="00FF79DB">
              <w:t>Proportion with ECOG 0-1</w:t>
            </w:r>
          </w:p>
        </w:tc>
        <w:tc>
          <w:tcPr>
            <w:tcW w:w="2863" w:type="dxa"/>
            <w:vAlign w:val="center"/>
          </w:tcPr>
          <w:p w14:paraId="56DBD00F" w14:textId="77777777" w:rsidR="00C4440A" w:rsidRPr="00FF79DB" w:rsidRDefault="00C4440A" w:rsidP="00C4440A">
            <w:pPr>
              <w:pStyle w:val="Tabletext"/>
            </w:pPr>
            <w:r w:rsidRPr="00FF79DB">
              <w:t>80%</w:t>
            </w:r>
          </w:p>
          <w:p w14:paraId="49C9C35D" w14:textId="77777777" w:rsidR="00C4440A" w:rsidRPr="00FF79DB" w:rsidRDefault="00C4440A" w:rsidP="00C4440A">
            <w:pPr>
              <w:pStyle w:val="Tabletext"/>
            </w:pPr>
            <w:r w:rsidRPr="00FF79DB">
              <w:t>Source: Australian clinical expert opinion (n=5) provided during the Advisory Board in 2021.</w:t>
            </w:r>
          </w:p>
        </w:tc>
        <w:tc>
          <w:tcPr>
            <w:tcW w:w="4486" w:type="dxa"/>
            <w:vAlign w:val="center"/>
          </w:tcPr>
          <w:p w14:paraId="5C58A08C" w14:textId="65B5FD52" w:rsidR="00C4440A" w:rsidRPr="00FF79DB" w:rsidRDefault="003B0FCA" w:rsidP="00C4440A">
            <w:pPr>
              <w:pStyle w:val="Tabletext"/>
              <w:rPr>
                <w:i/>
              </w:rPr>
            </w:pPr>
            <w:r w:rsidRPr="003B0FCA">
              <w:t>DUSC considered that 80% was overestimated and that 70% may be a more reasonable estimate.</w:t>
            </w:r>
          </w:p>
        </w:tc>
      </w:tr>
      <w:tr w:rsidR="00C4440A" w:rsidRPr="00FF79DB" w14:paraId="2B07F7B8" w14:textId="77777777" w:rsidTr="00DB44EC">
        <w:trPr>
          <w:cantSplit/>
        </w:trPr>
        <w:tc>
          <w:tcPr>
            <w:tcW w:w="0" w:type="auto"/>
            <w:vAlign w:val="center"/>
          </w:tcPr>
          <w:p w14:paraId="4F1A609C" w14:textId="77777777" w:rsidR="00C4440A" w:rsidRPr="00FF79DB" w:rsidRDefault="00C4440A" w:rsidP="00C4440A">
            <w:pPr>
              <w:pStyle w:val="Tabletext"/>
            </w:pPr>
            <w:r w:rsidRPr="00FF79DB">
              <w:t xml:space="preserve">Proportion with </w:t>
            </w:r>
            <w:proofErr w:type="spellStart"/>
            <w:r w:rsidRPr="00FF79DB">
              <w:t>dMMR</w:t>
            </w:r>
            <w:proofErr w:type="spellEnd"/>
          </w:p>
        </w:tc>
        <w:tc>
          <w:tcPr>
            <w:tcW w:w="2863" w:type="dxa"/>
            <w:vAlign w:val="center"/>
          </w:tcPr>
          <w:p w14:paraId="41F90E86" w14:textId="77777777" w:rsidR="00C4440A" w:rsidRPr="00FF79DB" w:rsidRDefault="00C4440A" w:rsidP="00C4440A">
            <w:pPr>
              <w:pStyle w:val="Tabletext"/>
            </w:pPr>
            <w:r w:rsidRPr="00FF79DB">
              <w:t>33%</w:t>
            </w:r>
          </w:p>
          <w:p w14:paraId="0AAEF9F5" w14:textId="77777777" w:rsidR="00C4440A" w:rsidRPr="00FF79DB" w:rsidRDefault="00C4440A" w:rsidP="00C4440A">
            <w:pPr>
              <w:pStyle w:val="Tabletext"/>
            </w:pPr>
            <w:r w:rsidRPr="00FF79DB">
              <w:t>Source: Scarpa 2016.</w:t>
            </w:r>
          </w:p>
        </w:tc>
        <w:tc>
          <w:tcPr>
            <w:tcW w:w="4486" w:type="dxa"/>
            <w:vAlign w:val="center"/>
          </w:tcPr>
          <w:p w14:paraId="75B7E638" w14:textId="11C41433" w:rsidR="00C4440A" w:rsidRPr="005B43D0" w:rsidRDefault="003B0FCA" w:rsidP="00C4440A">
            <w:pPr>
              <w:pStyle w:val="Tabletext"/>
            </w:pPr>
            <w:r>
              <w:t>DUSC considered this m</w:t>
            </w:r>
            <w:r w:rsidR="005B43D0" w:rsidRPr="005B43D0">
              <w:t xml:space="preserve">ay be overestimated, 27% </w:t>
            </w:r>
            <w:r w:rsidR="00904E60">
              <w:t xml:space="preserve">(based on Gupta 2021) </w:t>
            </w:r>
            <w:r w:rsidR="005B43D0" w:rsidRPr="005B43D0">
              <w:t>may be a more reasonable estimate.</w:t>
            </w:r>
          </w:p>
        </w:tc>
      </w:tr>
      <w:tr w:rsidR="00C4440A" w:rsidRPr="00FF79DB" w14:paraId="6891E340" w14:textId="77777777" w:rsidTr="00C4440A">
        <w:trPr>
          <w:cantSplit/>
        </w:trPr>
        <w:tc>
          <w:tcPr>
            <w:tcW w:w="0" w:type="auto"/>
            <w:gridSpan w:val="3"/>
            <w:vAlign w:val="center"/>
          </w:tcPr>
          <w:p w14:paraId="6BB70D9B" w14:textId="77777777" w:rsidR="00C4440A" w:rsidRPr="00FF79DB" w:rsidRDefault="00C4440A" w:rsidP="00C4440A">
            <w:pPr>
              <w:pStyle w:val="Tabletext"/>
              <w:rPr>
                <w:b/>
              </w:rPr>
            </w:pPr>
            <w:r w:rsidRPr="00FF79DB">
              <w:rPr>
                <w:b/>
              </w:rPr>
              <w:t>Treatment utilisation</w:t>
            </w:r>
          </w:p>
        </w:tc>
      </w:tr>
      <w:tr w:rsidR="00C4440A" w:rsidRPr="00FF79DB" w14:paraId="4FEE7131" w14:textId="77777777" w:rsidTr="00DB44EC">
        <w:trPr>
          <w:cantSplit/>
        </w:trPr>
        <w:tc>
          <w:tcPr>
            <w:tcW w:w="0" w:type="auto"/>
            <w:vAlign w:val="center"/>
          </w:tcPr>
          <w:p w14:paraId="3FC7F67A" w14:textId="77777777" w:rsidR="00C4440A" w:rsidRPr="00FF79DB" w:rsidRDefault="00C4440A" w:rsidP="00C4440A">
            <w:pPr>
              <w:pStyle w:val="Tabletext"/>
            </w:pPr>
            <w:r w:rsidRPr="00FF79DB">
              <w:t>Uptake rate</w:t>
            </w:r>
          </w:p>
        </w:tc>
        <w:tc>
          <w:tcPr>
            <w:tcW w:w="2863" w:type="dxa"/>
            <w:vAlign w:val="center"/>
          </w:tcPr>
          <w:p w14:paraId="75477332" w14:textId="599F8CCB" w:rsidR="00C4440A" w:rsidRPr="00FF79DB" w:rsidRDefault="00217797" w:rsidP="00C4440A">
            <w:pPr>
              <w:pStyle w:val="Tabletext"/>
            </w:pPr>
            <w:r w:rsidRPr="00217797">
              <w:rPr>
                <w:color w:val="000000"/>
                <w:spacing w:val="53"/>
                <w:shd w:val="solid" w:color="000000" w:fill="000000"/>
                <w:fitText w:val="330" w:id="-1502445306"/>
                <w14:textFill>
                  <w14:solidFill>
                    <w14:srgbClr w14:val="000000">
                      <w14:alpha w14:val="100000"/>
                    </w14:srgbClr>
                  </w14:solidFill>
                </w14:textFill>
              </w:rPr>
              <w:t>|||</w:t>
            </w:r>
            <w:r w:rsidRPr="00217797">
              <w:rPr>
                <w:color w:val="000000"/>
                <w:spacing w:val="1"/>
                <w:shd w:val="solid" w:color="000000" w:fill="000000"/>
                <w:fitText w:val="330" w:id="-1502445306"/>
                <w14:textFill>
                  <w14:solidFill>
                    <w14:srgbClr w14:val="000000">
                      <w14:alpha w14:val="100000"/>
                    </w14:srgbClr>
                  </w14:solidFill>
                </w14:textFill>
              </w:rPr>
              <w:t>|</w:t>
            </w:r>
            <w:r w:rsidR="00C4440A" w:rsidRPr="00FF79DB">
              <w:t>%</w:t>
            </w:r>
          </w:p>
          <w:p w14:paraId="511B2CF0" w14:textId="14149841" w:rsidR="00C4440A" w:rsidRPr="00FF79DB" w:rsidRDefault="00C4440A" w:rsidP="00C4440A">
            <w:pPr>
              <w:pStyle w:val="Tabletext"/>
            </w:pPr>
            <w:r w:rsidRPr="00FF79DB">
              <w:t xml:space="preserve">Source: Australian clinical expert opinion (n=5) provided during the Advisory Board in 2021. The submission noted that </w:t>
            </w:r>
            <w:r w:rsidR="00217797" w:rsidRPr="00217797">
              <w:rPr>
                <w:color w:val="000000"/>
                <w:spacing w:val="53"/>
                <w:shd w:val="solid" w:color="000000" w:fill="000000"/>
                <w:fitText w:val="330" w:id="-1502445305"/>
                <w14:textFill>
                  <w14:solidFill>
                    <w14:srgbClr w14:val="000000">
                      <w14:alpha w14:val="100000"/>
                    </w14:srgbClr>
                  </w14:solidFill>
                </w14:textFill>
              </w:rPr>
              <w:t>|||</w:t>
            </w:r>
            <w:r w:rsidR="00217797" w:rsidRPr="00217797">
              <w:rPr>
                <w:color w:val="000000"/>
                <w:spacing w:val="1"/>
                <w:shd w:val="solid" w:color="000000" w:fill="000000"/>
                <w:fitText w:val="330" w:id="-1502445305"/>
                <w14:textFill>
                  <w14:solidFill>
                    <w14:srgbClr w14:val="000000">
                      <w14:alpha w14:val="100000"/>
                    </w14:srgbClr>
                  </w14:solidFill>
                </w14:textFill>
              </w:rPr>
              <w:t>|</w:t>
            </w:r>
            <w:r w:rsidRPr="00FF79DB">
              <w:t>% of these patients would have otherwise been treated with standard chemotherapy regimens and the remaining portion of patients (</w:t>
            </w:r>
            <w:r w:rsidR="00217797" w:rsidRPr="00217797">
              <w:rPr>
                <w:color w:val="000000"/>
                <w:spacing w:val="53"/>
                <w:shd w:val="solid" w:color="000000" w:fill="000000"/>
                <w:fitText w:val="330" w:id="-1502445304"/>
                <w14:textFill>
                  <w14:solidFill>
                    <w14:srgbClr w14:val="000000">
                      <w14:alpha w14:val="100000"/>
                    </w14:srgbClr>
                  </w14:solidFill>
                </w14:textFill>
              </w:rPr>
              <w:t>|||</w:t>
            </w:r>
            <w:r w:rsidR="00217797" w:rsidRPr="00217797">
              <w:rPr>
                <w:color w:val="000000"/>
                <w:spacing w:val="1"/>
                <w:shd w:val="solid" w:color="000000" w:fill="000000"/>
                <w:fitText w:val="330" w:id="-1502445304"/>
                <w14:textFill>
                  <w14:solidFill>
                    <w14:srgbClr w14:val="000000">
                      <w14:alpha w14:val="100000"/>
                    </w14:srgbClr>
                  </w14:solidFill>
                </w14:textFill>
              </w:rPr>
              <w:t>|</w:t>
            </w:r>
            <w:r w:rsidRPr="00FF79DB">
              <w:t>%) would have otherwise received best supportive care.</w:t>
            </w:r>
          </w:p>
        </w:tc>
        <w:tc>
          <w:tcPr>
            <w:tcW w:w="4486" w:type="dxa"/>
            <w:vAlign w:val="center"/>
          </w:tcPr>
          <w:p w14:paraId="1A97E30F" w14:textId="1AADE73A" w:rsidR="00C4440A" w:rsidRPr="00D87423" w:rsidRDefault="003B0FCA" w:rsidP="00C4440A">
            <w:pPr>
              <w:pStyle w:val="Tabletext"/>
              <w:rPr>
                <w:iCs/>
              </w:rPr>
            </w:pPr>
            <w:r w:rsidRPr="00D87423">
              <w:rPr>
                <w:iCs/>
              </w:rPr>
              <w:t>DUSC considered this a</w:t>
            </w:r>
            <w:r w:rsidR="00C4440A" w:rsidRPr="00D87423">
              <w:rPr>
                <w:iCs/>
              </w:rPr>
              <w:t>ppeared to be reasonable</w:t>
            </w:r>
            <w:r w:rsidRPr="00D87423">
              <w:rPr>
                <w:iCs/>
              </w:rPr>
              <w:t>.</w:t>
            </w:r>
          </w:p>
        </w:tc>
      </w:tr>
      <w:tr w:rsidR="00C4440A" w:rsidRPr="00FF79DB" w14:paraId="579F8663" w14:textId="77777777" w:rsidTr="00DB44EC">
        <w:trPr>
          <w:cantSplit/>
        </w:trPr>
        <w:tc>
          <w:tcPr>
            <w:tcW w:w="0" w:type="auto"/>
            <w:vAlign w:val="center"/>
          </w:tcPr>
          <w:p w14:paraId="09794E3B" w14:textId="77777777" w:rsidR="00C4440A" w:rsidRPr="00FF79DB" w:rsidRDefault="00C4440A" w:rsidP="00C4440A">
            <w:pPr>
              <w:pStyle w:val="Tabletext"/>
              <w:rPr>
                <w:szCs w:val="20"/>
              </w:rPr>
            </w:pPr>
            <w:r w:rsidRPr="00FF79DB">
              <w:t>Proportional utilisation among nominated basket of chemotherapies</w:t>
            </w:r>
          </w:p>
        </w:tc>
        <w:tc>
          <w:tcPr>
            <w:tcW w:w="2863" w:type="dxa"/>
            <w:vAlign w:val="center"/>
          </w:tcPr>
          <w:p w14:paraId="0DBAD05B" w14:textId="77777777" w:rsidR="00C4440A" w:rsidRPr="00FF79DB" w:rsidRDefault="00C4440A" w:rsidP="00C4440A">
            <w:pPr>
              <w:pStyle w:val="Tabletext"/>
            </w:pPr>
            <w:r w:rsidRPr="00FF79DB">
              <w:t>Doxorubicin: 36%</w:t>
            </w:r>
          </w:p>
          <w:p w14:paraId="52D7D8E6" w14:textId="77777777" w:rsidR="00C4440A" w:rsidRPr="00FF79DB" w:rsidRDefault="00C4440A" w:rsidP="00C4440A">
            <w:pPr>
              <w:pStyle w:val="Tabletext"/>
            </w:pPr>
            <w:r w:rsidRPr="00FF79DB">
              <w:t>Paclitaxel: 52%</w:t>
            </w:r>
          </w:p>
          <w:p w14:paraId="3DA8BEFB" w14:textId="77777777" w:rsidR="00C4440A" w:rsidRPr="00FF79DB" w:rsidRDefault="00C4440A" w:rsidP="00C4440A">
            <w:pPr>
              <w:pStyle w:val="Tabletext"/>
            </w:pPr>
            <w:r w:rsidRPr="00FF79DB">
              <w:t>Carboplatin: 68%</w:t>
            </w:r>
          </w:p>
          <w:p w14:paraId="0DB36B58" w14:textId="77777777" w:rsidR="00C4440A" w:rsidRPr="00FF79DB" w:rsidRDefault="00C4440A" w:rsidP="00C4440A">
            <w:pPr>
              <w:pStyle w:val="Tabletext"/>
              <w:rPr>
                <w:szCs w:val="20"/>
              </w:rPr>
            </w:pPr>
            <w:r w:rsidRPr="00FF79DB">
              <w:t>Source: UK RWE study and verified by clinical expert opinion.</w:t>
            </w:r>
          </w:p>
        </w:tc>
        <w:tc>
          <w:tcPr>
            <w:tcW w:w="4486" w:type="dxa"/>
            <w:vAlign w:val="center"/>
          </w:tcPr>
          <w:p w14:paraId="3729BF60" w14:textId="1D0FE392" w:rsidR="00C4440A" w:rsidRPr="00E2428F" w:rsidDel="00093577" w:rsidRDefault="00E2428F" w:rsidP="00C4440A">
            <w:pPr>
              <w:pStyle w:val="Tabletext"/>
              <w:rPr>
                <w:iCs/>
              </w:rPr>
            </w:pPr>
            <w:r w:rsidRPr="00E2428F">
              <w:rPr>
                <w:iCs/>
              </w:rPr>
              <w:t xml:space="preserve">The evaluation considered the </w:t>
            </w:r>
            <w:r w:rsidR="00C4440A" w:rsidRPr="00E2428F">
              <w:rPr>
                <w:iCs/>
              </w:rPr>
              <w:t>UK study may not be applicable to the Australian setting</w:t>
            </w:r>
            <w:r w:rsidRPr="00E2428F">
              <w:rPr>
                <w:iCs/>
              </w:rPr>
              <w:t xml:space="preserve"> and was</w:t>
            </w:r>
            <w:r w:rsidR="0012404F">
              <w:rPr>
                <w:iCs/>
              </w:rPr>
              <w:t xml:space="preserve"> i</w:t>
            </w:r>
            <w:r w:rsidR="00C4440A" w:rsidRPr="00E2428F">
              <w:rPr>
                <w:iCs/>
              </w:rPr>
              <w:t xml:space="preserve">nconsistent with the nominated comparator (100% doxorubicin) in the submission’s economic model. The total usage exceeded 100%, suggesting that some patients will use combination therapies. </w:t>
            </w:r>
            <w:r w:rsidR="00C51D12">
              <w:rPr>
                <w:iCs/>
              </w:rPr>
              <w:t>DUSC considered this input could be reasonable.</w:t>
            </w:r>
          </w:p>
        </w:tc>
      </w:tr>
      <w:tr w:rsidR="00C4440A" w:rsidRPr="00FF79DB" w14:paraId="3D2836D9" w14:textId="77777777" w:rsidTr="00DB44EC">
        <w:trPr>
          <w:cantSplit/>
        </w:trPr>
        <w:tc>
          <w:tcPr>
            <w:tcW w:w="0" w:type="auto"/>
            <w:vAlign w:val="center"/>
          </w:tcPr>
          <w:p w14:paraId="1DF36CDE" w14:textId="197E93C7" w:rsidR="00C4440A" w:rsidRPr="00FF79DB" w:rsidRDefault="00C4440A" w:rsidP="00C4440A">
            <w:pPr>
              <w:pStyle w:val="Tabletext"/>
            </w:pPr>
            <w:r w:rsidRPr="00FF79DB">
              <w:rPr>
                <w:szCs w:val="20"/>
              </w:rPr>
              <w:t>Mean duration of treatment</w:t>
            </w:r>
            <w:r w:rsidR="00DD3CAB">
              <w:rPr>
                <w:szCs w:val="20"/>
              </w:rPr>
              <w:t>*</w:t>
            </w:r>
          </w:p>
        </w:tc>
        <w:tc>
          <w:tcPr>
            <w:tcW w:w="2863" w:type="dxa"/>
            <w:vAlign w:val="center"/>
          </w:tcPr>
          <w:p w14:paraId="1EA43F84" w14:textId="049E3743" w:rsidR="00C4440A" w:rsidRPr="00D87423" w:rsidRDefault="00C4440A" w:rsidP="00C4440A">
            <w:pPr>
              <w:pStyle w:val="Tabletext"/>
              <w:rPr>
                <w:iCs/>
                <w:szCs w:val="20"/>
              </w:rPr>
            </w:pPr>
            <w:proofErr w:type="spellStart"/>
            <w:r w:rsidRPr="00FF79DB">
              <w:rPr>
                <w:szCs w:val="20"/>
              </w:rPr>
              <w:t>Dostarlimab</w:t>
            </w:r>
            <w:proofErr w:type="spellEnd"/>
            <w:r w:rsidRPr="00FF79DB">
              <w:rPr>
                <w:szCs w:val="20"/>
              </w:rPr>
              <w:t xml:space="preserve">: </w:t>
            </w:r>
            <w:r w:rsidR="00D87423">
              <w:rPr>
                <w:szCs w:val="20"/>
              </w:rPr>
              <w:t>54.37</w:t>
            </w:r>
            <w:r w:rsidRPr="00FF79DB">
              <w:rPr>
                <w:szCs w:val="20"/>
              </w:rPr>
              <w:t xml:space="preserve"> weeks </w:t>
            </w:r>
            <w:r w:rsidR="00D87423" w:rsidRPr="00D87423">
              <w:rPr>
                <w:iCs/>
              </w:rPr>
              <w:t>(</w:t>
            </w:r>
            <w:r w:rsidR="00D87423">
              <w:rPr>
                <w:iCs/>
              </w:rPr>
              <w:t xml:space="preserve">revised in the PSCR </w:t>
            </w:r>
            <w:r w:rsidR="00D87423" w:rsidRPr="00D87423">
              <w:rPr>
                <w:iCs/>
              </w:rPr>
              <w:t xml:space="preserve">without half cycle correction) </w:t>
            </w:r>
          </w:p>
          <w:p w14:paraId="1E256DA4" w14:textId="77777777" w:rsidR="00C4440A" w:rsidRPr="00FF79DB" w:rsidRDefault="00C4440A" w:rsidP="00C4440A">
            <w:pPr>
              <w:pStyle w:val="Tabletext"/>
              <w:rPr>
                <w:szCs w:val="20"/>
              </w:rPr>
            </w:pPr>
            <w:r w:rsidRPr="00FF79DB">
              <w:rPr>
                <w:szCs w:val="20"/>
              </w:rPr>
              <w:t>Source:</w:t>
            </w:r>
            <w:r w:rsidRPr="00FF79DB">
              <w:t xml:space="preserve"> </w:t>
            </w:r>
            <w:r w:rsidRPr="00FF79DB">
              <w:rPr>
                <w:szCs w:val="20"/>
              </w:rPr>
              <w:t>Economic model – GARNET Cohort A1 study.</w:t>
            </w:r>
          </w:p>
          <w:p w14:paraId="1CEBF962" w14:textId="77777777" w:rsidR="00C4440A" w:rsidRPr="00FF79DB" w:rsidRDefault="00C4440A" w:rsidP="00C4440A">
            <w:pPr>
              <w:pStyle w:val="Tabletext"/>
            </w:pPr>
          </w:p>
          <w:p w14:paraId="23CADF0C" w14:textId="4E43F0C1" w:rsidR="00C4440A" w:rsidRPr="00FF79DB" w:rsidRDefault="00C4440A" w:rsidP="00C4440A">
            <w:pPr>
              <w:pStyle w:val="Tabletext"/>
            </w:pPr>
            <w:r w:rsidRPr="00FF79DB">
              <w:t>SoC: 12.75 weeks</w:t>
            </w:r>
          </w:p>
          <w:p w14:paraId="38DB9CE9" w14:textId="77777777" w:rsidR="00C4440A" w:rsidRPr="00FF79DB" w:rsidRDefault="00C4440A" w:rsidP="00C4440A">
            <w:pPr>
              <w:pStyle w:val="Tabletext"/>
            </w:pPr>
            <w:r w:rsidRPr="00FF79DB">
              <w:rPr>
                <w:szCs w:val="20"/>
              </w:rPr>
              <w:t>Source:</w:t>
            </w:r>
            <w:r w:rsidRPr="00FF79DB">
              <w:t xml:space="preserve"> </w:t>
            </w:r>
            <w:r w:rsidRPr="00FF79DB">
              <w:rPr>
                <w:szCs w:val="20"/>
              </w:rPr>
              <w:t>UK RWE study.</w:t>
            </w:r>
          </w:p>
        </w:tc>
        <w:tc>
          <w:tcPr>
            <w:tcW w:w="4486" w:type="dxa"/>
            <w:vAlign w:val="center"/>
          </w:tcPr>
          <w:p w14:paraId="5C1F7068" w14:textId="6E52DEA9" w:rsidR="00C4440A" w:rsidRPr="00FF79DB" w:rsidRDefault="00C4440A" w:rsidP="00C4440A">
            <w:pPr>
              <w:pStyle w:val="Tabletext"/>
              <w:rPr>
                <w:i/>
              </w:rPr>
            </w:pPr>
            <w:r w:rsidRPr="00D87423">
              <w:rPr>
                <w:iCs/>
              </w:rPr>
              <w:t xml:space="preserve">Duration of SoC was reasonable but not consistent with base case of economic model which assumed 12 weeks (4 cycles) based on </w:t>
            </w:r>
            <w:proofErr w:type="spellStart"/>
            <w:r w:rsidRPr="00D87423">
              <w:rPr>
                <w:iCs/>
              </w:rPr>
              <w:t>ZoptEC</w:t>
            </w:r>
            <w:proofErr w:type="spellEnd"/>
            <w:r w:rsidRPr="00D87423">
              <w:rPr>
                <w:iCs/>
              </w:rPr>
              <w:t>.</w:t>
            </w:r>
            <w:r w:rsidRPr="00FF79DB">
              <w:rPr>
                <w:i/>
              </w:rPr>
              <w:t xml:space="preserve"> </w:t>
            </w:r>
          </w:p>
        </w:tc>
      </w:tr>
      <w:tr w:rsidR="00C4440A" w:rsidRPr="00FF79DB" w14:paraId="3592FDD2" w14:textId="77777777" w:rsidTr="00C4440A">
        <w:trPr>
          <w:cantSplit/>
        </w:trPr>
        <w:tc>
          <w:tcPr>
            <w:tcW w:w="0" w:type="auto"/>
            <w:gridSpan w:val="3"/>
            <w:vAlign w:val="center"/>
          </w:tcPr>
          <w:p w14:paraId="4ACD0058" w14:textId="77777777" w:rsidR="00C4440A" w:rsidRPr="00FF79DB" w:rsidRDefault="00C4440A" w:rsidP="00C4440A">
            <w:pPr>
              <w:pStyle w:val="Tabletext"/>
              <w:rPr>
                <w:b/>
              </w:rPr>
            </w:pPr>
            <w:r w:rsidRPr="00FF79DB">
              <w:rPr>
                <w:b/>
              </w:rPr>
              <w:t>Costs</w:t>
            </w:r>
          </w:p>
        </w:tc>
      </w:tr>
      <w:tr w:rsidR="00C4440A" w:rsidRPr="00FF79DB" w14:paraId="4E6211C0" w14:textId="77777777" w:rsidTr="00DB44EC">
        <w:trPr>
          <w:cantSplit/>
        </w:trPr>
        <w:tc>
          <w:tcPr>
            <w:tcW w:w="0" w:type="auto"/>
            <w:vAlign w:val="center"/>
          </w:tcPr>
          <w:p w14:paraId="74AC011F" w14:textId="77777777" w:rsidR="00C4440A" w:rsidRPr="00FF79DB" w:rsidRDefault="00C4440A" w:rsidP="00C4440A">
            <w:pPr>
              <w:pStyle w:val="Tabletext"/>
            </w:pPr>
            <w:r w:rsidRPr="00FF79DB">
              <w:t xml:space="preserve">Infusion costs </w:t>
            </w:r>
          </w:p>
        </w:tc>
        <w:tc>
          <w:tcPr>
            <w:tcW w:w="2863" w:type="dxa"/>
            <w:vAlign w:val="center"/>
          </w:tcPr>
          <w:p w14:paraId="05B40324" w14:textId="77777777" w:rsidR="00C4440A" w:rsidRPr="00FF79DB" w:rsidRDefault="00C4440A" w:rsidP="00C4440A">
            <w:pPr>
              <w:pStyle w:val="Tabletext"/>
            </w:pPr>
            <w:r w:rsidRPr="00FF79DB">
              <w:t>$112.40 (MBS rebate rate of 80% used) applied per script per patient.</w:t>
            </w:r>
          </w:p>
          <w:p w14:paraId="65E93FBD" w14:textId="77777777" w:rsidR="00C4440A" w:rsidRPr="00FF79DB" w:rsidRDefault="00C4440A" w:rsidP="00C4440A">
            <w:pPr>
              <w:pStyle w:val="Tabletext"/>
            </w:pPr>
            <w:r w:rsidRPr="00FF79DB">
              <w:t xml:space="preserve">Source: MBS item 13950, parenteral administration of one or more antineoplastic agents. </w:t>
            </w:r>
          </w:p>
        </w:tc>
        <w:tc>
          <w:tcPr>
            <w:tcW w:w="4486" w:type="dxa"/>
            <w:vAlign w:val="center"/>
          </w:tcPr>
          <w:p w14:paraId="403F1053" w14:textId="77777777" w:rsidR="00C4440A" w:rsidRPr="00FF79DB" w:rsidRDefault="00C4440A" w:rsidP="00C4440A">
            <w:pPr>
              <w:pStyle w:val="Tabletext"/>
              <w:rPr>
                <w:i/>
              </w:rPr>
            </w:pPr>
            <w:r w:rsidRPr="00E2428F">
              <w:rPr>
                <w:iCs/>
              </w:rPr>
              <w:t>Appropriate</w:t>
            </w:r>
            <w:r w:rsidRPr="00FF79DB">
              <w:rPr>
                <w:i/>
              </w:rPr>
              <w:t>.</w:t>
            </w:r>
          </w:p>
        </w:tc>
      </w:tr>
      <w:tr w:rsidR="00C4440A" w:rsidRPr="00FF79DB" w14:paraId="4C842E7A" w14:textId="77777777" w:rsidTr="00DB44EC">
        <w:trPr>
          <w:cantSplit/>
        </w:trPr>
        <w:tc>
          <w:tcPr>
            <w:tcW w:w="0" w:type="auto"/>
            <w:vAlign w:val="center"/>
          </w:tcPr>
          <w:p w14:paraId="234FC52C" w14:textId="77777777" w:rsidR="00C4440A" w:rsidRPr="00FF79DB" w:rsidRDefault="00C4440A" w:rsidP="00C4440A">
            <w:pPr>
              <w:pStyle w:val="Tabletext"/>
            </w:pPr>
            <w:r w:rsidRPr="00FF79DB">
              <w:t>Adverse events</w:t>
            </w:r>
          </w:p>
        </w:tc>
        <w:tc>
          <w:tcPr>
            <w:tcW w:w="2863" w:type="dxa"/>
            <w:vAlign w:val="center"/>
          </w:tcPr>
          <w:p w14:paraId="464BFB55" w14:textId="77777777" w:rsidR="00C4440A" w:rsidRPr="00E2428F" w:rsidRDefault="00C4440A" w:rsidP="00C4440A">
            <w:pPr>
              <w:pStyle w:val="Tabletext"/>
              <w:rPr>
                <w:iCs/>
              </w:rPr>
            </w:pPr>
            <w:r w:rsidRPr="00E2428F">
              <w:rPr>
                <w:iCs/>
              </w:rPr>
              <w:t>Cost of managing adverse events not included.</w:t>
            </w:r>
          </w:p>
        </w:tc>
        <w:tc>
          <w:tcPr>
            <w:tcW w:w="4486" w:type="dxa"/>
            <w:vAlign w:val="center"/>
          </w:tcPr>
          <w:p w14:paraId="6BF5B741" w14:textId="64ED2178" w:rsidR="00C4440A" w:rsidRPr="00D87423" w:rsidRDefault="00D87423" w:rsidP="00DB44EC">
            <w:pPr>
              <w:pStyle w:val="Tabletext"/>
              <w:rPr>
                <w:iCs/>
              </w:rPr>
            </w:pPr>
            <w:r>
              <w:rPr>
                <w:iCs/>
              </w:rPr>
              <w:t>DUSC</w:t>
            </w:r>
            <w:r w:rsidRPr="00D87423">
              <w:rPr>
                <w:iCs/>
              </w:rPr>
              <w:t xml:space="preserve"> considered the AE profile of </w:t>
            </w:r>
            <w:proofErr w:type="spellStart"/>
            <w:r w:rsidRPr="00D87423">
              <w:rPr>
                <w:iCs/>
              </w:rPr>
              <w:t>dostarlimab</w:t>
            </w:r>
            <w:proofErr w:type="spellEnd"/>
            <w:r w:rsidRPr="00D87423">
              <w:rPr>
                <w:iCs/>
              </w:rPr>
              <w:t xml:space="preserve"> is different from chemoth</w:t>
            </w:r>
            <w:r w:rsidR="00DB44EC">
              <w:rPr>
                <w:iCs/>
              </w:rPr>
              <w:t>e</w:t>
            </w:r>
            <w:r w:rsidRPr="00D87423">
              <w:rPr>
                <w:iCs/>
              </w:rPr>
              <w:t>r</w:t>
            </w:r>
            <w:r w:rsidR="00DB44EC">
              <w:rPr>
                <w:iCs/>
              </w:rPr>
              <w:t>a</w:t>
            </w:r>
            <w:r w:rsidRPr="00D87423">
              <w:rPr>
                <w:iCs/>
              </w:rPr>
              <w:t>py and should be accounted for in the financial estimates.</w:t>
            </w:r>
          </w:p>
        </w:tc>
      </w:tr>
    </w:tbl>
    <w:p w14:paraId="05F7CD86" w14:textId="77777777" w:rsidR="00C4440A" w:rsidRPr="00FF79DB" w:rsidRDefault="00C4440A" w:rsidP="00C4440A">
      <w:pPr>
        <w:pStyle w:val="TableFooter"/>
      </w:pPr>
      <w:r w:rsidRPr="00FF79DB">
        <w:t xml:space="preserve">Source: Table 122&amp;123, p213&amp;217 of the submission. </w:t>
      </w:r>
    </w:p>
    <w:p w14:paraId="0E9440EF" w14:textId="27F7F16B" w:rsidR="00C4440A" w:rsidRDefault="00C4440A" w:rsidP="00C4440A">
      <w:pPr>
        <w:pStyle w:val="TableFooter"/>
      </w:pPr>
      <w:r w:rsidRPr="00FF79DB">
        <w:t xml:space="preserve">1L = </w:t>
      </w:r>
      <w:proofErr w:type="gramStart"/>
      <w:r w:rsidRPr="00FF79DB">
        <w:t>first-line</w:t>
      </w:r>
      <w:proofErr w:type="gramEnd"/>
      <w:r w:rsidRPr="00FF79DB">
        <w:t xml:space="preserve">; AIHW = Australian Institute of Health and Welfare; </w:t>
      </w:r>
      <w:proofErr w:type="spellStart"/>
      <w:r w:rsidRPr="00FF79DB">
        <w:t>dMMR</w:t>
      </w:r>
      <w:proofErr w:type="spellEnd"/>
      <w:r w:rsidRPr="00FF79DB">
        <w:t xml:space="preserve"> = mismatch repair deficient; ECOG = Eastern Cooperative Oncology Group; MBS = Medicare Benefits Schedule; NZ = New Zealand; PBC = platinum-based chemotherapy.</w:t>
      </w:r>
    </w:p>
    <w:p w14:paraId="6DF54B38" w14:textId="59B6516B" w:rsidR="00DD3CAB" w:rsidRPr="00FF79DB" w:rsidRDefault="00DD3CAB" w:rsidP="00C4440A">
      <w:pPr>
        <w:pStyle w:val="TableFooter"/>
      </w:pPr>
      <w:r>
        <w:t>*</w:t>
      </w:r>
      <w:r w:rsidRPr="00DD3CAB">
        <w:t xml:space="preserve"> </w:t>
      </w:r>
      <w:r w:rsidRPr="00AB3443">
        <w:t xml:space="preserve">Note that the </w:t>
      </w:r>
      <w:r>
        <w:t>assumed mean duration of treatment was provided</w:t>
      </w:r>
      <w:r w:rsidRPr="00AB3443">
        <w:t xml:space="preserve"> for the purposes of informing the PBAC consideration. Interpretation of the results and their application should therefore be limited to seeking to understand the basis for the PBAC outcome and should not be used for any other purpose.</w:t>
      </w:r>
    </w:p>
    <w:p w14:paraId="688BCD97" w14:textId="77777777" w:rsidR="00C4440A" w:rsidRPr="00FF79DB" w:rsidRDefault="00C4440A" w:rsidP="00C4440A">
      <w:pPr>
        <w:widowControl/>
      </w:pPr>
    </w:p>
    <w:p w14:paraId="565AFF9B" w14:textId="722DFD25" w:rsidR="00C4440A" w:rsidRPr="00FF79DB" w:rsidRDefault="00C4440A" w:rsidP="00C4440A">
      <w:pPr>
        <w:pStyle w:val="ListParagraph"/>
        <w:widowControl/>
        <w:numPr>
          <w:ilvl w:val="1"/>
          <w:numId w:val="2"/>
        </w:numPr>
      </w:pPr>
      <w:r w:rsidRPr="00FF79DB">
        <w:t xml:space="preserve">The estimated financial impact of PBS listing </w:t>
      </w:r>
      <w:proofErr w:type="spellStart"/>
      <w:r w:rsidRPr="00FF79DB">
        <w:t>dostarlimab</w:t>
      </w:r>
      <w:proofErr w:type="spellEnd"/>
      <w:r w:rsidRPr="00FF79DB">
        <w:t xml:space="preserve"> is summarised in </w:t>
      </w:r>
      <w:r w:rsidRPr="00FF79DB">
        <w:fldChar w:fldCharType="begin"/>
      </w:r>
      <w:r w:rsidRPr="00FF79DB">
        <w:instrText xml:space="preserve"> REF _Ref92107781 \h  \* MERGEFORMAT </w:instrText>
      </w:r>
      <w:r w:rsidRPr="00FF79DB">
        <w:fldChar w:fldCharType="separate"/>
      </w:r>
      <w:r w:rsidR="004975AD" w:rsidRPr="004975AD">
        <w:t>Table 15</w:t>
      </w:r>
      <w:r w:rsidRPr="00FF79DB">
        <w:fldChar w:fldCharType="end"/>
      </w:r>
      <w:r w:rsidRPr="00FF79DB">
        <w:t>.</w:t>
      </w:r>
    </w:p>
    <w:p w14:paraId="7C0CD0C5" w14:textId="1C209739" w:rsidR="00C4440A" w:rsidRPr="00FF79DB" w:rsidRDefault="00C4440A" w:rsidP="00C4440A">
      <w:pPr>
        <w:keepNext/>
        <w:keepLines/>
        <w:widowControl/>
        <w:rPr>
          <w:rStyle w:val="CommentReference"/>
        </w:rPr>
      </w:pPr>
      <w:bookmarkStart w:id="51" w:name="_Ref92107781"/>
      <w:r w:rsidRPr="00FF79DB">
        <w:rPr>
          <w:rStyle w:val="CommentReference"/>
        </w:rPr>
        <w:t xml:space="preserve">Table </w:t>
      </w:r>
      <w:r w:rsidRPr="00FF79DB">
        <w:rPr>
          <w:rStyle w:val="CommentReference"/>
        </w:rPr>
        <w:fldChar w:fldCharType="begin"/>
      </w:r>
      <w:r w:rsidRPr="00FF79DB">
        <w:rPr>
          <w:rStyle w:val="CommentReference"/>
        </w:rPr>
        <w:instrText xml:space="preserve"> SEQ Table \* ARABIC </w:instrText>
      </w:r>
      <w:r w:rsidRPr="00FF79DB">
        <w:rPr>
          <w:rStyle w:val="CommentReference"/>
        </w:rPr>
        <w:fldChar w:fldCharType="separate"/>
      </w:r>
      <w:r w:rsidR="004975AD">
        <w:rPr>
          <w:rStyle w:val="CommentReference"/>
          <w:noProof/>
        </w:rPr>
        <w:t>15</w:t>
      </w:r>
      <w:r w:rsidRPr="00FF79DB">
        <w:rPr>
          <w:rStyle w:val="CommentReference"/>
        </w:rPr>
        <w:fldChar w:fldCharType="end"/>
      </w:r>
      <w:bookmarkEnd w:id="51"/>
      <w:r w:rsidRPr="00FF79DB">
        <w:rPr>
          <w:rStyle w:val="CommentReference"/>
        </w:rPr>
        <w:t>: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095"/>
        <w:gridCol w:w="986"/>
        <w:gridCol w:w="987"/>
        <w:gridCol w:w="987"/>
        <w:gridCol w:w="987"/>
        <w:gridCol w:w="987"/>
        <w:gridCol w:w="988"/>
      </w:tblGrid>
      <w:tr w:rsidR="00C4440A" w:rsidRPr="005B43D0" w14:paraId="7EE30254" w14:textId="77777777" w:rsidTr="00395D5E">
        <w:trPr>
          <w:tblHeader/>
        </w:trPr>
        <w:tc>
          <w:tcPr>
            <w:tcW w:w="3095" w:type="dxa"/>
            <w:shd w:val="clear" w:color="auto" w:fill="auto"/>
            <w:vAlign w:val="center"/>
          </w:tcPr>
          <w:p w14:paraId="12B21240" w14:textId="77777777" w:rsidR="00C4440A" w:rsidRPr="005B43D0" w:rsidRDefault="00C4440A" w:rsidP="00C4440A">
            <w:pPr>
              <w:pStyle w:val="Tabletext"/>
              <w:keepNext/>
              <w:keepLines/>
              <w:rPr>
                <w:rStyle w:val="CommentReference"/>
              </w:rPr>
            </w:pPr>
          </w:p>
        </w:tc>
        <w:tc>
          <w:tcPr>
            <w:tcW w:w="986" w:type="dxa"/>
            <w:shd w:val="clear" w:color="auto" w:fill="auto"/>
            <w:vAlign w:val="center"/>
          </w:tcPr>
          <w:p w14:paraId="5472DE51" w14:textId="77777777" w:rsidR="00C4440A" w:rsidRPr="005B43D0" w:rsidRDefault="00C4440A" w:rsidP="00C4440A">
            <w:pPr>
              <w:pStyle w:val="Tabletext"/>
              <w:keepNext/>
              <w:keepLines/>
              <w:jc w:val="center"/>
              <w:rPr>
                <w:rStyle w:val="CommentReference"/>
              </w:rPr>
            </w:pPr>
            <w:r w:rsidRPr="005B43D0">
              <w:rPr>
                <w:rStyle w:val="CommentReference"/>
              </w:rPr>
              <w:t>Year 1</w:t>
            </w:r>
          </w:p>
        </w:tc>
        <w:tc>
          <w:tcPr>
            <w:tcW w:w="987" w:type="dxa"/>
            <w:shd w:val="clear" w:color="auto" w:fill="auto"/>
            <w:vAlign w:val="center"/>
          </w:tcPr>
          <w:p w14:paraId="55C7A4B0" w14:textId="77777777" w:rsidR="00C4440A" w:rsidRPr="005B43D0" w:rsidRDefault="00C4440A" w:rsidP="00C4440A">
            <w:pPr>
              <w:pStyle w:val="Tabletext"/>
              <w:keepNext/>
              <w:keepLines/>
              <w:jc w:val="center"/>
              <w:rPr>
                <w:rStyle w:val="CommentReference"/>
              </w:rPr>
            </w:pPr>
            <w:r w:rsidRPr="005B43D0">
              <w:rPr>
                <w:rStyle w:val="CommentReference"/>
              </w:rPr>
              <w:t>Year 2</w:t>
            </w:r>
          </w:p>
        </w:tc>
        <w:tc>
          <w:tcPr>
            <w:tcW w:w="987" w:type="dxa"/>
            <w:shd w:val="clear" w:color="auto" w:fill="auto"/>
            <w:vAlign w:val="center"/>
          </w:tcPr>
          <w:p w14:paraId="6705D6EA" w14:textId="77777777" w:rsidR="00C4440A" w:rsidRPr="005B43D0" w:rsidRDefault="00C4440A" w:rsidP="00C4440A">
            <w:pPr>
              <w:pStyle w:val="Tabletext"/>
              <w:keepNext/>
              <w:keepLines/>
              <w:jc w:val="center"/>
              <w:rPr>
                <w:rStyle w:val="CommentReference"/>
              </w:rPr>
            </w:pPr>
            <w:r w:rsidRPr="005B43D0">
              <w:rPr>
                <w:rStyle w:val="CommentReference"/>
              </w:rPr>
              <w:t>Year 3</w:t>
            </w:r>
          </w:p>
        </w:tc>
        <w:tc>
          <w:tcPr>
            <w:tcW w:w="987" w:type="dxa"/>
            <w:shd w:val="clear" w:color="auto" w:fill="auto"/>
            <w:vAlign w:val="center"/>
          </w:tcPr>
          <w:p w14:paraId="6612CD2F" w14:textId="77777777" w:rsidR="00C4440A" w:rsidRPr="005B43D0" w:rsidRDefault="00C4440A" w:rsidP="00C4440A">
            <w:pPr>
              <w:pStyle w:val="Tabletext"/>
              <w:keepNext/>
              <w:keepLines/>
              <w:jc w:val="center"/>
              <w:rPr>
                <w:rStyle w:val="CommentReference"/>
              </w:rPr>
            </w:pPr>
            <w:r w:rsidRPr="005B43D0">
              <w:rPr>
                <w:rStyle w:val="CommentReference"/>
              </w:rPr>
              <w:t>Year 4</w:t>
            </w:r>
          </w:p>
        </w:tc>
        <w:tc>
          <w:tcPr>
            <w:tcW w:w="987" w:type="dxa"/>
            <w:shd w:val="clear" w:color="auto" w:fill="auto"/>
            <w:vAlign w:val="center"/>
          </w:tcPr>
          <w:p w14:paraId="7A567FC7" w14:textId="77777777" w:rsidR="00C4440A" w:rsidRPr="005B43D0" w:rsidRDefault="00C4440A" w:rsidP="00C4440A">
            <w:pPr>
              <w:pStyle w:val="Tabletext"/>
              <w:keepNext/>
              <w:keepLines/>
              <w:jc w:val="center"/>
              <w:rPr>
                <w:rStyle w:val="CommentReference"/>
              </w:rPr>
            </w:pPr>
            <w:r w:rsidRPr="005B43D0">
              <w:rPr>
                <w:rStyle w:val="CommentReference"/>
              </w:rPr>
              <w:t>Year 5</w:t>
            </w:r>
          </w:p>
        </w:tc>
        <w:tc>
          <w:tcPr>
            <w:tcW w:w="988" w:type="dxa"/>
            <w:shd w:val="clear" w:color="auto" w:fill="auto"/>
            <w:vAlign w:val="center"/>
          </w:tcPr>
          <w:p w14:paraId="6370F139" w14:textId="77777777" w:rsidR="00C4440A" w:rsidRPr="005B43D0" w:rsidRDefault="00C4440A" w:rsidP="00C4440A">
            <w:pPr>
              <w:pStyle w:val="Tabletext"/>
              <w:keepNext/>
              <w:keepLines/>
              <w:jc w:val="center"/>
              <w:rPr>
                <w:rStyle w:val="CommentReference"/>
              </w:rPr>
            </w:pPr>
            <w:r w:rsidRPr="005B43D0">
              <w:rPr>
                <w:rStyle w:val="CommentReference"/>
              </w:rPr>
              <w:t>Year 6</w:t>
            </w:r>
          </w:p>
        </w:tc>
      </w:tr>
      <w:tr w:rsidR="00C4440A" w:rsidRPr="005B43D0" w14:paraId="78F30F3B" w14:textId="77777777" w:rsidTr="00395D5E">
        <w:tc>
          <w:tcPr>
            <w:tcW w:w="3095" w:type="dxa"/>
            <w:tcBorders>
              <w:bottom w:val="double" w:sz="4" w:space="0" w:color="auto"/>
            </w:tcBorders>
            <w:shd w:val="clear" w:color="auto" w:fill="auto"/>
            <w:vAlign w:val="center"/>
          </w:tcPr>
          <w:p w14:paraId="65DD3C8F" w14:textId="71E18725" w:rsidR="00C4440A" w:rsidRPr="005B43D0" w:rsidRDefault="00C4440A" w:rsidP="00C4440A">
            <w:pPr>
              <w:pStyle w:val="Tabletext"/>
              <w:keepNext/>
              <w:keepLines/>
            </w:pPr>
            <w:r w:rsidRPr="005B43D0">
              <w:t xml:space="preserve">Patients treated with </w:t>
            </w:r>
            <w:proofErr w:type="spellStart"/>
            <w:r w:rsidRPr="005B43D0">
              <w:t>dostarlimab</w:t>
            </w:r>
            <w:proofErr w:type="spellEnd"/>
            <w:r w:rsidRPr="005B43D0">
              <w:t xml:space="preserve"> (</w:t>
            </w:r>
            <w:r w:rsidR="00217797" w:rsidRPr="00217797">
              <w:rPr>
                <w:color w:val="000000"/>
                <w:spacing w:val="53"/>
                <w:shd w:val="solid" w:color="000000" w:fill="000000"/>
                <w:fitText w:val="330" w:id="-1502445303"/>
                <w14:textFill>
                  <w14:solidFill>
                    <w14:srgbClr w14:val="000000">
                      <w14:alpha w14:val="100000"/>
                    </w14:srgbClr>
                  </w14:solidFill>
                </w14:textFill>
              </w:rPr>
              <w:t>|||</w:t>
            </w:r>
            <w:r w:rsidR="00217797" w:rsidRPr="00217797">
              <w:rPr>
                <w:color w:val="000000"/>
                <w:spacing w:val="1"/>
                <w:shd w:val="solid" w:color="000000" w:fill="000000"/>
                <w:fitText w:val="330" w:id="-1502445303"/>
                <w14:textFill>
                  <w14:solidFill>
                    <w14:srgbClr w14:val="000000">
                      <w14:alpha w14:val="100000"/>
                    </w14:srgbClr>
                  </w14:solidFill>
                </w14:textFill>
              </w:rPr>
              <w:t>|</w:t>
            </w:r>
            <w:r w:rsidRPr="005B43D0">
              <w:t>%)</w:t>
            </w:r>
          </w:p>
        </w:tc>
        <w:tc>
          <w:tcPr>
            <w:tcW w:w="986" w:type="dxa"/>
            <w:tcBorders>
              <w:bottom w:val="double" w:sz="4" w:space="0" w:color="auto"/>
            </w:tcBorders>
            <w:shd w:val="clear" w:color="auto" w:fill="auto"/>
            <w:vAlign w:val="center"/>
          </w:tcPr>
          <w:p w14:paraId="73693774" w14:textId="3316BF9C" w:rsidR="00C4440A" w:rsidRPr="00633602" w:rsidRDefault="00217797" w:rsidP="00C4440A">
            <w:pPr>
              <w:pStyle w:val="Tabletext"/>
              <w:keepNext/>
              <w:keepLines/>
              <w:jc w:val="center"/>
              <w:rPr>
                <w:highlight w:val="yellow"/>
                <w:vertAlign w:val="superscript"/>
              </w:rPr>
            </w:pPr>
            <w:r w:rsidRPr="00217797">
              <w:rPr>
                <w:rFonts w:hint="eastAsia"/>
                <w:color w:val="000000"/>
                <w:w w:val="27"/>
                <w:shd w:val="solid" w:color="000000" w:fill="000000"/>
                <w:fitText w:val="120" w:id="-1502445302"/>
                <w14:textFill>
                  <w14:solidFill>
                    <w14:srgbClr w14:val="000000">
                      <w14:alpha w14:val="100000"/>
                    </w14:srgbClr>
                  </w14:solidFill>
                </w14:textFill>
              </w:rPr>
              <w:t xml:space="preserve">　</w:t>
            </w:r>
            <w:r w:rsidRPr="00217797">
              <w:rPr>
                <w:color w:val="000000"/>
                <w:w w:val="27"/>
                <w:shd w:val="solid" w:color="000000" w:fill="000000"/>
                <w:fitText w:val="120" w:id="-1502445302"/>
                <w14:textFill>
                  <w14:solidFill>
                    <w14:srgbClr w14:val="000000">
                      <w14:alpha w14:val="100000"/>
                    </w14:srgbClr>
                  </w14:solidFill>
                </w14:textFill>
              </w:rPr>
              <w:t>|</w:t>
            </w:r>
            <w:r w:rsidRPr="00217797">
              <w:rPr>
                <w:rFonts w:hint="eastAsia"/>
                <w:color w:val="000000"/>
                <w:spacing w:val="2"/>
                <w:w w:val="27"/>
                <w:shd w:val="solid" w:color="000000" w:fill="000000"/>
                <w:fitText w:val="120" w:id="-1502445302"/>
                <w14:textFill>
                  <w14:solidFill>
                    <w14:srgbClr w14:val="000000">
                      <w14:alpha w14:val="100000"/>
                    </w14:srgbClr>
                  </w14:solidFill>
                </w14:textFill>
              </w:rPr>
              <w:t xml:space="preserve">　</w:t>
            </w:r>
            <w:r w:rsidR="00633602" w:rsidRPr="00633602">
              <w:rPr>
                <w:vertAlign w:val="superscript"/>
              </w:rPr>
              <w:t>1</w:t>
            </w:r>
          </w:p>
        </w:tc>
        <w:tc>
          <w:tcPr>
            <w:tcW w:w="987" w:type="dxa"/>
            <w:tcBorders>
              <w:bottom w:val="double" w:sz="4" w:space="0" w:color="auto"/>
            </w:tcBorders>
            <w:shd w:val="clear" w:color="auto" w:fill="auto"/>
            <w:vAlign w:val="center"/>
          </w:tcPr>
          <w:p w14:paraId="2681407F" w14:textId="21E2BED7" w:rsidR="00C4440A" w:rsidRPr="00892EA4" w:rsidRDefault="00217797" w:rsidP="00C4440A">
            <w:pPr>
              <w:pStyle w:val="Tabletext"/>
              <w:keepNext/>
              <w:keepLines/>
              <w:jc w:val="center"/>
              <w:rPr>
                <w:highlight w:val="yellow"/>
              </w:rPr>
            </w:pPr>
            <w:r w:rsidRPr="00217797">
              <w:rPr>
                <w:rFonts w:hint="eastAsia"/>
                <w:color w:val="000000"/>
                <w:w w:val="27"/>
                <w:shd w:val="solid" w:color="000000" w:fill="000000"/>
                <w:fitText w:val="120" w:id="-1502445301"/>
                <w14:textFill>
                  <w14:solidFill>
                    <w14:srgbClr w14:val="000000">
                      <w14:alpha w14:val="100000"/>
                    </w14:srgbClr>
                  </w14:solidFill>
                </w14:textFill>
              </w:rPr>
              <w:t xml:space="preserve">　</w:t>
            </w:r>
            <w:r w:rsidRPr="00217797">
              <w:rPr>
                <w:color w:val="000000"/>
                <w:w w:val="27"/>
                <w:shd w:val="solid" w:color="000000" w:fill="000000"/>
                <w:fitText w:val="120" w:id="-1502445301"/>
                <w14:textFill>
                  <w14:solidFill>
                    <w14:srgbClr w14:val="000000">
                      <w14:alpha w14:val="100000"/>
                    </w14:srgbClr>
                  </w14:solidFill>
                </w14:textFill>
              </w:rPr>
              <w:t>|</w:t>
            </w:r>
            <w:r w:rsidRPr="00217797">
              <w:rPr>
                <w:rFonts w:hint="eastAsia"/>
                <w:color w:val="000000"/>
                <w:spacing w:val="2"/>
                <w:w w:val="27"/>
                <w:shd w:val="solid" w:color="000000" w:fill="000000"/>
                <w:fitText w:val="120" w:id="-1502445301"/>
                <w14:textFill>
                  <w14:solidFill>
                    <w14:srgbClr w14:val="000000">
                      <w14:alpha w14:val="100000"/>
                    </w14:srgbClr>
                  </w14:solidFill>
                </w14:textFill>
              </w:rPr>
              <w:t xml:space="preserve">　</w:t>
            </w:r>
            <w:r w:rsidR="00633602" w:rsidRPr="00633602">
              <w:rPr>
                <w:vertAlign w:val="superscript"/>
              </w:rPr>
              <w:t>1</w:t>
            </w:r>
          </w:p>
        </w:tc>
        <w:tc>
          <w:tcPr>
            <w:tcW w:w="987" w:type="dxa"/>
            <w:tcBorders>
              <w:bottom w:val="double" w:sz="4" w:space="0" w:color="auto"/>
            </w:tcBorders>
            <w:shd w:val="clear" w:color="auto" w:fill="auto"/>
            <w:vAlign w:val="center"/>
          </w:tcPr>
          <w:p w14:paraId="47941C95" w14:textId="2EBA419B" w:rsidR="00C4440A" w:rsidRPr="00892EA4" w:rsidRDefault="00217797" w:rsidP="00C4440A">
            <w:pPr>
              <w:pStyle w:val="Tabletext"/>
              <w:keepNext/>
              <w:keepLines/>
              <w:jc w:val="center"/>
              <w:rPr>
                <w:highlight w:val="yellow"/>
              </w:rPr>
            </w:pPr>
            <w:r w:rsidRPr="00217797">
              <w:rPr>
                <w:rFonts w:hint="eastAsia"/>
                <w:color w:val="000000"/>
                <w:w w:val="27"/>
                <w:shd w:val="solid" w:color="000000" w:fill="000000"/>
                <w:fitText w:val="120" w:id="-1502445300"/>
                <w14:textFill>
                  <w14:solidFill>
                    <w14:srgbClr w14:val="000000">
                      <w14:alpha w14:val="100000"/>
                    </w14:srgbClr>
                  </w14:solidFill>
                </w14:textFill>
              </w:rPr>
              <w:t xml:space="preserve">　</w:t>
            </w:r>
            <w:r w:rsidRPr="00217797">
              <w:rPr>
                <w:color w:val="000000"/>
                <w:w w:val="27"/>
                <w:shd w:val="solid" w:color="000000" w:fill="000000"/>
                <w:fitText w:val="120" w:id="-1502445300"/>
                <w14:textFill>
                  <w14:solidFill>
                    <w14:srgbClr w14:val="000000">
                      <w14:alpha w14:val="100000"/>
                    </w14:srgbClr>
                  </w14:solidFill>
                </w14:textFill>
              </w:rPr>
              <w:t>|</w:t>
            </w:r>
            <w:r w:rsidRPr="00217797">
              <w:rPr>
                <w:rFonts w:hint="eastAsia"/>
                <w:color w:val="000000"/>
                <w:spacing w:val="2"/>
                <w:w w:val="27"/>
                <w:shd w:val="solid" w:color="000000" w:fill="000000"/>
                <w:fitText w:val="120" w:id="-1502445300"/>
                <w14:textFill>
                  <w14:solidFill>
                    <w14:srgbClr w14:val="000000">
                      <w14:alpha w14:val="100000"/>
                    </w14:srgbClr>
                  </w14:solidFill>
                </w14:textFill>
              </w:rPr>
              <w:t xml:space="preserve">　</w:t>
            </w:r>
            <w:r w:rsidR="00633602" w:rsidRPr="00633602">
              <w:rPr>
                <w:vertAlign w:val="superscript"/>
              </w:rPr>
              <w:t>1</w:t>
            </w:r>
          </w:p>
        </w:tc>
        <w:tc>
          <w:tcPr>
            <w:tcW w:w="987" w:type="dxa"/>
            <w:tcBorders>
              <w:bottom w:val="double" w:sz="4" w:space="0" w:color="auto"/>
            </w:tcBorders>
            <w:shd w:val="clear" w:color="auto" w:fill="auto"/>
            <w:vAlign w:val="center"/>
          </w:tcPr>
          <w:p w14:paraId="18194ECE" w14:textId="1AA4A73D" w:rsidR="00C4440A" w:rsidRPr="00892EA4" w:rsidRDefault="00217797" w:rsidP="00C4440A">
            <w:pPr>
              <w:pStyle w:val="Tabletext"/>
              <w:keepNext/>
              <w:keepLines/>
              <w:jc w:val="center"/>
              <w:rPr>
                <w:highlight w:val="yellow"/>
              </w:rPr>
            </w:pPr>
            <w:r w:rsidRPr="00217797">
              <w:rPr>
                <w:rFonts w:hint="eastAsia"/>
                <w:color w:val="000000"/>
                <w:w w:val="27"/>
                <w:shd w:val="solid" w:color="000000" w:fill="000000"/>
                <w:fitText w:val="120" w:id="-1502445299"/>
                <w14:textFill>
                  <w14:solidFill>
                    <w14:srgbClr w14:val="000000">
                      <w14:alpha w14:val="100000"/>
                    </w14:srgbClr>
                  </w14:solidFill>
                </w14:textFill>
              </w:rPr>
              <w:t xml:space="preserve">　</w:t>
            </w:r>
            <w:r w:rsidRPr="00217797">
              <w:rPr>
                <w:color w:val="000000"/>
                <w:w w:val="27"/>
                <w:shd w:val="solid" w:color="000000" w:fill="000000"/>
                <w:fitText w:val="120" w:id="-1502445299"/>
                <w14:textFill>
                  <w14:solidFill>
                    <w14:srgbClr w14:val="000000">
                      <w14:alpha w14:val="100000"/>
                    </w14:srgbClr>
                  </w14:solidFill>
                </w14:textFill>
              </w:rPr>
              <w:t>|</w:t>
            </w:r>
            <w:r w:rsidRPr="00217797">
              <w:rPr>
                <w:rFonts w:hint="eastAsia"/>
                <w:color w:val="000000"/>
                <w:spacing w:val="2"/>
                <w:w w:val="27"/>
                <w:shd w:val="solid" w:color="000000" w:fill="000000"/>
                <w:fitText w:val="120" w:id="-1502445299"/>
                <w14:textFill>
                  <w14:solidFill>
                    <w14:srgbClr w14:val="000000">
                      <w14:alpha w14:val="100000"/>
                    </w14:srgbClr>
                  </w14:solidFill>
                </w14:textFill>
              </w:rPr>
              <w:t xml:space="preserve">　</w:t>
            </w:r>
            <w:r w:rsidR="00633602" w:rsidRPr="00633602">
              <w:rPr>
                <w:vertAlign w:val="superscript"/>
              </w:rPr>
              <w:t>1</w:t>
            </w:r>
          </w:p>
        </w:tc>
        <w:tc>
          <w:tcPr>
            <w:tcW w:w="987" w:type="dxa"/>
            <w:tcBorders>
              <w:bottom w:val="double" w:sz="4" w:space="0" w:color="auto"/>
            </w:tcBorders>
            <w:shd w:val="clear" w:color="auto" w:fill="auto"/>
            <w:vAlign w:val="center"/>
          </w:tcPr>
          <w:p w14:paraId="1DF1040A" w14:textId="19BE2F53" w:rsidR="00C4440A" w:rsidRPr="00892EA4" w:rsidRDefault="00217797" w:rsidP="00C4440A">
            <w:pPr>
              <w:pStyle w:val="Tabletext"/>
              <w:keepNext/>
              <w:keepLines/>
              <w:jc w:val="center"/>
              <w:rPr>
                <w:highlight w:val="yellow"/>
              </w:rPr>
            </w:pPr>
            <w:r w:rsidRPr="00217797">
              <w:rPr>
                <w:rFonts w:hint="eastAsia"/>
                <w:color w:val="000000"/>
                <w:w w:val="27"/>
                <w:shd w:val="solid" w:color="000000" w:fill="000000"/>
                <w:fitText w:val="120" w:id="-1502445298"/>
                <w14:textFill>
                  <w14:solidFill>
                    <w14:srgbClr w14:val="000000">
                      <w14:alpha w14:val="100000"/>
                    </w14:srgbClr>
                  </w14:solidFill>
                </w14:textFill>
              </w:rPr>
              <w:t xml:space="preserve">　</w:t>
            </w:r>
            <w:r w:rsidRPr="00217797">
              <w:rPr>
                <w:color w:val="000000"/>
                <w:w w:val="27"/>
                <w:shd w:val="solid" w:color="000000" w:fill="000000"/>
                <w:fitText w:val="120" w:id="-1502445298"/>
                <w14:textFill>
                  <w14:solidFill>
                    <w14:srgbClr w14:val="000000">
                      <w14:alpha w14:val="100000"/>
                    </w14:srgbClr>
                  </w14:solidFill>
                </w14:textFill>
              </w:rPr>
              <w:t>|</w:t>
            </w:r>
            <w:r w:rsidRPr="00217797">
              <w:rPr>
                <w:rFonts w:hint="eastAsia"/>
                <w:color w:val="000000"/>
                <w:spacing w:val="2"/>
                <w:w w:val="27"/>
                <w:shd w:val="solid" w:color="000000" w:fill="000000"/>
                <w:fitText w:val="120" w:id="-1502445298"/>
                <w14:textFill>
                  <w14:solidFill>
                    <w14:srgbClr w14:val="000000">
                      <w14:alpha w14:val="100000"/>
                    </w14:srgbClr>
                  </w14:solidFill>
                </w14:textFill>
              </w:rPr>
              <w:t xml:space="preserve">　</w:t>
            </w:r>
            <w:r w:rsidR="00633602" w:rsidRPr="00633602">
              <w:rPr>
                <w:vertAlign w:val="superscript"/>
              </w:rPr>
              <w:t>1</w:t>
            </w:r>
          </w:p>
        </w:tc>
        <w:tc>
          <w:tcPr>
            <w:tcW w:w="988" w:type="dxa"/>
            <w:tcBorders>
              <w:bottom w:val="double" w:sz="4" w:space="0" w:color="auto"/>
            </w:tcBorders>
            <w:shd w:val="clear" w:color="auto" w:fill="auto"/>
            <w:vAlign w:val="center"/>
          </w:tcPr>
          <w:p w14:paraId="4234A6E2" w14:textId="1A010B4F" w:rsidR="00C4440A" w:rsidRPr="00892EA4" w:rsidRDefault="00217797" w:rsidP="00C4440A">
            <w:pPr>
              <w:pStyle w:val="Tabletext"/>
              <w:keepNext/>
              <w:keepLines/>
              <w:jc w:val="center"/>
              <w:rPr>
                <w:highlight w:val="yellow"/>
              </w:rPr>
            </w:pPr>
            <w:r w:rsidRPr="00217797">
              <w:rPr>
                <w:rFonts w:hint="eastAsia"/>
                <w:color w:val="000000"/>
                <w:w w:val="23"/>
                <w:shd w:val="solid" w:color="000000" w:fill="000000"/>
                <w:fitText w:val="105" w:id="-1502445297"/>
                <w14:textFill>
                  <w14:solidFill>
                    <w14:srgbClr w14:val="000000">
                      <w14:alpha w14:val="100000"/>
                    </w14:srgbClr>
                  </w14:solidFill>
                </w14:textFill>
              </w:rPr>
              <w:t xml:space="preserve">　</w:t>
            </w:r>
            <w:r w:rsidRPr="00217797">
              <w:rPr>
                <w:color w:val="000000"/>
                <w:w w:val="23"/>
                <w:shd w:val="solid" w:color="000000" w:fill="000000"/>
                <w:fitText w:val="105" w:id="-1502445297"/>
                <w14:textFill>
                  <w14:solidFill>
                    <w14:srgbClr w14:val="000000">
                      <w14:alpha w14:val="100000"/>
                    </w14:srgbClr>
                  </w14:solidFill>
                </w14:textFill>
              </w:rPr>
              <w:t>|</w:t>
            </w:r>
            <w:r w:rsidRPr="00217797">
              <w:rPr>
                <w:rFonts w:hint="eastAsia"/>
                <w:color w:val="000000"/>
                <w:spacing w:val="4"/>
                <w:w w:val="23"/>
                <w:shd w:val="solid" w:color="000000" w:fill="000000"/>
                <w:fitText w:val="105" w:id="-1502445297"/>
                <w14:textFill>
                  <w14:solidFill>
                    <w14:srgbClr w14:val="000000">
                      <w14:alpha w14:val="100000"/>
                    </w14:srgbClr>
                  </w14:solidFill>
                </w14:textFill>
              </w:rPr>
              <w:t xml:space="preserve">　</w:t>
            </w:r>
            <w:r w:rsidR="00633602" w:rsidRPr="00633602">
              <w:rPr>
                <w:vertAlign w:val="superscript"/>
              </w:rPr>
              <w:t>1</w:t>
            </w:r>
          </w:p>
        </w:tc>
      </w:tr>
      <w:tr w:rsidR="00C4440A" w:rsidRPr="005B43D0" w14:paraId="45F16EB0" w14:textId="77777777" w:rsidTr="00395D5E">
        <w:tc>
          <w:tcPr>
            <w:tcW w:w="9017" w:type="dxa"/>
            <w:gridSpan w:val="7"/>
            <w:tcBorders>
              <w:top w:val="double" w:sz="4" w:space="0" w:color="auto"/>
            </w:tcBorders>
            <w:shd w:val="clear" w:color="auto" w:fill="auto"/>
            <w:vAlign w:val="center"/>
          </w:tcPr>
          <w:p w14:paraId="1F9C3030" w14:textId="77777777" w:rsidR="00C4440A" w:rsidRPr="005B43D0" w:rsidRDefault="00C4440A" w:rsidP="00C4440A">
            <w:pPr>
              <w:pStyle w:val="Tabletext"/>
              <w:keepNext/>
              <w:keepLines/>
            </w:pPr>
            <w:r w:rsidRPr="005B43D0">
              <w:t>Number of scripts</w:t>
            </w:r>
          </w:p>
        </w:tc>
      </w:tr>
      <w:tr w:rsidR="00C4440A" w:rsidRPr="005B43D0" w14:paraId="22A5660B" w14:textId="77777777" w:rsidTr="00395D5E">
        <w:tc>
          <w:tcPr>
            <w:tcW w:w="3095" w:type="dxa"/>
            <w:shd w:val="clear" w:color="auto" w:fill="auto"/>
            <w:vAlign w:val="center"/>
          </w:tcPr>
          <w:p w14:paraId="5A303A31" w14:textId="77777777" w:rsidR="00C4440A" w:rsidRPr="005B43D0" w:rsidRDefault="00C4440A" w:rsidP="00C4440A">
            <w:pPr>
              <w:pStyle w:val="Tabletext"/>
              <w:keepNext/>
              <w:keepLines/>
              <w:ind w:left="113"/>
              <w:rPr>
                <w:vertAlign w:val="superscript"/>
              </w:rPr>
            </w:pPr>
            <w:r w:rsidRPr="005B43D0">
              <w:t xml:space="preserve">Initiating </w:t>
            </w:r>
            <w:proofErr w:type="gramStart"/>
            <w:r w:rsidRPr="005B43D0">
              <w:t>scripts</w:t>
            </w:r>
            <w:proofErr w:type="gramEnd"/>
            <w:r w:rsidRPr="005B43D0">
              <w:t xml:space="preserve"> </w:t>
            </w:r>
            <w:r w:rsidRPr="005B43D0">
              <w:rPr>
                <w:vertAlign w:val="superscript"/>
              </w:rPr>
              <w:t>a</w:t>
            </w:r>
          </w:p>
        </w:tc>
        <w:tc>
          <w:tcPr>
            <w:tcW w:w="986" w:type="dxa"/>
            <w:shd w:val="clear" w:color="auto" w:fill="auto"/>
            <w:vAlign w:val="center"/>
          </w:tcPr>
          <w:p w14:paraId="073544FE" w14:textId="4F525E7E" w:rsidR="00C4440A" w:rsidRPr="00892EA4" w:rsidRDefault="00217797" w:rsidP="00C4440A">
            <w:pPr>
              <w:pStyle w:val="Tabletext"/>
              <w:keepNext/>
              <w:keepLines/>
              <w:jc w:val="center"/>
              <w:rPr>
                <w:highlight w:val="yellow"/>
              </w:rPr>
            </w:pPr>
            <w:r w:rsidRPr="00217797">
              <w:rPr>
                <w:rFonts w:hint="eastAsia"/>
                <w:color w:val="000000"/>
                <w:w w:val="27"/>
                <w:shd w:val="solid" w:color="000000" w:fill="000000"/>
                <w:fitText w:val="120" w:id="-1502445296"/>
                <w14:textFill>
                  <w14:solidFill>
                    <w14:srgbClr w14:val="000000">
                      <w14:alpha w14:val="100000"/>
                    </w14:srgbClr>
                  </w14:solidFill>
                </w14:textFill>
              </w:rPr>
              <w:t xml:space="preserve">　</w:t>
            </w:r>
            <w:r w:rsidRPr="00217797">
              <w:rPr>
                <w:color w:val="000000"/>
                <w:w w:val="27"/>
                <w:shd w:val="solid" w:color="000000" w:fill="000000"/>
                <w:fitText w:val="120" w:id="-1502445296"/>
                <w14:textFill>
                  <w14:solidFill>
                    <w14:srgbClr w14:val="000000">
                      <w14:alpha w14:val="100000"/>
                    </w14:srgbClr>
                  </w14:solidFill>
                </w14:textFill>
              </w:rPr>
              <w:t>|</w:t>
            </w:r>
            <w:r w:rsidRPr="00217797">
              <w:rPr>
                <w:rFonts w:hint="eastAsia"/>
                <w:color w:val="000000"/>
                <w:spacing w:val="2"/>
                <w:w w:val="27"/>
                <w:shd w:val="solid" w:color="000000" w:fill="000000"/>
                <w:fitText w:val="120" w:id="-1502445296"/>
                <w14:textFill>
                  <w14:solidFill>
                    <w14:srgbClr w14:val="000000">
                      <w14:alpha w14:val="100000"/>
                    </w14:srgbClr>
                  </w14:solidFill>
                </w14:textFill>
              </w:rPr>
              <w:t xml:space="preserve">　</w:t>
            </w:r>
            <w:r w:rsidR="00633602" w:rsidRPr="00633602">
              <w:rPr>
                <w:vertAlign w:val="superscript"/>
              </w:rPr>
              <w:t>1</w:t>
            </w:r>
          </w:p>
        </w:tc>
        <w:tc>
          <w:tcPr>
            <w:tcW w:w="987" w:type="dxa"/>
            <w:shd w:val="clear" w:color="auto" w:fill="auto"/>
            <w:vAlign w:val="center"/>
          </w:tcPr>
          <w:p w14:paraId="21A479ED" w14:textId="14951E99" w:rsidR="00C4440A" w:rsidRPr="00892EA4" w:rsidRDefault="00217797" w:rsidP="00C4440A">
            <w:pPr>
              <w:pStyle w:val="Tabletext"/>
              <w:keepNext/>
              <w:keepLines/>
              <w:jc w:val="center"/>
              <w:rPr>
                <w:highlight w:val="yellow"/>
              </w:rPr>
            </w:pPr>
            <w:r w:rsidRPr="00217797">
              <w:rPr>
                <w:rFonts w:hint="eastAsia"/>
                <w:color w:val="000000"/>
                <w:w w:val="27"/>
                <w:shd w:val="solid" w:color="000000" w:fill="000000"/>
                <w:fitText w:val="120" w:id="-1502445312"/>
                <w14:textFill>
                  <w14:solidFill>
                    <w14:srgbClr w14:val="000000">
                      <w14:alpha w14:val="100000"/>
                    </w14:srgbClr>
                  </w14:solidFill>
                </w14:textFill>
              </w:rPr>
              <w:t xml:space="preserve">　</w:t>
            </w:r>
            <w:r w:rsidRPr="00217797">
              <w:rPr>
                <w:color w:val="000000"/>
                <w:w w:val="27"/>
                <w:shd w:val="solid" w:color="000000" w:fill="000000"/>
                <w:fitText w:val="120" w:id="-1502445312"/>
                <w14:textFill>
                  <w14:solidFill>
                    <w14:srgbClr w14:val="000000">
                      <w14:alpha w14:val="100000"/>
                    </w14:srgbClr>
                  </w14:solidFill>
                </w14:textFill>
              </w:rPr>
              <w:t>|</w:t>
            </w:r>
            <w:r w:rsidRPr="00217797">
              <w:rPr>
                <w:rFonts w:hint="eastAsia"/>
                <w:color w:val="000000"/>
                <w:spacing w:val="2"/>
                <w:w w:val="27"/>
                <w:shd w:val="solid" w:color="000000" w:fill="000000"/>
                <w:fitText w:val="120" w:id="-1502445312"/>
                <w14:textFill>
                  <w14:solidFill>
                    <w14:srgbClr w14:val="000000">
                      <w14:alpha w14:val="100000"/>
                    </w14:srgbClr>
                  </w14:solidFill>
                </w14:textFill>
              </w:rPr>
              <w:t xml:space="preserve">　</w:t>
            </w:r>
            <w:r w:rsidR="00633602" w:rsidRPr="00633602">
              <w:rPr>
                <w:vertAlign w:val="superscript"/>
              </w:rPr>
              <w:t>1</w:t>
            </w:r>
          </w:p>
        </w:tc>
        <w:tc>
          <w:tcPr>
            <w:tcW w:w="987" w:type="dxa"/>
            <w:shd w:val="clear" w:color="auto" w:fill="auto"/>
            <w:vAlign w:val="center"/>
          </w:tcPr>
          <w:p w14:paraId="3DE62EAC" w14:textId="3D2D4655" w:rsidR="00C4440A" w:rsidRPr="00892EA4" w:rsidRDefault="00217797" w:rsidP="00C4440A">
            <w:pPr>
              <w:pStyle w:val="Tabletext"/>
              <w:keepNext/>
              <w:keepLines/>
              <w:jc w:val="center"/>
              <w:rPr>
                <w:highlight w:val="yellow"/>
              </w:rPr>
            </w:pPr>
            <w:r w:rsidRPr="00217797">
              <w:rPr>
                <w:rFonts w:hint="eastAsia"/>
                <w:color w:val="000000"/>
                <w:w w:val="27"/>
                <w:shd w:val="solid" w:color="000000" w:fill="000000"/>
                <w:fitText w:val="120" w:id="-1502445311"/>
                <w14:textFill>
                  <w14:solidFill>
                    <w14:srgbClr w14:val="000000">
                      <w14:alpha w14:val="100000"/>
                    </w14:srgbClr>
                  </w14:solidFill>
                </w14:textFill>
              </w:rPr>
              <w:t xml:space="preserve">　</w:t>
            </w:r>
            <w:r w:rsidRPr="00217797">
              <w:rPr>
                <w:color w:val="000000"/>
                <w:w w:val="27"/>
                <w:shd w:val="solid" w:color="000000" w:fill="000000"/>
                <w:fitText w:val="120" w:id="-1502445311"/>
                <w14:textFill>
                  <w14:solidFill>
                    <w14:srgbClr w14:val="000000">
                      <w14:alpha w14:val="100000"/>
                    </w14:srgbClr>
                  </w14:solidFill>
                </w14:textFill>
              </w:rPr>
              <w:t>|</w:t>
            </w:r>
            <w:r w:rsidRPr="00217797">
              <w:rPr>
                <w:rFonts w:hint="eastAsia"/>
                <w:color w:val="000000"/>
                <w:spacing w:val="2"/>
                <w:w w:val="27"/>
                <w:shd w:val="solid" w:color="000000" w:fill="000000"/>
                <w:fitText w:val="120" w:id="-1502445311"/>
                <w14:textFill>
                  <w14:solidFill>
                    <w14:srgbClr w14:val="000000">
                      <w14:alpha w14:val="100000"/>
                    </w14:srgbClr>
                  </w14:solidFill>
                </w14:textFill>
              </w:rPr>
              <w:t xml:space="preserve">　</w:t>
            </w:r>
            <w:r w:rsidR="00633602" w:rsidRPr="00633602">
              <w:rPr>
                <w:vertAlign w:val="superscript"/>
              </w:rPr>
              <w:t>1</w:t>
            </w:r>
          </w:p>
        </w:tc>
        <w:tc>
          <w:tcPr>
            <w:tcW w:w="987" w:type="dxa"/>
            <w:shd w:val="clear" w:color="auto" w:fill="auto"/>
            <w:vAlign w:val="center"/>
          </w:tcPr>
          <w:p w14:paraId="42995174" w14:textId="0618E26B" w:rsidR="00C4440A" w:rsidRPr="00892EA4" w:rsidRDefault="00217797" w:rsidP="00C4440A">
            <w:pPr>
              <w:pStyle w:val="Tabletext"/>
              <w:keepNext/>
              <w:keepLines/>
              <w:jc w:val="center"/>
              <w:rPr>
                <w:highlight w:val="yellow"/>
              </w:rPr>
            </w:pPr>
            <w:r w:rsidRPr="00217797">
              <w:rPr>
                <w:rFonts w:hint="eastAsia"/>
                <w:color w:val="000000"/>
                <w:w w:val="27"/>
                <w:shd w:val="solid" w:color="000000" w:fill="000000"/>
                <w:fitText w:val="120" w:id="-1502445310"/>
                <w14:textFill>
                  <w14:solidFill>
                    <w14:srgbClr w14:val="000000">
                      <w14:alpha w14:val="100000"/>
                    </w14:srgbClr>
                  </w14:solidFill>
                </w14:textFill>
              </w:rPr>
              <w:t xml:space="preserve">　</w:t>
            </w:r>
            <w:r w:rsidRPr="00217797">
              <w:rPr>
                <w:color w:val="000000"/>
                <w:w w:val="27"/>
                <w:shd w:val="solid" w:color="000000" w:fill="000000"/>
                <w:fitText w:val="120" w:id="-1502445310"/>
                <w14:textFill>
                  <w14:solidFill>
                    <w14:srgbClr w14:val="000000">
                      <w14:alpha w14:val="100000"/>
                    </w14:srgbClr>
                  </w14:solidFill>
                </w14:textFill>
              </w:rPr>
              <w:t>|</w:t>
            </w:r>
            <w:r w:rsidRPr="00217797">
              <w:rPr>
                <w:rFonts w:hint="eastAsia"/>
                <w:color w:val="000000"/>
                <w:spacing w:val="2"/>
                <w:w w:val="27"/>
                <w:shd w:val="solid" w:color="000000" w:fill="000000"/>
                <w:fitText w:val="120" w:id="-1502445310"/>
                <w14:textFill>
                  <w14:solidFill>
                    <w14:srgbClr w14:val="000000">
                      <w14:alpha w14:val="100000"/>
                    </w14:srgbClr>
                  </w14:solidFill>
                </w14:textFill>
              </w:rPr>
              <w:t xml:space="preserve">　</w:t>
            </w:r>
            <w:r w:rsidR="00633602" w:rsidRPr="00633602">
              <w:rPr>
                <w:vertAlign w:val="superscript"/>
              </w:rPr>
              <w:t>1</w:t>
            </w:r>
          </w:p>
        </w:tc>
        <w:tc>
          <w:tcPr>
            <w:tcW w:w="987" w:type="dxa"/>
            <w:shd w:val="clear" w:color="auto" w:fill="auto"/>
            <w:vAlign w:val="center"/>
          </w:tcPr>
          <w:p w14:paraId="0ED6A83C" w14:textId="6AF60699" w:rsidR="00C4440A" w:rsidRPr="00892EA4" w:rsidRDefault="00217797" w:rsidP="00C4440A">
            <w:pPr>
              <w:pStyle w:val="Tabletext"/>
              <w:keepNext/>
              <w:keepLines/>
              <w:jc w:val="center"/>
              <w:rPr>
                <w:highlight w:val="yellow"/>
              </w:rPr>
            </w:pPr>
            <w:r w:rsidRPr="00217797">
              <w:rPr>
                <w:rFonts w:hint="eastAsia"/>
                <w:color w:val="000000"/>
                <w:w w:val="27"/>
                <w:shd w:val="solid" w:color="000000" w:fill="000000"/>
                <w:fitText w:val="120" w:id="-1502445309"/>
                <w14:textFill>
                  <w14:solidFill>
                    <w14:srgbClr w14:val="000000">
                      <w14:alpha w14:val="100000"/>
                    </w14:srgbClr>
                  </w14:solidFill>
                </w14:textFill>
              </w:rPr>
              <w:t xml:space="preserve">　</w:t>
            </w:r>
            <w:r w:rsidRPr="00217797">
              <w:rPr>
                <w:color w:val="000000"/>
                <w:w w:val="27"/>
                <w:shd w:val="solid" w:color="000000" w:fill="000000"/>
                <w:fitText w:val="120" w:id="-1502445309"/>
                <w14:textFill>
                  <w14:solidFill>
                    <w14:srgbClr w14:val="000000">
                      <w14:alpha w14:val="100000"/>
                    </w14:srgbClr>
                  </w14:solidFill>
                </w14:textFill>
              </w:rPr>
              <w:t>|</w:t>
            </w:r>
            <w:r w:rsidRPr="00217797">
              <w:rPr>
                <w:rFonts w:hint="eastAsia"/>
                <w:color w:val="000000"/>
                <w:spacing w:val="2"/>
                <w:w w:val="27"/>
                <w:shd w:val="solid" w:color="000000" w:fill="000000"/>
                <w:fitText w:val="120" w:id="-1502445309"/>
                <w14:textFill>
                  <w14:solidFill>
                    <w14:srgbClr w14:val="000000">
                      <w14:alpha w14:val="100000"/>
                    </w14:srgbClr>
                  </w14:solidFill>
                </w14:textFill>
              </w:rPr>
              <w:t xml:space="preserve">　</w:t>
            </w:r>
            <w:r w:rsidR="00633602" w:rsidRPr="00633602">
              <w:rPr>
                <w:vertAlign w:val="superscript"/>
              </w:rPr>
              <w:t>1</w:t>
            </w:r>
          </w:p>
        </w:tc>
        <w:tc>
          <w:tcPr>
            <w:tcW w:w="988" w:type="dxa"/>
            <w:shd w:val="clear" w:color="auto" w:fill="auto"/>
            <w:vAlign w:val="center"/>
          </w:tcPr>
          <w:p w14:paraId="5C00B826" w14:textId="20E8F2A6" w:rsidR="00C4440A" w:rsidRPr="00892EA4" w:rsidRDefault="00217797" w:rsidP="00C4440A">
            <w:pPr>
              <w:pStyle w:val="Tabletext"/>
              <w:keepNext/>
              <w:keepLines/>
              <w:jc w:val="center"/>
              <w:rPr>
                <w:highlight w:val="yellow"/>
              </w:rPr>
            </w:pPr>
            <w:r w:rsidRPr="00217797">
              <w:rPr>
                <w:rFonts w:hint="eastAsia"/>
                <w:color w:val="000000"/>
                <w:w w:val="23"/>
                <w:shd w:val="solid" w:color="000000" w:fill="000000"/>
                <w:fitText w:val="105" w:id="-1502445308"/>
                <w14:textFill>
                  <w14:solidFill>
                    <w14:srgbClr w14:val="000000">
                      <w14:alpha w14:val="100000"/>
                    </w14:srgbClr>
                  </w14:solidFill>
                </w14:textFill>
              </w:rPr>
              <w:t xml:space="preserve">　</w:t>
            </w:r>
            <w:r w:rsidRPr="00217797">
              <w:rPr>
                <w:color w:val="000000"/>
                <w:w w:val="23"/>
                <w:shd w:val="solid" w:color="000000" w:fill="000000"/>
                <w:fitText w:val="105" w:id="-1502445308"/>
                <w14:textFill>
                  <w14:solidFill>
                    <w14:srgbClr w14:val="000000">
                      <w14:alpha w14:val="100000"/>
                    </w14:srgbClr>
                  </w14:solidFill>
                </w14:textFill>
              </w:rPr>
              <w:t>|</w:t>
            </w:r>
            <w:r w:rsidRPr="00217797">
              <w:rPr>
                <w:rFonts w:hint="eastAsia"/>
                <w:color w:val="000000"/>
                <w:spacing w:val="4"/>
                <w:w w:val="23"/>
                <w:shd w:val="solid" w:color="000000" w:fill="000000"/>
                <w:fitText w:val="105" w:id="-1502445308"/>
                <w14:textFill>
                  <w14:solidFill>
                    <w14:srgbClr w14:val="000000">
                      <w14:alpha w14:val="100000"/>
                    </w14:srgbClr>
                  </w14:solidFill>
                </w14:textFill>
              </w:rPr>
              <w:t xml:space="preserve">　</w:t>
            </w:r>
            <w:r w:rsidR="00633602" w:rsidRPr="00633602">
              <w:rPr>
                <w:vertAlign w:val="superscript"/>
              </w:rPr>
              <w:t>1</w:t>
            </w:r>
          </w:p>
        </w:tc>
      </w:tr>
      <w:tr w:rsidR="00C4440A" w:rsidRPr="005B43D0" w14:paraId="7267B0ED" w14:textId="77777777" w:rsidTr="00395D5E">
        <w:tc>
          <w:tcPr>
            <w:tcW w:w="3095" w:type="dxa"/>
            <w:shd w:val="clear" w:color="auto" w:fill="auto"/>
            <w:vAlign w:val="center"/>
          </w:tcPr>
          <w:p w14:paraId="3E487E7A" w14:textId="77777777" w:rsidR="00C4440A" w:rsidRPr="005B43D0" w:rsidRDefault="00C4440A" w:rsidP="00C4440A">
            <w:pPr>
              <w:pStyle w:val="Tabletext"/>
              <w:keepNext/>
              <w:keepLines/>
              <w:ind w:left="113"/>
              <w:rPr>
                <w:vertAlign w:val="superscript"/>
              </w:rPr>
            </w:pPr>
            <w:r w:rsidRPr="005B43D0">
              <w:t xml:space="preserve">Continuing scripts </w:t>
            </w:r>
            <w:r w:rsidRPr="005B43D0">
              <w:rPr>
                <w:vertAlign w:val="superscript"/>
              </w:rPr>
              <w:t>b</w:t>
            </w:r>
          </w:p>
        </w:tc>
        <w:tc>
          <w:tcPr>
            <w:tcW w:w="986" w:type="dxa"/>
            <w:shd w:val="clear" w:color="auto" w:fill="auto"/>
            <w:vAlign w:val="center"/>
          </w:tcPr>
          <w:p w14:paraId="7E28D6EC" w14:textId="23982193" w:rsidR="00C4440A" w:rsidRPr="00892EA4" w:rsidRDefault="00217797" w:rsidP="00C4440A">
            <w:pPr>
              <w:pStyle w:val="Tabletext"/>
              <w:keepNext/>
              <w:keepLines/>
              <w:jc w:val="center"/>
              <w:rPr>
                <w:highlight w:val="yellow"/>
              </w:rPr>
            </w:pPr>
            <w:r w:rsidRPr="00217797">
              <w:rPr>
                <w:rFonts w:hint="eastAsia"/>
                <w:color w:val="000000"/>
                <w:w w:val="27"/>
                <w:shd w:val="solid" w:color="000000" w:fill="000000"/>
                <w:fitText w:val="120" w:id="-1502445307"/>
                <w14:textFill>
                  <w14:solidFill>
                    <w14:srgbClr w14:val="000000">
                      <w14:alpha w14:val="100000"/>
                    </w14:srgbClr>
                  </w14:solidFill>
                </w14:textFill>
              </w:rPr>
              <w:t xml:space="preserve">　</w:t>
            </w:r>
            <w:r w:rsidRPr="00217797">
              <w:rPr>
                <w:color w:val="000000"/>
                <w:w w:val="27"/>
                <w:shd w:val="solid" w:color="000000" w:fill="000000"/>
                <w:fitText w:val="120" w:id="-1502445307"/>
                <w14:textFill>
                  <w14:solidFill>
                    <w14:srgbClr w14:val="000000">
                      <w14:alpha w14:val="100000"/>
                    </w14:srgbClr>
                  </w14:solidFill>
                </w14:textFill>
              </w:rPr>
              <w:t>|</w:t>
            </w:r>
            <w:r w:rsidRPr="00217797">
              <w:rPr>
                <w:rFonts w:hint="eastAsia"/>
                <w:color w:val="000000"/>
                <w:spacing w:val="2"/>
                <w:w w:val="27"/>
                <w:shd w:val="solid" w:color="000000" w:fill="000000"/>
                <w:fitText w:val="120" w:id="-1502445307"/>
                <w14:textFill>
                  <w14:solidFill>
                    <w14:srgbClr w14:val="000000">
                      <w14:alpha w14:val="100000"/>
                    </w14:srgbClr>
                  </w14:solidFill>
                </w14:textFill>
              </w:rPr>
              <w:t xml:space="preserve">　</w:t>
            </w:r>
            <w:r w:rsidR="00633602" w:rsidRPr="00633602">
              <w:rPr>
                <w:vertAlign w:val="superscript"/>
              </w:rPr>
              <w:t>1</w:t>
            </w:r>
          </w:p>
        </w:tc>
        <w:tc>
          <w:tcPr>
            <w:tcW w:w="987" w:type="dxa"/>
            <w:shd w:val="clear" w:color="auto" w:fill="auto"/>
            <w:vAlign w:val="center"/>
          </w:tcPr>
          <w:p w14:paraId="7FCA1C4F" w14:textId="417BAC6D" w:rsidR="00C4440A" w:rsidRPr="00892EA4" w:rsidRDefault="00217797" w:rsidP="00C4440A">
            <w:pPr>
              <w:pStyle w:val="Tabletext"/>
              <w:keepNext/>
              <w:keepLines/>
              <w:jc w:val="center"/>
              <w:rPr>
                <w:highlight w:val="yellow"/>
              </w:rPr>
            </w:pPr>
            <w:r w:rsidRPr="00217797">
              <w:rPr>
                <w:rFonts w:hint="eastAsia"/>
                <w:color w:val="000000"/>
                <w:w w:val="27"/>
                <w:shd w:val="solid" w:color="000000" w:fill="000000"/>
                <w:fitText w:val="120" w:id="-1502445306"/>
                <w14:textFill>
                  <w14:solidFill>
                    <w14:srgbClr w14:val="000000">
                      <w14:alpha w14:val="100000"/>
                    </w14:srgbClr>
                  </w14:solidFill>
                </w14:textFill>
              </w:rPr>
              <w:t xml:space="preserve">　</w:t>
            </w:r>
            <w:r w:rsidRPr="00217797">
              <w:rPr>
                <w:color w:val="000000"/>
                <w:w w:val="27"/>
                <w:shd w:val="solid" w:color="000000" w:fill="000000"/>
                <w:fitText w:val="120" w:id="-1502445306"/>
                <w14:textFill>
                  <w14:solidFill>
                    <w14:srgbClr w14:val="000000">
                      <w14:alpha w14:val="100000"/>
                    </w14:srgbClr>
                  </w14:solidFill>
                </w14:textFill>
              </w:rPr>
              <w:t>|</w:t>
            </w:r>
            <w:r w:rsidRPr="00217797">
              <w:rPr>
                <w:rFonts w:hint="eastAsia"/>
                <w:color w:val="000000"/>
                <w:spacing w:val="2"/>
                <w:w w:val="27"/>
                <w:shd w:val="solid" w:color="000000" w:fill="000000"/>
                <w:fitText w:val="120" w:id="-1502445306"/>
                <w14:textFill>
                  <w14:solidFill>
                    <w14:srgbClr w14:val="000000">
                      <w14:alpha w14:val="100000"/>
                    </w14:srgbClr>
                  </w14:solidFill>
                </w14:textFill>
              </w:rPr>
              <w:t xml:space="preserve">　</w:t>
            </w:r>
            <w:r w:rsidR="00633602" w:rsidRPr="00633602">
              <w:rPr>
                <w:vertAlign w:val="superscript"/>
              </w:rPr>
              <w:t>1</w:t>
            </w:r>
          </w:p>
        </w:tc>
        <w:tc>
          <w:tcPr>
            <w:tcW w:w="987" w:type="dxa"/>
            <w:shd w:val="clear" w:color="auto" w:fill="auto"/>
            <w:vAlign w:val="center"/>
          </w:tcPr>
          <w:p w14:paraId="07ACF737" w14:textId="2CB3CE69" w:rsidR="00C4440A" w:rsidRPr="00892EA4" w:rsidRDefault="00217797" w:rsidP="00C4440A">
            <w:pPr>
              <w:pStyle w:val="Tabletext"/>
              <w:keepNext/>
              <w:keepLines/>
              <w:jc w:val="center"/>
              <w:rPr>
                <w:highlight w:val="yellow"/>
              </w:rPr>
            </w:pPr>
            <w:r w:rsidRPr="00217797">
              <w:rPr>
                <w:rFonts w:hint="eastAsia"/>
                <w:color w:val="000000"/>
                <w:w w:val="27"/>
                <w:shd w:val="solid" w:color="000000" w:fill="000000"/>
                <w:fitText w:val="120" w:id="-1502445305"/>
                <w14:textFill>
                  <w14:solidFill>
                    <w14:srgbClr w14:val="000000">
                      <w14:alpha w14:val="100000"/>
                    </w14:srgbClr>
                  </w14:solidFill>
                </w14:textFill>
              </w:rPr>
              <w:t xml:space="preserve">　</w:t>
            </w:r>
            <w:r w:rsidRPr="00217797">
              <w:rPr>
                <w:color w:val="000000"/>
                <w:w w:val="27"/>
                <w:shd w:val="solid" w:color="000000" w:fill="000000"/>
                <w:fitText w:val="120" w:id="-1502445305"/>
                <w14:textFill>
                  <w14:solidFill>
                    <w14:srgbClr w14:val="000000">
                      <w14:alpha w14:val="100000"/>
                    </w14:srgbClr>
                  </w14:solidFill>
                </w14:textFill>
              </w:rPr>
              <w:t>|</w:t>
            </w:r>
            <w:r w:rsidRPr="00217797">
              <w:rPr>
                <w:rFonts w:hint="eastAsia"/>
                <w:color w:val="000000"/>
                <w:spacing w:val="2"/>
                <w:w w:val="27"/>
                <w:shd w:val="solid" w:color="000000" w:fill="000000"/>
                <w:fitText w:val="120" w:id="-1502445305"/>
                <w14:textFill>
                  <w14:solidFill>
                    <w14:srgbClr w14:val="000000">
                      <w14:alpha w14:val="100000"/>
                    </w14:srgbClr>
                  </w14:solidFill>
                </w14:textFill>
              </w:rPr>
              <w:t xml:space="preserve">　</w:t>
            </w:r>
            <w:r w:rsidR="00633602">
              <w:rPr>
                <w:vertAlign w:val="superscript"/>
              </w:rPr>
              <w:t>2</w:t>
            </w:r>
          </w:p>
        </w:tc>
        <w:tc>
          <w:tcPr>
            <w:tcW w:w="987" w:type="dxa"/>
            <w:shd w:val="clear" w:color="auto" w:fill="auto"/>
            <w:vAlign w:val="center"/>
          </w:tcPr>
          <w:p w14:paraId="1194BDD8" w14:textId="3B9582F9" w:rsidR="00C4440A" w:rsidRPr="00892EA4" w:rsidRDefault="00217797" w:rsidP="00C4440A">
            <w:pPr>
              <w:pStyle w:val="Tabletext"/>
              <w:keepNext/>
              <w:keepLines/>
              <w:jc w:val="center"/>
              <w:rPr>
                <w:highlight w:val="yellow"/>
              </w:rPr>
            </w:pPr>
            <w:r w:rsidRPr="00217797">
              <w:rPr>
                <w:rFonts w:hint="eastAsia"/>
                <w:color w:val="000000"/>
                <w:w w:val="27"/>
                <w:shd w:val="solid" w:color="000000" w:fill="000000"/>
                <w:fitText w:val="120" w:id="-1502445304"/>
                <w14:textFill>
                  <w14:solidFill>
                    <w14:srgbClr w14:val="000000">
                      <w14:alpha w14:val="100000"/>
                    </w14:srgbClr>
                  </w14:solidFill>
                </w14:textFill>
              </w:rPr>
              <w:t xml:space="preserve">　</w:t>
            </w:r>
            <w:r w:rsidRPr="00217797">
              <w:rPr>
                <w:color w:val="000000"/>
                <w:w w:val="27"/>
                <w:shd w:val="solid" w:color="000000" w:fill="000000"/>
                <w:fitText w:val="120" w:id="-1502445304"/>
                <w14:textFill>
                  <w14:solidFill>
                    <w14:srgbClr w14:val="000000">
                      <w14:alpha w14:val="100000"/>
                    </w14:srgbClr>
                  </w14:solidFill>
                </w14:textFill>
              </w:rPr>
              <w:t>|</w:t>
            </w:r>
            <w:r w:rsidRPr="00217797">
              <w:rPr>
                <w:rFonts w:hint="eastAsia"/>
                <w:color w:val="000000"/>
                <w:spacing w:val="2"/>
                <w:w w:val="27"/>
                <w:shd w:val="solid" w:color="000000" w:fill="000000"/>
                <w:fitText w:val="120" w:id="-1502445304"/>
                <w14:textFill>
                  <w14:solidFill>
                    <w14:srgbClr w14:val="000000">
                      <w14:alpha w14:val="100000"/>
                    </w14:srgbClr>
                  </w14:solidFill>
                </w14:textFill>
              </w:rPr>
              <w:t xml:space="preserve">　</w:t>
            </w:r>
            <w:r w:rsidR="00633602">
              <w:rPr>
                <w:vertAlign w:val="superscript"/>
              </w:rPr>
              <w:t>2</w:t>
            </w:r>
          </w:p>
        </w:tc>
        <w:tc>
          <w:tcPr>
            <w:tcW w:w="987" w:type="dxa"/>
            <w:shd w:val="clear" w:color="auto" w:fill="auto"/>
            <w:vAlign w:val="center"/>
          </w:tcPr>
          <w:p w14:paraId="1243B82D" w14:textId="38AD9037" w:rsidR="00C4440A" w:rsidRPr="00892EA4" w:rsidRDefault="00217797" w:rsidP="00C4440A">
            <w:pPr>
              <w:pStyle w:val="Tabletext"/>
              <w:keepNext/>
              <w:keepLines/>
              <w:jc w:val="center"/>
              <w:rPr>
                <w:highlight w:val="yellow"/>
              </w:rPr>
            </w:pPr>
            <w:r w:rsidRPr="00217797">
              <w:rPr>
                <w:rFonts w:hint="eastAsia"/>
                <w:color w:val="000000"/>
                <w:w w:val="27"/>
                <w:shd w:val="solid" w:color="000000" w:fill="000000"/>
                <w:fitText w:val="120" w:id="-1502445303"/>
                <w14:textFill>
                  <w14:solidFill>
                    <w14:srgbClr w14:val="000000">
                      <w14:alpha w14:val="100000"/>
                    </w14:srgbClr>
                  </w14:solidFill>
                </w14:textFill>
              </w:rPr>
              <w:t xml:space="preserve">　</w:t>
            </w:r>
            <w:r w:rsidRPr="00217797">
              <w:rPr>
                <w:color w:val="000000"/>
                <w:w w:val="27"/>
                <w:shd w:val="solid" w:color="000000" w:fill="000000"/>
                <w:fitText w:val="120" w:id="-1502445303"/>
                <w14:textFill>
                  <w14:solidFill>
                    <w14:srgbClr w14:val="000000">
                      <w14:alpha w14:val="100000"/>
                    </w14:srgbClr>
                  </w14:solidFill>
                </w14:textFill>
              </w:rPr>
              <w:t>|</w:t>
            </w:r>
            <w:r w:rsidRPr="00217797">
              <w:rPr>
                <w:rFonts w:hint="eastAsia"/>
                <w:color w:val="000000"/>
                <w:spacing w:val="2"/>
                <w:w w:val="27"/>
                <w:shd w:val="solid" w:color="000000" w:fill="000000"/>
                <w:fitText w:val="120" w:id="-1502445303"/>
                <w14:textFill>
                  <w14:solidFill>
                    <w14:srgbClr w14:val="000000">
                      <w14:alpha w14:val="100000"/>
                    </w14:srgbClr>
                  </w14:solidFill>
                </w14:textFill>
              </w:rPr>
              <w:t xml:space="preserve">　</w:t>
            </w:r>
            <w:r w:rsidR="00633602">
              <w:rPr>
                <w:vertAlign w:val="superscript"/>
              </w:rPr>
              <w:t>2</w:t>
            </w:r>
          </w:p>
        </w:tc>
        <w:tc>
          <w:tcPr>
            <w:tcW w:w="988" w:type="dxa"/>
            <w:shd w:val="clear" w:color="auto" w:fill="auto"/>
            <w:vAlign w:val="center"/>
          </w:tcPr>
          <w:p w14:paraId="4AFD4C5F" w14:textId="10E10355" w:rsidR="00C4440A" w:rsidRPr="00892EA4" w:rsidRDefault="00217797" w:rsidP="00C4440A">
            <w:pPr>
              <w:pStyle w:val="Tabletext"/>
              <w:keepNext/>
              <w:keepLines/>
              <w:jc w:val="center"/>
              <w:rPr>
                <w:highlight w:val="yellow"/>
              </w:rPr>
            </w:pPr>
            <w:r w:rsidRPr="00217797">
              <w:rPr>
                <w:rFonts w:hint="eastAsia"/>
                <w:color w:val="000000"/>
                <w:w w:val="23"/>
                <w:shd w:val="solid" w:color="000000" w:fill="000000"/>
                <w:fitText w:val="105" w:id="-1502445302"/>
                <w14:textFill>
                  <w14:solidFill>
                    <w14:srgbClr w14:val="000000">
                      <w14:alpha w14:val="100000"/>
                    </w14:srgbClr>
                  </w14:solidFill>
                </w14:textFill>
              </w:rPr>
              <w:t xml:space="preserve">　</w:t>
            </w:r>
            <w:r w:rsidRPr="00217797">
              <w:rPr>
                <w:color w:val="000000"/>
                <w:w w:val="23"/>
                <w:shd w:val="solid" w:color="000000" w:fill="000000"/>
                <w:fitText w:val="105" w:id="-1502445302"/>
                <w14:textFill>
                  <w14:solidFill>
                    <w14:srgbClr w14:val="000000">
                      <w14:alpha w14:val="100000"/>
                    </w14:srgbClr>
                  </w14:solidFill>
                </w14:textFill>
              </w:rPr>
              <w:t>|</w:t>
            </w:r>
            <w:r w:rsidRPr="00217797">
              <w:rPr>
                <w:rFonts w:hint="eastAsia"/>
                <w:color w:val="000000"/>
                <w:spacing w:val="4"/>
                <w:w w:val="23"/>
                <w:shd w:val="solid" w:color="000000" w:fill="000000"/>
                <w:fitText w:val="105" w:id="-1502445302"/>
                <w14:textFill>
                  <w14:solidFill>
                    <w14:srgbClr w14:val="000000">
                      <w14:alpha w14:val="100000"/>
                    </w14:srgbClr>
                  </w14:solidFill>
                </w14:textFill>
              </w:rPr>
              <w:t xml:space="preserve">　</w:t>
            </w:r>
            <w:r w:rsidR="00633602">
              <w:rPr>
                <w:vertAlign w:val="superscript"/>
              </w:rPr>
              <w:t>2</w:t>
            </w:r>
          </w:p>
        </w:tc>
      </w:tr>
      <w:tr w:rsidR="00C4440A" w:rsidRPr="005B43D0" w14:paraId="73379105" w14:textId="77777777" w:rsidTr="00395D5E">
        <w:tc>
          <w:tcPr>
            <w:tcW w:w="3095" w:type="dxa"/>
            <w:shd w:val="clear" w:color="auto" w:fill="auto"/>
            <w:vAlign w:val="center"/>
          </w:tcPr>
          <w:p w14:paraId="0EFB5AD4" w14:textId="77777777" w:rsidR="00C4440A" w:rsidRPr="005B43D0" w:rsidRDefault="00C4440A" w:rsidP="00C4440A">
            <w:pPr>
              <w:pStyle w:val="Tabletext"/>
              <w:keepNext/>
              <w:keepLines/>
            </w:pPr>
            <w:r w:rsidRPr="005B43D0">
              <w:t>Total</w:t>
            </w:r>
          </w:p>
        </w:tc>
        <w:tc>
          <w:tcPr>
            <w:tcW w:w="986" w:type="dxa"/>
            <w:shd w:val="clear" w:color="auto" w:fill="auto"/>
            <w:vAlign w:val="center"/>
          </w:tcPr>
          <w:p w14:paraId="5BD82BB0" w14:textId="395F52B0" w:rsidR="00C4440A" w:rsidRPr="00892EA4" w:rsidRDefault="00217797" w:rsidP="00C4440A">
            <w:pPr>
              <w:pStyle w:val="Tabletext"/>
              <w:keepNext/>
              <w:keepLines/>
              <w:jc w:val="center"/>
              <w:rPr>
                <w:highlight w:val="yellow"/>
              </w:rPr>
            </w:pPr>
            <w:r w:rsidRPr="00217797">
              <w:rPr>
                <w:rFonts w:hint="eastAsia"/>
                <w:color w:val="000000"/>
                <w:w w:val="27"/>
                <w:shd w:val="solid" w:color="000000" w:fill="000000"/>
                <w:fitText w:val="120" w:id="-1502445301"/>
                <w14:textFill>
                  <w14:solidFill>
                    <w14:srgbClr w14:val="000000">
                      <w14:alpha w14:val="100000"/>
                    </w14:srgbClr>
                  </w14:solidFill>
                </w14:textFill>
              </w:rPr>
              <w:t xml:space="preserve">　</w:t>
            </w:r>
            <w:r w:rsidRPr="00217797">
              <w:rPr>
                <w:color w:val="000000"/>
                <w:w w:val="27"/>
                <w:shd w:val="solid" w:color="000000" w:fill="000000"/>
                <w:fitText w:val="120" w:id="-1502445301"/>
                <w14:textFill>
                  <w14:solidFill>
                    <w14:srgbClr w14:val="000000">
                      <w14:alpha w14:val="100000"/>
                    </w14:srgbClr>
                  </w14:solidFill>
                </w14:textFill>
              </w:rPr>
              <w:t>|</w:t>
            </w:r>
            <w:r w:rsidRPr="00217797">
              <w:rPr>
                <w:rFonts w:hint="eastAsia"/>
                <w:color w:val="000000"/>
                <w:spacing w:val="2"/>
                <w:w w:val="27"/>
                <w:shd w:val="solid" w:color="000000" w:fill="000000"/>
                <w:fitText w:val="120" w:id="-1502445301"/>
                <w14:textFill>
                  <w14:solidFill>
                    <w14:srgbClr w14:val="000000">
                      <w14:alpha w14:val="100000"/>
                    </w14:srgbClr>
                  </w14:solidFill>
                </w14:textFill>
              </w:rPr>
              <w:t xml:space="preserve">　</w:t>
            </w:r>
            <w:r w:rsidR="00633602">
              <w:rPr>
                <w:vertAlign w:val="superscript"/>
              </w:rPr>
              <w:t>2</w:t>
            </w:r>
          </w:p>
        </w:tc>
        <w:tc>
          <w:tcPr>
            <w:tcW w:w="987" w:type="dxa"/>
            <w:shd w:val="clear" w:color="auto" w:fill="auto"/>
            <w:vAlign w:val="center"/>
          </w:tcPr>
          <w:p w14:paraId="0F10F361" w14:textId="03D3370A" w:rsidR="00C4440A" w:rsidRPr="00892EA4" w:rsidRDefault="00217797" w:rsidP="00C4440A">
            <w:pPr>
              <w:pStyle w:val="Tabletext"/>
              <w:keepNext/>
              <w:keepLines/>
              <w:jc w:val="center"/>
              <w:rPr>
                <w:highlight w:val="yellow"/>
              </w:rPr>
            </w:pPr>
            <w:r w:rsidRPr="00217797">
              <w:rPr>
                <w:rFonts w:hint="eastAsia"/>
                <w:color w:val="000000"/>
                <w:w w:val="27"/>
                <w:shd w:val="solid" w:color="000000" w:fill="000000"/>
                <w:fitText w:val="120" w:id="-1502445300"/>
                <w14:textFill>
                  <w14:solidFill>
                    <w14:srgbClr w14:val="000000">
                      <w14:alpha w14:val="100000"/>
                    </w14:srgbClr>
                  </w14:solidFill>
                </w14:textFill>
              </w:rPr>
              <w:t xml:space="preserve">　</w:t>
            </w:r>
            <w:r w:rsidRPr="00217797">
              <w:rPr>
                <w:color w:val="000000"/>
                <w:w w:val="27"/>
                <w:shd w:val="solid" w:color="000000" w:fill="000000"/>
                <w:fitText w:val="120" w:id="-1502445300"/>
                <w14:textFill>
                  <w14:solidFill>
                    <w14:srgbClr w14:val="000000">
                      <w14:alpha w14:val="100000"/>
                    </w14:srgbClr>
                  </w14:solidFill>
                </w14:textFill>
              </w:rPr>
              <w:t>|</w:t>
            </w:r>
            <w:r w:rsidRPr="00217797">
              <w:rPr>
                <w:rFonts w:hint="eastAsia"/>
                <w:color w:val="000000"/>
                <w:spacing w:val="2"/>
                <w:w w:val="27"/>
                <w:shd w:val="solid" w:color="000000" w:fill="000000"/>
                <w:fitText w:val="120" w:id="-1502445300"/>
                <w14:textFill>
                  <w14:solidFill>
                    <w14:srgbClr w14:val="000000">
                      <w14:alpha w14:val="100000"/>
                    </w14:srgbClr>
                  </w14:solidFill>
                </w14:textFill>
              </w:rPr>
              <w:t xml:space="preserve">　</w:t>
            </w:r>
            <w:r w:rsidR="00633602">
              <w:rPr>
                <w:vertAlign w:val="superscript"/>
              </w:rPr>
              <w:t>2</w:t>
            </w:r>
          </w:p>
        </w:tc>
        <w:tc>
          <w:tcPr>
            <w:tcW w:w="987" w:type="dxa"/>
            <w:shd w:val="clear" w:color="auto" w:fill="auto"/>
            <w:vAlign w:val="center"/>
          </w:tcPr>
          <w:p w14:paraId="18558E0F" w14:textId="2A6C5F40" w:rsidR="00C4440A" w:rsidRPr="00892EA4" w:rsidRDefault="00217797" w:rsidP="00C4440A">
            <w:pPr>
              <w:pStyle w:val="Tabletext"/>
              <w:keepNext/>
              <w:keepLines/>
              <w:jc w:val="center"/>
              <w:rPr>
                <w:highlight w:val="yellow"/>
              </w:rPr>
            </w:pPr>
            <w:r w:rsidRPr="00217797">
              <w:rPr>
                <w:rFonts w:hint="eastAsia"/>
                <w:color w:val="000000"/>
                <w:w w:val="27"/>
                <w:shd w:val="solid" w:color="000000" w:fill="000000"/>
                <w:fitText w:val="120" w:id="-1502445299"/>
                <w14:textFill>
                  <w14:solidFill>
                    <w14:srgbClr w14:val="000000">
                      <w14:alpha w14:val="100000"/>
                    </w14:srgbClr>
                  </w14:solidFill>
                </w14:textFill>
              </w:rPr>
              <w:t xml:space="preserve">　</w:t>
            </w:r>
            <w:r w:rsidRPr="00217797">
              <w:rPr>
                <w:color w:val="000000"/>
                <w:w w:val="27"/>
                <w:shd w:val="solid" w:color="000000" w:fill="000000"/>
                <w:fitText w:val="120" w:id="-1502445299"/>
                <w14:textFill>
                  <w14:solidFill>
                    <w14:srgbClr w14:val="000000">
                      <w14:alpha w14:val="100000"/>
                    </w14:srgbClr>
                  </w14:solidFill>
                </w14:textFill>
              </w:rPr>
              <w:t>|</w:t>
            </w:r>
            <w:r w:rsidRPr="00217797">
              <w:rPr>
                <w:rFonts w:hint="eastAsia"/>
                <w:color w:val="000000"/>
                <w:spacing w:val="2"/>
                <w:w w:val="27"/>
                <w:shd w:val="solid" w:color="000000" w:fill="000000"/>
                <w:fitText w:val="120" w:id="-1502445299"/>
                <w14:textFill>
                  <w14:solidFill>
                    <w14:srgbClr w14:val="000000">
                      <w14:alpha w14:val="100000"/>
                    </w14:srgbClr>
                  </w14:solidFill>
                </w14:textFill>
              </w:rPr>
              <w:t xml:space="preserve">　</w:t>
            </w:r>
            <w:r w:rsidR="00633602">
              <w:rPr>
                <w:vertAlign w:val="superscript"/>
              </w:rPr>
              <w:t>2</w:t>
            </w:r>
          </w:p>
        </w:tc>
        <w:tc>
          <w:tcPr>
            <w:tcW w:w="987" w:type="dxa"/>
            <w:shd w:val="clear" w:color="auto" w:fill="auto"/>
            <w:vAlign w:val="center"/>
          </w:tcPr>
          <w:p w14:paraId="2537834F" w14:textId="2B653BA3" w:rsidR="00C4440A" w:rsidRPr="00892EA4" w:rsidRDefault="00217797" w:rsidP="00C4440A">
            <w:pPr>
              <w:pStyle w:val="Tabletext"/>
              <w:keepNext/>
              <w:keepLines/>
              <w:jc w:val="center"/>
              <w:rPr>
                <w:highlight w:val="yellow"/>
              </w:rPr>
            </w:pPr>
            <w:r w:rsidRPr="00217797">
              <w:rPr>
                <w:rFonts w:hint="eastAsia"/>
                <w:color w:val="000000"/>
                <w:w w:val="27"/>
                <w:shd w:val="solid" w:color="000000" w:fill="000000"/>
                <w:fitText w:val="120" w:id="-1502445298"/>
                <w14:textFill>
                  <w14:solidFill>
                    <w14:srgbClr w14:val="000000">
                      <w14:alpha w14:val="100000"/>
                    </w14:srgbClr>
                  </w14:solidFill>
                </w14:textFill>
              </w:rPr>
              <w:t xml:space="preserve">　</w:t>
            </w:r>
            <w:r w:rsidRPr="00217797">
              <w:rPr>
                <w:color w:val="000000"/>
                <w:w w:val="27"/>
                <w:shd w:val="solid" w:color="000000" w:fill="000000"/>
                <w:fitText w:val="120" w:id="-1502445298"/>
                <w14:textFill>
                  <w14:solidFill>
                    <w14:srgbClr w14:val="000000">
                      <w14:alpha w14:val="100000"/>
                    </w14:srgbClr>
                  </w14:solidFill>
                </w14:textFill>
              </w:rPr>
              <w:t>|</w:t>
            </w:r>
            <w:r w:rsidRPr="00217797">
              <w:rPr>
                <w:rFonts w:hint="eastAsia"/>
                <w:color w:val="000000"/>
                <w:spacing w:val="2"/>
                <w:w w:val="27"/>
                <w:shd w:val="solid" w:color="000000" w:fill="000000"/>
                <w:fitText w:val="120" w:id="-1502445298"/>
                <w14:textFill>
                  <w14:solidFill>
                    <w14:srgbClr w14:val="000000">
                      <w14:alpha w14:val="100000"/>
                    </w14:srgbClr>
                  </w14:solidFill>
                </w14:textFill>
              </w:rPr>
              <w:t xml:space="preserve">　</w:t>
            </w:r>
            <w:r w:rsidR="00633602">
              <w:rPr>
                <w:vertAlign w:val="superscript"/>
              </w:rPr>
              <w:t>2</w:t>
            </w:r>
          </w:p>
        </w:tc>
        <w:tc>
          <w:tcPr>
            <w:tcW w:w="987" w:type="dxa"/>
            <w:shd w:val="clear" w:color="auto" w:fill="auto"/>
            <w:vAlign w:val="center"/>
          </w:tcPr>
          <w:p w14:paraId="5DB52778" w14:textId="751EF101" w:rsidR="00C4440A" w:rsidRPr="00892EA4" w:rsidRDefault="00217797" w:rsidP="00C4440A">
            <w:pPr>
              <w:pStyle w:val="Tabletext"/>
              <w:keepNext/>
              <w:keepLines/>
              <w:jc w:val="center"/>
              <w:rPr>
                <w:highlight w:val="yellow"/>
              </w:rPr>
            </w:pPr>
            <w:r w:rsidRPr="00217797">
              <w:rPr>
                <w:rFonts w:hint="eastAsia"/>
                <w:color w:val="000000"/>
                <w:w w:val="27"/>
                <w:shd w:val="solid" w:color="000000" w:fill="000000"/>
                <w:fitText w:val="120" w:id="-1502445297"/>
                <w14:textFill>
                  <w14:solidFill>
                    <w14:srgbClr w14:val="000000">
                      <w14:alpha w14:val="100000"/>
                    </w14:srgbClr>
                  </w14:solidFill>
                </w14:textFill>
              </w:rPr>
              <w:t xml:space="preserve">　</w:t>
            </w:r>
            <w:r w:rsidRPr="00217797">
              <w:rPr>
                <w:color w:val="000000"/>
                <w:w w:val="27"/>
                <w:shd w:val="solid" w:color="000000" w:fill="000000"/>
                <w:fitText w:val="120" w:id="-1502445297"/>
                <w14:textFill>
                  <w14:solidFill>
                    <w14:srgbClr w14:val="000000">
                      <w14:alpha w14:val="100000"/>
                    </w14:srgbClr>
                  </w14:solidFill>
                </w14:textFill>
              </w:rPr>
              <w:t>|</w:t>
            </w:r>
            <w:r w:rsidRPr="00217797">
              <w:rPr>
                <w:rFonts w:hint="eastAsia"/>
                <w:color w:val="000000"/>
                <w:spacing w:val="2"/>
                <w:w w:val="27"/>
                <w:shd w:val="solid" w:color="000000" w:fill="000000"/>
                <w:fitText w:val="120" w:id="-1502445297"/>
                <w14:textFill>
                  <w14:solidFill>
                    <w14:srgbClr w14:val="000000">
                      <w14:alpha w14:val="100000"/>
                    </w14:srgbClr>
                  </w14:solidFill>
                </w14:textFill>
              </w:rPr>
              <w:t xml:space="preserve">　</w:t>
            </w:r>
            <w:r w:rsidR="00633602">
              <w:rPr>
                <w:vertAlign w:val="superscript"/>
              </w:rPr>
              <w:t>2</w:t>
            </w:r>
          </w:p>
        </w:tc>
        <w:tc>
          <w:tcPr>
            <w:tcW w:w="988" w:type="dxa"/>
            <w:shd w:val="clear" w:color="auto" w:fill="auto"/>
            <w:vAlign w:val="center"/>
          </w:tcPr>
          <w:p w14:paraId="09B80229" w14:textId="3B048B50" w:rsidR="00C4440A" w:rsidRPr="00892EA4" w:rsidRDefault="00217797" w:rsidP="00C4440A">
            <w:pPr>
              <w:pStyle w:val="Tabletext"/>
              <w:keepNext/>
              <w:keepLines/>
              <w:jc w:val="center"/>
              <w:rPr>
                <w:highlight w:val="yellow"/>
              </w:rPr>
            </w:pPr>
            <w:r w:rsidRPr="00217797">
              <w:rPr>
                <w:rFonts w:hint="eastAsia"/>
                <w:color w:val="000000"/>
                <w:w w:val="23"/>
                <w:shd w:val="solid" w:color="000000" w:fill="000000"/>
                <w:fitText w:val="105" w:id="-1502445296"/>
                <w14:textFill>
                  <w14:solidFill>
                    <w14:srgbClr w14:val="000000">
                      <w14:alpha w14:val="100000"/>
                    </w14:srgbClr>
                  </w14:solidFill>
                </w14:textFill>
              </w:rPr>
              <w:t xml:space="preserve">　</w:t>
            </w:r>
            <w:r w:rsidRPr="00217797">
              <w:rPr>
                <w:color w:val="000000"/>
                <w:w w:val="23"/>
                <w:shd w:val="solid" w:color="000000" w:fill="000000"/>
                <w:fitText w:val="105" w:id="-1502445296"/>
                <w14:textFill>
                  <w14:solidFill>
                    <w14:srgbClr w14:val="000000">
                      <w14:alpha w14:val="100000"/>
                    </w14:srgbClr>
                  </w14:solidFill>
                </w14:textFill>
              </w:rPr>
              <w:t>|</w:t>
            </w:r>
            <w:r w:rsidRPr="00217797">
              <w:rPr>
                <w:rFonts w:hint="eastAsia"/>
                <w:color w:val="000000"/>
                <w:spacing w:val="4"/>
                <w:w w:val="23"/>
                <w:shd w:val="solid" w:color="000000" w:fill="000000"/>
                <w:fitText w:val="105" w:id="-1502445296"/>
                <w14:textFill>
                  <w14:solidFill>
                    <w14:srgbClr w14:val="000000">
                      <w14:alpha w14:val="100000"/>
                    </w14:srgbClr>
                  </w14:solidFill>
                </w14:textFill>
              </w:rPr>
              <w:t xml:space="preserve">　</w:t>
            </w:r>
            <w:r w:rsidR="00633602">
              <w:rPr>
                <w:vertAlign w:val="superscript"/>
              </w:rPr>
              <w:t>2</w:t>
            </w:r>
          </w:p>
        </w:tc>
      </w:tr>
      <w:tr w:rsidR="00C4440A" w:rsidRPr="005B43D0" w14:paraId="22742A6F" w14:textId="77777777" w:rsidTr="007C19A5">
        <w:tc>
          <w:tcPr>
            <w:tcW w:w="9017" w:type="dxa"/>
            <w:gridSpan w:val="7"/>
            <w:tcBorders>
              <w:bottom w:val="single" w:sz="4" w:space="0" w:color="auto"/>
            </w:tcBorders>
            <w:shd w:val="clear" w:color="auto" w:fill="auto"/>
            <w:vAlign w:val="center"/>
          </w:tcPr>
          <w:p w14:paraId="35C35A83" w14:textId="77777777" w:rsidR="00C4440A" w:rsidRPr="005B43D0" w:rsidRDefault="00C4440A" w:rsidP="00C4440A">
            <w:pPr>
              <w:pStyle w:val="Tabletext"/>
              <w:keepNext/>
              <w:keepLines/>
            </w:pPr>
            <w:r w:rsidRPr="005B43D0">
              <w:t>PBS/RPBS cost less co-pay</w:t>
            </w:r>
          </w:p>
        </w:tc>
      </w:tr>
      <w:tr w:rsidR="00C4440A" w:rsidRPr="005B43D0" w14:paraId="6E2A3EB0" w14:textId="77777777" w:rsidTr="007C19A5">
        <w:tc>
          <w:tcPr>
            <w:tcW w:w="3095" w:type="dxa"/>
            <w:tcBorders>
              <w:bottom w:val="single" w:sz="4" w:space="0" w:color="auto"/>
            </w:tcBorders>
            <w:shd w:val="clear" w:color="auto" w:fill="auto"/>
            <w:vAlign w:val="center"/>
          </w:tcPr>
          <w:p w14:paraId="5D8CABCE" w14:textId="04D9C48D" w:rsidR="00C4440A" w:rsidRPr="005B43D0" w:rsidRDefault="00C4440A" w:rsidP="00C4440A">
            <w:pPr>
              <w:pStyle w:val="Tabletext"/>
              <w:keepNext/>
              <w:keepLines/>
            </w:pPr>
            <w:r w:rsidRPr="005B43D0">
              <w:t>Total (eff)</w:t>
            </w:r>
            <w:r w:rsidR="00DB44EC">
              <w:t xml:space="preserve"> – submission</w:t>
            </w:r>
            <w:r w:rsidR="00633602">
              <w:t xml:space="preserve"> ($)</w:t>
            </w:r>
          </w:p>
        </w:tc>
        <w:tc>
          <w:tcPr>
            <w:tcW w:w="986" w:type="dxa"/>
            <w:tcBorders>
              <w:bottom w:val="single" w:sz="4" w:space="0" w:color="auto"/>
            </w:tcBorders>
            <w:shd w:val="clear" w:color="auto" w:fill="auto"/>
            <w:vAlign w:val="center"/>
          </w:tcPr>
          <w:p w14:paraId="78A7E29D" w14:textId="4E9ACE65" w:rsidR="00C4440A" w:rsidRPr="00633602" w:rsidRDefault="00217797" w:rsidP="00C4440A">
            <w:pPr>
              <w:pStyle w:val="Tabletext"/>
              <w:keepNext/>
              <w:keepLines/>
              <w:jc w:val="center"/>
              <w:rPr>
                <w:highlight w:val="yellow"/>
              </w:rPr>
            </w:pPr>
            <w:r w:rsidRPr="00217797">
              <w:rPr>
                <w:rFonts w:hint="eastAsia"/>
                <w:color w:val="000000"/>
                <w:w w:val="27"/>
                <w:shd w:val="solid" w:color="000000" w:fill="000000"/>
                <w:fitText w:val="120" w:id="-1502445312"/>
                <w14:textFill>
                  <w14:solidFill>
                    <w14:srgbClr w14:val="000000">
                      <w14:alpha w14:val="100000"/>
                    </w14:srgbClr>
                  </w14:solidFill>
                </w14:textFill>
              </w:rPr>
              <w:t xml:space="preserve">　</w:t>
            </w:r>
            <w:r w:rsidRPr="00217797">
              <w:rPr>
                <w:color w:val="000000"/>
                <w:w w:val="27"/>
                <w:shd w:val="solid" w:color="000000" w:fill="000000"/>
                <w:fitText w:val="120" w:id="-1502445312"/>
                <w14:textFill>
                  <w14:solidFill>
                    <w14:srgbClr w14:val="000000">
                      <w14:alpha w14:val="100000"/>
                    </w14:srgbClr>
                  </w14:solidFill>
                </w14:textFill>
              </w:rPr>
              <w:t>|</w:t>
            </w:r>
            <w:r w:rsidRPr="00217797">
              <w:rPr>
                <w:rFonts w:hint="eastAsia"/>
                <w:color w:val="000000"/>
                <w:spacing w:val="2"/>
                <w:w w:val="27"/>
                <w:shd w:val="solid" w:color="000000" w:fill="000000"/>
                <w:fitText w:val="120" w:id="-1502445312"/>
                <w14:textFill>
                  <w14:solidFill>
                    <w14:srgbClr w14:val="000000">
                      <w14:alpha w14:val="100000"/>
                    </w14:srgbClr>
                  </w14:solidFill>
                </w14:textFill>
              </w:rPr>
              <w:t xml:space="preserve">　</w:t>
            </w:r>
            <w:r w:rsidR="00633602">
              <w:rPr>
                <w:vertAlign w:val="superscript"/>
              </w:rPr>
              <w:t>3</w:t>
            </w:r>
          </w:p>
        </w:tc>
        <w:tc>
          <w:tcPr>
            <w:tcW w:w="987" w:type="dxa"/>
            <w:tcBorders>
              <w:bottom w:val="single" w:sz="4" w:space="0" w:color="auto"/>
            </w:tcBorders>
            <w:shd w:val="clear" w:color="auto" w:fill="auto"/>
            <w:vAlign w:val="center"/>
          </w:tcPr>
          <w:p w14:paraId="5BAD86A3" w14:textId="2F488E4E" w:rsidR="00C4440A" w:rsidRPr="00633602" w:rsidRDefault="00217797" w:rsidP="00C4440A">
            <w:pPr>
              <w:pStyle w:val="Tabletext"/>
              <w:keepNext/>
              <w:keepLines/>
              <w:jc w:val="center"/>
              <w:rPr>
                <w:highlight w:val="yellow"/>
              </w:rPr>
            </w:pPr>
            <w:r w:rsidRPr="00217797">
              <w:rPr>
                <w:rFonts w:hint="eastAsia"/>
                <w:color w:val="000000"/>
                <w:w w:val="27"/>
                <w:shd w:val="solid" w:color="000000" w:fill="000000"/>
                <w:fitText w:val="120" w:id="-1502445311"/>
                <w14:textFill>
                  <w14:solidFill>
                    <w14:srgbClr w14:val="000000">
                      <w14:alpha w14:val="100000"/>
                    </w14:srgbClr>
                  </w14:solidFill>
                </w14:textFill>
              </w:rPr>
              <w:t xml:space="preserve">　</w:t>
            </w:r>
            <w:r w:rsidRPr="00217797">
              <w:rPr>
                <w:color w:val="000000"/>
                <w:w w:val="27"/>
                <w:shd w:val="solid" w:color="000000" w:fill="000000"/>
                <w:fitText w:val="120" w:id="-1502445311"/>
                <w14:textFill>
                  <w14:solidFill>
                    <w14:srgbClr w14:val="000000">
                      <w14:alpha w14:val="100000"/>
                    </w14:srgbClr>
                  </w14:solidFill>
                </w14:textFill>
              </w:rPr>
              <w:t>|</w:t>
            </w:r>
            <w:r w:rsidRPr="00217797">
              <w:rPr>
                <w:rFonts w:hint="eastAsia"/>
                <w:color w:val="000000"/>
                <w:spacing w:val="2"/>
                <w:w w:val="27"/>
                <w:shd w:val="solid" w:color="000000" w:fill="000000"/>
                <w:fitText w:val="120" w:id="-1502445311"/>
                <w14:textFill>
                  <w14:solidFill>
                    <w14:srgbClr w14:val="000000">
                      <w14:alpha w14:val="100000"/>
                    </w14:srgbClr>
                  </w14:solidFill>
                </w14:textFill>
              </w:rPr>
              <w:t xml:space="preserve">　</w:t>
            </w:r>
            <w:r w:rsidR="00633602" w:rsidRPr="00633602">
              <w:rPr>
                <w:szCs w:val="20"/>
                <w:vertAlign w:val="superscript"/>
              </w:rPr>
              <w:t>3</w:t>
            </w:r>
          </w:p>
        </w:tc>
        <w:tc>
          <w:tcPr>
            <w:tcW w:w="987" w:type="dxa"/>
            <w:tcBorders>
              <w:bottom w:val="single" w:sz="4" w:space="0" w:color="auto"/>
            </w:tcBorders>
            <w:shd w:val="clear" w:color="auto" w:fill="auto"/>
            <w:vAlign w:val="center"/>
          </w:tcPr>
          <w:p w14:paraId="2B1300BF" w14:textId="4F7DD37A" w:rsidR="00C4440A" w:rsidRPr="00633602" w:rsidRDefault="00217797" w:rsidP="00C4440A">
            <w:pPr>
              <w:pStyle w:val="Tabletext"/>
              <w:keepNext/>
              <w:keepLines/>
              <w:jc w:val="center"/>
              <w:rPr>
                <w:highlight w:val="yellow"/>
              </w:rPr>
            </w:pPr>
            <w:r w:rsidRPr="00217797">
              <w:rPr>
                <w:rFonts w:hint="eastAsia"/>
                <w:color w:val="000000"/>
                <w:w w:val="27"/>
                <w:shd w:val="solid" w:color="000000" w:fill="000000"/>
                <w:fitText w:val="120" w:id="-1502445310"/>
                <w14:textFill>
                  <w14:solidFill>
                    <w14:srgbClr w14:val="000000">
                      <w14:alpha w14:val="100000"/>
                    </w14:srgbClr>
                  </w14:solidFill>
                </w14:textFill>
              </w:rPr>
              <w:t xml:space="preserve">　</w:t>
            </w:r>
            <w:r w:rsidRPr="00217797">
              <w:rPr>
                <w:color w:val="000000"/>
                <w:w w:val="27"/>
                <w:shd w:val="solid" w:color="000000" w:fill="000000"/>
                <w:fitText w:val="120" w:id="-1502445310"/>
                <w14:textFill>
                  <w14:solidFill>
                    <w14:srgbClr w14:val="000000">
                      <w14:alpha w14:val="100000"/>
                    </w14:srgbClr>
                  </w14:solidFill>
                </w14:textFill>
              </w:rPr>
              <w:t>|</w:t>
            </w:r>
            <w:r w:rsidRPr="00217797">
              <w:rPr>
                <w:rFonts w:hint="eastAsia"/>
                <w:color w:val="000000"/>
                <w:spacing w:val="2"/>
                <w:w w:val="27"/>
                <w:shd w:val="solid" w:color="000000" w:fill="000000"/>
                <w:fitText w:val="120" w:id="-1502445310"/>
                <w14:textFill>
                  <w14:solidFill>
                    <w14:srgbClr w14:val="000000">
                      <w14:alpha w14:val="100000"/>
                    </w14:srgbClr>
                  </w14:solidFill>
                </w14:textFill>
              </w:rPr>
              <w:t xml:space="preserve">　</w:t>
            </w:r>
            <w:r w:rsidR="00633602" w:rsidRPr="00633602">
              <w:rPr>
                <w:szCs w:val="20"/>
                <w:vertAlign w:val="superscript"/>
              </w:rPr>
              <w:t>3</w:t>
            </w:r>
          </w:p>
        </w:tc>
        <w:tc>
          <w:tcPr>
            <w:tcW w:w="987" w:type="dxa"/>
            <w:tcBorders>
              <w:bottom w:val="single" w:sz="4" w:space="0" w:color="auto"/>
            </w:tcBorders>
            <w:shd w:val="clear" w:color="auto" w:fill="auto"/>
            <w:vAlign w:val="center"/>
          </w:tcPr>
          <w:p w14:paraId="13105796" w14:textId="25F0EF3B" w:rsidR="00C4440A" w:rsidRPr="00633602" w:rsidRDefault="00217797" w:rsidP="00C4440A">
            <w:pPr>
              <w:pStyle w:val="Tabletext"/>
              <w:keepNext/>
              <w:keepLines/>
              <w:jc w:val="center"/>
              <w:rPr>
                <w:highlight w:val="yellow"/>
              </w:rPr>
            </w:pPr>
            <w:r w:rsidRPr="00217797">
              <w:rPr>
                <w:rFonts w:hint="eastAsia"/>
                <w:color w:val="000000"/>
                <w:w w:val="27"/>
                <w:shd w:val="solid" w:color="000000" w:fill="000000"/>
                <w:fitText w:val="120" w:id="-1502445309"/>
                <w14:textFill>
                  <w14:solidFill>
                    <w14:srgbClr w14:val="000000">
                      <w14:alpha w14:val="100000"/>
                    </w14:srgbClr>
                  </w14:solidFill>
                </w14:textFill>
              </w:rPr>
              <w:t xml:space="preserve">　</w:t>
            </w:r>
            <w:r w:rsidRPr="00217797">
              <w:rPr>
                <w:color w:val="000000"/>
                <w:w w:val="27"/>
                <w:shd w:val="solid" w:color="000000" w:fill="000000"/>
                <w:fitText w:val="120" w:id="-1502445309"/>
                <w14:textFill>
                  <w14:solidFill>
                    <w14:srgbClr w14:val="000000">
                      <w14:alpha w14:val="100000"/>
                    </w14:srgbClr>
                  </w14:solidFill>
                </w14:textFill>
              </w:rPr>
              <w:t>|</w:t>
            </w:r>
            <w:r w:rsidRPr="00217797">
              <w:rPr>
                <w:rFonts w:hint="eastAsia"/>
                <w:color w:val="000000"/>
                <w:spacing w:val="2"/>
                <w:w w:val="27"/>
                <w:shd w:val="solid" w:color="000000" w:fill="000000"/>
                <w:fitText w:val="120" w:id="-1502445309"/>
                <w14:textFill>
                  <w14:solidFill>
                    <w14:srgbClr w14:val="000000">
                      <w14:alpha w14:val="100000"/>
                    </w14:srgbClr>
                  </w14:solidFill>
                </w14:textFill>
              </w:rPr>
              <w:t xml:space="preserve">　</w:t>
            </w:r>
            <w:r w:rsidR="00633602" w:rsidRPr="00633602">
              <w:rPr>
                <w:szCs w:val="20"/>
                <w:vertAlign w:val="superscript"/>
              </w:rPr>
              <w:t>3</w:t>
            </w:r>
          </w:p>
        </w:tc>
        <w:tc>
          <w:tcPr>
            <w:tcW w:w="987" w:type="dxa"/>
            <w:tcBorders>
              <w:bottom w:val="single" w:sz="4" w:space="0" w:color="auto"/>
            </w:tcBorders>
            <w:shd w:val="clear" w:color="auto" w:fill="auto"/>
            <w:vAlign w:val="center"/>
          </w:tcPr>
          <w:p w14:paraId="74FCD1CE" w14:textId="5B75CA60" w:rsidR="00C4440A" w:rsidRPr="00633602" w:rsidRDefault="00217797" w:rsidP="00C4440A">
            <w:pPr>
              <w:pStyle w:val="Tabletext"/>
              <w:keepNext/>
              <w:keepLines/>
              <w:jc w:val="center"/>
              <w:rPr>
                <w:highlight w:val="yellow"/>
              </w:rPr>
            </w:pPr>
            <w:r w:rsidRPr="00217797">
              <w:rPr>
                <w:rFonts w:hint="eastAsia"/>
                <w:color w:val="000000"/>
                <w:w w:val="27"/>
                <w:shd w:val="solid" w:color="000000" w:fill="000000"/>
                <w:fitText w:val="120" w:id="-1502445308"/>
                <w14:textFill>
                  <w14:solidFill>
                    <w14:srgbClr w14:val="000000">
                      <w14:alpha w14:val="100000"/>
                    </w14:srgbClr>
                  </w14:solidFill>
                </w14:textFill>
              </w:rPr>
              <w:t xml:space="preserve">　</w:t>
            </w:r>
            <w:r w:rsidRPr="00217797">
              <w:rPr>
                <w:color w:val="000000"/>
                <w:w w:val="27"/>
                <w:shd w:val="solid" w:color="000000" w:fill="000000"/>
                <w:fitText w:val="120" w:id="-1502445308"/>
                <w14:textFill>
                  <w14:solidFill>
                    <w14:srgbClr w14:val="000000">
                      <w14:alpha w14:val="100000"/>
                    </w14:srgbClr>
                  </w14:solidFill>
                </w14:textFill>
              </w:rPr>
              <w:t>|</w:t>
            </w:r>
            <w:r w:rsidRPr="00217797">
              <w:rPr>
                <w:rFonts w:hint="eastAsia"/>
                <w:color w:val="000000"/>
                <w:spacing w:val="2"/>
                <w:w w:val="27"/>
                <w:shd w:val="solid" w:color="000000" w:fill="000000"/>
                <w:fitText w:val="120" w:id="-1502445308"/>
                <w14:textFill>
                  <w14:solidFill>
                    <w14:srgbClr w14:val="000000">
                      <w14:alpha w14:val="100000"/>
                    </w14:srgbClr>
                  </w14:solidFill>
                </w14:textFill>
              </w:rPr>
              <w:t xml:space="preserve">　</w:t>
            </w:r>
            <w:r w:rsidR="00633602">
              <w:rPr>
                <w:szCs w:val="20"/>
                <w:vertAlign w:val="superscript"/>
              </w:rPr>
              <w:t>4</w:t>
            </w:r>
          </w:p>
        </w:tc>
        <w:tc>
          <w:tcPr>
            <w:tcW w:w="988" w:type="dxa"/>
            <w:tcBorders>
              <w:bottom w:val="single" w:sz="4" w:space="0" w:color="auto"/>
            </w:tcBorders>
            <w:shd w:val="clear" w:color="auto" w:fill="auto"/>
            <w:vAlign w:val="center"/>
          </w:tcPr>
          <w:p w14:paraId="2209D482" w14:textId="0D5D9FEF" w:rsidR="00C4440A" w:rsidRPr="00633602" w:rsidRDefault="00217797" w:rsidP="00C4440A">
            <w:pPr>
              <w:pStyle w:val="Tabletext"/>
              <w:keepNext/>
              <w:keepLines/>
              <w:jc w:val="center"/>
              <w:rPr>
                <w:highlight w:val="yellow"/>
              </w:rPr>
            </w:pPr>
            <w:r w:rsidRPr="00217797">
              <w:rPr>
                <w:rFonts w:hint="eastAsia"/>
                <w:color w:val="000000"/>
                <w:w w:val="23"/>
                <w:shd w:val="solid" w:color="000000" w:fill="000000"/>
                <w:fitText w:val="105" w:id="-1502445307"/>
                <w14:textFill>
                  <w14:solidFill>
                    <w14:srgbClr w14:val="000000">
                      <w14:alpha w14:val="100000"/>
                    </w14:srgbClr>
                  </w14:solidFill>
                </w14:textFill>
              </w:rPr>
              <w:t xml:space="preserve">　</w:t>
            </w:r>
            <w:r w:rsidRPr="00217797">
              <w:rPr>
                <w:color w:val="000000"/>
                <w:w w:val="23"/>
                <w:shd w:val="solid" w:color="000000" w:fill="000000"/>
                <w:fitText w:val="105" w:id="-1502445307"/>
                <w14:textFill>
                  <w14:solidFill>
                    <w14:srgbClr w14:val="000000">
                      <w14:alpha w14:val="100000"/>
                    </w14:srgbClr>
                  </w14:solidFill>
                </w14:textFill>
              </w:rPr>
              <w:t>|</w:t>
            </w:r>
            <w:r w:rsidRPr="00217797">
              <w:rPr>
                <w:rFonts w:hint="eastAsia"/>
                <w:color w:val="000000"/>
                <w:spacing w:val="4"/>
                <w:w w:val="23"/>
                <w:shd w:val="solid" w:color="000000" w:fill="000000"/>
                <w:fitText w:val="105" w:id="-1502445307"/>
                <w14:textFill>
                  <w14:solidFill>
                    <w14:srgbClr w14:val="000000">
                      <w14:alpha w14:val="100000"/>
                    </w14:srgbClr>
                  </w14:solidFill>
                </w14:textFill>
              </w:rPr>
              <w:t xml:space="preserve">　</w:t>
            </w:r>
            <w:r w:rsidR="00633602">
              <w:rPr>
                <w:szCs w:val="20"/>
                <w:vertAlign w:val="superscript"/>
              </w:rPr>
              <w:t>4</w:t>
            </w:r>
          </w:p>
        </w:tc>
      </w:tr>
      <w:tr w:rsidR="00395D5E" w:rsidRPr="005B43D0" w14:paraId="407E5993" w14:textId="77777777" w:rsidTr="007C19A5">
        <w:tc>
          <w:tcPr>
            <w:tcW w:w="3095" w:type="dxa"/>
            <w:tcBorders>
              <w:top w:val="single" w:sz="4" w:space="0" w:color="auto"/>
              <w:bottom w:val="single" w:sz="4" w:space="0" w:color="auto"/>
            </w:tcBorders>
            <w:shd w:val="clear" w:color="auto" w:fill="auto"/>
            <w:vAlign w:val="center"/>
          </w:tcPr>
          <w:p w14:paraId="2AC7570B" w14:textId="21F439C7" w:rsidR="00395D5E" w:rsidRPr="00DB44EC" w:rsidRDefault="00395D5E" w:rsidP="00C23A97">
            <w:pPr>
              <w:keepNext/>
              <w:keepLines/>
              <w:jc w:val="left"/>
              <w:rPr>
                <w:rFonts w:ascii="Arial Narrow" w:hAnsi="Arial Narrow" w:cs="Times New Roman"/>
                <w:snapToGrid/>
                <w:sz w:val="20"/>
              </w:rPr>
            </w:pPr>
            <w:r w:rsidRPr="005B43D0">
              <w:rPr>
                <w:rFonts w:ascii="Arial Narrow" w:hAnsi="Arial Narrow" w:cs="Times New Roman"/>
                <w:snapToGrid/>
                <w:sz w:val="20"/>
              </w:rPr>
              <w:t>Total (eff)</w:t>
            </w:r>
            <w:r w:rsidRPr="005B43D0">
              <w:rPr>
                <w:rFonts w:ascii="Arial Narrow" w:hAnsi="Arial Narrow" w:cs="Times New Roman"/>
                <w:snapToGrid/>
                <w:sz w:val="20"/>
                <w:vertAlign w:val="superscript"/>
              </w:rPr>
              <w:t>d</w:t>
            </w:r>
            <w:r w:rsidR="00DB44EC">
              <w:rPr>
                <w:rFonts w:ascii="Arial Narrow" w:hAnsi="Arial Narrow" w:cs="Times New Roman"/>
                <w:snapToGrid/>
                <w:sz w:val="20"/>
                <w:vertAlign w:val="superscript"/>
              </w:rPr>
              <w:t xml:space="preserve"> </w:t>
            </w:r>
            <w:r w:rsidR="00DB44EC">
              <w:rPr>
                <w:rFonts w:ascii="Arial Narrow" w:hAnsi="Arial Narrow" w:cs="Times New Roman"/>
                <w:snapToGrid/>
                <w:sz w:val="20"/>
              </w:rPr>
              <w:t>– PSCR</w:t>
            </w:r>
            <w:r w:rsidR="00633602">
              <w:rPr>
                <w:rFonts w:ascii="Arial Narrow" w:hAnsi="Arial Narrow" w:cs="Times New Roman"/>
                <w:snapToGrid/>
                <w:sz w:val="20"/>
              </w:rPr>
              <w:t xml:space="preserve"> ($)</w:t>
            </w:r>
          </w:p>
        </w:tc>
        <w:tc>
          <w:tcPr>
            <w:tcW w:w="986" w:type="dxa"/>
            <w:tcBorders>
              <w:top w:val="single" w:sz="4" w:space="0" w:color="auto"/>
              <w:bottom w:val="single" w:sz="4" w:space="0" w:color="auto"/>
            </w:tcBorders>
            <w:shd w:val="clear" w:color="auto" w:fill="auto"/>
            <w:vAlign w:val="center"/>
          </w:tcPr>
          <w:p w14:paraId="3C6304A8" w14:textId="6AC914C7" w:rsidR="00395D5E" w:rsidRPr="00633602" w:rsidRDefault="00217797" w:rsidP="00C23A97">
            <w:pPr>
              <w:keepNext/>
              <w:keepLines/>
              <w:jc w:val="center"/>
              <w:rPr>
                <w:rFonts w:ascii="Arial Narrow" w:hAnsi="Arial Narrow" w:cs="Times New Roman"/>
                <w:snapToGrid/>
                <w:sz w:val="20"/>
                <w:highlight w:val="yellow"/>
              </w:rPr>
            </w:pPr>
            <w:r w:rsidRPr="00217797">
              <w:rPr>
                <w:rFonts w:ascii="Arial Narrow" w:hAnsi="Arial Narrow" w:hint="eastAsia"/>
                <w:color w:val="000000"/>
                <w:w w:val="27"/>
                <w:sz w:val="20"/>
                <w:szCs w:val="20"/>
                <w:shd w:val="solid" w:color="000000" w:fill="000000"/>
                <w:fitText w:val="120" w:id="-1502445306"/>
                <w14:textFill>
                  <w14:solidFill>
                    <w14:srgbClr w14:val="000000">
                      <w14:alpha w14:val="100000"/>
                    </w14:srgbClr>
                  </w14:solidFill>
                </w14:textFill>
              </w:rPr>
              <w:t xml:space="preserve">　</w:t>
            </w:r>
            <w:r w:rsidRPr="00217797">
              <w:rPr>
                <w:rFonts w:ascii="Arial Narrow" w:hAnsi="Arial Narrow"/>
                <w:color w:val="000000"/>
                <w:w w:val="27"/>
                <w:sz w:val="20"/>
                <w:szCs w:val="20"/>
                <w:shd w:val="solid" w:color="000000" w:fill="000000"/>
                <w:fitText w:val="120" w:id="-1502445306"/>
                <w14:textFill>
                  <w14:solidFill>
                    <w14:srgbClr w14:val="000000">
                      <w14:alpha w14:val="100000"/>
                    </w14:srgbClr>
                  </w14:solidFill>
                </w14:textFill>
              </w:rPr>
              <w:t>|</w:t>
            </w:r>
            <w:r w:rsidRPr="00217797">
              <w:rPr>
                <w:rFonts w:ascii="Arial Narrow" w:hAnsi="Arial Narrow" w:hint="eastAsia"/>
                <w:color w:val="000000"/>
                <w:spacing w:val="2"/>
                <w:w w:val="27"/>
                <w:sz w:val="20"/>
                <w:szCs w:val="20"/>
                <w:shd w:val="solid" w:color="000000" w:fill="000000"/>
                <w:fitText w:val="120" w:id="-1502445306"/>
                <w14:textFill>
                  <w14:solidFill>
                    <w14:srgbClr w14:val="000000">
                      <w14:alpha w14:val="100000"/>
                    </w14:srgbClr>
                  </w14:solidFill>
                </w14:textFill>
              </w:rPr>
              <w:t xml:space="preserve">　</w:t>
            </w:r>
            <w:r w:rsidR="00633602" w:rsidRPr="00633602">
              <w:rPr>
                <w:rFonts w:ascii="Arial Narrow" w:hAnsi="Arial Narrow"/>
                <w:sz w:val="20"/>
                <w:szCs w:val="20"/>
                <w:vertAlign w:val="superscript"/>
              </w:rPr>
              <w:t>3</w:t>
            </w:r>
          </w:p>
        </w:tc>
        <w:tc>
          <w:tcPr>
            <w:tcW w:w="987" w:type="dxa"/>
            <w:tcBorders>
              <w:top w:val="single" w:sz="4" w:space="0" w:color="auto"/>
              <w:bottom w:val="single" w:sz="4" w:space="0" w:color="auto"/>
            </w:tcBorders>
            <w:shd w:val="clear" w:color="auto" w:fill="auto"/>
            <w:vAlign w:val="center"/>
          </w:tcPr>
          <w:p w14:paraId="3DB67BB2" w14:textId="5F5D7770" w:rsidR="00395D5E" w:rsidRPr="00633602" w:rsidRDefault="00217797" w:rsidP="00C23A97">
            <w:pPr>
              <w:keepNext/>
              <w:keepLines/>
              <w:jc w:val="center"/>
              <w:rPr>
                <w:rFonts w:ascii="Arial Narrow" w:hAnsi="Arial Narrow" w:cs="Times New Roman"/>
                <w:snapToGrid/>
                <w:sz w:val="20"/>
                <w:highlight w:val="yellow"/>
              </w:rPr>
            </w:pPr>
            <w:r w:rsidRPr="00217797">
              <w:rPr>
                <w:rFonts w:ascii="Arial Narrow" w:hAnsi="Arial Narrow" w:hint="eastAsia"/>
                <w:color w:val="000000"/>
                <w:w w:val="27"/>
                <w:sz w:val="20"/>
                <w:szCs w:val="20"/>
                <w:shd w:val="solid" w:color="000000" w:fill="000000"/>
                <w:fitText w:val="120" w:id="-1502445305"/>
                <w14:textFill>
                  <w14:solidFill>
                    <w14:srgbClr w14:val="000000">
                      <w14:alpha w14:val="100000"/>
                    </w14:srgbClr>
                  </w14:solidFill>
                </w14:textFill>
              </w:rPr>
              <w:t xml:space="preserve">　</w:t>
            </w:r>
            <w:r w:rsidRPr="00217797">
              <w:rPr>
                <w:rFonts w:ascii="Arial Narrow" w:hAnsi="Arial Narrow"/>
                <w:color w:val="000000"/>
                <w:w w:val="27"/>
                <w:sz w:val="20"/>
                <w:szCs w:val="20"/>
                <w:shd w:val="solid" w:color="000000" w:fill="000000"/>
                <w:fitText w:val="120" w:id="-1502445305"/>
                <w14:textFill>
                  <w14:solidFill>
                    <w14:srgbClr w14:val="000000">
                      <w14:alpha w14:val="100000"/>
                    </w14:srgbClr>
                  </w14:solidFill>
                </w14:textFill>
              </w:rPr>
              <w:t>|</w:t>
            </w:r>
            <w:r w:rsidRPr="00217797">
              <w:rPr>
                <w:rFonts w:ascii="Arial Narrow" w:hAnsi="Arial Narrow" w:hint="eastAsia"/>
                <w:color w:val="000000"/>
                <w:spacing w:val="2"/>
                <w:w w:val="27"/>
                <w:sz w:val="20"/>
                <w:szCs w:val="20"/>
                <w:shd w:val="solid" w:color="000000" w:fill="000000"/>
                <w:fitText w:val="120" w:id="-1502445305"/>
                <w14:textFill>
                  <w14:solidFill>
                    <w14:srgbClr w14:val="000000">
                      <w14:alpha w14:val="100000"/>
                    </w14:srgbClr>
                  </w14:solidFill>
                </w14:textFill>
              </w:rPr>
              <w:t xml:space="preserve">　</w:t>
            </w:r>
            <w:r w:rsidR="00633602" w:rsidRPr="00633602">
              <w:rPr>
                <w:rFonts w:ascii="Arial Narrow" w:hAnsi="Arial Narrow"/>
                <w:sz w:val="20"/>
                <w:szCs w:val="20"/>
                <w:vertAlign w:val="superscript"/>
              </w:rPr>
              <w:t>3</w:t>
            </w:r>
          </w:p>
        </w:tc>
        <w:tc>
          <w:tcPr>
            <w:tcW w:w="987" w:type="dxa"/>
            <w:tcBorders>
              <w:top w:val="single" w:sz="4" w:space="0" w:color="auto"/>
              <w:bottom w:val="single" w:sz="4" w:space="0" w:color="auto"/>
            </w:tcBorders>
            <w:shd w:val="clear" w:color="auto" w:fill="auto"/>
            <w:vAlign w:val="center"/>
          </w:tcPr>
          <w:p w14:paraId="1CB42D43" w14:textId="09FFD34E" w:rsidR="00395D5E" w:rsidRPr="00633602" w:rsidRDefault="00217797" w:rsidP="00C23A97">
            <w:pPr>
              <w:keepNext/>
              <w:keepLines/>
              <w:jc w:val="center"/>
              <w:rPr>
                <w:rFonts w:ascii="Arial Narrow" w:hAnsi="Arial Narrow" w:cs="Times New Roman"/>
                <w:snapToGrid/>
                <w:sz w:val="20"/>
                <w:highlight w:val="yellow"/>
              </w:rPr>
            </w:pPr>
            <w:r w:rsidRPr="00217797">
              <w:rPr>
                <w:rFonts w:ascii="Arial Narrow" w:hAnsi="Arial Narrow" w:hint="eastAsia"/>
                <w:color w:val="000000"/>
                <w:w w:val="27"/>
                <w:sz w:val="20"/>
                <w:szCs w:val="20"/>
                <w:shd w:val="solid" w:color="000000" w:fill="000000"/>
                <w:fitText w:val="120" w:id="-1502445304"/>
                <w14:textFill>
                  <w14:solidFill>
                    <w14:srgbClr w14:val="000000">
                      <w14:alpha w14:val="100000"/>
                    </w14:srgbClr>
                  </w14:solidFill>
                </w14:textFill>
              </w:rPr>
              <w:t xml:space="preserve">　</w:t>
            </w:r>
            <w:r w:rsidRPr="00217797">
              <w:rPr>
                <w:rFonts w:ascii="Arial Narrow" w:hAnsi="Arial Narrow"/>
                <w:color w:val="000000"/>
                <w:w w:val="27"/>
                <w:sz w:val="20"/>
                <w:szCs w:val="20"/>
                <w:shd w:val="solid" w:color="000000" w:fill="000000"/>
                <w:fitText w:val="120" w:id="-1502445304"/>
                <w14:textFill>
                  <w14:solidFill>
                    <w14:srgbClr w14:val="000000">
                      <w14:alpha w14:val="100000"/>
                    </w14:srgbClr>
                  </w14:solidFill>
                </w14:textFill>
              </w:rPr>
              <w:t>|</w:t>
            </w:r>
            <w:r w:rsidRPr="00217797">
              <w:rPr>
                <w:rFonts w:ascii="Arial Narrow" w:hAnsi="Arial Narrow" w:hint="eastAsia"/>
                <w:color w:val="000000"/>
                <w:spacing w:val="2"/>
                <w:w w:val="27"/>
                <w:sz w:val="20"/>
                <w:szCs w:val="20"/>
                <w:shd w:val="solid" w:color="000000" w:fill="000000"/>
                <w:fitText w:val="120" w:id="-1502445304"/>
                <w14:textFill>
                  <w14:solidFill>
                    <w14:srgbClr w14:val="000000">
                      <w14:alpha w14:val="100000"/>
                    </w14:srgbClr>
                  </w14:solidFill>
                </w14:textFill>
              </w:rPr>
              <w:t xml:space="preserve">　</w:t>
            </w:r>
            <w:r w:rsidR="00633602" w:rsidRPr="00633602">
              <w:rPr>
                <w:rFonts w:ascii="Arial Narrow" w:hAnsi="Arial Narrow"/>
                <w:sz w:val="20"/>
                <w:szCs w:val="20"/>
                <w:vertAlign w:val="superscript"/>
              </w:rPr>
              <w:t>3</w:t>
            </w:r>
          </w:p>
        </w:tc>
        <w:tc>
          <w:tcPr>
            <w:tcW w:w="987" w:type="dxa"/>
            <w:tcBorders>
              <w:top w:val="single" w:sz="4" w:space="0" w:color="auto"/>
              <w:bottom w:val="single" w:sz="4" w:space="0" w:color="auto"/>
            </w:tcBorders>
            <w:shd w:val="clear" w:color="auto" w:fill="auto"/>
            <w:vAlign w:val="center"/>
          </w:tcPr>
          <w:p w14:paraId="473935C3" w14:textId="348FF5CB" w:rsidR="00395D5E" w:rsidRPr="00633602" w:rsidRDefault="00217797" w:rsidP="00C23A97">
            <w:pPr>
              <w:keepNext/>
              <w:keepLines/>
              <w:jc w:val="center"/>
              <w:rPr>
                <w:rFonts w:ascii="Arial Narrow" w:hAnsi="Arial Narrow" w:cs="Times New Roman"/>
                <w:snapToGrid/>
                <w:sz w:val="20"/>
                <w:highlight w:val="yellow"/>
              </w:rPr>
            </w:pPr>
            <w:r w:rsidRPr="00217797">
              <w:rPr>
                <w:rFonts w:ascii="Arial Narrow" w:hAnsi="Arial Narrow" w:hint="eastAsia"/>
                <w:color w:val="000000"/>
                <w:w w:val="27"/>
                <w:sz w:val="20"/>
                <w:szCs w:val="20"/>
                <w:shd w:val="solid" w:color="000000" w:fill="000000"/>
                <w:fitText w:val="120" w:id="-1502445303"/>
                <w14:textFill>
                  <w14:solidFill>
                    <w14:srgbClr w14:val="000000">
                      <w14:alpha w14:val="100000"/>
                    </w14:srgbClr>
                  </w14:solidFill>
                </w14:textFill>
              </w:rPr>
              <w:t xml:space="preserve">　</w:t>
            </w:r>
            <w:r w:rsidRPr="00217797">
              <w:rPr>
                <w:rFonts w:ascii="Arial Narrow" w:hAnsi="Arial Narrow"/>
                <w:color w:val="000000"/>
                <w:w w:val="27"/>
                <w:sz w:val="20"/>
                <w:szCs w:val="20"/>
                <w:shd w:val="solid" w:color="000000" w:fill="000000"/>
                <w:fitText w:val="120" w:id="-1502445303"/>
                <w14:textFill>
                  <w14:solidFill>
                    <w14:srgbClr w14:val="000000">
                      <w14:alpha w14:val="100000"/>
                    </w14:srgbClr>
                  </w14:solidFill>
                </w14:textFill>
              </w:rPr>
              <w:t>|</w:t>
            </w:r>
            <w:r w:rsidRPr="00217797">
              <w:rPr>
                <w:rFonts w:ascii="Arial Narrow" w:hAnsi="Arial Narrow" w:hint="eastAsia"/>
                <w:color w:val="000000"/>
                <w:spacing w:val="2"/>
                <w:w w:val="27"/>
                <w:sz w:val="20"/>
                <w:szCs w:val="20"/>
                <w:shd w:val="solid" w:color="000000" w:fill="000000"/>
                <w:fitText w:val="120" w:id="-1502445303"/>
                <w14:textFill>
                  <w14:solidFill>
                    <w14:srgbClr w14:val="000000">
                      <w14:alpha w14:val="100000"/>
                    </w14:srgbClr>
                  </w14:solidFill>
                </w14:textFill>
              </w:rPr>
              <w:t xml:space="preserve">　</w:t>
            </w:r>
            <w:r w:rsidR="00633602" w:rsidRPr="00633602">
              <w:rPr>
                <w:rFonts w:ascii="Arial Narrow" w:hAnsi="Arial Narrow"/>
                <w:sz w:val="20"/>
                <w:szCs w:val="20"/>
                <w:vertAlign w:val="superscript"/>
              </w:rPr>
              <w:t>3</w:t>
            </w:r>
          </w:p>
        </w:tc>
        <w:tc>
          <w:tcPr>
            <w:tcW w:w="987" w:type="dxa"/>
            <w:tcBorders>
              <w:top w:val="single" w:sz="4" w:space="0" w:color="auto"/>
              <w:bottom w:val="single" w:sz="4" w:space="0" w:color="auto"/>
            </w:tcBorders>
            <w:shd w:val="clear" w:color="auto" w:fill="auto"/>
            <w:vAlign w:val="center"/>
          </w:tcPr>
          <w:p w14:paraId="78D04C2F" w14:textId="27EE2BA2" w:rsidR="00395D5E" w:rsidRPr="00633602" w:rsidRDefault="00217797" w:rsidP="00C23A97">
            <w:pPr>
              <w:keepNext/>
              <w:keepLines/>
              <w:jc w:val="center"/>
              <w:rPr>
                <w:rFonts w:ascii="Arial Narrow" w:hAnsi="Arial Narrow" w:cs="Times New Roman"/>
                <w:snapToGrid/>
                <w:sz w:val="20"/>
                <w:highlight w:val="yellow"/>
              </w:rPr>
            </w:pPr>
            <w:r w:rsidRPr="00217797">
              <w:rPr>
                <w:rFonts w:ascii="Arial Narrow" w:hAnsi="Arial Narrow" w:hint="eastAsia"/>
                <w:color w:val="000000"/>
                <w:w w:val="27"/>
                <w:sz w:val="20"/>
                <w:szCs w:val="20"/>
                <w:shd w:val="solid" w:color="000000" w:fill="000000"/>
                <w:fitText w:val="120" w:id="-1502445302"/>
                <w14:textFill>
                  <w14:solidFill>
                    <w14:srgbClr w14:val="000000">
                      <w14:alpha w14:val="100000"/>
                    </w14:srgbClr>
                  </w14:solidFill>
                </w14:textFill>
              </w:rPr>
              <w:t xml:space="preserve">　</w:t>
            </w:r>
            <w:r w:rsidRPr="00217797">
              <w:rPr>
                <w:rFonts w:ascii="Arial Narrow" w:hAnsi="Arial Narrow"/>
                <w:color w:val="000000"/>
                <w:w w:val="27"/>
                <w:sz w:val="20"/>
                <w:szCs w:val="20"/>
                <w:shd w:val="solid" w:color="000000" w:fill="000000"/>
                <w:fitText w:val="120" w:id="-1502445302"/>
                <w14:textFill>
                  <w14:solidFill>
                    <w14:srgbClr w14:val="000000">
                      <w14:alpha w14:val="100000"/>
                    </w14:srgbClr>
                  </w14:solidFill>
                </w14:textFill>
              </w:rPr>
              <w:t>|</w:t>
            </w:r>
            <w:r w:rsidRPr="00217797">
              <w:rPr>
                <w:rFonts w:ascii="Arial Narrow" w:hAnsi="Arial Narrow" w:hint="eastAsia"/>
                <w:color w:val="000000"/>
                <w:spacing w:val="2"/>
                <w:w w:val="27"/>
                <w:sz w:val="20"/>
                <w:szCs w:val="20"/>
                <w:shd w:val="solid" w:color="000000" w:fill="000000"/>
                <w:fitText w:val="120" w:id="-1502445302"/>
                <w14:textFill>
                  <w14:solidFill>
                    <w14:srgbClr w14:val="000000">
                      <w14:alpha w14:val="100000"/>
                    </w14:srgbClr>
                  </w14:solidFill>
                </w14:textFill>
              </w:rPr>
              <w:t xml:space="preserve">　</w:t>
            </w:r>
            <w:r w:rsidR="00633602" w:rsidRPr="00633602">
              <w:rPr>
                <w:rFonts w:ascii="Arial Narrow" w:hAnsi="Arial Narrow"/>
                <w:sz w:val="20"/>
                <w:szCs w:val="20"/>
                <w:vertAlign w:val="superscript"/>
              </w:rPr>
              <w:t>3</w:t>
            </w:r>
          </w:p>
        </w:tc>
        <w:tc>
          <w:tcPr>
            <w:tcW w:w="988" w:type="dxa"/>
            <w:tcBorders>
              <w:top w:val="single" w:sz="4" w:space="0" w:color="auto"/>
              <w:bottom w:val="single" w:sz="4" w:space="0" w:color="auto"/>
            </w:tcBorders>
            <w:shd w:val="clear" w:color="auto" w:fill="auto"/>
            <w:vAlign w:val="center"/>
          </w:tcPr>
          <w:p w14:paraId="6A0798D0" w14:textId="0E2E3AAE" w:rsidR="00395D5E" w:rsidRPr="00633602" w:rsidRDefault="00217797" w:rsidP="00C23A97">
            <w:pPr>
              <w:keepNext/>
              <w:keepLines/>
              <w:jc w:val="center"/>
              <w:rPr>
                <w:rFonts w:ascii="Arial Narrow" w:hAnsi="Arial Narrow" w:cs="Times New Roman"/>
                <w:snapToGrid/>
                <w:sz w:val="20"/>
                <w:highlight w:val="yellow"/>
              </w:rPr>
            </w:pPr>
            <w:r w:rsidRPr="00217797">
              <w:rPr>
                <w:rFonts w:ascii="Arial Narrow" w:hAnsi="Arial Narrow" w:hint="eastAsia"/>
                <w:color w:val="000000"/>
                <w:w w:val="23"/>
                <w:sz w:val="20"/>
                <w:szCs w:val="20"/>
                <w:shd w:val="solid" w:color="000000" w:fill="000000"/>
                <w:fitText w:val="105" w:id="-1502445301"/>
                <w14:textFill>
                  <w14:solidFill>
                    <w14:srgbClr w14:val="000000">
                      <w14:alpha w14:val="100000"/>
                    </w14:srgbClr>
                  </w14:solidFill>
                </w14:textFill>
              </w:rPr>
              <w:t xml:space="preserve">　</w:t>
            </w:r>
            <w:r w:rsidRPr="00217797">
              <w:rPr>
                <w:rFonts w:ascii="Arial Narrow" w:hAnsi="Arial Narrow"/>
                <w:color w:val="000000"/>
                <w:w w:val="23"/>
                <w:sz w:val="20"/>
                <w:szCs w:val="20"/>
                <w:shd w:val="solid" w:color="000000" w:fill="000000"/>
                <w:fitText w:val="105" w:id="-1502445301"/>
                <w14:textFill>
                  <w14:solidFill>
                    <w14:srgbClr w14:val="000000">
                      <w14:alpha w14:val="100000"/>
                    </w14:srgbClr>
                  </w14:solidFill>
                </w14:textFill>
              </w:rPr>
              <w:t>|</w:t>
            </w:r>
            <w:r w:rsidRPr="00217797">
              <w:rPr>
                <w:rFonts w:ascii="Arial Narrow" w:hAnsi="Arial Narrow" w:hint="eastAsia"/>
                <w:color w:val="000000"/>
                <w:spacing w:val="4"/>
                <w:w w:val="23"/>
                <w:sz w:val="20"/>
                <w:szCs w:val="20"/>
                <w:shd w:val="solid" w:color="000000" w:fill="000000"/>
                <w:fitText w:val="105" w:id="-1502445301"/>
                <w14:textFill>
                  <w14:solidFill>
                    <w14:srgbClr w14:val="000000">
                      <w14:alpha w14:val="100000"/>
                    </w14:srgbClr>
                  </w14:solidFill>
                </w14:textFill>
              </w:rPr>
              <w:t xml:space="preserve">　</w:t>
            </w:r>
            <w:r w:rsidR="00633602" w:rsidRPr="00633602">
              <w:rPr>
                <w:rFonts w:ascii="Arial Narrow" w:hAnsi="Arial Narrow"/>
                <w:sz w:val="20"/>
                <w:szCs w:val="20"/>
                <w:vertAlign w:val="superscript"/>
              </w:rPr>
              <w:t>3</w:t>
            </w:r>
          </w:p>
        </w:tc>
      </w:tr>
      <w:tr w:rsidR="007C19A5" w:rsidRPr="005B43D0" w14:paraId="2B46CE8F" w14:textId="77777777" w:rsidTr="007C19A5">
        <w:tc>
          <w:tcPr>
            <w:tcW w:w="3095" w:type="dxa"/>
            <w:tcBorders>
              <w:top w:val="single" w:sz="4" w:space="0" w:color="auto"/>
              <w:bottom w:val="double" w:sz="4" w:space="0" w:color="auto"/>
            </w:tcBorders>
            <w:shd w:val="clear" w:color="auto" w:fill="auto"/>
            <w:vAlign w:val="center"/>
          </w:tcPr>
          <w:p w14:paraId="1B8DA914" w14:textId="025353F2" w:rsidR="007C19A5" w:rsidRPr="00DB44EC" w:rsidRDefault="007C19A5" w:rsidP="00DB44EC">
            <w:pPr>
              <w:pStyle w:val="Tabletext"/>
              <w:keepNext/>
              <w:keepLines/>
            </w:pPr>
            <w:r w:rsidRPr="005B43D0">
              <w:t>Total (eff)</w:t>
            </w:r>
            <w:r>
              <w:rPr>
                <w:vertAlign w:val="superscript"/>
              </w:rPr>
              <w:t>e</w:t>
            </w:r>
            <w:r w:rsidR="00DB44EC">
              <w:t xml:space="preserve"> </w:t>
            </w:r>
            <w:r w:rsidR="00E5762F">
              <w:t>pre-PBAC response</w:t>
            </w:r>
            <w:r w:rsidR="00DB44EC">
              <w:t xml:space="preserve"> </w:t>
            </w:r>
            <w:r w:rsidR="00633602">
              <w:t>($)</w:t>
            </w:r>
          </w:p>
        </w:tc>
        <w:tc>
          <w:tcPr>
            <w:tcW w:w="986" w:type="dxa"/>
            <w:tcBorders>
              <w:top w:val="single" w:sz="4" w:space="0" w:color="auto"/>
              <w:bottom w:val="double" w:sz="4" w:space="0" w:color="auto"/>
            </w:tcBorders>
            <w:shd w:val="clear" w:color="auto" w:fill="auto"/>
            <w:vAlign w:val="center"/>
          </w:tcPr>
          <w:p w14:paraId="249C2BF0" w14:textId="71C242A8" w:rsidR="007C19A5" w:rsidRPr="00633602" w:rsidRDefault="00217797" w:rsidP="007C19A5">
            <w:pPr>
              <w:pStyle w:val="Tabletext"/>
              <w:keepNext/>
              <w:keepLines/>
              <w:jc w:val="center"/>
              <w:rPr>
                <w:highlight w:val="yellow"/>
              </w:rPr>
            </w:pPr>
            <w:r w:rsidRPr="00217797">
              <w:rPr>
                <w:rFonts w:hint="eastAsia"/>
                <w:color w:val="000000"/>
                <w:w w:val="27"/>
                <w:shd w:val="solid" w:color="000000" w:fill="000000"/>
                <w:fitText w:val="120" w:id="-1502445300"/>
                <w14:textFill>
                  <w14:solidFill>
                    <w14:srgbClr w14:val="000000">
                      <w14:alpha w14:val="100000"/>
                    </w14:srgbClr>
                  </w14:solidFill>
                </w14:textFill>
              </w:rPr>
              <w:t xml:space="preserve">　</w:t>
            </w:r>
            <w:r w:rsidRPr="00217797">
              <w:rPr>
                <w:color w:val="000000"/>
                <w:w w:val="27"/>
                <w:shd w:val="solid" w:color="000000" w:fill="000000"/>
                <w:fitText w:val="120" w:id="-1502445300"/>
                <w14:textFill>
                  <w14:solidFill>
                    <w14:srgbClr w14:val="000000">
                      <w14:alpha w14:val="100000"/>
                    </w14:srgbClr>
                  </w14:solidFill>
                </w14:textFill>
              </w:rPr>
              <w:t>|</w:t>
            </w:r>
            <w:r w:rsidRPr="00217797">
              <w:rPr>
                <w:rFonts w:hint="eastAsia"/>
                <w:color w:val="000000"/>
                <w:spacing w:val="2"/>
                <w:w w:val="27"/>
                <w:shd w:val="solid" w:color="000000" w:fill="000000"/>
                <w:fitText w:val="120" w:id="-1502445300"/>
                <w14:textFill>
                  <w14:solidFill>
                    <w14:srgbClr w14:val="000000">
                      <w14:alpha w14:val="100000"/>
                    </w14:srgbClr>
                  </w14:solidFill>
                </w14:textFill>
              </w:rPr>
              <w:t xml:space="preserve">　</w:t>
            </w:r>
            <w:r w:rsidR="00633602" w:rsidRPr="00633602">
              <w:rPr>
                <w:szCs w:val="20"/>
                <w:vertAlign w:val="superscript"/>
              </w:rPr>
              <w:t>3</w:t>
            </w:r>
          </w:p>
        </w:tc>
        <w:tc>
          <w:tcPr>
            <w:tcW w:w="987" w:type="dxa"/>
            <w:tcBorders>
              <w:top w:val="single" w:sz="4" w:space="0" w:color="auto"/>
              <w:bottom w:val="double" w:sz="4" w:space="0" w:color="auto"/>
            </w:tcBorders>
            <w:shd w:val="clear" w:color="auto" w:fill="auto"/>
            <w:vAlign w:val="center"/>
          </w:tcPr>
          <w:p w14:paraId="164E52D8" w14:textId="5B30C72A" w:rsidR="007C19A5" w:rsidRPr="00633602" w:rsidRDefault="00217797" w:rsidP="007C19A5">
            <w:pPr>
              <w:pStyle w:val="Tabletext"/>
              <w:keepNext/>
              <w:keepLines/>
              <w:jc w:val="center"/>
              <w:rPr>
                <w:highlight w:val="yellow"/>
              </w:rPr>
            </w:pPr>
            <w:r w:rsidRPr="00217797">
              <w:rPr>
                <w:rFonts w:hint="eastAsia"/>
                <w:color w:val="000000"/>
                <w:w w:val="27"/>
                <w:shd w:val="solid" w:color="000000" w:fill="000000"/>
                <w:fitText w:val="120" w:id="-1502445299"/>
                <w14:textFill>
                  <w14:solidFill>
                    <w14:srgbClr w14:val="000000">
                      <w14:alpha w14:val="100000"/>
                    </w14:srgbClr>
                  </w14:solidFill>
                </w14:textFill>
              </w:rPr>
              <w:t xml:space="preserve">　</w:t>
            </w:r>
            <w:r w:rsidRPr="00217797">
              <w:rPr>
                <w:color w:val="000000"/>
                <w:w w:val="27"/>
                <w:shd w:val="solid" w:color="000000" w:fill="000000"/>
                <w:fitText w:val="120" w:id="-1502445299"/>
                <w14:textFill>
                  <w14:solidFill>
                    <w14:srgbClr w14:val="000000">
                      <w14:alpha w14:val="100000"/>
                    </w14:srgbClr>
                  </w14:solidFill>
                </w14:textFill>
              </w:rPr>
              <w:t>|</w:t>
            </w:r>
            <w:r w:rsidRPr="00217797">
              <w:rPr>
                <w:rFonts w:hint="eastAsia"/>
                <w:color w:val="000000"/>
                <w:spacing w:val="2"/>
                <w:w w:val="27"/>
                <w:shd w:val="solid" w:color="000000" w:fill="000000"/>
                <w:fitText w:val="120" w:id="-1502445299"/>
                <w14:textFill>
                  <w14:solidFill>
                    <w14:srgbClr w14:val="000000">
                      <w14:alpha w14:val="100000"/>
                    </w14:srgbClr>
                  </w14:solidFill>
                </w14:textFill>
              </w:rPr>
              <w:t xml:space="preserve">　</w:t>
            </w:r>
            <w:r w:rsidR="00633602" w:rsidRPr="00633602">
              <w:rPr>
                <w:szCs w:val="20"/>
                <w:vertAlign w:val="superscript"/>
              </w:rPr>
              <w:t>3</w:t>
            </w:r>
          </w:p>
        </w:tc>
        <w:tc>
          <w:tcPr>
            <w:tcW w:w="987" w:type="dxa"/>
            <w:tcBorders>
              <w:top w:val="single" w:sz="4" w:space="0" w:color="auto"/>
              <w:bottom w:val="double" w:sz="4" w:space="0" w:color="auto"/>
            </w:tcBorders>
            <w:shd w:val="clear" w:color="auto" w:fill="auto"/>
            <w:vAlign w:val="center"/>
          </w:tcPr>
          <w:p w14:paraId="55CCF096" w14:textId="2ADBCC7E" w:rsidR="007C19A5" w:rsidRPr="00633602" w:rsidRDefault="00217797" w:rsidP="007C19A5">
            <w:pPr>
              <w:pStyle w:val="Tabletext"/>
              <w:keepNext/>
              <w:keepLines/>
              <w:jc w:val="center"/>
              <w:rPr>
                <w:highlight w:val="yellow"/>
              </w:rPr>
            </w:pPr>
            <w:r w:rsidRPr="00217797">
              <w:rPr>
                <w:rFonts w:hint="eastAsia"/>
                <w:color w:val="000000"/>
                <w:w w:val="27"/>
                <w:shd w:val="solid" w:color="000000" w:fill="000000"/>
                <w:fitText w:val="120" w:id="-1502445298"/>
                <w14:textFill>
                  <w14:solidFill>
                    <w14:srgbClr w14:val="000000">
                      <w14:alpha w14:val="100000"/>
                    </w14:srgbClr>
                  </w14:solidFill>
                </w14:textFill>
              </w:rPr>
              <w:t xml:space="preserve">　</w:t>
            </w:r>
            <w:r w:rsidRPr="00217797">
              <w:rPr>
                <w:color w:val="000000"/>
                <w:w w:val="27"/>
                <w:shd w:val="solid" w:color="000000" w:fill="000000"/>
                <w:fitText w:val="120" w:id="-1502445298"/>
                <w14:textFill>
                  <w14:solidFill>
                    <w14:srgbClr w14:val="000000">
                      <w14:alpha w14:val="100000"/>
                    </w14:srgbClr>
                  </w14:solidFill>
                </w14:textFill>
              </w:rPr>
              <w:t>|</w:t>
            </w:r>
            <w:r w:rsidRPr="00217797">
              <w:rPr>
                <w:rFonts w:hint="eastAsia"/>
                <w:color w:val="000000"/>
                <w:spacing w:val="2"/>
                <w:w w:val="27"/>
                <w:shd w:val="solid" w:color="000000" w:fill="000000"/>
                <w:fitText w:val="120" w:id="-1502445298"/>
                <w14:textFill>
                  <w14:solidFill>
                    <w14:srgbClr w14:val="000000">
                      <w14:alpha w14:val="100000"/>
                    </w14:srgbClr>
                  </w14:solidFill>
                </w14:textFill>
              </w:rPr>
              <w:t xml:space="preserve">　</w:t>
            </w:r>
            <w:r w:rsidR="00633602" w:rsidRPr="00633602">
              <w:rPr>
                <w:szCs w:val="20"/>
                <w:vertAlign w:val="superscript"/>
              </w:rPr>
              <w:t>3</w:t>
            </w:r>
          </w:p>
        </w:tc>
        <w:tc>
          <w:tcPr>
            <w:tcW w:w="987" w:type="dxa"/>
            <w:tcBorders>
              <w:top w:val="single" w:sz="4" w:space="0" w:color="auto"/>
              <w:bottom w:val="double" w:sz="4" w:space="0" w:color="auto"/>
            </w:tcBorders>
            <w:shd w:val="clear" w:color="auto" w:fill="auto"/>
            <w:vAlign w:val="center"/>
          </w:tcPr>
          <w:p w14:paraId="323690F5" w14:textId="485FC982" w:rsidR="007C19A5" w:rsidRPr="00633602" w:rsidRDefault="00217797" w:rsidP="007C19A5">
            <w:pPr>
              <w:pStyle w:val="Tabletext"/>
              <w:keepNext/>
              <w:keepLines/>
              <w:jc w:val="center"/>
              <w:rPr>
                <w:highlight w:val="yellow"/>
              </w:rPr>
            </w:pPr>
            <w:r w:rsidRPr="00217797">
              <w:rPr>
                <w:rFonts w:hint="eastAsia"/>
                <w:color w:val="000000"/>
                <w:w w:val="27"/>
                <w:shd w:val="solid" w:color="000000" w:fill="000000"/>
                <w:fitText w:val="120" w:id="-1502445297"/>
                <w14:textFill>
                  <w14:solidFill>
                    <w14:srgbClr w14:val="000000">
                      <w14:alpha w14:val="100000"/>
                    </w14:srgbClr>
                  </w14:solidFill>
                </w14:textFill>
              </w:rPr>
              <w:t xml:space="preserve">　</w:t>
            </w:r>
            <w:r w:rsidRPr="00217797">
              <w:rPr>
                <w:color w:val="000000"/>
                <w:w w:val="27"/>
                <w:shd w:val="solid" w:color="000000" w:fill="000000"/>
                <w:fitText w:val="120" w:id="-1502445297"/>
                <w14:textFill>
                  <w14:solidFill>
                    <w14:srgbClr w14:val="000000">
                      <w14:alpha w14:val="100000"/>
                    </w14:srgbClr>
                  </w14:solidFill>
                </w14:textFill>
              </w:rPr>
              <w:t>|</w:t>
            </w:r>
            <w:r w:rsidRPr="00217797">
              <w:rPr>
                <w:rFonts w:hint="eastAsia"/>
                <w:color w:val="000000"/>
                <w:spacing w:val="2"/>
                <w:w w:val="27"/>
                <w:shd w:val="solid" w:color="000000" w:fill="000000"/>
                <w:fitText w:val="120" w:id="-1502445297"/>
                <w14:textFill>
                  <w14:solidFill>
                    <w14:srgbClr w14:val="000000">
                      <w14:alpha w14:val="100000"/>
                    </w14:srgbClr>
                  </w14:solidFill>
                </w14:textFill>
              </w:rPr>
              <w:t xml:space="preserve">　</w:t>
            </w:r>
            <w:r w:rsidR="00633602" w:rsidRPr="00633602">
              <w:rPr>
                <w:szCs w:val="20"/>
                <w:vertAlign w:val="superscript"/>
              </w:rPr>
              <w:t>3</w:t>
            </w:r>
          </w:p>
        </w:tc>
        <w:tc>
          <w:tcPr>
            <w:tcW w:w="987" w:type="dxa"/>
            <w:tcBorders>
              <w:top w:val="single" w:sz="4" w:space="0" w:color="auto"/>
              <w:bottom w:val="double" w:sz="4" w:space="0" w:color="auto"/>
            </w:tcBorders>
            <w:shd w:val="clear" w:color="auto" w:fill="auto"/>
            <w:vAlign w:val="center"/>
          </w:tcPr>
          <w:p w14:paraId="7263DCB8" w14:textId="3E22EB80" w:rsidR="007C19A5" w:rsidRPr="00633602" w:rsidRDefault="00217797" w:rsidP="007C19A5">
            <w:pPr>
              <w:pStyle w:val="Tabletext"/>
              <w:keepNext/>
              <w:keepLines/>
              <w:jc w:val="center"/>
              <w:rPr>
                <w:highlight w:val="yellow"/>
              </w:rPr>
            </w:pPr>
            <w:r w:rsidRPr="00217797">
              <w:rPr>
                <w:rFonts w:hint="eastAsia"/>
                <w:color w:val="000000"/>
                <w:w w:val="27"/>
                <w:shd w:val="solid" w:color="000000" w:fill="000000"/>
                <w:fitText w:val="120" w:id="-1502445296"/>
                <w14:textFill>
                  <w14:solidFill>
                    <w14:srgbClr w14:val="000000">
                      <w14:alpha w14:val="100000"/>
                    </w14:srgbClr>
                  </w14:solidFill>
                </w14:textFill>
              </w:rPr>
              <w:t xml:space="preserve">　</w:t>
            </w:r>
            <w:r w:rsidRPr="00217797">
              <w:rPr>
                <w:color w:val="000000"/>
                <w:w w:val="27"/>
                <w:shd w:val="solid" w:color="000000" w:fill="000000"/>
                <w:fitText w:val="120" w:id="-1502445296"/>
                <w14:textFill>
                  <w14:solidFill>
                    <w14:srgbClr w14:val="000000">
                      <w14:alpha w14:val="100000"/>
                    </w14:srgbClr>
                  </w14:solidFill>
                </w14:textFill>
              </w:rPr>
              <w:t>|</w:t>
            </w:r>
            <w:r w:rsidRPr="00217797">
              <w:rPr>
                <w:rFonts w:hint="eastAsia"/>
                <w:color w:val="000000"/>
                <w:spacing w:val="2"/>
                <w:w w:val="27"/>
                <w:shd w:val="solid" w:color="000000" w:fill="000000"/>
                <w:fitText w:val="120" w:id="-1502445296"/>
                <w14:textFill>
                  <w14:solidFill>
                    <w14:srgbClr w14:val="000000">
                      <w14:alpha w14:val="100000"/>
                    </w14:srgbClr>
                  </w14:solidFill>
                </w14:textFill>
              </w:rPr>
              <w:t xml:space="preserve">　</w:t>
            </w:r>
            <w:r w:rsidR="00633602" w:rsidRPr="00633602">
              <w:rPr>
                <w:szCs w:val="20"/>
                <w:vertAlign w:val="superscript"/>
              </w:rPr>
              <w:t>3</w:t>
            </w:r>
          </w:p>
        </w:tc>
        <w:tc>
          <w:tcPr>
            <w:tcW w:w="988" w:type="dxa"/>
            <w:tcBorders>
              <w:top w:val="single" w:sz="4" w:space="0" w:color="auto"/>
              <w:bottom w:val="double" w:sz="4" w:space="0" w:color="auto"/>
            </w:tcBorders>
            <w:shd w:val="clear" w:color="auto" w:fill="auto"/>
            <w:vAlign w:val="center"/>
          </w:tcPr>
          <w:p w14:paraId="7C177740" w14:textId="7C195167" w:rsidR="007C19A5" w:rsidRPr="00633602" w:rsidRDefault="00217797" w:rsidP="007C19A5">
            <w:pPr>
              <w:pStyle w:val="Tabletext"/>
              <w:keepNext/>
              <w:keepLines/>
              <w:jc w:val="center"/>
              <w:rPr>
                <w:highlight w:val="yellow"/>
              </w:rPr>
            </w:pPr>
            <w:r w:rsidRPr="00217797">
              <w:rPr>
                <w:rFonts w:hint="eastAsia"/>
                <w:color w:val="000000"/>
                <w:w w:val="23"/>
                <w:shd w:val="solid" w:color="000000" w:fill="000000"/>
                <w:fitText w:val="105" w:id="-1502445312"/>
                <w14:textFill>
                  <w14:solidFill>
                    <w14:srgbClr w14:val="000000">
                      <w14:alpha w14:val="100000"/>
                    </w14:srgbClr>
                  </w14:solidFill>
                </w14:textFill>
              </w:rPr>
              <w:t xml:space="preserve">　</w:t>
            </w:r>
            <w:r w:rsidRPr="00217797">
              <w:rPr>
                <w:color w:val="000000"/>
                <w:w w:val="23"/>
                <w:shd w:val="solid" w:color="000000" w:fill="000000"/>
                <w:fitText w:val="105" w:id="-1502445312"/>
                <w14:textFill>
                  <w14:solidFill>
                    <w14:srgbClr w14:val="000000">
                      <w14:alpha w14:val="100000"/>
                    </w14:srgbClr>
                  </w14:solidFill>
                </w14:textFill>
              </w:rPr>
              <w:t>|</w:t>
            </w:r>
            <w:r w:rsidRPr="00217797">
              <w:rPr>
                <w:rFonts w:hint="eastAsia"/>
                <w:color w:val="000000"/>
                <w:spacing w:val="4"/>
                <w:w w:val="23"/>
                <w:shd w:val="solid" w:color="000000" w:fill="000000"/>
                <w:fitText w:val="105" w:id="-1502445312"/>
                <w14:textFill>
                  <w14:solidFill>
                    <w14:srgbClr w14:val="000000">
                      <w14:alpha w14:val="100000"/>
                    </w14:srgbClr>
                  </w14:solidFill>
                </w14:textFill>
              </w:rPr>
              <w:t xml:space="preserve">　</w:t>
            </w:r>
            <w:r w:rsidR="00633602" w:rsidRPr="00633602">
              <w:rPr>
                <w:szCs w:val="20"/>
                <w:vertAlign w:val="superscript"/>
              </w:rPr>
              <w:t>3</w:t>
            </w:r>
          </w:p>
        </w:tc>
      </w:tr>
      <w:tr w:rsidR="00C4440A" w:rsidRPr="005B43D0" w14:paraId="40B36EDC" w14:textId="77777777" w:rsidTr="00395D5E">
        <w:tc>
          <w:tcPr>
            <w:tcW w:w="9017" w:type="dxa"/>
            <w:gridSpan w:val="7"/>
            <w:shd w:val="clear" w:color="auto" w:fill="auto"/>
          </w:tcPr>
          <w:p w14:paraId="65B3E05E" w14:textId="77777777" w:rsidR="00C4440A" w:rsidRPr="005B43D0" w:rsidRDefault="00C4440A" w:rsidP="00C4440A">
            <w:pPr>
              <w:pStyle w:val="Tabletext"/>
              <w:keepNext/>
              <w:keepLines/>
            </w:pPr>
            <w:r w:rsidRPr="005B43D0">
              <w:t>Changes in number of scripts (carboplatin; doxorubicin; paclitaxel)</w:t>
            </w:r>
          </w:p>
        </w:tc>
      </w:tr>
      <w:tr w:rsidR="00C4440A" w:rsidRPr="005B43D0" w14:paraId="6E51332C" w14:textId="77777777" w:rsidTr="00395D5E">
        <w:tc>
          <w:tcPr>
            <w:tcW w:w="3095" w:type="dxa"/>
            <w:shd w:val="clear" w:color="auto" w:fill="auto"/>
          </w:tcPr>
          <w:p w14:paraId="3EB0B94D" w14:textId="77777777" w:rsidR="00C4440A" w:rsidRPr="005B43D0" w:rsidRDefault="00C4440A" w:rsidP="00C4440A">
            <w:pPr>
              <w:pStyle w:val="Tabletext"/>
              <w:keepNext/>
              <w:keepLines/>
            </w:pPr>
            <w:r w:rsidRPr="005B43D0">
              <w:t xml:space="preserve">Total </w:t>
            </w:r>
          </w:p>
        </w:tc>
        <w:tc>
          <w:tcPr>
            <w:tcW w:w="986" w:type="dxa"/>
            <w:shd w:val="clear" w:color="auto" w:fill="auto"/>
            <w:vAlign w:val="center"/>
          </w:tcPr>
          <w:p w14:paraId="1CC18E79" w14:textId="52446F6E" w:rsidR="00C4440A" w:rsidRPr="005B43D0" w:rsidRDefault="00C4440A" w:rsidP="00C4440A">
            <w:pPr>
              <w:pStyle w:val="Tabletext"/>
              <w:keepNext/>
              <w:keepLines/>
              <w:jc w:val="center"/>
            </w:pPr>
            <w:r w:rsidRPr="005B43D0">
              <w:t>-</w:t>
            </w:r>
            <w:r w:rsidR="00217797" w:rsidRPr="00217797">
              <w:rPr>
                <w:rFonts w:hint="eastAsia"/>
                <w:color w:val="000000"/>
                <w:w w:val="27"/>
                <w:shd w:val="solid" w:color="000000" w:fill="000000"/>
                <w:fitText w:val="120" w:id="-1502445311"/>
                <w14:textFill>
                  <w14:solidFill>
                    <w14:srgbClr w14:val="000000">
                      <w14:alpha w14:val="100000"/>
                    </w14:srgbClr>
                  </w14:solidFill>
                </w14:textFill>
              </w:rPr>
              <w:t xml:space="preserve">　</w:t>
            </w:r>
            <w:r w:rsidR="00217797" w:rsidRPr="00217797">
              <w:rPr>
                <w:color w:val="000000"/>
                <w:w w:val="27"/>
                <w:shd w:val="solid" w:color="000000" w:fill="000000"/>
                <w:fitText w:val="120" w:id="-1502445311"/>
                <w14:textFill>
                  <w14:solidFill>
                    <w14:srgbClr w14:val="000000">
                      <w14:alpha w14:val="100000"/>
                    </w14:srgbClr>
                  </w14:solidFill>
                </w14:textFill>
              </w:rPr>
              <w:t>|</w:t>
            </w:r>
            <w:r w:rsidR="00217797" w:rsidRPr="00217797">
              <w:rPr>
                <w:rFonts w:hint="eastAsia"/>
                <w:color w:val="000000"/>
                <w:spacing w:val="2"/>
                <w:w w:val="27"/>
                <w:shd w:val="solid" w:color="000000" w:fill="000000"/>
                <w:fitText w:val="120" w:id="-1502445311"/>
                <w14:textFill>
                  <w14:solidFill>
                    <w14:srgbClr w14:val="000000">
                      <w14:alpha w14:val="100000"/>
                    </w14:srgbClr>
                  </w14:solidFill>
                </w14:textFill>
              </w:rPr>
              <w:t xml:space="preserve">　</w:t>
            </w:r>
            <w:r w:rsidR="005442B4" w:rsidRPr="00633602">
              <w:rPr>
                <w:vertAlign w:val="superscript"/>
              </w:rPr>
              <w:t>1</w:t>
            </w:r>
          </w:p>
        </w:tc>
        <w:tc>
          <w:tcPr>
            <w:tcW w:w="987" w:type="dxa"/>
            <w:shd w:val="clear" w:color="auto" w:fill="auto"/>
            <w:vAlign w:val="center"/>
          </w:tcPr>
          <w:p w14:paraId="48838715" w14:textId="20A697BC" w:rsidR="00C4440A" w:rsidRPr="005B43D0" w:rsidRDefault="00C4440A" w:rsidP="00C4440A">
            <w:pPr>
              <w:pStyle w:val="Tabletext"/>
              <w:keepNext/>
              <w:keepLines/>
              <w:jc w:val="center"/>
            </w:pPr>
            <w:r w:rsidRPr="005B43D0">
              <w:t>-</w:t>
            </w:r>
            <w:r w:rsidR="00217797" w:rsidRPr="00217797">
              <w:rPr>
                <w:rFonts w:hint="eastAsia"/>
                <w:color w:val="000000"/>
                <w:w w:val="27"/>
                <w:shd w:val="solid" w:color="000000" w:fill="000000"/>
                <w:fitText w:val="120" w:id="-1502445310"/>
                <w14:textFill>
                  <w14:solidFill>
                    <w14:srgbClr w14:val="000000">
                      <w14:alpha w14:val="100000"/>
                    </w14:srgbClr>
                  </w14:solidFill>
                </w14:textFill>
              </w:rPr>
              <w:t xml:space="preserve">　</w:t>
            </w:r>
            <w:r w:rsidR="00217797" w:rsidRPr="00217797">
              <w:rPr>
                <w:color w:val="000000"/>
                <w:w w:val="27"/>
                <w:shd w:val="solid" w:color="000000" w:fill="000000"/>
                <w:fitText w:val="120" w:id="-1502445310"/>
                <w14:textFill>
                  <w14:solidFill>
                    <w14:srgbClr w14:val="000000">
                      <w14:alpha w14:val="100000"/>
                    </w14:srgbClr>
                  </w14:solidFill>
                </w14:textFill>
              </w:rPr>
              <w:t>|</w:t>
            </w:r>
            <w:r w:rsidR="00217797" w:rsidRPr="00217797">
              <w:rPr>
                <w:rFonts w:hint="eastAsia"/>
                <w:color w:val="000000"/>
                <w:spacing w:val="2"/>
                <w:w w:val="27"/>
                <w:shd w:val="solid" w:color="000000" w:fill="000000"/>
                <w:fitText w:val="120" w:id="-1502445310"/>
                <w14:textFill>
                  <w14:solidFill>
                    <w14:srgbClr w14:val="000000">
                      <w14:alpha w14:val="100000"/>
                    </w14:srgbClr>
                  </w14:solidFill>
                </w14:textFill>
              </w:rPr>
              <w:t xml:space="preserve">　</w:t>
            </w:r>
            <w:r w:rsidR="005442B4" w:rsidRPr="00633602">
              <w:rPr>
                <w:vertAlign w:val="superscript"/>
              </w:rPr>
              <w:t>1</w:t>
            </w:r>
          </w:p>
        </w:tc>
        <w:tc>
          <w:tcPr>
            <w:tcW w:w="987" w:type="dxa"/>
            <w:shd w:val="clear" w:color="auto" w:fill="auto"/>
            <w:vAlign w:val="center"/>
          </w:tcPr>
          <w:p w14:paraId="78E20346" w14:textId="77A4F391" w:rsidR="00C4440A" w:rsidRPr="005B43D0" w:rsidRDefault="00C4440A" w:rsidP="00C4440A">
            <w:pPr>
              <w:pStyle w:val="Tabletext"/>
              <w:keepNext/>
              <w:keepLines/>
              <w:jc w:val="center"/>
            </w:pPr>
            <w:r w:rsidRPr="005B43D0">
              <w:t>-</w:t>
            </w:r>
            <w:r w:rsidR="00217797" w:rsidRPr="00217797">
              <w:rPr>
                <w:rFonts w:hint="eastAsia"/>
                <w:color w:val="000000"/>
                <w:w w:val="27"/>
                <w:shd w:val="solid" w:color="000000" w:fill="000000"/>
                <w:fitText w:val="120" w:id="-1502445309"/>
                <w14:textFill>
                  <w14:solidFill>
                    <w14:srgbClr w14:val="000000">
                      <w14:alpha w14:val="100000"/>
                    </w14:srgbClr>
                  </w14:solidFill>
                </w14:textFill>
              </w:rPr>
              <w:t xml:space="preserve">　</w:t>
            </w:r>
            <w:r w:rsidR="00217797" w:rsidRPr="00217797">
              <w:rPr>
                <w:color w:val="000000"/>
                <w:w w:val="27"/>
                <w:shd w:val="solid" w:color="000000" w:fill="000000"/>
                <w:fitText w:val="120" w:id="-1502445309"/>
                <w14:textFill>
                  <w14:solidFill>
                    <w14:srgbClr w14:val="000000">
                      <w14:alpha w14:val="100000"/>
                    </w14:srgbClr>
                  </w14:solidFill>
                </w14:textFill>
              </w:rPr>
              <w:t>|</w:t>
            </w:r>
            <w:r w:rsidR="00217797" w:rsidRPr="00217797">
              <w:rPr>
                <w:rFonts w:hint="eastAsia"/>
                <w:color w:val="000000"/>
                <w:spacing w:val="2"/>
                <w:w w:val="27"/>
                <w:shd w:val="solid" w:color="000000" w:fill="000000"/>
                <w:fitText w:val="120" w:id="-1502445309"/>
                <w14:textFill>
                  <w14:solidFill>
                    <w14:srgbClr w14:val="000000">
                      <w14:alpha w14:val="100000"/>
                    </w14:srgbClr>
                  </w14:solidFill>
                </w14:textFill>
              </w:rPr>
              <w:t xml:space="preserve">　</w:t>
            </w:r>
            <w:r w:rsidR="005442B4" w:rsidRPr="00633602">
              <w:rPr>
                <w:vertAlign w:val="superscript"/>
              </w:rPr>
              <w:t>1</w:t>
            </w:r>
          </w:p>
        </w:tc>
        <w:tc>
          <w:tcPr>
            <w:tcW w:w="987" w:type="dxa"/>
            <w:shd w:val="clear" w:color="auto" w:fill="auto"/>
            <w:vAlign w:val="center"/>
          </w:tcPr>
          <w:p w14:paraId="11A47BAF" w14:textId="4584EAF0" w:rsidR="00C4440A" w:rsidRPr="005B43D0" w:rsidRDefault="00C4440A" w:rsidP="00C4440A">
            <w:pPr>
              <w:pStyle w:val="Tabletext"/>
              <w:keepNext/>
              <w:keepLines/>
              <w:jc w:val="center"/>
            </w:pPr>
            <w:r w:rsidRPr="005B43D0">
              <w:t>-</w:t>
            </w:r>
            <w:r w:rsidR="00217797" w:rsidRPr="00217797">
              <w:rPr>
                <w:rFonts w:hint="eastAsia"/>
                <w:color w:val="000000"/>
                <w:w w:val="27"/>
                <w:shd w:val="solid" w:color="000000" w:fill="000000"/>
                <w:fitText w:val="120" w:id="-1502445308"/>
                <w14:textFill>
                  <w14:solidFill>
                    <w14:srgbClr w14:val="000000">
                      <w14:alpha w14:val="100000"/>
                    </w14:srgbClr>
                  </w14:solidFill>
                </w14:textFill>
              </w:rPr>
              <w:t xml:space="preserve">　</w:t>
            </w:r>
            <w:r w:rsidR="00217797" w:rsidRPr="00217797">
              <w:rPr>
                <w:color w:val="000000"/>
                <w:w w:val="27"/>
                <w:shd w:val="solid" w:color="000000" w:fill="000000"/>
                <w:fitText w:val="120" w:id="-1502445308"/>
                <w14:textFill>
                  <w14:solidFill>
                    <w14:srgbClr w14:val="000000">
                      <w14:alpha w14:val="100000"/>
                    </w14:srgbClr>
                  </w14:solidFill>
                </w14:textFill>
              </w:rPr>
              <w:t>|</w:t>
            </w:r>
            <w:r w:rsidR="00217797" w:rsidRPr="00217797">
              <w:rPr>
                <w:rFonts w:hint="eastAsia"/>
                <w:color w:val="000000"/>
                <w:spacing w:val="2"/>
                <w:w w:val="27"/>
                <w:shd w:val="solid" w:color="000000" w:fill="000000"/>
                <w:fitText w:val="120" w:id="-1502445308"/>
                <w14:textFill>
                  <w14:solidFill>
                    <w14:srgbClr w14:val="000000">
                      <w14:alpha w14:val="100000"/>
                    </w14:srgbClr>
                  </w14:solidFill>
                </w14:textFill>
              </w:rPr>
              <w:t xml:space="preserve">　</w:t>
            </w:r>
            <w:r w:rsidR="005442B4" w:rsidRPr="00633602">
              <w:rPr>
                <w:vertAlign w:val="superscript"/>
              </w:rPr>
              <w:t>1</w:t>
            </w:r>
          </w:p>
        </w:tc>
        <w:tc>
          <w:tcPr>
            <w:tcW w:w="987" w:type="dxa"/>
            <w:shd w:val="clear" w:color="auto" w:fill="auto"/>
            <w:vAlign w:val="center"/>
          </w:tcPr>
          <w:p w14:paraId="6E29A7BC" w14:textId="2EA39050" w:rsidR="00C4440A" w:rsidRPr="005B43D0" w:rsidRDefault="00C4440A" w:rsidP="00C4440A">
            <w:pPr>
              <w:pStyle w:val="Tabletext"/>
              <w:keepNext/>
              <w:keepLines/>
              <w:jc w:val="center"/>
            </w:pPr>
            <w:r w:rsidRPr="005B43D0">
              <w:t>-</w:t>
            </w:r>
            <w:r w:rsidR="00217797" w:rsidRPr="00217797">
              <w:rPr>
                <w:rFonts w:hint="eastAsia"/>
                <w:color w:val="000000"/>
                <w:w w:val="27"/>
                <w:shd w:val="solid" w:color="000000" w:fill="000000"/>
                <w:fitText w:val="120" w:id="-1502445307"/>
                <w14:textFill>
                  <w14:solidFill>
                    <w14:srgbClr w14:val="000000">
                      <w14:alpha w14:val="100000"/>
                    </w14:srgbClr>
                  </w14:solidFill>
                </w14:textFill>
              </w:rPr>
              <w:t xml:space="preserve">　</w:t>
            </w:r>
            <w:r w:rsidR="00217797" w:rsidRPr="00217797">
              <w:rPr>
                <w:color w:val="000000"/>
                <w:w w:val="27"/>
                <w:shd w:val="solid" w:color="000000" w:fill="000000"/>
                <w:fitText w:val="120" w:id="-1502445307"/>
                <w14:textFill>
                  <w14:solidFill>
                    <w14:srgbClr w14:val="000000">
                      <w14:alpha w14:val="100000"/>
                    </w14:srgbClr>
                  </w14:solidFill>
                </w14:textFill>
              </w:rPr>
              <w:t>|</w:t>
            </w:r>
            <w:r w:rsidR="00217797" w:rsidRPr="00217797">
              <w:rPr>
                <w:rFonts w:hint="eastAsia"/>
                <w:color w:val="000000"/>
                <w:spacing w:val="2"/>
                <w:w w:val="27"/>
                <w:shd w:val="solid" w:color="000000" w:fill="000000"/>
                <w:fitText w:val="120" w:id="-1502445307"/>
                <w14:textFill>
                  <w14:solidFill>
                    <w14:srgbClr w14:val="000000">
                      <w14:alpha w14:val="100000"/>
                    </w14:srgbClr>
                  </w14:solidFill>
                </w14:textFill>
              </w:rPr>
              <w:t xml:space="preserve">　</w:t>
            </w:r>
            <w:r w:rsidR="005442B4" w:rsidRPr="00633602">
              <w:rPr>
                <w:vertAlign w:val="superscript"/>
              </w:rPr>
              <w:t>1</w:t>
            </w:r>
          </w:p>
        </w:tc>
        <w:tc>
          <w:tcPr>
            <w:tcW w:w="988" w:type="dxa"/>
            <w:shd w:val="clear" w:color="auto" w:fill="auto"/>
            <w:vAlign w:val="center"/>
          </w:tcPr>
          <w:p w14:paraId="4F14DC38" w14:textId="00BDC0A6" w:rsidR="00C4440A" w:rsidRPr="005B43D0" w:rsidRDefault="00C4440A" w:rsidP="00C4440A">
            <w:pPr>
              <w:pStyle w:val="Tabletext"/>
              <w:keepNext/>
              <w:keepLines/>
              <w:jc w:val="center"/>
            </w:pPr>
            <w:r w:rsidRPr="005B43D0">
              <w:t>-</w:t>
            </w:r>
            <w:r w:rsidR="00217797" w:rsidRPr="00217797">
              <w:rPr>
                <w:rFonts w:hint="eastAsia"/>
                <w:color w:val="000000"/>
                <w:w w:val="27"/>
                <w:shd w:val="solid" w:color="000000" w:fill="000000"/>
                <w:fitText w:val="120" w:id="-1502445306"/>
                <w14:textFill>
                  <w14:solidFill>
                    <w14:srgbClr w14:val="000000">
                      <w14:alpha w14:val="100000"/>
                    </w14:srgbClr>
                  </w14:solidFill>
                </w14:textFill>
              </w:rPr>
              <w:t xml:space="preserve">　</w:t>
            </w:r>
            <w:r w:rsidR="00217797" w:rsidRPr="00217797">
              <w:rPr>
                <w:color w:val="000000"/>
                <w:w w:val="27"/>
                <w:shd w:val="solid" w:color="000000" w:fill="000000"/>
                <w:fitText w:val="120" w:id="-1502445306"/>
                <w14:textFill>
                  <w14:solidFill>
                    <w14:srgbClr w14:val="000000">
                      <w14:alpha w14:val="100000"/>
                    </w14:srgbClr>
                  </w14:solidFill>
                </w14:textFill>
              </w:rPr>
              <w:t>|</w:t>
            </w:r>
            <w:r w:rsidR="00217797" w:rsidRPr="00217797">
              <w:rPr>
                <w:rFonts w:hint="eastAsia"/>
                <w:color w:val="000000"/>
                <w:spacing w:val="2"/>
                <w:w w:val="27"/>
                <w:shd w:val="solid" w:color="000000" w:fill="000000"/>
                <w:fitText w:val="120" w:id="-1502445306"/>
                <w14:textFill>
                  <w14:solidFill>
                    <w14:srgbClr w14:val="000000">
                      <w14:alpha w14:val="100000"/>
                    </w14:srgbClr>
                  </w14:solidFill>
                </w14:textFill>
              </w:rPr>
              <w:t xml:space="preserve">　</w:t>
            </w:r>
            <w:r w:rsidR="005442B4">
              <w:rPr>
                <w:vertAlign w:val="superscript"/>
              </w:rPr>
              <w:t>2</w:t>
            </w:r>
          </w:p>
        </w:tc>
      </w:tr>
      <w:tr w:rsidR="00C4440A" w:rsidRPr="005B43D0" w14:paraId="74C601CD" w14:textId="77777777" w:rsidTr="00395D5E">
        <w:tc>
          <w:tcPr>
            <w:tcW w:w="9017" w:type="dxa"/>
            <w:gridSpan w:val="7"/>
            <w:shd w:val="clear" w:color="auto" w:fill="auto"/>
          </w:tcPr>
          <w:p w14:paraId="3C250F3A" w14:textId="77777777" w:rsidR="00C4440A" w:rsidRPr="005B43D0" w:rsidRDefault="00C4440A" w:rsidP="00C4440A">
            <w:pPr>
              <w:pStyle w:val="Tabletext"/>
              <w:keepNext/>
              <w:keepLines/>
            </w:pPr>
            <w:r w:rsidRPr="005B43D0">
              <w:t xml:space="preserve">PBS/RPBS cost less co-pay (DPMA) </w:t>
            </w:r>
            <w:r w:rsidRPr="005B43D0">
              <w:rPr>
                <w:vertAlign w:val="superscript"/>
              </w:rPr>
              <w:t xml:space="preserve">c </w:t>
            </w:r>
            <w:r w:rsidRPr="005B43D0">
              <w:t>(carboplatin; doxorubicin; paclitaxel)</w:t>
            </w:r>
          </w:p>
        </w:tc>
      </w:tr>
      <w:tr w:rsidR="007C19A5" w:rsidRPr="005B43D0" w14:paraId="40B0BCD0" w14:textId="77777777" w:rsidTr="00217797">
        <w:tc>
          <w:tcPr>
            <w:tcW w:w="3095" w:type="dxa"/>
            <w:tcBorders>
              <w:bottom w:val="double" w:sz="4" w:space="0" w:color="auto"/>
            </w:tcBorders>
            <w:shd w:val="clear" w:color="auto" w:fill="auto"/>
            <w:vAlign w:val="center"/>
          </w:tcPr>
          <w:p w14:paraId="6A5940AE" w14:textId="619F890C" w:rsidR="007C19A5" w:rsidRPr="00633602" w:rsidRDefault="007C19A5" w:rsidP="007C19A5">
            <w:pPr>
              <w:pStyle w:val="Tabletext"/>
              <w:keepNext/>
              <w:keepLines/>
            </w:pPr>
            <w:r w:rsidRPr="005B43D0">
              <w:t>Total (pub/</w:t>
            </w:r>
            <w:proofErr w:type="gramStart"/>
            <w:r w:rsidRPr="005B43D0">
              <w:t>eff</w:t>
            </w:r>
            <w:proofErr w:type="gramEnd"/>
            <w:r w:rsidRPr="005B43D0">
              <w:t xml:space="preserve">) </w:t>
            </w:r>
            <w:r>
              <w:rPr>
                <w:vertAlign w:val="superscript"/>
              </w:rPr>
              <w:t>e</w:t>
            </w:r>
            <w:r w:rsidR="00633602">
              <w:rPr>
                <w:vertAlign w:val="superscript"/>
              </w:rPr>
              <w:t xml:space="preserve"> </w:t>
            </w:r>
            <w:r w:rsidR="00633602">
              <w:t>($)</w:t>
            </w:r>
          </w:p>
        </w:tc>
        <w:tc>
          <w:tcPr>
            <w:tcW w:w="986" w:type="dxa"/>
            <w:tcBorders>
              <w:bottom w:val="double" w:sz="4" w:space="0" w:color="auto"/>
            </w:tcBorders>
            <w:shd w:val="clear" w:color="auto" w:fill="auto"/>
            <w:vAlign w:val="center"/>
          </w:tcPr>
          <w:p w14:paraId="7D1333A4" w14:textId="69DF49B2" w:rsidR="007C19A5" w:rsidRPr="00633602" w:rsidRDefault="00217797" w:rsidP="007C19A5">
            <w:pPr>
              <w:pStyle w:val="Tabletext"/>
              <w:keepNext/>
              <w:keepLines/>
              <w:jc w:val="center"/>
              <w:rPr>
                <w:highlight w:val="yellow"/>
              </w:rPr>
            </w:pPr>
            <w:r w:rsidRPr="00217797">
              <w:rPr>
                <w:rFonts w:hint="eastAsia"/>
                <w:color w:val="000000"/>
                <w:w w:val="27"/>
                <w:shd w:val="solid" w:color="000000" w:fill="000000"/>
                <w:fitText w:val="120" w:id="-1502445305"/>
                <w14:textFill>
                  <w14:solidFill>
                    <w14:srgbClr w14:val="000000">
                      <w14:alpha w14:val="100000"/>
                    </w14:srgbClr>
                  </w14:solidFill>
                </w14:textFill>
              </w:rPr>
              <w:t xml:space="preserve">　</w:t>
            </w:r>
            <w:r w:rsidRPr="00217797">
              <w:rPr>
                <w:color w:val="000000"/>
                <w:w w:val="27"/>
                <w:shd w:val="solid" w:color="000000" w:fill="000000"/>
                <w:fitText w:val="120" w:id="-1502445305"/>
                <w14:textFill>
                  <w14:solidFill>
                    <w14:srgbClr w14:val="000000">
                      <w14:alpha w14:val="100000"/>
                    </w14:srgbClr>
                  </w14:solidFill>
                </w14:textFill>
              </w:rPr>
              <w:t>|</w:t>
            </w:r>
            <w:r w:rsidRPr="00217797">
              <w:rPr>
                <w:rFonts w:hint="eastAsia"/>
                <w:color w:val="000000"/>
                <w:spacing w:val="2"/>
                <w:w w:val="27"/>
                <w:shd w:val="solid" w:color="000000" w:fill="000000"/>
                <w:fitText w:val="120" w:id="-1502445305"/>
                <w14:textFill>
                  <w14:solidFill>
                    <w14:srgbClr w14:val="000000">
                      <w14:alpha w14:val="100000"/>
                    </w14:srgbClr>
                  </w14:solidFill>
                </w14:textFill>
              </w:rPr>
              <w:t xml:space="preserve">　</w:t>
            </w:r>
            <w:r w:rsidR="00633602" w:rsidRPr="00633602">
              <w:rPr>
                <w:szCs w:val="20"/>
                <w:vertAlign w:val="superscript"/>
              </w:rPr>
              <w:t>3</w:t>
            </w:r>
          </w:p>
        </w:tc>
        <w:tc>
          <w:tcPr>
            <w:tcW w:w="987" w:type="dxa"/>
            <w:tcBorders>
              <w:bottom w:val="double" w:sz="4" w:space="0" w:color="auto"/>
            </w:tcBorders>
            <w:shd w:val="clear" w:color="auto" w:fill="auto"/>
            <w:vAlign w:val="center"/>
          </w:tcPr>
          <w:p w14:paraId="64B12066" w14:textId="6249FE9B" w:rsidR="007C19A5" w:rsidRPr="00633602" w:rsidRDefault="00217797" w:rsidP="007C19A5">
            <w:pPr>
              <w:pStyle w:val="Tabletext"/>
              <w:keepNext/>
              <w:keepLines/>
              <w:jc w:val="center"/>
              <w:rPr>
                <w:highlight w:val="yellow"/>
              </w:rPr>
            </w:pPr>
            <w:r w:rsidRPr="00217797">
              <w:rPr>
                <w:rFonts w:hint="eastAsia"/>
                <w:color w:val="000000"/>
                <w:w w:val="27"/>
                <w:shd w:val="solid" w:color="000000" w:fill="000000"/>
                <w:fitText w:val="120" w:id="-1502445304"/>
                <w14:textFill>
                  <w14:solidFill>
                    <w14:srgbClr w14:val="000000">
                      <w14:alpha w14:val="100000"/>
                    </w14:srgbClr>
                  </w14:solidFill>
                </w14:textFill>
              </w:rPr>
              <w:t xml:space="preserve">　</w:t>
            </w:r>
            <w:r w:rsidRPr="00217797">
              <w:rPr>
                <w:color w:val="000000"/>
                <w:w w:val="27"/>
                <w:shd w:val="solid" w:color="000000" w:fill="000000"/>
                <w:fitText w:val="120" w:id="-1502445304"/>
                <w14:textFill>
                  <w14:solidFill>
                    <w14:srgbClr w14:val="000000">
                      <w14:alpha w14:val="100000"/>
                    </w14:srgbClr>
                  </w14:solidFill>
                </w14:textFill>
              </w:rPr>
              <w:t>|</w:t>
            </w:r>
            <w:r w:rsidRPr="00217797">
              <w:rPr>
                <w:rFonts w:hint="eastAsia"/>
                <w:color w:val="000000"/>
                <w:spacing w:val="2"/>
                <w:w w:val="27"/>
                <w:shd w:val="solid" w:color="000000" w:fill="000000"/>
                <w:fitText w:val="120" w:id="-1502445304"/>
                <w14:textFill>
                  <w14:solidFill>
                    <w14:srgbClr w14:val="000000">
                      <w14:alpha w14:val="100000"/>
                    </w14:srgbClr>
                  </w14:solidFill>
                </w14:textFill>
              </w:rPr>
              <w:t xml:space="preserve">　</w:t>
            </w:r>
            <w:r w:rsidR="00633602" w:rsidRPr="00633602">
              <w:rPr>
                <w:szCs w:val="20"/>
                <w:vertAlign w:val="superscript"/>
              </w:rPr>
              <w:t>3</w:t>
            </w:r>
          </w:p>
        </w:tc>
        <w:tc>
          <w:tcPr>
            <w:tcW w:w="987" w:type="dxa"/>
            <w:tcBorders>
              <w:bottom w:val="double" w:sz="4" w:space="0" w:color="auto"/>
            </w:tcBorders>
            <w:shd w:val="clear" w:color="auto" w:fill="auto"/>
            <w:vAlign w:val="center"/>
          </w:tcPr>
          <w:p w14:paraId="7A34D2C6" w14:textId="77F43C1B" w:rsidR="007C19A5" w:rsidRPr="00633602" w:rsidRDefault="00217797" w:rsidP="007C19A5">
            <w:pPr>
              <w:pStyle w:val="Tabletext"/>
              <w:keepNext/>
              <w:keepLines/>
              <w:jc w:val="center"/>
              <w:rPr>
                <w:highlight w:val="yellow"/>
              </w:rPr>
            </w:pPr>
            <w:r w:rsidRPr="00217797">
              <w:rPr>
                <w:rFonts w:hint="eastAsia"/>
                <w:color w:val="000000"/>
                <w:w w:val="27"/>
                <w:shd w:val="solid" w:color="000000" w:fill="000000"/>
                <w:fitText w:val="120" w:id="-1502445303"/>
                <w14:textFill>
                  <w14:solidFill>
                    <w14:srgbClr w14:val="000000">
                      <w14:alpha w14:val="100000"/>
                    </w14:srgbClr>
                  </w14:solidFill>
                </w14:textFill>
              </w:rPr>
              <w:t xml:space="preserve">　</w:t>
            </w:r>
            <w:r w:rsidRPr="00217797">
              <w:rPr>
                <w:color w:val="000000"/>
                <w:w w:val="27"/>
                <w:shd w:val="solid" w:color="000000" w:fill="000000"/>
                <w:fitText w:val="120" w:id="-1502445303"/>
                <w14:textFill>
                  <w14:solidFill>
                    <w14:srgbClr w14:val="000000">
                      <w14:alpha w14:val="100000"/>
                    </w14:srgbClr>
                  </w14:solidFill>
                </w14:textFill>
              </w:rPr>
              <w:t>|</w:t>
            </w:r>
            <w:r w:rsidRPr="00217797">
              <w:rPr>
                <w:rFonts w:hint="eastAsia"/>
                <w:color w:val="000000"/>
                <w:spacing w:val="2"/>
                <w:w w:val="27"/>
                <w:shd w:val="solid" w:color="000000" w:fill="000000"/>
                <w:fitText w:val="120" w:id="-1502445303"/>
                <w14:textFill>
                  <w14:solidFill>
                    <w14:srgbClr w14:val="000000">
                      <w14:alpha w14:val="100000"/>
                    </w14:srgbClr>
                  </w14:solidFill>
                </w14:textFill>
              </w:rPr>
              <w:t xml:space="preserve">　</w:t>
            </w:r>
            <w:r w:rsidR="00633602" w:rsidRPr="00633602">
              <w:rPr>
                <w:szCs w:val="20"/>
                <w:vertAlign w:val="superscript"/>
              </w:rPr>
              <w:t>3</w:t>
            </w:r>
          </w:p>
        </w:tc>
        <w:tc>
          <w:tcPr>
            <w:tcW w:w="987" w:type="dxa"/>
            <w:tcBorders>
              <w:bottom w:val="double" w:sz="4" w:space="0" w:color="auto"/>
            </w:tcBorders>
            <w:shd w:val="clear" w:color="auto" w:fill="auto"/>
            <w:vAlign w:val="center"/>
          </w:tcPr>
          <w:p w14:paraId="57870172" w14:textId="775A47C9" w:rsidR="007C19A5" w:rsidRPr="00633602" w:rsidRDefault="00217797" w:rsidP="007C19A5">
            <w:pPr>
              <w:pStyle w:val="Tabletext"/>
              <w:keepNext/>
              <w:keepLines/>
              <w:jc w:val="center"/>
              <w:rPr>
                <w:highlight w:val="yellow"/>
              </w:rPr>
            </w:pPr>
            <w:r w:rsidRPr="00217797">
              <w:rPr>
                <w:rFonts w:hint="eastAsia"/>
                <w:color w:val="000000"/>
                <w:w w:val="27"/>
                <w:shd w:val="solid" w:color="000000" w:fill="000000"/>
                <w:fitText w:val="120" w:id="-1502445302"/>
                <w14:textFill>
                  <w14:solidFill>
                    <w14:srgbClr w14:val="000000">
                      <w14:alpha w14:val="100000"/>
                    </w14:srgbClr>
                  </w14:solidFill>
                </w14:textFill>
              </w:rPr>
              <w:t xml:space="preserve">　</w:t>
            </w:r>
            <w:r w:rsidRPr="00217797">
              <w:rPr>
                <w:color w:val="000000"/>
                <w:w w:val="27"/>
                <w:shd w:val="solid" w:color="000000" w:fill="000000"/>
                <w:fitText w:val="120" w:id="-1502445302"/>
                <w14:textFill>
                  <w14:solidFill>
                    <w14:srgbClr w14:val="000000">
                      <w14:alpha w14:val="100000"/>
                    </w14:srgbClr>
                  </w14:solidFill>
                </w14:textFill>
              </w:rPr>
              <w:t>|</w:t>
            </w:r>
            <w:r w:rsidRPr="00217797">
              <w:rPr>
                <w:rFonts w:hint="eastAsia"/>
                <w:color w:val="000000"/>
                <w:spacing w:val="2"/>
                <w:w w:val="27"/>
                <w:shd w:val="solid" w:color="000000" w:fill="000000"/>
                <w:fitText w:val="120" w:id="-1502445302"/>
                <w14:textFill>
                  <w14:solidFill>
                    <w14:srgbClr w14:val="000000">
                      <w14:alpha w14:val="100000"/>
                    </w14:srgbClr>
                  </w14:solidFill>
                </w14:textFill>
              </w:rPr>
              <w:t xml:space="preserve">　</w:t>
            </w:r>
            <w:r w:rsidR="00633602" w:rsidRPr="00633602">
              <w:rPr>
                <w:szCs w:val="20"/>
                <w:vertAlign w:val="superscript"/>
              </w:rPr>
              <w:t>3</w:t>
            </w:r>
          </w:p>
        </w:tc>
        <w:tc>
          <w:tcPr>
            <w:tcW w:w="987" w:type="dxa"/>
            <w:tcBorders>
              <w:bottom w:val="double" w:sz="4" w:space="0" w:color="auto"/>
            </w:tcBorders>
            <w:shd w:val="clear" w:color="auto" w:fill="auto"/>
            <w:vAlign w:val="center"/>
          </w:tcPr>
          <w:p w14:paraId="714F54A4" w14:textId="6B328D75" w:rsidR="007C19A5" w:rsidRPr="00633602" w:rsidRDefault="00217797" w:rsidP="007C19A5">
            <w:pPr>
              <w:pStyle w:val="Tabletext"/>
              <w:keepNext/>
              <w:keepLines/>
              <w:jc w:val="center"/>
              <w:rPr>
                <w:highlight w:val="yellow"/>
              </w:rPr>
            </w:pPr>
            <w:r w:rsidRPr="00217797">
              <w:rPr>
                <w:rFonts w:hint="eastAsia"/>
                <w:color w:val="000000"/>
                <w:w w:val="27"/>
                <w:shd w:val="solid" w:color="000000" w:fill="000000"/>
                <w:fitText w:val="120" w:id="-1502445301"/>
                <w14:textFill>
                  <w14:solidFill>
                    <w14:srgbClr w14:val="000000">
                      <w14:alpha w14:val="100000"/>
                    </w14:srgbClr>
                  </w14:solidFill>
                </w14:textFill>
              </w:rPr>
              <w:t xml:space="preserve">　</w:t>
            </w:r>
            <w:r w:rsidRPr="00217797">
              <w:rPr>
                <w:color w:val="000000"/>
                <w:w w:val="27"/>
                <w:shd w:val="solid" w:color="000000" w:fill="000000"/>
                <w:fitText w:val="120" w:id="-1502445301"/>
                <w14:textFill>
                  <w14:solidFill>
                    <w14:srgbClr w14:val="000000">
                      <w14:alpha w14:val="100000"/>
                    </w14:srgbClr>
                  </w14:solidFill>
                </w14:textFill>
              </w:rPr>
              <w:t>|</w:t>
            </w:r>
            <w:r w:rsidRPr="00217797">
              <w:rPr>
                <w:rFonts w:hint="eastAsia"/>
                <w:color w:val="000000"/>
                <w:spacing w:val="2"/>
                <w:w w:val="27"/>
                <w:shd w:val="solid" w:color="000000" w:fill="000000"/>
                <w:fitText w:val="120" w:id="-1502445301"/>
                <w14:textFill>
                  <w14:solidFill>
                    <w14:srgbClr w14:val="000000">
                      <w14:alpha w14:val="100000"/>
                    </w14:srgbClr>
                  </w14:solidFill>
                </w14:textFill>
              </w:rPr>
              <w:t xml:space="preserve">　</w:t>
            </w:r>
            <w:r w:rsidR="00633602" w:rsidRPr="00633602">
              <w:rPr>
                <w:szCs w:val="20"/>
                <w:vertAlign w:val="superscript"/>
              </w:rPr>
              <w:t>3</w:t>
            </w:r>
          </w:p>
        </w:tc>
        <w:tc>
          <w:tcPr>
            <w:tcW w:w="988" w:type="dxa"/>
            <w:tcBorders>
              <w:bottom w:val="double" w:sz="4" w:space="0" w:color="auto"/>
            </w:tcBorders>
            <w:shd w:val="clear" w:color="auto" w:fill="auto"/>
            <w:vAlign w:val="center"/>
          </w:tcPr>
          <w:p w14:paraId="0B6F1CCE" w14:textId="3B55F017" w:rsidR="007C19A5" w:rsidRPr="00633602" w:rsidRDefault="00217797" w:rsidP="007C19A5">
            <w:pPr>
              <w:pStyle w:val="Tabletext"/>
              <w:keepNext/>
              <w:keepLines/>
              <w:jc w:val="center"/>
              <w:rPr>
                <w:highlight w:val="yellow"/>
              </w:rPr>
            </w:pPr>
            <w:r w:rsidRPr="00217797">
              <w:rPr>
                <w:rFonts w:hint="eastAsia"/>
                <w:color w:val="000000"/>
                <w:w w:val="23"/>
                <w:shd w:val="solid" w:color="000000" w:fill="000000"/>
                <w:fitText w:val="105" w:id="-1502445300"/>
                <w14:textFill>
                  <w14:solidFill>
                    <w14:srgbClr w14:val="000000">
                      <w14:alpha w14:val="100000"/>
                    </w14:srgbClr>
                  </w14:solidFill>
                </w14:textFill>
              </w:rPr>
              <w:t xml:space="preserve">　</w:t>
            </w:r>
            <w:r w:rsidRPr="00217797">
              <w:rPr>
                <w:color w:val="000000"/>
                <w:w w:val="23"/>
                <w:shd w:val="solid" w:color="000000" w:fill="000000"/>
                <w:fitText w:val="105" w:id="-1502445300"/>
                <w14:textFill>
                  <w14:solidFill>
                    <w14:srgbClr w14:val="000000">
                      <w14:alpha w14:val="100000"/>
                    </w14:srgbClr>
                  </w14:solidFill>
                </w14:textFill>
              </w:rPr>
              <w:t>|</w:t>
            </w:r>
            <w:r w:rsidRPr="00217797">
              <w:rPr>
                <w:rFonts w:hint="eastAsia"/>
                <w:color w:val="000000"/>
                <w:spacing w:val="4"/>
                <w:w w:val="23"/>
                <w:shd w:val="solid" w:color="000000" w:fill="000000"/>
                <w:fitText w:val="105" w:id="-1502445300"/>
                <w14:textFill>
                  <w14:solidFill>
                    <w14:srgbClr w14:val="000000">
                      <w14:alpha w14:val="100000"/>
                    </w14:srgbClr>
                  </w14:solidFill>
                </w14:textFill>
              </w:rPr>
              <w:t xml:space="preserve">　</w:t>
            </w:r>
            <w:r w:rsidR="00633602" w:rsidRPr="00633602">
              <w:rPr>
                <w:szCs w:val="20"/>
                <w:vertAlign w:val="superscript"/>
              </w:rPr>
              <w:t>3</w:t>
            </w:r>
          </w:p>
        </w:tc>
      </w:tr>
      <w:tr w:rsidR="007C19A5" w:rsidRPr="005B43D0" w14:paraId="359ACE71" w14:textId="77777777" w:rsidTr="00217797">
        <w:tc>
          <w:tcPr>
            <w:tcW w:w="3095" w:type="dxa"/>
            <w:shd w:val="clear" w:color="auto" w:fill="auto"/>
            <w:vAlign w:val="center"/>
          </w:tcPr>
          <w:p w14:paraId="4BC0EEBD" w14:textId="157B5905" w:rsidR="007C19A5" w:rsidRPr="00633602" w:rsidRDefault="007C19A5" w:rsidP="007C19A5">
            <w:pPr>
              <w:pStyle w:val="Tabletext"/>
              <w:keepNext/>
              <w:keepLines/>
            </w:pPr>
            <w:r w:rsidRPr="005B43D0">
              <w:t>Net cost to PBS/RPBS (eff)</w:t>
            </w:r>
            <w:r>
              <w:rPr>
                <w:vertAlign w:val="superscript"/>
              </w:rPr>
              <w:t>e</w:t>
            </w:r>
            <w:r w:rsidR="00633602">
              <w:t xml:space="preserve"> ($)</w:t>
            </w:r>
          </w:p>
        </w:tc>
        <w:tc>
          <w:tcPr>
            <w:tcW w:w="986" w:type="dxa"/>
            <w:tcBorders>
              <w:top w:val="double" w:sz="4" w:space="0" w:color="auto"/>
            </w:tcBorders>
            <w:shd w:val="solid" w:color="000000" w:fill="000000"/>
            <w:vAlign w:val="center"/>
          </w:tcPr>
          <w:p w14:paraId="4393B5C1" w14:textId="457A1289" w:rsidR="007C19A5" w:rsidRPr="00217797" w:rsidRDefault="00217797" w:rsidP="007C19A5">
            <w:pPr>
              <w:pStyle w:val="Tabletext"/>
              <w:keepNext/>
              <w:keepLines/>
              <w:jc w:val="center"/>
            </w:pPr>
            <w:r w:rsidRPr="00217797">
              <w:rPr>
                <w:rFonts w:hint="eastAsia"/>
                <w:color w:val="000000"/>
                <w:w w:val="20"/>
                <w:fitText w:val="90" w:id="-1502445299"/>
                <w14:textFill>
                  <w14:solidFill>
                    <w14:srgbClr w14:val="000000">
                      <w14:alpha w14:val="100000"/>
                    </w14:srgbClr>
                  </w14:solidFill>
                </w14:textFill>
              </w:rPr>
              <w:t xml:space="preserve">　</w:t>
            </w:r>
            <w:r w:rsidRPr="00217797">
              <w:rPr>
                <w:color w:val="000000"/>
                <w:w w:val="20"/>
                <w:fitText w:val="90" w:id="-1502445299"/>
                <w14:textFill>
                  <w14:solidFill>
                    <w14:srgbClr w14:val="000000">
                      <w14:alpha w14:val="100000"/>
                    </w14:srgbClr>
                  </w14:solidFill>
                </w14:textFill>
              </w:rPr>
              <w:t>|</w:t>
            </w:r>
            <w:r w:rsidRPr="00217797">
              <w:rPr>
                <w:rFonts w:hint="eastAsia"/>
                <w:color w:val="000000"/>
                <w:w w:val="20"/>
                <w:fitText w:val="90" w:id="-1502445299"/>
                <w14:textFill>
                  <w14:solidFill>
                    <w14:srgbClr w14:val="000000">
                      <w14:alpha w14:val="100000"/>
                    </w14:srgbClr>
                  </w14:solidFill>
                </w14:textFill>
              </w:rPr>
              <w:t xml:space="preserve">　</w:t>
            </w:r>
          </w:p>
        </w:tc>
        <w:tc>
          <w:tcPr>
            <w:tcW w:w="987" w:type="dxa"/>
            <w:shd w:val="clear" w:color="auto" w:fill="auto"/>
            <w:vAlign w:val="center"/>
          </w:tcPr>
          <w:p w14:paraId="14B098F0" w14:textId="3D73CEED" w:rsidR="007C19A5" w:rsidRPr="00633602" w:rsidRDefault="00217797" w:rsidP="007C19A5">
            <w:pPr>
              <w:pStyle w:val="Tabletext"/>
              <w:keepNext/>
              <w:keepLines/>
              <w:jc w:val="center"/>
              <w:rPr>
                <w:highlight w:val="yellow"/>
              </w:rPr>
            </w:pPr>
            <w:r w:rsidRPr="00217797">
              <w:rPr>
                <w:rFonts w:hint="eastAsia"/>
                <w:color w:val="000000"/>
                <w:w w:val="27"/>
                <w:shd w:val="solid" w:color="000000" w:fill="000000"/>
                <w:fitText w:val="120" w:id="-1502445298"/>
                <w14:textFill>
                  <w14:solidFill>
                    <w14:srgbClr w14:val="000000">
                      <w14:alpha w14:val="100000"/>
                    </w14:srgbClr>
                  </w14:solidFill>
                </w14:textFill>
              </w:rPr>
              <w:t xml:space="preserve">　</w:t>
            </w:r>
            <w:r w:rsidRPr="00217797">
              <w:rPr>
                <w:color w:val="000000"/>
                <w:w w:val="27"/>
                <w:shd w:val="solid" w:color="000000" w:fill="000000"/>
                <w:fitText w:val="120" w:id="-1502445298"/>
                <w14:textFill>
                  <w14:solidFill>
                    <w14:srgbClr w14:val="000000">
                      <w14:alpha w14:val="100000"/>
                    </w14:srgbClr>
                  </w14:solidFill>
                </w14:textFill>
              </w:rPr>
              <w:t>|</w:t>
            </w:r>
            <w:r w:rsidRPr="00217797">
              <w:rPr>
                <w:rFonts w:hint="eastAsia"/>
                <w:color w:val="000000"/>
                <w:spacing w:val="2"/>
                <w:w w:val="27"/>
                <w:shd w:val="solid" w:color="000000" w:fill="000000"/>
                <w:fitText w:val="120" w:id="-1502445298"/>
                <w14:textFill>
                  <w14:solidFill>
                    <w14:srgbClr w14:val="000000">
                      <w14:alpha w14:val="100000"/>
                    </w14:srgbClr>
                  </w14:solidFill>
                </w14:textFill>
              </w:rPr>
              <w:t xml:space="preserve">　</w:t>
            </w:r>
            <w:r w:rsidR="00633602" w:rsidRPr="00633602">
              <w:rPr>
                <w:szCs w:val="20"/>
                <w:vertAlign w:val="superscript"/>
              </w:rPr>
              <w:t>3</w:t>
            </w:r>
          </w:p>
        </w:tc>
        <w:tc>
          <w:tcPr>
            <w:tcW w:w="987" w:type="dxa"/>
            <w:shd w:val="clear" w:color="auto" w:fill="auto"/>
            <w:vAlign w:val="center"/>
          </w:tcPr>
          <w:p w14:paraId="55E7F146" w14:textId="4B01CF7B" w:rsidR="007C19A5" w:rsidRPr="00633602" w:rsidRDefault="00217797" w:rsidP="007C19A5">
            <w:pPr>
              <w:pStyle w:val="Tabletext"/>
              <w:keepNext/>
              <w:keepLines/>
              <w:jc w:val="center"/>
              <w:rPr>
                <w:highlight w:val="yellow"/>
              </w:rPr>
            </w:pPr>
            <w:r w:rsidRPr="00217797">
              <w:rPr>
                <w:rFonts w:hint="eastAsia"/>
                <w:color w:val="000000"/>
                <w:w w:val="27"/>
                <w:shd w:val="solid" w:color="000000" w:fill="000000"/>
                <w:fitText w:val="120" w:id="-1502445297"/>
                <w14:textFill>
                  <w14:solidFill>
                    <w14:srgbClr w14:val="000000">
                      <w14:alpha w14:val="100000"/>
                    </w14:srgbClr>
                  </w14:solidFill>
                </w14:textFill>
              </w:rPr>
              <w:t xml:space="preserve">　</w:t>
            </w:r>
            <w:r w:rsidRPr="00217797">
              <w:rPr>
                <w:color w:val="000000"/>
                <w:w w:val="27"/>
                <w:shd w:val="solid" w:color="000000" w:fill="000000"/>
                <w:fitText w:val="120" w:id="-1502445297"/>
                <w14:textFill>
                  <w14:solidFill>
                    <w14:srgbClr w14:val="000000">
                      <w14:alpha w14:val="100000"/>
                    </w14:srgbClr>
                  </w14:solidFill>
                </w14:textFill>
              </w:rPr>
              <w:t>|</w:t>
            </w:r>
            <w:r w:rsidRPr="00217797">
              <w:rPr>
                <w:rFonts w:hint="eastAsia"/>
                <w:color w:val="000000"/>
                <w:spacing w:val="2"/>
                <w:w w:val="27"/>
                <w:shd w:val="solid" w:color="000000" w:fill="000000"/>
                <w:fitText w:val="120" w:id="-1502445297"/>
                <w14:textFill>
                  <w14:solidFill>
                    <w14:srgbClr w14:val="000000">
                      <w14:alpha w14:val="100000"/>
                    </w14:srgbClr>
                  </w14:solidFill>
                </w14:textFill>
              </w:rPr>
              <w:t xml:space="preserve">　</w:t>
            </w:r>
            <w:r w:rsidR="00633602" w:rsidRPr="00633602">
              <w:rPr>
                <w:szCs w:val="20"/>
                <w:vertAlign w:val="superscript"/>
              </w:rPr>
              <w:t>3</w:t>
            </w:r>
          </w:p>
        </w:tc>
        <w:tc>
          <w:tcPr>
            <w:tcW w:w="987" w:type="dxa"/>
            <w:shd w:val="clear" w:color="auto" w:fill="auto"/>
            <w:vAlign w:val="center"/>
          </w:tcPr>
          <w:p w14:paraId="3E1FEC36" w14:textId="73D74C78" w:rsidR="007C19A5" w:rsidRPr="00633602" w:rsidRDefault="00217797" w:rsidP="007C19A5">
            <w:pPr>
              <w:pStyle w:val="Tabletext"/>
              <w:keepNext/>
              <w:keepLines/>
              <w:jc w:val="center"/>
              <w:rPr>
                <w:highlight w:val="yellow"/>
              </w:rPr>
            </w:pPr>
            <w:r w:rsidRPr="00217797">
              <w:rPr>
                <w:rFonts w:hint="eastAsia"/>
                <w:color w:val="000000"/>
                <w:w w:val="27"/>
                <w:shd w:val="solid" w:color="000000" w:fill="000000"/>
                <w:fitText w:val="120" w:id="-1502445296"/>
                <w14:textFill>
                  <w14:solidFill>
                    <w14:srgbClr w14:val="000000">
                      <w14:alpha w14:val="100000"/>
                    </w14:srgbClr>
                  </w14:solidFill>
                </w14:textFill>
              </w:rPr>
              <w:t xml:space="preserve">　</w:t>
            </w:r>
            <w:r w:rsidRPr="00217797">
              <w:rPr>
                <w:color w:val="000000"/>
                <w:w w:val="27"/>
                <w:shd w:val="solid" w:color="000000" w:fill="000000"/>
                <w:fitText w:val="120" w:id="-1502445296"/>
                <w14:textFill>
                  <w14:solidFill>
                    <w14:srgbClr w14:val="000000">
                      <w14:alpha w14:val="100000"/>
                    </w14:srgbClr>
                  </w14:solidFill>
                </w14:textFill>
              </w:rPr>
              <w:t>|</w:t>
            </w:r>
            <w:r w:rsidRPr="00217797">
              <w:rPr>
                <w:rFonts w:hint="eastAsia"/>
                <w:color w:val="000000"/>
                <w:spacing w:val="2"/>
                <w:w w:val="27"/>
                <w:shd w:val="solid" w:color="000000" w:fill="000000"/>
                <w:fitText w:val="120" w:id="-1502445296"/>
                <w14:textFill>
                  <w14:solidFill>
                    <w14:srgbClr w14:val="000000">
                      <w14:alpha w14:val="100000"/>
                    </w14:srgbClr>
                  </w14:solidFill>
                </w14:textFill>
              </w:rPr>
              <w:t xml:space="preserve">　</w:t>
            </w:r>
            <w:r w:rsidR="00633602" w:rsidRPr="00633602">
              <w:rPr>
                <w:szCs w:val="20"/>
                <w:vertAlign w:val="superscript"/>
              </w:rPr>
              <w:t>3</w:t>
            </w:r>
          </w:p>
        </w:tc>
        <w:tc>
          <w:tcPr>
            <w:tcW w:w="987" w:type="dxa"/>
            <w:shd w:val="clear" w:color="auto" w:fill="auto"/>
            <w:vAlign w:val="center"/>
          </w:tcPr>
          <w:p w14:paraId="69B5AF07" w14:textId="3E64C52B" w:rsidR="007C19A5" w:rsidRPr="00633602" w:rsidRDefault="00217797" w:rsidP="007C19A5">
            <w:pPr>
              <w:pStyle w:val="Tabletext"/>
              <w:keepNext/>
              <w:keepLines/>
              <w:jc w:val="center"/>
              <w:rPr>
                <w:highlight w:val="yellow"/>
              </w:rPr>
            </w:pPr>
            <w:r w:rsidRPr="00217797">
              <w:rPr>
                <w:rFonts w:hint="eastAsia"/>
                <w:color w:val="000000"/>
                <w:w w:val="27"/>
                <w:shd w:val="solid" w:color="000000" w:fill="000000"/>
                <w:fitText w:val="120" w:id="-1502445312"/>
                <w14:textFill>
                  <w14:solidFill>
                    <w14:srgbClr w14:val="000000">
                      <w14:alpha w14:val="100000"/>
                    </w14:srgbClr>
                  </w14:solidFill>
                </w14:textFill>
              </w:rPr>
              <w:t xml:space="preserve">　</w:t>
            </w:r>
            <w:r w:rsidRPr="00217797">
              <w:rPr>
                <w:color w:val="000000"/>
                <w:w w:val="27"/>
                <w:shd w:val="solid" w:color="000000" w:fill="000000"/>
                <w:fitText w:val="120" w:id="-1502445312"/>
                <w14:textFill>
                  <w14:solidFill>
                    <w14:srgbClr w14:val="000000">
                      <w14:alpha w14:val="100000"/>
                    </w14:srgbClr>
                  </w14:solidFill>
                </w14:textFill>
              </w:rPr>
              <w:t>|</w:t>
            </w:r>
            <w:r w:rsidRPr="00217797">
              <w:rPr>
                <w:rFonts w:hint="eastAsia"/>
                <w:color w:val="000000"/>
                <w:spacing w:val="2"/>
                <w:w w:val="27"/>
                <w:shd w:val="solid" w:color="000000" w:fill="000000"/>
                <w:fitText w:val="120" w:id="-1502445312"/>
                <w14:textFill>
                  <w14:solidFill>
                    <w14:srgbClr w14:val="000000">
                      <w14:alpha w14:val="100000"/>
                    </w14:srgbClr>
                  </w14:solidFill>
                </w14:textFill>
              </w:rPr>
              <w:t xml:space="preserve">　</w:t>
            </w:r>
            <w:r w:rsidR="00633602" w:rsidRPr="00633602">
              <w:rPr>
                <w:szCs w:val="20"/>
                <w:vertAlign w:val="superscript"/>
              </w:rPr>
              <w:t>3</w:t>
            </w:r>
          </w:p>
        </w:tc>
        <w:tc>
          <w:tcPr>
            <w:tcW w:w="988" w:type="dxa"/>
            <w:shd w:val="clear" w:color="auto" w:fill="auto"/>
            <w:vAlign w:val="center"/>
          </w:tcPr>
          <w:p w14:paraId="7A089075" w14:textId="47002AA9" w:rsidR="007C19A5" w:rsidRPr="00633602" w:rsidRDefault="00217797" w:rsidP="007C19A5">
            <w:pPr>
              <w:pStyle w:val="Tabletext"/>
              <w:keepNext/>
              <w:keepLines/>
              <w:jc w:val="center"/>
              <w:rPr>
                <w:highlight w:val="yellow"/>
              </w:rPr>
            </w:pPr>
            <w:r w:rsidRPr="00217797">
              <w:rPr>
                <w:rFonts w:hint="eastAsia"/>
                <w:color w:val="000000"/>
                <w:w w:val="23"/>
                <w:shd w:val="solid" w:color="000000" w:fill="000000"/>
                <w:fitText w:val="105" w:id="-1502445311"/>
                <w14:textFill>
                  <w14:solidFill>
                    <w14:srgbClr w14:val="000000">
                      <w14:alpha w14:val="100000"/>
                    </w14:srgbClr>
                  </w14:solidFill>
                </w14:textFill>
              </w:rPr>
              <w:t xml:space="preserve">　</w:t>
            </w:r>
            <w:r w:rsidRPr="00217797">
              <w:rPr>
                <w:color w:val="000000"/>
                <w:w w:val="23"/>
                <w:shd w:val="solid" w:color="000000" w:fill="000000"/>
                <w:fitText w:val="105" w:id="-1502445311"/>
                <w14:textFill>
                  <w14:solidFill>
                    <w14:srgbClr w14:val="000000">
                      <w14:alpha w14:val="100000"/>
                    </w14:srgbClr>
                  </w14:solidFill>
                </w14:textFill>
              </w:rPr>
              <w:t>|</w:t>
            </w:r>
            <w:r w:rsidRPr="00217797">
              <w:rPr>
                <w:rFonts w:hint="eastAsia"/>
                <w:color w:val="000000"/>
                <w:spacing w:val="4"/>
                <w:w w:val="23"/>
                <w:shd w:val="solid" w:color="000000" w:fill="000000"/>
                <w:fitText w:val="105" w:id="-1502445311"/>
                <w14:textFill>
                  <w14:solidFill>
                    <w14:srgbClr w14:val="000000">
                      <w14:alpha w14:val="100000"/>
                    </w14:srgbClr>
                  </w14:solidFill>
                </w14:textFill>
              </w:rPr>
              <w:t xml:space="preserve">　</w:t>
            </w:r>
            <w:r w:rsidR="00633602" w:rsidRPr="00633602">
              <w:rPr>
                <w:szCs w:val="20"/>
                <w:vertAlign w:val="superscript"/>
              </w:rPr>
              <w:t>3</w:t>
            </w:r>
          </w:p>
        </w:tc>
      </w:tr>
      <w:tr w:rsidR="007C19A5" w:rsidRPr="005B43D0" w14:paraId="64F99A65" w14:textId="77777777" w:rsidTr="00217797">
        <w:tc>
          <w:tcPr>
            <w:tcW w:w="3095" w:type="dxa"/>
            <w:shd w:val="clear" w:color="auto" w:fill="auto"/>
            <w:vAlign w:val="center"/>
          </w:tcPr>
          <w:p w14:paraId="7128845F" w14:textId="6E31DF11" w:rsidR="007C19A5" w:rsidRPr="005B43D0" w:rsidRDefault="007C19A5" w:rsidP="007C19A5">
            <w:pPr>
              <w:pStyle w:val="Tabletext"/>
              <w:keepNext/>
              <w:keepLines/>
            </w:pPr>
            <w:r w:rsidRPr="005B43D0">
              <w:t>Net MBS costs</w:t>
            </w:r>
            <w:r w:rsidR="00633602">
              <w:t xml:space="preserve"> ($)</w:t>
            </w:r>
          </w:p>
        </w:tc>
        <w:tc>
          <w:tcPr>
            <w:tcW w:w="986" w:type="dxa"/>
            <w:tcBorders>
              <w:bottom w:val="single" w:sz="4" w:space="0" w:color="auto"/>
            </w:tcBorders>
            <w:shd w:val="clear" w:color="auto" w:fill="auto"/>
            <w:vAlign w:val="center"/>
          </w:tcPr>
          <w:p w14:paraId="3A6B2A92" w14:textId="5E858D78" w:rsidR="007C19A5" w:rsidRPr="00633602" w:rsidRDefault="00217797" w:rsidP="007C19A5">
            <w:pPr>
              <w:pStyle w:val="Tabletext"/>
              <w:keepNext/>
              <w:keepLines/>
              <w:jc w:val="center"/>
              <w:rPr>
                <w:highlight w:val="yellow"/>
              </w:rPr>
            </w:pPr>
            <w:r w:rsidRPr="00217797">
              <w:rPr>
                <w:rFonts w:hint="eastAsia"/>
                <w:color w:val="000000"/>
                <w:w w:val="27"/>
                <w:shd w:val="solid" w:color="000000" w:fill="000000"/>
                <w:fitText w:val="120" w:id="-1502445310"/>
                <w14:textFill>
                  <w14:solidFill>
                    <w14:srgbClr w14:val="000000">
                      <w14:alpha w14:val="100000"/>
                    </w14:srgbClr>
                  </w14:solidFill>
                </w14:textFill>
              </w:rPr>
              <w:t xml:space="preserve">　</w:t>
            </w:r>
            <w:r w:rsidRPr="00217797">
              <w:rPr>
                <w:color w:val="000000"/>
                <w:w w:val="27"/>
                <w:shd w:val="solid" w:color="000000" w:fill="000000"/>
                <w:fitText w:val="120" w:id="-1502445310"/>
                <w14:textFill>
                  <w14:solidFill>
                    <w14:srgbClr w14:val="000000">
                      <w14:alpha w14:val="100000"/>
                    </w14:srgbClr>
                  </w14:solidFill>
                </w14:textFill>
              </w:rPr>
              <w:t>|</w:t>
            </w:r>
            <w:r w:rsidRPr="00217797">
              <w:rPr>
                <w:rFonts w:hint="eastAsia"/>
                <w:color w:val="000000"/>
                <w:spacing w:val="2"/>
                <w:w w:val="27"/>
                <w:shd w:val="solid" w:color="000000" w:fill="000000"/>
                <w:fitText w:val="120" w:id="-1502445310"/>
                <w14:textFill>
                  <w14:solidFill>
                    <w14:srgbClr w14:val="000000">
                      <w14:alpha w14:val="100000"/>
                    </w14:srgbClr>
                  </w14:solidFill>
                </w14:textFill>
              </w:rPr>
              <w:t xml:space="preserve">　</w:t>
            </w:r>
            <w:r w:rsidR="00633602" w:rsidRPr="00633602">
              <w:rPr>
                <w:szCs w:val="20"/>
                <w:vertAlign w:val="superscript"/>
              </w:rPr>
              <w:t>3</w:t>
            </w:r>
          </w:p>
        </w:tc>
        <w:tc>
          <w:tcPr>
            <w:tcW w:w="987" w:type="dxa"/>
            <w:shd w:val="clear" w:color="auto" w:fill="auto"/>
            <w:vAlign w:val="center"/>
          </w:tcPr>
          <w:p w14:paraId="3C4CF8D5" w14:textId="29006414" w:rsidR="007C19A5" w:rsidRPr="00633602" w:rsidRDefault="00217797" w:rsidP="007C19A5">
            <w:pPr>
              <w:pStyle w:val="Tabletext"/>
              <w:keepNext/>
              <w:keepLines/>
              <w:jc w:val="center"/>
              <w:rPr>
                <w:highlight w:val="yellow"/>
              </w:rPr>
            </w:pPr>
            <w:r w:rsidRPr="00217797">
              <w:rPr>
                <w:rFonts w:hint="eastAsia"/>
                <w:color w:val="000000"/>
                <w:w w:val="27"/>
                <w:shd w:val="solid" w:color="000000" w:fill="000000"/>
                <w:fitText w:val="120" w:id="-1502445309"/>
                <w14:textFill>
                  <w14:solidFill>
                    <w14:srgbClr w14:val="000000">
                      <w14:alpha w14:val="100000"/>
                    </w14:srgbClr>
                  </w14:solidFill>
                </w14:textFill>
              </w:rPr>
              <w:t xml:space="preserve">　</w:t>
            </w:r>
            <w:r w:rsidRPr="00217797">
              <w:rPr>
                <w:color w:val="000000"/>
                <w:w w:val="27"/>
                <w:shd w:val="solid" w:color="000000" w:fill="000000"/>
                <w:fitText w:val="120" w:id="-1502445309"/>
                <w14:textFill>
                  <w14:solidFill>
                    <w14:srgbClr w14:val="000000">
                      <w14:alpha w14:val="100000"/>
                    </w14:srgbClr>
                  </w14:solidFill>
                </w14:textFill>
              </w:rPr>
              <w:t>|</w:t>
            </w:r>
            <w:r w:rsidRPr="00217797">
              <w:rPr>
                <w:rFonts w:hint="eastAsia"/>
                <w:color w:val="000000"/>
                <w:spacing w:val="2"/>
                <w:w w:val="27"/>
                <w:shd w:val="solid" w:color="000000" w:fill="000000"/>
                <w:fitText w:val="120" w:id="-1502445309"/>
                <w14:textFill>
                  <w14:solidFill>
                    <w14:srgbClr w14:val="000000">
                      <w14:alpha w14:val="100000"/>
                    </w14:srgbClr>
                  </w14:solidFill>
                </w14:textFill>
              </w:rPr>
              <w:t xml:space="preserve">　</w:t>
            </w:r>
            <w:r w:rsidR="00633602" w:rsidRPr="00633602">
              <w:rPr>
                <w:szCs w:val="20"/>
                <w:vertAlign w:val="superscript"/>
              </w:rPr>
              <w:t>3</w:t>
            </w:r>
          </w:p>
        </w:tc>
        <w:tc>
          <w:tcPr>
            <w:tcW w:w="987" w:type="dxa"/>
            <w:shd w:val="clear" w:color="auto" w:fill="auto"/>
            <w:vAlign w:val="center"/>
          </w:tcPr>
          <w:p w14:paraId="6FF2DC64" w14:textId="5030E1EC" w:rsidR="007C19A5" w:rsidRPr="00633602" w:rsidRDefault="00217797" w:rsidP="007C19A5">
            <w:pPr>
              <w:pStyle w:val="Tabletext"/>
              <w:keepNext/>
              <w:keepLines/>
              <w:jc w:val="center"/>
              <w:rPr>
                <w:highlight w:val="yellow"/>
              </w:rPr>
            </w:pPr>
            <w:r w:rsidRPr="00217797">
              <w:rPr>
                <w:rFonts w:hint="eastAsia"/>
                <w:color w:val="000000"/>
                <w:w w:val="27"/>
                <w:shd w:val="solid" w:color="000000" w:fill="000000"/>
                <w:fitText w:val="120" w:id="-1502445308"/>
                <w14:textFill>
                  <w14:solidFill>
                    <w14:srgbClr w14:val="000000">
                      <w14:alpha w14:val="100000"/>
                    </w14:srgbClr>
                  </w14:solidFill>
                </w14:textFill>
              </w:rPr>
              <w:t xml:space="preserve">　</w:t>
            </w:r>
            <w:r w:rsidRPr="00217797">
              <w:rPr>
                <w:color w:val="000000"/>
                <w:w w:val="27"/>
                <w:shd w:val="solid" w:color="000000" w:fill="000000"/>
                <w:fitText w:val="120" w:id="-1502445308"/>
                <w14:textFill>
                  <w14:solidFill>
                    <w14:srgbClr w14:val="000000">
                      <w14:alpha w14:val="100000"/>
                    </w14:srgbClr>
                  </w14:solidFill>
                </w14:textFill>
              </w:rPr>
              <w:t>|</w:t>
            </w:r>
            <w:r w:rsidRPr="00217797">
              <w:rPr>
                <w:rFonts w:hint="eastAsia"/>
                <w:color w:val="000000"/>
                <w:spacing w:val="2"/>
                <w:w w:val="27"/>
                <w:shd w:val="solid" w:color="000000" w:fill="000000"/>
                <w:fitText w:val="120" w:id="-1502445308"/>
                <w14:textFill>
                  <w14:solidFill>
                    <w14:srgbClr w14:val="000000">
                      <w14:alpha w14:val="100000"/>
                    </w14:srgbClr>
                  </w14:solidFill>
                </w14:textFill>
              </w:rPr>
              <w:t xml:space="preserve">　</w:t>
            </w:r>
            <w:r w:rsidR="00633602" w:rsidRPr="00633602">
              <w:rPr>
                <w:szCs w:val="20"/>
                <w:vertAlign w:val="superscript"/>
              </w:rPr>
              <w:t>3</w:t>
            </w:r>
          </w:p>
        </w:tc>
        <w:tc>
          <w:tcPr>
            <w:tcW w:w="987" w:type="dxa"/>
            <w:shd w:val="clear" w:color="auto" w:fill="auto"/>
            <w:vAlign w:val="center"/>
          </w:tcPr>
          <w:p w14:paraId="52FDE070" w14:textId="7D01FC33" w:rsidR="007C19A5" w:rsidRPr="00633602" w:rsidRDefault="00217797" w:rsidP="007C19A5">
            <w:pPr>
              <w:pStyle w:val="Tabletext"/>
              <w:keepNext/>
              <w:keepLines/>
              <w:jc w:val="center"/>
              <w:rPr>
                <w:highlight w:val="yellow"/>
              </w:rPr>
            </w:pPr>
            <w:r w:rsidRPr="00217797">
              <w:rPr>
                <w:rFonts w:hint="eastAsia"/>
                <w:color w:val="000000"/>
                <w:w w:val="27"/>
                <w:shd w:val="solid" w:color="000000" w:fill="000000"/>
                <w:fitText w:val="120" w:id="-1502445307"/>
                <w14:textFill>
                  <w14:solidFill>
                    <w14:srgbClr w14:val="000000">
                      <w14:alpha w14:val="100000"/>
                    </w14:srgbClr>
                  </w14:solidFill>
                </w14:textFill>
              </w:rPr>
              <w:t xml:space="preserve">　</w:t>
            </w:r>
            <w:r w:rsidRPr="00217797">
              <w:rPr>
                <w:color w:val="000000"/>
                <w:w w:val="27"/>
                <w:shd w:val="solid" w:color="000000" w:fill="000000"/>
                <w:fitText w:val="120" w:id="-1502445307"/>
                <w14:textFill>
                  <w14:solidFill>
                    <w14:srgbClr w14:val="000000">
                      <w14:alpha w14:val="100000"/>
                    </w14:srgbClr>
                  </w14:solidFill>
                </w14:textFill>
              </w:rPr>
              <w:t>|</w:t>
            </w:r>
            <w:r w:rsidRPr="00217797">
              <w:rPr>
                <w:rFonts w:hint="eastAsia"/>
                <w:color w:val="000000"/>
                <w:spacing w:val="2"/>
                <w:w w:val="27"/>
                <w:shd w:val="solid" w:color="000000" w:fill="000000"/>
                <w:fitText w:val="120" w:id="-1502445307"/>
                <w14:textFill>
                  <w14:solidFill>
                    <w14:srgbClr w14:val="000000">
                      <w14:alpha w14:val="100000"/>
                    </w14:srgbClr>
                  </w14:solidFill>
                </w14:textFill>
              </w:rPr>
              <w:t xml:space="preserve">　</w:t>
            </w:r>
            <w:r w:rsidR="00633602" w:rsidRPr="00633602">
              <w:rPr>
                <w:szCs w:val="20"/>
                <w:vertAlign w:val="superscript"/>
              </w:rPr>
              <w:t>3</w:t>
            </w:r>
          </w:p>
        </w:tc>
        <w:tc>
          <w:tcPr>
            <w:tcW w:w="987" w:type="dxa"/>
            <w:shd w:val="clear" w:color="auto" w:fill="auto"/>
            <w:vAlign w:val="center"/>
          </w:tcPr>
          <w:p w14:paraId="7098091E" w14:textId="6E494A82" w:rsidR="007C19A5" w:rsidRPr="00633602" w:rsidRDefault="00217797" w:rsidP="007C19A5">
            <w:pPr>
              <w:pStyle w:val="Tabletext"/>
              <w:keepNext/>
              <w:keepLines/>
              <w:jc w:val="center"/>
              <w:rPr>
                <w:highlight w:val="yellow"/>
              </w:rPr>
            </w:pPr>
            <w:r w:rsidRPr="00217797">
              <w:rPr>
                <w:rFonts w:hint="eastAsia"/>
                <w:color w:val="000000"/>
                <w:w w:val="27"/>
                <w:shd w:val="solid" w:color="000000" w:fill="000000"/>
                <w:fitText w:val="120" w:id="-1502445306"/>
                <w14:textFill>
                  <w14:solidFill>
                    <w14:srgbClr w14:val="000000">
                      <w14:alpha w14:val="100000"/>
                    </w14:srgbClr>
                  </w14:solidFill>
                </w14:textFill>
              </w:rPr>
              <w:t xml:space="preserve">　</w:t>
            </w:r>
            <w:r w:rsidRPr="00217797">
              <w:rPr>
                <w:color w:val="000000"/>
                <w:w w:val="27"/>
                <w:shd w:val="solid" w:color="000000" w:fill="000000"/>
                <w:fitText w:val="120" w:id="-1502445306"/>
                <w14:textFill>
                  <w14:solidFill>
                    <w14:srgbClr w14:val="000000">
                      <w14:alpha w14:val="100000"/>
                    </w14:srgbClr>
                  </w14:solidFill>
                </w14:textFill>
              </w:rPr>
              <w:t>|</w:t>
            </w:r>
            <w:r w:rsidRPr="00217797">
              <w:rPr>
                <w:rFonts w:hint="eastAsia"/>
                <w:color w:val="000000"/>
                <w:spacing w:val="2"/>
                <w:w w:val="27"/>
                <w:shd w:val="solid" w:color="000000" w:fill="000000"/>
                <w:fitText w:val="120" w:id="-1502445306"/>
                <w14:textFill>
                  <w14:solidFill>
                    <w14:srgbClr w14:val="000000">
                      <w14:alpha w14:val="100000"/>
                    </w14:srgbClr>
                  </w14:solidFill>
                </w14:textFill>
              </w:rPr>
              <w:t xml:space="preserve">　</w:t>
            </w:r>
            <w:r w:rsidR="00633602" w:rsidRPr="00633602">
              <w:rPr>
                <w:szCs w:val="20"/>
                <w:vertAlign w:val="superscript"/>
              </w:rPr>
              <w:t>3</w:t>
            </w:r>
          </w:p>
        </w:tc>
        <w:tc>
          <w:tcPr>
            <w:tcW w:w="988" w:type="dxa"/>
            <w:shd w:val="clear" w:color="auto" w:fill="auto"/>
            <w:vAlign w:val="center"/>
          </w:tcPr>
          <w:p w14:paraId="13A2BB56" w14:textId="6C8175E3" w:rsidR="007C19A5" w:rsidRPr="00633602" w:rsidRDefault="00217797" w:rsidP="007C19A5">
            <w:pPr>
              <w:pStyle w:val="Tabletext"/>
              <w:keepNext/>
              <w:keepLines/>
              <w:jc w:val="center"/>
              <w:rPr>
                <w:highlight w:val="yellow"/>
              </w:rPr>
            </w:pPr>
            <w:r w:rsidRPr="00217797">
              <w:rPr>
                <w:rFonts w:hint="eastAsia"/>
                <w:color w:val="000000"/>
                <w:w w:val="23"/>
                <w:shd w:val="solid" w:color="000000" w:fill="000000"/>
                <w:fitText w:val="105" w:id="-1502445305"/>
                <w14:textFill>
                  <w14:solidFill>
                    <w14:srgbClr w14:val="000000">
                      <w14:alpha w14:val="100000"/>
                    </w14:srgbClr>
                  </w14:solidFill>
                </w14:textFill>
              </w:rPr>
              <w:t xml:space="preserve">　</w:t>
            </w:r>
            <w:r w:rsidRPr="00217797">
              <w:rPr>
                <w:color w:val="000000"/>
                <w:w w:val="23"/>
                <w:shd w:val="solid" w:color="000000" w:fill="000000"/>
                <w:fitText w:val="105" w:id="-1502445305"/>
                <w14:textFill>
                  <w14:solidFill>
                    <w14:srgbClr w14:val="000000">
                      <w14:alpha w14:val="100000"/>
                    </w14:srgbClr>
                  </w14:solidFill>
                </w14:textFill>
              </w:rPr>
              <w:t>|</w:t>
            </w:r>
            <w:r w:rsidRPr="00217797">
              <w:rPr>
                <w:rFonts w:hint="eastAsia"/>
                <w:color w:val="000000"/>
                <w:spacing w:val="4"/>
                <w:w w:val="23"/>
                <w:shd w:val="solid" w:color="000000" w:fill="000000"/>
                <w:fitText w:val="105" w:id="-1502445305"/>
                <w14:textFill>
                  <w14:solidFill>
                    <w14:srgbClr w14:val="000000">
                      <w14:alpha w14:val="100000"/>
                    </w14:srgbClr>
                  </w14:solidFill>
                </w14:textFill>
              </w:rPr>
              <w:t xml:space="preserve">　</w:t>
            </w:r>
            <w:r w:rsidR="00633602" w:rsidRPr="00633602">
              <w:rPr>
                <w:szCs w:val="20"/>
                <w:vertAlign w:val="superscript"/>
              </w:rPr>
              <w:t>3</w:t>
            </w:r>
          </w:p>
        </w:tc>
      </w:tr>
      <w:tr w:rsidR="007C19A5" w:rsidRPr="005B43D0" w14:paraId="5D77B120" w14:textId="443824F8" w:rsidTr="00217797">
        <w:tc>
          <w:tcPr>
            <w:tcW w:w="3095" w:type="dxa"/>
            <w:shd w:val="clear" w:color="auto" w:fill="auto"/>
            <w:vAlign w:val="center"/>
          </w:tcPr>
          <w:p w14:paraId="56A511D2" w14:textId="35DED44E" w:rsidR="007C19A5" w:rsidRPr="005B43D0" w:rsidRDefault="007C19A5" w:rsidP="00DB44EC">
            <w:pPr>
              <w:pStyle w:val="Tabletext"/>
              <w:keepNext/>
              <w:keepLines/>
            </w:pPr>
            <w:r w:rsidRPr="005B43D0">
              <w:t>Net cost to PBS/RPBS/MBS</w:t>
            </w:r>
            <w:r w:rsidR="00DB44EC">
              <w:t xml:space="preserve"> submission</w:t>
            </w:r>
            <w:r w:rsidR="00633602">
              <w:t xml:space="preserve"> ($)</w:t>
            </w:r>
          </w:p>
        </w:tc>
        <w:tc>
          <w:tcPr>
            <w:tcW w:w="986" w:type="dxa"/>
            <w:shd w:val="solid" w:color="000000" w:fill="000000"/>
            <w:vAlign w:val="center"/>
          </w:tcPr>
          <w:p w14:paraId="15A98C2B" w14:textId="29A6912F" w:rsidR="007C19A5" w:rsidRPr="00217797" w:rsidRDefault="00217797" w:rsidP="007C19A5">
            <w:pPr>
              <w:pStyle w:val="Tabletext"/>
              <w:keepNext/>
              <w:keepLines/>
              <w:jc w:val="center"/>
            </w:pPr>
            <w:r w:rsidRPr="00217797">
              <w:rPr>
                <w:rFonts w:hint="eastAsia"/>
                <w:color w:val="000000"/>
                <w:w w:val="20"/>
                <w:fitText w:val="90" w:id="-1502445304"/>
                <w14:textFill>
                  <w14:solidFill>
                    <w14:srgbClr w14:val="000000">
                      <w14:alpha w14:val="100000"/>
                    </w14:srgbClr>
                  </w14:solidFill>
                </w14:textFill>
              </w:rPr>
              <w:t xml:space="preserve">　</w:t>
            </w:r>
            <w:r w:rsidRPr="00217797">
              <w:rPr>
                <w:color w:val="000000"/>
                <w:w w:val="20"/>
                <w:fitText w:val="90" w:id="-1502445304"/>
                <w14:textFill>
                  <w14:solidFill>
                    <w14:srgbClr w14:val="000000">
                      <w14:alpha w14:val="100000"/>
                    </w14:srgbClr>
                  </w14:solidFill>
                </w14:textFill>
              </w:rPr>
              <w:t>|</w:t>
            </w:r>
            <w:r w:rsidRPr="00217797">
              <w:rPr>
                <w:rFonts w:hint="eastAsia"/>
                <w:color w:val="000000"/>
                <w:w w:val="20"/>
                <w:fitText w:val="90" w:id="-1502445304"/>
                <w14:textFill>
                  <w14:solidFill>
                    <w14:srgbClr w14:val="000000">
                      <w14:alpha w14:val="100000"/>
                    </w14:srgbClr>
                  </w14:solidFill>
                </w14:textFill>
              </w:rPr>
              <w:t xml:space="preserve">　</w:t>
            </w:r>
          </w:p>
        </w:tc>
        <w:tc>
          <w:tcPr>
            <w:tcW w:w="987" w:type="dxa"/>
            <w:shd w:val="clear" w:color="auto" w:fill="auto"/>
            <w:vAlign w:val="center"/>
          </w:tcPr>
          <w:p w14:paraId="24731029" w14:textId="0547E40D" w:rsidR="007C19A5" w:rsidRPr="00633602" w:rsidRDefault="00217797" w:rsidP="007C19A5">
            <w:pPr>
              <w:pStyle w:val="Tabletext"/>
              <w:keepNext/>
              <w:keepLines/>
              <w:jc w:val="center"/>
              <w:rPr>
                <w:highlight w:val="yellow"/>
              </w:rPr>
            </w:pPr>
            <w:r w:rsidRPr="00217797">
              <w:rPr>
                <w:rFonts w:hint="eastAsia"/>
                <w:color w:val="000000"/>
                <w:w w:val="27"/>
                <w:shd w:val="solid" w:color="000000" w:fill="000000"/>
                <w:fitText w:val="120" w:id="-1502445303"/>
                <w14:textFill>
                  <w14:solidFill>
                    <w14:srgbClr w14:val="000000">
                      <w14:alpha w14:val="100000"/>
                    </w14:srgbClr>
                  </w14:solidFill>
                </w14:textFill>
              </w:rPr>
              <w:t xml:space="preserve">　</w:t>
            </w:r>
            <w:r w:rsidRPr="00217797">
              <w:rPr>
                <w:color w:val="000000"/>
                <w:w w:val="27"/>
                <w:shd w:val="solid" w:color="000000" w:fill="000000"/>
                <w:fitText w:val="120" w:id="-1502445303"/>
                <w14:textFill>
                  <w14:solidFill>
                    <w14:srgbClr w14:val="000000">
                      <w14:alpha w14:val="100000"/>
                    </w14:srgbClr>
                  </w14:solidFill>
                </w14:textFill>
              </w:rPr>
              <w:t>|</w:t>
            </w:r>
            <w:r w:rsidRPr="00217797">
              <w:rPr>
                <w:rFonts w:hint="eastAsia"/>
                <w:color w:val="000000"/>
                <w:spacing w:val="2"/>
                <w:w w:val="27"/>
                <w:shd w:val="solid" w:color="000000" w:fill="000000"/>
                <w:fitText w:val="120" w:id="-1502445303"/>
                <w14:textFill>
                  <w14:solidFill>
                    <w14:srgbClr w14:val="000000">
                      <w14:alpha w14:val="100000"/>
                    </w14:srgbClr>
                  </w14:solidFill>
                </w14:textFill>
              </w:rPr>
              <w:t xml:space="preserve">　</w:t>
            </w:r>
            <w:r w:rsidR="00633602" w:rsidRPr="00633602">
              <w:rPr>
                <w:szCs w:val="20"/>
                <w:vertAlign w:val="superscript"/>
              </w:rPr>
              <w:t>3</w:t>
            </w:r>
          </w:p>
        </w:tc>
        <w:tc>
          <w:tcPr>
            <w:tcW w:w="987" w:type="dxa"/>
            <w:shd w:val="clear" w:color="auto" w:fill="auto"/>
            <w:vAlign w:val="center"/>
          </w:tcPr>
          <w:p w14:paraId="6D3FB3C2" w14:textId="56F32435" w:rsidR="007C19A5" w:rsidRPr="00633602" w:rsidRDefault="00217797" w:rsidP="007C19A5">
            <w:pPr>
              <w:pStyle w:val="Tabletext"/>
              <w:keepNext/>
              <w:keepLines/>
              <w:jc w:val="center"/>
              <w:rPr>
                <w:highlight w:val="yellow"/>
              </w:rPr>
            </w:pPr>
            <w:r w:rsidRPr="00217797">
              <w:rPr>
                <w:rFonts w:hint="eastAsia"/>
                <w:color w:val="000000"/>
                <w:w w:val="27"/>
                <w:shd w:val="solid" w:color="000000" w:fill="000000"/>
                <w:fitText w:val="120" w:id="-1502445302"/>
                <w14:textFill>
                  <w14:solidFill>
                    <w14:srgbClr w14:val="000000">
                      <w14:alpha w14:val="100000"/>
                    </w14:srgbClr>
                  </w14:solidFill>
                </w14:textFill>
              </w:rPr>
              <w:t xml:space="preserve">　</w:t>
            </w:r>
            <w:r w:rsidRPr="00217797">
              <w:rPr>
                <w:color w:val="000000"/>
                <w:w w:val="27"/>
                <w:shd w:val="solid" w:color="000000" w:fill="000000"/>
                <w:fitText w:val="120" w:id="-1502445302"/>
                <w14:textFill>
                  <w14:solidFill>
                    <w14:srgbClr w14:val="000000">
                      <w14:alpha w14:val="100000"/>
                    </w14:srgbClr>
                  </w14:solidFill>
                </w14:textFill>
              </w:rPr>
              <w:t>|</w:t>
            </w:r>
            <w:r w:rsidRPr="00217797">
              <w:rPr>
                <w:rFonts w:hint="eastAsia"/>
                <w:color w:val="000000"/>
                <w:spacing w:val="2"/>
                <w:w w:val="27"/>
                <w:shd w:val="solid" w:color="000000" w:fill="000000"/>
                <w:fitText w:val="120" w:id="-1502445302"/>
                <w14:textFill>
                  <w14:solidFill>
                    <w14:srgbClr w14:val="000000">
                      <w14:alpha w14:val="100000"/>
                    </w14:srgbClr>
                  </w14:solidFill>
                </w14:textFill>
              </w:rPr>
              <w:t xml:space="preserve">　</w:t>
            </w:r>
            <w:r w:rsidR="00633602" w:rsidRPr="00633602">
              <w:rPr>
                <w:szCs w:val="20"/>
                <w:vertAlign w:val="superscript"/>
              </w:rPr>
              <w:t>3</w:t>
            </w:r>
          </w:p>
        </w:tc>
        <w:tc>
          <w:tcPr>
            <w:tcW w:w="987" w:type="dxa"/>
            <w:shd w:val="clear" w:color="auto" w:fill="auto"/>
            <w:vAlign w:val="center"/>
          </w:tcPr>
          <w:p w14:paraId="3FE00287" w14:textId="6E06D81E" w:rsidR="007C19A5" w:rsidRPr="00633602" w:rsidRDefault="00217797" w:rsidP="007C19A5">
            <w:pPr>
              <w:pStyle w:val="Tabletext"/>
              <w:keepNext/>
              <w:keepLines/>
              <w:jc w:val="center"/>
              <w:rPr>
                <w:highlight w:val="yellow"/>
              </w:rPr>
            </w:pPr>
            <w:r w:rsidRPr="00217797">
              <w:rPr>
                <w:rFonts w:hint="eastAsia"/>
                <w:color w:val="000000"/>
                <w:w w:val="27"/>
                <w:shd w:val="solid" w:color="000000" w:fill="000000"/>
                <w:fitText w:val="120" w:id="-1502445301"/>
                <w14:textFill>
                  <w14:solidFill>
                    <w14:srgbClr w14:val="000000">
                      <w14:alpha w14:val="100000"/>
                    </w14:srgbClr>
                  </w14:solidFill>
                </w14:textFill>
              </w:rPr>
              <w:t xml:space="preserve">　</w:t>
            </w:r>
            <w:r w:rsidRPr="00217797">
              <w:rPr>
                <w:color w:val="000000"/>
                <w:w w:val="27"/>
                <w:shd w:val="solid" w:color="000000" w:fill="000000"/>
                <w:fitText w:val="120" w:id="-1502445301"/>
                <w14:textFill>
                  <w14:solidFill>
                    <w14:srgbClr w14:val="000000">
                      <w14:alpha w14:val="100000"/>
                    </w14:srgbClr>
                  </w14:solidFill>
                </w14:textFill>
              </w:rPr>
              <w:t>|</w:t>
            </w:r>
            <w:r w:rsidRPr="00217797">
              <w:rPr>
                <w:rFonts w:hint="eastAsia"/>
                <w:color w:val="000000"/>
                <w:spacing w:val="2"/>
                <w:w w:val="27"/>
                <w:shd w:val="solid" w:color="000000" w:fill="000000"/>
                <w:fitText w:val="120" w:id="-1502445301"/>
                <w14:textFill>
                  <w14:solidFill>
                    <w14:srgbClr w14:val="000000">
                      <w14:alpha w14:val="100000"/>
                    </w14:srgbClr>
                  </w14:solidFill>
                </w14:textFill>
              </w:rPr>
              <w:t xml:space="preserve">　</w:t>
            </w:r>
            <w:r w:rsidR="00633602" w:rsidRPr="00633602">
              <w:rPr>
                <w:szCs w:val="20"/>
                <w:vertAlign w:val="superscript"/>
              </w:rPr>
              <w:t>3</w:t>
            </w:r>
          </w:p>
        </w:tc>
        <w:tc>
          <w:tcPr>
            <w:tcW w:w="987" w:type="dxa"/>
            <w:shd w:val="clear" w:color="auto" w:fill="auto"/>
            <w:vAlign w:val="center"/>
          </w:tcPr>
          <w:p w14:paraId="0FCDC1FF" w14:textId="0A54FC62" w:rsidR="007C19A5" w:rsidRPr="00633602" w:rsidRDefault="00217797" w:rsidP="007C19A5">
            <w:pPr>
              <w:pStyle w:val="Tabletext"/>
              <w:keepNext/>
              <w:keepLines/>
              <w:jc w:val="center"/>
              <w:rPr>
                <w:highlight w:val="yellow"/>
              </w:rPr>
            </w:pPr>
            <w:r w:rsidRPr="00217797">
              <w:rPr>
                <w:rFonts w:hint="eastAsia"/>
                <w:color w:val="000000"/>
                <w:w w:val="27"/>
                <w:shd w:val="solid" w:color="000000" w:fill="000000"/>
                <w:fitText w:val="120" w:id="-1502445300"/>
                <w14:textFill>
                  <w14:solidFill>
                    <w14:srgbClr w14:val="000000">
                      <w14:alpha w14:val="100000"/>
                    </w14:srgbClr>
                  </w14:solidFill>
                </w14:textFill>
              </w:rPr>
              <w:t xml:space="preserve">　</w:t>
            </w:r>
            <w:r w:rsidRPr="00217797">
              <w:rPr>
                <w:color w:val="000000"/>
                <w:w w:val="27"/>
                <w:shd w:val="solid" w:color="000000" w:fill="000000"/>
                <w:fitText w:val="120" w:id="-1502445300"/>
                <w14:textFill>
                  <w14:solidFill>
                    <w14:srgbClr w14:val="000000">
                      <w14:alpha w14:val="100000"/>
                    </w14:srgbClr>
                  </w14:solidFill>
                </w14:textFill>
              </w:rPr>
              <w:t>|</w:t>
            </w:r>
            <w:r w:rsidRPr="00217797">
              <w:rPr>
                <w:rFonts w:hint="eastAsia"/>
                <w:color w:val="000000"/>
                <w:spacing w:val="2"/>
                <w:w w:val="27"/>
                <w:shd w:val="solid" w:color="000000" w:fill="000000"/>
                <w:fitText w:val="120" w:id="-1502445300"/>
                <w14:textFill>
                  <w14:solidFill>
                    <w14:srgbClr w14:val="000000">
                      <w14:alpha w14:val="100000"/>
                    </w14:srgbClr>
                  </w14:solidFill>
                </w14:textFill>
              </w:rPr>
              <w:t xml:space="preserve">　</w:t>
            </w:r>
            <w:r w:rsidR="00633602">
              <w:rPr>
                <w:szCs w:val="20"/>
                <w:vertAlign w:val="superscript"/>
              </w:rPr>
              <w:t>4</w:t>
            </w:r>
          </w:p>
        </w:tc>
        <w:tc>
          <w:tcPr>
            <w:tcW w:w="988" w:type="dxa"/>
            <w:shd w:val="clear" w:color="auto" w:fill="auto"/>
            <w:vAlign w:val="center"/>
          </w:tcPr>
          <w:p w14:paraId="63981C04" w14:textId="449EF5F5" w:rsidR="007C19A5" w:rsidRPr="00633602" w:rsidRDefault="00217797" w:rsidP="007C19A5">
            <w:pPr>
              <w:pStyle w:val="Tabletext"/>
              <w:keepNext/>
              <w:keepLines/>
              <w:jc w:val="center"/>
              <w:rPr>
                <w:highlight w:val="yellow"/>
              </w:rPr>
            </w:pPr>
            <w:r w:rsidRPr="00217797">
              <w:rPr>
                <w:rFonts w:hint="eastAsia"/>
                <w:color w:val="000000"/>
                <w:w w:val="23"/>
                <w:shd w:val="solid" w:color="000000" w:fill="000000"/>
                <w:fitText w:val="105" w:id="-1502445299"/>
                <w14:textFill>
                  <w14:solidFill>
                    <w14:srgbClr w14:val="000000">
                      <w14:alpha w14:val="100000"/>
                    </w14:srgbClr>
                  </w14:solidFill>
                </w14:textFill>
              </w:rPr>
              <w:t xml:space="preserve">　</w:t>
            </w:r>
            <w:r w:rsidRPr="00217797">
              <w:rPr>
                <w:color w:val="000000"/>
                <w:w w:val="23"/>
                <w:shd w:val="solid" w:color="000000" w:fill="000000"/>
                <w:fitText w:val="105" w:id="-1502445299"/>
                <w14:textFill>
                  <w14:solidFill>
                    <w14:srgbClr w14:val="000000">
                      <w14:alpha w14:val="100000"/>
                    </w14:srgbClr>
                  </w14:solidFill>
                </w14:textFill>
              </w:rPr>
              <w:t>|</w:t>
            </w:r>
            <w:r w:rsidRPr="00217797">
              <w:rPr>
                <w:rFonts w:hint="eastAsia"/>
                <w:color w:val="000000"/>
                <w:spacing w:val="4"/>
                <w:w w:val="23"/>
                <w:shd w:val="solid" w:color="000000" w:fill="000000"/>
                <w:fitText w:val="105" w:id="-1502445299"/>
                <w14:textFill>
                  <w14:solidFill>
                    <w14:srgbClr w14:val="000000">
                      <w14:alpha w14:val="100000"/>
                    </w14:srgbClr>
                  </w14:solidFill>
                </w14:textFill>
              </w:rPr>
              <w:t xml:space="preserve">　</w:t>
            </w:r>
            <w:r w:rsidR="00633602">
              <w:rPr>
                <w:szCs w:val="20"/>
                <w:vertAlign w:val="superscript"/>
              </w:rPr>
              <w:t>4</w:t>
            </w:r>
          </w:p>
        </w:tc>
      </w:tr>
      <w:tr w:rsidR="004625F2" w:rsidRPr="004625F2" w14:paraId="21C40AF3" w14:textId="77777777" w:rsidTr="004625F2">
        <w:tc>
          <w:tcPr>
            <w:tcW w:w="3095" w:type="dxa"/>
            <w:shd w:val="clear" w:color="auto" w:fill="auto"/>
            <w:vAlign w:val="center"/>
          </w:tcPr>
          <w:p w14:paraId="49DA5639" w14:textId="143E65BA" w:rsidR="004625F2" w:rsidRPr="004625F2" w:rsidRDefault="004625F2" w:rsidP="00C23A97">
            <w:pPr>
              <w:keepNext/>
              <w:keepLines/>
              <w:jc w:val="left"/>
              <w:rPr>
                <w:rFonts w:ascii="Arial Narrow" w:hAnsi="Arial Narrow" w:cs="Times New Roman"/>
                <w:snapToGrid/>
                <w:sz w:val="20"/>
                <w:vertAlign w:val="superscript"/>
              </w:rPr>
            </w:pPr>
            <w:r w:rsidRPr="004625F2">
              <w:rPr>
                <w:rFonts w:ascii="Arial Narrow" w:hAnsi="Arial Narrow" w:cs="Times New Roman"/>
                <w:snapToGrid/>
                <w:sz w:val="20"/>
              </w:rPr>
              <w:t>Net cost to PBS/RPBS/</w:t>
            </w:r>
            <w:proofErr w:type="spellStart"/>
            <w:r w:rsidRPr="004625F2">
              <w:rPr>
                <w:rFonts w:ascii="Arial Narrow" w:hAnsi="Arial Narrow" w:cs="Times New Roman"/>
                <w:snapToGrid/>
                <w:sz w:val="20"/>
              </w:rPr>
              <w:t>MBS</w:t>
            </w:r>
            <w:r w:rsidRPr="004625F2">
              <w:rPr>
                <w:rFonts w:ascii="Arial Narrow" w:hAnsi="Arial Narrow" w:cs="Times New Roman"/>
                <w:snapToGrid/>
                <w:sz w:val="20"/>
                <w:vertAlign w:val="superscript"/>
              </w:rPr>
              <w:t>d</w:t>
            </w:r>
            <w:proofErr w:type="spellEnd"/>
            <w:r w:rsidR="00DB44EC">
              <w:rPr>
                <w:rFonts w:ascii="Arial Narrow" w:hAnsi="Arial Narrow" w:cs="Times New Roman"/>
                <w:snapToGrid/>
                <w:sz w:val="20"/>
                <w:vertAlign w:val="superscript"/>
              </w:rPr>
              <w:t xml:space="preserve"> </w:t>
            </w:r>
            <w:r w:rsidR="00DB44EC">
              <w:rPr>
                <w:rFonts w:ascii="Arial Narrow" w:hAnsi="Arial Narrow" w:cs="Times New Roman"/>
                <w:snapToGrid/>
                <w:sz w:val="20"/>
              </w:rPr>
              <w:t>– PSCR</w:t>
            </w:r>
            <w:r w:rsidR="00633602">
              <w:rPr>
                <w:rFonts w:ascii="Arial Narrow" w:hAnsi="Arial Narrow" w:cs="Times New Roman"/>
                <w:snapToGrid/>
                <w:sz w:val="20"/>
              </w:rPr>
              <w:t xml:space="preserve"> </w:t>
            </w:r>
            <w:r w:rsidR="00633602" w:rsidRPr="00633602">
              <w:rPr>
                <w:rFonts w:ascii="Arial Narrow" w:hAnsi="Arial Narrow" w:cs="Times New Roman"/>
                <w:snapToGrid/>
                <w:sz w:val="20"/>
              </w:rPr>
              <w:t>($)</w:t>
            </w:r>
          </w:p>
        </w:tc>
        <w:tc>
          <w:tcPr>
            <w:tcW w:w="986" w:type="dxa"/>
            <w:shd w:val="clear" w:color="auto" w:fill="auto"/>
            <w:vAlign w:val="center"/>
          </w:tcPr>
          <w:p w14:paraId="582AA3D2" w14:textId="7BF0E06E" w:rsidR="004625F2" w:rsidRPr="00633602" w:rsidRDefault="00217797" w:rsidP="00C23A97">
            <w:pPr>
              <w:keepNext/>
              <w:keepLines/>
              <w:jc w:val="center"/>
              <w:rPr>
                <w:rFonts w:ascii="Arial Narrow" w:hAnsi="Arial Narrow" w:cs="Times New Roman"/>
                <w:snapToGrid/>
                <w:sz w:val="20"/>
                <w:highlight w:val="yellow"/>
              </w:rPr>
            </w:pPr>
            <w:r w:rsidRPr="00217797">
              <w:rPr>
                <w:rFonts w:ascii="Arial Narrow" w:hAnsi="Arial Narrow" w:hint="eastAsia"/>
                <w:color w:val="000000"/>
                <w:w w:val="27"/>
                <w:sz w:val="20"/>
                <w:szCs w:val="20"/>
                <w:shd w:val="solid" w:color="000000" w:fill="000000"/>
                <w:fitText w:val="120" w:id="-1502445298"/>
                <w14:textFill>
                  <w14:solidFill>
                    <w14:srgbClr w14:val="000000">
                      <w14:alpha w14:val="100000"/>
                    </w14:srgbClr>
                  </w14:solidFill>
                </w14:textFill>
              </w:rPr>
              <w:t xml:space="preserve">　</w:t>
            </w:r>
            <w:r w:rsidRPr="00217797">
              <w:rPr>
                <w:rFonts w:ascii="Arial Narrow" w:hAnsi="Arial Narrow"/>
                <w:color w:val="000000"/>
                <w:w w:val="27"/>
                <w:sz w:val="20"/>
                <w:szCs w:val="20"/>
                <w:shd w:val="solid" w:color="000000" w:fill="000000"/>
                <w:fitText w:val="120" w:id="-1502445298"/>
                <w14:textFill>
                  <w14:solidFill>
                    <w14:srgbClr w14:val="000000">
                      <w14:alpha w14:val="100000"/>
                    </w14:srgbClr>
                  </w14:solidFill>
                </w14:textFill>
              </w:rPr>
              <w:t>|</w:t>
            </w:r>
            <w:r w:rsidRPr="00217797">
              <w:rPr>
                <w:rFonts w:ascii="Arial Narrow" w:hAnsi="Arial Narrow" w:hint="eastAsia"/>
                <w:color w:val="000000"/>
                <w:spacing w:val="2"/>
                <w:w w:val="27"/>
                <w:sz w:val="20"/>
                <w:szCs w:val="20"/>
                <w:shd w:val="solid" w:color="000000" w:fill="000000"/>
                <w:fitText w:val="120" w:id="-1502445298"/>
                <w14:textFill>
                  <w14:solidFill>
                    <w14:srgbClr w14:val="000000">
                      <w14:alpha w14:val="100000"/>
                    </w14:srgbClr>
                  </w14:solidFill>
                </w14:textFill>
              </w:rPr>
              <w:t xml:space="preserve">　</w:t>
            </w:r>
            <w:r w:rsidR="00633602" w:rsidRPr="00633602">
              <w:rPr>
                <w:rFonts w:ascii="Arial Narrow" w:hAnsi="Arial Narrow"/>
                <w:sz w:val="20"/>
                <w:szCs w:val="20"/>
                <w:vertAlign w:val="superscript"/>
              </w:rPr>
              <w:t>3</w:t>
            </w:r>
          </w:p>
        </w:tc>
        <w:tc>
          <w:tcPr>
            <w:tcW w:w="987" w:type="dxa"/>
            <w:shd w:val="clear" w:color="auto" w:fill="auto"/>
            <w:vAlign w:val="center"/>
          </w:tcPr>
          <w:p w14:paraId="76DB8454" w14:textId="638C07EC" w:rsidR="004625F2" w:rsidRPr="00633602" w:rsidRDefault="00217797" w:rsidP="00C23A97">
            <w:pPr>
              <w:keepNext/>
              <w:keepLines/>
              <w:jc w:val="center"/>
              <w:rPr>
                <w:rFonts w:ascii="Arial Narrow" w:hAnsi="Arial Narrow" w:cs="Times New Roman"/>
                <w:snapToGrid/>
                <w:sz w:val="20"/>
                <w:highlight w:val="yellow"/>
              </w:rPr>
            </w:pPr>
            <w:r w:rsidRPr="00217797">
              <w:rPr>
                <w:rFonts w:ascii="Arial Narrow" w:hAnsi="Arial Narrow" w:hint="eastAsia"/>
                <w:color w:val="000000"/>
                <w:w w:val="27"/>
                <w:sz w:val="20"/>
                <w:szCs w:val="20"/>
                <w:shd w:val="solid" w:color="000000" w:fill="000000"/>
                <w:fitText w:val="120" w:id="-1502445297"/>
                <w14:textFill>
                  <w14:solidFill>
                    <w14:srgbClr w14:val="000000">
                      <w14:alpha w14:val="100000"/>
                    </w14:srgbClr>
                  </w14:solidFill>
                </w14:textFill>
              </w:rPr>
              <w:t xml:space="preserve">　</w:t>
            </w:r>
            <w:r w:rsidRPr="00217797">
              <w:rPr>
                <w:rFonts w:ascii="Arial Narrow" w:hAnsi="Arial Narrow"/>
                <w:color w:val="000000"/>
                <w:w w:val="27"/>
                <w:sz w:val="20"/>
                <w:szCs w:val="20"/>
                <w:shd w:val="solid" w:color="000000" w:fill="000000"/>
                <w:fitText w:val="120" w:id="-1502445297"/>
                <w14:textFill>
                  <w14:solidFill>
                    <w14:srgbClr w14:val="000000">
                      <w14:alpha w14:val="100000"/>
                    </w14:srgbClr>
                  </w14:solidFill>
                </w14:textFill>
              </w:rPr>
              <w:t>|</w:t>
            </w:r>
            <w:r w:rsidRPr="00217797">
              <w:rPr>
                <w:rFonts w:ascii="Arial Narrow" w:hAnsi="Arial Narrow" w:hint="eastAsia"/>
                <w:color w:val="000000"/>
                <w:spacing w:val="2"/>
                <w:w w:val="27"/>
                <w:sz w:val="20"/>
                <w:szCs w:val="20"/>
                <w:shd w:val="solid" w:color="000000" w:fill="000000"/>
                <w:fitText w:val="120" w:id="-1502445297"/>
                <w14:textFill>
                  <w14:solidFill>
                    <w14:srgbClr w14:val="000000">
                      <w14:alpha w14:val="100000"/>
                    </w14:srgbClr>
                  </w14:solidFill>
                </w14:textFill>
              </w:rPr>
              <w:t xml:space="preserve">　</w:t>
            </w:r>
            <w:r w:rsidR="00633602" w:rsidRPr="00633602">
              <w:rPr>
                <w:rFonts w:ascii="Arial Narrow" w:hAnsi="Arial Narrow"/>
                <w:sz w:val="20"/>
                <w:szCs w:val="20"/>
                <w:vertAlign w:val="superscript"/>
              </w:rPr>
              <w:t>3</w:t>
            </w:r>
          </w:p>
        </w:tc>
        <w:tc>
          <w:tcPr>
            <w:tcW w:w="987" w:type="dxa"/>
            <w:shd w:val="clear" w:color="auto" w:fill="auto"/>
            <w:vAlign w:val="center"/>
          </w:tcPr>
          <w:p w14:paraId="5E7090EF" w14:textId="77F204C8" w:rsidR="004625F2" w:rsidRPr="00633602" w:rsidRDefault="00217797" w:rsidP="00C23A97">
            <w:pPr>
              <w:keepNext/>
              <w:keepLines/>
              <w:jc w:val="center"/>
              <w:rPr>
                <w:rFonts w:ascii="Arial Narrow" w:hAnsi="Arial Narrow" w:cs="Times New Roman"/>
                <w:snapToGrid/>
                <w:sz w:val="20"/>
                <w:highlight w:val="yellow"/>
              </w:rPr>
            </w:pPr>
            <w:r w:rsidRPr="00217797">
              <w:rPr>
                <w:rFonts w:ascii="Arial Narrow" w:hAnsi="Arial Narrow" w:hint="eastAsia"/>
                <w:color w:val="000000"/>
                <w:w w:val="27"/>
                <w:sz w:val="20"/>
                <w:szCs w:val="20"/>
                <w:shd w:val="solid" w:color="000000" w:fill="000000"/>
                <w:fitText w:val="120" w:id="-1502445296"/>
                <w14:textFill>
                  <w14:solidFill>
                    <w14:srgbClr w14:val="000000">
                      <w14:alpha w14:val="100000"/>
                    </w14:srgbClr>
                  </w14:solidFill>
                </w14:textFill>
              </w:rPr>
              <w:t xml:space="preserve">　</w:t>
            </w:r>
            <w:r w:rsidRPr="00217797">
              <w:rPr>
                <w:rFonts w:ascii="Arial Narrow" w:hAnsi="Arial Narrow"/>
                <w:color w:val="000000"/>
                <w:w w:val="27"/>
                <w:sz w:val="20"/>
                <w:szCs w:val="20"/>
                <w:shd w:val="solid" w:color="000000" w:fill="000000"/>
                <w:fitText w:val="120" w:id="-1502445296"/>
                <w14:textFill>
                  <w14:solidFill>
                    <w14:srgbClr w14:val="000000">
                      <w14:alpha w14:val="100000"/>
                    </w14:srgbClr>
                  </w14:solidFill>
                </w14:textFill>
              </w:rPr>
              <w:t>|</w:t>
            </w:r>
            <w:r w:rsidRPr="00217797">
              <w:rPr>
                <w:rFonts w:ascii="Arial Narrow" w:hAnsi="Arial Narrow" w:hint="eastAsia"/>
                <w:color w:val="000000"/>
                <w:spacing w:val="2"/>
                <w:w w:val="27"/>
                <w:sz w:val="20"/>
                <w:szCs w:val="20"/>
                <w:shd w:val="solid" w:color="000000" w:fill="000000"/>
                <w:fitText w:val="120" w:id="-1502445296"/>
                <w14:textFill>
                  <w14:solidFill>
                    <w14:srgbClr w14:val="000000">
                      <w14:alpha w14:val="100000"/>
                    </w14:srgbClr>
                  </w14:solidFill>
                </w14:textFill>
              </w:rPr>
              <w:t xml:space="preserve">　</w:t>
            </w:r>
            <w:r w:rsidR="00633602" w:rsidRPr="00633602">
              <w:rPr>
                <w:rFonts w:ascii="Arial Narrow" w:hAnsi="Arial Narrow"/>
                <w:sz w:val="20"/>
                <w:szCs w:val="20"/>
                <w:vertAlign w:val="superscript"/>
              </w:rPr>
              <w:t>3</w:t>
            </w:r>
          </w:p>
        </w:tc>
        <w:tc>
          <w:tcPr>
            <w:tcW w:w="987" w:type="dxa"/>
            <w:shd w:val="clear" w:color="auto" w:fill="auto"/>
            <w:vAlign w:val="center"/>
          </w:tcPr>
          <w:p w14:paraId="1F751BEF" w14:textId="06DB4410" w:rsidR="004625F2" w:rsidRPr="00633602" w:rsidRDefault="00217797" w:rsidP="00C23A97">
            <w:pPr>
              <w:keepNext/>
              <w:keepLines/>
              <w:jc w:val="center"/>
              <w:rPr>
                <w:rFonts w:ascii="Arial Narrow" w:hAnsi="Arial Narrow" w:cs="Times New Roman"/>
                <w:snapToGrid/>
                <w:sz w:val="20"/>
                <w:highlight w:val="yellow"/>
              </w:rPr>
            </w:pPr>
            <w:r w:rsidRPr="00217797">
              <w:rPr>
                <w:rFonts w:ascii="Arial Narrow" w:hAnsi="Arial Narrow" w:hint="eastAsia"/>
                <w:color w:val="000000"/>
                <w:w w:val="27"/>
                <w:sz w:val="20"/>
                <w:szCs w:val="20"/>
                <w:shd w:val="solid" w:color="000000" w:fill="000000"/>
                <w:fitText w:val="120" w:id="-1502445312"/>
                <w14:textFill>
                  <w14:solidFill>
                    <w14:srgbClr w14:val="000000">
                      <w14:alpha w14:val="100000"/>
                    </w14:srgbClr>
                  </w14:solidFill>
                </w14:textFill>
              </w:rPr>
              <w:t xml:space="preserve">　</w:t>
            </w:r>
            <w:r w:rsidRPr="00217797">
              <w:rPr>
                <w:rFonts w:ascii="Arial Narrow" w:hAnsi="Arial Narrow"/>
                <w:color w:val="000000"/>
                <w:w w:val="27"/>
                <w:sz w:val="20"/>
                <w:szCs w:val="20"/>
                <w:shd w:val="solid" w:color="000000" w:fill="000000"/>
                <w:fitText w:val="120" w:id="-1502445312"/>
                <w14:textFill>
                  <w14:solidFill>
                    <w14:srgbClr w14:val="000000">
                      <w14:alpha w14:val="100000"/>
                    </w14:srgbClr>
                  </w14:solidFill>
                </w14:textFill>
              </w:rPr>
              <w:t>|</w:t>
            </w:r>
            <w:r w:rsidRPr="00217797">
              <w:rPr>
                <w:rFonts w:ascii="Arial Narrow" w:hAnsi="Arial Narrow" w:hint="eastAsia"/>
                <w:color w:val="000000"/>
                <w:spacing w:val="2"/>
                <w:w w:val="27"/>
                <w:sz w:val="20"/>
                <w:szCs w:val="20"/>
                <w:shd w:val="solid" w:color="000000" w:fill="000000"/>
                <w:fitText w:val="120" w:id="-1502445312"/>
                <w14:textFill>
                  <w14:solidFill>
                    <w14:srgbClr w14:val="000000">
                      <w14:alpha w14:val="100000"/>
                    </w14:srgbClr>
                  </w14:solidFill>
                </w14:textFill>
              </w:rPr>
              <w:t xml:space="preserve">　</w:t>
            </w:r>
            <w:r w:rsidR="00633602" w:rsidRPr="00633602">
              <w:rPr>
                <w:rFonts w:ascii="Arial Narrow" w:hAnsi="Arial Narrow"/>
                <w:sz w:val="20"/>
                <w:szCs w:val="20"/>
                <w:vertAlign w:val="superscript"/>
              </w:rPr>
              <w:t>3</w:t>
            </w:r>
          </w:p>
        </w:tc>
        <w:tc>
          <w:tcPr>
            <w:tcW w:w="987" w:type="dxa"/>
            <w:shd w:val="clear" w:color="auto" w:fill="auto"/>
            <w:vAlign w:val="center"/>
          </w:tcPr>
          <w:p w14:paraId="6ABD6402" w14:textId="627DBAF8" w:rsidR="004625F2" w:rsidRPr="00633602" w:rsidRDefault="00217797" w:rsidP="00C23A97">
            <w:pPr>
              <w:keepNext/>
              <w:keepLines/>
              <w:jc w:val="center"/>
              <w:rPr>
                <w:rFonts w:ascii="Arial Narrow" w:hAnsi="Arial Narrow" w:cs="Times New Roman"/>
                <w:snapToGrid/>
                <w:sz w:val="20"/>
                <w:highlight w:val="yellow"/>
              </w:rPr>
            </w:pPr>
            <w:r w:rsidRPr="00217797">
              <w:rPr>
                <w:rFonts w:ascii="Arial Narrow" w:hAnsi="Arial Narrow" w:hint="eastAsia"/>
                <w:color w:val="000000"/>
                <w:w w:val="27"/>
                <w:sz w:val="20"/>
                <w:szCs w:val="20"/>
                <w:shd w:val="solid" w:color="000000" w:fill="000000"/>
                <w:fitText w:val="120" w:id="-1502445311"/>
                <w14:textFill>
                  <w14:solidFill>
                    <w14:srgbClr w14:val="000000">
                      <w14:alpha w14:val="100000"/>
                    </w14:srgbClr>
                  </w14:solidFill>
                </w14:textFill>
              </w:rPr>
              <w:t xml:space="preserve">　</w:t>
            </w:r>
            <w:r w:rsidRPr="00217797">
              <w:rPr>
                <w:rFonts w:ascii="Arial Narrow" w:hAnsi="Arial Narrow"/>
                <w:color w:val="000000"/>
                <w:w w:val="27"/>
                <w:sz w:val="20"/>
                <w:szCs w:val="20"/>
                <w:shd w:val="solid" w:color="000000" w:fill="000000"/>
                <w:fitText w:val="120" w:id="-1502445311"/>
                <w14:textFill>
                  <w14:solidFill>
                    <w14:srgbClr w14:val="000000">
                      <w14:alpha w14:val="100000"/>
                    </w14:srgbClr>
                  </w14:solidFill>
                </w14:textFill>
              </w:rPr>
              <w:t>|</w:t>
            </w:r>
            <w:r w:rsidRPr="00217797">
              <w:rPr>
                <w:rFonts w:ascii="Arial Narrow" w:hAnsi="Arial Narrow" w:hint="eastAsia"/>
                <w:color w:val="000000"/>
                <w:spacing w:val="2"/>
                <w:w w:val="27"/>
                <w:sz w:val="20"/>
                <w:szCs w:val="20"/>
                <w:shd w:val="solid" w:color="000000" w:fill="000000"/>
                <w:fitText w:val="120" w:id="-1502445311"/>
                <w14:textFill>
                  <w14:solidFill>
                    <w14:srgbClr w14:val="000000">
                      <w14:alpha w14:val="100000"/>
                    </w14:srgbClr>
                  </w14:solidFill>
                </w14:textFill>
              </w:rPr>
              <w:t xml:space="preserve">　</w:t>
            </w:r>
            <w:r w:rsidR="00633602" w:rsidRPr="00633602">
              <w:rPr>
                <w:rFonts w:ascii="Arial Narrow" w:hAnsi="Arial Narrow"/>
                <w:sz w:val="20"/>
                <w:szCs w:val="20"/>
                <w:vertAlign w:val="superscript"/>
              </w:rPr>
              <w:t>3</w:t>
            </w:r>
          </w:p>
        </w:tc>
        <w:tc>
          <w:tcPr>
            <w:tcW w:w="988" w:type="dxa"/>
            <w:shd w:val="clear" w:color="auto" w:fill="auto"/>
            <w:vAlign w:val="center"/>
          </w:tcPr>
          <w:p w14:paraId="7EB285CD" w14:textId="745068A0" w:rsidR="004625F2" w:rsidRPr="00633602" w:rsidRDefault="00217797" w:rsidP="00C23A97">
            <w:pPr>
              <w:keepNext/>
              <w:keepLines/>
              <w:jc w:val="center"/>
              <w:rPr>
                <w:rFonts w:ascii="Arial Narrow" w:hAnsi="Arial Narrow" w:cs="Times New Roman"/>
                <w:snapToGrid/>
                <w:sz w:val="20"/>
                <w:highlight w:val="yellow"/>
              </w:rPr>
            </w:pPr>
            <w:r w:rsidRPr="00217797">
              <w:rPr>
                <w:rFonts w:ascii="Arial Narrow" w:hAnsi="Arial Narrow" w:hint="eastAsia"/>
                <w:color w:val="000000"/>
                <w:w w:val="23"/>
                <w:sz w:val="20"/>
                <w:szCs w:val="20"/>
                <w:shd w:val="solid" w:color="000000" w:fill="000000"/>
                <w:fitText w:val="105" w:id="-1502445310"/>
                <w14:textFill>
                  <w14:solidFill>
                    <w14:srgbClr w14:val="000000">
                      <w14:alpha w14:val="100000"/>
                    </w14:srgbClr>
                  </w14:solidFill>
                </w14:textFill>
              </w:rPr>
              <w:t xml:space="preserve">　</w:t>
            </w:r>
            <w:r w:rsidRPr="00217797">
              <w:rPr>
                <w:rFonts w:ascii="Arial Narrow" w:hAnsi="Arial Narrow"/>
                <w:color w:val="000000"/>
                <w:w w:val="23"/>
                <w:sz w:val="20"/>
                <w:szCs w:val="20"/>
                <w:shd w:val="solid" w:color="000000" w:fill="000000"/>
                <w:fitText w:val="105" w:id="-1502445310"/>
                <w14:textFill>
                  <w14:solidFill>
                    <w14:srgbClr w14:val="000000">
                      <w14:alpha w14:val="100000"/>
                    </w14:srgbClr>
                  </w14:solidFill>
                </w14:textFill>
              </w:rPr>
              <w:t>|</w:t>
            </w:r>
            <w:r w:rsidRPr="00217797">
              <w:rPr>
                <w:rFonts w:ascii="Arial Narrow" w:hAnsi="Arial Narrow" w:hint="eastAsia"/>
                <w:color w:val="000000"/>
                <w:spacing w:val="4"/>
                <w:w w:val="23"/>
                <w:sz w:val="20"/>
                <w:szCs w:val="20"/>
                <w:shd w:val="solid" w:color="000000" w:fill="000000"/>
                <w:fitText w:val="105" w:id="-1502445310"/>
                <w14:textFill>
                  <w14:solidFill>
                    <w14:srgbClr w14:val="000000">
                      <w14:alpha w14:val="100000"/>
                    </w14:srgbClr>
                  </w14:solidFill>
                </w14:textFill>
              </w:rPr>
              <w:t xml:space="preserve">　</w:t>
            </w:r>
            <w:r w:rsidR="00633602" w:rsidRPr="00633602">
              <w:rPr>
                <w:rFonts w:ascii="Arial Narrow" w:hAnsi="Arial Narrow"/>
                <w:sz w:val="20"/>
                <w:szCs w:val="20"/>
                <w:vertAlign w:val="superscript"/>
              </w:rPr>
              <w:t>3</w:t>
            </w:r>
          </w:p>
        </w:tc>
      </w:tr>
      <w:tr w:rsidR="007C19A5" w:rsidRPr="005B43D0" w14:paraId="32E851A2" w14:textId="77777777" w:rsidTr="00395D5E">
        <w:tc>
          <w:tcPr>
            <w:tcW w:w="3095" w:type="dxa"/>
            <w:shd w:val="clear" w:color="auto" w:fill="auto"/>
            <w:vAlign w:val="center"/>
          </w:tcPr>
          <w:p w14:paraId="46985250" w14:textId="4F6E6F0E" w:rsidR="007C19A5" w:rsidRPr="005B43D0" w:rsidRDefault="007C19A5" w:rsidP="00DB44EC">
            <w:pPr>
              <w:pStyle w:val="Tabletext"/>
              <w:keepNext/>
              <w:keepLines/>
            </w:pPr>
            <w:r w:rsidRPr="005B43D0">
              <w:t>Net cost to PBS/RPBS/</w:t>
            </w:r>
            <w:proofErr w:type="spellStart"/>
            <w:r w:rsidRPr="005B43D0">
              <w:t>MBS</w:t>
            </w:r>
            <w:r>
              <w:rPr>
                <w:vertAlign w:val="superscript"/>
              </w:rPr>
              <w:t>e</w:t>
            </w:r>
            <w:proofErr w:type="spellEnd"/>
            <w:r w:rsidR="00DB44EC">
              <w:rPr>
                <w:vertAlign w:val="superscript"/>
              </w:rPr>
              <w:t xml:space="preserve"> </w:t>
            </w:r>
            <w:r w:rsidR="00DB44EC">
              <w:t>pre-PBAC response</w:t>
            </w:r>
            <w:r w:rsidR="00633602">
              <w:t xml:space="preserve"> ($)</w:t>
            </w:r>
          </w:p>
        </w:tc>
        <w:tc>
          <w:tcPr>
            <w:tcW w:w="986" w:type="dxa"/>
            <w:shd w:val="clear" w:color="auto" w:fill="auto"/>
            <w:vAlign w:val="center"/>
          </w:tcPr>
          <w:p w14:paraId="5C9AB1C2" w14:textId="371618C0" w:rsidR="007C19A5" w:rsidRPr="00633602" w:rsidRDefault="00217797" w:rsidP="007C19A5">
            <w:pPr>
              <w:pStyle w:val="Tabletext"/>
              <w:keepNext/>
              <w:keepLines/>
              <w:jc w:val="center"/>
              <w:rPr>
                <w:highlight w:val="yellow"/>
              </w:rPr>
            </w:pPr>
            <w:r w:rsidRPr="00217797">
              <w:rPr>
                <w:rFonts w:hint="eastAsia"/>
                <w:color w:val="000000"/>
                <w:w w:val="27"/>
                <w:shd w:val="solid" w:color="000000" w:fill="000000"/>
                <w:fitText w:val="120" w:id="-1502445309"/>
                <w14:textFill>
                  <w14:solidFill>
                    <w14:srgbClr w14:val="000000">
                      <w14:alpha w14:val="100000"/>
                    </w14:srgbClr>
                  </w14:solidFill>
                </w14:textFill>
              </w:rPr>
              <w:t xml:space="preserve">　</w:t>
            </w:r>
            <w:r w:rsidRPr="00217797">
              <w:rPr>
                <w:color w:val="000000"/>
                <w:w w:val="27"/>
                <w:shd w:val="solid" w:color="000000" w:fill="000000"/>
                <w:fitText w:val="120" w:id="-1502445309"/>
                <w14:textFill>
                  <w14:solidFill>
                    <w14:srgbClr w14:val="000000">
                      <w14:alpha w14:val="100000"/>
                    </w14:srgbClr>
                  </w14:solidFill>
                </w14:textFill>
              </w:rPr>
              <w:t>|</w:t>
            </w:r>
            <w:r w:rsidRPr="00217797">
              <w:rPr>
                <w:rFonts w:hint="eastAsia"/>
                <w:color w:val="000000"/>
                <w:spacing w:val="2"/>
                <w:w w:val="27"/>
                <w:shd w:val="solid" w:color="000000" w:fill="000000"/>
                <w:fitText w:val="120" w:id="-1502445309"/>
                <w14:textFill>
                  <w14:solidFill>
                    <w14:srgbClr w14:val="000000">
                      <w14:alpha w14:val="100000"/>
                    </w14:srgbClr>
                  </w14:solidFill>
                </w14:textFill>
              </w:rPr>
              <w:t xml:space="preserve">　</w:t>
            </w:r>
            <w:r w:rsidR="00633602" w:rsidRPr="00633602">
              <w:rPr>
                <w:szCs w:val="20"/>
                <w:vertAlign w:val="superscript"/>
              </w:rPr>
              <w:t>3</w:t>
            </w:r>
          </w:p>
        </w:tc>
        <w:tc>
          <w:tcPr>
            <w:tcW w:w="987" w:type="dxa"/>
            <w:shd w:val="clear" w:color="auto" w:fill="auto"/>
            <w:vAlign w:val="center"/>
          </w:tcPr>
          <w:p w14:paraId="35A2527E" w14:textId="2253D419" w:rsidR="007C19A5" w:rsidRPr="00633602" w:rsidRDefault="00217797" w:rsidP="007C19A5">
            <w:pPr>
              <w:pStyle w:val="Tabletext"/>
              <w:keepNext/>
              <w:keepLines/>
              <w:jc w:val="center"/>
              <w:rPr>
                <w:highlight w:val="yellow"/>
              </w:rPr>
            </w:pPr>
            <w:r w:rsidRPr="00217797">
              <w:rPr>
                <w:rFonts w:hint="eastAsia"/>
                <w:color w:val="000000"/>
                <w:w w:val="27"/>
                <w:shd w:val="solid" w:color="000000" w:fill="000000"/>
                <w:fitText w:val="120" w:id="-1502445308"/>
                <w14:textFill>
                  <w14:solidFill>
                    <w14:srgbClr w14:val="000000">
                      <w14:alpha w14:val="100000"/>
                    </w14:srgbClr>
                  </w14:solidFill>
                </w14:textFill>
              </w:rPr>
              <w:t xml:space="preserve">　</w:t>
            </w:r>
            <w:r w:rsidRPr="00217797">
              <w:rPr>
                <w:color w:val="000000"/>
                <w:w w:val="27"/>
                <w:shd w:val="solid" w:color="000000" w:fill="000000"/>
                <w:fitText w:val="120" w:id="-1502445308"/>
                <w14:textFill>
                  <w14:solidFill>
                    <w14:srgbClr w14:val="000000">
                      <w14:alpha w14:val="100000"/>
                    </w14:srgbClr>
                  </w14:solidFill>
                </w14:textFill>
              </w:rPr>
              <w:t>|</w:t>
            </w:r>
            <w:r w:rsidRPr="00217797">
              <w:rPr>
                <w:rFonts w:hint="eastAsia"/>
                <w:color w:val="000000"/>
                <w:spacing w:val="2"/>
                <w:w w:val="27"/>
                <w:shd w:val="solid" w:color="000000" w:fill="000000"/>
                <w:fitText w:val="120" w:id="-1502445308"/>
                <w14:textFill>
                  <w14:solidFill>
                    <w14:srgbClr w14:val="000000">
                      <w14:alpha w14:val="100000"/>
                    </w14:srgbClr>
                  </w14:solidFill>
                </w14:textFill>
              </w:rPr>
              <w:t xml:space="preserve">　</w:t>
            </w:r>
            <w:r w:rsidR="00633602" w:rsidRPr="00633602">
              <w:rPr>
                <w:szCs w:val="20"/>
                <w:vertAlign w:val="superscript"/>
              </w:rPr>
              <w:t>3</w:t>
            </w:r>
          </w:p>
        </w:tc>
        <w:tc>
          <w:tcPr>
            <w:tcW w:w="987" w:type="dxa"/>
            <w:shd w:val="clear" w:color="auto" w:fill="auto"/>
            <w:vAlign w:val="center"/>
          </w:tcPr>
          <w:p w14:paraId="2F437EA5" w14:textId="1575397C" w:rsidR="007C19A5" w:rsidRPr="00633602" w:rsidRDefault="00217797" w:rsidP="007C19A5">
            <w:pPr>
              <w:pStyle w:val="Tabletext"/>
              <w:keepNext/>
              <w:keepLines/>
              <w:jc w:val="center"/>
              <w:rPr>
                <w:highlight w:val="yellow"/>
              </w:rPr>
            </w:pPr>
            <w:r w:rsidRPr="00217797">
              <w:rPr>
                <w:rFonts w:hint="eastAsia"/>
                <w:color w:val="000000"/>
                <w:w w:val="27"/>
                <w:shd w:val="solid" w:color="000000" w:fill="000000"/>
                <w:fitText w:val="120" w:id="-1502445307"/>
                <w14:textFill>
                  <w14:solidFill>
                    <w14:srgbClr w14:val="000000">
                      <w14:alpha w14:val="100000"/>
                    </w14:srgbClr>
                  </w14:solidFill>
                </w14:textFill>
              </w:rPr>
              <w:t xml:space="preserve">　</w:t>
            </w:r>
            <w:r w:rsidRPr="00217797">
              <w:rPr>
                <w:color w:val="000000"/>
                <w:w w:val="27"/>
                <w:shd w:val="solid" w:color="000000" w:fill="000000"/>
                <w:fitText w:val="120" w:id="-1502445307"/>
                <w14:textFill>
                  <w14:solidFill>
                    <w14:srgbClr w14:val="000000">
                      <w14:alpha w14:val="100000"/>
                    </w14:srgbClr>
                  </w14:solidFill>
                </w14:textFill>
              </w:rPr>
              <w:t>|</w:t>
            </w:r>
            <w:r w:rsidRPr="00217797">
              <w:rPr>
                <w:rFonts w:hint="eastAsia"/>
                <w:color w:val="000000"/>
                <w:spacing w:val="2"/>
                <w:w w:val="27"/>
                <w:shd w:val="solid" w:color="000000" w:fill="000000"/>
                <w:fitText w:val="120" w:id="-1502445307"/>
                <w14:textFill>
                  <w14:solidFill>
                    <w14:srgbClr w14:val="000000">
                      <w14:alpha w14:val="100000"/>
                    </w14:srgbClr>
                  </w14:solidFill>
                </w14:textFill>
              </w:rPr>
              <w:t xml:space="preserve">　</w:t>
            </w:r>
            <w:r w:rsidR="00633602" w:rsidRPr="00633602">
              <w:rPr>
                <w:szCs w:val="20"/>
                <w:vertAlign w:val="superscript"/>
              </w:rPr>
              <w:t>3</w:t>
            </w:r>
          </w:p>
        </w:tc>
        <w:tc>
          <w:tcPr>
            <w:tcW w:w="987" w:type="dxa"/>
            <w:shd w:val="clear" w:color="auto" w:fill="auto"/>
            <w:vAlign w:val="center"/>
          </w:tcPr>
          <w:p w14:paraId="4B5E55BC" w14:textId="0CB93542" w:rsidR="007C19A5" w:rsidRPr="00633602" w:rsidRDefault="00217797" w:rsidP="007C19A5">
            <w:pPr>
              <w:pStyle w:val="Tabletext"/>
              <w:keepNext/>
              <w:keepLines/>
              <w:jc w:val="center"/>
              <w:rPr>
                <w:highlight w:val="yellow"/>
              </w:rPr>
            </w:pPr>
            <w:r w:rsidRPr="00217797">
              <w:rPr>
                <w:rFonts w:hint="eastAsia"/>
                <w:color w:val="000000"/>
                <w:w w:val="27"/>
                <w:shd w:val="solid" w:color="000000" w:fill="000000"/>
                <w:fitText w:val="120" w:id="-1502445306"/>
                <w14:textFill>
                  <w14:solidFill>
                    <w14:srgbClr w14:val="000000">
                      <w14:alpha w14:val="100000"/>
                    </w14:srgbClr>
                  </w14:solidFill>
                </w14:textFill>
              </w:rPr>
              <w:t xml:space="preserve">　</w:t>
            </w:r>
            <w:r w:rsidRPr="00217797">
              <w:rPr>
                <w:color w:val="000000"/>
                <w:w w:val="27"/>
                <w:shd w:val="solid" w:color="000000" w:fill="000000"/>
                <w:fitText w:val="120" w:id="-1502445306"/>
                <w14:textFill>
                  <w14:solidFill>
                    <w14:srgbClr w14:val="000000">
                      <w14:alpha w14:val="100000"/>
                    </w14:srgbClr>
                  </w14:solidFill>
                </w14:textFill>
              </w:rPr>
              <w:t>|</w:t>
            </w:r>
            <w:r w:rsidRPr="00217797">
              <w:rPr>
                <w:rFonts w:hint="eastAsia"/>
                <w:color w:val="000000"/>
                <w:spacing w:val="2"/>
                <w:w w:val="27"/>
                <w:shd w:val="solid" w:color="000000" w:fill="000000"/>
                <w:fitText w:val="120" w:id="-1502445306"/>
                <w14:textFill>
                  <w14:solidFill>
                    <w14:srgbClr w14:val="000000">
                      <w14:alpha w14:val="100000"/>
                    </w14:srgbClr>
                  </w14:solidFill>
                </w14:textFill>
              </w:rPr>
              <w:t xml:space="preserve">　</w:t>
            </w:r>
            <w:r w:rsidR="00633602" w:rsidRPr="00633602">
              <w:rPr>
                <w:szCs w:val="20"/>
                <w:vertAlign w:val="superscript"/>
              </w:rPr>
              <w:t>3</w:t>
            </w:r>
          </w:p>
        </w:tc>
        <w:tc>
          <w:tcPr>
            <w:tcW w:w="987" w:type="dxa"/>
            <w:shd w:val="clear" w:color="auto" w:fill="auto"/>
            <w:vAlign w:val="center"/>
          </w:tcPr>
          <w:p w14:paraId="7D0BE64F" w14:textId="64687CB9" w:rsidR="007C19A5" w:rsidRPr="00633602" w:rsidRDefault="00217797" w:rsidP="007C19A5">
            <w:pPr>
              <w:pStyle w:val="Tabletext"/>
              <w:keepNext/>
              <w:keepLines/>
              <w:jc w:val="center"/>
              <w:rPr>
                <w:highlight w:val="yellow"/>
              </w:rPr>
            </w:pPr>
            <w:r w:rsidRPr="00217797">
              <w:rPr>
                <w:rFonts w:hint="eastAsia"/>
                <w:color w:val="000000"/>
                <w:w w:val="27"/>
                <w:shd w:val="solid" w:color="000000" w:fill="000000"/>
                <w:fitText w:val="120" w:id="-1502445305"/>
                <w14:textFill>
                  <w14:solidFill>
                    <w14:srgbClr w14:val="000000">
                      <w14:alpha w14:val="100000"/>
                    </w14:srgbClr>
                  </w14:solidFill>
                </w14:textFill>
              </w:rPr>
              <w:t xml:space="preserve">　</w:t>
            </w:r>
            <w:r w:rsidRPr="00217797">
              <w:rPr>
                <w:color w:val="000000"/>
                <w:w w:val="27"/>
                <w:shd w:val="solid" w:color="000000" w:fill="000000"/>
                <w:fitText w:val="120" w:id="-1502445305"/>
                <w14:textFill>
                  <w14:solidFill>
                    <w14:srgbClr w14:val="000000">
                      <w14:alpha w14:val="100000"/>
                    </w14:srgbClr>
                  </w14:solidFill>
                </w14:textFill>
              </w:rPr>
              <w:t>|</w:t>
            </w:r>
            <w:r w:rsidRPr="00217797">
              <w:rPr>
                <w:rFonts w:hint="eastAsia"/>
                <w:color w:val="000000"/>
                <w:spacing w:val="2"/>
                <w:w w:val="27"/>
                <w:shd w:val="solid" w:color="000000" w:fill="000000"/>
                <w:fitText w:val="120" w:id="-1502445305"/>
                <w14:textFill>
                  <w14:solidFill>
                    <w14:srgbClr w14:val="000000">
                      <w14:alpha w14:val="100000"/>
                    </w14:srgbClr>
                  </w14:solidFill>
                </w14:textFill>
              </w:rPr>
              <w:t xml:space="preserve">　</w:t>
            </w:r>
            <w:r w:rsidR="00633602" w:rsidRPr="00633602">
              <w:rPr>
                <w:szCs w:val="20"/>
                <w:vertAlign w:val="superscript"/>
              </w:rPr>
              <w:t>3</w:t>
            </w:r>
          </w:p>
        </w:tc>
        <w:tc>
          <w:tcPr>
            <w:tcW w:w="988" w:type="dxa"/>
            <w:shd w:val="clear" w:color="auto" w:fill="auto"/>
            <w:vAlign w:val="center"/>
          </w:tcPr>
          <w:p w14:paraId="4C8F5CCF" w14:textId="4F8A5B0B" w:rsidR="007C19A5" w:rsidRPr="00633602" w:rsidRDefault="00217797" w:rsidP="007C19A5">
            <w:pPr>
              <w:pStyle w:val="Tabletext"/>
              <w:keepNext/>
              <w:keepLines/>
              <w:jc w:val="center"/>
              <w:rPr>
                <w:highlight w:val="yellow"/>
              </w:rPr>
            </w:pPr>
            <w:r w:rsidRPr="00217797">
              <w:rPr>
                <w:rFonts w:hint="eastAsia"/>
                <w:color w:val="000000"/>
                <w:w w:val="23"/>
                <w:shd w:val="solid" w:color="000000" w:fill="000000"/>
                <w:fitText w:val="105" w:id="-1502445304"/>
                <w14:textFill>
                  <w14:solidFill>
                    <w14:srgbClr w14:val="000000">
                      <w14:alpha w14:val="100000"/>
                    </w14:srgbClr>
                  </w14:solidFill>
                </w14:textFill>
              </w:rPr>
              <w:t xml:space="preserve">　</w:t>
            </w:r>
            <w:r w:rsidRPr="00217797">
              <w:rPr>
                <w:color w:val="000000"/>
                <w:w w:val="23"/>
                <w:shd w:val="solid" w:color="000000" w:fill="000000"/>
                <w:fitText w:val="105" w:id="-1502445304"/>
                <w14:textFill>
                  <w14:solidFill>
                    <w14:srgbClr w14:val="000000">
                      <w14:alpha w14:val="100000"/>
                    </w14:srgbClr>
                  </w14:solidFill>
                </w14:textFill>
              </w:rPr>
              <w:t>|</w:t>
            </w:r>
            <w:r w:rsidRPr="00217797">
              <w:rPr>
                <w:rFonts w:hint="eastAsia"/>
                <w:color w:val="000000"/>
                <w:spacing w:val="4"/>
                <w:w w:val="23"/>
                <w:shd w:val="solid" w:color="000000" w:fill="000000"/>
                <w:fitText w:val="105" w:id="-1502445304"/>
                <w14:textFill>
                  <w14:solidFill>
                    <w14:srgbClr w14:val="000000">
                      <w14:alpha w14:val="100000"/>
                    </w14:srgbClr>
                  </w14:solidFill>
                </w14:textFill>
              </w:rPr>
              <w:t xml:space="preserve">　</w:t>
            </w:r>
            <w:r w:rsidR="00633602" w:rsidRPr="00633602">
              <w:rPr>
                <w:szCs w:val="20"/>
                <w:vertAlign w:val="superscript"/>
              </w:rPr>
              <w:t>3</w:t>
            </w:r>
          </w:p>
        </w:tc>
      </w:tr>
    </w:tbl>
    <w:p w14:paraId="53D2F323" w14:textId="77777777" w:rsidR="00C4440A" w:rsidRPr="00FF79DB" w:rsidRDefault="00C4440A" w:rsidP="00C4440A">
      <w:pPr>
        <w:pStyle w:val="TableFooter"/>
        <w:keepNext/>
        <w:keepLines/>
      </w:pPr>
      <w:r w:rsidRPr="00FF79DB">
        <w:t xml:space="preserve">Source: Tables 123,125,127,128,131-134,137,140,141,143,144,146,148,149, pp 217,219, 221-223, 225, 228-233 of the submission. </w:t>
      </w:r>
    </w:p>
    <w:p w14:paraId="5EC66FBD" w14:textId="77777777" w:rsidR="00C4440A" w:rsidRPr="00FF79DB" w:rsidRDefault="00C4440A" w:rsidP="00C4440A">
      <w:pPr>
        <w:pStyle w:val="TableFooter"/>
        <w:keepNext/>
        <w:keepLines/>
      </w:pPr>
      <w:r w:rsidRPr="00FF79DB">
        <w:t>DPMA =</w:t>
      </w:r>
      <w:r>
        <w:t xml:space="preserve"> dispensed price maximum amount</w:t>
      </w:r>
      <w:r w:rsidRPr="00FF79DB">
        <w:t xml:space="preserve">; </w:t>
      </w:r>
      <w:proofErr w:type="gramStart"/>
      <w:r w:rsidRPr="00FF79DB">
        <w:t>eff</w:t>
      </w:r>
      <w:proofErr w:type="gramEnd"/>
      <w:r w:rsidRPr="00FF79DB">
        <w:t xml:space="preserve"> = effective; MBS = Medicare Benefits Scheme; PBS = Pharmaceutical Benefits Scheme;</w:t>
      </w:r>
      <w:r>
        <w:t xml:space="preserve"> </w:t>
      </w:r>
      <w:r w:rsidRPr="00FF79DB">
        <w:t>pub = published; RPBS = Repatriation Pharmaceutical Benefits Scheme.</w:t>
      </w:r>
    </w:p>
    <w:p w14:paraId="7DB98052" w14:textId="6DDA025A" w:rsidR="00C4440A" w:rsidRPr="00FF79DB" w:rsidRDefault="00C4440A" w:rsidP="00C4440A">
      <w:pPr>
        <w:pStyle w:val="TableFooter"/>
        <w:keepNext/>
        <w:keepLines/>
      </w:pPr>
      <w:r w:rsidRPr="00633602">
        <w:rPr>
          <w:vertAlign w:val="superscript"/>
        </w:rPr>
        <w:t>a</w:t>
      </w:r>
      <w:r w:rsidRPr="00FF79DB">
        <w:t xml:space="preserve"> number of patients × </w:t>
      </w:r>
      <w:proofErr w:type="gramStart"/>
      <w:r w:rsidR="00217797" w:rsidRPr="00217797">
        <w:rPr>
          <w:color w:val="000000"/>
          <w:spacing w:val="35"/>
          <w:shd w:val="solid" w:color="000000" w:fill="000000"/>
          <w:fitText w:val="265" w:id="-1502445056"/>
          <w14:textFill>
            <w14:solidFill>
              <w14:srgbClr w14:val="000000">
                <w14:alpha w14:val="100000"/>
              </w14:srgbClr>
            </w14:solidFill>
          </w14:textFill>
        </w:rPr>
        <w:t xml:space="preserve">|  </w:t>
      </w:r>
      <w:r w:rsidR="00217797" w:rsidRPr="00217797">
        <w:rPr>
          <w:color w:val="000000"/>
          <w:spacing w:val="2"/>
          <w:shd w:val="solid" w:color="000000" w:fill="000000"/>
          <w:fitText w:val="265" w:id="-1502445056"/>
          <w14:textFill>
            <w14:solidFill>
              <w14:srgbClr w14:val="000000">
                <w14:alpha w14:val="100000"/>
              </w14:srgbClr>
            </w14:solidFill>
          </w14:textFill>
        </w:rPr>
        <w:t>|</w:t>
      </w:r>
      <w:proofErr w:type="gramEnd"/>
      <w:r w:rsidRPr="00FF79DB">
        <w:t xml:space="preserve"> scripts for each initiation</w:t>
      </w:r>
    </w:p>
    <w:p w14:paraId="507CC1C0" w14:textId="3165C50A" w:rsidR="00C4440A" w:rsidRPr="00FF79DB" w:rsidRDefault="00C4440A" w:rsidP="00C4440A">
      <w:pPr>
        <w:pStyle w:val="TableFooter"/>
        <w:keepNext/>
        <w:keepLines/>
      </w:pPr>
      <w:r w:rsidRPr="00633602">
        <w:rPr>
          <w:vertAlign w:val="superscript"/>
        </w:rPr>
        <w:t>b</w:t>
      </w:r>
      <w:r w:rsidRPr="00FF79DB">
        <w:t xml:space="preserve"> number of patients × </w:t>
      </w:r>
      <w:proofErr w:type="gramStart"/>
      <w:r w:rsidR="00217797" w:rsidRPr="00217797">
        <w:rPr>
          <w:color w:val="000000"/>
          <w:spacing w:val="35"/>
          <w:shd w:val="solid" w:color="000000" w:fill="000000"/>
          <w:fitText w:val="265" w:id="-1502445055"/>
          <w14:textFill>
            <w14:solidFill>
              <w14:srgbClr w14:val="000000">
                <w14:alpha w14:val="100000"/>
              </w14:srgbClr>
            </w14:solidFill>
          </w14:textFill>
        </w:rPr>
        <w:t xml:space="preserve">|  </w:t>
      </w:r>
      <w:r w:rsidR="00217797" w:rsidRPr="00217797">
        <w:rPr>
          <w:color w:val="000000"/>
          <w:spacing w:val="2"/>
          <w:shd w:val="solid" w:color="000000" w:fill="000000"/>
          <w:fitText w:val="265" w:id="-1502445055"/>
          <w14:textFill>
            <w14:solidFill>
              <w14:srgbClr w14:val="000000">
                <w14:alpha w14:val="100000"/>
              </w14:srgbClr>
            </w14:solidFill>
          </w14:textFill>
        </w:rPr>
        <w:t>|</w:t>
      </w:r>
      <w:proofErr w:type="gramEnd"/>
      <w:r w:rsidRPr="00FF79DB">
        <w:t xml:space="preserve"> scripts (based on 50.97 weeks minus 12 weeks divided by 6 weekly doses)</w:t>
      </w:r>
    </w:p>
    <w:p w14:paraId="5D21B53F" w14:textId="56B53387" w:rsidR="00C4440A" w:rsidRDefault="00C4440A" w:rsidP="00C4440A">
      <w:pPr>
        <w:pStyle w:val="TableFooter"/>
        <w:keepNext/>
        <w:keepLines/>
      </w:pPr>
      <w:r w:rsidRPr="00633602">
        <w:rPr>
          <w:vertAlign w:val="superscript"/>
        </w:rPr>
        <w:t>c</w:t>
      </w:r>
      <w:r w:rsidRPr="00FF79DB">
        <w:t xml:space="preserve"> </w:t>
      </w:r>
      <w:proofErr w:type="gramStart"/>
      <w:r w:rsidRPr="00FF79DB">
        <w:t>An</w:t>
      </w:r>
      <w:proofErr w:type="gramEnd"/>
      <w:r w:rsidRPr="00FF79DB">
        <w:t xml:space="preserve"> error was identified during the evaluation where co-payment was calculated by the submission by dividing by the number of maximum scripts. This was incorrect given under the efficient funding of chemotherapy, patients only make one co-payment per original script, and slightly underestimated the costs offsets of chemotherapy. Values were rectified during the evaluation.</w:t>
      </w:r>
    </w:p>
    <w:p w14:paraId="4B07FCD8" w14:textId="191D743B" w:rsidR="00395D5E" w:rsidRDefault="00395D5E" w:rsidP="00395D5E">
      <w:pPr>
        <w:rPr>
          <w:rFonts w:ascii="Arial Narrow" w:hAnsi="Arial Narrow"/>
          <w:sz w:val="18"/>
          <w:szCs w:val="18"/>
        </w:rPr>
      </w:pPr>
      <w:r w:rsidRPr="00633602">
        <w:rPr>
          <w:rFonts w:ascii="Arial Narrow" w:hAnsi="Arial Narrow"/>
          <w:sz w:val="18"/>
          <w:szCs w:val="18"/>
          <w:vertAlign w:val="superscript"/>
        </w:rPr>
        <w:t>d</w:t>
      </w:r>
      <w:r w:rsidRPr="003827A5">
        <w:rPr>
          <w:rFonts w:ascii="Arial Narrow" w:hAnsi="Arial Narrow"/>
          <w:sz w:val="18"/>
          <w:szCs w:val="18"/>
        </w:rPr>
        <w:t xml:space="preserve"> Updated in the Pre-Sub-Committee Response (Excel file ‘</w:t>
      </w:r>
      <w:proofErr w:type="spellStart"/>
      <w:r w:rsidRPr="003827A5">
        <w:rPr>
          <w:rFonts w:ascii="Arial Narrow" w:hAnsi="Arial Narrow"/>
          <w:sz w:val="18"/>
          <w:szCs w:val="18"/>
        </w:rPr>
        <w:t>Jemperli</w:t>
      </w:r>
      <w:proofErr w:type="spellEnd"/>
      <w:r w:rsidRPr="003827A5">
        <w:rPr>
          <w:rFonts w:ascii="Arial Narrow" w:hAnsi="Arial Narrow"/>
          <w:sz w:val="18"/>
          <w:szCs w:val="18"/>
        </w:rPr>
        <w:t xml:space="preserve"> (</w:t>
      </w:r>
      <w:proofErr w:type="spellStart"/>
      <w:r w:rsidRPr="003827A5">
        <w:rPr>
          <w:rFonts w:ascii="Arial Narrow" w:hAnsi="Arial Narrow"/>
          <w:sz w:val="18"/>
          <w:szCs w:val="18"/>
        </w:rPr>
        <w:t>dostarlimab</w:t>
      </w:r>
      <w:proofErr w:type="spellEnd"/>
      <w:r w:rsidRPr="003827A5">
        <w:rPr>
          <w:rFonts w:ascii="Arial Narrow" w:hAnsi="Arial Narrow"/>
          <w:sz w:val="18"/>
          <w:szCs w:val="18"/>
        </w:rPr>
        <w:t xml:space="preserve">) 2L </w:t>
      </w:r>
      <w:proofErr w:type="spellStart"/>
      <w:r w:rsidRPr="003827A5">
        <w:rPr>
          <w:rFonts w:ascii="Arial Narrow" w:hAnsi="Arial Narrow"/>
          <w:sz w:val="18"/>
          <w:szCs w:val="18"/>
        </w:rPr>
        <w:t>dMMR</w:t>
      </w:r>
      <w:proofErr w:type="spellEnd"/>
      <w:r w:rsidRPr="003827A5">
        <w:rPr>
          <w:rFonts w:ascii="Arial Narrow" w:hAnsi="Arial Narrow"/>
          <w:sz w:val="18"/>
          <w:szCs w:val="18"/>
        </w:rPr>
        <w:t xml:space="preserve"> EC BIM_PSCR.xlsx’</w:t>
      </w:r>
      <w:r w:rsidR="007C19A5">
        <w:rPr>
          <w:rFonts w:ascii="Arial Narrow" w:hAnsi="Arial Narrow"/>
          <w:sz w:val="18"/>
          <w:szCs w:val="18"/>
        </w:rPr>
        <w:t>)</w:t>
      </w:r>
    </w:p>
    <w:p w14:paraId="0C3CEE76" w14:textId="1A00C47E" w:rsidR="007C19A5" w:rsidRDefault="00395D5E" w:rsidP="007C19A5">
      <w:pPr>
        <w:rPr>
          <w:rFonts w:ascii="Arial Narrow" w:hAnsi="Arial Narrow"/>
          <w:sz w:val="18"/>
          <w:szCs w:val="18"/>
        </w:rPr>
      </w:pPr>
      <w:r w:rsidRPr="00633602">
        <w:rPr>
          <w:rFonts w:ascii="Arial Narrow" w:hAnsi="Arial Narrow"/>
          <w:sz w:val="18"/>
          <w:szCs w:val="18"/>
          <w:vertAlign w:val="superscript"/>
        </w:rPr>
        <w:t>e</w:t>
      </w:r>
      <w:r>
        <w:rPr>
          <w:rFonts w:ascii="Arial Narrow" w:hAnsi="Arial Narrow"/>
          <w:sz w:val="18"/>
          <w:szCs w:val="18"/>
        </w:rPr>
        <w:t xml:space="preserve"> Updated in the pre-PBAC response</w:t>
      </w:r>
      <w:r w:rsidR="007C19A5">
        <w:rPr>
          <w:rFonts w:ascii="Arial Narrow" w:hAnsi="Arial Narrow"/>
          <w:sz w:val="18"/>
          <w:szCs w:val="18"/>
        </w:rPr>
        <w:t xml:space="preserve"> </w:t>
      </w:r>
      <w:r w:rsidR="007C19A5" w:rsidRPr="003827A5">
        <w:rPr>
          <w:rFonts w:ascii="Arial Narrow" w:hAnsi="Arial Narrow"/>
          <w:sz w:val="18"/>
          <w:szCs w:val="18"/>
        </w:rPr>
        <w:t>(Excel file ‘</w:t>
      </w:r>
      <w:proofErr w:type="spellStart"/>
      <w:r w:rsidR="007C19A5" w:rsidRPr="003827A5">
        <w:rPr>
          <w:rFonts w:ascii="Arial Narrow" w:hAnsi="Arial Narrow"/>
          <w:sz w:val="18"/>
          <w:szCs w:val="18"/>
        </w:rPr>
        <w:t>Jemperli</w:t>
      </w:r>
      <w:proofErr w:type="spellEnd"/>
      <w:r w:rsidR="007C19A5" w:rsidRPr="003827A5">
        <w:rPr>
          <w:rFonts w:ascii="Arial Narrow" w:hAnsi="Arial Narrow"/>
          <w:sz w:val="18"/>
          <w:szCs w:val="18"/>
        </w:rPr>
        <w:t xml:space="preserve"> (</w:t>
      </w:r>
      <w:proofErr w:type="spellStart"/>
      <w:r w:rsidR="007C19A5" w:rsidRPr="003827A5">
        <w:rPr>
          <w:rFonts w:ascii="Arial Narrow" w:hAnsi="Arial Narrow"/>
          <w:sz w:val="18"/>
          <w:szCs w:val="18"/>
        </w:rPr>
        <w:t>dostarlimab</w:t>
      </w:r>
      <w:proofErr w:type="spellEnd"/>
      <w:r w:rsidR="007C19A5" w:rsidRPr="003827A5">
        <w:rPr>
          <w:rFonts w:ascii="Arial Narrow" w:hAnsi="Arial Narrow"/>
          <w:sz w:val="18"/>
          <w:szCs w:val="18"/>
        </w:rPr>
        <w:t xml:space="preserve">) 2L </w:t>
      </w:r>
      <w:proofErr w:type="spellStart"/>
      <w:r w:rsidR="007C19A5" w:rsidRPr="003827A5">
        <w:rPr>
          <w:rFonts w:ascii="Arial Narrow" w:hAnsi="Arial Narrow"/>
          <w:sz w:val="18"/>
          <w:szCs w:val="18"/>
        </w:rPr>
        <w:t>dMMR</w:t>
      </w:r>
      <w:proofErr w:type="spellEnd"/>
      <w:r w:rsidR="007C19A5" w:rsidRPr="003827A5">
        <w:rPr>
          <w:rFonts w:ascii="Arial Narrow" w:hAnsi="Arial Narrow"/>
          <w:sz w:val="18"/>
          <w:szCs w:val="18"/>
        </w:rPr>
        <w:t xml:space="preserve"> EC BIM_</w:t>
      </w:r>
      <w:r w:rsidR="007C19A5">
        <w:rPr>
          <w:rFonts w:ascii="Arial Narrow" w:hAnsi="Arial Narrow"/>
          <w:sz w:val="18"/>
          <w:szCs w:val="18"/>
        </w:rPr>
        <w:t>Pre-PBAC.</w:t>
      </w:r>
      <w:r w:rsidR="007C19A5" w:rsidRPr="003827A5">
        <w:rPr>
          <w:rFonts w:ascii="Arial Narrow" w:hAnsi="Arial Narrow"/>
          <w:sz w:val="18"/>
          <w:szCs w:val="18"/>
        </w:rPr>
        <w:t>xlsx’</w:t>
      </w:r>
      <w:r w:rsidR="007C19A5">
        <w:rPr>
          <w:rFonts w:ascii="Arial Narrow" w:hAnsi="Arial Narrow"/>
          <w:sz w:val="18"/>
          <w:szCs w:val="18"/>
        </w:rPr>
        <w:t>)</w:t>
      </w:r>
    </w:p>
    <w:p w14:paraId="7FEB2C6A" w14:textId="77777777" w:rsidR="00633602" w:rsidRPr="00633602" w:rsidRDefault="00633602" w:rsidP="00633602">
      <w:pPr>
        <w:rPr>
          <w:rFonts w:ascii="Arial Narrow" w:hAnsi="Arial Narrow"/>
          <w:sz w:val="18"/>
          <w:szCs w:val="18"/>
        </w:rPr>
      </w:pPr>
      <w:r w:rsidRPr="00633602">
        <w:rPr>
          <w:rFonts w:ascii="Arial Narrow" w:hAnsi="Arial Narrow"/>
          <w:sz w:val="18"/>
          <w:szCs w:val="18"/>
        </w:rPr>
        <w:t>The redacted values correspond to the following ranges:</w:t>
      </w:r>
    </w:p>
    <w:p w14:paraId="7C13CE26" w14:textId="6071C6B1" w:rsidR="00633602" w:rsidRPr="00633602" w:rsidRDefault="00633602" w:rsidP="00633602">
      <w:pPr>
        <w:rPr>
          <w:rFonts w:ascii="Arial Narrow" w:hAnsi="Arial Narrow"/>
          <w:sz w:val="18"/>
          <w:szCs w:val="18"/>
        </w:rPr>
      </w:pPr>
      <w:r w:rsidRPr="00633602">
        <w:rPr>
          <w:rFonts w:ascii="Arial Narrow" w:hAnsi="Arial Narrow"/>
          <w:sz w:val="18"/>
          <w:szCs w:val="18"/>
        </w:rPr>
        <w:t>1</w:t>
      </w:r>
      <w:r>
        <w:rPr>
          <w:rFonts w:ascii="Arial Narrow" w:hAnsi="Arial Narrow"/>
          <w:sz w:val="18"/>
          <w:szCs w:val="18"/>
        </w:rPr>
        <w:t xml:space="preserve"> </w:t>
      </w:r>
      <w:r w:rsidRPr="00633602">
        <w:rPr>
          <w:rFonts w:ascii="Arial Narrow" w:hAnsi="Arial Narrow"/>
          <w:sz w:val="18"/>
          <w:szCs w:val="18"/>
        </w:rPr>
        <w:t xml:space="preserve">&lt;500 </w:t>
      </w:r>
    </w:p>
    <w:p w14:paraId="1ED87A86" w14:textId="243355DD" w:rsidR="00633602" w:rsidRPr="00633602" w:rsidRDefault="00633602" w:rsidP="00633602">
      <w:pPr>
        <w:rPr>
          <w:rFonts w:ascii="Arial Narrow" w:hAnsi="Arial Narrow"/>
          <w:sz w:val="18"/>
          <w:szCs w:val="18"/>
        </w:rPr>
      </w:pPr>
      <w:r w:rsidRPr="00633602">
        <w:rPr>
          <w:rFonts w:ascii="Arial Narrow" w:hAnsi="Arial Narrow"/>
          <w:sz w:val="18"/>
          <w:szCs w:val="18"/>
        </w:rPr>
        <w:t>2 500 &lt;5,000</w:t>
      </w:r>
    </w:p>
    <w:p w14:paraId="71E11DC0" w14:textId="27751100" w:rsidR="00633602" w:rsidRPr="00633602" w:rsidRDefault="00633602" w:rsidP="00633602">
      <w:pPr>
        <w:rPr>
          <w:rFonts w:ascii="Arial Narrow" w:hAnsi="Arial Narrow"/>
          <w:sz w:val="18"/>
          <w:szCs w:val="18"/>
        </w:rPr>
      </w:pPr>
      <w:r w:rsidRPr="00633602">
        <w:rPr>
          <w:rFonts w:ascii="Arial Narrow" w:hAnsi="Arial Narrow"/>
          <w:sz w:val="18"/>
          <w:szCs w:val="18"/>
        </w:rPr>
        <w:t xml:space="preserve">3 $0 to &lt;$10 million </w:t>
      </w:r>
    </w:p>
    <w:p w14:paraId="643F3BFE" w14:textId="3916E7AB" w:rsidR="00633602" w:rsidRPr="00633602" w:rsidRDefault="00633602" w:rsidP="00633602">
      <w:pPr>
        <w:rPr>
          <w:rFonts w:ascii="Arial Narrow" w:hAnsi="Arial Narrow"/>
          <w:sz w:val="18"/>
          <w:szCs w:val="18"/>
        </w:rPr>
      </w:pPr>
      <w:r w:rsidRPr="00633602">
        <w:rPr>
          <w:rFonts w:ascii="Arial Narrow" w:hAnsi="Arial Narrow"/>
          <w:sz w:val="18"/>
          <w:szCs w:val="18"/>
        </w:rPr>
        <w:t xml:space="preserve">4 </w:t>
      </w:r>
      <w:r w:rsidR="005442B4" w:rsidRPr="00633602">
        <w:rPr>
          <w:rFonts w:ascii="Arial Narrow" w:hAnsi="Arial Narrow"/>
          <w:sz w:val="18"/>
          <w:szCs w:val="18"/>
        </w:rPr>
        <w:t>$10 million to &lt;$20 million</w:t>
      </w:r>
    </w:p>
    <w:p w14:paraId="0086B630" w14:textId="77777777" w:rsidR="00395D5E" w:rsidRPr="00FF79DB" w:rsidRDefault="00395D5E" w:rsidP="00C4440A">
      <w:pPr>
        <w:pStyle w:val="TableFooter"/>
        <w:keepNext/>
        <w:keepLines/>
      </w:pPr>
    </w:p>
    <w:p w14:paraId="4E419126" w14:textId="7862DC45" w:rsidR="00C4440A" w:rsidRPr="00FF79DB" w:rsidRDefault="00C4440A" w:rsidP="00211D7F">
      <w:pPr>
        <w:pStyle w:val="ListParagraph"/>
        <w:widowControl/>
        <w:numPr>
          <w:ilvl w:val="1"/>
          <w:numId w:val="2"/>
        </w:numPr>
      </w:pPr>
      <w:r w:rsidRPr="00FF79DB">
        <w:t>The estimated net cost to PBS/RPBS</w:t>
      </w:r>
      <w:r>
        <w:t>/MBS</w:t>
      </w:r>
      <w:r w:rsidRPr="00FF79DB">
        <w:t xml:space="preserve"> at the </w:t>
      </w:r>
      <w:r w:rsidR="002F1D0E">
        <w:t xml:space="preserve">submission’s </w:t>
      </w:r>
      <w:r w:rsidRPr="00FF79DB">
        <w:t>pr</w:t>
      </w:r>
      <w:r>
        <w:t xml:space="preserve">oposed effective price was </w:t>
      </w:r>
      <w:r w:rsidR="005442B4" w:rsidRPr="005442B4">
        <w:t>$0 to &lt; $10 million</w:t>
      </w:r>
      <w:r w:rsidR="005442B4">
        <w:t xml:space="preserve"> </w:t>
      </w:r>
      <w:r w:rsidRPr="00FF79DB">
        <w:t xml:space="preserve">in Year 1, increasing to </w:t>
      </w:r>
      <w:r w:rsidR="005442B4" w:rsidRPr="005442B4">
        <w:t>$10 million to &lt; $20 million</w:t>
      </w:r>
      <w:r w:rsidR="005442B4">
        <w:t xml:space="preserve"> </w:t>
      </w:r>
      <w:r w:rsidRPr="00FF79DB">
        <w:t xml:space="preserve">in Year 6. The total cost over the </w:t>
      </w:r>
      <w:proofErr w:type="gramStart"/>
      <w:r w:rsidRPr="00FF79DB">
        <w:t>six year</w:t>
      </w:r>
      <w:proofErr w:type="gramEnd"/>
      <w:r w:rsidRPr="00FF79DB">
        <w:t xml:space="preserve"> period was </w:t>
      </w:r>
      <w:r>
        <w:t xml:space="preserve">estimated to be </w:t>
      </w:r>
      <w:r w:rsidR="005442B4" w:rsidRPr="005442B4">
        <w:t>$50 million to &lt; $60 million</w:t>
      </w:r>
      <w:r w:rsidRPr="00FF79DB">
        <w:t>.</w:t>
      </w:r>
      <w:r w:rsidR="008B2448">
        <w:t xml:space="preserve"> This was reduced to </w:t>
      </w:r>
      <w:r w:rsidR="005442B4" w:rsidRPr="005442B4">
        <w:t>$30 million to &lt; $40 </w:t>
      </w:r>
      <w:r w:rsidR="008B2448">
        <w:t>million</w:t>
      </w:r>
      <w:r w:rsidR="00E71820">
        <w:t xml:space="preserve"> over 6 years</w:t>
      </w:r>
      <w:r w:rsidR="008B2448">
        <w:t xml:space="preserve"> in the PSCR due to the reduced proposed price for </w:t>
      </w:r>
      <w:proofErr w:type="spellStart"/>
      <w:r w:rsidR="008B2448">
        <w:t>dostarlimab</w:t>
      </w:r>
      <w:proofErr w:type="spellEnd"/>
      <w:r w:rsidR="008B2448">
        <w:t>.</w:t>
      </w:r>
    </w:p>
    <w:p w14:paraId="446A2EC1" w14:textId="5F7FFF10" w:rsidR="00C4440A" w:rsidRPr="00AB3FB7" w:rsidRDefault="00C4440A" w:rsidP="00C4440A">
      <w:pPr>
        <w:pStyle w:val="ListParagraph"/>
        <w:widowControl/>
        <w:numPr>
          <w:ilvl w:val="1"/>
          <w:numId w:val="2"/>
        </w:numPr>
        <w:rPr>
          <w:iCs/>
        </w:rPr>
      </w:pPr>
      <w:r w:rsidRPr="00AB3FB7">
        <w:rPr>
          <w:iCs/>
        </w:rPr>
        <w:t xml:space="preserve">Overall, the </w:t>
      </w:r>
      <w:r w:rsidR="002F1D0E">
        <w:rPr>
          <w:iCs/>
        </w:rPr>
        <w:t xml:space="preserve">evaluation considered that the </w:t>
      </w:r>
      <w:r w:rsidRPr="00AB3FB7">
        <w:rPr>
          <w:iCs/>
        </w:rPr>
        <w:t xml:space="preserve">financial estimates were likely underestimated by the submission as the usage of </w:t>
      </w:r>
      <w:proofErr w:type="spellStart"/>
      <w:r w:rsidRPr="00AB3FB7">
        <w:rPr>
          <w:iCs/>
        </w:rPr>
        <w:t>dostarlimab</w:t>
      </w:r>
      <w:proofErr w:type="spellEnd"/>
      <w:r w:rsidRPr="00AB3FB7">
        <w:rPr>
          <w:iCs/>
        </w:rPr>
        <w:t xml:space="preserve"> would have been underestimated due to the following:</w:t>
      </w:r>
    </w:p>
    <w:p w14:paraId="389074AF" w14:textId="54993499" w:rsidR="00C4440A" w:rsidRPr="00AB3FB7" w:rsidRDefault="00C4440A" w:rsidP="00C4440A">
      <w:pPr>
        <w:pStyle w:val="ListParagraph"/>
        <w:widowControl/>
        <w:numPr>
          <w:ilvl w:val="0"/>
          <w:numId w:val="7"/>
        </w:numPr>
        <w:spacing w:after="0"/>
        <w:ind w:left="993" w:hanging="284"/>
        <w:rPr>
          <w:iCs/>
        </w:rPr>
      </w:pPr>
      <w:r w:rsidRPr="00AB3FB7">
        <w:rPr>
          <w:iCs/>
        </w:rPr>
        <w:t>The treatment duration assumed (50.97 weeks) was incorrectly calculated</w:t>
      </w:r>
      <w:r w:rsidR="00A92AB0">
        <w:rPr>
          <w:iCs/>
        </w:rPr>
        <w:t xml:space="preserve">. This was revised to 54.37 weeks in the </w:t>
      </w:r>
      <w:proofErr w:type="gramStart"/>
      <w:r w:rsidR="00A92AB0">
        <w:rPr>
          <w:iCs/>
        </w:rPr>
        <w:t>PSCR;</w:t>
      </w:r>
      <w:proofErr w:type="gramEnd"/>
    </w:p>
    <w:p w14:paraId="18D93DDC" w14:textId="77777777" w:rsidR="00C4440A" w:rsidRPr="00AB3FB7" w:rsidRDefault="00C4440A" w:rsidP="00C4440A">
      <w:pPr>
        <w:pStyle w:val="ListParagraph"/>
        <w:widowControl/>
        <w:numPr>
          <w:ilvl w:val="0"/>
          <w:numId w:val="7"/>
        </w:numPr>
        <w:spacing w:after="0"/>
        <w:ind w:left="993" w:hanging="284"/>
        <w:rPr>
          <w:iCs/>
        </w:rPr>
      </w:pPr>
      <w:r w:rsidRPr="00AB3FB7">
        <w:rPr>
          <w:iCs/>
        </w:rPr>
        <w:t xml:space="preserve">The recurrence rate (7.2%) used by the submission may be underestimated given two sources (Fung-Kee-Fung 2006 and </w:t>
      </w:r>
      <w:proofErr w:type="spellStart"/>
      <w:r w:rsidRPr="00AB3FB7">
        <w:rPr>
          <w:iCs/>
        </w:rPr>
        <w:t>Huijgens</w:t>
      </w:r>
      <w:proofErr w:type="spellEnd"/>
      <w:r w:rsidRPr="00AB3FB7">
        <w:rPr>
          <w:iCs/>
        </w:rPr>
        <w:t xml:space="preserve"> 2013) indicated this was higher (13% and 12.4% respectively</w:t>
      </w:r>
      <w:proofErr w:type="gramStart"/>
      <w:r w:rsidRPr="00AB3FB7">
        <w:rPr>
          <w:iCs/>
        </w:rPr>
        <w:t>);</w:t>
      </w:r>
      <w:proofErr w:type="gramEnd"/>
    </w:p>
    <w:p w14:paraId="6126E40E" w14:textId="46F34FC4" w:rsidR="00C4440A" w:rsidRPr="00AB3FB7" w:rsidRDefault="00C4440A" w:rsidP="00C4440A">
      <w:pPr>
        <w:pStyle w:val="ListParagraph"/>
        <w:widowControl/>
        <w:numPr>
          <w:ilvl w:val="0"/>
          <w:numId w:val="7"/>
        </w:numPr>
        <w:spacing w:after="0"/>
        <w:ind w:left="993" w:hanging="284"/>
        <w:rPr>
          <w:iCs/>
        </w:rPr>
      </w:pPr>
      <w:r w:rsidRPr="00AB3FB7">
        <w:rPr>
          <w:iCs/>
        </w:rPr>
        <w:t>The submission assumed that treatment patterns of 1L therapy would remain the same pre</w:t>
      </w:r>
      <w:r w:rsidR="006E0446">
        <w:rPr>
          <w:iCs/>
        </w:rPr>
        <w:t>-</w:t>
      </w:r>
      <w:r w:rsidRPr="00AB3FB7">
        <w:rPr>
          <w:iCs/>
        </w:rPr>
        <w:t xml:space="preserve"> and post-introduction of </w:t>
      </w:r>
      <w:proofErr w:type="spellStart"/>
      <w:r w:rsidRPr="00AB3FB7">
        <w:rPr>
          <w:iCs/>
        </w:rPr>
        <w:t>dostarlimab</w:t>
      </w:r>
      <w:proofErr w:type="spellEnd"/>
      <w:r w:rsidRPr="00AB3FB7">
        <w:rPr>
          <w:iCs/>
        </w:rPr>
        <w:t xml:space="preserve">. However, the availability of </w:t>
      </w:r>
      <w:proofErr w:type="spellStart"/>
      <w:r w:rsidRPr="00AB3FB7">
        <w:rPr>
          <w:iCs/>
        </w:rPr>
        <w:t>dostarlimab</w:t>
      </w:r>
      <w:proofErr w:type="spellEnd"/>
      <w:r w:rsidRPr="00AB3FB7">
        <w:rPr>
          <w:iCs/>
        </w:rPr>
        <w:t xml:space="preserve"> as 2L treatment (and the high uptake rate anticipated by the submission) may alter usage patterns of 1L PBC given this would be a requirement. More patients using 1L PBC would lead to a higher proportion of eligible patients than the 72% of all A/R </w:t>
      </w:r>
      <w:proofErr w:type="spellStart"/>
      <w:r w:rsidRPr="00AB3FB7">
        <w:rPr>
          <w:iCs/>
        </w:rPr>
        <w:t>dMMR</w:t>
      </w:r>
      <w:proofErr w:type="spellEnd"/>
      <w:r w:rsidRPr="00AB3FB7">
        <w:rPr>
          <w:iCs/>
        </w:rPr>
        <w:t xml:space="preserve"> EC patients </w:t>
      </w:r>
      <w:proofErr w:type="gramStart"/>
      <w:r w:rsidRPr="00AB3FB7">
        <w:rPr>
          <w:iCs/>
        </w:rPr>
        <w:t>assumed;</w:t>
      </w:r>
      <w:proofErr w:type="gramEnd"/>
    </w:p>
    <w:p w14:paraId="2C07E3B3" w14:textId="77777777" w:rsidR="00C4440A" w:rsidRPr="00AB3FB7" w:rsidRDefault="00C4440A" w:rsidP="00C4440A">
      <w:pPr>
        <w:pStyle w:val="ListParagraph"/>
        <w:widowControl/>
        <w:numPr>
          <w:ilvl w:val="0"/>
          <w:numId w:val="7"/>
        </w:numPr>
        <w:spacing w:after="0"/>
        <w:ind w:left="993" w:hanging="284"/>
        <w:rPr>
          <w:iCs/>
        </w:rPr>
      </w:pPr>
      <w:r w:rsidRPr="00AB3FB7">
        <w:rPr>
          <w:iCs/>
        </w:rPr>
        <w:t>Progression after 1L PBC was inconsistently applied by the submission using a period of up to 10 years post treatment, even though data up to 14 years were available. Using fewer years of data would underestimate number of recurrent patients; and</w:t>
      </w:r>
    </w:p>
    <w:p w14:paraId="320B1933" w14:textId="5AA10B61" w:rsidR="00AB3FB7" w:rsidRPr="002F1D0E" w:rsidRDefault="00C4440A" w:rsidP="002F1D0E">
      <w:pPr>
        <w:pStyle w:val="ListParagraph"/>
        <w:widowControl/>
        <w:numPr>
          <w:ilvl w:val="0"/>
          <w:numId w:val="7"/>
        </w:numPr>
        <w:ind w:left="993" w:hanging="284"/>
        <w:rPr>
          <w:iCs/>
        </w:rPr>
      </w:pPr>
      <w:r w:rsidRPr="00AB3FB7">
        <w:rPr>
          <w:iCs/>
        </w:rPr>
        <w:t xml:space="preserve">There was no consideration of patients who may use </w:t>
      </w:r>
      <w:proofErr w:type="spellStart"/>
      <w:r w:rsidRPr="00AB3FB7">
        <w:rPr>
          <w:iCs/>
        </w:rPr>
        <w:t>dostarlimab</w:t>
      </w:r>
      <w:proofErr w:type="spellEnd"/>
      <w:r w:rsidRPr="00AB3FB7">
        <w:rPr>
          <w:iCs/>
        </w:rPr>
        <w:t xml:space="preserve"> as third (or subsequent) line therapy (</w:t>
      </w:r>
      <w:proofErr w:type="gramStart"/>
      <w:r w:rsidRPr="00AB3FB7">
        <w:rPr>
          <w:iCs/>
        </w:rPr>
        <w:t>i.e.</w:t>
      </w:r>
      <w:proofErr w:type="gramEnd"/>
      <w:r w:rsidRPr="00AB3FB7">
        <w:rPr>
          <w:iCs/>
        </w:rPr>
        <w:t xml:space="preserve"> among the 28% who did not receive 1L PBC, but who may subsequently receive 2L PBC). Omission of these patients may underestimate the financial estimates.</w:t>
      </w:r>
    </w:p>
    <w:p w14:paraId="189B451F" w14:textId="1BC6EF3A" w:rsidR="00C4440A" w:rsidRPr="002F1D0E" w:rsidRDefault="00C4440A" w:rsidP="002F1D0E">
      <w:pPr>
        <w:pStyle w:val="ListParagraph"/>
        <w:widowControl/>
        <w:numPr>
          <w:ilvl w:val="1"/>
          <w:numId w:val="2"/>
        </w:numPr>
        <w:rPr>
          <w:iCs/>
        </w:rPr>
      </w:pPr>
      <w:r w:rsidRPr="002F1D0E">
        <w:rPr>
          <w:iCs/>
        </w:rPr>
        <w:t>DUSC</w:t>
      </w:r>
      <w:r w:rsidR="002F1D0E" w:rsidRPr="002F1D0E">
        <w:rPr>
          <w:iCs/>
        </w:rPr>
        <w:t xml:space="preserve"> also</w:t>
      </w:r>
      <w:r w:rsidRPr="002F1D0E">
        <w:rPr>
          <w:iCs/>
        </w:rPr>
        <w:t xml:space="preserve"> consider</w:t>
      </w:r>
      <w:r w:rsidR="002F1D0E" w:rsidRPr="002F1D0E">
        <w:rPr>
          <w:iCs/>
        </w:rPr>
        <w:t>ed</w:t>
      </w:r>
      <w:r w:rsidRPr="002F1D0E">
        <w:rPr>
          <w:iCs/>
        </w:rPr>
        <w:t xml:space="preserve"> the estimates presented in the submission to be underestimated. The main issues </w:t>
      </w:r>
      <w:r w:rsidR="002F1D0E">
        <w:rPr>
          <w:iCs/>
        </w:rPr>
        <w:t>identified by DUSC were</w:t>
      </w:r>
      <w:r w:rsidRPr="002F1D0E">
        <w:rPr>
          <w:iCs/>
        </w:rPr>
        <w:t>:</w:t>
      </w:r>
    </w:p>
    <w:p w14:paraId="17B76AB7" w14:textId="77777777" w:rsidR="00C4440A" w:rsidRPr="002F1D0E" w:rsidRDefault="00C4440A" w:rsidP="002F1D0E">
      <w:pPr>
        <w:pStyle w:val="ListParagraph"/>
        <w:widowControl/>
        <w:numPr>
          <w:ilvl w:val="0"/>
          <w:numId w:val="7"/>
        </w:numPr>
        <w:spacing w:after="0"/>
        <w:ind w:left="993" w:hanging="284"/>
        <w:rPr>
          <w:iCs/>
        </w:rPr>
      </w:pPr>
      <w:r w:rsidRPr="002F1D0E">
        <w:rPr>
          <w:iCs/>
        </w:rPr>
        <w:t xml:space="preserve">Prevalent patients (those diagnosed prior to year 1 of the estimates who recur and become eligible for </w:t>
      </w:r>
      <w:proofErr w:type="spellStart"/>
      <w:r w:rsidRPr="002F1D0E">
        <w:rPr>
          <w:iCs/>
        </w:rPr>
        <w:t>dostarlimab</w:t>
      </w:r>
      <w:proofErr w:type="spellEnd"/>
      <w:r w:rsidRPr="002F1D0E">
        <w:rPr>
          <w:iCs/>
        </w:rPr>
        <w:t>)</w:t>
      </w:r>
      <w:r w:rsidRPr="002F1D0E" w:rsidDel="0026352F">
        <w:rPr>
          <w:iCs/>
        </w:rPr>
        <w:t xml:space="preserve"> </w:t>
      </w:r>
      <w:r w:rsidRPr="002F1D0E">
        <w:rPr>
          <w:iCs/>
        </w:rPr>
        <w:t>should be added to the financial estimates, which will increase the number of treated patients in years 1 and 2 of the estimates.</w:t>
      </w:r>
    </w:p>
    <w:p w14:paraId="7285A7A6" w14:textId="77777777" w:rsidR="00C4440A" w:rsidRPr="002F1D0E" w:rsidRDefault="00C4440A" w:rsidP="002F1D0E">
      <w:pPr>
        <w:pStyle w:val="ListParagraph"/>
        <w:widowControl/>
        <w:numPr>
          <w:ilvl w:val="0"/>
          <w:numId w:val="7"/>
        </w:numPr>
        <w:spacing w:after="0"/>
        <w:ind w:left="993" w:hanging="284"/>
        <w:rPr>
          <w:iCs/>
        </w:rPr>
      </w:pPr>
      <w:r w:rsidRPr="002F1D0E">
        <w:rPr>
          <w:iCs/>
        </w:rPr>
        <w:t>Stage III patients should not be grouped together with Stage IV patients. More appropriate treated population groups would be:</w:t>
      </w:r>
    </w:p>
    <w:p w14:paraId="0C7D7BDA" w14:textId="77777777" w:rsidR="00C4440A" w:rsidRPr="002F1D0E" w:rsidRDefault="00C4440A" w:rsidP="00C4440A">
      <w:pPr>
        <w:pStyle w:val="ListParagraph"/>
        <w:widowControl/>
        <w:numPr>
          <w:ilvl w:val="1"/>
          <w:numId w:val="35"/>
        </w:numPr>
        <w:spacing w:after="0"/>
        <w:contextualSpacing/>
      </w:pPr>
      <w:proofErr w:type="spellStart"/>
      <w:r w:rsidRPr="002F1D0E">
        <w:rPr>
          <w:lang w:val="en-US"/>
        </w:rPr>
        <w:t>Resectable</w:t>
      </w:r>
      <w:proofErr w:type="spellEnd"/>
      <w:r w:rsidRPr="002F1D0E">
        <w:rPr>
          <w:lang w:val="en-US"/>
        </w:rPr>
        <w:t xml:space="preserve"> </w:t>
      </w:r>
      <w:proofErr w:type="gramStart"/>
      <w:r w:rsidRPr="002F1D0E">
        <w:rPr>
          <w:lang w:val="en-US"/>
        </w:rPr>
        <w:t>high risk</w:t>
      </w:r>
      <w:proofErr w:type="gramEnd"/>
      <w:r w:rsidRPr="002F1D0E">
        <w:rPr>
          <w:lang w:val="en-US"/>
        </w:rPr>
        <w:t xml:space="preserve"> Stage I, II and III patients treated with curative intent (surgery) with adjuvant radiation therapy platinum chemotherapy, some of which would recur, be classified as recurrent disease and would be eligible for </w:t>
      </w:r>
      <w:proofErr w:type="spellStart"/>
      <w:r w:rsidRPr="002F1D0E">
        <w:rPr>
          <w:lang w:val="en-US"/>
        </w:rPr>
        <w:t>dostarlimab</w:t>
      </w:r>
      <w:proofErr w:type="spellEnd"/>
      <w:r w:rsidRPr="002F1D0E">
        <w:rPr>
          <w:lang w:val="en-US"/>
        </w:rPr>
        <w:t xml:space="preserve">. </w:t>
      </w:r>
    </w:p>
    <w:p w14:paraId="45050714" w14:textId="77777777" w:rsidR="00C4440A" w:rsidRPr="002F1D0E" w:rsidRDefault="00C4440A" w:rsidP="00C4440A">
      <w:pPr>
        <w:pStyle w:val="ListParagraph"/>
        <w:widowControl/>
        <w:numPr>
          <w:ilvl w:val="1"/>
          <w:numId w:val="35"/>
        </w:numPr>
        <w:spacing w:after="0"/>
        <w:contextualSpacing/>
      </w:pPr>
      <w:r w:rsidRPr="002F1D0E">
        <w:rPr>
          <w:lang w:val="en-US"/>
        </w:rPr>
        <w:t xml:space="preserve">Unresectable Stage III and IV patients treated with palliative intent chemotherapy, almost all of which would progress and be eligible for </w:t>
      </w:r>
      <w:proofErr w:type="spellStart"/>
      <w:r w:rsidRPr="002F1D0E">
        <w:rPr>
          <w:lang w:val="en-US"/>
        </w:rPr>
        <w:t>dostarlimab</w:t>
      </w:r>
      <w:proofErr w:type="spellEnd"/>
      <w:r w:rsidRPr="002F1D0E">
        <w:rPr>
          <w:lang w:val="en-US"/>
        </w:rPr>
        <w:t xml:space="preserve">. </w:t>
      </w:r>
    </w:p>
    <w:p w14:paraId="6CED5C89" w14:textId="51361D8E" w:rsidR="00C4440A" w:rsidRDefault="00C4440A" w:rsidP="00C51D12">
      <w:pPr>
        <w:pStyle w:val="ListParagraph"/>
        <w:widowControl/>
        <w:numPr>
          <w:ilvl w:val="0"/>
          <w:numId w:val="7"/>
        </w:numPr>
        <w:spacing w:after="120"/>
        <w:ind w:left="993" w:hanging="284"/>
        <w:contextualSpacing/>
        <w:rPr>
          <w:iCs/>
        </w:rPr>
      </w:pPr>
      <w:r w:rsidRPr="002F1D0E">
        <w:rPr>
          <w:iCs/>
        </w:rPr>
        <w:t xml:space="preserve">The proportion of patients with </w:t>
      </w:r>
      <w:proofErr w:type="spellStart"/>
      <w:r w:rsidRPr="002F1D0E">
        <w:rPr>
          <w:iCs/>
        </w:rPr>
        <w:t>dMMR</w:t>
      </w:r>
      <w:proofErr w:type="spellEnd"/>
      <w:r w:rsidRPr="002F1D0E">
        <w:rPr>
          <w:iCs/>
        </w:rPr>
        <w:t xml:space="preserve"> (33%) may be overestimated, and 27% may be a more reasonable estimate.</w:t>
      </w:r>
    </w:p>
    <w:p w14:paraId="2418B01F" w14:textId="6C7A23F4" w:rsidR="00C51D12" w:rsidRPr="00C51D12" w:rsidRDefault="00C51D12" w:rsidP="00C51D12">
      <w:pPr>
        <w:pStyle w:val="ListParagraph"/>
        <w:widowControl/>
        <w:numPr>
          <w:ilvl w:val="0"/>
          <w:numId w:val="7"/>
        </w:numPr>
        <w:spacing w:after="120"/>
        <w:ind w:left="993" w:hanging="284"/>
        <w:rPr>
          <w:iCs/>
        </w:rPr>
      </w:pPr>
      <w:r w:rsidRPr="002634B9">
        <w:t xml:space="preserve">The financial estimates presented by the submission were likely underestimated, as the treatment duration and the number of patients treated with </w:t>
      </w:r>
      <w:proofErr w:type="spellStart"/>
      <w:r w:rsidRPr="002634B9">
        <w:t>dostarlimab</w:t>
      </w:r>
      <w:proofErr w:type="spellEnd"/>
      <w:r w:rsidRPr="002634B9">
        <w:t xml:space="preserve"> were both likely underestimated. However, given that the proposed RSA was to be based on the values presented in the submission, an underestimation of the financial estimates may be considered conservative</w:t>
      </w:r>
      <w:r>
        <w:t>.</w:t>
      </w:r>
    </w:p>
    <w:p w14:paraId="7F9E06C3" w14:textId="494D9910" w:rsidR="00962919" w:rsidRPr="00962919" w:rsidRDefault="004625F2" w:rsidP="002870D7">
      <w:pPr>
        <w:pStyle w:val="ListParagraph"/>
        <w:widowControl/>
        <w:numPr>
          <w:ilvl w:val="1"/>
          <w:numId w:val="2"/>
        </w:numPr>
        <w:spacing w:after="0"/>
        <w:rPr>
          <w:iCs/>
        </w:rPr>
      </w:pPr>
      <w:r w:rsidRPr="00962919">
        <w:rPr>
          <w:iCs/>
        </w:rPr>
        <w:t>The pre-PBAC response stated that “</w:t>
      </w:r>
      <w:r w:rsidRPr="00962919">
        <w:rPr>
          <w:lang w:bidi="en-US"/>
        </w:rPr>
        <w:t xml:space="preserve">Stage I/II patients who recur and become eligible for </w:t>
      </w:r>
      <w:proofErr w:type="spellStart"/>
      <w:r w:rsidRPr="00962919">
        <w:rPr>
          <w:lang w:bidi="en-US"/>
        </w:rPr>
        <w:t>dostarlimab</w:t>
      </w:r>
      <w:proofErr w:type="spellEnd"/>
      <w:r w:rsidRPr="00962919">
        <w:rPr>
          <w:lang w:bidi="en-US"/>
        </w:rPr>
        <w:t xml:space="preserve"> in year 1 to 6 (2022-2027) were derived from a prevalent pool of Stage I/II patients diagnosed from 2016 onwards (prior to year 1) and adjusted for timing as disease recurrence was expected to occur over time. As such, the financial estimates have implicitly accounted for those diagnosed prior to year 1”</w:t>
      </w:r>
      <w:r w:rsidR="00CA6CE2">
        <w:rPr>
          <w:lang w:bidi="en-US"/>
        </w:rPr>
        <w:t>.</w:t>
      </w:r>
      <w:r w:rsidRPr="00962919">
        <w:rPr>
          <w:lang w:bidi="en-US"/>
        </w:rPr>
        <w:t xml:space="preserve"> The pre-PBAC response also provided </w:t>
      </w:r>
      <w:r w:rsidR="00962919" w:rsidRPr="00962919">
        <w:rPr>
          <w:lang w:bidi="en-US"/>
        </w:rPr>
        <w:t>revised estimates (</w:t>
      </w:r>
      <w:r w:rsidR="00962919">
        <w:rPr>
          <w:lang w:bidi="en-US"/>
        </w:rPr>
        <w:t xml:space="preserve">as </w:t>
      </w:r>
      <w:r w:rsidR="00962919" w:rsidRPr="00962919">
        <w:rPr>
          <w:lang w:bidi="en-US"/>
        </w:rPr>
        <w:t xml:space="preserve">shown in </w:t>
      </w:r>
      <w:r w:rsidR="00962919" w:rsidRPr="00962919">
        <w:rPr>
          <w:lang w:bidi="en-US"/>
        </w:rPr>
        <w:fldChar w:fldCharType="begin"/>
      </w:r>
      <w:r w:rsidR="00962919" w:rsidRPr="00962919">
        <w:rPr>
          <w:lang w:bidi="en-US"/>
        </w:rPr>
        <w:instrText xml:space="preserve"> REF _Ref92107781 \h  \* MERGEFORMAT </w:instrText>
      </w:r>
      <w:r w:rsidR="00962919" w:rsidRPr="00962919">
        <w:rPr>
          <w:lang w:bidi="en-US"/>
        </w:rPr>
      </w:r>
      <w:r w:rsidR="00962919" w:rsidRPr="00962919">
        <w:rPr>
          <w:lang w:bidi="en-US"/>
        </w:rPr>
        <w:fldChar w:fldCharType="separate"/>
      </w:r>
      <w:r w:rsidR="004975AD" w:rsidRPr="004975AD">
        <w:rPr>
          <w:lang w:bidi="en-US"/>
        </w:rPr>
        <w:t>Table 15</w:t>
      </w:r>
      <w:r w:rsidR="00962919" w:rsidRPr="00962919">
        <w:rPr>
          <w:lang w:bidi="en-US"/>
        </w:rPr>
        <w:fldChar w:fldCharType="end"/>
      </w:r>
      <w:r w:rsidR="00962919" w:rsidRPr="00962919">
        <w:rPr>
          <w:lang w:bidi="en-US"/>
        </w:rPr>
        <w:t>) incorporating the following changes:</w:t>
      </w:r>
    </w:p>
    <w:p w14:paraId="072A3CA1" w14:textId="37F758A7" w:rsidR="004625F2" w:rsidRDefault="00962919" w:rsidP="00962919">
      <w:pPr>
        <w:pStyle w:val="ListParagraph"/>
        <w:widowControl/>
        <w:numPr>
          <w:ilvl w:val="0"/>
          <w:numId w:val="7"/>
        </w:numPr>
        <w:spacing w:after="0"/>
        <w:ind w:left="993" w:hanging="284"/>
        <w:rPr>
          <w:iCs/>
        </w:rPr>
      </w:pPr>
      <w:r>
        <w:rPr>
          <w:iCs/>
        </w:rPr>
        <w:t>A</w:t>
      </w:r>
      <w:r w:rsidRPr="00962919">
        <w:rPr>
          <w:iCs/>
        </w:rPr>
        <w:t xml:space="preserve"> recurrence rate of 13%</w:t>
      </w:r>
    </w:p>
    <w:p w14:paraId="4F0CB400" w14:textId="33B4416B" w:rsidR="00962919" w:rsidRPr="00962919" w:rsidRDefault="00962919" w:rsidP="00962919">
      <w:pPr>
        <w:pStyle w:val="ListParagraph"/>
        <w:widowControl/>
        <w:numPr>
          <w:ilvl w:val="0"/>
          <w:numId w:val="7"/>
        </w:numPr>
        <w:spacing w:after="0"/>
        <w:ind w:left="993" w:hanging="284"/>
        <w:rPr>
          <w:iCs/>
        </w:rPr>
      </w:pPr>
      <w:r>
        <w:rPr>
          <w:iCs/>
        </w:rPr>
        <w:t xml:space="preserve">81% </w:t>
      </w:r>
      <w:r w:rsidRPr="00F95693">
        <w:rPr>
          <w:lang w:bidi="en-US"/>
        </w:rPr>
        <w:t>of Stage III/IV patients receiving 1L PBC</w:t>
      </w:r>
    </w:p>
    <w:p w14:paraId="253E748C" w14:textId="552B8A01" w:rsidR="00962919" w:rsidRPr="00962919" w:rsidRDefault="00962919" w:rsidP="00962919">
      <w:pPr>
        <w:pStyle w:val="ListParagraph"/>
        <w:widowControl/>
        <w:numPr>
          <w:ilvl w:val="0"/>
          <w:numId w:val="7"/>
        </w:numPr>
        <w:spacing w:after="0"/>
        <w:ind w:left="993" w:hanging="284"/>
        <w:rPr>
          <w:iCs/>
        </w:rPr>
      </w:pPr>
      <w:proofErr w:type="spellStart"/>
      <w:r>
        <w:rPr>
          <w:lang w:bidi="en-US"/>
        </w:rPr>
        <w:t>dMMR</w:t>
      </w:r>
      <w:proofErr w:type="spellEnd"/>
      <w:r>
        <w:rPr>
          <w:lang w:bidi="en-US"/>
        </w:rPr>
        <w:t xml:space="preserve"> prevalence rate of 27%</w:t>
      </w:r>
    </w:p>
    <w:p w14:paraId="025A2BCC" w14:textId="6D63C1DF" w:rsidR="00962919" w:rsidRPr="002870D7" w:rsidRDefault="00962919" w:rsidP="00962919">
      <w:pPr>
        <w:pStyle w:val="ListParagraph"/>
        <w:widowControl/>
        <w:numPr>
          <w:ilvl w:val="0"/>
          <w:numId w:val="7"/>
        </w:numPr>
        <w:spacing w:after="120"/>
        <w:ind w:left="993" w:hanging="284"/>
        <w:rPr>
          <w:iCs/>
        </w:rPr>
      </w:pPr>
      <w:r>
        <w:rPr>
          <w:lang w:bidi="en-US"/>
        </w:rPr>
        <w:t xml:space="preserve">Revised </w:t>
      </w:r>
      <w:r w:rsidRPr="00626E38">
        <w:rPr>
          <w:lang w:bidi="en-US"/>
        </w:rPr>
        <w:t>effective price ($</w:t>
      </w:r>
      <w:proofErr w:type="gramStart"/>
      <w:r w:rsidR="00217797" w:rsidRPr="004975AD">
        <w:rPr>
          <w:color w:val="000000"/>
          <w:w w:val="15"/>
          <w:shd w:val="solid" w:color="000000" w:fill="000000"/>
          <w:fitText w:val="-20" w:id="-1502445054"/>
          <w:lang w:bidi="en-US"/>
          <w14:textFill>
            <w14:solidFill>
              <w14:srgbClr w14:val="000000">
                <w14:alpha w14:val="100000"/>
              </w14:srgbClr>
            </w14:solidFill>
          </w14:textFill>
        </w:rPr>
        <w:t xml:space="preserve">|  </w:t>
      </w:r>
      <w:r w:rsidR="00217797" w:rsidRPr="004975AD">
        <w:rPr>
          <w:color w:val="000000"/>
          <w:spacing w:val="-69"/>
          <w:w w:val="15"/>
          <w:shd w:val="solid" w:color="000000" w:fill="000000"/>
          <w:fitText w:val="-20" w:id="-1502445054"/>
          <w:lang w:bidi="en-US"/>
          <w14:textFill>
            <w14:solidFill>
              <w14:srgbClr w14:val="000000">
                <w14:alpha w14:val="100000"/>
              </w14:srgbClr>
            </w14:solidFill>
          </w14:textFill>
        </w:rPr>
        <w:t>|</w:t>
      </w:r>
      <w:proofErr w:type="gramEnd"/>
      <w:r w:rsidRPr="00626E38">
        <w:rPr>
          <w:lang w:bidi="en-US"/>
        </w:rPr>
        <w:t>)</w:t>
      </w:r>
    </w:p>
    <w:p w14:paraId="155CF164" w14:textId="540AF129" w:rsidR="002870D7" w:rsidRPr="00FF79DB" w:rsidRDefault="002870D7" w:rsidP="00E5762F">
      <w:pPr>
        <w:widowControl/>
        <w:ind w:left="709"/>
      </w:pPr>
      <w:r>
        <w:t>Following these changes</w:t>
      </w:r>
      <w:r w:rsidR="006E0446">
        <w:t>,</w:t>
      </w:r>
      <w:r>
        <w:t xml:space="preserve"> t</w:t>
      </w:r>
      <w:r w:rsidRPr="00FF79DB">
        <w:t>he estimated net cost to PBS/RPBS</w:t>
      </w:r>
      <w:r>
        <w:t>/MBS</w:t>
      </w:r>
      <w:r w:rsidRPr="00FF79DB">
        <w:t xml:space="preserve"> at the </w:t>
      </w:r>
      <w:r>
        <w:t>pre</w:t>
      </w:r>
      <w:r>
        <w:noBreakHyphen/>
        <w:t xml:space="preserve">PBAC </w:t>
      </w:r>
      <w:r w:rsidR="00E5762F">
        <w:t xml:space="preserve">response’s </w:t>
      </w:r>
      <w:r>
        <w:t xml:space="preserve">revised effective price was </w:t>
      </w:r>
      <w:r w:rsidR="005442B4" w:rsidRPr="005442B4">
        <w:t>$0</w:t>
      </w:r>
      <w:r w:rsidR="005442B4">
        <w:t> </w:t>
      </w:r>
      <w:r w:rsidR="005442B4" w:rsidRPr="005442B4">
        <w:t>to</w:t>
      </w:r>
      <w:r w:rsidR="005442B4">
        <w:t> </w:t>
      </w:r>
      <w:r w:rsidR="005442B4" w:rsidRPr="005442B4">
        <w:t>&lt;</w:t>
      </w:r>
      <w:r w:rsidR="005442B4">
        <w:t> </w:t>
      </w:r>
      <w:r w:rsidR="005442B4" w:rsidRPr="005442B4">
        <w:t>$10</w:t>
      </w:r>
      <w:r w:rsidR="005442B4">
        <w:t> </w:t>
      </w:r>
      <w:r w:rsidRPr="00FF79DB">
        <w:t xml:space="preserve">million in Year 1, increasing to </w:t>
      </w:r>
      <w:r w:rsidR="005442B4" w:rsidRPr="005442B4">
        <w:t>$0 to &lt; $10 </w:t>
      </w:r>
      <w:r w:rsidRPr="00FF79DB">
        <w:t xml:space="preserve">million in Year 6. The total cost over the </w:t>
      </w:r>
      <w:proofErr w:type="gramStart"/>
      <w:r w:rsidRPr="00FF79DB">
        <w:t>six year</w:t>
      </w:r>
      <w:proofErr w:type="gramEnd"/>
      <w:r w:rsidRPr="00FF79DB">
        <w:t xml:space="preserve"> period was </w:t>
      </w:r>
      <w:r>
        <w:t xml:space="preserve">estimated to be </w:t>
      </w:r>
      <w:r w:rsidR="005442B4" w:rsidRPr="005442B4">
        <w:t>$30 million to &lt; $40 </w:t>
      </w:r>
      <w:r w:rsidRPr="00FF79DB">
        <w:t>million.</w:t>
      </w:r>
      <w:r>
        <w:t xml:space="preserve"> </w:t>
      </w:r>
    </w:p>
    <w:p w14:paraId="0F2B90C1" w14:textId="77777777" w:rsidR="002870D7" w:rsidRDefault="002870D7" w:rsidP="002870D7">
      <w:pPr>
        <w:pStyle w:val="ListParagraph"/>
        <w:widowControl/>
        <w:spacing w:after="120"/>
        <w:ind w:left="993"/>
        <w:rPr>
          <w:iCs/>
        </w:rPr>
      </w:pPr>
    </w:p>
    <w:p w14:paraId="3D74B008" w14:textId="77777777" w:rsidR="006C7178" w:rsidRPr="004625F2" w:rsidRDefault="006C7178" w:rsidP="006C7178">
      <w:pPr>
        <w:pStyle w:val="Heading2"/>
        <w:spacing w:after="120"/>
        <w:rPr>
          <w:iCs/>
        </w:rPr>
      </w:pPr>
      <w:r w:rsidRPr="004625F2">
        <w:rPr>
          <w:iCs/>
        </w:rPr>
        <w:t>Quality use of Medicines</w:t>
      </w:r>
    </w:p>
    <w:p w14:paraId="4091F5B4" w14:textId="77777777" w:rsidR="006C7178" w:rsidRPr="004625F2" w:rsidRDefault="006C7178" w:rsidP="006C7178">
      <w:pPr>
        <w:pStyle w:val="ListParagraph"/>
        <w:widowControl/>
        <w:numPr>
          <w:ilvl w:val="1"/>
          <w:numId w:val="2"/>
        </w:numPr>
        <w:rPr>
          <w:iCs/>
        </w:rPr>
      </w:pPr>
      <w:r w:rsidRPr="004625F2">
        <w:rPr>
          <w:iCs/>
        </w:rPr>
        <w:t xml:space="preserve">The submission stated that in addition to routine pharmacovigilance and risk minimisation activities, the sponsor intended to implement medical education activities and a Patient Card as a risk minimisation measure to promote safe and effective use of </w:t>
      </w:r>
      <w:proofErr w:type="spellStart"/>
      <w:r w:rsidRPr="004625F2">
        <w:rPr>
          <w:iCs/>
        </w:rPr>
        <w:t>dostarlimab</w:t>
      </w:r>
      <w:proofErr w:type="spellEnd"/>
      <w:r w:rsidRPr="004625F2">
        <w:rPr>
          <w:iCs/>
        </w:rPr>
        <w:t xml:space="preserve"> in clinical practice. The purpose of the Patient Card was to inform patients about signs and symptoms of the most common immune-related events with </w:t>
      </w:r>
      <w:proofErr w:type="spellStart"/>
      <w:r w:rsidRPr="004625F2">
        <w:rPr>
          <w:iCs/>
        </w:rPr>
        <w:t>dostarlimab</w:t>
      </w:r>
      <w:proofErr w:type="spellEnd"/>
      <w:r w:rsidRPr="004625F2">
        <w:rPr>
          <w:iCs/>
        </w:rPr>
        <w:t>, and the main required actions to be taken if they experience any signs or symptoms of immune-related adverse reactions.</w:t>
      </w:r>
    </w:p>
    <w:p w14:paraId="03B9431E" w14:textId="77777777" w:rsidR="004625F2" w:rsidRPr="004625F2" w:rsidRDefault="004625F2" w:rsidP="00A92AB0">
      <w:pPr>
        <w:pStyle w:val="Heading2"/>
        <w:spacing w:after="120"/>
        <w:rPr>
          <w:iCs/>
        </w:rPr>
      </w:pPr>
      <w:r w:rsidRPr="004625F2">
        <w:rPr>
          <w:iCs/>
        </w:rPr>
        <w:t>Financial Management – Risk Sharing Arrangement</w:t>
      </w:r>
    </w:p>
    <w:p w14:paraId="75507F7B" w14:textId="74583C78" w:rsidR="004625F2" w:rsidRPr="004625F2" w:rsidRDefault="004625F2" w:rsidP="004625F2">
      <w:pPr>
        <w:pStyle w:val="ListParagraph"/>
        <w:widowControl/>
        <w:numPr>
          <w:ilvl w:val="1"/>
          <w:numId w:val="2"/>
        </w:numPr>
        <w:rPr>
          <w:iCs/>
        </w:rPr>
      </w:pPr>
      <w:r w:rsidRPr="004625F2">
        <w:rPr>
          <w:iCs/>
        </w:rPr>
        <w:t>The submission indicated that the sponsor was willing to consider a risk</w:t>
      </w:r>
      <w:r w:rsidR="00DB44EC">
        <w:rPr>
          <w:iCs/>
        </w:rPr>
        <w:t xml:space="preserve"> </w:t>
      </w:r>
      <w:r w:rsidRPr="004625F2">
        <w:rPr>
          <w:iCs/>
        </w:rPr>
        <w:t>sharing a</w:t>
      </w:r>
      <w:r w:rsidR="00DB44EC">
        <w:rPr>
          <w:iCs/>
        </w:rPr>
        <w:t>rrangement</w:t>
      </w:r>
      <w:r w:rsidRPr="004625F2">
        <w:rPr>
          <w:iCs/>
        </w:rPr>
        <w:t xml:space="preserve"> according to the base case</w:t>
      </w:r>
      <w:r w:rsidR="00215030">
        <w:rPr>
          <w:iCs/>
        </w:rPr>
        <w:t xml:space="preserve"> financial</w:t>
      </w:r>
      <w:r w:rsidRPr="004625F2">
        <w:rPr>
          <w:iCs/>
        </w:rPr>
        <w:t xml:space="preserve"> estimates but did not provide further details.</w:t>
      </w:r>
    </w:p>
    <w:p w14:paraId="07287393" w14:textId="1F95F91F" w:rsidR="00976B81" w:rsidRPr="001D12DC" w:rsidRDefault="001D12DC" w:rsidP="00C53D7C">
      <w:pPr>
        <w:widowControl/>
        <w:rPr>
          <w:i/>
        </w:rPr>
      </w:pPr>
      <w:r w:rsidRPr="001D12DC">
        <w:rPr>
          <w:i/>
        </w:rPr>
        <w:t>For more detail on PBAC’s view, see section 7 PBAC outcome.</w:t>
      </w:r>
    </w:p>
    <w:p w14:paraId="70E2735D" w14:textId="038B4A66" w:rsidR="001D12DC" w:rsidRDefault="001D12DC" w:rsidP="00C53D7C">
      <w:pPr>
        <w:widowControl/>
      </w:pPr>
    </w:p>
    <w:p w14:paraId="72DE6518" w14:textId="77777777" w:rsidR="001D12DC" w:rsidRPr="00D902FB" w:rsidRDefault="001D12DC" w:rsidP="00927DBC">
      <w:pPr>
        <w:pStyle w:val="PBACHeading1"/>
        <w:spacing w:after="160"/>
      </w:pPr>
      <w:r w:rsidRPr="00D902FB">
        <w:t>PBAC Outcome</w:t>
      </w:r>
    </w:p>
    <w:p w14:paraId="02CB217C" w14:textId="6D55A99E" w:rsidR="00803C8F" w:rsidRPr="00803C8F" w:rsidRDefault="00803C8F" w:rsidP="00803C8F">
      <w:pPr>
        <w:pStyle w:val="ListParagraph"/>
        <w:widowControl/>
        <w:numPr>
          <w:ilvl w:val="1"/>
          <w:numId w:val="2"/>
        </w:numPr>
        <w:rPr>
          <w:iCs/>
        </w:rPr>
      </w:pPr>
      <w:r w:rsidRPr="00803C8F">
        <w:rPr>
          <w:iCs/>
        </w:rPr>
        <w:t xml:space="preserve">The PBAC did not recommend the listing of </w:t>
      </w:r>
      <w:proofErr w:type="spellStart"/>
      <w:r w:rsidRPr="00803C8F">
        <w:rPr>
          <w:iCs/>
        </w:rPr>
        <w:t>dostarlimab</w:t>
      </w:r>
      <w:proofErr w:type="spellEnd"/>
      <w:r w:rsidRPr="00803C8F">
        <w:rPr>
          <w:iCs/>
        </w:rPr>
        <w:t xml:space="preserve"> for the treatment of patients with </w:t>
      </w:r>
      <w:r w:rsidR="007C1D21">
        <w:rPr>
          <w:iCs/>
        </w:rPr>
        <w:t xml:space="preserve">recurrent or </w:t>
      </w:r>
      <w:r w:rsidRPr="00803C8F">
        <w:rPr>
          <w:iCs/>
        </w:rPr>
        <w:t xml:space="preserve">advanced </w:t>
      </w:r>
      <w:proofErr w:type="spellStart"/>
      <w:r w:rsidRPr="00803C8F">
        <w:rPr>
          <w:iCs/>
        </w:rPr>
        <w:t>dMMR</w:t>
      </w:r>
      <w:proofErr w:type="spellEnd"/>
      <w:r w:rsidRPr="00803C8F">
        <w:rPr>
          <w:iCs/>
        </w:rPr>
        <w:t xml:space="preserve"> endometrial cancer who have disease progression following prior systemic therapy. The PBAC </w:t>
      </w:r>
      <w:r w:rsidR="00B96DB9">
        <w:rPr>
          <w:iCs/>
        </w:rPr>
        <w:t xml:space="preserve">noted that the evidence submitted for </w:t>
      </w:r>
      <w:proofErr w:type="spellStart"/>
      <w:r w:rsidR="00B96DB9">
        <w:rPr>
          <w:iCs/>
        </w:rPr>
        <w:t>dostarlimab</w:t>
      </w:r>
      <w:proofErr w:type="spellEnd"/>
      <w:r w:rsidR="00B96DB9">
        <w:rPr>
          <w:iCs/>
        </w:rPr>
        <w:t xml:space="preserve"> was based on a </w:t>
      </w:r>
      <w:r w:rsidR="00B96DB9" w:rsidRPr="00803C8F">
        <w:rPr>
          <w:iCs/>
        </w:rPr>
        <w:t xml:space="preserve">relatively small single arm study </w:t>
      </w:r>
      <w:r w:rsidR="00B96DB9">
        <w:rPr>
          <w:iCs/>
        </w:rPr>
        <w:t>with immature follow-up and considered there were</w:t>
      </w:r>
      <w:r w:rsidR="00B96DB9">
        <w:t xml:space="preserve"> </w:t>
      </w:r>
      <w:r w:rsidR="00B96DB9">
        <w:rPr>
          <w:iCs/>
        </w:rPr>
        <w:t xml:space="preserve">key </w:t>
      </w:r>
      <w:r w:rsidR="00B002F6">
        <w:rPr>
          <w:iCs/>
        </w:rPr>
        <w:t>transitivity</w:t>
      </w:r>
      <w:r w:rsidR="0012404F">
        <w:rPr>
          <w:iCs/>
        </w:rPr>
        <w:t xml:space="preserve"> and </w:t>
      </w:r>
      <w:r w:rsidR="00B96DB9">
        <w:rPr>
          <w:iCs/>
        </w:rPr>
        <w:t>methodological issues</w:t>
      </w:r>
      <w:r w:rsidR="00B96DB9">
        <w:t xml:space="preserve"> with the indirect comparisons presented in the submission</w:t>
      </w:r>
      <w:r w:rsidR="00B96DB9">
        <w:rPr>
          <w:iCs/>
        </w:rPr>
        <w:t xml:space="preserve">. </w:t>
      </w:r>
      <w:r w:rsidR="00DD10EC">
        <w:rPr>
          <w:iCs/>
        </w:rPr>
        <w:t xml:space="preserve">Overall, the PBAC </w:t>
      </w:r>
      <w:r w:rsidRPr="00803C8F">
        <w:rPr>
          <w:iCs/>
        </w:rPr>
        <w:t xml:space="preserve">considered that the </w:t>
      </w:r>
      <w:r w:rsidR="001D527B">
        <w:rPr>
          <w:iCs/>
        </w:rPr>
        <w:t>magnitude of</w:t>
      </w:r>
      <w:r w:rsidRPr="00803C8F">
        <w:rPr>
          <w:iCs/>
        </w:rPr>
        <w:t xml:space="preserve"> benefit </w:t>
      </w:r>
      <w:r w:rsidR="001D527B">
        <w:rPr>
          <w:iCs/>
        </w:rPr>
        <w:t>for</w:t>
      </w:r>
      <w:r w:rsidR="00DD10EC">
        <w:rPr>
          <w:iCs/>
        </w:rPr>
        <w:t xml:space="preserve"> </w:t>
      </w:r>
      <w:proofErr w:type="spellStart"/>
      <w:r w:rsidR="00DD10EC">
        <w:rPr>
          <w:iCs/>
        </w:rPr>
        <w:t>dostarlimab</w:t>
      </w:r>
      <w:proofErr w:type="spellEnd"/>
      <w:r w:rsidR="00DD10EC">
        <w:rPr>
          <w:iCs/>
        </w:rPr>
        <w:t xml:space="preserve"> </w:t>
      </w:r>
      <w:r w:rsidR="001D527B">
        <w:rPr>
          <w:iCs/>
        </w:rPr>
        <w:t>over</w:t>
      </w:r>
      <w:r w:rsidR="00DD10EC">
        <w:rPr>
          <w:iCs/>
        </w:rPr>
        <w:t xml:space="preserve"> chemotherapy </w:t>
      </w:r>
      <w:r w:rsidRPr="00803C8F">
        <w:rPr>
          <w:iCs/>
        </w:rPr>
        <w:t xml:space="preserve">was uncertain and the </w:t>
      </w:r>
      <w:r w:rsidR="00D6337A">
        <w:rPr>
          <w:iCs/>
        </w:rPr>
        <w:t xml:space="preserve">incremental </w:t>
      </w:r>
      <w:r w:rsidRPr="00803C8F">
        <w:rPr>
          <w:iCs/>
        </w:rPr>
        <w:t>cost</w:t>
      </w:r>
      <w:r w:rsidR="001D527B">
        <w:rPr>
          <w:iCs/>
        </w:rPr>
        <w:noBreakHyphen/>
      </w:r>
      <w:r w:rsidRPr="00803C8F">
        <w:rPr>
          <w:iCs/>
        </w:rPr>
        <w:t xml:space="preserve">effectiveness </w:t>
      </w:r>
      <w:r w:rsidR="00D6337A">
        <w:rPr>
          <w:iCs/>
        </w:rPr>
        <w:t>ratio was highly uncertain</w:t>
      </w:r>
      <w:r w:rsidRPr="00803C8F">
        <w:rPr>
          <w:iCs/>
        </w:rPr>
        <w:t xml:space="preserve"> </w:t>
      </w:r>
      <w:r w:rsidR="001D527B">
        <w:rPr>
          <w:iCs/>
        </w:rPr>
        <w:t xml:space="preserve">because the </w:t>
      </w:r>
      <w:r w:rsidR="00B33B9D">
        <w:rPr>
          <w:iCs/>
        </w:rPr>
        <w:t>modelled survival benefit was not adequately supported by</w:t>
      </w:r>
      <w:r w:rsidRPr="00803C8F">
        <w:rPr>
          <w:iCs/>
        </w:rPr>
        <w:t xml:space="preserve"> the </w:t>
      </w:r>
      <w:r w:rsidR="00E77531">
        <w:rPr>
          <w:iCs/>
        </w:rPr>
        <w:t>available</w:t>
      </w:r>
      <w:r w:rsidR="00E77531" w:rsidRPr="00803C8F">
        <w:rPr>
          <w:iCs/>
        </w:rPr>
        <w:t xml:space="preserve"> </w:t>
      </w:r>
      <w:r w:rsidRPr="00803C8F">
        <w:rPr>
          <w:iCs/>
        </w:rPr>
        <w:t xml:space="preserve">data. </w:t>
      </w:r>
    </w:p>
    <w:p w14:paraId="7949025A" w14:textId="5DE6A941" w:rsidR="00173C12" w:rsidRDefault="00173C12" w:rsidP="00173C12">
      <w:pPr>
        <w:pStyle w:val="ListParagraph"/>
        <w:widowControl/>
        <w:numPr>
          <w:ilvl w:val="1"/>
          <w:numId w:val="2"/>
        </w:numPr>
        <w:rPr>
          <w:iCs/>
        </w:rPr>
      </w:pPr>
      <w:r>
        <w:rPr>
          <w:iCs/>
        </w:rPr>
        <w:t>The PBAC considered that the r</w:t>
      </w:r>
      <w:r w:rsidR="001D12DC" w:rsidRPr="00A92AB0">
        <w:rPr>
          <w:iCs/>
        </w:rPr>
        <w:t>equested listing and restriction</w:t>
      </w:r>
      <w:r>
        <w:rPr>
          <w:iCs/>
        </w:rPr>
        <w:t>s were generally appropriate and should also</w:t>
      </w:r>
      <w:r w:rsidRPr="002B72DE">
        <w:rPr>
          <w:iCs/>
        </w:rPr>
        <w:t xml:space="preserve"> specify that the patient has not received prior PD</w:t>
      </w:r>
      <w:r>
        <w:rPr>
          <w:iCs/>
        </w:rPr>
        <w:noBreakHyphen/>
      </w:r>
      <w:r w:rsidRPr="002B72DE">
        <w:rPr>
          <w:iCs/>
        </w:rPr>
        <w:t>(L)1 therapy for this condition.</w:t>
      </w:r>
    </w:p>
    <w:p w14:paraId="2A74E2C6" w14:textId="2A4D1583" w:rsidR="00CE3B26" w:rsidRPr="00CE3B26" w:rsidRDefault="00173C12" w:rsidP="009D49EA">
      <w:pPr>
        <w:pStyle w:val="ListParagraph"/>
        <w:widowControl/>
        <w:numPr>
          <w:ilvl w:val="1"/>
          <w:numId w:val="2"/>
        </w:numPr>
        <w:rPr>
          <w:iCs/>
        </w:rPr>
      </w:pPr>
      <w:r>
        <w:rPr>
          <w:iCs/>
        </w:rPr>
        <w:t xml:space="preserve">The PBAC considered that the submission’s proposed clinical place for </w:t>
      </w:r>
      <w:proofErr w:type="spellStart"/>
      <w:r>
        <w:rPr>
          <w:iCs/>
        </w:rPr>
        <w:t>dostarlimab</w:t>
      </w:r>
      <w:proofErr w:type="spellEnd"/>
      <w:r w:rsidR="00991D89">
        <w:rPr>
          <w:iCs/>
        </w:rPr>
        <w:t>, which was</w:t>
      </w:r>
      <w:r>
        <w:rPr>
          <w:iCs/>
        </w:rPr>
        <w:t xml:space="preserve"> in patients with </w:t>
      </w:r>
      <w:proofErr w:type="spellStart"/>
      <w:r>
        <w:rPr>
          <w:iCs/>
        </w:rPr>
        <w:t>dMMR</w:t>
      </w:r>
      <w:proofErr w:type="spellEnd"/>
      <w:r>
        <w:rPr>
          <w:iCs/>
        </w:rPr>
        <w:t xml:space="preserve"> EC </w:t>
      </w:r>
      <w:r w:rsidR="00991D89">
        <w:rPr>
          <w:iCs/>
        </w:rPr>
        <w:t xml:space="preserve">who have </w:t>
      </w:r>
      <w:r w:rsidR="00991D89" w:rsidRPr="006710E4">
        <w:t>progressed on or following prior treatment with a platinum-</w:t>
      </w:r>
      <w:r w:rsidR="00DD10EC">
        <w:t>based chemotherapy (PBC)</w:t>
      </w:r>
      <w:r w:rsidR="00991D89">
        <w:t>,</w:t>
      </w:r>
      <w:r w:rsidR="00991D89">
        <w:rPr>
          <w:iCs/>
        </w:rPr>
        <w:t xml:space="preserve"> </w:t>
      </w:r>
      <w:r>
        <w:rPr>
          <w:iCs/>
        </w:rPr>
        <w:t xml:space="preserve">was appropriate in line with the available evidence from the GARNET study. The PBAC </w:t>
      </w:r>
      <w:r w:rsidR="00991D89">
        <w:rPr>
          <w:iCs/>
        </w:rPr>
        <w:t xml:space="preserve">noted </w:t>
      </w:r>
      <w:r w:rsidR="009D49EA">
        <w:rPr>
          <w:iCs/>
        </w:rPr>
        <w:t xml:space="preserve">there was an on-going </w:t>
      </w:r>
      <w:r w:rsidR="009D49EA" w:rsidRPr="009D49EA">
        <w:rPr>
          <w:iCs/>
        </w:rPr>
        <w:t xml:space="preserve">randomised, double-blind phase </w:t>
      </w:r>
      <w:r w:rsidR="009D49EA">
        <w:rPr>
          <w:iCs/>
        </w:rPr>
        <w:t>III</w:t>
      </w:r>
      <w:r w:rsidR="009D49EA" w:rsidRPr="009D49EA">
        <w:rPr>
          <w:iCs/>
        </w:rPr>
        <w:t xml:space="preserve"> study of </w:t>
      </w:r>
      <w:proofErr w:type="spellStart"/>
      <w:r w:rsidR="009D49EA" w:rsidRPr="009D49EA">
        <w:rPr>
          <w:iCs/>
        </w:rPr>
        <w:t>dostarlimab</w:t>
      </w:r>
      <w:proofErr w:type="spellEnd"/>
      <w:r w:rsidR="009D49EA" w:rsidRPr="009D49EA">
        <w:rPr>
          <w:iCs/>
        </w:rPr>
        <w:t xml:space="preserve"> in combination with chemotherapy versus chemotherapy alone in patients with recurrent (first recurrence only) or primary advanced EC</w:t>
      </w:r>
      <w:r w:rsidR="009D49EA">
        <w:rPr>
          <w:iCs/>
        </w:rPr>
        <w:t>, the RUBY trial. The PBAC</w:t>
      </w:r>
      <w:r w:rsidR="00991D89">
        <w:rPr>
          <w:iCs/>
        </w:rPr>
        <w:t xml:space="preserve"> </w:t>
      </w:r>
      <w:r>
        <w:rPr>
          <w:iCs/>
        </w:rPr>
        <w:t xml:space="preserve">considered that evidence from the RUBY trial may shift the clinical place for </w:t>
      </w:r>
      <w:proofErr w:type="spellStart"/>
      <w:r>
        <w:rPr>
          <w:iCs/>
        </w:rPr>
        <w:t>dostarlimab</w:t>
      </w:r>
      <w:proofErr w:type="spellEnd"/>
      <w:r>
        <w:rPr>
          <w:iCs/>
        </w:rPr>
        <w:t xml:space="preserve"> to the first line setting </w:t>
      </w:r>
      <w:r>
        <w:t>in combination with chemotherapy.</w:t>
      </w:r>
    </w:p>
    <w:p w14:paraId="068D70D9" w14:textId="6A3F0EA4" w:rsidR="003E1BAC" w:rsidRPr="00CE3B26" w:rsidRDefault="003E1BAC" w:rsidP="00CE3B26">
      <w:pPr>
        <w:pStyle w:val="ListParagraph"/>
        <w:widowControl/>
        <w:numPr>
          <w:ilvl w:val="1"/>
          <w:numId w:val="2"/>
        </w:numPr>
        <w:rPr>
          <w:iCs/>
        </w:rPr>
      </w:pPr>
      <w:r>
        <w:t>The submission nominated SoC comprising single-agent chemotherapy and PBC as the main comparator. The PBAC noted that some patients would be expected to receive combination chemotherapy (</w:t>
      </w:r>
      <w:proofErr w:type="gramStart"/>
      <w:r>
        <w:t>e.g.</w:t>
      </w:r>
      <w:proofErr w:type="gramEnd"/>
      <w:r>
        <w:t xml:space="preserve"> carboplatin + paclitaxel or doxorubicin). Overall, the PBAC considered that the nominated comparator was appropriate, however noted that, should pembrolizumab </w:t>
      </w:r>
      <w:r w:rsidRPr="00CE3B26">
        <w:rPr>
          <w:rFonts w:cs="Calibri"/>
        </w:rPr>
        <w:t>±</w:t>
      </w:r>
      <w:r>
        <w:t xml:space="preserve"> </w:t>
      </w:r>
      <w:proofErr w:type="spellStart"/>
      <w:r>
        <w:t>lenvatinib</w:t>
      </w:r>
      <w:proofErr w:type="spellEnd"/>
      <w:r>
        <w:t xml:space="preserve"> be PBS listed in this indication, it </w:t>
      </w:r>
      <w:r w:rsidR="00CE3B26">
        <w:t xml:space="preserve">may </w:t>
      </w:r>
      <w:r>
        <w:t xml:space="preserve">become the relevant comparator for </w:t>
      </w:r>
      <w:proofErr w:type="spellStart"/>
      <w:r>
        <w:t>dostarlimab</w:t>
      </w:r>
      <w:proofErr w:type="spellEnd"/>
      <w:r>
        <w:t xml:space="preserve">. </w:t>
      </w:r>
    </w:p>
    <w:p w14:paraId="28978929" w14:textId="7852F749" w:rsidR="007D4625" w:rsidRDefault="0052109E" w:rsidP="00CE3B26">
      <w:pPr>
        <w:pStyle w:val="ListParagraph"/>
        <w:widowControl/>
        <w:numPr>
          <w:ilvl w:val="1"/>
          <w:numId w:val="2"/>
        </w:numPr>
        <w:rPr>
          <w:iCs/>
        </w:rPr>
      </w:pPr>
      <w:r>
        <w:t xml:space="preserve">The PBAC noted that the evidence for </w:t>
      </w:r>
      <w:proofErr w:type="spellStart"/>
      <w:r>
        <w:t>dostarlimab</w:t>
      </w:r>
      <w:proofErr w:type="spellEnd"/>
      <w:r>
        <w:t xml:space="preserve"> was based on </w:t>
      </w:r>
      <w:r w:rsidR="00CE3B26">
        <w:t xml:space="preserve">a cohort of patients with </w:t>
      </w:r>
      <w:proofErr w:type="spellStart"/>
      <w:r>
        <w:t>dMMR</w:t>
      </w:r>
      <w:proofErr w:type="spellEnd"/>
      <w:r>
        <w:t>/MSI</w:t>
      </w:r>
      <w:r>
        <w:noBreakHyphen/>
        <w:t xml:space="preserve">H </w:t>
      </w:r>
      <w:r w:rsidR="00CE3B26">
        <w:t>endometrial cancer from</w:t>
      </w:r>
      <w:r>
        <w:t xml:space="preserve"> an on-going, single</w:t>
      </w:r>
      <w:r>
        <w:noBreakHyphen/>
        <w:t xml:space="preserve">arm, open-label, phase I/II study of </w:t>
      </w:r>
      <w:proofErr w:type="spellStart"/>
      <w:r>
        <w:t>dostarlimab</w:t>
      </w:r>
      <w:proofErr w:type="spellEnd"/>
      <w:r>
        <w:t xml:space="preserve"> in patients with advanced solid tumours (the GARNET study). The </w:t>
      </w:r>
      <w:r w:rsidRPr="0052109E">
        <w:rPr>
          <w:iCs/>
        </w:rPr>
        <w:t xml:space="preserve">submission </w:t>
      </w:r>
      <w:r w:rsidR="00380883">
        <w:rPr>
          <w:iCs/>
        </w:rPr>
        <w:t>presented</w:t>
      </w:r>
      <w:r w:rsidRPr="0052109E">
        <w:rPr>
          <w:iCs/>
        </w:rPr>
        <w:t>: naïve indirect comparisons of GARNET Cohort A1 (n=129</w:t>
      </w:r>
      <w:r w:rsidR="00D95000">
        <w:rPr>
          <w:iCs/>
        </w:rPr>
        <w:t xml:space="preserve"> in the submission data-cut</w:t>
      </w:r>
      <w:r w:rsidR="00436572">
        <w:rPr>
          <w:iCs/>
        </w:rPr>
        <w:t xml:space="preserve"> IA-2</w:t>
      </w:r>
      <w:r w:rsidRPr="0052109E">
        <w:rPr>
          <w:iCs/>
        </w:rPr>
        <w:t xml:space="preserve">) versus the SoC arms of four randomised trials </w:t>
      </w:r>
      <w:r w:rsidR="00190CA9">
        <w:rPr>
          <w:iCs/>
        </w:rPr>
        <w:t>and</w:t>
      </w:r>
      <w:r w:rsidRPr="0052109E">
        <w:rPr>
          <w:iCs/>
        </w:rPr>
        <w:t xml:space="preserve"> one </w:t>
      </w:r>
      <w:r w:rsidR="0090222A">
        <w:rPr>
          <w:iCs/>
        </w:rPr>
        <w:t>descriptive, non-interventional</w:t>
      </w:r>
      <w:r w:rsidR="0090222A" w:rsidRPr="0052109E">
        <w:rPr>
          <w:iCs/>
        </w:rPr>
        <w:t xml:space="preserve"> </w:t>
      </w:r>
      <w:r w:rsidR="007C0BB2">
        <w:rPr>
          <w:iCs/>
        </w:rPr>
        <w:t>cohort study (UK RWE)</w:t>
      </w:r>
      <w:r w:rsidRPr="0052109E">
        <w:rPr>
          <w:iCs/>
        </w:rPr>
        <w:t xml:space="preserve">; and an IPTW analysis comparing </w:t>
      </w:r>
      <w:proofErr w:type="spellStart"/>
      <w:r w:rsidRPr="0052109E">
        <w:rPr>
          <w:iCs/>
        </w:rPr>
        <w:t>dostarlimab</w:t>
      </w:r>
      <w:proofErr w:type="spellEnd"/>
      <w:r w:rsidRPr="0052109E">
        <w:rPr>
          <w:iCs/>
        </w:rPr>
        <w:t xml:space="preserve"> to doxorubicin.</w:t>
      </w:r>
      <w:r>
        <w:rPr>
          <w:iCs/>
        </w:rPr>
        <w:t xml:space="preserve"> The </w:t>
      </w:r>
      <w:r w:rsidRPr="0052109E">
        <w:rPr>
          <w:iCs/>
        </w:rPr>
        <w:t xml:space="preserve">PBAC </w:t>
      </w:r>
      <w:r>
        <w:rPr>
          <w:iCs/>
        </w:rPr>
        <w:t>noted</w:t>
      </w:r>
      <w:r w:rsidRPr="0052109E">
        <w:rPr>
          <w:iCs/>
        </w:rPr>
        <w:t xml:space="preserve"> that even with the longer follow-up provided in the PSCR, the OS data from GARNET Cohort A1 were relatively immature with median survival not reached.</w:t>
      </w:r>
      <w:r>
        <w:rPr>
          <w:iCs/>
        </w:rPr>
        <w:t xml:space="preserve"> </w:t>
      </w:r>
      <w:r w:rsidR="00380883">
        <w:t xml:space="preserve">The PBAC considered that the immaturity of the </w:t>
      </w:r>
      <w:r w:rsidR="00674A45">
        <w:t xml:space="preserve">single-arm </w:t>
      </w:r>
      <w:r w:rsidR="00380883">
        <w:t>data from GARNET Cohort</w:t>
      </w:r>
      <w:r w:rsidR="00674A45">
        <w:t xml:space="preserve"> A1, along with the</w:t>
      </w:r>
      <w:r w:rsidR="00380883">
        <w:t xml:space="preserve"> </w:t>
      </w:r>
      <w:r w:rsidR="00674A45">
        <w:rPr>
          <w:iCs/>
        </w:rPr>
        <w:t xml:space="preserve">key </w:t>
      </w:r>
      <w:r w:rsidR="007C0BB2">
        <w:rPr>
          <w:iCs/>
        </w:rPr>
        <w:t>transitivity</w:t>
      </w:r>
      <w:r w:rsidR="00674A45">
        <w:rPr>
          <w:iCs/>
        </w:rPr>
        <w:t xml:space="preserve"> </w:t>
      </w:r>
      <w:r w:rsidR="007C0BB2">
        <w:rPr>
          <w:iCs/>
        </w:rPr>
        <w:t xml:space="preserve">and methodological </w:t>
      </w:r>
      <w:r w:rsidR="00674A45">
        <w:rPr>
          <w:iCs/>
        </w:rPr>
        <w:t>issues</w:t>
      </w:r>
      <w:r w:rsidR="00674A45">
        <w:t xml:space="preserve"> identified with the IPTW analysis, </w:t>
      </w:r>
      <w:r w:rsidR="00380883">
        <w:t xml:space="preserve">limited the ability to </w:t>
      </w:r>
      <w:r w:rsidR="007B73A0">
        <w:t xml:space="preserve">assess </w:t>
      </w:r>
      <w:r w:rsidR="00C23A97">
        <w:t>the magnitude of any</w:t>
      </w:r>
      <w:r w:rsidR="00380883">
        <w:t xml:space="preserve"> OS benefit from the indirect comparisons presented. </w:t>
      </w:r>
    </w:p>
    <w:p w14:paraId="1B4D9432" w14:textId="14E5D514" w:rsidR="0052109E" w:rsidRPr="0052109E" w:rsidRDefault="00B33B9D" w:rsidP="00CE3B26">
      <w:pPr>
        <w:pStyle w:val="ListParagraph"/>
        <w:widowControl/>
        <w:numPr>
          <w:ilvl w:val="1"/>
          <w:numId w:val="2"/>
        </w:numPr>
        <w:rPr>
          <w:iCs/>
        </w:rPr>
      </w:pPr>
      <w:r>
        <w:t xml:space="preserve">From the naïve comparison, the lower confidence limit for median OS of </w:t>
      </w:r>
      <w:r>
        <w:rPr>
          <w:iCs/>
        </w:rPr>
        <w:t>27.1</w:t>
      </w:r>
      <w:r>
        <w:t xml:space="preserve"> months was higher than the upper confidence limit on SoC arms in the included studies (</w:t>
      </w:r>
      <w:r>
        <w:rPr>
          <w:iCs/>
        </w:rPr>
        <w:t>11.1-19.6</w:t>
      </w:r>
      <w:r>
        <w:t xml:space="preserve"> months, including the UK RWE). </w:t>
      </w:r>
      <w:r w:rsidR="007D4625">
        <w:t xml:space="preserve">The PBAC noted the submission reported a </w:t>
      </w:r>
      <w:r w:rsidR="00406A74">
        <w:t>statistically</w:t>
      </w:r>
      <w:r w:rsidR="007D4625">
        <w:t xml:space="preserve"> significant improvement in OS for </w:t>
      </w:r>
      <w:proofErr w:type="spellStart"/>
      <w:r w:rsidR="007D4625">
        <w:t>dostarlimab</w:t>
      </w:r>
      <w:proofErr w:type="spellEnd"/>
      <w:r w:rsidR="007D4625">
        <w:t xml:space="preserve"> versus doxorubicin, based on the IPTW comparison (HR=0.41; 95% CI: 0.28, 0.61; p&lt;0.0001), which </w:t>
      </w:r>
      <w:r w:rsidR="00B92A73">
        <w:t>w</w:t>
      </w:r>
      <w:r>
        <w:t>as</w:t>
      </w:r>
      <w:r w:rsidR="00B92A73">
        <w:t xml:space="preserve"> consistent with</w:t>
      </w:r>
      <w:r w:rsidR="007D4625">
        <w:t xml:space="preserve"> the naïve indirect comparisons. However, the </w:t>
      </w:r>
      <w:r w:rsidR="00380883">
        <w:t xml:space="preserve">PBAC noted that only a small benefit in PFS was observed in the indirect naïve comparison, which did not meet the MCID. </w:t>
      </w:r>
      <w:r w:rsidR="00380883">
        <w:rPr>
          <w:iCs/>
        </w:rPr>
        <w:t xml:space="preserve">The PBAC considered that </w:t>
      </w:r>
      <w:proofErr w:type="spellStart"/>
      <w:r w:rsidR="00380883">
        <w:rPr>
          <w:iCs/>
        </w:rPr>
        <w:t>dostarlimab</w:t>
      </w:r>
      <w:proofErr w:type="spellEnd"/>
      <w:r w:rsidR="00380883">
        <w:rPr>
          <w:iCs/>
        </w:rPr>
        <w:t xml:space="preserve"> appears to demonstrate clinical activity in </w:t>
      </w:r>
      <w:proofErr w:type="spellStart"/>
      <w:r w:rsidR="00380883">
        <w:rPr>
          <w:iCs/>
        </w:rPr>
        <w:t>dMMR</w:t>
      </w:r>
      <w:proofErr w:type="spellEnd"/>
      <w:r w:rsidR="00380883">
        <w:rPr>
          <w:iCs/>
        </w:rPr>
        <w:t xml:space="preserve"> EC, however </w:t>
      </w:r>
      <w:r w:rsidR="00436572">
        <w:rPr>
          <w:iCs/>
        </w:rPr>
        <w:t>the magnitude of benefit</w:t>
      </w:r>
      <w:r w:rsidR="007D4625">
        <w:rPr>
          <w:iCs/>
        </w:rPr>
        <w:t xml:space="preserve"> in terms of </w:t>
      </w:r>
      <w:r w:rsidR="00380883">
        <w:rPr>
          <w:iCs/>
        </w:rPr>
        <w:t>OS</w:t>
      </w:r>
      <w:r w:rsidR="007D4625">
        <w:rPr>
          <w:iCs/>
        </w:rPr>
        <w:t xml:space="preserve"> and PFS </w:t>
      </w:r>
      <w:r w:rsidR="00436572">
        <w:rPr>
          <w:iCs/>
        </w:rPr>
        <w:t>is uncertain</w:t>
      </w:r>
      <w:r w:rsidR="007D4625">
        <w:rPr>
          <w:iCs/>
        </w:rPr>
        <w:t xml:space="preserve"> due to the </w:t>
      </w:r>
      <w:proofErr w:type="gramStart"/>
      <w:r w:rsidR="007D4625">
        <w:rPr>
          <w:iCs/>
        </w:rPr>
        <w:t>low quality</w:t>
      </w:r>
      <w:proofErr w:type="gramEnd"/>
      <w:r w:rsidR="007D4625">
        <w:rPr>
          <w:iCs/>
        </w:rPr>
        <w:t xml:space="preserve"> evidence, the immaturity of the data, and limitations of the indirect comparisons. </w:t>
      </w:r>
    </w:p>
    <w:p w14:paraId="276BA97D" w14:textId="34A4B172" w:rsidR="00406A74" w:rsidRDefault="00406A74" w:rsidP="00CE3B26">
      <w:pPr>
        <w:pStyle w:val="ListParagraph"/>
        <w:widowControl/>
        <w:numPr>
          <w:ilvl w:val="1"/>
          <w:numId w:val="2"/>
        </w:numPr>
        <w:rPr>
          <w:iCs/>
          <w:snapToGrid/>
        </w:rPr>
      </w:pPr>
      <w:r>
        <w:rPr>
          <w:iCs/>
        </w:rPr>
        <w:t xml:space="preserve">The PBAC </w:t>
      </w:r>
      <w:r w:rsidR="00C23A97">
        <w:rPr>
          <w:iCs/>
        </w:rPr>
        <w:t xml:space="preserve">considered </w:t>
      </w:r>
      <w:r>
        <w:rPr>
          <w:iCs/>
        </w:rPr>
        <w:t xml:space="preserve">that the </w:t>
      </w:r>
      <w:r w:rsidR="00CE3B26">
        <w:rPr>
          <w:iCs/>
        </w:rPr>
        <w:t xml:space="preserve">safety </w:t>
      </w:r>
      <w:r>
        <w:rPr>
          <w:iCs/>
        </w:rPr>
        <w:t xml:space="preserve">comparison of </w:t>
      </w:r>
      <w:proofErr w:type="spellStart"/>
      <w:r>
        <w:rPr>
          <w:iCs/>
        </w:rPr>
        <w:t>dostarlimab</w:t>
      </w:r>
      <w:proofErr w:type="spellEnd"/>
      <w:r>
        <w:rPr>
          <w:iCs/>
        </w:rPr>
        <w:t xml:space="preserve"> to SoC was limited due to </w:t>
      </w:r>
      <w:r w:rsidRPr="00520B23">
        <w:rPr>
          <w:iCs/>
        </w:rPr>
        <w:t>inconsistent reporting of disaggregated safety outcomes across the included studies</w:t>
      </w:r>
      <w:r>
        <w:rPr>
          <w:iCs/>
        </w:rPr>
        <w:t xml:space="preserve"> and because </w:t>
      </w:r>
      <w:r w:rsidRPr="00520B23">
        <w:rPr>
          <w:iCs/>
        </w:rPr>
        <w:t xml:space="preserve">relatively </w:t>
      </w:r>
      <w:r>
        <w:rPr>
          <w:iCs/>
        </w:rPr>
        <w:t>few</w:t>
      </w:r>
      <w:r w:rsidRPr="00520B23">
        <w:rPr>
          <w:iCs/>
        </w:rPr>
        <w:t xml:space="preserve"> patients have been exposed to the </w:t>
      </w:r>
      <w:r w:rsidR="00B92A73">
        <w:rPr>
          <w:iCs/>
        </w:rPr>
        <w:t>approved</w:t>
      </w:r>
      <w:r w:rsidRPr="00520B23">
        <w:rPr>
          <w:iCs/>
        </w:rPr>
        <w:t xml:space="preserve"> </w:t>
      </w:r>
      <w:proofErr w:type="spellStart"/>
      <w:r w:rsidRPr="00520B23">
        <w:rPr>
          <w:iCs/>
        </w:rPr>
        <w:t>dostarlimab</w:t>
      </w:r>
      <w:proofErr w:type="spellEnd"/>
      <w:r w:rsidRPr="00520B23">
        <w:rPr>
          <w:iCs/>
        </w:rPr>
        <w:t xml:space="preserve"> dose</w:t>
      </w:r>
      <w:r>
        <w:rPr>
          <w:iCs/>
        </w:rPr>
        <w:t xml:space="preserve">, </w:t>
      </w:r>
      <w:r w:rsidRPr="00520B23">
        <w:rPr>
          <w:iCs/>
        </w:rPr>
        <w:t>with limited follow-up.</w:t>
      </w:r>
      <w:r>
        <w:rPr>
          <w:iCs/>
        </w:rPr>
        <w:t xml:space="preserve"> The PBAC noted that Grade ≥3 TEAEs and treatment related </w:t>
      </w:r>
      <w:r>
        <w:rPr>
          <w:lang w:bidi="en-US"/>
        </w:rPr>
        <w:t xml:space="preserve">Grade ≥3 TEAEs </w:t>
      </w:r>
      <w:r>
        <w:rPr>
          <w:iCs/>
        </w:rPr>
        <w:t xml:space="preserve">were generally slightly lower in GARNET Cohort A1 than in the SoC studies. </w:t>
      </w:r>
      <w:r>
        <w:rPr>
          <w:rFonts w:asciiTheme="minorHAnsi" w:hAnsiTheme="minorHAnsi"/>
          <w:szCs w:val="20"/>
        </w:rPr>
        <w:t xml:space="preserve">Noting the limitations of the safety data available for </w:t>
      </w:r>
      <w:proofErr w:type="spellStart"/>
      <w:r>
        <w:rPr>
          <w:rFonts w:asciiTheme="minorHAnsi" w:hAnsiTheme="minorHAnsi"/>
          <w:szCs w:val="20"/>
        </w:rPr>
        <w:t>dostarlimab</w:t>
      </w:r>
      <w:proofErr w:type="spellEnd"/>
      <w:r>
        <w:rPr>
          <w:rFonts w:asciiTheme="minorHAnsi" w:hAnsiTheme="minorHAnsi"/>
          <w:szCs w:val="20"/>
        </w:rPr>
        <w:t xml:space="preserve">, the PBAC considered that the claim of non-inferior comparative safety may be reasonable and that safety outcomes are likely to be different for </w:t>
      </w:r>
      <w:proofErr w:type="spellStart"/>
      <w:r>
        <w:rPr>
          <w:rFonts w:asciiTheme="minorHAnsi" w:hAnsiTheme="minorHAnsi"/>
          <w:szCs w:val="20"/>
        </w:rPr>
        <w:t>dostarlimab</w:t>
      </w:r>
      <w:proofErr w:type="spellEnd"/>
      <w:r>
        <w:rPr>
          <w:rFonts w:asciiTheme="minorHAnsi" w:hAnsiTheme="minorHAnsi"/>
          <w:szCs w:val="20"/>
        </w:rPr>
        <w:t xml:space="preserve"> compared with chemotherapy, consistent with other PD-</w:t>
      </w:r>
      <w:r w:rsidR="006928D3">
        <w:rPr>
          <w:rFonts w:asciiTheme="minorHAnsi" w:hAnsiTheme="minorHAnsi"/>
          <w:szCs w:val="20"/>
        </w:rPr>
        <w:t>(</w:t>
      </w:r>
      <w:r>
        <w:rPr>
          <w:rFonts w:asciiTheme="minorHAnsi" w:hAnsiTheme="minorHAnsi"/>
          <w:szCs w:val="20"/>
        </w:rPr>
        <w:t>L</w:t>
      </w:r>
      <w:r w:rsidR="006928D3">
        <w:rPr>
          <w:rFonts w:asciiTheme="minorHAnsi" w:hAnsiTheme="minorHAnsi"/>
          <w:szCs w:val="20"/>
        </w:rPr>
        <w:t>)</w:t>
      </w:r>
      <w:r>
        <w:rPr>
          <w:rFonts w:asciiTheme="minorHAnsi" w:hAnsiTheme="minorHAnsi"/>
          <w:szCs w:val="20"/>
        </w:rPr>
        <w:t>1 inhibitors.</w:t>
      </w:r>
    </w:p>
    <w:p w14:paraId="6A53AF81" w14:textId="0B16D523" w:rsidR="007D4625" w:rsidRDefault="00406A74" w:rsidP="00A92AB0">
      <w:pPr>
        <w:pStyle w:val="ListParagraph"/>
        <w:widowControl/>
        <w:numPr>
          <w:ilvl w:val="1"/>
          <w:numId w:val="2"/>
        </w:numPr>
        <w:rPr>
          <w:iCs/>
        </w:rPr>
      </w:pPr>
      <w:r>
        <w:rPr>
          <w:iCs/>
        </w:rPr>
        <w:t>The PBAC noted that the PSCR provided a c</w:t>
      </w:r>
      <w:r w:rsidR="007D4625">
        <w:rPr>
          <w:iCs/>
        </w:rPr>
        <w:t>omparison with pembrolizumab</w:t>
      </w:r>
      <w:r w:rsidR="00436572">
        <w:rPr>
          <w:iCs/>
        </w:rPr>
        <w:t xml:space="preserve"> </w:t>
      </w:r>
      <w:r w:rsidR="00DB01F0">
        <w:rPr>
          <w:rFonts w:cs="Calibri"/>
        </w:rPr>
        <w:t>±</w:t>
      </w:r>
      <w:r w:rsidR="00DB01F0">
        <w:t xml:space="preserve"> </w:t>
      </w:r>
      <w:proofErr w:type="spellStart"/>
      <w:r w:rsidR="00DB01F0">
        <w:t>lenvatinib</w:t>
      </w:r>
      <w:proofErr w:type="spellEnd"/>
      <w:r w:rsidR="002112C3">
        <w:rPr>
          <w:iCs/>
        </w:rPr>
        <w:t xml:space="preserve">. The PBAC noted that comparison was a naïve indirect comparison </w:t>
      </w:r>
      <w:r w:rsidR="00436572">
        <w:rPr>
          <w:iCs/>
        </w:rPr>
        <w:t xml:space="preserve">based on the single arm </w:t>
      </w:r>
      <w:proofErr w:type="spellStart"/>
      <w:r w:rsidR="00436572">
        <w:rPr>
          <w:iCs/>
        </w:rPr>
        <w:t>dostarlimab</w:t>
      </w:r>
      <w:proofErr w:type="spellEnd"/>
      <w:r w:rsidR="00436572">
        <w:rPr>
          <w:iCs/>
        </w:rPr>
        <w:t xml:space="preserve"> study and </w:t>
      </w:r>
      <w:r w:rsidR="009264C8">
        <w:rPr>
          <w:iCs/>
        </w:rPr>
        <w:t xml:space="preserve">the </w:t>
      </w:r>
      <w:r w:rsidR="005727F4">
        <w:rPr>
          <w:iCs/>
        </w:rPr>
        <w:t xml:space="preserve">KEYNOTE-158 and </w:t>
      </w:r>
      <w:r w:rsidR="00436572" w:rsidRPr="00520B23">
        <w:rPr>
          <w:iCs/>
        </w:rPr>
        <w:t xml:space="preserve">KEYNOTE-775 </w:t>
      </w:r>
      <w:r w:rsidR="00436572">
        <w:rPr>
          <w:iCs/>
        </w:rPr>
        <w:t xml:space="preserve">trials for pembrolizumab </w:t>
      </w:r>
      <w:r w:rsidR="009264C8">
        <w:rPr>
          <w:rFonts w:cs="Calibri"/>
        </w:rPr>
        <w:t>±</w:t>
      </w:r>
      <w:r w:rsidR="00436572">
        <w:rPr>
          <w:iCs/>
        </w:rPr>
        <w:t xml:space="preserve"> </w:t>
      </w:r>
      <w:proofErr w:type="spellStart"/>
      <w:r w:rsidR="00436572">
        <w:rPr>
          <w:iCs/>
        </w:rPr>
        <w:t>lenvatinib</w:t>
      </w:r>
      <w:proofErr w:type="spellEnd"/>
      <w:r w:rsidR="002112C3">
        <w:rPr>
          <w:iCs/>
        </w:rPr>
        <w:t>. The PBAC considered that a</w:t>
      </w:r>
      <w:r w:rsidR="002112C3" w:rsidRPr="00863CF8">
        <w:rPr>
          <w:iCs/>
        </w:rPr>
        <w:t xml:space="preserve"> comparison </w:t>
      </w:r>
      <w:r w:rsidR="002112C3">
        <w:rPr>
          <w:iCs/>
        </w:rPr>
        <w:t>with pembrolizumab</w:t>
      </w:r>
      <w:r w:rsidR="00436572">
        <w:rPr>
          <w:iCs/>
        </w:rPr>
        <w:t xml:space="preserve"> </w:t>
      </w:r>
      <w:r w:rsidR="00436572">
        <w:rPr>
          <w:rFonts w:cs="Calibri"/>
        </w:rPr>
        <w:t>±</w:t>
      </w:r>
      <w:r w:rsidR="00436572">
        <w:t xml:space="preserve"> </w:t>
      </w:r>
      <w:proofErr w:type="spellStart"/>
      <w:r w:rsidR="00436572">
        <w:t>lenvatinib</w:t>
      </w:r>
      <w:proofErr w:type="spellEnd"/>
      <w:r w:rsidR="00DB01F0">
        <w:rPr>
          <w:iCs/>
        </w:rPr>
        <w:t>,</w:t>
      </w:r>
      <w:r w:rsidR="002112C3">
        <w:rPr>
          <w:iCs/>
        </w:rPr>
        <w:t xml:space="preserve"> to support </w:t>
      </w:r>
      <w:r w:rsidR="00DB01F0">
        <w:rPr>
          <w:iCs/>
        </w:rPr>
        <w:t xml:space="preserve">a </w:t>
      </w:r>
      <w:r w:rsidR="002112C3">
        <w:rPr>
          <w:iCs/>
        </w:rPr>
        <w:t>claim of non-inferior effectiveness</w:t>
      </w:r>
      <w:r w:rsidR="00DB01F0">
        <w:rPr>
          <w:iCs/>
        </w:rPr>
        <w:t>,</w:t>
      </w:r>
      <w:r w:rsidR="002112C3">
        <w:rPr>
          <w:iCs/>
        </w:rPr>
        <w:t xml:space="preserve"> </w:t>
      </w:r>
      <w:r w:rsidR="002112C3" w:rsidRPr="00863CF8">
        <w:rPr>
          <w:iCs/>
        </w:rPr>
        <w:t>would require full independent evaluation</w:t>
      </w:r>
      <w:r w:rsidR="002112C3">
        <w:rPr>
          <w:iCs/>
        </w:rPr>
        <w:t>.</w:t>
      </w:r>
    </w:p>
    <w:p w14:paraId="75AF75D5" w14:textId="242D471D" w:rsidR="00642172" w:rsidRPr="001C2A17" w:rsidRDefault="00A80248" w:rsidP="00C23A97">
      <w:pPr>
        <w:pStyle w:val="ListParagraph"/>
        <w:widowControl/>
        <w:numPr>
          <w:ilvl w:val="1"/>
          <w:numId w:val="2"/>
        </w:numPr>
        <w:rPr>
          <w:iCs/>
        </w:rPr>
      </w:pPr>
      <w:r>
        <w:t xml:space="preserve">The submission presented a stepped economic evaluation of </w:t>
      </w:r>
      <w:proofErr w:type="spellStart"/>
      <w:r>
        <w:t>dostarlimab</w:t>
      </w:r>
      <w:proofErr w:type="spellEnd"/>
      <w:r>
        <w:t xml:space="preserve"> versus SoC in A/R </w:t>
      </w:r>
      <w:proofErr w:type="spellStart"/>
      <w:r>
        <w:t>dMMR</w:t>
      </w:r>
      <w:proofErr w:type="spellEnd"/>
      <w:r>
        <w:t xml:space="preserve"> EC following PBC</w:t>
      </w:r>
      <w:r w:rsidRPr="001C2A17">
        <w:rPr>
          <w:iCs/>
        </w:rPr>
        <w:t xml:space="preserve"> based on the </w:t>
      </w:r>
      <w:r>
        <w:t>GARNET Cohort A1 (</w:t>
      </w:r>
      <w:proofErr w:type="spellStart"/>
      <w:r>
        <w:t>dostarlimab</w:t>
      </w:r>
      <w:proofErr w:type="spellEnd"/>
      <w:r>
        <w:t xml:space="preserve">) </w:t>
      </w:r>
      <w:r w:rsidR="00674A45">
        <w:t xml:space="preserve">and </w:t>
      </w:r>
      <w:proofErr w:type="spellStart"/>
      <w:r>
        <w:t>ZoptEC</w:t>
      </w:r>
      <w:proofErr w:type="spellEnd"/>
      <w:r>
        <w:t xml:space="preserve"> (doxorubicin). The PBAC noted that</w:t>
      </w:r>
      <w:r w:rsidR="00F82B6F">
        <w:t xml:space="preserve">, when different parametric survival curves were fitted to the Kaplan-Meier data for </w:t>
      </w:r>
      <w:proofErr w:type="spellStart"/>
      <w:r w:rsidR="00F82B6F">
        <w:t>dostarlimab</w:t>
      </w:r>
      <w:proofErr w:type="spellEnd"/>
      <w:r w:rsidR="00F82B6F">
        <w:t xml:space="preserve"> (using the GARNET Cohort A1, IA-2 data-cut),</w:t>
      </w:r>
      <w:r>
        <w:t xml:space="preserve"> there was a large variance in extrapolations of OS, which was more pronounced with longer extrapolation</w:t>
      </w:r>
      <w:r w:rsidR="00DB01F0">
        <w:t>s</w:t>
      </w:r>
      <w:r>
        <w:t>.</w:t>
      </w:r>
      <w:r w:rsidRPr="00A80248">
        <w:t xml:space="preserve"> </w:t>
      </w:r>
      <w:r w:rsidR="008F603F">
        <w:t xml:space="preserve">The PBAC noted that the </w:t>
      </w:r>
      <w:r w:rsidR="008F603F" w:rsidRPr="008F603F">
        <w:t xml:space="preserve">extrapolation method resulted in the model estimating a large incremental difference in survival with </w:t>
      </w:r>
      <w:proofErr w:type="spellStart"/>
      <w:r w:rsidR="008F603F" w:rsidRPr="008F603F">
        <w:t>dostarlimab</w:t>
      </w:r>
      <w:proofErr w:type="spellEnd"/>
      <w:r w:rsidR="008F603F" w:rsidRPr="008F603F">
        <w:t xml:space="preserve"> versus SoC over the course of the model time horizon</w:t>
      </w:r>
      <w:r w:rsidR="008F6DB8">
        <w:t xml:space="preserve"> (even with a </w:t>
      </w:r>
      <w:proofErr w:type="gramStart"/>
      <w:r w:rsidR="008F6DB8">
        <w:t>6.25 year</w:t>
      </w:r>
      <w:proofErr w:type="gramEnd"/>
      <w:r w:rsidR="008F6DB8">
        <w:t xml:space="preserve"> time horizon, as proposed in the pre-PBAC response)</w:t>
      </w:r>
      <w:r w:rsidR="008F603F">
        <w:t>.</w:t>
      </w:r>
      <w:r w:rsidR="008F603F" w:rsidRPr="008F603F">
        <w:t xml:space="preserve"> </w:t>
      </w:r>
      <w:r w:rsidR="008F603F" w:rsidRPr="00A80248">
        <w:t xml:space="preserve">The PBAC </w:t>
      </w:r>
      <w:r w:rsidR="008F603F">
        <w:t>considered</w:t>
      </w:r>
      <w:r w:rsidR="008F603F" w:rsidRPr="00A80248">
        <w:t xml:space="preserve"> that the choice of the parametric extrapolation function, based on an assumed plateau of OS was not well supported by the GARNET data, as the results were relatively immature</w:t>
      </w:r>
      <w:r w:rsidR="00417E9A">
        <w:t>, and this was a major source of uncertainty in the assessment of cost-effectiveness</w:t>
      </w:r>
      <w:r w:rsidR="008F603F" w:rsidRPr="00A80248">
        <w:t>.</w:t>
      </w:r>
    </w:p>
    <w:p w14:paraId="47029D4A" w14:textId="5B90B199" w:rsidR="001D12DC" w:rsidRPr="00F95DFF" w:rsidRDefault="008F603F" w:rsidP="00211D7F">
      <w:pPr>
        <w:pStyle w:val="ListParagraph"/>
        <w:widowControl/>
        <w:numPr>
          <w:ilvl w:val="1"/>
          <w:numId w:val="2"/>
        </w:numPr>
        <w:rPr>
          <w:iCs/>
        </w:rPr>
      </w:pPr>
      <w:r>
        <w:t xml:space="preserve">The PBAC noted that the pre-PBAC response attempted to address </w:t>
      </w:r>
      <w:r>
        <w:rPr>
          <w:lang w:bidi="en-US"/>
        </w:rPr>
        <w:t xml:space="preserve">the uncertainty associated with </w:t>
      </w:r>
      <w:r w:rsidR="00DB01F0">
        <w:rPr>
          <w:lang w:bidi="en-US"/>
        </w:rPr>
        <w:t xml:space="preserve">the </w:t>
      </w:r>
      <w:r>
        <w:rPr>
          <w:lang w:bidi="en-US"/>
        </w:rPr>
        <w:t xml:space="preserve">long-term survival estimates by providing a </w:t>
      </w:r>
      <w:r w:rsidRPr="00F95DFF">
        <w:rPr>
          <w:iCs/>
        </w:rPr>
        <w:t>revised model including survival curve convergence (between 5 and 7.5 years) and removal of terminal care costs</w:t>
      </w:r>
      <w:r w:rsidR="00642172" w:rsidRPr="00F95DFF">
        <w:rPr>
          <w:iCs/>
        </w:rPr>
        <w:t xml:space="preserve"> and</w:t>
      </w:r>
      <w:r w:rsidRPr="00F95DFF">
        <w:rPr>
          <w:iCs/>
        </w:rPr>
        <w:t xml:space="preserve"> an alternative analysis</w:t>
      </w:r>
      <w:r w:rsidR="008F6DB8" w:rsidRPr="00F95DFF">
        <w:rPr>
          <w:iCs/>
        </w:rPr>
        <w:t xml:space="preserve"> (which resulted in a similar ICER/QALY but did not require structural changes to the evaluated model)</w:t>
      </w:r>
      <w:r w:rsidRPr="00F95DFF">
        <w:rPr>
          <w:iCs/>
        </w:rPr>
        <w:t xml:space="preserve"> with a </w:t>
      </w:r>
      <w:proofErr w:type="gramStart"/>
      <w:r w:rsidRPr="00F95DFF">
        <w:rPr>
          <w:iCs/>
        </w:rPr>
        <w:t>6.25 year</w:t>
      </w:r>
      <w:proofErr w:type="gramEnd"/>
      <w:r w:rsidRPr="00F95DFF">
        <w:rPr>
          <w:iCs/>
        </w:rPr>
        <w:t xml:space="preserve"> time horizon (no convergence) and removal of terminal care costs. </w:t>
      </w:r>
      <w:r w:rsidR="00417E9A" w:rsidRPr="00F95DFF">
        <w:rPr>
          <w:iCs/>
        </w:rPr>
        <w:t xml:space="preserve">The PBAC noted that the requested price for </w:t>
      </w:r>
      <w:proofErr w:type="spellStart"/>
      <w:r w:rsidR="00417E9A" w:rsidRPr="00F95DFF">
        <w:rPr>
          <w:iCs/>
        </w:rPr>
        <w:t>dostarlimab</w:t>
      </w:r>
      <w:proofErr w:type="spellEnd"/>
      <w:r w:rsidR="00417E9A" w:rsidRPr="00F95DFF">
        <w:rPr>
          <w:iCs/>
        </w:rPr>
        <w:t xml:space="preserve"> was reduced to maintain an ICER of </w:t>
      </w:r>
      <w:r w:rsidR="00F95DFF" w:rsidRPr="00F95DFF">
        <w:rPr>
          <w:iCs/>
        </w:rPr>
        <w:t>$55,000 to &lt; $75,000</w:t>
      </w:r>
      <w:r w:rsidR="00417E9A" w:rsidRPr="00F95DFF">
        <w:rPr>
          <w:iCs/>
        </w:rPr>
        <w:t xml:space="preserve">/QALY. </w:t>
      </w:r>
      <w:r w:rsidR="001C2A17" w:rsidRPr="00F95DFF">
        <w:rPr>
          <w:iCs/>
        </w:rPr>
        <w:t xml:space="preserve">The PBAC considered that the </w:t>
      </w:r>
      <w:r w:rsidR="00512C97" w:rsidRPr="00F95DFF">
        <w:rPr>
          <w:iCs/>
        </w:rPr>
        <w:t>ICER</w:t>
      </w:r>
      <w:r w:rsidR="001C2A17" w:rsidRPr="00F95DFF">
        <w:rPr>
          <w:iCs/>
        </w:rPr>
        <w:t xml:space="preserve"> remained highly uncertain due to the uncertain magnitude of benefit for </w:t>
      </w:r>
      <w:proofErr w:type="spellStart"/>
      <w:r w:rsidR="001C2A17" w:rsidRPr="00F95DFF">
        <w:rPr>
          <w:iCs/>
        </w:rPr>
        <w:t>dostarlimab</w:t>
      </w:r>
      <w:proofErr w:type="spellEnd"/>
      <w:r w:rsidR="001C2A17" w:rsidRPr="00F95DFF">
        <w:rPr>
          <w:iCs/>
        </w:rPr>
        <w:t xml:space="preserve">, based on data from a relatively small single arm study. </w:t>
      </w:r>
      <w:r w:rsidR="00417E9A" w:rsidRPr="00F95DFF">
        <w:rPr>
          <w:iCs/>
        </w:rPr>
        <w:t>The PBAC considered that the ICER was unacceptably high given the level of uncertainty in the magnitude of benefit and long-term OS.</w:t>
      </w:r>
    </w:p>
    <w:p w14:paraId="4E55CA99" w14:textId="45C6CC37" w:rsidR="001C2A17" w:rsidRPr="00B542F7" w:rsidDel="002F1D0E" w:rsidRDefault="001C2A17" w:rsidP="00C51D12">
      <w:pPr>
        <w:pStyle w:val="ListParagraph"/>
        <w:widowControl/>
        <w:numPr>
          <w:ilvl w:val="1"/>
          <w:numId w:val="2"/>
        </w:numPr>
        <w:rPr>
          <w:iCs/>
        </w:rPr>
      </w:pPr>
      <w:r w:rsidRPr="00B542F7">
        <w:rPr>
          <w:iCs/>
        </w:rPr>
        <w:t>The PBAC considered that the submission</w:t>
      </w:r>
      <w:r w:rsidR="00B542F7" w:rsidRPr="00B542F7">
        <w:rPr>
          <w:iCs/>
        </w:rPr>
        <w:t>’</w:t>
      </w:r>
      <w:r w:rsidRPr="00B542F7">
        <w:rPr>
          <w:iCs/>
        </w:rPr>
        <w:t xml:space="preserve">s financial estimates appeared </w:t>
      </w:r>
      <w:r w:rsidR="00EC0E23">
        <w:rPr>
          <w:iCs/>
        </w:rPr>
        <w:t>underestimated</w:t>
      </w:r>
      <w:r w:rsidRPr="00B542F7">
        <w:rPr>
          <w:iCs/>
        </w:rPr>
        <w:t xml:space="preserve"> due </w:t>
      </w:r>
      <w:proofErr w:type="gramStart"/>
      <w:r w:rsidRPr="00B542F7">
        <w:rPr>
          <w:iCs/>
        </w:rPr>
        <w:t>to:</w:t>
      </w:r>
      <w:proofErr w:type="gramEnd"/>
      <w:r w:rsidRPr="00B542F7">
        <w:rPr>
          <w:iCs/>
        </w:rPr>
        <w:t xml:space="preserve"> an underestimated recurrence rate</w:t>
      </w:r>
      <w:r w:rsidR="00C51D12">
        <w:rPr>
          <w:iCs/>
        </w:rPr>
        <w:t>;</w:t>
      </w:r>
      <w:r w:rsidRPr="00B542F7">
        <w:rPr>
          <w:iCs/>
        </w:rPr>
        <w:t xml:space="preserve"> </w:t>
      </w:r>
      <w:r w:rsidR="00B542F7" w:rsidRPr="00B542F7">
        <w:rPr>
          <w:iCs/>
        </w:rPr>
        <w:t>assumptions regarding 1L treatment patterns remaining unchanged</w:t>
      </w:r>
      <w:r w:rsidR="00C51D12">
        <w:rPr>
          <w:iCs/>
        </w:rPr>
        <w:t>;</w:t>
      </w:r>
      <w:r w:rsidR="00B542F7" w:rsidRPr="00B542F7">
        <w:rPr>
          <w:iCs/>
        </w:rPr>
        <w:t xml:space="preserve"> </w:t>
      </w:r>
      <w:r w:rsidR="00C51D12">
        <w:rPr>
          <w:iCs/>
        </w:rPr>
        <w:t>assumptions regarding p</w:t>
      </w:r>
      <w:r w:rsidR="00C51D12" w:rsidRPr="00C51D12">
        <w:rPr>
          <w:iCs/>
        </w:rPr>
        <w:t xml:space="preserve">rogression after 1L PBC </w:t>
      </w:r>
      <w:r w:rsidR="00C51D12">
        <w:rPr>
          <w:iCs/>
        </w:rPr>
        <w:t>being</w:t>
      </w:r>
      <w:r w:rsidR="00C51D12" w:rsidRPr="00C51D12">
        <w:rPr>
          <w:iCs/>
        </w:rPr>
        <w:t xml:space="preserve"> </w:t>
      </w:r>
      <w:r w:rsidR="00B96DB9">
        <w:rPr>
          <w:iCs/>
        </w:rPr>
        <w:t>applied inconsistently</w:t>
      </w:r>
      <w:r w:rsidR="00C51D12">
        <w:rPr>
          <w:iCs/>
        </w:rPr>
        <w:t>;</w:t>
      </w:r>
      <w:r w:rsidR="00B542F7" w:rsidRPr="00B542F7">
        <w:rPr>
          <w:iCs/>
        </w:rPr>
        <w:t xml:space="preserve"> </w:t>
      </w:r>
      <w:r w:rsidR="00512C97">
        <w:rPr>
          <w:iCs/>
        </w:rPr>
        <w:t xml:space="preserve">and </w:t>
      </w:r>
      <w:r w:rsidR="00B542F7" w:rsidRPr="00B542F7">
        <w:rPr>
          <w:iCs/>
        </w:rPr>
        <w:t xml:space="preserve">exclusion of patients who may use </w:t>
      </w:r>
      <w:proofErr w:type="spellStart"/>
      <w:r w:rsidR="00B542F7" w:rsidRPr="00B542F7">
        <w:rPr>
          <w:iCs/>
        </w:rPr>
        <w:t>dostarlimab</w:t>
      </w:r>
      <w:proofErr w:type="spellEnd"/>
      <w:r w:rsidR="00B542F7" w:rsidRPr="00B542F7">
        <w:rPr>
          <w:iCs/>
        </w:rPr>
        <w:t xml:space="preserve"> as third (or subsequent) line therapy</w:t>
      </w:r>
      <w:r w:rsidR="00EC0E23">
        <w:rPr>
          <w:iCs/>
        </w:rPr>
        <w:t>. However,</w:t>
      </w:r>
      <w:r w:rsidR="00B542F7" w:rsidRPr="00B542F7">
        <w:rPr>
          <w:iCs/>
        </w:rPr>
        <w:t xml:space="preserve"> the proportion of patients with </w:t>
      </w:r>
      <w:proofErr w:type="spellStart"/>
      <w:r w:rsidR="00B542F7" w:rsidRPr="00B542F7">
        <w:rPr>
          <w:iCs/>
        </w:rPr>
        <w:t>dMMR</w:t>
      </w:r>
      <w:proofErr w:type="spellEnd"/>
      <w:r w:rsidR="00B542F7" w:rsidRPr="00B542F7">
        <w:rPr>
          <w:iCs/>
        </w:rPr>
        <w:t xml:space="preserve"> appeared to be overestimated. The PBAC noted that the pre-PBAC response provided revised</w:t>
      </w:r>
      <w:r w:rsidR="00B542F7">
        <w:rPr>
          <w:lang w:bidi="en-US"/>
        </w:rPr>
        <w:t xml:space="preserve"> financial estimates incorporating the following changes: a</w:t>
      </w:r>
      <w:r w:rsidR="00B542F7" w:rsidRPr="00B542F7">
        <w:rPr>
          <w:iCs/>
        </w:rPr>
        <w:t xml:space="preserve"> recurrence rate of 13%, 81% </w:t>
      </w:r>
      <w:r w:rsidR="00B542F7">
        <w:rPr>
          <w:lang w:bidi="en-US"/>
        </w:rPr>
        <w:t xml:space="preserve">of Stage III/IV patients receiving 1L PBC, </w:t>
      </w:r>
      <w:proofErr w:type="spellStart"/>
      <w:r w:rsidR="00B542F7">
        <w:rPr>
          <w:lang w:bidi="en-US"/>
        </w:rPr>
        <w:t>dMMR</w:t>
      </w:r>
      <w:proofErr w:type="spellEnd"/>
      <w:r w:rsidR="00B542F7">
        <w:rPr>
          <w:lang w:bidi="en-US"/>
        </w:rPr>
        <w:t xml:space="preserve"> prevalence rate of 27% and the revised effective price. The PBAC considered these changes were appropriate and </w:t>
      </w:r>
      <w:r w:rsidRPr="00B542F7" w:rsidDel="002F1D0E">
        <w:rPr>
          <w:iCs/>
        </w:rPr>
        <w:t>given that the submission’s proposed RSA was to be based on the financial estimates presented in the submission, an</w:t>
      </w:r>
      <w:r w:rsidR="00B542F7">
        <w:rPr>
          <w:iCs/>
        </w:rPr>
        <w:t>y</w:t>
      </w:r>
      <w:r w:rsidRPr="00B542F7" w:rsidDel="002F1D0E">
        <w:rPr>
          <w:iCs/>
        </w:rPr>
        <w:t xml:space="preserve"> underestimation of the financial estimates may be considered conservative.</w:t>
      </w:r>
    </w:p>
    <w:p w14:paraId="35A141CF" w14:textId="5F0F1CD5" w:rsidR="001D12DC" w:rsidRPr="00B542F7" w:rsidRDefault="001D12DC" w:rsidP="00824177">
      <w:pPr>
        <w:pStyle w:val="ListParagraph"/>
        <w:widowControl/>
        <w:numPr>
          <w:ilvl w:val="1"/>
          <w:numId w:val="2"/>
        </w:numPr>
        <w:rPr>
          <w:iCs/>
        </w:rPr>
      </w:pPr>
      <w:r w:rsidRPr="00B542F7">
        <w:rPr>
          <w:iCs/>
        </w:rPr>
        <w:t xml:space="preserve">The PBAC considered a resubmission for </w:t>
      </w:r>
      <w:proofErr w:type="spellStart"/>
      <w:r w:rsidR="00B542F7">
        <w:rPr>
          <w:iCs/>
        </w:rPr>
        <w:t>dostarlimab</w:t>
      </w:r>
      <w:proofErr w:type="spellEnd"/>
      <w:r w:rsidRPr="00B542F7">
        <w:rPr>
          <w:iCs/>
        </w:rPr>
        <w:t xml:space="preserve"> </w:t>
      </w:r>
      <w:r w:rsidR="00D6337A">
        <w:rPr>
          <w:iCs/>
        </w:rPr>
        <w:t>may</w:t>
      </w:r>
      <w:r w:rsidR="00B542F7">
        <w:rPr>
          <w:iCs/>
        </w:rPr>
        <w:t xml:space="preserve"> require additional </w:t>
      </w:r>
      <w:proofErr w:type="gramStart"/>
      <w:r w:rsidR="00B542F7">
        <w:rPr>
          <w:iCs/>
        </w:rPr>
        <w:t>longer term</w:t>
      </w:r>
      <w:proofErr w:type="gramEnd"/>
      <w:r w:rsidR="00B542F7">
        <w:rPr>
          <w:iCs/>
        </w:rPr>
        <w:t xml:space="preserve"> data to support the modelled OS benefit, however the PBAC noted that </w:t>
      </w:r>
      <w:r w:rsidR="00824177">
        <w:rPr>
          <w:iCs/>
        </w:rPr>
        <w:t xml:space="preserve">additional data is not expected until 2024. </w:t>
      </w:r>
      <w:r w:rsidR="00D6337A">
        <w:rPr>
          <w:iCs/>
        </w:rPr>
        <w:t xml:space="preserve">The PBAC considered that a </w:t>
      </w:r>
      <w:r w:rsidR="009950B6">
        <w:rPr>
          <w:iCs/>
        </w:rPr>
        <w:t>conservative modelling approach</w:t>
      </w:r>
      <w:r w:rsidR="00D6337A">
        <w:rPr>
          <w:iCs/>
        </w:rPr>
        <w:t xml:space="preserve"> would be required to address</w:t>
      </w:r>
      <w:r w:rsidR="00417E9A">
        <w:rPr>
          <w:iCs/>
        </w:rPr>
        <w:t xml:space="preserve"> the uncertainty in the magnitude </w:t>
      </w:r>
      <w:r w:rsidR="00D6337A">
        <w:rPr>
          <w:iCs/>
        </w:rPr>
        <w:t xml:space="preserve">of benefit </w:t>
      </w:r>
      <w:r w:rsidR="00417E9A">
        <w:rPr>
          <w:iCs/>
        </w:rPr>
        <w:t xml:space="preserve">and long-term </w:t>
      </w:r>
      <w:r w:rsidR="00D6337A">
        <w:rPr>
          <w:iCs/>
        </w:rPr>
        <w:t>OS</w:t>
      </w:r>
      <w:r w:rsidR="00417E9A">
        <w:rPr>
          <w:iCs/>
        </w:rPr>
        <w:t xml:space="preserve"> for </w:t>
      </w:r>
      <w:proofErr w:type="spellStart"/>
      <w:r w:rsidR="00417E9A">
        <w:rPr>
          <w:iCs/>
        </w:rPr>
        <w:t>dostarlimab</w:t>
      </w:r>
      <w:proofErr w:type="spellEnd"/>
      <w:r w:rsidR="00D6337A">
        <w:rPr>
          <w:iCs/>
        </w:rPr>
        <w:t>.</w:t>
      </w:r>
      <w:r w:rsidR="00417E9A">
        <w:rPr>
          <w:iCs/>
        </w:rPr>
        <w:t xml:space="preserve"> </w:t>
      </w:r>
      <w:r w:rsidR="00824177">
        <w:rPr>
          <w:iCs/>
        </w:rPr>
        <w:t xml:space="preserve">The PBAC considered that a </w:t>
      </w:r>
      <w:r w:rsidR="009950B6">
        <w:rPr>
          <w:iCs/>
        </w:rPr>
        <w:t xml:space="preserve">comparison with pembrolizumab </w:t>
      </w:r>
      <w:r w:rsidR="009950B6">
        <w:rPr>
          <w:rFonts w:cs="Calibri"/>
          <w:iCs/>
        </w:rPr>
        <w:t>±</w:t>
      </w:r>
      <w:r w:rsidR="009950B6">
        <w:rPr>
          <w:iCs/>
        </w:rPr>
        <w:t xml:space="preserve"> </w:t>
      </w:r>
      <w:proofErr w:type="spellStart"/>
      <w:r w:rsidR="00DF62F5">
        <w:rPr>
          <w:iCs/>
        </w:rPr>
        <w:t>l</w:t>
      </w:r>
      <w:r w:rsidR="009950B6">
        <w:rPr>
          <w:iCs/>
        </w:rPr>
        <w:t>envatinib</w:t>
      </w:r>
      <w:proofErr w:type="spellEnd"/>
      <w:r w:rsidR="009950B6">
        <w:rPr>
          <w:iCs/>
        </w:rPr>
        <w:t xml:space="preserve"> would require </w:t>
      </w:r>
      <w:r w:rsidR="00DF62F5">
        <w:rPr>
          <w:iCs/>
        </w:rPr>
        <w:t>a full analysis as per the PBAC guidelines and evaluation</w:t>
      </w:r>
      <w:r w:rsidR="00824177">
        <w:rPr>
          <w:iCs/>
        </w:rPr>
        <w:t xml:space="preserve">. </w:t>
      </w:r>
      <w:r w:rsidRPr="00B542F7">
        <w:rPr>
          <w:iCs/>
        </w:rPr>
        <w:t>The resubmission may be lodged at any future standard due date for PBAC submissions using the standard re-entry pathway.</w:t>
      </w:r>
      <w:r w:rsidR="00824177" w:rsidRPr="00824177">
        <w:rPr>
          <w:iCs/>
        </w:rPr>
        <w:t xml:space="preserve"> </w:t>
      </w:r>
      <w:r w:rsidR="00824177">
        <w:rPr>
          <w:iCs/>
        </w:rPr>
        <w:t xml:space="preserve">Alternatively, the PBAC considered that data from the RUBY trial may support an alternative clinical place for </w:t>
      </w:r>
      <w:proofErr w:type="spellStart"/>
      <w:r w:rsidR="00824177">
        <w:rPr>
          <w:iCs/>
        </w:rPr>
        <w:t>dostarlimab</w:t>
      </w:r>
      <w:proofErr w:type="spellEnd"/>
      <w:r w:rsidR="00824177">
        <w:rPr>
          <w:iCs/>
        </w:rPr>
        <w:t xml:space="preserve"> in earlier line EC in combination with chemotherapy.</w:t>
      </w:r>
    </w:p>
    <w:p w14:paraId="6DD7A296" w14:textId="77777777" w:rsidR="008126F1" w:rsidRPr="008126F1" w:rsidRDefault="001D12DC" w:rsidP="008126F1">
      <w:pPr>
        <w:pStyle w:val="ListParagraph"/>
        <w:widowControl/>
        <w:numPr>
          <w:ilvl w:val="1"/>
          <w:numId w:val="2"/>
        </w:numPr>
      </w:pPr>
      <w:r w:rsidRPr="008126F1">
        <w:rPr>
          <w:iCs/>
        </w:rPr>
        <w:t xml:space="preserve">The PBAC noted that this submission is eligible for an Independent Review. </w:t>
      </w:r>
    </w:p>
    <w:p w14:paraId="779FFF33" w14:textId="115E6865" w:rsidR="001D12DC" w:rsidRPr="008126F1" w:rsidRDefault="001D12DC" w:rsidP="008126F1">
      <w:pPr>
        <w:widowControl/>
        <w:rPr>
          <w:b/>
          <w:bCs/>
        </w:rPr>
      </w:pPr>
      <w:r w:rsidRPr="008126F1">
        <w:rPr>
          <w:b/>
          <w:bCs/>
        </w:rPr>
        <w:t>Outcome:</w:t>
      </w:r>
    </w:p>
    <w:p w14:paraId="518C83F4" w14:textId="58FA2009" w:rsidR="00E34E56" w:rsidRDefault="001D12DC" w:rsidP="001D12DC">
      <w:pPr>
        <w:widowControl/>
      </w:pPr>
      <w:r>
        <w:t>Not recommended</w:t>
      </w:r>
    </w:p>
    <w:p w14:paraId="41A541FA" w14:textId="77777777" w:rsidR="00E34E56" w:rsidRDefault="00E34E56" w:rsidP="00E34E56">
      <w:pPr>
        <w:widowControl/>
      </w:pPr>
    </w:p>
    <w:p w14:paraId="51E08625" w14:textId="22474DBE" w:rsidR="000C2ADF" w:rsidRPr="009333B3" w:rsidRDefault="000C2ADF" w:rsidP="009333B3">
      <w:pPr>
        <w:pStyle w:val="PBACHeading1"/>
        <w:spacing w:after="160"/>
      </w:pPr>
      <w:r w:rsidRPr="009333B3">
        <w:t>Context for Decision</w:t>
      </w:r>
    </w:p>
    <w:p w14:paraId="2D8720D8" w14:textId="77777777" w:rsidR="000C2ADF" w:rsidRPr="000C2ADF" w:rsidRDefault="000C2ADF" w:rsidP="000C2ADF">
      <w:pPr>
        <w:pStyle w:val="3Bodytext"/>
        <w:ind w:firstLine="0"/>
        <w:rPr>
          <w:lang w:val="en-GB"/>
        </w:rPr>
      </w:pPr>
      <w:r w:rsidRPr="000C2ADF">
        <w:rPr>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3403CB6C" w14:textId="189BB7D7" w:rsidR="000C2ADF" w:rsidRPr="000C2ADF" w:rsidRDefault="000C2ADF" w:rsidP="009333B3">
      <w:pPr>
        <w:pStyle w:val="PBACHeading1"/>
        <w:spacing w:after="160"/>
      </w:pPr>
      <w:r w:rsidRPr="000C2ADF">
        <w:t>Sponsor’s Comment</w:t>
      </w:r>
    </w:p>
    <w:p w14:paraId="6486BB7F" w14:textId="58256FB6" w:rsidR="001D12DC" w:rsidRDefault="006928D3" w:rsidP="00B714EA">
      <w:pPr>
        <w:pStyle w:val="3Bodytext"/>
        <w:ind w:firstLine="0"/>
        <w:jc w:val="both"/>
      </w:pPr>
      <w:r w:rsidRPr="003C4077">
        <w:t xml:space="preserve">GSK is disappointed by the PBAC’s decision not to recommend </w:t>
      </w:r>
      <w:proofErr w:type="spellStart"/>
      <w:r w:rsidRPr="003C4077">
        <w:t>dostarlimab</w:t>
      </w:r>
      <w:proofErr w:type="spellEnd"/>
      <w:r w:rsidRPr="003C4077">
        <w:t xml:space="preserve"> (</w:t>
      </w:r>
      <w:proofErr w:type="spellStart"/>
      <w:r w:rsidRPr="003C4077">
        <w:t>Jemperli</w:t>
      </w:r>
      <w:proofErr w:type="spellEnd"/>
      <w:r w:rsidRPr="003C4077">
        <w:t xml:space="preserve">®) for the treatment of patients with recurrent or advanced mismatch repair deficient endometrial cancer that has progressed on or following prior treatment with a platinum-containing regimen. However, we remain committed to working with the PBAC to ensure Australian women with endometrial cancer have timely access to </w:t>
      </w:r>
      <w:proofErr w:type="spellStart"/>
      <w:r w:rsidRPr="003C4077">
        <w:t>Jemperli</w:t>
      </w:r>
      <w:proofErr w:type="spellEnd"/>
      <w:r w:rsidRPr="003C4077">
        <w:t>®.</w:t>
      </w:r>
    </w:p>
    <w:p w14:paraId="67C8BDA9" w14:textId="77777777" w:rsidR="001D12DC" w:rsidRPr="00FF79DB" w:rsidRDefault="001D12DC" w:rsidP="001D12DC">
      <w:pPr>
        <w:widowControl/>
      </w:pPr>
    </w:p>
    <w:sectPr w:rsidR="001D12DC" w:rsidRPr="00FF79DB" w:rsidSect="00E21358">
      <w:headerReference w:type="even" r:id="rId14"/>
      <w:headerReference w:type="default" r:id="rId15"/>
      <w:footerReference w:type="even" r:id="rId16"/>
      <w:footerReference w:type="default" r:id="rId17"/>
      <w:headerReference w:type="first" r:id="rId18"/>
      <w:footerReference w:type="first" r:id="rId19"/>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D899E6" w14:textId="77777777" w:rsidR="009D4533" w:rsidRDefault="009D4533" w:rsidP="00124A51">
      <w:r>
        <w:separator/>
      </w:r>
    </w:p>
    <w:p w14:paraId="1094AC1A" w14:textId="77777777" w:rsidR="009D4533" w:rsidRDefault="009D4533"/>
  </w:endnote>
  <w:endnote w:type="continuationSeparator" w:id="0">
    <w:p w14:paraId="05333FBE" w14:textId="77777777" w:rsidR="009D4533" w:rsidRDefault="009D4533" w:rsidP="00124A51">
      <w:r>
        <w:continuationSeparator/>
      </w:r>
    </w:p>
    <w:p w14:paraId="1A2121F9" w14:textId="77777777" w:rsidR="009D4533" w:rsidRDefault="009D45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altName w:val="﷽﷽﷽﷽﷽﷽桀頺ȷ"/>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22501D" w14:textId="77777777" w:rsidR="009D4533" w:rsidRDefault="009D45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b/>
        <w:bCs/>
      </w:rPr>
      <w:id w:val="1811906288"/>
      <w:docPartObj>
        <w:docPartGallery w:val="Page Numbers (Bottom of Page)"/>
        <w:docPartUnique/>
      </w:docPartObj>
    </w:sdtPr>
    <w:sdtEndPr>
      <w:rPr>
        <w:noProof/>
      </w:rPr>
    </w:sdtEndPr>
    <w:sdtContent>
      <w:p w14:paraId="42434BDB" w14:textId="77777777" w:rsidR="009D4533" w:rsidRPr="00863CF8" w:rsidRDefault="009D4533" w:rsidP="001D12DC">
        <w:pPr>
          <w:pStyle w:val="Footer"/>
          <w:jc w:val="center"/>
          <w:rPr>
            <w:b/>
            <w:bCs/>
          </w:rPr>
        </w:pPr>
      </w:p>
      <w:p w14:paraId="795EFADF" w14:textId="0504C17B" w:rsidR="009D4533" w:rsidRPr="00863CF8" w:rsidRDefault="009D4533" w:rsidP="001D12DC">
        <w:pPr>
          <w:pStyle w:val="Footer"/>
          <w:jc w:val="center"/>
          <w:rPr>
            <w:b/>
            <w:bCs/>
          </w:rPr>
        </w:pPr>
        <w:r w:rsidRPr="00863CF8">
          <w:rPr>
            <w:b/>
            <w:bCs/>
          </w:rPr>
          <w:fldChar w:fldCharType="begin"/>
        </w:r>
        <w:r w:rsidRPr="00863CF8">
          <w:rPr>
            <w:b/>
            <w:bCs/>
          </w:rPr>
          <w:instrText xml:space="preserve"> PAGE   \* MERGEFORMAT </w:instrText>
        </w:r>
        <w:r w:rsidRPr="00863CF8">
          <w:rPr>
            <w:b/>
            <w:bCs/>
          </w:rPr>
          <w:fldChar w:fldCharType="separate"/>
        </w:r>
        <w:r>
          <w:rPr>
            <w:b/>
            <w:bCs/>
            <w:noProof/>
          </w:rPr>
          <w:t>9</w:t>
        </w:r>
        <w:r w:rsidRPr="00863CF8">
          <w:rPr>
            <w:b/>
            <w:bCs/>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FBCDDF" w14:textId="77777777" w:rsidR="009D4533" w:rsidRDefault="009D45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00D272" w14:textId="77777777" w:rsidR="009D4533" w:rsidRDefault="009D4533" w:rsidP="00124A51">
      <w:r>
        <w:separator/>
      </w:r>
    </w:p>
    <w:p w14:paraId="08961404" w14:textId="77777777" w:rsidR="009D4533" w:rsidRDefault="009D4533"/>
  </w:footnote>
  <w:footnote w:type="continuationSeparator" w:id="0">
    <w:p w14:paraId="61D7EA3F" w14:textId="77777777" w:rsidR="009D4533" w:rsidRDefault="009D4533" w:rsidP="00124A51">
      <w:r>
        <w:continuationSeparator/>
      </w:r>
    </w:p>
    <w:p w14:paraId="33426D19" w14:textId="77777777" w:rsidR="009D4533" w:rsidRDefault="009D4533"/>
  </w:footnote>
  <w:footnote w:id="1">
    <w:p w14:paraId="6ADAD89B" w14:textId="2573FDAE" w:rsidR="009D4533" w:rsidRPr="0017307A" w:rsidRDefault="009D4533" w:rsidP="0017307A">
      <w:pPr>
        <w:pStyle w:val="FootnoteText"/>
        <w:rPr>
          <w:rFonts w:ascii="Arial Narrow" w:hAnsi="Arial Narrow"/>
          <w:i/>
        </w:rPr>
      </w:pPr>
      <w:r>
        <w:rPr>
          <w:rStyle w:val="FootnoteReference"/>
        </w:rPr>
        <w:footnoteRef/>
      </w:r>
      <w:r>
        <w:t xml:space="preserve"> </w:t>
      </w:r>
      <w:r w:rsidRPr="0017307A">
        <w:rPr>
          <w:rFonts w:ascii="Arial Narrow" w:hAnsi="Arial Narrow"/>
          <w:i/>
        </w:rPr>
        <w:t xml:space="preserve">Dudley J et al, Microsatellite Instability as a Biomarker for PD-1 Blockade. Clin Cancer Res February </w:t>
      </w:r>
      <w:proofErr w:type="gramStart"/>
      <w:r w:rsidRPr="0017307A">
        <w:rPr>
          <w:rFonts w:ascii="Arial Narrow" w:hAnsi="Arial Narrow"/>
          <w:i/>
        </w:rPr>
        <w:t>15</w:t>
      </w:r>
      <w:proofErr w:type="gramEnd"/>
      <w:r w:rsidRPr="0017307A">
        <w:rPr>
          <w:rFonts w:ascii="Arial Narrow" w:hAnsi="Arial Narrow"/>
          <w:i/>
        </w:rPr>
        <w:t xml:space="preserve"> 2016 (22) (4) 813-820; DOI: 10.1158/1078-0432.CCR-15-1678</w:t>
      </w:r>
      <w:r>
        <w:rPr>
          <w:rFonts w:ascii="Arial Narrow" w:hAnsi="Arial Narrow"/>
          <w:i/>
        </w:rPr>
        <w:t xml:space="preserve">. Available at </w:t>
      </w:r>
      <w:r w:rsidRPr="0017307A">
        <w:rPr>
          <w:rFonts w:ascii="Arial Narrow" w:hAnsi="Arial Narrow"/>
          <w:i/>
        </w:rPr>
        <w:t>https://clincancerres.aacrjournals.org/content/22/4/813</w:t>
      </w:r>
    </w:p>
  </w:footnote>
  <w:footnote w:id="2">
    <w:p w14:paraId="752AFFD6" w14:textId="20094BB6" w:rsidR="009D4533" w:rsidRDefault="009D4533">
      <w:pPr>
        <w:pStyle w:val="FootnoteText"/>
      </w:pPr>
      <w:r>
        <w:rPr>
          <w:rStyle w:val="FootnoteReference"/>
        </w:rPr>
        <w:footnoteRef/>
      </w:r>
      <w:r>
        <w:t xml:space="preserve"> </w:t>
      </w:r>
      <w:proofErr w:type="spellStart"/>
      <w:r w:rsidRPr="00F05009">
        <w:t>Cherny</w:t>
      </w:r>
      <w:proofErr w:type="spellEnd"/>
      <w:r w:rsidRPr="00F05009">
        <w:t xml:space="preserve"> NI, Dafni U, Bogaerts J, et al: ESMO-Magnitude of Clinical Benefit Scale version 1.1. Annals of Oncology 28:2340-2366, 2017</w:t>
      </w:r>
    </w:p>
  </w:footnote>
  <w:footnote w:id="3">
    <w:p w14:paraId="4391AA3F" w14:textId="4CD836D3" w:rsidR="009D4533" w:rsidRDefault="009D4533">
      <w:pPr>
        <w:pStyle w:val="FootnoteText"/>
      </w:pPr>
      <w:r>
        <w:rPr>
          <w:rStyle w:val="FootnoteReference"/>
        </w:rPr>
        <w:footnoteRef/>
      </w:r>
      <w:r>
        <w:t xml:space="preserve"> </w:t>
      </w:r>
      <w:r w:rsidRPr="00074C8D">
        <w:rPr>
          <w:i/>
          <w:iCs/>
        </w:rPr>
        <w:t>Note that the results presented in relation to the indirect comparison are derived from ad-hoc/ post-hoc analyses conducted by the applicant specifically for the purposes of informing the PBAC consideration. These analyses were not part of the pre-specified statistical plan for GARNET (Cohort A1) and UK RWE.  Interpretation of the results and their application should therefore be limited to seeking to understand the basis for the PBAC outcome and should not be used for any other purpose.</w:t>
      </w:r>
    </w:p>
  </w:footnote>
  <w:footnote w:id="4">
    <w:p w14:paraId="302F5126" w14:textId="70E2ACA4" w:rsidR="009D4533" w:rsidRPr="0092600D" w:rsidRDefault="009D4533" w:rsidP="0092600D">
      <w:pPr>
        <w:pStyle w:val="FootnoteText"/>
        <w:rPr>
          <w:i/>
          <w:iCs/>
        </w:rPr>
      </w:pPr>
      <w:r>
        <w:rPr>
          <w:rStyle w:val="FootnoteReference"/>
        </w:rPr>
        <w:footnoteRef/>
      </w:r>
      <w:r>
        <w:t xml:space="preserve"> </w:t>
      </w:r>
      <w:r w:rsidRPr="0092600D">
        <w:rPr>
          <w:i/>
          <w:iCs/>
        </w:rPr>
        <w:t xml:space="preserve">Note that the results presented in </w:t>
      </w:r>
      <w:r>
        <w:rPr>
          <w:i/>
          <w:iCs/>
        </w:rPr>
        <w:t xml:space="preserve">relation to the indirect comparison </w:t>
      </w:r>
      <w:r w:rsidRPr="0092600D">
        <w:rPr>
          <w:i/>
          <w:iCs/>
        </w:rPr>
        <w:t xml:space="preserve">are derived from ad-hoc/ post-hoc analyses conducted by the applicant specifically for the purposes of informing the PBAC consideration. These analyses were not part of the pre-specified statistical plan for </w:t>
      </w:r>
      <w:r>
        <w:rPr>
          <w:i/>
          <w:iCs/>
        </w:rPr>
        <w:t xml:space="preserve">GARNET (Cohort A1) and </w:t>
      </w:r>
      <w:proofErr w:type="spellStart"/>
      <w:r>
        <w:rPr>
          <w:i/>
          <w:iCs/>
        </w:rPr>
        <w:t>ZoptEC</w:t>
      </w:r>
      <w:proofErr w:type="spellEnd"/>
      <w:r w:rsidRPr="0092600D">
        <w:rPr>
          <w:i/>
          <w:iCs/>
        </w:rPr>
        <w:t>.  Interpretation of the results and their application should therefore be limited to seeking to understand the basis for the PBAC outcome and should not be used for any other purpose.</w:t>
      </w:r>
    </w:p>
    <w:p w14:paraId="35908E0B" w14:textId="2248F99F" w:rsidR="009D4533" w:rsidRDefault="009D4533" w:rsidP="0092600D">
      <w:pPr>
        <w:pStyle w:val="FootnoteText"/>
      </w:pPr>
    </w:p>
  </w:footnote>
  <w:footnote w:id="5">
    <w:p w14:paraId="61D8EA78" w14:textId="5A070FB5" w:rsidR="009D4533" w:rsidRDefault="009D4533">
      <w:pPr>
        <w:pStyle w:val="FootnoteText"/>
      </w:pPr>
      <w:r>
        <w:rPr>
          <w:rStyle w:val="FootnoteReference"/>
        </w:rPr>
        <w:footnoteRef/>
      </w:r>
      <w:r>
        <w:t xml:space="preserve"> </w:t>
      </w:r>
      <w:r w:rsidRPr="009D4533">
        <w:rPr>
          <w:i/>
          <w:iCs/>
        </w:rPr>
        <w:t>Note that the ITT results are derived from a post-hoc analysis performed specifically for the purposes of informing the PBAC consideration. This analysis was not part of the pre-specified statistical plan for GARNET. Interpretation of the results and their application should therefore be limited to seeking to understand the basis for the PBAC outcome and should not be used for any other purpose.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0C93C4" w14:textId="77777777" w:rsidR="009D4533" w:rsidRDefault="009D45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4D427F" w14:textId="2CC988A0" w:rsidR="009D4533" w:rsidRPr="00ED6EDE" w:rsidRDefault="009D4533" w:rsidP="001D12DC">
    <w:pPr>
      <w:widowControl/>
      <w:tabs>
        <w:tab w:val="center" w:pos="4153"/>
        <w:tab w:val="right" w:pos="8306"/>
      </w:tabs>
      <w:autoSpaceDE w:val="0"/>
      <w:autoSpaceDN w:val="0"/>
      <w:adjustRightInd w:val="0"/>
      <w:ind w:left="360"/>
      <w:jc w:val="center"/>
      <w:rPr>
        <w:rFonts w:asciiTheme="minorHAnsi" w:hAnsiTheme="minorHAnsi" w:cstheme="minorHAnsi"/>
        <w:i/>
        <w:iCs/>
        <w:snapToGrid/>
        <w:szCs w:val="24"/>
        <w:lang w:eastAsia="en-AU"/>
      </w:rPr>
    </w:pPr>
    <w:r>
      <w:rPr>
        <w:rFonts w:asciiTheme="minorHAnsi" w:hAnsiTheme="minorHAnsi" w:cstheme="minorHAnsi"/>
        <w:i/>
        <w:iCs/>
        <w:snapToGrid/>
        <w:szCs w:val="24"/>
        <w:lang w:eastAsia="en-AU"/>
      </w:rPr>
      <w:t>Public Summary Document</w:t>
    </w:r>
    <w:r w:rsidRPr="00ED6EDE">
      <w:rPr>
        <w:rFonts w:asciiTheme="minorHAnsi" w:hAnsiTheme="minorHAnsi" w:cstheme="minorHAnsi"/>
        <w:i/>
        <w:iCs/>
        <w:snapToGrid/>
        <w:szCs w:val="24"/>
        <w:lang w:eastAsia="en-AU"/>
      </w:rPr>
      <w:t xml:space="preserve"> – </w:t>
    </w:r>
    <w:r>
      <w:rPr>
        <w:rFonts w:asciiTheme="minorHAnsi" w:hAnsiTheme="minorHAnsi" w:cstheme="minorHAnsi"/>
        <w:i/>
        <w:iCs/>
        <w:snapToGrid/>
        <w:szCs w:val="24"/>
        <w:lang w:eastAsia="en-AU"/>
      </w:rPr>
      <w:t>March 2022</w:t>
    </w:r>
    <w:r w:rsidRPr="00ED6EDE">
      <w:rPr>
        <w:rFonts w:asciiTheme="minorHAnsi" w:hAnsiTheme="minorHAnsi" w:cstheme="minorHAnsi"/>
        <w:i/>
        <w:iCs/>
        <w:snapToGrid/>
        <w:szCs w:val="24"/>
        <w:lang w:eastAsia="en-AU"/>
      </w:rPr>
      <w:t xml:space="preserve"> PBAC Meeting</w:t>
    </w:r>
  </w:p>
  <w:p w14:paraId="378FC1A2" w14:textId="77777777" w:rsidR="009D4533" w:rsidRDefault="009D4533" w:rsidP="001D12DC">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B3BD7E" w14:textId="77777777" w:rsidR="009D4533" w:rsidRDefault="009D45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62509"/>
    <w:multiLevelType w:val="hybridMultilevel"/>
    <w:tmpl w:val="1074809A"/>
    <w:lvl w:ilvl="0" w:tplc="FF6A0902">
      <w:start w:val="1"/>
      <w:numFmt w:val="bullet"/>
      <w:lvlText w:val="-"/>
      <w:lvlJc w:val="left"/>
      <w:pPr>
        <w:tabs>
          <w:tab w:val="num" w:pos="720"/>
        </w:tabs>
        <w:ind w:left="720" w:hanging="360"/>
      </w:pPr>
      <w:rPr>
        <w:rFonts w:ascii="Times New Roman" w:hAnsi="Times New Roman" w:hint="default"/>
      </w:rPr>
    </w:lvl>
    <w:lvl w:ilvl="1" w:tplc="EC16A690" w:tentative="1">
      <w:start w:val="1"/>
      <w:numFmt w:val="bullet"/>
      <w:lvlText w:val="-"/>
      <w:lvlJc w:val="left"/>
      <w:pPr>
        <w:tabs>
          <w:tab w:val="num" w:pos="1440"/>
        </w:tabs>
        <w:ind w:left="1440" w:hanging="360"/>
      </w:pPr>
      <w:rPr>
        <w:rFonts w:ascii="Times New Roman" w:hAnsi="Times New Roman" w:hint="default"/>
      </w:rPr>
    </w:lvl>
    <w:lvl w:ilvl="2" w:tplc="853A9A76" w:tentative="1">
      <w:start w:val="1"/>
      <w:numFmt w:val="bullet"/>
      <w:lvlText w:val="-"/>
      <w:lvlJc w:val="left"/>
      <w:pPr>
        <w:tabs>
          <w:tab w:val="num" w:pos="2160"/>
        </w:tabs>
        <w:ind w:left="2160" w:hanging="360"/>
      </w:pPr>
      <w:rPr>
        <w:rFonts w:ascii="Times New Roman" w:hAnsi="Times New Roman" w:hint="default"/>
      </w:rPr>
    </w:lvl>
    <w:lvl w:ilvl="3" w:tplc="0FAA3362" w:tentative="1">
      <w:start w:val="1"/>
      <w:numFmt w:val="bullet"/>
      <w:lvlText w:val="-"/>
      <w:lvlJc w:val="left"/>
      <w:pPr>
        <w:tabs>
          <w:tab w:val="num" w:pos="2880"/>
        </w:tabs>
        <w:ind w:left="2880" w:hanging="360"/>
      </w:pPr>
      <w:rPr>
        <w:rFonts w:ascii="Times New Roman" w:hAnsi="Times New Roman" w:hint="default"/>
      </w:rPr>
    </w:lvl>
    <w:lvl w:ilvl="4" w:tplc="8EB2B1C4" w:tentative="1">
      <w:start w:val="1"/>
      <w:numFmt w:val="bullet"/>
      <w:lvlText w:val="-"/>
      <w:lvlJc w:val="left"/>
      <w:pPr>
        <w:tabs>
          <w:tab w:val="num" w:pos="3600"/>
        </w:tabs>
        <w:ind w:left="3600" w:hanging="360"/>
      </w:pPr>
      <w:rPr>
        <w:rFonts w:ascii="Times New Roman" w:hAnsi="Times New Roman" w:hint="default"/>
      </w:rPr>
    </w:lvl>
    <w:lvl w:ilvl="5" w:tplc="30EEA580" w:tentative="1">
      <w:start w:val="1"/>
      <w:numFmt w:val="bullet"/>
      <w:lvlText w:val="-"/>
      <w:lvlJc w:val="left"/>
      <w:pPr>
        <w:tabs>
          <w:tab w:val="num" w:pos="4320"/>
        </w:tabs>
        <w:ind w:left="4320" w:hanging="360"/>
      </w:pPr>
      <w:rPr>
        <w:rFonts w:ascii="Times New Roman" w:hAnsi="Times New Roman" w:hint="default"/>
      </w:rPr>
    </w:lvl>
    <w:lvl w:ilvl="6" w:tplc="CB6096AE" w:tentative="1">
      <w:start w:val="1"/>
      <w:numFmt w:val="bullet"/>
      <w:lvlText w:val="-"/>
      <w:lvlJc w:val="left"/>
      <w:pPr>
        <w:tabs>
          <w:tab w:val="num" w:pos="5040"/>
        </w:tabs>
        <w:ind w:left="5040" w:hanging="360"/>
      </w:pPr>
      <w:rPr>
        <w:rFonts w:ascii="Times New Roman" w:hAnsi="Times New Roman" w:hint="default"/>
      </w:rPr>
    </w:lvl>
    <w:lvl w:ilvl="7" w:tplc="067077EC" w:tentative="1">
      <w:start w:val="1"/>
      <w:numFmt w:val="bullet"/>
      <w:lvlText w:val="-"/>
      <w:lvlJc w:val="left"/>
      <w:pPr>
        <w:tabs>
          <w:tab w:val="num" w:pos="5760"/>
        </w:tabs>
        <w:ind w:left="5760" w:hanging="360"/>
      </w:pPr>
      <w:rPr>
        <w:rFonts w:ascii="Times New Roman" w:hAnsi="Times New Roman" w:hint="default"/>
      </w:rPr>
    </w:lvl>
    <w:lvl w:ilvl="8" w:tplc="FF34F0EA"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40008AC"/>
    <w:multiLevelType w:val="hybridMultilevel"/>
    <w:tmpl w:val="AAC02F02"/>
    <w:lvl w:ilvl="0" w:tplc="3E9E8F70">
      <w:start w:val="9"/>
      <w:numFmt w:val="decimal"/>
      <w:lvlText w:val="%1."/>
      <w:lvlJc w:val="left"/>
      <w:pPr>
        <w:ind w:left="360" w:hanging="360"/>
      </w:pPr>
      <w:rPr>
        <w:rFonts w:hint="default"/>
        <w:b w:val="0"/>
        <w:i/>
      </w:rPr>
    </w:lvl>
    <w:lvl w:ilvl="1" w:tplc="0C090019" w:tentative="1">
      <w:start w:val="1"/>
      <w:numFmt w:val="lowerLetter"/>
      <w:lvlText w:val="%2."/>
      <w:lvlJc w:val="left"/>
      <w:pPr>
        <w:ind w:left="720" w:hanging="360"/>
      </w:pPr>
    </w:lvl>
    <w:lvl w:ilvl="2" w:tplc="0C09001B" w:tentative="1">
      <w:start w:val="1"/>
      <w:numFmt w:val="lowerRoman"/>
      <w:lvlText w:val="%3."/>
      <w:lvlJc w:val="right"/>
      <w:pPr>
        <w:ind w:left="1440" w:hanging="180"/>
      </w:pPr>
    </w:lvl>
    <w:lvl w:ilvl="3" w:tplc="0C09000F" w:tentative="1">
      <w:start w:val="1"/>
      <w:numFmt w:val="decimal"/>
      <w:lvlText w:val="%4."/>
      <w:lvlJc w:val="left"/>
      <w:pPr>
        <w:ind w:left="2160" w:hanging="360"/>
      </w:pPr>
    </w:lvl>
    <w:lvl w:ilvl="4" w:tplc="0C090019" w:tentative="1">
      <w:start w:val="1"/>
      <w:numFmt w:val="lowerLetter"/>
      <w:lvlText w:val="%5."/>
      <w:lvlJc w:val="left"/>
      <w:pPr>
        <w:ind w:left="2880" w:hanging="360"/>
      </w:pPr>
    </w:lvl>
    <w:lvl w:ilvl="5" w:tplc="0C09001B" w:tentative="1">
      <w:start w:val="1"/>
      <w:numFmt w:val="lowerRoman"/>
      <w:lvlText w:val="%6."/>
      <w:lvlJc w:val="right"/>
      <w:pPr>
        <w:ind w:left="3600" w:hanging="180"/>
      </w:pPr>
    </w:lvl>
    <w:lvl w:ilvl="6" w:tplc="0C09000F" w:tentative="1">
      <w:start w:val="1"/>
      <w:numFmt w:val="decimal"/>
      <w:lvlText w:val="%7."/>
      <w:lvlJc w:val="left"/>
      <w:pPr>
        <w:ind w:left="4320" w:hanging="360"/>
      </w:pPr>
    </w:lvl>
    <w:lvl w:ilvl="7" w:tplc="0C090019" w:tentative="1">
      <w:start w:val="1"/>
      <w:numFmt w:val="lowerLetter"/>
      <w:lvlText w:val="%8."/>
      <w:lvlJc w:val="left"/>
      <w:pPr>
        <w:ind w:left="5040" w:hanging="360"/>
      </w:pPr>
    </w:lvl>
    <w:lvl w:ilvl="8" w:tplc="0C09001B" w:tentative="1">
      <w:start w:val="1"/>
      <w:numFmt w:val="lowerRoman"/>
      <w:lvlText w:val="%9."/>
      <w:lvlJc w:val="right"/>
      <w:pPr>
        <w:ind w:left="5760" w:hanging="180"/>
      </w:pPr>
    </w:lvl>
  </w:abstractNum>
  <w:abstractNum w:abstractNumId="2" w15:restartNumberingAfterBreak="0">
    <w:nsid w:val="157F56AB"/>
    <w:multiLevelType w:val="hybridMultilevel"/>
    <w:tmpl w:val="69D2F9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8437528"/>
    <w:multiLevelType w:val="hybridMultilevel"/>
    <w:tmpl w:val="9478304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19C1307B"/>
    <w:multiLevelType w:val="hybridMultilevel"/>
    <w:tmpl w:val="164CE87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5" w15:restartNumberingAfterBreak="0">
    <w:nsid w:val="1F7D278D"/>
    <w:multiLevelType w:val="hybridMultilevel"/>
    <w:tmpl w:val="F04635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16318F8"/>
    <w:multiLevelType w:val="hybridMultilevel"/>
    <w:tmpl w:val="46D8437C"/>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26553CD8"/>
    <w:multiLevelType w:val="hybridMultilevel"/>
    <w:tmpl w:val="5D90DE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A6B5CD9"/>
    <w:multiLevelType w:val="hybridMultilevel"/>
    <w:tmpl w:val="F7366B2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3B7C34E2"/>
    <w:multiLevelType w:val="hybridMultilevel"/>
    <w:tmpl w:val="AA447F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FA60647"/>
    <w:multiLevelType w:val="hybridMultilevel"/>
    <w:tmpl w:val="A454BB4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4304334C"/>
    <w:multiLevelType w:val="hybridMultilevel"/>
    <w:tmpl w:val="314A43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8D67A6"/>
    <w:multiLevelType w:val="hybridMultilevel"/>
    <w:tmpl w:val="51CA1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E8180B"/>
    <w:multiLevelType w:val="multilevel"/>
    <w:tmpl w:val="36BEA0F0"/>
    <w:lvl w:ilvl="0">
      <w:start w:val="6"/>
      <w:numFmt w:val="decimal"/>
      <w:lvlText w:val="%1"/>
      <w:lvlJc w:val="left"/>
      <w:pPr>
        <w:ind w:left="375" w:hanging="375"/>
      </w:pPr>
      <w:rPr>
        <w:i w:val="0"/>
      </w:rPr>
    </w:lvl>
    <w:lvl w:ilvl="1">
      <w:start w:val="43"/>
      <w:numFmt w:val="decimal"/>
      <w:lvlText w:val="%1.%2"/>
      <w:lvlJc w:val="left"/>
      <w:pPr>
        <w:ind w:left="375" w:hanging="375"/>
      </w:pPr>
      <w:rPr>
        <w:i w:val="0"/>
      </w:rPr>
    </w:lvl>
    <w:lvl w:ilvl="2">
      <w:start w:val="1"/>
      <w:numFmt w:val="decimal"/>
      <w:lvlText w:val="%1.%2.%3"/>
      <w:lvlJc w:val="left"/>
      <w:pPr>
        <w:ind w:left="720" w:hanging="720"/>
      </w:pPr>
      <w:rPr>
        <w:i w:val="0"/>
      </w:rPr>
    </w:lvl>
    <w:lvl w:ilvl="3">
      <w:start w:val="1"/>
      <w:numFmt w:val="decimal"/>
      <w:lvlText w:val="%1.%2.%3.%4"/>
      <w:lvlJc w:val="left"/>
      <w:pPr>
        <w:ind w:left="720" w:hanging="720"/>
      </w:pPr>
      <w:rPr>
        <w:i w:val="0"/>
      </w:rPr>
    </w:lvl>
    <w:lvl w:ilvl="4">
      <w:start w:val="1"/>
      <w:numFmt w:val="decimal"/>
      <w:lvlText w:val="%1.%2.%3.%4.%5"/>
      <w:lvlJc w:val="left"/>
      <w:pPr>
        <w:ind w:left="1080" w:hanging="1080"/>
      </w:pPr>
      <w:rPr>
        <w:i w:val="0"/>
      </w:rPr>
    </w:lvl>
    <w:lvl w:ilvl="5">
      <w:start w:val="1"/>
      <w:numFmt w:val="decimal"/>
      <w:lvlText w:val="%1.%2.%3.%4.%5.%6"/>
      <w:lvlJc w:val="left"/>
      <w:pPr>
        <w:ind w:left="1080" w:hanging="1080"/>
      </w:pPr>
      <w:rPr>
        <w:i w:val="0"/>
      </w:rPr>
    </w:lvl>
    <w:lvl w:ilvl="6">
      <w:start w:val="1"/>
      <w:numFmt w:val="decimal"/>
      <w:lvlText w:val="%1.%2.%3.%4.%5.%6.%7"/>
      <w:lvlJc w:val="left"/>
      <w:pPr>
        <w:ind w:left="1440" w:hanging="1440"/>
      </w:pPr>
      <w:rPr>
        <w:i w:val="0"/>
      </w:rPr>
    </w:lvl>
    <w:lvl w:ilvl="7">
      <w:start w:val="1"/>
      <w:numFmt w:val="decimal"/>
      <w:lvlText w:val="%1.%2.%3.%4.%5.%6.%7.%8"/>
      <w:lvlJc w:val="left"/>
      <w:pPr>
        <w:ind w:left="1440" w:hanging="1440"/>
      </w:pPr>
      <w:rPr>
        <w:i w:val="0"/>
      </w:rPr>
    </w:lvl>
    <w:lvl w:ilvl="8">
      <w:start w:val="1"/>
      <w:numFmt w:val="decimal"/>
      <w:lvlText w:val="%1.%2.%3.%4.%5.%6.%7.%8.%9"/>
      <w:lvlJc w:val="left"/>
      <w:pPr>
        <w:ind w:left="1440" w:hanging="1440"/>
      </w:pPr>
      <w:rPr>
        <w:i w:val="0"/>
      </w:rPr>
    </w:lvl>
  </w:abstractNum>
  <w:abstractNum w:abstractNumId="15" w15:restartNumberingAfterBreak="0">
    <w:nsid w:val="4AA273F8"/>
    <w:multiLevelType w:val="hybridMultilevel"/>
    <w:tmpl w:val="81E23D28"/>
    <w:lvl w:ilvl="0" w:tplc="8BCCA31A">
      <w:start w:val="1"/>
      <w:numFmt w:val="bullet"/>
      <w:lvlText w:val="-"/>
      <w:lvlJc w:val="left"/>
      <w:pPr>
        <w:tabs>
          <w:tab w:val="num" w:pos="720"/>
        </w:tabs>
        <w:ind w:left="720" w:hanging="360"/>
      </w:pPr>
      <w:rPr>
        <w:rFonts w:ascii="Times New Roman" w:hAnsi="Times New Roman" w:hint="default"/>
      </w:rPr>
    </w:lvl>
    <w:lvl w:ilvl="1" w:tplc="A05C7C00" w:tentative="1">
      <w:start w:val="1"/>
      <w:numFmt w:val="bullet"/>
      <w:lvlText w:val="-"/>
      <w:lvlJc w:val="left"/>
      <w:pPr>
        <w:tabs>
          <w:tab w:val="num" w:pos="1440"/>
        </w:tabs>
        <w:ind w:left="1440" w:hanging="360"/>
      </w:pPr>
      <w:rPr>
        <w:rFonts w:ascii="Times New Roman" w:hAnsi="Times New Roman" w:hint="default"/>
      </w:rPr>
    </w:lvl>
    <w:lvl w:ilvl="2" w:tplc="7B30611C" w:tentative="1">
      <w:start w:val="1"/>
      <w:numFmt w:val="bullet"/>
      <w:lvlText w:val="-"/>
      <w:lvlJc w:val="left"/>
      <w:pPr>
        <w:tabs>
          <w:tab w:val="num" w:pos="2160"/>
        </w:tabs>
        <w:ind w:left="2160" w:hanging="360"/>
      </w:pPr>
      <w:rPr>
        <w:rFonts w:ascii="Times New Roman" w:hAnsi="Times New Roman" w:hint="default"/>
      </w:rPr>
    </w:lvl>
    <w:lvl w:ilvl="3" w:tplc="EF1CA108" w:tentative="1">
      <w:start w:val="1"/>
      <w:numFmt w:val="bullet"/>
      <w:lvlText w:val="-"/>
      <w:lvlJc w:val="left"/>
      <w:pPr>
        <w:tabs>
          <w:tab w:val="num" w:pos="2880"/>
        </w:tabs>
        <w:ind w:left="2880" w:hanging="360"/>
      </w:pPr>
      <w:rPr>
        <w:rFonts w:ascii="Times New Roman" w:hAnsi="Times New Roman" w:hint="default"/>
      </w:rPr>
    </w:lvl>
    <w:lvl w:ilvl="4" w:tplc="5E38EC2A" w:tentative="1">
      <w:start w:val="1"/>
      <w:numFmt w:val="bullet"/>
      <w:lvlText w:val="-"/>
      <w:lvlJc w:val="left"/>
      <w:pPr>
        <w:tabs>
          <w:tab w:val="num" w:pos="3600"/>
        </w:tabs>
        <w:ind w:left="3600" w:hanging="360"/>
      </w:pPr>
      <w:rPr>
        <w:rFonts w:ascii="Times New Roman" w:hAnsi="Times New Roman" w:hint="default"/>
      </w:rPr>
    </w:lvl>
    <w:lvl w:ilvl="5" w:tplc="89423448" w:tentative="1">
      <w:start w:val="1"/>
      <w:numFmt w:val="bullet"/>
      <w:lvlText w:val="-"/>
      <w:lvlJc w:val="left"/>
      <w:pPr>
        <w:tabs>
          <w:tab w:val="num" w:pos="4320"/>
        </w:tabs>
        <w:ind w:left="4320" w:hanging="360"/>
      </w:pPr>
      <w:rPr>
        <w:rFonts w:ascii="Times New Roman" w:hAnsi="Times New Roman" w:hint="default"/>
      </w:rPr>
    </w:lvl>
    <w:lvl w:ilvl="6" w:tplc="1646C738" w:tentative="1">
      <w:start w:val="1"/>
      <w:numFmt w:val="bullet"/>
      <w:lvlText w:val="-"/>
      <w:lvlJc w:val="left"/>
      <w:pPr>
        <w:tabs>
          <w:tab w:val="num" w:pos="5040"/>
        </w:tabs>
        <w:ind w:left="5040" w:hanging="360"/>
      </w:pPr>
      <w:rPr>
        <w:rFonts w:ascii="Times New Roman" w:hAnsi="Times New Roman" w:hint="default"/>
      </w:rPr>
    </w:lvl>
    <w:lvl w:ilvl="7" w:tplc="52FC131A" w:tentative="1">
      <w:start w:val="1"/>
      <w:numFmt w:val="bullet"/>
      <w:lvlText w:val="-"/>
      <w:lvlJc w:val="left"/>
      <w:pPr>
        <w:tabs>
          <w:tab w:val="num" w:pos="5760"/>
        </w:tabs>
        <w:ind w:left="5760" w:hanging="360"/>
      </w:pPr>
      <w:rPr>
        <w:rFonts w:ascii="Times New Roman" w:hAnsi="Times New Roman" w:hint="default"/>
      </w:rPr>
    </w:lvl>
    <w:lvl w:ilvl="8" w:tplc="2A74F488"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550030CA"/>
    <w:multiLevelType w:val="hybridMultilevel"/>
    <w:tmpl w:val="EB82A1C6"/>
    <w:lvl w:ilvl="0" w:tplc="79A63372">
      <w:numFmt w:val="bullet"/>
      <w:lvlText w:val="•"/>
      <w:lvlJc w:val="left"/>
      <w:pPr>
        <w:ind w:left="1080" w:hanging="7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579535E"/>
    <w:multiLevelType w:val="hybridMultilevel"/>
    <w:tmpl w:val="F6DAD380"/>
    <w:lvl w:ilvl="0" w:tplc="79A63372">
      <w:numFmt w:val="bullet"/>
      <w:lvlText w:val="•"/>
      <w:lvlJc w:val="left"/>
      <w:pPr>
        <w:ind w:left="1130" w:hanging="720"/>
      </w:pPr>
      <w:rPr>
        <w:rFonts w:ascii="Calibri" w:eastAsia="Times New Roman" w:hAnsi="Calibri" w:cs="Calibri"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8" w15:restartNumberingAfterBreak="0">
    <w:nsid w:val="55FA2CB0"/>
    <w:multiLevelType w:val="hybridMultilevel"/>
    <w:tmpl w:val="531826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ED42CDC"/>
    <w:multiLevelType w:val="multilevel"/>
    <w:tmpl w:val="E1368C46"/>
    <w:lvl w:ilvl="0">
      <w:start w:val="1"/>
      <w:numFmt w:val="decimal"/>
      <w:lvlText w:val="%1"/>
      <w:lvlJc w:val="left"/>
      <w:pPr>
        <w:ind w:left="720" w:hanging="720"/>
      </w:pPr>
      <w:rPr>
        <w:rFonts w:hint="default"/>
        <w:b/>
        <w:color w:val="auto"/>
      </w:rPr>
    </w:lvl>
    <w:lvl w:ilvl="1">
      <w:start w:val="1"/>
      <w:numFmt w:val="decimal"/>
      <w:lvlText w:val="%2."/>
      <w:lvlJc w:val="left"/>
      <w:pPr>
        <w:ind w:left="720" w:hanging="720"/>
      </w:pPr>
      <w:rPr>
        <w:rFonts w:hint="default"/>
        <w:b w:val="0"/>
        <w:i/>
        <w:iCs/>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4763E05"/>
    <w:multiLevelType w:val="hybridMultilevel"/>
    <w:tmpl w:val="4B183136"/>
    <w:lvl w:ilvl="0" w:tplc="35348156">
      <w:start w:val="10"/>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AFA3C06"/>
    <w:multiLevelType w:val="hybridMultilevel"/>
    <w:tmpl w:val="FE4064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FEC0BF1"/>
    <w:multiLevelType w:val="hybridMultilevel"/>
    <w:tmpl w:val="1E4001C8"/>
    <w:lvl w:ilvl="0" w:tplc="0FC67A2A">
      <w:start w:val="5"/>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84D033C"/>
    <w:multiLevelType w:val="multilevel"/>
    <w:tmpl w:val="67269C94"/>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C5C3527"/>
    <w:multiLevelType w:val="hybridMultilevel"/>
    <w:tmpl w:val="B8D657D0"/>
    <w:lvl w:ilvl="0" w:tplc="0C09001B">
      <w:start w:val="1"/>
      <w:numFmt w:val="lowerRoman"/>
      <w:lvlText w:val="%1."/>
      <w:lvlJc w:val="right"/>
      <w:pPr>
        <w:ind w:left="1080" w:hanging="360"/>
      </w:pPr>
      <w:rPr>
        <w:i/>
        <w:color w:val="auto"/>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0">
    <w:nsid w:val="7F675D4D"/>
    <w:multiLevelType w:val="hybridMultilevel"/>
    <w:tmpl w:val="726E721A"/>
    <w:lvl w:ilvl="0" w:tplc="31BE9646">
      <w:start w:val="50"/>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9"/>
  </w:num>
  <w:num w:numId="2">
    <w:abstractNumId w:val="23"/>
  </w:num>
  <w:num w:numId="3">
    <w:abstractNumId w:val="12"/>
  </w:num>
  <w:num w:numId="4">
    <w:abstractNumId w:val="18"/>
  </w:num>
  <w:num w:numId="5">
    <w:abstractNumId w:val="5"/>
  </w:num>
  <w:num w:numId="6">
    <w:abstractNumId w:val="7"/>
  </w:num>
  <w:num w:numId="7">
    <w:abstractNumId w:val="6"/>
  </w:num>
  <w:num w:numId="8">
    <w:abstractNumId w:val="3"/>
  </w:num>
  <w:num w:numId="9">
    <w:abstractNumId w:val="22"/>
  </w:num>
  <w:num w:numId="10">
    <w:abstractNumId w:val="8"/>
  </w:num>
  <w:num w:numId="11">
    <w:abstractNumId w:val="19"/>
  </w:num>
  <w:num w:numId="12">
    <w:abstractNumId w:val="24"/>
  </w:num>
  <w:num w:numId="13">
    <w:abstractNumId w:val="1"/>
  </w:num>
  <w:num w:numId="14">
    <w:abstractNumId w:val="10"/>
  </w:num>
  <w:num w:numId="15">
    <w:abstractNumId w:val="12"/>
  </w:num>
  <w:num w:numId="16">
    <w:abstractNumId w:val="12"/>
  </w:num>
  <w:num w:numId="17">
    <w:abstractNumId w:val="12"/>
  </w:num>
  <w:num w:numId="18">
    <w:abstractNumId w:val="12"/>
  </w:num>
  <w:num w:numId="19">
    <w:abstractNumId w:val="12"/>
  </w:num>
  <w:num w:numId="20">
    <w:abstractNumId w:val="12"/>
  </w:num>
  <w:num w:numId="21">
    <w:abstractNumId w:val="2"/>
  </w:num>
  <w:num w:numId="22">
    <w:abstractNumId w:val="20"/>
  </w:num>
  <w:num w:numId="23">
    <w:abstractNumId w:val="4"/>
  </w:num>
  <w:num w:numId="24">
    <w:abstractNumId w:val="25"/>
  </w:num>
  <w:num w:numId="25">
    <w:abstractNumId w:val="14"/>
    <w:lvlOverride w:ilvl="0">
      <w:startOverride w:val="6"/>
    </w:lvlOverride>
    <w:lvlOverride w:ilvl="1">
      <w:startOverride w:val="4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12"/>
  </w:num>
  <w:num w:numId="28">
    <w:abstractNumId w:val="12"/>
  </w:num>
  <w:num w:numId="29">
    <w:abstractNumId w:val="12"/>
  </w:num>
  <w:num w:numId="30">
    <w:abstractNumId w:val="12"/>
  </w:num>
  <w:num w:numId="31">
    <w:abstractNumId w:val="12"/>
  </w:num>
  <w:num w:numId="32">
    <w:abstractNumId w:val="12"/>
  </w:num>
  <w:num w:numId="33">
    <w:abstractNumId w:val="12"/>
  </w:num>
  <w:num w:numId="34">
    <w:abstractNumId w:val="12"/>
  </w:num>
  <w:num w:numId="35">
    <w:abstractNumId w:val="21"/>
  </w:num>
  <w:num w:numId="36">
    <w:abstractNumId w:val="17"/>
  </w:num>
  <w:num w:numId="37">
    <w:abstractNumId w:val="16"/>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num>
  <w:num w:numId="40">
    <w:abstractNumId w:val="0"/>
  </w:num>
  <w:num w:numId="41">
    <w:abstractNumId w:val="15"/>
  </w:num>
  <w:num w:numId="42">
    <w:abstractNumId w:val="11"/>
  </w:num>
  <w:num w:numId="43">
    <w:abstractNumId w:val="13"/>
  </w:num>
  <w:num w:numId="44">
    <w:abstractNumId w:val="23"/>
  </w:num>
  <w:num w:numId="45">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oNotTrackFormatting/>
  <w:defaultTabStop w:val="720"/>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33A"/>
    <w:rsid w:val="00000458"/>
    <w:rsid w:val="00000790"/>
    <w:rsid w:val="0000110B"/>
    <w:rsid w:val="00001430"/>
    <w:rsid w:val="000018CE"/>
    <w:rsid w:val="00001955"/>
    <w:rsid w:val="000021B9"/>
    <w:rsid w:val="0000254F"/>
    <w:rsid w:val="00002B3C"/>
    <w:rsid w:val="00003499"/>
    <w:rsid w:val="000039B7"/>
    <w:rsid w:val="00003B83"/>
    <w:rsid w:val="000046A9"/>
    <w:rsid w:val="00004C67"/>
    <w:rsid w:val="00005AD7"/>
    <w:rsid w:val="000062C3"/>
    <w:rsid w:val="0000768E"/>
    <w:rsid w:val="00007F1F"/>
    <w:rsid w:val="000100FE"/>
    <w:rsid w:val="00010214"/>
    <w:rsid w:val="0001122D"/>
    <w:rsid w:val="0001175C"/>
    <w:rsid w:val="00011CAA"/>
    <w:rsid w:val="00011D25"/>
    <w:rsid w:val="000125C9"/>
    <w:rsid w:val="000129A5"/>
    <w:rsid w:val="00013247"/>
    <w:rsid w:val="00013345"/>
    <w:rsid w:val="000145F0"/>
    <w:rsid w:val="00014623"/>
    <w:rsid w:val="000148FE"/>
    <w:rsid w:val="00014B41"/>
    <w:rsid w:val="00014DEA"/>
    <w:rsid w:val="000150B3"/>
    <w:rsid w:val="00015886"/>
    <w:rsid w:val="000162EF"/>
    <w:rsid w:val="000164BF"/>
    <w:rsid w:val="00017A51"/>
    <w:rsid w:val="0002103A"/>
    <w:rsid w:val="00021745"/>
    <w:rsid w:val="00022119"/>
    <w:rsid w:val="0002225F"/>
    <w:rsid w:val="000222D4"/>
    <w:rsid w:val="00022C79"/>
    <w:rsid w:val="0002355A"/>
    <w:rsid w:val="00023763"/>
    <w:rsid w:val="00023FCD"/>
    <w:rsid w:val="00024025"/>
    <w:rsid w:val="000241B1"/>
    <w:rsid w:val="0002481F"/>
    <w:rsid w:val="00024B1E"/>
    <w:rsid w:val="00024DC7"/>
    <w:rsid w:val="00024F59"/>
    <w:rsid w:val="0002568A"/>
    <w:rsid w:val="00026101"/>
    <w:rsid w:val="00026884"/>
    <w:rsid w:val="000269D3"/>
    <w:rsid w:val="00026A9D"/>
    <w:rsid w:val="00026B41"/>
    <w:rsid w:val="00026DBB"/>
    <w:rsid w:val="00027305"/>
    <w:rsid w:val="000274B5"/>
    <w:rsid w:val="00027D15"/>
    <w:rsid w:val="00030300"/>
    <w:rsid w:val="00030B41"/>
    <w:rsid w:val="00030D62"/>
    <w:rsid w:val="00030D79"/>
    <w:rsid w:val="00030D9A"/>
    <w:rsid w:val="00031073"/>
    <w:rsid w:val="00031B91"/>
    <w:rsid w:val="000320B4"/>
    <w:rsid w:val="0003266A"/>
    <w:rsid w:val="00032950"/>
    <w:rsid w:val="00032DBB"/>
    <w:rsid w:val="0003365D"/>
    <w:rsid w:val="00033660"/>
    <w:rsid w:val="00033863"/>
    <w:rsid w:val="00034084"/>
    <w:rsid w:val="00035DC0"/>
    <w:rsid w:val="00035ECF"/>
    <w:rsid w:val="0003647D"/>
    <w:rsid w:val="00036829"/>
    <w:rsid w:val="000378CF"/>
    <w:rsid w:val="0004088F"/>
    <w:rsid w:val="00040895"/>
    <w:rsid w:val="00041BCD"/>
    <w:rsid w:val="0004245F"/>
    <w:rsid w:val="00042634"/>
    <w:rsid w:val="00042C04"/>
    <w:rsid w:val="0004346A"/>
    <w:rsid w:val="00043B0E"/>
    <w:rsid w:val="00043C37"/>
    <w:rsid w:val="00044272"/>
    <w:rsid w:val="00044ACE"/>
    <w:rsid w:val="00045017"/>
    <w:rsid w:val="000457A7"/>
    <w:rsid w:val="00045A2B"/>
    <w:rsid w:val="00045AF1"/>
    <w:rsid w:val="00046303"/>
    <w:rsid w:val="0004698F"/>
    <w:rsid w:val="00046EF3"/>
    <w:rsid w:val="0004724F"/>
    <w:rsid w:val="00047828"/>
    <w:rsid w:val="0004790B"/>
    <w:rsid w:val="00047ACF"/>
    <w:rsid w:val="0005028E"/>
    <w:rsid w:val="00050790"/>
    <w:rsid w:val="00050ED8"/>
    <w:rsid w:val="0005116A"/>
    <w:rsid w:val="00051B01"/>
    <w:rsid w:val="00052364"/>
    <w:rsid w:val="000527B2"/>
    <w:rsid w:val="00052B28"/>
    <w:rsid w:val="00052FA8"/>
    <w:rsid w:val="000539D0"/>
    <w:rsid w:val="00053B8D"/>
    <w:rsid w:val="00053C35"/>
    <w:rsid w:val="00053F1A"/>
    <w:rsid w:val="0005403C"/>
    <w:rsid w:val="00054621"/>
    <w:rsid w:val="000546D7"/>
    <w:rsid w:val="00055295"/>
    <w:rsid w:val="0005575E"/>
    <w:rsid w:val="00055A2D"/>
    <w:rsid w:val="00055A3D"/>
    <w:rsid w:val="00055C22"/>
    <w:rsid w:val="00055F6F"/>
    <w:rsid w:val="000563DA"/>
    <w:rsid w:val="000565F7"/>
    <w:rsid w:val="00056BFC"/>
    <w:rsid w:val="000576B8"/>
    <w:rsid w:val="000606F6"/>
    <w:rsid w:val="0006070A"/>
    <w:rsid w:val="0006080D"/>
    <w:rsid w:val="000614A4"/>
    <w:rsid w:val="000622F6"/>
    <w:rsid w:val="000631E5"/>
    <w:rsid w:val="000632E6"/>
    <w:rsid w:val="000634FB"/>
    <w:rsid w:val="00063F61"/>
    <w:rsid w:val="0006413F"/>
    <w:rsid w:val="000646CE"/>
    <w:rsid w:val="00064C0D"/>
    <w:rsid w:val="000657C0"/>
    <w:rsid w:val="00066360"/>
    <w:rsid w:val="000670AE"/>
    <w:rsid w:val="00067BDC"/>
    <w:rsid w:val="00067FC3"/>
    <w:rsid w:val="00070447"/>
    <w:rsid w:val="000705B5"/>
    <w:rsid w:val="00070BF9"/>
    <w:rsid w:val="00071248"/>
    <w:rsid w:val="000715B6"/>
    <w:rsid w:val="00071A97"/>
    <w:rsid w:val="000720B9"/>
    <w:rsid w:val="0007244F"/>
    <w:rsid w:val="0007265D"/>
    <w:rsid w:val="000731B2"/>
    <w:rsid w:val="000737A0"/>
    <w:rsid w:val="000737F7"/>
    <w:rsid w:val="00073A3D"/>
    <w:rsid w:val="00073B72"/>
    <w:rsid w:val="00074ADC"/>
    <w:rsid w:val="00074C8D"/>
    <w:rsid w:val="00074DF0"/>
    <w:rsid w:val="00075489"/>
    <w:rsid w:val="00075C9A"/>
    <w:rsid w:val="0007672F"/>
    <w:rsid w:val="00076C2C"/>
    <w:rsid w:val="000770BA"/>
    <w:rsid w:val="00077172"/>
    <w:rsid w:val="000774F0"/>
    <w:rsid w:val="00077F9A"/>
    <w:rsid w:val="00080228"/>
    <w:rsid w:val="0008028F"/>
    <w:rsid w:val="00080909"/>
    <w:rsid w:val="000812CA"/>
    <w:rsid w:val="000815D6"/>
    <w:rsid w:val="00081795"/>
    <w:rsid w:val="000819D8"/>
    <w:rsid w:val="00081B3D"/>
    <w:rsid w:val="00082019"/>
    <w:rsid w:val="0008258D"/>
    <w:rsid w:val="0008360D"/>
    <w:rsid w:val="00083A7B"/>
    <w:rsid w:val="00083E99"/>
    <w:rsid w:val="000844D8"/>
    <w:rsid w:val="00084BEA"/>
    <w:rsid w:val="000856C5"/>
    <w:rsid w:val="00085975"/>
    <w:rsid w:val="00086036"/>
    <w:rsid w:val="00086358"/>
    <w:rsid w:val="000864E6"/>
    <w:rsid w:val="00086AD3"/>
    <w:rsid w:val="00090266"/>
    <w:rsid w:val="00090410"/>
    <w:rsid w:val="00090C7E"/>
    <w:rsid w:val="00091B11"/>
    <w:rsid w:val="00091C73"/>
    <w:rsid w:val="00092047"/>
    <w:rsid w:val="0009212F"/>
    <w:rsid w:val="0009250D"/>
    <w:rsid w:val="00092600"/>
    <w:rsid w:val="0009262B"/>
    <w:rsid w:val="00092D00"/>
    <w:rsid w:val="00092D48"/>
    <w:rsid w:val="00093310"/>
    <w:rsid w:val="0009345E"/>
    <w:rsid w:val="00093577"/>
    <w:rsid w:val="0009368A"/>
    <w:rsid w:val="00093935"/>
    <w:rsid w:val="00093CE6"/>
    <w:rsid w:val="00093FF9"/>
    <w:rsid w:val="0009445C"/>
    <w:rsid w:val="00094FF1"/>
    <w:rsid w:val="00095BDD"/>
    <w:rsid w:val="00095FD2"/>
    <w:rsid w:val="00095FE5"/>
    <w:rsid w:val="00096024"/>
    <w:rsid w:val="00096284"/>
    <w:rsid w:val="000966D9"/>
    <w:rsid w:val="0009670E"/>
    <w:rsid w:val="00097621"/>
    <w:rsid w:val="0009767D"/>
    <w:rsid w:val="00097B06"/>
    <w:rsid w:val="00097B79"/>
    <w:rsid w:val="00097D18"/>
    <w:rsid w:val="000A0813"/>
    <w:rsid w:val="000A0A1A"/>
    <w:rsid w:val="000A0F13"/>
    <w:rsid w:val="000A1B8C"/>
    <w:rsid w:val="000A2646"/>
    <w:rsid w:val="000A2A38"/>
    <w:rsid w:val="000A2A4D"/>
    <w:rsid w:val="000A2A93"/>
    <w:rsid w:val="000A2D41"/>
    <w:rsid w:val="000A325E"/>
    <w:rsid w:val="000A3C5A"/>
    <w:rsid w:val="000A415F"/>
    <w:rsid w:val="000A4ACC"/>
    <w:rsid w:val="000A5472"/>
    <w:rsid w:val="000A5E91"/>
    <w:rsid w:val="000A6160"/>
    <w:rsid w:val="000A6CD9"/>
    <w:rsid w:val="000A7D08"/>
    <w:rsid w:val="000A7DEA"/>
    <w:rsid w:val="000B0670"/>
    <w:rsid w:val="000B09A8"/>
    <w:rsid w:val="000B0C07"/>
    <w:rsid w:val="000B0E75"/>
    <w:rsid w:val="000B1903"/>
    <w:rsid w:val="000B231D"/>
    <w:rsid w:val="000B2822"/>
    <w:rsid w:val="000B2D1F"/>
    <w:rsid w:val="000B2EA6"/>
    <w:rsid w:val="000B3512"/>
    <w:rsid w:val="000B3B9C"/>
    <w:rsid w:val="000B3C08"/>
    <w:rsid w:val="000B453F"/>
    <w:rsid w:val="000B4704"/>
    <w:rsid w:val="000B53FD"/>
    <w:rsid w:val="000B5AF3"/>
    <w:rsid w:val="000B5D12"/>
    <w:rsid w:val="000B5E77"/>
    <w:rsid w:val="000B5E9B"/>
    <w:rsid w:val="000B6045"/>
    <w:rsid w:val="000B629F"/>
    <w:rsid w:val="000B6CAC"/>
    <w:rsid w:val="000B6F70"/>
    <w:rsid w:val="000B739D"/>
    <w:rsid w:val="000B7612"/>
    <w:rsid w:val="000B7A67"/>
    <w:rsid w:val="000B7BE6"/>
    <w:rsid w:val="000B7F23"/>
    <w:rsid w:val="000C11A6"/>
    <w:rsid w:val="000C132C"/>
    <w:rsid w:val="000C157F"/>
    <w:rsid w:val="000C17DA"/>
    <w:rsid w:val="000C2ADF"/>
    <w:rsid w:val="000C32AE"/>
    <w:rsid w:val="000C3DF9"/>
    <w:rsid w:val="000C43ED"/>
    <w:rsid w:val="000C4CD0"/>
    <w:rsid w:val="000C4F99"/>
    <w:rsid w:val="000C4FA3"/>
    <w:rsid w:val="000C52C2"/>
    <w:rsid w:val="000C6118"/>
    <w:rsid w:val="000C6713"/>
    <w:rsid w:val="000C6721"/>
    <w:rsid w:val="000C6B4A"/>
    <w:rsid w:val="000C6E02"/>
    <w:rsid w:val="000C78EB"/>
    <w:rsid w:val="000D07E2"/>
    <w:rsid w:val="000D16C4"/>
    <w:rsid w:val="000D1999"/>
    <w:rsid w:val="000D1BFC"/>
    <w:rsid w:val="000D1C20"/>
    <w:rsid w:val="000D1C6E"/>
    <w:rsid w:val="000D264F"/>
    <w:rsid w:val="000D27EF"/>
    <w:rsid w:val="000D281A"/>
    <w:rsid w:val="000D2C8D"/>
    <w:rsid w:val="000D326A"/>
    <w:rsid w:val="000D3A40"/>
    <w:rsid w:val="000D4332"/>
    <w:rsid w:val="000D4A6F"/>
    <w:rsid w:val="000D4F29"/>
    <w:rsid w:val="000D51FB"/>
    <w:rsid w:val="000D564C"/>
    <w:rsid w:val="000D5948"/>
    <w:rsid w:val="000D5BA0"/>
    <w:rsid w:val="000D5D16"/>
    <w:rsid w:val="000D687D"/>
    <w:rsid w:val="000D6DAB"/>
    <w:rsid w:val="000D7091"/>
    <w:rsid w:val="000D7614"/>
    <w:rsid w:val="000D78A4"/>
    <w:rsid w:val="000D7A1A"/>
    <w:rsid w:val="000E02FD"/>
    <w:rsid w:val="000E09CF"/>
    <w:rsid w:val="000E135D"/>
    <w:rsid w:val="000E18BA"/>
    <w:rsid w:val="000E305C"/>
    <w:rsid w:val="000E3218"/>
    <w:rsid w:val="000E37D7"/>
    <w:rsid w:val="000E3868"/>
    <w:rsid w:val="000E3AF4"/>
    <w:rsid w:val="000E3F70"/>
    <w:rsid w:val="000E52C3"/>
    <w:rsid w:val="000E60CF"/>
    <w:rsid w:val="000E64EA"/>
    <w:rsid w:val="000E67C8"/>
    <w:rsid w:val="000E6C9E"/>
    <w:rsid w:val="000E7756"/>
    <w:rsid w:val="000E779C"/>
    <w:rsid w:val="000E7D10"/>
    <w:rsid w:val="000F00BA"/>
    <w:rsid w:val="000F00E3"/>
    <w:rsid w:val="000F0B45"/>
    <w:rsid w:val="000F16F0"/>
    <w:rsid w:val="000F1F7E"/>
    <w:rsid w:val="000F2071"/>
    <w:rsid w:val="000F2D0D"/>
    <w:rsid w:val="000F316A"/>
    <w:rsid w:val="000F3174"/>
    <w:rsid w:val="000F354A"/>
    <w:rsid w:val="000F3AD3"/>
    <w:rsid w:val="000F3BF2"/>
    <w:rsid w:val="000F3C74"/>
    <w:rsid w:val="000F3E59"/>
    <w:rsid w:val="000F45CC"/>
    <w:rsid w:val="000F4BB8"/>
    <w:rsid w:val="000F51C0"/>
    <w:rsid w:val="000F53B4"/>
    <w:rsid w:val="000F5E05"/>
    <w:rsid w:val="000F63E9"/>
    <w:rsid w:val="000F687E"/>
    <w:rsid w:val="000F6881"/>
    <w:rsid w:val="000F6AA9"/>
    <w:rsid w:val="000F6D16"/>
    <w:rsid w:val="000F6F8B"/>
    <w:rsid w:val="000F7127"/>
    <w:rsid w:val="000F7A27"/>
    <w:rsid w:val="000F7C8B"/>
    <w:rsid w:val="00100226"/>
    <w:rsid w:val="001009B2"/>
    <w:rsid w:val="00100B72"/>
    <w:rsid w:val="00100F8A"/>
    <w:rsid w:val="00101977"/>
    <w:rsid w:val="00101C6F"/>
    <w:rsid w:val="00101DB6"/>
    <w:rsid w:val="0010299E"/>
    <w:rsid w:val="00102BA1"/>
    <w:rsid w:val="00102D04"/>
    <w:rsid w:val="0010302E"/>
    <w:rsid w:val="00103933"/>
    <w:rsid w:val="00103A76"/>
    <w:rsid w:val="0010536B"/>
    <w:rsid w:val="00105AE2"/>
    <w:rsid w:val="00105C9E"/>
    <w:rsid w:val="00105E4F"/>
    <w:rsid w:val="00106072"/>
    <w:rsid w:val="00106B80"/>
    <w:rsid w:val="00106DA2"/>
    <w:rsid w:val="0011004C"/>
    <w:rsid w:val="00110088"/>
    <w:rsid w:val="0011032E"/>
    <w:rsid w:val="00110F49"/>
    <w:rsid w:val="001115E5"/>
    <w:rsid w:val="00111F51"/>
    <w:rsid w:val="00112D6B"/>
    <w:rsid w:val="0011348B"/>
    <w:rsid w:val="00113894"/>
    <w:rsid w:val="001139A7"/>
    <w:rsid w:val="00113E79"/>
    <w:rsid w:val="001148DE"/>
    <w:rsid w:val="001152AF"/>
    <w:rsid w:val="0011591F"/>
    <w:rsid w:val="00115982"/>
    <w:rsid w:val="001159EA"/>
    <w:rsid w:val="0011623A"/>
    <w:rsid w:val="0011699D"/>
    <w:rsid w:val="00116B8B"/>
    <w:rsid w:val="00116C53"/>
    <w:rsid w:val="00116FFD"/>
    <w:rsid w:val="001171BF"/>
    <w:rsid w:val="00117ABD"/>
    <w:rsid w:val="00117EEC"/>
    <w:rsid w:val="00120A22"/>
    <w:rsid w:val="0012163B"/>
    <w:rsid w:val="00121799"/>
    <w:rsid w:val="00121BAC"/>
    <w:rsid w:val="00121BFD"/>
    <w:rsid w:val="001222FC"/>
    <w:rsid w:val="00122A26"/>
    <w:rsid w:val="00122DDD"/>
    <w:rsid w:val="001232FF"/>
    <w:rsid w:val="0012348F"/>
    <w:rsid w:val="00123FCC"/>
    <w:rsid w:val="0012404F"/>
    <w:rsid w:val="001242D2"/>
    <w:rsid w:val="001243D7"/>
    <w:rsid w:val="001244CA"/>
    <w:rsid w:val="00124846"/>
    <w:rsid w:val="00124A51"/>
    <w:rsid w:val="00126621"/>
    <w:rsid w:val="00126995"/>
    <w:rsid w:val="00126E29"/>
    <w:rsid w:val="001277C8"/>
    <w:rsid w:val="00127A3C"/>
    <w:rsid w:val="00127C6E"/>
    <w:rsid w:val="001301E9"/>
    <w:rsid w:val="00130308"/>
    <w:rsid w:val="00130846"/>
    <w:rsid w:val="00130AD8"/>
    <w:rsid w:val="00130EC4"/>
    <w:rsid w:val="0013116F"/>
    <w:rsid w:val="001319FB"/>
    <w:rsid w:val="00131A74"/>
    <w:rsid w:val="00131C91"/>
    <w:rsid w:val="00131D82"/>
    <w:rsid w:val="00132E39"/>
    <w:rsid w:val="00133983"/>
    <w:rsid w:val="00133A9A"/>
    <w:rsid w:val="00133AA1"/>
    <w:rsid w:val="00133D36"/>
    <w:rsid w:val="00133E3B"/>
    <w:rsid w:val="0013466A"/>
    <w:rsid w:val="00135F12"/>
    <w:rsid w:val="00136FE2"/>
    <w:rsid w:val="001375DE"/>
    <w:rsid w:val="00137645"/>
    <w:rsid w:val="0014015A"/>
    <w:rsid w:val="00140776"/>
    <w:rsid w:val="001408F0"/>
    <w:rsid w:val="00140DBA"/>
    <w:rsid w:val="00140E99"/>
    <w:rsid w:val="001411C6"/>
    <w:rsid w:val="00141839"/>
    <w:rsid w:val="001422FB"/>
    <w:rsid w:val="00142485"/>
    <w:rsid w:val="001425DE"/>
    <w:rsid w:val="00142BAE"/>
    <w:rsid w:val="00143421"/>
    <w:rsid w:val="001435CD"/>
    <w:rsid w:val="00144EBD"/>
    <w:rsid w:val="00145493"/>
    <w:rsid w:val="00145540"/>
    <w:rsid w:val="00145585"/>
    <w:rsid w:val="001456B0"/>
    <w:rsid w:val="00145AD0"/>
    <w:rsid w:val="001464C2"/>
    <w:rsid w:val="001468E9"/>
    <w:rsid w:val="00146D3D"/>
    <w:rsid w:val="001474F6"/>
    <w:rsid w:val="0014787B"/>
    <w:rsid w:val="001478CE"/>
    <w:rsid w:val="0015011A"/>
    <w:rsid w:val="0015026A"/>
    <w:rsid w:val="00150D72"/>
    <w:rsid w:val="00151478"/>
    <w:rsid w:val="00151649"/>
    <w:rsid w:val="00151652"/>
    <w:rsid w:val="001519C4"/>
    <w:rsid w:val="00152494"/>
    <w:rsid w:val="00152832"/>
    <w:rsid w:val="00153B61"/>
    <w:rsid w:val="001543DF"/>
    <w:rsid w:val="00154614"/>
    <w:rsid w:val="00154C96"/>
    <w:rsid w:val="0015568B"/>
    <w:rsid w:val="00155C28"/>
    <w:rsid w:val="00156168"/>
    <w:rsid w:val="001563A6"/>
    <w:rsid w:val="0015688A"/>
    <w:rsid w:val="00156C8D"/>
    <w:rsid w:val="00156F8F"/>
    <w:rsid w:val="00157130"/>
    <w:rsid w:val="0015725A"/>
    <w:rsid w:val="001576B1"/>
    <w:rsid w:val="00157BDF"/>
    <w:rsid w:val="00157D1C"/>
    <w:rsid w:val="00160899"/>
    <w:rsid w:val="00160A4C"/>
    <w:rsid w:val="00161525"/>
    <w:rsid w:val="001616E7"/>
    <w:rsid w:val="00161AFA"/>
    <w:rsid w:val="00161DAC"/>
    <w:rsid w:val="00161F69"/>
    <w:rsid w:val="001627E0"/>
    <w:rsid w:val="00162913"/>
    <w:rsid w:val="00162E4C"/>
    <w:rsid w:val="00163362"/>
    <w:rsid w:val="001634C4"/>
    <w:rsid w:val="00163EFF"/>
    <w:rsid w:val="00164343"/>
    <w:rsid w:val="001645E4"/>
    <w:rsid w:val="001648A5"/>
    <w:rsid w:val="001661FB"/>
    <w:rsid w:val="00166711"/>
    <w:rsid w:val="00166C0F"/>
    <w:rsid w:val="00167A50"/>
    <w:rsid w:val="0017057D"/>
    <w:rsid w:val="00170B1A"/>
    <w:rsid w:val="00171B6A"/>
    <w:rsid w:val="00171D38"/>
    <w:rsid w:val="0017207D"/>
    <w:rsid w:val="001728FA"/>
    <w:rsid w:val="0017307A"/>
    <w:rsid w:val="001732A4"/>
    <w:rsid w:val="00173565"/>
    <w:rsid w:val="00173A43"/>
    <w:rsid w:val="00173B07"/>
    <w:rsid w:val="00173C12"/>
    <w:rsid w:val="00173CEC"/>
    <w:rsid w:val="001746A1"/>
    <w:rsid w:val="00174758"/>
    <w:rsid w:val="0017494A"/>
    <w:rsid w:val="001749DD"/>
    <w:rsid w:val="00175037"/>
    <w:rsid w:val="0017593C"/>
    <w:rsid w:val="00175A61"/>
    <w:rsid w:val="001769D1"/>
    <w:rsid w:val="00176CA1"/>
    <w:rsid w:val="00176EA3"/>
    <w:rsid w:val="00177468"/>
    <w:rsid w:val="001777ED"/>
    <w:rsid w:val="00177EC9"/>
    <w:rsid w:val="001807A0"/>
    <w:rsid w:val="00180B13"/>
    <w:rsid w:val="00180BD1"/>
    <w:rsid w:val="00181D9C"/>
    <w:rsid w:val="00183668"/>
    <w:rsid w:val="001838B6"/>
    <w:rsid w:val="00183D5B"/>
    <w:rsid w:val="00183D66"/>
    <w:rsid w:val="00183F82"/>
    <w:rsid w:val="00184213"/>
    <w:rsid w:val="00185257"/>
    <w:rsid w:val="001863B3"/>
    <w:rsid w:val="00186569"/>
    <w:rsid w:val="0018688E"/>
    <w:rsid w:val="00186DA8"/>
    <w:rsid w:val="0018752F"/>
    <w:rsid w:val="00187B8D"/>
    <w:rsid w:val="001905A9"/>
    <w:rsid w:val="0019068A"/>
    <w:rsid w:val="00190CA9"/>
    <w:rsid w:val="00191D59"/>
    <w:rsid w:val="001920DC"/>
    <w:rsid w:val="00192123"/>
    <w:rsid w:val="00192641"/>
    <w:rsid w:val="00192DBC"/>
    <w:rsid w:val="00193194"/>
    <w:rsid w:val="0019392F"/>
    <w:rsid w:val="00193AF6"/>
    <w:rsid w:val="00193C4A"/>
    <w:rsid w:val="00194743"/>
    <w:rsid w:val="00194EE7"/>
    <w:rsid w:val="00194FF4"/>
    <w:rsid w:val="00195222"/>
    <w:rsid w:val="00195C28"/>
    <w:rsid w:val="00195E49"/>
    <w:rsid w:val="001961F7"/>
    <w:rsid w:val="0019637C"/>
    <w:rsid w:val="001975D8"/>
    <w:rsid w:val="001975F3"/>
    <w:rsid w:val="00197A13"/>
    <w:rsid w:val="00197F71"/>
    <w:rsid w:val="001A12E8"/>
    <w:rsid w:val="001A1BBD"/>
    <w:rsid w:val="001A1BE5"/>
    <w:rsid w:val="001A2668"/>
    <w:rsid w:val="001A3419"/>
    <w:rsid w:val="001A43FA"/>
    <w:rsid w:val="001A4B58"/>
    <w:rsid w:val="001A4CB7"/>
    <w:rsid w:val="001A4CE3"/>
    <w:rsid w:val="001A59FB"/>
    <w:rsid w:val="001A6354"/>
    <w:rsid w:val="001A650A"/>
    <w:rsid w:val="001A6556"/>
    <w:rsid w:val="001A7AE8"/>
    <w:rsid w:val="001A7CD8"/>
    <w:rsid w:val="001A7D67"/>
    <w:rsid w:val="001B15E7"/>
    <w:rsid w:val="001B185C"/>
    <w:rsid w:val="001B1AF2"/>
    <w:rsid w:val="001B1C52"/>
    <w:rsid w:val="001B1F45"/>
    <w:rsid w:val="001B204E"/>
    <w:rsid w:val="001B2106"/>
    <w:rsid w:val="001B2208"/>
    <w:rsid w:val="001B282C"/>
    <w:rsid w:val="001B3443"/>
    <w:rsid w:val="001B3A52"/>
    <w:rsid w:val="001B3A55"/>
    <w:rsid w:val="001B3F7B"/>
    <w:rsid w:val="001B45EF"/>
    <w:rsid w:val="001B48A8"/>
    <w:rsid w:val="001B4CE7"/>
    <w:rsid w:val="001B4D20"/>
    <w:rsid w:val="001B4EBA"/>
    <w:rsid w:val="001B5055"/>
    <w:rsid w:val="001B54E3"/>
    <w:rsid w:val="001B598D"/>
    <w:rsid w:val="001B5A15"/>
    <w:rsid w:val="001B5E22"/>
    <w:rsid w:val="001B6350"/>
    <w:rsid w:val="001B70B0"/>
    <w:rsid w:val="001B7D8B"/>
    <w:rsid w:val="001C03E6"/>
    <w:rsid w:val="001C073E"/>
    <w:rsid w:val="001C1603"/>
    <w:rsid w:val="001C177B"/>
    <w:rsid w:val="001C1963"/>
    <w:rsid w:val="001C1A08"/>
    <w:rsid w:val="001C22F2"/>
    <w:rsid w:val="001C243D"/>
    <w:rsid w:val="001C2A17"/>
    <w:rsid w:val="001C2A9B"/>
    <w:rsid w:val="001C3DC0"/>
    <w:rsid w:val="001C4113"/>
    <w:rsid w:val="001C4299"/>
    <w:rsid w:val="001C432D"/>
    <w:rsid w:val="001C4E67"/>
    <w:rsid w:val="001C4FC5"/>
    <w:rsid w:val="001C5473"/>
    <w:rsid w:val="001C5C8A"/>
    <w:rsid w:val="001C5F94"/>
    <w:rsid w:val="001C667D"/>
    <w:rsid w:val="001C68D1"/>
    <w:rsid w:val="001C6A8E"/>
    <w:rsid w:val="001C6E66"/>
    <w:rsid w:val="001C6ECB"/>
    <w:rsid w:val="001C783E"/>
    <w:rsid w:val="001C785A"/>
    <w:rsid w:val="001C7E28"/>
    <w:rsid w:val="001D0829"/>
    <w:rsid w:val="001D12DC"/>
    <w:rsid w:val="001D1955"/>
    <w:rsid w:val="001D19A9"/>
    <w:rsid w:val="001D1FCF"/>
    <w:rsid w:val="001D2C40"/>
    <w:rsid w:val="001D2CB4"/>
    <w:rsid w:val="001D3302"/>
    <w:rsid w:val="001D3408"/>
    <w:rsid w:val="001D3C84"/>
    <w:rsid w:val="001D3F66"/>
    <w:rsid w:val="001D412C"/>
    <w:rsid w:val="001D43CE"/>
    <w:rsid w:val="001D451B"/>
    <w:rsid w:val="001D5002"/>
    <w:rsid w:val="001D527B"/>
    <w:rsid w:val="001D52C4"/>
    <w:rsid w:val="001D5439"/>
    <w:rsid w:val="001D543C"/>
    <w:rsid w:val="001D5BEE"/>
    <w:rsid w:val="001D5C43"/>
    <w:rsid w:val="001D663E"/>
    <w:rsid w:val="001D673E"/>
    <w:rsid w:val="001D679D"/>
    <w:rsid w:val="001D67F7"/>
    <w:rsid w:val="001D6D14"/>
    <w:rsid w:val="001D755C"/>
    <w:rsid w:val="001D7A8D"/>
    <w:rsid w:val="001D7F6C"/>
    <w:rsid w:val="001D7FE3"/>
    <w:rsid w:val="001E0451"/>
    <w:rsid w:val="001E0707"/>
    <w:rsid w:val="001E1D6B"/>
    <w:rsid w:val="001E216F"/>
    <w:rsid w:val="001E238E"/>
    <w:rsid w:val="001E2483"/>
    <w:rsid w:val="001E2883"/>
    <w:rsid w:val="001E29BD"/>
    <w:rsid w:val="001E2B1E"/>
    <w:rsid w:val="001E30D4"/>
    <w:rsid w:val="001E34D1"/>
    <w:rsid w:val="001E3A34"/>
    <w:rsid w:val="001E3E93"/>
    <w:rsid w:val="001E4D18"/>
    <w:rsid w:val="001E5050"/>
    <w:rsid w:val="001E52EB"/>
    <w:rsid w:val="001E5AC3"/>
    <w:rsid w:val="001E5CBA"/>
    <w:rsid w:val="001E61D2"/>
    <w:rsid w:val="001E6390"/>
    <w:rsid w:val="001E64A5"/>
    <w:rsid w:val="001E64E7"/>
    <w:rsid w:val="001E6861"/>
    <w:rsid w:val="001E68DD"/>
    <w:rsid w:val="001E6C9E"/>
    <w:rsid w:val="001E740C"/>
    <w:rsid w:val="001E7596"/>
    <w:rsid w:val="001E7BC6"/>
    <w:rsid w:val="001E7C5D"/>
    <w:rsid w:val="001E7CD7"/>
    <w:rsid w:val="001F1235"/>
    <w:rsid w:val="001F1CB3"/>
    <w:rsid w:val="001F2978"/>
    <w:rsid w:val="001F2BE0"/>
    <w:rsid w:val="001F38B5"/>
    <w:rsid w:val="001F3981"/>
    <w:rsid w:val="001F39A7"/>
    <w:rsid w:val="001F4345"/>
    <w:rsid w:val="001F473D"/>
    <w:rsid w:val="001F4D54"/>
    <w:rsid w:val="001F4DD4"/>
    <w:rsid w:val="001F5E81"/>
    <w:rsid w:val="001F65C4"/>
    <w:rsid w:val="001F7361"/>
    <w:rsid w:val="001F765F"/>
    <w:rsid w:val="001F78FE"/>
    <w:rsid w:val="002008BE"/>
    <w:rsid w:val="002011B0"/>
    <w:rsid w:val="00201781"/>
    <w:rsid w:val="00201BC5"/>
    <w:rsid w:val="00201CBD"/>
    <w:rsid w:val="002020E5"/>
    <w:rsid w:val="0020253A"/>
    <w:rsid w:val="00202E2C"/>
    <w:rsid w:val="00203181"/>
    <w:rsid w:val="00203546"/>
    <w:rsid w:val="00203783"/>
    <w:rsid w:val="0020385F"/>
    <w:rsid w:val="00203EC1"/>
    <w:rsid w:val="00204A81"/>
    <w:rsid w:val="00204CE7"/>
    <w:rsid w:val="00205803"/>
    <w:rsid w:val="00205BE0"/>
    <w:rsid w:val="00205E47"/>
    <w:rsid w:val="002065F6"/>
    <w:rsid w:val="00206A1E"/>
    <w:rsid w:val="00206ADD"/>
    <w:rsid w:val="00207021"/>
    <w:rsid w:val="00207141"/>
    <w:rsid w:val="002071BF"/>
    <w:rsid w:val="00207312"/>
    <w:rsid w:val="0020732F"/>
    <w:rsid w:val="002073A8"/>
    <w:rsid w:val="00207D00"/>
    <w:rsid w:val="00207F84"/>
    <w:rsid w:val="002105C1"/>
    <w:rsid w:val="0021064B"/>
    <w:rsid w:val="00210D78"/>
    <w:rsid w:val="002112C3"/>
    <w:rsid w:val="00211440"/>
    <w:rsid w:val="00211650"/>
    <w:rsid w:val="002117EF"/>
    <w:rsid w:val="00211D7F"/>
    <w:rsid w:val="00211F3C"/>
    <w:rsid w:val="00212ABF"/>
    <w:rsid w:val="0021348E"/>
    <w:rsid w:val="00213792"/>
    <w:rsid w:val="00213935"/>
    <w:rsid w:val="002145EE"/>
    <w:rsid w:val="00214CAF"/>
    <w:rsid w:val="00214CD4"/>
    <w:rsid w:val="00215030"/>
    <w:rsid w:val="002150C6"/>
    <w:rsid w:val="00215183"/>
    <w:rsid w:val="00215533"/>
    <w:rsid w:val="00216ABC"/>
    <w:rsid w:val="00217221"/>
    <w:rsid w:val="00217445"/>
    <w:rsid w:val="00217797"/>
    <w:rsid w:val="00217F86"/>
    <w:rsid w:val="0022023C"/>
    <w:rsid w:val="0022121B"/>
    <w:rsid w:val="00221951"/>
    <w:rsid w:val="00221A23"/>
    <w:rsid w:val="00222297"/>
    <w:rsid w:val="00222EF7"/>
    <w:rsid w:val="00223B49"/>
    <w:rsid w:val="00224DD4"/>
    <w:rsid w:val="00225741"/>
    <w:rsid w:val="00225B26"/>
    <w:rsid w:val="00226740"/>
    <w:rsid w:val="00227728"/>
    <w:rsid w:val="002277F3"/>
    <w:rsid w:val="00227B0C"/>
    <w:rsid w:val="002309CC"/>
    <w:rsid w:val="00230AF6"/>
    <w:rsid w:val="00231DE5"/>
    <w:rsid w:val="00231E91"/>
    <w:rsid w:val="0023209F"/>
    <w:rsid w:val="0023267E"/>
    <w:rsid w:val="00232810"/>
    <w:rsid w:val="002328FD"/>
    <w:rsid w:val="002334CA"/>
    <w:rsid w:val="00233850"/>
    <w:rsid w:val="002339A3"/>
    <w:rsid w:val="002351A5"/>
    <w:rsid w:val="00235B6F"/>
    <w:rsid w:val="00235E7E"/>
    <w:rsid w:val="0023629D"/>
    <w:rsid w:val="00236501"/>
    <w:rsid w:val="00237255"/>
    <w:rsid w:val="0023783F"/>
    <w:rsid w:val="00240223"/>
    <w:rsid w:val="00240423"/>
    <w:rsid w:val="00240862"/>
    <w:rsid w:val="00240908"/>
    <w:rsid w:val="002409AB"/>
    <w:rsid w:val="00240B3A"/>
    <w:rsid w:val="00240F63"/>
    <w:rsid w:val="002416FF"/>
    <w:rsid w:val="002424AF"/>
    <w:rsid w:val="002427E7"/>
    <w:rsid w:val="002439DC"/>
    <w:rsid w:val="00244692"/>
    <w:rsid w:val="002447E8"/>
    <w:rsid w:val="00244DC8"/>
    <w:rsid w:val="002453C4"/>
    <w:rsid w:val="002456E9"/>
    <w:rsid w:val="002457B0"/>
    <w:rsid w:val="002458BA"/>
    <w:rsid w:val="00245BED"/>
    <w:rsid w:val="00245CA0"/>
    <w:rsid w:val="00246160"/>
    <w:rsid w:val="00246223"/>
    <w:rsid w:val="002462FB"/>
    <w:rsid w:val="0024636C"/>
    <w:rsid w:val="00247238"/>
    <w:rsid w:val="00247490"/>
    <w:rsid w:val="00247925"/>
    <w:rsid w:val="00247995"/>
    <w:rsid w:val="0025016C"/>
    <w:rsid w:val="00251789"/>
    <w:rsid w:val="00252766"/>
    <w:rsid w:val="0025278F"/>
    <w:rsid w:val="002528F7"/>
    <w:rsid w:val="002541E8"/>
    <w:rsid w:val="0025434C"/>
    <w:rsid w:val="00254C43"/>
    <w:rsid w:val="00254DCF"/>
    <w:rsid w:val="00254ED7"/>
    <w:rsid w:val="0025534B"/>
    <w:rsid w:val="00255486"/>
    <w:rsid w:val="00255603"/>
    <w:rsid w:val="002559E5"/>
    <w:rsid w:val="00255BB7"/>
    <w:rsid w:val="00255DA3"/>
    <w:rsid w:val="00256050"/>
    <w:rsid w:val="002561EE"/>
    <w:rsid w:val="00256E88"/>
    <w:rsid w:val="00257541"/>
    <w:rsid w:val="00257715"/>
    <w:rsid w:val="0025787F"/>
    <w:rsid w:val="0026064F"/>
    <w:rsid w:val="0026066E"/>
    <w:rsid w:val="002609D9"/>
    <w:rsid w:val="00260E66"/>
    <w:rsid w:val="00261008"/>
    <w:rsid w:val="00261110"/>
    <w:rsid w:val="00261237"/>
    <w:rsid w:val="00261893"/>
    <w:rsid w:val="002622B6"/>
    <w:rsid w:val="002626C4"/>
    <w:rsid w:val="00262A1A"/>
    <w:rsid w:val="00262A87"/>
    <w:rsid w:val="00262B55"/>
    <w:rsid w:val="0026448F"/>
    <w:rsid w:val="002646A3"/>
    <w:rsid w:val="00264D26"/>
    <w:rsid w:val="002656B1"/>
    <w:rsid w:val="002656FE"/>
    <w:rsid w:val="00265948"/>
    <w:rsid w:val="002662BC"/>
    <w:rsid w:val="002665ED"/>
    <w:rsid w:val="002671D5"/>
    <w:rsid w:val="00267642"/>
    <w:rsid w:val="002678F0"/>
    <w:rsid w:val="00267AEA"/>
    <w:rsid w:val="00267DA4"/>
    <w:rsid w:val="002700E6"/>
    <w:rsid w:val="0027022B"/>
    <w:rsid w:val="00270A1F"/>
    <w:rsid w:val="00270F37"/>
    <w:rsid w:val="00271417"/>
    <w:rsid w:val="00271713"/>
    <w:rsid w:val="00271C5E"/>
    <w:rsid w:val="00271FD2"/>
    <w:rsid w:val="00272265"/>
    <w:rsid w:val="00272551"/>
    <w:rsid w:val="0027275E"/>
    <w:rsid w:val="0027294B"/>
    <w:rsid w:val="0027337B"/>
    <w:rsid w:val="002736D9"/>
    <w:rsid w:val="00273E1A"/>
    <w:rsid w:val="0027409B"/>
    <w:rsid w:val="00274E99"/>
    <w:rsid w:val="00275399"/>
    <w:rsid w:val="0027546D"/>
    <w:rsid w:val="00275C5A"/>
    <w:rsid w:val="0027607C"/>
    <w:rsid w:val="002761A3"/>
    <w:rsid w:val="00276299"/>
    <w:rsid w:val="00276892"/>
    <w:rsid w:val="00276929"/>
    <w:rsid w:val="00276980"/>
    <w:rsid w:val="0027709A"/>
    <w:rsid w:val="00277586"/>
    <w:rsid w:val="0028075E"/>
    <w:rsid w:val="00280AB6"/>
    <w:rsid w:val="00280EF0"/>
    <w:rsid w:val="00281014"/>
    <w:rsid w:val="002815EC"/>
    <w:rsid w:val="00281794"/>
    <w:rsid w:val="00281932"/>
    <w:rsid w:val="00281FF2"/>
    <w:rsid w:val="00282842"/>
    <w:rsid w:val="002828DB"/>
    <w:rsid w:val="00282B4E"/>
    <w:rsid w:val="00282BEF"/>
    <w:rsid w:val="0028357D"/>
    <w:rsid w:val="0028395D"/>
    <w:rsid w:val="00283F24"/>
    <w:rsid w:val="0028454F"/>
    <w:rsid w:val="00284CB3"/>
    <w:rsid w:val="00284FA0"/>
    <w:rsid w:val="00285B51"/>
    <w:rsid w:val="00285F39"/>
    <w:rsid w:val="00285FF3"/>
    <w:rsid w:val="00286671"/>
    <w:rsid w:val="002870D7"/>
    <w:rsid w:val="00287426"/>
    <w:rsid w:val="002875BD"/>
    <w:rsid w:val="00287A1B"/>
    <w:rsid w:val="00287EDF"/>
    <w:rsid w:val="00287FF3"/>
    <w:rsid w:val="00290C02"/>
    <w:rsid w:val="00290C93"/>
    <w:rsid w:val="00290D96"/>
    <w:rsid w:val="002911FF"/>
    <w:rsid w:val="00291699"/>
    <w:rsid w:val="002923AF"/>
    <w:rsid w:val="002923F1"/>
    <w:rsid w:val="00292518"/>
    <w:rsid w:val="00292DE5"/>
    <w:rsid w:val="0029345D"/>
    <w:rsid w:val="002936CD"/>
    <w:rsid w:val="00293EFB"/>
    <w:rsid w:val="00294AA0"/>
    <w:rsid w:val="00294BA6"/>
    <w:rsid w:val="00294D17"/>
    <w:rsid w:val="0029663F"/>
    <w:rsid w:val="00296711"/>
    <w:rsid w:val="0029683A"/>
    <w:rsid w:val="00296BD6"/>
    <w:rsid w:val="00297029"/>
    <w:rsid w:val="0029711A"/>
    <w:rsid w:val="002974AA"/>
    <w:rsid w:val="00297F2B"/>
    <w:rsid w:val="002A0167"/>
    <w:rsid w:val="002A0E04"/>
    <w:rsid w:val="002A0EA0"/>
    <w:rsid w:val="002A1318"/>
    <w:rsid w:val="002A14AB"/>
    <w:rsid w:val="002A212B"/>
    <w:rsid w:val="002A2F50"/>
    <w:rsid w:val="002A3F73"/>
    <w:rsid w:val="002A464F"/>
    <w:rsid w:val="002A485C"/>
    <w:rsid w:val="002A4B0B"/>
    <w:rsid w:val="002A53D4"/>
    <w:rsid w:val="002A619B"/>
    <w:rsid w:val="002A66F6"/>
    <w:rsid w:val="002A68E5"/>
    <w:rsid w:val="002B02A1"/>
    <w:rsid w:val="002B0766"/>
    <w:rsid w:val="002B077A"/>
    <w:rsid w:val="002B09A4"/>
    <w:rsid w:val="002B180C"/>
    <w:rsid w:val="002B1B91"/>
    <w:rsid w:val="002B1C1F"/>
    <w:rsid w:val="002B25B5"/>
    <w:rsid w:val="002B32C9"/>
    <w:rsid w:val="002B35C8"/>
    <w:rsid w:val="002B3766"/>
    <w:rsid w:val="002B3E31"/>
    <w:rsid w:val="002B3FB6"/>
    <w:rsid w:val="002B4275"/>
    <w:rsid w:val="002B432F"/>
    <w:rsid w:val="002B45C2"/>
    <w:rsid w:val="002B4713"/>
    <w:rsid w:val="002B546E"/>
    <w:rsid w:val="002B5E34"/>
    <w:rsid w:val="002B62B3"/>
    <w:rsid w:val="002B6754"/>
    <w:rsid w:val="002B68E5"/>
    <w:rsid w:val="002B6CCE"/>
    <w:rsid w:val="002B706F"/>
    <w:rsid w:val="002B72DE"/>
    <w:rsid w:val="002B791F"/>
    <w:rsid w:val="002C041C"/>
    <w:rsid w:val="002C04DD"/>
    <w:rsid w:val="002C05DB"/>
    <w:rsid w:val="002C0C32"/>
    <w:rsid w:val="002C0DEE"/>
    <w:rsid w:val="002C1157"/>
    <w:rsid w:val="002C182C"/>
    <w:rsid w:val="002C1B4E"/>
    <w:rsid w:val="002C24B6"/>
    <w:rsid w:val="002C2510"/>
    <w:rsid w:val="002C25E2"/>
    <w:rsid w:val="002C2775"/>
    <w:rsid w:val="002C27C1"/>
    <w:rsid w:val="002C28B3"/>
    <w:rsid w:val="002C2BA0"/>
    <w:rsid w:val="002C2DA2"/>
    <w:rsid w:val="002C4172"/>
    <w:rsid w:val="002C491B"/>
    <w:rsid w:val="002C5099"/>
    <w:rsid w:val="002C54BB"/>
    <w:rsid w:val="002C5889"/>
    <w:rsid w:val="002C5904"/>
    <w:rsid w:val="002C5E95"/>
    <w:rsid w:val="002C6AE6"/>
    <w:rsid w:val="002C71CE"/>
    <w:rsid w:val="002C7315"/>
    <w:rsid w:val="002D047C"/>
    <w:rsid w:val="002D0E70"/>
    <w:rsid w:val="002D1203"/>
    <w:rsid w:val="002D164B"/>
    <w:rsid w:val="002D1E1A"/>
    <w:rsid w:val="002D2925"/>
    <w:rsid w:val="002D2EE4"/>
    <w:rsid w:val="002D32DE"/>
    <w:rsid w:val="002D34B3"/>
    <w:rsid w:val="002D3F41"/>
    <w:rsid w:val="002D41CD"/>
    <w:rsid w:val="002D498D"/>
    <w:rsid w:val="002D4C4C"/>
    <w:rsid w:val="002D4F92"/>
    <w:rsid w:val="002D50C5"/>
    <w:rsid w:val="002D560D"/>
    <w:rsid w:val="002D577C"/>
    <w:rsid w:val="002D5868"/>
    <w:rsid w:val="002D5900"/>
    <w:rsid w:val="002D5AC5"/>
    <w:rsid w:val="002D6310"/>
    <w:rsid w:val="002D68EA"/>
    <w:rsid w:val="002D6DB7"/>
    <w:rsid w:val="002D72F5"/>
    <w:rsid w:val="002D73BA"/>
    <w:rsid w:val="002D7E40"/>
    <w:rsid w:val="002E04D5"/>
    <w:rsid w:val="002E15B9"/>
    <w:rsid w:val="002E2158"/>
    <w:rsid w:val="002E33E9"/>
    <w:rsid w:val="002E3BD1"/>
    <w:rsid w:val="002E42BA"/>
    <w:rsid w:val="002E4978"/>
    <w:rsid w:val="002E59DA"/>
    <w:rsid w:val="002E5A80"/>
    <w:rsid w:val="002E5EBF"/>
    <w:rsid w:val="002E6A62"/>
    <w:rsid w:val="002E7482"/>
    <w:rsid w:val="002E7722"/>
    <w:rsid w:val="002F0229"/>
    <w:rsid w:val="002F05E6"/>
    <w:rsid w:val="002F07BA"/>
    <w:rsid w:val="002F0DA9"/>
    <w:rsid w:val="002F134B"/>
    <w:rsid w:val="002F1D0E"/>
    <w:rsid w:val="002F1F30"/>
    <w:rsid w:val="002F3114"/>
    <w:rsid w:val="002F3487"/>
    <w:rsid w:val="002F353F"/>
    <w:rsid w:val="002F3EFE"/>
    <w:rsid w:val="002F49AF"/>
    <w:rsid w:val="002F49BA"/>
    <w:rsid w:val="002F5E3E"/>
    <w:rsid w:val="002F5EE7"/>
    <w:rsid w:val="002F643C"/>
    <w:rsid w:val="002F6DA1"/>
    <w:rsid w:val="002F7169"/>
    <w:rsid w:val="002F71C0"/>
    <w:rsid w:val="002F7B15"/>
    <w:rsid w:val="00300BA0"/>
    <w:rsid w:val="00300D4C"/>
    <w:rsid w:val="00301017"/>
    <w:rsid w:val="00301188"/>
    <w:rsid w:val="0030155F"/>
    <w:rsid w:val="003017CE"/>
    <w:rsid w:val="00301820"/>
    <w:rsid w:val="00301974"/>
    <w:rsid w:val="00301D31"/>
    <w:rsid w:val="00301E30"/>
    <w:rsid w:val="003025A1"/>
    <w:rsid w:val="003033ED"/>
    <w:rsid w:val="00304113"/>
    <w:rsid w:val="0030587B"/>
    <w:rsid w:val="00305D13"/>
    <w:rsid w:val="003063E8"/>
    <w:rsid w:val="00306D92"/>
    <w:rsid w:val="00306D98"/>
    <w:rsid w:val="00306E36"/>
    <w:rsid w:val="00306FDF"/>
    <w:rsid w:val="0030755C"/>
    <w:rsid w:val="0030786C"/>
    <w:rsid w:val="00307B30"/>
    <w:rsid w:val="0031031A"/>
    <w:rsid w:val="00310755"/>
    <w:rsid w:val="00310981"/>
    <w:rsid w:val="00310F9C"/>
    <w:rsid w:val="00312094"/>
    <w:rsid w:val="003128B7"/>
    <w:rsid w:val="00312FDE"/>
    <w:rsid w:val="003130FF"/>
    <w:rsid w:val="00313802"/>
    <w:rsid w:val="00313957"/>
    <w:rsid w:val="0031412B"/>
    <w:rsid w:val="0031433B"/>
    <w:rsid w:val="00314593"/>
    <w:rsid w:val="0031496E"/>
    <w:rsid w:val="003149B6"/>
    <w:rsid w:val="00315498"/>
    <w:rsid w:val="00315590"/>
    <w:rsid w:val="00315AA3"/>
    <w:rsid w:val="0031604E"/>
    <w:rsid w:val="0031609A"/>
    <w:rsid w:val="0031711A"/>
    <w:rsid w:val="003172A1"/>
    <w:rsid w:val="00317532"/>
    <w:rsid w:val="0032177B"/>
    <w:rsid w:val="00321DD2"/>
    <w:rsid w:val="00321F41"/>
    <w:rsid w:val="00322107"/>
    <w:rsid w:val="00322846"/>
    <w:rsid w:val="00322BC2"/>
    <w:rsid w:val="00322DCA"/>
    <w:rsid w:val="00324B10"/>
    <w:rsid w:val="00324F30"/>
    <w:rsid w:val="00325D7C"/>
    <w:rsid w:val="00326167"/>
    <w:rsid w:val="0032643F"/>
    <w:rsid w:val="0032684C"/>
    <w:rsid w:val="00326CF9"/>
    <w:rsid w:val="00326DA7"/>
    <w:rsid w:val="00326F69"/>
    <w:rsid w:val="003270E4"/>
    <w:rsid w:val="00327876"/>
    <w:rsid w:val="003278B0"/>
    <w:rsid w:val="00327E13"/>
    <w:rsid w:val="0033035D"/>
    <w:rsid w:val="00330F5C"/>
    <w:rsid w:val="0033108B"/>
    <w:rsid w:val="0033168E"/>
    <w:rsid w:val="003317AD"/>
    <w:rsid w:val="0033186C"/>
    <w:rsid w:val="00331B54"/>
    <w:rsid w:val="00331C94"/>
    <w:rsid w:val="00331D18"/>
    <w:rsid w:val="0033298E"/>
    <w:rsid w:val="00332BC7"/>
    <w:rsid w:val="00333584"/>
    <w:rsid w:val="003337D7"/>
    <w:rsid w:val="00333D04"/>
    <w:rsid w:val="00333DEA"/>
    <w:rsid w:val="00334237"/>
    <w:rsid w:val="003342AA"/>
    <w:rsid w:val="00334436"/>
    <w:rsid w:val="00334759"/>
    <w:rsid w:val="00334C89"/>
    <w:rsid w:val="00334FEA"/>
    <w:rsid w:val="00335434"/>
    <w:rsid w:val="00335E69"/>
    <w:rsid w:val="003366C9"/>
    <w:rsid w:val="003369F0"/>
    <w:rsid w:val="00336F98"/>
    <w:rsid w:val="003371B0"/>
    <w:rsid w:val="00337577"/>
    <w:rsid w:val="00337BAC"/>
    <w:rsid w:val="00337DBB"/>
    <w:rsid w:val="00337FF7"/>
    <w:rsid w:val="00340461"/>
    <w:rsid w:val="003405D9"/>
    <w:rsid w:val="00340DF1"/>
    <w:rsid w:val="00342899"/>
    <w:rsid w:val="003439DC"/>
    <w:rsid w:val="00343AD7"/>
    <w:rsid w:val="0034446D"/>
    <w:rsid w:val="00345028"/>
    <w:rsid w:val="003455AA"/>
    <w:rsid w:val="003456FB"/>
    <w:rsid w:val="00345C33"/>
    <w:rsid w:val="00345D6E"/>
    <w:rsid w:val="00347037"/>
    <w:rsid w:val="00347132"/>
    <w:rsid w:val="00347270"/>
    <w:rsid w:val="00350066"/>
    <w:rsid w:val="00351622"/>
    <w:rsid w:val="00351626"/>
    <w:rsid w:val="0035163F"/>
    <w:rsid w:val="00351772"/>
    <w:rsid w:val="0035178F"/>
    <w:rsid w:val="003517F9"/>
    <w:rsid w:val="003518B0"/>
    <w:rsid w:val="00353727"/>
    <w:rsid w:val="00353D23"/>
    <w:rsid w:val="00353E61"/>
    <w:rsid w:val="00354F2F"/>
    <w:rsid w:val="00355134"/>
    <w:rsid w:val="003553AA"/>
    <w:rsid w:val="00355BA8"/>
    <w:rsid w:val="0035620E"/>
    <w:rsid w:val="00356698"/>
    <w:rsid w:val="003567AA"/>
    <w:rsid w:val="00356D43"/>
    <w:rsid w:val="00357ED6"/>
    <w:rsid w:val="00360065"/>
    <w:rsid w:val="00361ECB"/>
    <w:rsid w:val="003624C4"/>
    <w:rsid w:val="00362748"/>
    <w:rsid w:val="003629F8"/>
    <w:rsid w:val="00362E12"/>
    <w:rsid w:val="00363907"/>
    <w:rsid w:val="00363E16"/>
    <w:rsid w:val="00364276"/>
    <w:rsid w:val="00364E51"/>
    <w:rsid w:val="003654AC"/>
    <w:rsid w:val="00365DC3"/>
    <w:rsid w:val="00365EF9"/>
    <w:rsid w:val="00365F27"/>
    <w:rsid w:val="00365F42"/>
    <w:rsid w:val="00365F8D"/>
    <w:rsid w:val="003664C4"/>
    <w:rsid w:val="00366C4B"/>
    <w:rsid w:val="0036741E"/>
    <w:rsid w:val="003675EC"/>
    <w:rsid w:val="0036776F"/>
    <w:rsid w:val="00367A89"/>
    <w:rsid w:val="00367CE8"/>
    <w:rsid w:val="00370523"/>
    <w:rsid w:val="00370F48"/>
    <w:rsid w:val="003710CF"/>
    <w:rsid w:val="0037162E"/>
    <w:rsid w:val="0037163A"/>
    <w:rsid w:val="00371A4B"/>
    <w:rsid w:val="00372ACA"/>
    <w:rsid w:val="0037358A"/>
    <w:rsid w:val="0037384F"/>
    <w:rsid w:val="00374139"/>
    <w:rsid w:val="00374C8C"/>
    <w:rsid w:val="003750F6"/>
    <w:rsid w:val="00375207"/>
    <w:rsid w:val="003760FC"/>
    <w:rsid w:val="003771DD"/>
    <w:rsid w:val="0037748B"/>
    <w:rsid w:val="003803CF"/>
    <w:rsid w:val="00380504"/>
    <w:rsid w:val="003807B9"/>
    <w:rsid w:val="00380883"/>
    <w:rsid w:val="0038122D"/>
    <w:rsid w:val="0038160F"/>
    <w:rsid w:val="0038192C"/>
    <w:rsid w:val="00381DC9"/>
    <w:rsid w:val="003821AE"/>
    <w:rsid w:val="003826D7"/>
    <w:rsid w:val="00383479"/>
    <w:rsid w:val="0038365C"/>
    <w:rsid w:val="0038369B"/>
    <w:rsid w:val="00383A45"/>
    <w:rsid w:val="00383B78"/>
    <w:rsid w:val="00384CD9"/>
    <w:rsid w:val="0038557E"/>
    <w:rsid w:val="00385777"/>
    <w:rsid w:val="00385786"/>
    <w:rsid w:val="00385A9D"/>
    <w:rsid w:val="00385C79"/>
    <w:rsid w:val="00386CB9"/>
    <w:rsid w:val="0038731C"/>
    <w:rsid w:val="00387358"/>
    <w:rsid w:val="003902B1"/>
    <w:rsid w:val="0039080B"/>
    <w:rsid w:val="00390F4F"/>
    <w:rsid w:val="0039141B"/>
    <w:rsid w:val="0039277C"/>
    <w:rsid w:val="00392B66"/>
    <w:rsid w:val="00392FC0"/>
    <w:rsid w:val="00393277"/>
    <w:rsid w:val="00393B1A"/>
    <w:rsid w:val="00393BCE"/>
    <w:rsid w:val="00393EA8"/>
    <w:rsid w:val="0039462A"/>
    <w:rsid w:val="00394697"/>
    <w:rsid w:val="003949B7"/>
    <w:rsid w:val="00395262"/>
    <w:rsid w:val="0039581E"/>
    <w:rsid w:val="003958C3"/>
    <w:rsid w:val="00395D5E"/>
    <w:rsid w:val="00395E78"/>
    <w:rsid w:val="003964AF"/>
    <w:rsid w:val="00396896"/>
    <w:rsid w:val="00396BDC"/>
    <w:rsid w:val="00396FD0"/>
    <w:rsid w:val="003971BF"/>
    <w:rsid w:val="003972E7"/>
    <w:rsid w:val="00397765"/>
    <w:rsid w:val="00397A60"/>
    <w:rsid w:val="00397D30"/>
    <w:rsid w:val="003A0FE4"/>
    <w:rsid w:val="003A15F1"/>
    <w:rsid w:val="003A1A7A"/>
    <w:rsid w:val="003A1CF1"/>
    <w:rsid w:val="003A2145"/>
    <w:rsid w:val="003A234F"/>
    <w:rsid w:val="003A2392"/>
    <w:rsid w:val="003A2831"/>
    <w:rsid w:val="003A2A08"/>
    <w:rsid w:val="003A2D07"/>
    <w:rsid w:val="003A2F83"/>
    <w:rsid w:val="003A3236"/>
    <w:rsid w:val="003A37F0"/>
    <w:rsid w:val="003A392F"/>
    <w:rsid w:val="003A3C9D"/>
    <w:rsid w:val="003A3D0D"/>
    <w:rsid w:val="003A3DCC"/>
    <w:rsid w:val="003A3ED1"/>
    <w:rsid w:val="003A54B3"/>
    <w:rsid w:val="003A56C1"/>
    <w:rsid w:val="003A68BE"/>
    <w:rsid w:val="003A6D67"/>
    <w:rsid w:val="003A76AE"/>
    <w:rsid w:val="003A7AF2"/>
    <w:rsid w:val="003B0831"/>
    <w:rsid w:val="003B0C8D"/>
    <w:rsid w:val="003B0FCA"/>
    <w:rsid w:val="003B17DE"/>
    <w:rsid w:val="003B1A65"/>
    <w:rsid w:val="003B1CB4"/>
    <w:rsid w:val="003B1CDA"/>
    <w:rsid w:val="003B1E93"/>
    <w:rsid w:val="003B2268"/>
    <w:rsid w:val="003B348C"/>
    <w:rsid w:val="003B400E"/>
    <w:rsid w:val="003B55EC"/>
    <w:rsid w:val="003B5760"/>
    <w:rsid w:val="003B5A1A"/>
    <w:rsid w:val="003B5B61"/>
    <w:rsid w:val="003B67DE"/>
    <w:rsid w:val="003B6C79"/>
    <w:rsid w:val="003B6F21"/>
    <w:rsid w:val="003B753E"/>
    <w:rsid w:val="003B79DC"/>
    <w:rsid w:val="003B7EBB"/>
    <w:rsid w:val="003C0593"/>
    <w:rsid w:val="003C1654"/>
    <w:rsid w:val="003C18D8"/>
    <w:rsid w:val="003C1CEB"/>
    <w:rsid w:val="003C1D4E"/>
    <w:rsid w:val="003C1FB4"/>
    <w:rsid w:val="003C22BD"/>
    <w:rsid w:val="003C22F7"/>
    <w:rsid w:val="003C2875"/>
    <w:rsid w:val="003C2894"/>
    <w:rsid w:val="003C331D"/>
    <w:rsid w:val="003C3608"/>
    <w:rsid w:val="003C367F"/>
    <w:rsid w:val="003C370D"/>
    <w:rsid w:val="003C3AAC"/>
    <w:rsid w:val="003C3E89"/>
    <w:rsid w:val="003C5140"/>
    <w:rsid w:val="003C577C"/>
    <w:rsid w:val="003C580D"/>
    <w:rsid w:val="003C5BA5"/>
    <w:rsid w:val="003C5BBD"/>
    <w:rsid w:val="003C5F55"/>
    <w:rsid w:val="003C7D19"/>
    <w:rsid w:val="003D0134"/>
    <w:rsid w:val="003D0B3C"/>
    <w:rsid w:val="003D0F3C"/>
    <w:rsid w:val="003D1828"/>
    <w:rsid w:val="003D18BF"/>
    <w:rsid w:val="003D19A3"/>
    <w:rsid w:val="003D1A68"/>
    <w:rsid w:val="003D1D26"/>
    <w:rsid w:val="003D1DE4"/>
    <w:rsid w:val="003D235F"/>
    <w:rsid w:val="003D2422"/>
    <w:rsid w:val="003D39A1"/>
    <w:rsid w:val="003D3B1F"/>
    <w:rsid w:val="003D3FBF"/>
    <w:rsid w:val="003D4207"/>
    <w:rsid w:val="003D44ED"/>
    <w:rsid w:val="003D4A30"/>
    <w:rsid w:val="003D4B33"/>
    <w:rsid w:val="003D4DEE"/>
    <w:rsid w:val="003D5590"/>
    <w:rsid w:val="003D76C3"/>
    <w:rsid w:val="003D79BB"/>
    <w:rsid w:val="003D7B55"/>
    <w:rsid w:val="003D7C98"/>
    <w:rsid w:val="003E00CE"/>
    <w:rsid w:val="003E0543"/>
    <w:rsid w:val="003E095C"/>
    <w:rsid w:val="003E1BAC"/>
    <w:rsid w:val="003E2348"/>
    <w:rsid w:val="003E2A78"/>
    <w:rsid w:val="003E2E9D"/>
    <w:rsid w:val="003E3C3C"/>
    <w:rsid w:val="003E417C"/>
    <w:rsid w:val="003E44AC"/>
    <w:rsid w:val="003E4D82"/>
    <w:rsid w:val="003E4F4C"/>
    <w:rsid w:val="003E59E6"/>
    <w:rsid w:val="003E5B45"/>
    <w:rsid w:val="003E7615"/>
    <w:rsid w:val="003E782B"/>
    <w:rsid w:val="003F07C8"/>
    <w:rsid w:val="003F0A43"/>
    <w:rsid w:val="003F0DC0"/>
    <w:rsid w:val="003F25FF"/>
    <w:rsid w:val="003F28E3"/>
    <w:rsid w:val="003F2CCE"/>
    <w:rsid w:val="003F3F9D"/>
    <w:rsid w:val="003F4156"/>
    <w:rsid w:val="003F5277"/>
    <w:rsid w:val="003F5478"/>
    <w:rsid w:val="003F587C"/>
    <w:rsid w:val="003F6645"/>
    <w:rsid w:val="003F6711"/>
    <w:rsid w:val="003F6812"/>
    <w:rsid w:val="003F6980"/>
    <w:rsid w:val="003F6C9B"/>
    <w:rsid w:val="003F7C01"/>
    <w:rsid w:val="003F7F22"/>
    <w:rsid w:val="00400B29"/>
    <w:rsid w:val="00400DC8"/>
    <w:rsid w:val="004012F0"/>
    <w:rsid w:val="00401A64"/>
    <w:rsid w:val="00401B2E"/>
    <w:rsid w:val="00401B43"/>
    <w:rsid w:val="00401DB2"/>
    <w:rsid w:val="00402B2C"/>
    <w:rsid w:val="00402C6A"/>
    <w:rsid w:val="00403182"/>
    <w:rsid w:val="0040321A"/>
    <w:rsid w:val="00403477"/>
    <w:rsid w:val="00403D79"/>
    <w:rsid w:val="00404200"/>
    <w:rsid w:val="004043BC"/>
    <w:rsid w:val="004047FF"/>
    <w:rsid w:val="00404846"/>
    <w:rsid w:val="0040504B"/>
    <w:rsid w:val="0040578D"/>
    <w:rsid w:val="00405F29"/>
    <w:rsid w:val="0040615B"/>
    <w:rsid w:val="00406206"/>
    <w:rsid w:val="00406A74"/>
    <w:rsid w:val="004079F7"/>
    <w:rsid w:val="00410708"/>
    <w:rsid w:val="004107C9"/>
    <w:rsid w:val="00410EC7"/>
    <w:rsid w:val="00411B39"/>
    <w:rsid w:val="00412D15"/>
    <w:rsid w:val="00412E6A"/>
    <w:rsid w:val="00412E71"/>
    <w:rsid w:val="0041315A"/>
    <w:rsid w:val="00413715"/>
    <w:rsid w:val="004137EA"/>
    <w:rsid w:val="0041382A"/>
    <w:rsid w:val="00413934"/>
    <w:rsid w:val="0041399E"/>
    <w:rsid w:val="00413A1E"/>
    <w:rsid w:val="00413CCD"/>
    <w:rsid w:val="00414198"/>
    <w:rsid w:val="00414476"/>
    <w:rsid w:val="004146F2"/>
    <w:rsid w:val="00414C2E"/>
    <w:rsid w:val="004151CF"/>
    <w:rsid w:val="00416364"/>
    <w:rsid w:val="00416733"/>
    <w:rsid w:val="00416C55"/>
    <w:rsid w:val="004174C2"/>
    <w:rsid w:val="004178B7"/>
    <w:rsid w:val="00417A1E"/>
    <w:rsid w:val="00417DD0"/>
    <w:rsid w:val="00417E9A"/>
    <w:rsid w:val="004207BF"/>
    <w:rsid w:val="00420AA6"/>
    <w:rsid w:val="00420B9F"/>
    <w:rsid w:val="00421257"/>
    <w:rsid w:val="00421DAF"/>
    <w:rsid w:val="00422260"/>
    <w:rsid w:val="00422977"/>
    <w:rsid w:val="00422E0C"/>
    <w:rsid w:val="00423904"/>
    <w:rsid w:val="00423D0D"/>
    <w:rsid w:val="00423D16"/>
    <w:rsid w:val="0042413F"/>
    <w:rsid w:val="004244D1"/>
    <w:rsid w:val="004246EA"/>
    <w:rsid w:val="00424843"/>
    <w:rsid w:val="00425184"/>
    <w:rsid w:val="0042609A"/>
    <w:rsid w:val="00426A6C"/>
    <w:rsid w:val="00427CCC"/>
    <w:rsid w:val="004309A8"/>
    <w:rsid w:val="0043140D"/>
    <w:rsid w:val="004319F8"/>
    <w:rsid w:val="00431E55"/>
    <w:rsid w:val="004321F6"/>
    <w:rsid w:val="00433044"/>
    <w:rsid w:val="004333E7"/>
    <w:rsid w:val="00433B87"/>
    <w:rsid w:val="004346A7"/>
    <w:rsid w:val="00434743"/>
    <w:rsid w:val="00434F23"/>
    <w:rsid w:val="00435D98"/>
    <w:rsid w:val="00435E09"/>
    <w:rsid w:val="00435E8C"/>
    <w:rsid w:val="004362E6"/>
    <w:rsid w:val="00436572"/>
    <w:rsid w:val="00436FF8"/>
    <w:rsid w:val="00437009"/>
    <w:rsid w:val="004375B9"/>
    <w:rsid w:val="00440AEE"/>
    <w:rsid w:val="00440DEB"/>
    <w:rsid w:val="00440FD9"/>
    <w:rsid w:val="004416E9"/>
    <w:rsid w:val="00441996"/>
    <w:rsid w:val="00441B64"/>
    <w:rsid w:val="0044241A"/>
    <w:rsid w:val="004427A7"/>
    <w:rsid w:val="004428D0"/>
    <w:rsid w:val="00442F0E"/>
    <w:rsid w:val="004435EF"/>
    <w:rsid w:val="004443A7"/>
    <w:rsid w:val="0044442C"/>
    <w:rsid w:val="00444FB4"/>
    <w:rsid w:val="00445941"/>
    <w:rsid w:val="00446456"/>
    <w:rsid w:val="004464EB"/>
    <w:rsid w:val="0044658C"/>
    <w:rsid w:val="00446C97"/>
    <w:rsid w:val="00447161"/>
    <w:rsid w:val="00447D26"/>
    <w:rsid w:val="00447FC3"/>
    <w:rsid w:val="004514A4"/>
    <w:rsid w:val="004516CE"/>
    <w:rsid w:val="00451B6B"/>
    <w:rsid w:val="00452B26"/>
    <w:rsid w:val="00452C75"/>
    <w:rsid w:val="00452FC4"/>
    <w:rsid w:val="00453078"/>
    <w:rsid w:val="00453A9E"/>
    <w:rsid w:val="00453B04"/>
    <w:rsid w:val="00453C5F"/>
    <w:rsid w:val="00454690"/>
    <w:rsid w:val="00454A62"/>
    <w:rsid w:val="0045564F"/>
    <w:rsid w:val="00455699"/>
    <w:rsid w:val="00455D45"/>
    <w:rsid w:val="00455F4B"/>
    <w:rsid w:val="00455F95"/>
    <w:rsid w:val="00456FC9"/>
    <w:rsid w:val="00457298"/>
    <w:rsid w:val="00457C61"/>
    <w:rsid w:val="00460083"/>
    <w:rsid w:val="0046014D"/>
    <w:rsid w:val="00460D44"/>
    <w:rsid w:val="00461469"/>
    <w:rsid w:val="00461C22"/>
    <w:rsid w:val="00461F78"/>
    <w:rsid w:val="00462317"/>
    <w:rsid w:val="004625F2"/>
    <w:rsid w:val="004627F9"/>
    <w:rsid w:val="00463355"/>
    <w:rsid w:val="00463DFE"/>
    <w:rsid w:val="00463E59"/>
    <w:rsid w:val="00463F47"/>
    <w:rsid w:val="00464307"/>
    <w:rsid w:val="00464595"/>
    <w:rsid w:val="004650F7"/>
    <w:rsid w:val="004663A0"/>
    <w:rsid w:val="004663FC"/>
    <w:rsid w:val="00466637"/>
    <w:rsid w:val="004673FD"/>
    <w:rsid w:val="00467CC4"/>
    <w:rsid w:val="004705EE"/>
    <w:rsid w:val="004708D2"/>
    <w:rsid w:val="00471F8A"/>
    <w:rsid w:val="00472147"/>
    <w:rsid w:val="00472A79"/>
    <w:rsid w:val="004732E1"/>
    <w:rsid w:val="00473726"/>
    <w:rsid w:val="00473F19"/>
    <w:rsid w:val="00475565"/>
    <w:rsid w:val="00475C80"/>
    <w:rsid w:val="00475E22"/>
    <w:rsid w:val="004761BC"/>
    <w:rsid w:val="004772E9"/>
    <w:rsid w:val="004775D3"/>
    <w:rsid w:val="00477E40"/>
    <w:rsid w:val="0048006F"/>
    <w:rsid w:val="0048088E"/>
    <w:rsid w:val="00480F90"/>
    <w:rsid w:val="00481531"/>
    <w:rsid w:val="00481EF5"/>
    <w:rsid w:val="00482720"/>
    <w:rsid w:val="004835E7"/>
    <w:rsid w:val="00483E55"/>
    <w:rsid w:val="00483EB8"/>
    <w:rsid w:val="004840F1"/>
    <w:rsid w:val="00484218"/>
    <w:rsid w:val="00484616"/>
    <w:rsid w:val="00484AFC"/>
    <w:rsid w:val="00484D88"/>
    <w:rsid w:val="004856E4"/>
    <w:rsid w:val="00485A3C"/>
    <w:rsid w:val="004862E0"/>
    <w:rsid w:val="004867E2"/>
    <w:rsid w:val="0048726F"/>
    <w:rsid w:val="00487B91"/>
    <w:rsid w:val="00487F19"/>
    <w:rsid w:val="00490199"/>
    <w:rsid w:val="00490288"/>
    <w:rsid w:val="004903F1"/>
    <w:rsid w:val="0049048D"/>
    <w:rsid w:val="004908CA"/>
    <w:rsid w:val="004909B0"/>
    <w:rsid w:val="00490E05"/>
    <w:rsid w:val="00490ECC"/>
    <w:rsid w:val="00491B3A"/>
    <w:rsid w:val="004922AE"/>
    <w:rsid w:val="00492385"/>
    <w:rsid w:val="00492CFD"/>
    <w:rsid w:val="00493392"/>
    <w:rsid w:val="0049354A"/>
    <w:rsid w:val="004936DD"/>
    <w:rsid w:val="00493AEF"/>
    <w:rsid w:val="00493ECD"/>
    <w:rsid w:val="004948AD"/>
    <w:rsid w:val="00494944"/>
    <w:rsid w:val="00494DD5"/>
    <w:rsid w:val="00495278"/>
    <w:rsid w:val="00495456"/>
    <w:rsid w:val="004955FE"/>
    <w:rsid w:val="00495BA9"/>
    <w:rsid w:val="004962D2"/>
    <w:rsid w:val="004975AD"/>
    <w:rsid w:val="004977E0"/>
    <w:rsid w:val="004A0DA1"/>
    <w:rsid w:val="004A1382"/>
    <w:rsid w:val="004A19CC"/>
    <w:rsid w:val="004A1A1E"/>
    <w:rsid w:val="004A1F8A"/>
    <w:rsid w:val="004A2B1F"/>
    <w:rsid w:val="004A38F3"/>
    <w:rsid w:val="004A3A2E"/>
    <w:rsid w:val="004A3CFB"/>
    <w:rsid w:val="004A3E16"/>
    <w:rsid w:val="004A4773"/>
    <w:rsid w:val="004A4C3D"/>
    <w:rsid w:val="004A4DE5"/>
    <w:rsid w:val="004A52E9"/>
    <w:rsid w:val="004A59BA"/>
    <w:rsid w:val="004A6597"/>
    <w:rsid w:val="004A688E"/>
    <w:rsid w:val="004A73AA"/>
    <w:rsid w:val="004A751F"/>
    <w:rsid w:val="004A7848"/>
    <w:rsid w:val="004A7A44"/>
    <w:rsid w:val="004A7C6F"/>
    <w:rsid w:val="004B039D"/>
    <w:rsid w:val="004B06F6"/>
    <w:rsid w:val="004B171F"/>
    <w:rsid w:val="004B1AC3"/>
    <w:rsid w:val="004B1CB4"/>
    <w:rsid w:val="004B2F18"/>
    <w:rsid w:val="004B3479"/>
    <w:rsid w:val="004B34F5"/>
    <w:rsid w:val="004B36EF"/>
    <w:rsid w:val="004B3B96"/>
    <w:rsid w:val="004B3BE1"/>
    <w:rsid w:val="004B3C71"/>
    <w:rsid w:val="004B3DDB"/>
    <w:rsid w:val="004B3EEE"/>
    <w:rsid w:val="004B4088"/>
    <w:rsid w:val="004B412D"/>
    <w:rsid w:val="004B430D"/>
    <w:rsid w:val="004B44FD"/>
    <w:rsid w:val="004B4607"/>
    <w:rsid w:val="004B460F"/>
    <w:rsid w:val="004B516E"/>
    <w:rsid w:val="004B5CFC"/>
    <w:rsid w:val="004B5E12"/>
    <w:rsid w:val="004B774D"/>
    <w:rsid w:val="004C022E"/>
    <w:rsid w:val="004C02A0"/>
    <w:rsid w:val="004C071B"/>
    <w:rsid w:val="004C099A"/>
    <w:rsid w:val="004C0B68"/>
    <w:rsid w:val="004C0DFE"/>
    <w:rsid w:val="004C13D1"/>
    <w:rsid w:val="004C17CD"/>
    <w:rsid w:val="004C1AEC"/>
    <w:rsid w:val="004C1D29"/>
    <w:rsid w:val="004C2359"/>
    <w:rsid w:val="004C2775"/>
    <w:rsid w:val="004C28CE"/>
    <w:rsid w:val="004C2E61"/>
    <w:rsid w:val="004C30DD"/>
    <w:rsid w:val="004C3417"/>
    <w:rsid w:val="004C410A"/>
    <w:rsid w:val="004C4AED"/>
    <w:rsid w:val="004C60B9"/>
    <w:rsid w:val="004C6AC4"/>
    <w:rsid w:val="004C73E7"/>
    <w:rsid w:val="004C774A"/>
    <w:rsid w:val="004C77BE"/>
    <w:rsid w:val="004C7BDC"/>
    <w:rsid w:val="004C7BF5"/>
    <w:rsid w:val="004D0A45"/>
    <w:rsid w:val="004D180B"/>
    <w:rsid w:val="004D1B28"/>
    <w:rsid w:val="004D1EF4"/>
    <w:rsid w:val="004D2466"/>
    <w:rsid w:val="004D26F7"/>
    <w:rsid w:val="004D27B6"/>
    <w:rsid w:val="004D2C2D"/>
    <w:rsid w:val="004D2E88"/>
    <w:rsid w:val="004D3920"/>
    <w:rsid w:val="004D4A08"/>
    <w:rsid w:val="004D4BDC"/>
    <w:rsid w:val="004D4BEB"/>
    <w:rsid w:val="004D5FA7"/>
    <w:rsid w:val="004D615D"/>
    <w:rsid w:val="004D62EE"/>
    <w:rsid w:val="004D6480"/>
    <w:rsid w:val="004D7227"/>
    <w:rsid w:val="004D7B18"/>
    <w:rsid w:val="004D7F76"/>
    <w:rsid w:val="004E04E6"/>
    <w:rsid w:val="004E0E7F"/>
    <w:rsid w:val="004E0EB8"/>
    <w:rsid w:val="004E0FE9"/>
    <w:rsid w:val="004E1C26"/>
    <w:rsid w:val="004E1C51"/>
    <w:rsid w:val="004E1F6B"/>
    <w:rsid w:val="004E28F1"/>
    <w:rsid w:val="004E2ADC"/>
    <w:rsid w:val="004E2FB3"/>
    <w:rsid w:val="004E3B28"/>
    <w:rsid w:val="004E3BF4"/>
    <w:rsid w:val="004E43B2"/>
    <w:rsid w:val="004E4EBF"/>
    <w:rsid w:val="004E59DB"/>
    <w:rsid w:val="004E5AAC"/>
    <w:rsid w:val="004E651F"/>
    <w:rsid w:val="004E690F"/>
    <w:rsid w:val="004E7EE6"/>
    <w:rsid w:val="004F0F85"/>
    <w:rsid w:val="004F10AD"/>
    <w:rsid w:val="004F152A"/>
    <w:rsid w:val="004F1D02"/>
    <w:rsid w:val="004F1EF7"/>
    <w:rsid w:val="004F2679"/>
    <w:rsid w:val="004F2946"/>
    <w:rsid w:val="004F2F21"/>
    <w:rsid w:val="004F35DB"/>
    <w:rsid w:val="004F3AF3"/>
    <w:rsid w:val="004F3BC2"/>
    <w:rsid w:val="004F3D87"/>
    <w:rsid w:val="004F481B"/>
    <w:rsid w:val="004F511B"/>
    <w:rsid w:val="004F59FE"/>
    <w:rsid w:val="004F5A4F"/>
    <w:rsid w:val="004F5F9D"/>
    <w:rsid w:val="004F60B7"/>
    <w:rsid w:val="004F61E6"/>
    <w:rsid w:val="004F6913"/>
    <w:rsid w:val="004F6EF7"/>
    <w:rsid w:val="004F70AD"/>
    <w:rsid w:val="004F7738"/>
    <w:rsid w:val="004F7865"/>
    <w:rsid w:val="004F7BEA"/>
    <w:rsid w:val="005000E7"/>
    <w:rsid w:val="00500384"/>
    <w:rsid w:val="00500637"/>
    <w:rsid w:val="0050219B"/>
    <w:rsid w:val="00502570"/>
    <w:rsid w:val="005026B2"/>
    <w:rsid w:val="00502897"/>
    <w:rsid w:val="00502A4A"/>
    <w:rsid w:val="00502C21"/>
    <w:rsid w:val="00503C8F"/>
    <w:rsid w:val="00503F17"/>
    <w:rsid w:val="0050426C"/>
    <w:rsid w:val="005052D9"/>
    <w:rsid w:val="0050569C"/>
    <w:rsid w:val="00505E5F"/>
    <w:rsid w:val="00506928"/>
    <w:rsid w:val="005069E0"/>
    <w:rsid w:val="00506EE0"/>
    <w:rsid w:val="00507880"/>
    <w:rsid w:val="005122E6"/>
    <w:rsid w:val="00512C97"/>
    <w:rsid w:val="00513FDE"/>
    <w:rsid w:val="0051422A"/>
    <w:rsid w:val="00514A00"/>
    <w:rsid w:val="005152B5"/>
    <w:rsid w:val="0051556C"/>
    <w:rsid w:val="0051597B"/>
    <w:rsid w:val="0051609E"/>
    <w:rsid w:val="00516811"/>
    <w:rsid w:val="00516872"/>
    <w:rsid w:val="00517E72"/>
    <w:rsid w:val="005203BC"/>
    <w:rsid w:val="00520446"/>
    <w:rsid w:val="00520572"/>
    <w:rsid w:val="00520617"/>
    <w:rsid w:val="0052067D"/>
    <w:rsid w:val="005209DE"/>
    <w:rsid w:val="00520B23"/>
    <w:rsid w:val="0052109E"/>
    <w:rsid w:val="005211DB"/>
    <w:rsid w:val="00521319"/>
    <w:rsid w:val="00522861"/>
    <w:rsid w:val="00522BC8"/>
    <w:rsid w:val="00523905"/>
    <w:rsid w:val="00523A8D"/>
    <w:rsid w:val="00523C28"/>
    <w:rsid w:val="00523DBD"/>
    <w:rsid w:val="00524289"/>
    <w:rsid w:val="005245BD"/>
    <w:rsid w:val="005247EA"/>
    <w:rsid w:val="00524EF1"/>
    <w:rsid w:val="005250EA"/>
    <w:rsid w:val="0052515F"/>
    <w:rsid w:val="005258D9"/>
    <w:rsid w:val="0052599D"/>
    <w:rsid w:val="005259D6"/>
    <w:rsid w:val="00526023"/>
    <w:rsid w:val="0052626B"/>
    <w:rsid w:val="005262D8"/>
    <w:rsid w:val="005263D4"/>
    <w:rsid w:val="00526E73"/>
    <w:rsid w:val="00526FAC"/>
    <w:rsid w:val="00527444"/>
    <w:rsid w:val="00527A36"/>
    <w:rsid w:val="0053043A"/>
    <w:rsid w:val="005313DA"/>
    <w:rsid w:val="00532D84"/>
    <w:rsid w:val="00533B89"/>
    <w:rsid w:val="005340E5"/>
    <w:rsid w:val="00534D7C"/>
    <w:rsid w:val="00534E77"/>
    <w:rsid w:val="00535833"/>
    <w:rsid w:val="00535B5C"/>
    <w:rsid w:val="005365D7"/>
    <w:rsid w:val="00536DBE"/>
    <w:rsid w:val="00536F42"/>
    <w:rsid w:val="00537182"/>
    <w:rsid w:val="005377B1"/>
    <w:rsid w:val="00537A75"/>
    <w:rsid w:val="00537E55"/>
    <w:rsid w:val="00537ED9"/>
    <w:rsid w:val="00540172"/>
    <w:rsid w:val="00540BA4"/>
    <w:rsid w:val="00540E64"/>
    <w:rsid w:val="00541903"/>
    <w:rsid w:val="00541F92"/>
    <w:rsid w:val="00542743"/>
    <w:rsid w:val="00542C2D"/>
    <w:rsid w:val="00542D2D"/>
    <w:rsid w:val="005437F0"/>
    <w:rsid w:val="0054389C"/>
    <w:rsid w:val="00543BF3"/>
    <w:rsid w:val="005440B5"/>
    <w:rsid w:val="005442B4"/>
    <w:rsid w:val="005447B9"/>
    <w:rsid w:val="00544B62"/>
    <w:rsid w:val="00544F6B"/>
    <w:rsid w:val="00545499"/>
    <w:rsid w:val="00545A65"/>
    <w:rsid w:val="00545E0A"/>
    <w:rsid w:val="00545E67"/>
    <w:rsid w:val="005466DF"/>
    <w:rsid w:val="00546A46"/>
    <w:rsid w:val="00547278"/>
    <w:rsid w:val="005473A5"/>
    <w:rsid w:val="00547622"/>
    <w:rsid w:val="00547B72"/>
    <w:rsid w:val="00550171"/>
    <w:rsid w:val="00550248"/>
    <w:rsid w:val="005509BB"/>
    <w:rsid w:val="00550D9F"/>
    <w:rsid w:val="00551153"/>
    <w:rsid w:val="00551195"/>
    <w:rsid w:val="00551711"/>
    <w:rsid w:val="00551923"/>
    <w:rsid w:val="00551985"/>
    <w:rsid w:val="0055243B"/>
    <w:rsid w:val="00552BD3"/>
    <w:rsid w:val="00552C8B"/>
    <w:rsid w:val="005532F3"/>
    <w:rsid w:val="00553D0C"/>
    <w:rsid w:val="0055491E"/>
    <w:rsid w:val="00554AB5"/>
    <w:rsid w:val="00555109"/>
    <w:rsid w:val="0055519C"/>
    <w:rsid w:val="005555CE"/>
    <w:rsid w:val="00555863"/>
    <w:rsid w:val="005558AF"/>
    <w:rsid w:val="0055619D"/>
    <w:rsid w:val="00556A0A"/>
    <w:rsid w:val="00556CCA"/>
    <w:rsid w:val="005570C3"/>
    <w:rsid w:val="00557769"/>
    <w:rsid w:val="0055782C"/>
    <w:rsid w:val="0055798C"/>
    <w:rsid w:val="00560D91"/>
    <w:rsid w:val="00560E03"/>
    <w:rsid w:val="005623ED"/>
    <w:rsid w:val="00562423"/>
    <w:rsid w:val="00562753"/>
    <w:rsid w:val="00562D13"/>
    <w:rsid w:val="00563E85"/>
    <w:rsid w:val="005644BE"/>
    <w:rsid w:val="00564BD6"/>
    <w:rsid w:val="00565389"/>
    <w:rsid w:val="0056565B"/>
    <w:rsid w:val="0056600B"/>
    <w:rsid w:val="0056605E"/>
    <w:rsid w:val="0056613E"/>
    <w:rsid w:val="00566492"/>
    <w:rsid w:val="0056696F"/>
    <w:rsid w:val="0056702F"/>
    <w:rsid w:val="00567140"/>
    <w:rsid w:val="0056739D"/>
    <w:rsid w:val="0057067D"/>
    <w:rsid w:val="0057172E"/>
    <w:rsid w:val="00572269"/>
    <w:rsid w:val="0057244A"/>
    <w:rsid w:val="005727F4"/>
    <w:rsid w:val="00572809"/>
    <w:rsid w:val="005729D1"/>
    <w:rsid w:val="00572B60"/>
    <w:rsid w:val="0057363A"/>
    <w:rsid w:val="00573A0A"/>
    <w:rsid w:val="00573B84"/>
    <w:rsid w:val="00573EC1"/>
    <w:rsid w:val="005742E0"/>
    <w:rsid w:val="0057489F"/>
    <w:rsid w:val="00574D97"/>
    <w:rsid w:val="005759F0"/>
    <w:rsid w:val="00575D8D"/>
    <w:rsid w:val="00575E67"/>
    <w:rsid w:val="005764F2"/>
    <w:rsid w:val="00576972"/>
    <w:rsid w:val="00576B0F"/>
    <w:rsid w:val="00576EED"/>
    <w:rsid w:val="00576F82"/>
    <w:rsid w:val="005772CA"/>
    <w:rsid w:val="005777EB"/>
    <w:rsid w:val="00580AE0"/>
    <w:rsid w:val="00580C71"/>
    <w:rsid w:val="00580FC1"/>
    <w:rsid w:val="00581913"/>
    <w:rsid w:val="00582001"/>
    <w:rsid w:val="0058342F"/>
    <w:rsid w:val="0058363F"/>
    <w:rsid w:val="00583699"/>
    <w:rsid w:val="00583DFF"/>
    <w:rsid w:val="00584380"/>
    <w:rsid w:val="00584E61"/>
    <w:rsid w:val="00584FDD"/>
    <w:rsid w:val="00585452"/>
    <w:rsid w:val="0058567E"/>
    <w:rsid w:val="00585CDD"/>
    <w:rsid w:val="00585FA3"/>
    <w:rsid w:val="0058655A"/>
    <w:rsid w:val="00587058"/>
    <w:rsid w:val="00590216"/>
    <w:rsid w:val="00591294"/>
    <w:rsid w:val="00591461"/>
    <w:rsid w:val="00591609"/>
    <w:rsid w:val="00591957"/>
    <w:rsid w:val="00591A13"/>
    <w:rsid w:val="005920B9"/>
    <w:rsid w:val="00592318"/>
    <w:rsid w:val="00592B4F"/>
    <w:rsid w:val="00592B7C"/>
    <w:rsid w:val="00593064"/>
    <w:rsid w:val="00593124"/>
    <w:rsid w:val="00593B39"/>
    <w:rsid w:val="00594191"/>
    <w:rsid w:val="005942E4"/>
    <w:rsid w:val="00594F5F"/>
    <w:rsid w:val="0059544E"/>
    <w:rsid w:val="0059578E"/>
    <w:rsid w:val="00595DE9"/>
    <w:rsid w:val="00595FF0"/>
    <w:rsid w:val="00596BC5"/>
    <w:rsid w:val="00597BF9"/>
    <w:rsid w:val="00597D7B"/>
    <w:rsid w:val="00597D8E"/>
    <w:rsid w:val="005A0906"/>
    <w:rsid w:val="005A099C"/>
    <w:rsid w:val="005A0DFF"/>
    <w:rsid w:val="005A106F"/>
    <w:rsid w:val="005A1358"/>
    <w:rsid w:val="005A1471"/>
    <w:rsid w:val="005A1A84"/>
    <w:rsid w:val="005A2AC5"/>
    <w:rsid w:val="005A2FEA"/>
    <w:rsid w:val="005A373D"/>
    <w:rsid w:val="005A379E"/>
    <w:rsid w:val="005A4FB4"/>
    <w:rsid w:val="005A5EFE"/>
    <w:rsid w:val="005A6622"/>
    <w:rsid w:val="005A693D"/>
    <w:rsid w:val="005A6B58"/>
    <w:rsid w:val="005A6CC1"/>
    <w:rsid w:val="005A7BF9"/>
    <w:rsid w:val="005B0491"/>
    <w:rsid w:val="005B05E1"/>
    <w:rsid w:val="005B0AB6"/>
    <w:rsid w:val="005B0F1D"/>
    <w:rsid w:val="005B108D"/>
    <w:rsid w:val="005B1890"/>
    <w:rsid w:val="005B18CC"/>
    <w:rsid w:val="005B23C4"/>
    <w:rsid w:val="005B37DA"/>
    <w:rsid w:val="005B3830"/>
    <w:rsid w:val="005B38B8"/>
    <w:rsid w:val="005B3F80"/>
    <w:rsid w:val="005B43D0"/>
    <w:rsid w:val="005B4513"/>
    <w:rsid w:val="005B557F"/>
    <w:rsid w:val="005B5816"/>
    <w:rsid w:val="005B5857"/>
    <w:rsid w:val="005B5D66"/>
    <w:rsid w:val="005B6228"/>
    <w:rsid w:val="005B6D82"/>
    <w:rsid w:val="005B7559"/>
    <w:rsid w:val="005B760E"/>
    <w:rsid w:val="005C0257"/>
    <w:rsid w:val="005C035B"/>
    <w:rsid w:val="005C134D"/>
    <w:rsid w:val="005C1B83"/>
    <w:rsid w:val="005C1C6C"/>
    <w:rsid w:val="005C1F5F"/>
    <w:rsid w:val="005C25C1"/>
    <w:rsid w:val="005C2A3E"/>
    <w:rsid w:val="005C2D55"/>
    <w:rsid w:val="005C2DF9"/>
    <w:rsid w:val="005C346B"/>
    <w:rsid w:val="005C38CC"/>
    <w:rsid w:val="005C3F7B"/>
    <w:rsid w:val="005C4601"/>
    <w:rsid w:val="005C471D"/>
    <w:rsid w:val="005C5459"/>
    <w:rsid w:val="005C5E86"/>
    <w:rsid w:val="005C65A0"/>
    <w:rsid w:val="005C6A3D"/>
    <w:rsid w:val="005C6E97"/>
    <w:rsid w:val="005C7DD8"/>
    <w:rsid w:val="005D0305"/>
    <w:rsid w:val="005D044D"/>
    <w:rsid w:val="005D05D2"/>
    <w:rsid w:val="005D0732"/>
    <w:rsid w:val="005D0ABD"/>
    <w:rsid w:val="005D1332"/>
    <w:rsid w:val="005D1643"/>
    <w:rsid w:val="005D17C0"/>
    <w:rsid w:val="005D18AD"/>
    <w:rsid w:val="005D1DDC"/>
    <w:rsid w:val="005D1FA8"/>
    <w:rsid w:val="005D26B4"/>
    <w:rsid w:val="005D2A3E"/>
    <w:rsid w:val="005D2F89"/>
    <w:rsid w:val="005D410C"/>
    <w:rsid w:val="005D4AAA"/>
    <w:rsid w:val="005D4CDB"/>
    <w:rsid w:val="005D52AA"/>
    <w:rsid w:val="005D5585"/>
    <w:rsid w:val="005D575C"/>
    <w:rsid w:val="005D57AC"/>
    <w:rsid w:val="005D6795"/>
    <w:rsid w:val="005D76EA"/>
    <w:rsid w:val="005D77B7"/>
    <w:rsid w:val="005D7BEB"/>
    <w:rsid w:val="005E01E3"/>
    <w:rsid w:val="005E02D5"/>
    <w:rsid w:val="005E09A1"/>
    <w:rsid w:val="005E10D5"/>
    <w:rsid w:val="005E11FE"/>
    <w:rsid w:val="005E17E8"/>
    <w:rsid w:val="005E1BFF"/>
    <w:rsid w:val="005E2336"/>
    <w:rsid w:val="005E24E7"/>
    <w:rsid w:val="005E29A1"/>
    <w:rsid w:val="005E2E95"/>
    <w:rsid w:val="005E3C54"/>
    <w:rsid w:val="005E41F3"/>
    <w:rsid w:val="005E4301"/>
    <w:rsid w:val="005E441F"/>
    <w:rsid w:val="005E4C67"/>
    <w:rsid w:val="005E4DF2"/>
    <w:rsid w:val="005E5A03"/>
    <w:rsid w:val="005E654E"/>
    <w:rsid w:val="005E67DB"/>
    <w:rsid w:val="005E6870"/>
    <w:rsid w:val="005E6CBC"/>
    <w:rsid w:val="005E6D6A"/>
    <w:rsid w:val="005E6FD3"/>
    <w:rsid w:val="005E73AD"/>
    <w:rsid w:val="005E73C0"/>
    <w:rsid w:val="005E7428"/>
    <w:rsid w:val="005E7943"/>
    <w:rsid w:val="005E796F"/>
    <w:rsid w:val="005F0838"/>
    <w:rsid w:val="005F0B40"/>
    <w:rsid w:val="005F143C"/>
    <w:rsid w:val="005F1491"/>
    <w:rsid w:val="005F1624"/>
    <w:rsid w:val="005F1BDF"/>
    <w:rsid w:val="005F1C45"/>
    <w:rsid w:val="005F2706"/>
    <w:rsid w:val="005F2F04"/>
    <w:rsid w:val="005F3057"/>
    <w:rsid w:val="005F3130"/>
    <w:rsid w:val="005F3888"/>
    <w:rsid w:val="005F3B2F"/>
    <w:rsid w:val="005F3C7C"/>
    <w:rsid w:val="005F4663"/>
    <w:rsid w:val="005F4B81"/>
    <w:rsid w:val="005F6603"/>
    <w:rsid w:val="005F6A8F"/>
    <w:rsid w:val="005F6C40"/>
    <w:rsid w:val="005F70D7"/>
    <w:rsid w:val="005F748E"/>
    <w:rsid w:val="005F766D"/>
    <w:rsid w:val="005F7B3C"/>
    <w:rsid w:val="005F7CC2"/>
    <w:rsid w:val="006000D7"/>
    <w:rsid w:val="00600987"/>
    <w:rsid w:val="00600D56"/>
    <w:rsid w:val="00601800"/>
    <w:rsid w:val="0060209B"/>
    <w:rsid w:val="0060262D"/>
    <w:rsid w:val="006026FB"/>
    <w:rsid w:val="006030D6"/>
    <w:rsid w:val="00603433"/>
    <w:rsid w:val="00603DB9"/>
    <w:rsid w:val="006044FA"/>
    <w:rsid w:val="00604C79"/>
    <w:rsid w:val="00605B19"/>
    <w:rsid w:val="00605CC3"/>
    <w:rsid w:val="00606D46"/>
    <w:rsid w:val="00607301"/>
    <w:rsid w:val="00607669"/>
    <w:rsid w:val="00607A74"/>
    <w:rsid w:val="00607AFD"/>
    <w:rsid w:val="006108D8"/>
    <w:rsid w:val="00611F00"/>
    <w:rsid w:val="00611FE1"/>
    <w:rsid w:val="00612105"/>
    <w:rsid w:val="00612A4D"/>
    <w:rsid w:val="00612B80"/>
    <w:rsid w:val="00612F97"/>
    <w:rsid w:val="00613383"/>
    <w:rsid w:val="0061345D"/>
    <w:rsid w:val="00614296"/>
    <w:rsid w:val="00614C90"/>
    <w:rsid w:val="00614D15"/>
    <w:rsid w:val="00615050"/>
    <w:rsid w:val="00615831"/>
    <w:rsid w:val="00615F42"/>
    <w:rsid w:val="006165D3"/>
    <w:rsid w:val="00616802"/>
    <w:rsid w:val="00616E0E"/>
    <w:rsid w:val="00616F20"/>
    <w:rsid w:val="00616FAE"/>
    <w:rsid w:val="00617E12"/>
    <w:rsid w:val="00617FEC"/>
    <w:rsid w:val="00620683"/>
    <w:rsid w:val="00620AFC"/>
    <w:rsid w:val="00620BC2"/>
    <w:rsid w:val="00621155"/>
    <w:rsid w:val="00621429"/>
    <w:rsid w:val="00621477"/>
    <w:rsid w:val="00622317"/>
    <w:rsid w:val="00622A04"/>
    <w:rsid w:val="00622BE6"/>
    <w:rsid w:val="006234AA"/>
    <w:rsid w:val="006234FC"/>
    <w:rsid w:val="00623C1E"/>
    <w:rsid w:val="00623C2F"/>
    <w:rsid w:val="00623E80"/>
    <w:rsid w:val="0062404D"/>
    <w:rsid w:val="00624E23"/>
    <w:rsid w:val="00625553"/>
    <w:rsid w:val="00625884"/>
    <w:rsid w:val="0062650E"/>
    <w:rsid w:val="00626514"/>
    <w:rsid w:val="006268CB"/>
    <w:rsid w:val="00626B90"/>
    <w:rsid w:val="0062733F"/>
    <w:rsid w:val="00627C7C"/>
    <w:rsid w:val="006314A8"/>
    <w:rsid w:val="00631518"/>
    <w:rsid w:val="0063158F"/>
    <w:rsid w:val="006315E2"/>
    <w:rsid w:val="00631C25"/>
    <w:rsid w:val="00631D6B"/>
    <w:rsid w:val="00632624"/>
    <w:rsid w:val="006327BB"/>
    <w:rsid w:val="00632C1F"/>
    <w:rsid w:val="0063308D"/>
    <w:rsid w:val="006330A1"/>
    <w:rsid w:val="00633602"/>
    <w:rsid w:val="0063402C"/>
    <w:rsid w:val="0063479F"/>
    <w:rsid w:val="00634A90"/>
    <w:rsid w:val="00634CFA"/>
    <w:rsid w:val="00634DF3"/>
    <w:rsid w:val="00635212"/>
    <w:rsid w:val="006353F0"/>
    <w:rsid w:val="006358F9"/>
    <w:rsid w:val="00635AF2"/>
    <w:rsid w:val="006364A1"/>
    <w:rsid w:val="0063667E"/>
    <w:rsid w:val="00636E39"/>
    <w:rsid w:val="00637020"/>
    <w:rsid w:val="00637BFD"/>
    <w:rsid w:val="006410BE"/>
    <w:rsid w:val="006413E9"/>
    <w:rsid w:val="0064146F"/>
    <w:rsid w:val="006417B2"/>
    <w:rsid w:val="00641C4E"/>
    <w:rsid w:val="00642172"/>
    <w:rsid w:val="006427AB"/>
    <w:rsid w:val="00642CA7"/>
    <w:rsid w:val="00642EF4"/>
    <w:rsid w:val="006437DD"/>
    <w:rsid w:val="00644020"/>
    <w:rsid w:val="0064427A"/>
    <w:rsid w:val="00644B5B"/>
    <w:rsid w:val="00645A1B"/>
    <w:rsid w:val="00645AB2"/>
    <w:rsid w:val="00646956"/>
    <w:rsid w:val="006471CC"/>
    <w:rsid w:val="0064760B"/>
    <w:rsid w:val="00647B98"/>
    <w:rsid w:val="00647C4D"/>
    <w:rsid w:val="00647E32"/>
    <w:rsid w:val="00650563"/>
    <w:rsid w:val="0065079F"/>
    <w:rsid w:val="00650A3D"/>
    <w:rsid w:val="006515DB"/>
    <w:rsid w:val="00651A88"/>
    <w:rsid w:val="0065292B"/>
    <w:rsid w:val="00652E6B"/>
    <w:rsid w:val="0065379F"/>
    <w:rsid w:val="006537EF"/>
    <w:rsid w:val="00653FF4"/>
    <w:rsid w:val="006540C9"/>
    <w:rsid w:val="00654116"/>
    <w:rsid w:val="00654648"/>
    <w:rsid w:val="00655889"/>
    <w:rsid w:val="00655A00"/>
    <w:rsid w:val="00655E4D"/>
    <w:rsid w:val="00655E4E"/>
    <w:rsid w:val="006568BC"/>
    <w:rsid w:val="006568BF"/>
    <w:rsid w:val="006568F8"/>
    <w:rsid w:val="00656EC7"/>
    <w:rsid w:val="006575D0"/>
    <w:rsid w:val="00657608"/>
    <w:rsid w:val="00660757"/>
    <w:rsid w:val="00660BB3"/>
    <w:rsid w:val="00660BE1"/>
    <w:rsid w:val="006615AD"/>
    <w:rsid w:val="00661705"/>
    <w:rsid w:val="00661C6B"/>
    <w:rsid w:val="00661CFF"/>
    <w:rsid w:val="0066260C"/>
    <w:rsid w:val="006633A7"/>
    <w:rsid w:val="006634B6"/>
    <w:rsid w:val="0066357F"/>
    <w:rsid w:val="0066391D"/>
    <w:rsid w:val="00663F7D"/>
    <w:rsid w:val="00664258"/>
    <w:rsid w:val="00664769"/>
    <w:rsid w:val="00664C17"/>
    <w:rsid w:val="006653FA"/>
    <w:rsid w:val="0066560F"/>
    <w:rsid w:val="00666743"/>
    <w:rsid w:val="00666C20"/>
    <w:rsid w:val="00667372"/>
    <w:rsid w:val="006678FB"/>
    <w:rsid w:val="00667DC5"/>
    <w:rsid w:val="006703C9"/>
    <w:rsid w:val="006708DF"/>
    <w:rsid w:val="00671076"/>
    <w:rsid w:val="006710E4"/>
    <w:rsid w:val="006730F2"/>
    <w:rsid w:val="00673259"/>
    <w:rsid w:val="00674A45"/>
    <w:rsid w:val="00674C0F"/>
    <w:rsid w:val="00674E42"/>
    <w:rsid w:val="00674F2D"/>
    <w:rsid w:val="006752DD"/>
    <w:rsid w:val="006754F3"/>
    <w:rsid w:val="00675612"/>
    <w:rsid w:val="0067568D"/>
    <w:rsid w:val="006757F3"/>
    <w:rsid w:val="00676680"/>
    <w:rsid w:val="00677916"/>
    <w:rsid w:val="00680B5C"/>
    <w:rsid w:val="00680CA9"/>
    <w:rsid w:val="00681052"/>
    <w:rsid w:val="0068148F"/>
    <w:rsid w:val="00681CF7"/>
    <w:rsid w:val="00681F70"/>
    <w:rsid w:val="00682112"/>
    <w:rsid w:val="00682F2E"/>
    <w:rsid w:val="00683635"/>
    <w:rsid w:val="00683852"/>
    <w:rsid w:val="00684563"/>
    <w:rsid w:val="00684928"/>
    <w:rsid w:val="00684C89"/>
    <w:rsid w:val="00685BD4"/>
    <w:rsid w:val="00685CB6"/>
    <w:rsid w:val="00686957"/>
    <w:rsid w:val="0068700A"/>
    <w:rsid w:val="006872BA"/>
    <w:rsid w:val="00687974"/>
    <w:rsid w:val="006907D0"/>
    <w:rsid w:val="00691159"/>
    <w:rsid w:val="006911F3"/>
    <w:rsid w:val="00691648"/>
    <w:rsid w:val="006917AF"/>
    <w:rsid w:val="006917D7"/>
    <w:rsid w:val="006928D3"/>
    <w:rsid w:val="006930CD"/>
    <w:rsid w:val="00693232"/>
    <w:rsid w:val="00694197"/>
    <w:rsid w:val="00694F44"/>
    <w:rsid w:val="006953B7"/>
    <w:rsid w:val="006957C9"/>
    <w:rsid w:val="00695AA8"/>
    <w:rsid w:val="00696018"/>
    <w:rsid w:val="006960CA"/>
    <w:rsid w:val="00696951"/>
    <w:rsid w:val="00696F4A"/>
    <w:rsid w:val="00697640"/>
    <w:rsid w:val="00697C2B"/>
    <w:rsid w:val="006A0174"/>
    <w:rsid w:val="006A1490"/>
    <w:rsid w:val="006A154B"/>
    <w:rsid w:val="006A1BF1"/>
    <w:rsid w:val="006A1C7C"/>
    <w:rsid w:val="006A1D14"/>
    <w:rsid w:val="006A1ED7"/>
    <w:rsid w:val="006A2770"/>
    <w:rsid w:val="006A29CF"/>
    <w:rsid w:val="006A34FF"/>
    <w:rsid w:val="006A452E"/>
    <w:rsid w:val="006A466C"/>
    <w:rsid w:val="006A5DBD"/>
    <w:rsid w:val="006A7469"/>
    <w:rsid w:val="006A7512"/>
    <w:rsid w:val="006A7E5F"/>
    <w:rsid w:val="006A7FEF"/>
    <w:rsid w:val="006B08B6"/>
    <w:rsid w:val="006B0D9D"/>
    <w:rsid w:val="006B1FEA"/>
    <w:rsid w:val="006B261B"/>
    <w:rsid w:val="006B271C"/>
    <w:rsid w:val="006B2A3C"/>
    <w:rsid w:val="006B2C90"/>
    <w:rsid w:val="006B33B4"/>
    <w:rsid w:val="006B3459"/>
    <w:rsid w:val="006B389E"/>
    <w:rsid w:val="006B3928"/>
    <w:rsid w:val="006B3B3C"/>
    <w:rsid w:val="006B3D37"/>
    <w:rsid w:val="006B4008"/>
    <w:rsid w:val="006B405D"/>
    <w:rsid w:val="006B41F4"/>
    <w:rsid w:val="006B49A4"/>
    <w:rsid w:val="006B49FE"/>
    <w:rsid w:val="006B5867"/>
    <w:rsid w:val="006B594F"/>
    <w:rsid w:val="006B5CA4"/>
    <w:rsid w:val="006B69B1"/>
    <w:rsid w:val="006B6DD0"/>
    <w:rsid w:val="006B71C6"/>
    <w:rsid w:val="006B7234"/>
    <w:rsid w:val="006C0292"/>
    <w:rsid w:val="006C088E"/>
    <w:rsid w:val="006C0C9A"/>
    <w:rsid w:val="006C0F2B"/>
    <w:rsid w:val="006C12D6"/>
    <w:rsid w:val="006C1379"/>
    <w:rsid w:val="006C211B"/>
    <w:rsid w:val="006C2327"/>
    <w:rsid w:val="006C271E"/>
    <w:rsid w:val="006C28CB"/>
    <w:rsid w:val="006C2A8E"/>
    <w:rsid w:val="006C31DE"/>
    <w:rsid w:val="006C34A2"/>
    <w:rsid w:val="006C3618"/>
    <w:rsid w:val="006C40F4"/>
    <w:rsid w:val="006C436A"/>
    <w:rsid w:val="006C4F3A"/>
    <w:rsid w:val="006C5C59"/>
    <w:rsid w:val="006C5CD0"/>
    <w:rsid w:val="006C67AF"/>
    <w:rsid w:val="006C7178"/>
    <w:rsid w:val="006C7530"/>
    <w:rsid w:val="006C7B78"/>
    <w:rsid w:val="006C7FFA"/>
    <w:rsid w:val="006D0187"/>
    <w:rsid w:val="006D04AD"/>
    <w:rsid w:val="006D06A5"/>
    <w:rsid w:val="006D099D"/>
    <w:rsid w:val="006D2156"/>
    <w:rsid w:val="006D29D4"/>
    <w:rsid w:val="006D2A65"/>
    <w:rsid w:val="006D2FD8"/>
    <w:rsid w:val="006D334C"/>
    <w:rsid w:val="006D3C7D"/>
    <w:rsid w:val="006D46DF"/>
    <w:rsid w:val="006D4933"/>
    <w:rsid w:val="006D4AA5"/>
    <w:rsid w:val="006D4DE9"/>
    <w:rsid w:val="006D53D7"/>
    <w:rsid w:val="006D5670"/>
    <w:rsid w:val="006D576D"/>
    <w:rsid w:val="006D5B9C"/>
    <w:rsid w:val="006D5D5F"/>
    <w:rsid w:val="006D5D96"/>
    <w:rsid w:val="006D6254"/>
    <w:rsid w:val="006D6BC5"/>
    <w:rsid w:val="006D6E84"/>
    <w:rsid w:val="006D7351"/>
    <w:rsid w:val="006D7D9B"/>
    <w:rsid w:val="006E0090"/>
    <w:rsid w:val="006E0446"/>
    <w:rsid w:val="006E0DA2"/>
    <w:rsid w:val="006E1A88"/>
    <w:rsid w:val="006E1DE9"/>
    <w:rsid w:val="006E1F0E"/>
    <w:rsid w:val="006E3A15"/>
    <w:rsid w:val="006E3B73"/>
    <w:rsid w:val="006E3F2C"/>
    <w:rsid w:val="006E4061"/>
    <w:rsid w:val="006E416A"/>
    <w:rsid w:val="006E4566"/>
    <w:rsid w:val="006E465B"/>
    <w:rsid w:val="006E4B77"/>
    <w:rsid w:val="006E4F7D"/>
    <w:rsid w:val="006E4FAA"/>
    <w:rsid w:val="006E536E"/>
    <w:rsid w:val="006E5A1C"/>
    <w:rsid w:val="006E5CCD"/>
    <w:rsid w:val="006E5D2C"/>
    <w:rsid w:val="006E5E63"/>
    <w:rsid w:val="006E6088"/>
    <w:rsid w:val="006E67CA"/>
    <w:rsid w:val="006E751A"/>
    <w:rsid w:val="006F04F0"/>
    <w:rsid w:val="006F125A"/>
    <w:rsid w:val="006F1340"/>
    <w:rsid w:val="006F1609"/>
    <w:rsid w:val="006F1741"/>
    <w:rsid w:val="006F1FFE"/>
    <w:rsid w:val="006F22AC"/>
    <w:rsid w:val="006F246D"/>
    <w:rsid w:val="006F2536"/>
    <w:rsid w:val="006F27D5"/>
    <w:rsid w:val="006F306C"/>
    <w:rsid w:val="006F3681"/>
    <w:rsid w:val="006F3FCC"/>
    <w:rsid w:val="006F406F"/>
    <w:rsid w:val="006F63A5"/>
    <w:rsid w:val="006F76D7"/>
    <w:rsid w:val="006F7DA7"/>
    <w:rsid w:val="007000B9"/>
    <w:rsid w:val="00700484"/>
    <w:rsid w:val="0070142B"/>
    <w:rsid w:val="00701754"/>
    <w:rsid w:val="00701F5D"/>
    <w:rsid w:val="00702026"/>
    <w:rsid w:val="0070276E"/>
    <w:rsid w:val="00702F8F"/>
    <w:rsid w:val="007037A5"/>
    <w:rsid w:val="00703F48"/>
    <w:rsid w:val="007045F7"/>
    <w:rsid w:val="007047C9"/>
    <w:rsid w:val="00704A88"/>
    <w:rsid w:val="00705E16"/>
    <w:rsid w:val="007067BC"/>
    <w:rsid w:val="007076C1"/>
    <w:rsid w:val="00710B4E"/>
    <w:rsid w:val="00710D6A"/>
    <w:rsid w:val="00711011"/>
    <w:rsid w:val="007114D3"/>
    <w:rsid w:val="00711A36"/>
    <w:rsid w:val="007123B5"/>
    <w:rsid w:val="007124B8"/>
    <w:rsid w:val="00712E12"/>
    <w:rsid w:val="007132B2"/>
    <w:rsid w:val="007138E2"/>
    <w:rsid w:val="00714218"/>
    <w:rsid w:val="00714ABF"/>
    <w:rsid w:val="00714E6D"/>
    <w:rsid w:val="0071529C"/>
    <w:rsid w:val="007154AD"/>
    <w:rsid w:val="00715BA4"/>
    <w:rsid w:val="00715E4C"/>
    <w:rsid w:val="007160BE"/>
    <w:rsid w:val="00716198"/>
    <w:rsid w:val="007163D0"/>
    <w:rsid w:val="00716630"/>
    <w:rsid w:val="00716A7F"/>
    <w:rsid w:val="00716C6B"/>
    <w:rsid w:val="007172AD"/>
    <w:rsid w:val="0072022B"/>
    <w:rsid w:val="00720EA9"/>
    <w:rsid w:val="0072130D"/>
    <w:rsid w:val="007213BF"/>
    <w:rsid w:val="007219B6"/>
    <w:rsid w:val="0072233D"/>
    <w:rsid w:val="00722788"/>
    <w:rsid w:val="0072283A"/>
    <w:rsid w:val="00722B1B"/>
    <w:rsid w:val="00722EC9"/>
    <w:rsid w:val="00723035"/>
    <w:rsid w:val="007230A3"/>
    <w:rsid w:val="00723844"/>
    <w:rsid w:val="0072416F"/>
    <w:rsid w:val="00724318"/>
    <w:rsid w:val="00724485"/>
    <w:rsid w:val="007250A3"/>
    <w:rsid w:val="007253DC"/>
    <w:rsid w:val="00725EA2"/>
    <w:rsid w:val="00726116"/>
    <w:rsid w:val="00726190"/>
    <w:rsid w:val="007265A8"/>
    <w:rsid w:val="007265D9"/>
    <w:rsid w:val="007269DB"/>
    <w:rsid w:val="00726D2B"/>
    <w:rsid w:val="00726FC5"/>
    <w:rsid w:val="00727C94"/>
    <w:rsid w:val="0073031D"/>
    <w:rsid w:val="00730D88"/>
    <w:rsid w:val="007310F1"/>
    <w:rsid w:val="007311D4"/>
    <w:rsid w:val="0073186A"/>
    <w:rsid w:val="00731EAE"/>
    <w:rsid w:val="0073202F"/>
    <w:rsid w:val="0073236F"/>
    <w:rsid w:val="00732E6D"/>
    <w:rsid w:val="00732FAC"/>
    <w:rsid w:val="007332C3"/>
    <w:rsid w:val="007336C5"/>
    <w:rsid w:val="00735033"/>
    <w:rsid w:val="00735328"/>
    <w:rsid w:val="00735A59"/>
    <w:rsid w:val="00735EC4"/>
    <w:rsid w:val="007361FD"/>
    <w:rsid w:val="00736580"/>
    <w:rsid w:val="0073685B"/>
    <w:rsid w:val="00736C00"/>
    <w:rsid w:val="00736FF4"/>
    <w:rsid w:val="00740303"/>
    <w:rsid w:val="007404A2"/>
    <w:rsid w:val="00740CFC"/>
    <w:rsid w:val="0074109D"/>
    <w:rsid w:val="00741194"/>
    <w:rsid w:val="007418E7"/>
    <w:rsid w:val="00741BB0"/>
    <w:rsid w:val="00741FF8"/>
    <w:rsid w:val="007425E2"/>
    <w:rsid w:val="00742839"/>
    <w:rsid w:val="007429E5"/>
    <w:rsid w:val="00743F98"/>
    <w:rsid w:val="00744157"/>
    <w:rsid w:val="007446AE"/>
    <w:rsid w:val="00744903"/>
    <w:rsid w:val="00744A05"/>
    <w:rsid w:val="00745146"/>
    <w:rsid w:val="007451A8"/>
    <w:rsid w:val="007455D6"/>
    <w:rsid w:val="00745857"/>
    <w:rsid w:val="007459D8"/>
    <w:rsid w:val="00745A3E"/>
    <w:rsid w:val="00745BF1"/>
    <w:rsid w:val="007463AE"/>
    <w:rsid w:val="0074677B"/>
    <w:rsid w:val="0074679A"/>
    <w:rsid w:val="007473DD"/>
    <w:rsid w:val="00747BFB"/>
    <w:rsid w:val="00750BEE"/>
    <w:rsid w:val="00750BFD"/>
    <w:rsid w:val="00750EA0"/>
    <w:rsid w:val="00750F56"/>
    <w:rsid w:val="0075122E"/>
    <w:rsid w:val="007512B3"/>
    <w:rsid w:val="0075135A"/>
    <w:rsid w:val="00752142"/>
    <w:rsid w:val="007523F9"/>
    <w:rsid w:val="00752D13"/>
    <w:rsid w:val="007538D2"/>
    <w:rsid w:val="0075443C"/>
    <w:rsid w:val="0075474D"/>
    <w:rsid w:val="007548BC"/>
    <w:rsid w:val="00755AB7"/>
    <w:rsid w:val="00755DD4"/>
    <w:rsid w:val="007565B9"/>
    <w:rsid w:val="007573E8"/>
    <w:rsid w:val="00757785"/>
    <w:rsid w:val="00757E16"/>
    <w:rsid w:val="00760A9B"/>
    <w:rsid w:val="00760C4E"/>
    <w:rsid w:val="00760F09"/>
    <w:rsid w:val="00761293"/>
    <w:rsid w:val="00762589"/>
    <w:rsid w:val="00762A5D"/>
    <w:rsid w:val="00762C20"/>
    <w:rsid w:val="00762C34"/>
    <w:rsid w:val="00763040"/>
    <w:rsid w:val="007632C3"/>
    <w:rsid w:val="00764405"/>
    <w:rsid w:val="00764487"/>
    <w:rsid w:val="007644C1"/>
    <w:rsid w:val="007647EA"/>
    <w:rsid w:val="007648A5"/>
    <w:rsid w:val="007654DC"/>
    <w:rsid w:val="0076550D"/>
    <w:rsid w:val="00765A8C"/>
    <w:rsid w:val="00765B1A"/>
    <w:rsid w:val="007665FC"/>
    <w:rsid w:val="00766683"/>
    <w:rsid w:val="00766B17"/>
    <w:rsid w:val="00766E67"/>
    <w:rsid w:val="0076702A"/>
    <w:rsid w:val="007673F9"/>
    <w:rsid w:val="00767577"/>
    <w:rsid w:val="00767BF8"/>
    <w:rsid w:val="00767ED6"/>
    <w:rsid w:val="007710B5"/>
    <w:rsid w:val="00771CF5"/>
    <w:rsid w:val="007720BB"/>
    <w:rsid w:val="007728F8"/>
    <w:rsid w:val="00772B1D"/>
    <w:rsid w:val="00772DB6"/>
    <w:rsid w:val="00772E1A"/>
    <w:rsid w:val="00773459"/>
    <w:rsid w:val="00773F5E"/>
    <w:rsid w:val="00774CA4"/>
    <w:rsid w:val="00774D00"/>
    <w:rsid w:val="00774FC7"/>
    <w:rsid w:val="00775295"/>
    <w:rsid w:val="00775485"/>
    <w:rsid w:val="0077646A"/>
    <w:rsid w:val="00776689"/>
    <w:rsid w:val="0077671E"/>
    <w:rsid w:val="00776D3A"/>
    <w:rsid w:val="00776F9A"/>
    <w:rsid w:val="00777328"/>
    <w:rsid w:val="00777A43"/>
    <w:rsid w:val="007805D4"/>
    <w:rsid w:val="00780813"/>
    <w:rsid w:val="00780EA4"/>
    <w:rsid w:val="00782B42"/>
    <w:rsid w:val="007831A9"/>
    <w:rsid w:val="007832A0"/>
    <w:rsid w:val="00783A91"/>
    <w:rsid w:val="00783F5E"/>
    <w:rsid w:val="007843F2"/>
    <w:rsid w:val="007844EE"/>
    <w:rsid w:val="0078456F"/>
    <w:rsid w:val="0078472F"/>
    <w:rsid w:val="00784CFE"/>
    <w:rsid w:val="00785519"/>
    <w:rsid w:val="00786487"/>
    <w:rsid w:val="007869E9"/>
    <w:rsid w:val="00786F70"/>
    <w:rsid w:val="007874E7"/>
    <w:rsid w:val="0078763F"/>
    <w:rsid w:val="00787748"/>
    <w:rsid w:val="00790411"/>
    <w:rsid w:val="007904CB"/>
    <w:rsid w:val="007907AC"/>
    <w:rsid w:val="007909CD"/>
    <w:rsid w:val="00791360"/>
    <w:rsid w:val="00791788"/>
    <w:rsid w:val="00791AC7"/>
    <w:rsid w:val="007923A7"/>
    <w:rsid w:val="00792EF2"/>
    <w:rsid w:val="007934E1"/>
    <w:rsid w:val="00793C10"/>
    <w:rsid w:val="007945C8"/>
    <w:rsid w:val="00794677"/>
    <w:rsid w:val="00794D8E"/>
    <w:rsid w:val="00795704"/>
    <w:rsid w:val="007961C2"/>
    <w:rsid w:val="00796245"/>
    <w:rsid w:val="00796B3A"/>
    <w:rsid w:val="007971BA"/>
    <w:rsid w:val="00797A5E"/>
    <w:rsid w:val="007A0437"/>
    <w:rsid w:val="007A04D4"/>
    <w:rsid w:val="007A089A"/>
    <w:rsid w:val="007A0A12"/>
    <w:rsid w:val="007A0C30"/>
    <w:rsid w:val="007A124E"/>
    <w:rsid w:val="007A132D"/>
    <w:rsid w:val="007A27B2"/>
    <w:rsid w:val="007A282E"/>
    <w:rsid w:val="007A3189"/>
    <w:rsid w:val="007A3720"/>
    <w:rsid w:val="007A3FFB"/>
    <w:rsid w:val="007A43BF"/>
    <w:rsid w:val="007A486D"/>
    <w:rsid w:val="007A4EA1"/>
    <w:rsid w:val="007A528E"/>
    <w:rsid w:val="007A777B"/>
    <w:rsid w:val="007A77BE"/>
    <w:rsid w:val="007A7869"/>
    <w:rsid w:val="007B020B"/>
    <w:rsid w:val="007B06AA"/>
    <w:rsid w:val="007B0B55"/>
    <w:rsid w:val="007B0D68"/>
    <w:rsid w:val="007B1BB8"/>
    <w:rsid w:val="007B1DCD"/>
    <w:rsid w:val="007B22DD"/>
    <w:rsid w:val="007B234F"/>
    <w:rsid w:val="007B251D"/>
    <w:rsid w:val="007B293C"/>
    <w:rsid w:val="007B2E8C"/>
    <w:rsid w:val="007B339A"/>
    <w:rsid w:val="007B4170"/>
    <w:rsid w:val="007B4C76"/>
    <w:rsid w:val="007B4EF9"/>
    <w:rsid w:val="007B4F58"/>
    <w:rsid w:val="007B51E5"/>
    <w:rsid w:val="007B528D"/>
    <w:rsid w:val="007B52E2"/>
    <w:rsid w:val="007B533E"/>
    <w:rsid w:val="007B53D1"/>
    <w:rsid w:val="007B5E97"/>
    <w:rsid w:val="007B6A70"/>
    <w:rsid w:val="007B70AA"/>
    <w:rsid w:val="007B73A0"/>
    <w:rsid w:val="007B77D1"/>
    <w:rsid w:val="007B79FC"/>
    <w:rsid w:val="007B7DC6"/>
    <w:rsid w:val="007B7FF6"/>
    <w:rsid w:val="007C0456"/>
    <w:rsid w:val="007C0960"/>
    <w:rsid w:val="007C0BB2"/>
    <w:rsid w:val="007C13DB"/>
    <w:rsid w:val="007C1615"/>
    <w:rsid w:val="007C19A5"/>
    <w:rsid w:val="007C19B2"/>
    <w:rsid w:val="007C1CD9"/>
    <w:rsid w:val="007C1D21"/>
    <w:rsid w:val="007C268A"/>
    <w:rsid w:val="007C3262"/>
    <w:rsid w:val="007C361D"/>
    <w:rsid w:val="007C44D4"/>
    <w:rsid w:val="007C4B84"/>
    <w:rsid w:val="007C632C"/>
    <w:rsid w:val="007C6359"/>
    <w:rsid w:val="007C6606"/>
    <w:rsid w:val="007C6757"/>
    <w:rsid w:val="007C755C"/>
    <w:rsid w:val="007C767F"/>
    <w:rsid w:val="007D004F"/>
    <w:rsid w:val="007D0A2F"/>
    <w:rsid w:val="007D0B38"/>
    <w:rsid w:val="007D140D"/>
    <w:rsid w:val="007D15EC"/>
    <w:rsid w:val="007D18A6"/>
    <w:rsid w:val="007D198B"/>
    <w:rsid w:val="007D1AE4"/>
    <w:rsid w:val="007D1D8A"/>
    <w:rsid w:val="007D2733"/>
    <w:rsid w:val="007D2827"/>
    <w:rsid w:val="007D303C"/>
    <w:rsid w:val="007D3B6A"/>
    <w:rsid w:val="007D4625"/>
    <w:rsid w:val="007D4934"/>
    <w:rsid w:val="007D4A3D"/>
    <w:rsid w:val="007D4B41"/>
    <w:rsid w:val="007D4BBA"/>
    <w:rsid w:val="007D4DC7"/>
    <w:rsid w:val="007D5440"/>
    <w:rsid w:val="007D5E64"/>
    <w:rsid w:val="007D6B18"/>
    <w:rsid w:val="007D6C48"/>
    <w:rsid w:val="007D790E"/>
    <w:rsid w:val="007D7AF8"/>
    <w:rsid w:val="007E0471"/>
    <w:rsid w:val="007E0755"/>
    <w:rsid w:val="007E10F6"/>
    <w:rsid w:val="007E194F"/>
    <w:rsid w:val="007E1BF5"/>
    <w:rsid w:val="007E1D24"/>
    <w:rsid w:val="007E1D74"/>
    <w:rsid w:val="007E24ED"/>
    <w:rsid w:val="007E2724"/>
    <w:rsid w:val="007E3828"/>
    <w:rsid w:val="007E3900"/>
    <w:rsid w:val="007E3C6C"/>
    <w:rsid w:val="007E3D82"/>
    <w:rsid w:val="007E40B7"/>
    <w:rsid w:val="007E4BE7"/>
    <w:rsid w:val="007E4FD2"/>
    <w:rsid w:val="007E500D"/>
    <w:rsid w:val="007E524B"/>
    <w:rsid w:val="007E5324"/>
    <w:rsid w:val="007E5936"/>
    <w:rsid w:val="007E5DC1"/>
    <w:rsid w:val="007E661B"/>
    <w:rsid w:val="007E6D53"/>
    <w:rsid w:val="007E7446"/>
    <w:rsid w:val="007E7A82"/>
    <w:rsid w:val="007E7C2D"/>
    <w:rsid w:val="007E7D88"/>
    <w:rsid w:val="007F002F"/>
    <w:rsid w:val="007F1017"/>
    <w:rsid w:val="007F1159"/>
    <w:rsid w:val="007F13C9"/>
    <w:rsid w:val="007F1514"/>
    <w:rsid w:val="007F15C3"/>
    <w:rsid w:val="007F2DD6"/>
    <w:rsid w:val="007F4544"/>
    <w:rsid w:val="007F4A3F"/>
    <w:rsid w:val="007F4A61"/>
    <w:rsid w:val="007F4DE1"/>
    <w:rsid w:val="007F501E"/>
    <w:rsid w:val="007F5714"/>
    <w:rsid w:val="007F61C2"/>
    <w:rsid w:val="007F7111"/>
    <w:rsid w:val="007F761C"/>
    <w:rsid w:val="007F7D5E"/>
    <w:rsid w:val="007F7F7B"/>
    <w:rsid w:val="00800040"/>
    <w:rsid w:val="0080034D"/>
    <w:rsid w:val="008004FE"/>
    <w:rsid w:val="008005B5"/>
    <w:rsid w:val="00800C20"/>
    <w:rsid w:val="00801501"/>
    <w:rsid w:val="008018DD"/>
    <w:rsid w:val="00801BD6"/>
    <w:rsid w:val="00801D03"/>
    <w:rsid w:val="00803C8F"/>
    <w:rsid w:val="00803FDE"/>
    <w:rsid w:val="008043BD"/>
    <w:rsid w:val="008044A6"/>
    <w:rsid w:val="00804A68"/>
    <w:rsid w:val="00804E12"/>
    <w:rsid w:val="00804ECD"/>
    <w:rsid w:val="00805142"/>
    <w:rsid w:val="00805710"/>
    <w:rsid w:val="00805EE6"/>
    <w:rsid w:val="00806334"/>
    <w:rsid w:val="00806FDF"/>
    <w:rsid w:val="008072AA"/>
    <w:rsid w:val="00807A8B"/>
    <w:rsid w:val="00807F57"/>
    <w:rsid w:val="008100C0"/>
    <w:rsid w:val="00810EC7"/>
    <w:rsid w:val="00811383"/>
    <w:rsid w:val="008115DD"/>
    <w:rsid w:val="00811DB3"/>
    <w:rsid w:val="00812149"/>
    <w:rsid w:val="008126D4"/>
    <w:rsid w:val="008126F1"/>
    <w:rsid w:val="00812CAC"/>
    <w:rsid w:val="00812F37"/>
    <w:rsid w:val="00812F8D"/>
    <w:rsid w:val="008131CB"/>
    <w:rsid w:val="0081497C"/>
    <w:rsid w:val="00814B85"/>
    <w:rsid w:val="00815945"/>
    <w:rsid w:val="00816396"/>
    <w:rsid w:val="008166EF"/>
    <w:rsid w:val="00816E3C"/>
    <w:rsid w:val="00817C61"/>
    <w:rsid w:val="00817CE4"/>
    <w:rsid w:val="008200AB"/>
    <w:rsid w:val="008202F0"/>
    <w:rsid w:val="00821337"/>
    <w:rsid w:val="00821D5E"/>
    <w:rsid w:val="0082270F"/>
    <w:rsid w:val="00822957"/>
    <w:rsid w:val="008229D5"/>
    <w:rsid w:val="00822F39"/>
    <w:rsid w:val="00823AF9"/>
    <w:rsid w:val="00824177"/>
    <w:rsid w:val="008248A8"/>
    <w:rsid w:val="008249EC"/>
    <w:rsid w:val="00824E88"/>
    <w:rsid w:val="00824FE0"/>
    <w:rsid w:val="00825751"/>
    <w:rsid w:val="0082592B"/>
    <w:rsid w:val="008260DA"/>
    <w:rsid w:val="008264EB"/>
    <w:rsid w:val="00826B2F"/>
    <w:rsid w:val="0082707D"/>
    <w:rsid w:val="00827CF4"/>
    <w:rsid w:val="008302D5"/>
    <w:rsid w:val="0083088A"/>
    <w:rsid w:val="00830DC4"/>
    <w:rsid w:val="00830FF8"/>
    <w:rsid w:val="00831413"/>
    <w:rsid w:val="00831882"/>
    <w:rsid w:val="00831888"/>
    <w:rsid w:val="00831DBE"/>
    <w:rsid w:val="0083236A"/>
    <w:rsid w:val="008323A7"/>
    <w:rsid w:val="00832650"/>
    <w:rsid w:val="00832978"/>
    <w:rsid w:val="00832AE3"/>
    <w:rsid w:val="00832FB0"/>
    <w:rsid w:val="008332A5"/>
    <w:rsid w:val="00833513"/>
    <w:rsid w:val="00833B05"/>
    <w:rsid w:val="00833DFD"/>
    <w:rsid w:val="00834460"/>
    <w:rsid w:val="00834834"/>
    <w:rsid w:val="0083514A"/>
    <w:rsid w:val="008354B2"/>
    <w:rsid w:val="008362B4"/>
    <w:rsid w:val="0083676B"/>
    <w:rsid w:val="00836835"/>
    <w:rsid w:val="0083698D"/>
    <w:rsid w:val="008369D4"/>
    <w:rsid w:val="008372A0"/>
    <w:rsid w:val="0083731E"/>
    <w:rsid w:val="00837B49"/>
    <w:rsid w:val="008404BA"/>
    <w:rsid w:val="00840CA2"/>
    <w:rsid w:val="0084144E"/>
    <w:rsid w:val="008416AD"/>
    <w:rsid w:val="008424D1"/>
    <w:rsid w:val="008427F1"/>
    <w:rsid w:val="00842863"/>
    <w:rsid w:val="008429AE"/>
    <w:rsid w:val="0084374F"/>
    <w:rsid w:val="00843A6B"/>
    <w:rsid w:val="00843EF2"/>
    <w:rsid w:val="0084493E"/>
    <w:rsid w:val="008467A6"/>
    <w:rsid w:val="00847234"/>
    <w:rsid w:val="0084763C"/>
    <w:rsid w:val="00847B29"/>
    <w:rsid w:val="00847D04"/>
    <w:rsid w:val="00847D09"/>
    <w:rsid w:val="00847DF5"/>
    <w:rsid w:val="008509E4"/>
    <w:rsid w:val="008516FD"/>
    <w:rsid w:val="00851A74"/>
    <w:rsid w:val="00851C0E"/>
    <w:rsid w:val="00851E5A"/>
    <w:rsid w:val="00852445"/>
    <w:rsid w:val="00852659"/>
    <w:rsid w:val="0085287E"/>
    <w:rsid w:val="0085296B"/>
    <w:rsid w:val="0085309D"/>
    <w:rsid w:val="00853238"/>
    <w:rsid w:val="00853444"/>
    <w:rsid w:val="00853CAD"/>
    <w:rsid w:val="008542C8"/>
    <w:rsid w:val="00854460"/>
    <w:rsid w:val="00855B8E"/>
    <w:rsid w:val="00856400"/>
    <w:rsid w:val="0085667C"/>
    <w:rsid w:val="008567F3"/>
    <w:rsid w:val="0085686E"/>
    <w:rsid w:val="00856897"/>
    <w:rsid w:val="00856E9A"/>
    <w:rsid w:val="00857D2A"/>
    <w:rsid w:val="00860505"/>
    <w:rsid w:val="0086056F"/>
    <w:rsid w:val="0086075D"/>
    <w:rsid w:val="00860BE6"/>
    <w:rsid w:val="00861241"/>
    <w:rsid w:val="008614D4"/>
    <w:rsid w:val="00861E5E"/>
    <w:rsid w:val="00862502"/>
    <w:rsid w:val="0086261C"/>
    <w:rsid w:val="00862915"/>
    <w:rsid w:val="00862C13"/>
    <w:rsid w:val="0086325D"/>
    <w:rsid w:val="00863317"/>
    <w:rsid w:val="00863CF8"/>
    <w:rsid w:val="00864E40"/>
    <w:rsid w:val="008658C6"/>
    <w:rsid w:val="008658EA"/>
    <w:rsid w:val="008660D4"/>
    <w:rsid w:val="00866DB5"/>
    <w:rsid w:val="0086750B"/>
    <w:rsid w:val="0086759D"/>
    <w:rsid w:val="00867726"/>
    <w:rsid w:val="00867942"/>
    <w:rsid w:val="00867DC4"/>
    <w:rsid w:val="00870677"/>
    <w:rsid w:val="00870B43"/>
    <w:rsid w:val="008710F5"/>
    <w:rsid w:val="0087155A"/>
    <w:rsid w:val="00871D3B"/>
    <w:rsid w:val="00871E58"/>
    <w:rsid w:val="00871FA9"/>
    <w:rsid w:val="00872142"/>
    <w:rsid w:val="008728E9"/>
    <w:rsid w:val="00872CC3"/>
    <w:rsid w:val="00873093"/>
    <w:rsid w:val="008731EB"/>
    <w:rsid w:val="0087334A"/>
    <w:rsid w:val="008743DB"/>
    <w:rsid w:val="00874F5A"/>
    <w:rsid w:val="008752CA"/>
    <w:rsid w:val="00875553"/>
    <w:rsid w:val="00876A1D"/>
    <w:rsid w:val="00876DBF"/>
    <w:rsid w:val="00877442"/>
    <w:rsid w:val="0087777E"/>
    <w:rsid w:val="00880432"/>
    <w:rsid w:val="008804EA"/>
    <w:rsid w:val="00880767"/>
    <w:rsid w:val="00880AED"/>
    <w:rsid w:val="00881613"/>
    <w:rsid w:val="00881FBF"/>
    <w:rsid w:val="008822EE"/>
    <w:rsid w:val="00882874"/>
    <w:rsid w:val="00882EE4"/>
    <w:rsid w:val="00883787"/>
    <w:rsid w:val="00884AC2"/>
    <w:rsid w:val="008850F1"/>
    <w:rsid w:val="00885A09"/>
    <w:rsid w:val="00886409"/>
    <w:rsid w:val="00886909"/>
    <w:rsid w:val="008869FC"/>
    <w:rsid w:val="00886CD2"/>
    <w:rsid w:val="00886EB9"/>
    <w:rsid w:val="00887015"/>
    <w:rsid w:val="00890293"/>
    <w:rsid w:val="008902A0"/>
    <w:rsid w:val="00890352"/>
    <w:rsid w:val="00890882"/>
    <w:rsid w:val="008915DB"/>
    <w:rsid w:val="00891817"/>
    <w:rsid w:val="00891BF0"/>
    <w:rsid w:val="0089244D"/>
    <w:rsid w:val="00892A36"/>
    <w:rsid w:val="00892B62"/>
    <w:rsid w:val="00892C59"/>
    <w:rsid w:val="00892EA4"/>
    <w:rsid w:val="00893239"/>
    <w:rsid w:val="0089326A"/>
    <w:rsid w:val="00893270"/>
    <w:rsid w:val="0089332C"/>
    <w:rsid w:val="0089346F"/>
    <w:rsid w:val="00893472"/>
    <w:rsid w:val="00893476"/>
    <w:rsid w:val="0089385C"/>
    <w:rsid w:val="00894489"/>
    <w:rsid w:val="008946EC"/>
    <w:rsid w:val="0089480E"/>
    <w:rsid w:val="00894879"/>
    <w:rsid w:val="00894C5D"/>
    <w:rsid w:val="008951F0"/>
    <w:rsid w:val="0089616F"/>
    <w:rsid w:val="008962EC"/>
    <w:rsid w:val="0089634F"/>
    <w:rsid w:val="008963A5"/>
    <w:rsid w:val="00896CAE"/>
    <w:rsid w:val="008978F0"/>
    <w:rsid w:val="00897ECC"/>
    <w:rsid w:val="008A0306"/>
    <w:rsid w:val="008A0576"/>
    <w:rsid w:val="008A1E9B"/>
    <w:rsid w:val="008A235E"/>
    <w:rsid w:val="008A289C"/>
    <w:rsid w:val="008A3363"/>
    <w:rsid w:val="008A3371"/>
    <w:rsid w:val="008A3C3E"/>
    <w:rsid w:val="008A41E8"/>
    <w:rsid w:val="008A4324"/>
    <w:rsid w:val="008A4CDB"/>
    <w:rsid w:val="008A4F03"/>
    <w:rsid w:val="008A50B5"/>
    <w:rsid w:val="008A5270"/>
    <w:rsid w:val="008A595F"/>
    <w:rsid w:val="008A5B30"/>
    <w:rsid w:val="008A5B80"/>
    <w:rsid w:val="008A5CA6"/>
    <w:rsid w:val="008A6301"/>
    <w:rsid w:val="008A7563"/>
    <w:rsid w:val="008A79DE"/>
    <w:rsid w:val="008B03E1"/>
    <w:rsid w:val="008B0659"/>
    <w:rsid w:val="008B07AE"/>
    <w:rsid w:val="008B0812"/>
    <w:rsid w:val="008B0D44"/>
    <w:rsid w:val="008B13A5"/>
    <w:rsid w:val="008B1757"/>
    <w:rsid w:val="008B2448"/>
    <w:rsid w:val="008B2722"/>
    <w:rsid w:val="008B2FBA"/>
    <w:rsid w:val="008B38B7"/>
    <w:rsid w:val="008B42C9"/>
    <w:rsid w:val="008B537D"/>
    <w:rsid w:val="008B5CE5"/>
    <w:rsid w:val="008B6C26"/>
    <w:rsid w:val="008B6C57"/>
    <w:rsid w:val="008B6CB9"/>
    <w:rsid w:val="008B72F7"/>
    <w:rsid w:val="008B7D7E"/>
    <w:rsid w:val="008C00FA"/>
    <w:rsid w:val="008C0CE0"/>
    <w:rsid w:val="008C201C"/>
    <w:rsid w:val="008C2127"/>
    <w:rsid w:val="008C264D"/>
    <w:rsid w:val="008C267F"/>
    <w:rsid w:val="008C42D4"/>
    <w:rsid w:val="008C4B31"/>
    <w:rsid w:val="008C5446"/>
    <w:rsid w:val="008C55B2"/>
    <w:rsid w:val="008C5C93"/>
    <w:rsid w:val="008C5D21"/>
    <w:rsid w:val="008C6B9C"/>
    <w:rsid w:val="008C7ECB"/>
    <w:rsid w:val="008C7EED"/>
    <w:rsid w:val="008D0C03"/>
    <w:rsid w:val="008D0F29"/>
    <w:rsid w:val="008D18DC"/>
    <w:rsid w:val="008D1F8A"/>
    <w:rsid w:val="008D2DD2"/>
    <w:rsid w:val="008D30DE"/>
    <w:rsid w:val="008D3A3B"/>
    <w:rsid w:val="008D4158"/>
    <w:rsid w:val="008D4755"/>
    <w:rsid w:val="008D4C3D"/>
    <w:rsid w:val="008D4ED6"/>
    <w:rsid w:val="008D5466"/>
    <w:rsid w:val="008D6261"/>
    <w:rsid w:val="008D661E"/>
    <w:rsid w:val="008D6C64"/>
    <w:rsid w:val="008D6CC3"/>
    <w:rsid w:val="008D7518"/>
    <w:rsid w:val="008D7C18"/>
    <w:rsid w:val="008E00E3"/>
    <w:rsid w:val="008E0831"/>
    <w:rsid w:val="008E0949"/>
    <w:rsid w:val="008E0D3C"/>
    <w:rsid w:val="008E11D7"/>
    <w:rsid w:val="008E1B9E"/>
    <w:rsid w:val="008E1CD0"/>
    <w:rsid w:val="008E2016"/>
    <w:rsid w:val="008E223D"/>
    <w:rsid w:val="008E2904"/>
    <w:rsid w:val="008E29F9"/>
    <w:rsid w:val="008E31E4"/>
    <w:rsid w:val="008E34DE"/>
    <w:rsid w:val="008E3B92"/>
    <w:rsid w:val="008E4124"/>
    <w:rsid w:val="008E4242"/>
    <w:rsid w:val="008E437D"/>
    <w:rsid w:val="008E5017"/>
    <w:rsid w:val="008E55AB"/>
    <w:rsid w:val="008E5852"/>
    <w:rsid w:val="008E5A5B"/>
    <w:rsid w:val="008E5BDF"/>
    <w:rsid w:val="008E6D65"/>
    <w:rsid w:val="008E73B7"/>
    <w:rsid w:val="008E74CC"/>
    <w:rsid w:val="008E7E2C"/>
    <w:rsid w:val="008E7FED"/>
    <w:rsid w:val="008F0090"/>
    <w:rsid w:val="008F08D3"/>
    <w:rsid w:val="008F0A2E"/>
    <w:rsid w:val="008F0D92"/>
    <w:rsid w:val="008F120A"/>
    <w:rsid w:val="008F1A4F"/>
    <w:rsid w:val="008F1C77"/>
    <w:rsid w:val="008F2583"/>
    <w:rsid w:val="008F27E0"/>
    <w:rsid w:val="008F2BD9"/>
    <w:rsid w:val="008F37EC"/>
    <w:rsid w:val="008F3E93"/>
    <w:rsid w:val="008F4238"/>
    <w:rsid w:val="008F48EB"/>
    <w:rsid w:val="008F4A02"/>
    <w:rsid w:val="008F4F0B"/>
    <w:rsid w:val="008F4F66"/>
    <w:rsid w:val="008F4FA4"/>
    <w:rsid w:val="008F50FF"/>
    <w:rsid w:val="008F54F9"/>
    <w:rsid w:val="008F57E8"/>
    <w:rsid w:val="008F5B37"/>
    <w:rsid w:val="008F5B50"/>
    <w:rsid w:val="008F603F"/>
    <w:rsid w:val="008F6DB8"/>
    <w:rsid w:val="008F7015"/>
    <w:rsid w:val="008F7EFD"/>
    <w:rsid w:val="008F7F6E"/>
    <w:rsid w:val="00900025"/>
    <w:rsid w:val="00900370"/>
    <w:rsid w:val="009007EF"/>
    <w:rsid w:val="00900DA8"/>
    <w:rsid w:val="00901402"/>
    <w:rsid w:val="00901562"/>
    <w:rsid w:val="0090222A"/>
    <w:rsid w:val="0090254B"/>
    <w:rsid w:val="00903FBC"/>
    <w:rsid w:val="009042EE"/>
    <w:rsid w:val="009046A5"/>
    <w:rsid w:val="009046C4"/>
    <w:rsid w:val="00904E60"/>
    <w:rsid w:val="009054AD"/>
    <w:rsid w:val="009058DC"/>
    <w:rsid w:val="009058EA"/>
    <w:rsid w:val="0090598B"/>
    <w:rsid w:val="00905AB9"/>
    <w:rsid w:val="00905C34"/>
    <w:rsid w:val="00905FDC"/>
    <w:rsid w:val="00906296"/>
    <w:rsid w:val="009062A5"/>
    <w:rsid w:val="00907576"/>
    <w:rsid w:val="00907C63"/>
    <w:rsid w:val="009101E7"/>
    <w:rsid w:val="009109E4"/>
    <w:rsid w:val="00910ECC"/>
    <w:rsid w:val="00911212"/>
    <w:rsid w:val="00911272"/>
    <w:rsid w:val="009113D8"/>
    <w:rsid w:val="009114CF"/>
    <w:rsid w:val="00911EFA"/>
    <w:rsid w:val="009120DF"/>
    <w:rsid w:val="009123B9"/>
    <w:rsid w:val="0091245D"/>
    <w:rsid w:val="0091267F"/>
    <w:rsid w:val="00912701"/>
    <w:rsid w:val="009127F5"/>
    <w:rsid w:val="00913063"/>
    <w:rsid w:val="009135D6"/>
    <w:rsid w:val="00914C77"/>
    <w:rsid w:val="0091613B"/>
    <w:rsid w:val="00916164"/>
    <w:rsid w:val="00916502"/>
    <w:rsid w:val="00916679"/>
    <w:rsid w:val="009166ED"/>
    <w:rsid w:val="009169B3"/>
    <w:rsid w:val="00917FF3"/>
    <w:rsid w:val="00920BDA"/>
    <w:rsid w:val="00920D37"/>
    <w:rsid w:val="009211DC"/>
    <w:rsid w:val="0092158E"/>
    <w:rsid w:val="0092192D"/>
    <w:rsid w:val="00921F52"/>
    <w:rsid w:val="0092272C"/>
    <w:rsid w:val="0092369B"/>
    <w:rsid w:val="0092600D"/>
    <w:rsid w:val="009263EC"/>
    <w:rsid w:val="009264C8"/>
    <w:rsid w:val="009268DE"/>
    <w:rsid w:val="00926FF1"/>
    <w:rsid w:val="00927767"/>
    <w:rsid w:val="00927978"/>
    <w:rsid w:val="00927D42"/>
    <w:rsid w:val="00927DBC"/>
    <w:rsid w:val="00930736"/>
    <w:rsid w:val="00930AE1"/>
    <w:rsid w:val="00930C3D"/>
    <w:rsid w:val="00930DC6"/>
    <w:rsid w:val="0093111F"/>
    <w:rsid w:val="009323E7"/>
    <w:rsid w:val="009324B4"/>
    <w:rsid w:val="009328C5"/>
    <w:rsid w:val="00932DD3"/>
    <w:rsid w:val="00933260"/>
    <w:rsid w:val="009333B3"/>
    <w:rsid w:val="00933451"/>
    <w:rsid w:val="00933498"/>
    <w:rsid w:val="0093379E"/>
    <w:rsid w:val="0093391A"/>
    <w:rsid w:val="009341D3"/>
    <w:rsid w:val="009343ED"/>
    <w:rsid w:val="00934449"/>
    <w:rsid w:val="00934E58"/>
    <w:rsid w:val="0093570E"/>
    <w:rsid w:val="0093612F"/>
    <w:rsid w:val="00936511"/>
    <w:rsid w:val="00936531"/>
    <w:rsid w:val="00936C4E"/>
    <w:rsid w:val="0093737C"/>
    <w:rsid w:val="0094078F"/>
    <w:rsid w:val="009413F6"/>
    <w:rsid w:val="00941699"/>
    <w:rsid w:val="009431DB"/>
    <w:rsid w:val="009439BC"/>
    <w:rsid w:val="00943A48"/>
    <w:rsid w:val="00943E91"/>
    <w:rsid w:val="009441F8"/>
    <w:rsid w:val="00944536"/>
    <w:rsid w:val="009459C1"/>
    <w:rsid w:val="00945B3F"/>
    <w:rsid w:val="00946482"/>
    <w:rsid w:val="009464AD"/>
    <w:rsid w:val="00946D92"/>
    <w:rsid w:val="009510A2"/>
    <w:rsid w:val="009515CB"/>
    <w:rsid w:val="00951A22"/>
    <w:rsid w:val="00952694"/>
    <w:rsid w:val="00952844"/>
    <w:rsid w:val="00953257"/>
    <w:rsid w:val="00953B6E"/>
    <w:rsid w:val="009542BB"/>
    <w:rsid w:val="0095508C"/>
    <w:rsid w:val="009552EF"/>
    <w:rsid w:val="0095566A"/>
    <w:rsid w:val="0095567B"/>
    <w:rsid w:val="00955E07"/>
    <w:rsid w:val="00956142"/>
    <w:rsid w:val="00956CFD"/>
    <w:rsid w:val="00956FFC"/>
    <w:rsid w:val="00957700"/>
    <w:rsid w:val="00957B51"/>
    <w:rsid w:val="00957CB3"/>
    <w:rsid w:val="00957D91"/>
    <w:rsid w:val="009603E3"/>
    <w:rsid w:val="00960EAA"/>
    <w:rsid w:val="00961496"/>
    <w:rsid w:val="009616D4"/>
    <w:rsid w:val="00961B24"/>
    <w:rsid w:val="0096227F"/>
    <w:rsid w:val="0096228A"/>
    <w:rsid w:val="0096255E"/>
    <w:rsid w:val="00962919"/>
    <w:rsid w:val="00962CB9"/>
    <w:rsid w:val="00963029"/>
    <w:rsid w:val="0096402F"/>
    <w:rsid w:val="00964312"/>
    <w:rsid w:val="009648A8"/>
    <w:rsid w:val="00964EF2"/>
    <w:rsid w:val="00965170"/>
    <w:rsid w:val="009651D5"/>
    <w:rsid w:val="009652B0"/>
    <w:rsid w:val="00965861"/>
    <w:rsid w:val="00965A41"/>
    <w:rsid w:val="00965B8A"/>
    <w:rsid w:val="00965EBE"/>
    <w:rsid w:val="0096644F"/>
    <w:rsid w:val="009668A2"/>
    <w:rsid w:val="00967A32"/>
    <w:rsid w:val="00970B43"/>
    <w:rsid w:val="00970C69"/>
    <w:rsid w:val="00970D0E"/>
    <w:rsid w:val="00971050"/>
    <w:rsid w:val="009715C7"/>
    <w:rsid w:val="009717AC"/>
    <w:rsid w:val="0097295A"/>
    <w:rsid w:val="00972A50"/>
    <w:rsid w:val="00972B0D"/>
    <w:rsid w:val="00972D1E"/>
    <w:rsid w:val="00972F0F"/>
    <w:rsid w:val="00974E79"/>
    <w:rsid w:val="00974FC7"/>
    <w:rsid w:val="0097590A"/>
    <w:rsid w:val="0097618C"/>
    <w:rsid w:val="00976312"/>
    <w:rsid w:val="009763F1"/>
    <w:rsid w:val="00976B6D"/>
    <w:rsid w:val="00976B81"/>
    <w:rsid w:val="0097712D"/>
    <w:rsid w:val="00977F2E"/>
    <w:rsid w:val="00980488"/>
    <w:rsid w:val="00980984"/>
    <w:rsid w:val="00980C95"/>
    <w:rsid w:val="009812A6"/>
    <w:rsid w:val="00981645"/>
    <w:rsid w:val="00982A1F"/>
    <w:rsid w:val="00982B4E"/>
    <w:rsid w:val="00983138"/>
    <w:rsid w:val="0098357A"/>
    <w:rsid w:val="00983E57"/>
    <w:rsid w:val="00983F2A"/>
    <w:rsid w:val="00984260"/>
    <w:rsid w:val="009846B2"/>
    <w:rsid w:val="009848E5"/>
    <w:rsid w:val="00984E8F"/>
    <w:rsid w:val="009857B2"/>
    <w:rsid w:val="00985AE1"/>
    <w:rsid w:val="00986088"/>
    <w:rsid w:val="009866E1"/>
    <w:rsid w:val="0098675D"/>
    <w:rsid w:val="009867E0"/>
    <w:rsid w:val="00986BB8"/>
    <w:rsid w:val="00986D3E"/>
    <w:rsid w:val="0098725D"/>
    <w:rsid w:val="0098732D"/>
    <w:rsid w:val="00987D80"/>
    <w:rsid w:val="00987E51"/>
    <w:rsid w:val="009903A1"/>
    <w:rsid w:val="009906F9"/>
    <w:rsid w:val="00990BA7"/>
    <w:rsid w:val="00990ECD"/>
    <w:rsid w:val="00991075"/>
    <w:rsid w:val="0099120B"/>
    <w:rsid w:val="00991709"/>
    <w:rsid w:val="009919DF"/>
    <w:rsid w:val="00991D78"/>
    <w:rsid w:val="00991D89"/>
    <w:rsid w:val="00992305"/>
    <w:rsid w:val="009923F5"/>
    <w:rsid w:val="00992C06"/>
    <w:rsid w:val="009932AE"/>
    <w:rsid w:val="009932E0"/>
    <w:rsid w:val="00993B24"/>
    <w:rsid w:val="00993D47"/>
    <w:rsid w:val="00993E4F"/>
    <w:rsid w:val="00994604"/>
    <w:rsid w:val="00994902"/>
    <w:rsid w:val="00994DBA"/>
    <w:rsid w:val="009950B6"/>
    <w:rsid w:val="0099537F"/>
    <w:rsid w:val="009953FD"/>
    <w:rsid w:val="009960A5"/>
    <w:rsid w:val="0099616D"/>
    <w:rsid w:val="009964F4"/>
    <w:rsid w:val="00996B1A"/>
    <w:rsid w:val="00996BAB"/>
    <w:rsid w:val="009A0824"/>
    <w:rsid w:val="009A0CFD"/>
    <w:rsid w:val="009A1115"/>
    <w:rsid w:val="009A146D"/>
    <w:rsid w:val="009A173D"/>
    <w:rsid w:val="009A249F"/>
    <w:rsid w:val="009A2885"/>
    <w:rsid w:val="009A2AC2"/>
    <w:rsid w:val="009A2D0A"/>
    <w:rsid w:val="009A35F1"/>
    <w:rsid w:val="009A37F4"/>
    <w:rsid w:val="009A39E3"/>
    <w:rsid w:val="009A47E0"/>
    <w:rsid w:val="009A47E2"/>
    <w:rsid w:val="009A495E"/>
    <w:rsid w:val="009A499F"/>
    <w:rsid w:val="009A4D7E"/>
    <w:rsid w:val="009A4E85"/>
    <w:rsid w:val="009A579F"/>
    <w:rsid w:val="009A5838"/>
    <w:rsid w:val="009A6378"/>
    <w:rsid w:val="009A6997"/>
    <w:rsid w:val="009A69EE"/>
    <w:rsid w:val="009A6B55"/>
    <w:rsid w:val="009A6D24"/>
    <w:rsid w:val="009A7F10"/>
    <w:rsid w:val="009A7F3B"/>
    <w:rsid w:val="009B0DBA"/>
    <w:rsid w:val="009B0FE2"/>
    <w:rsid w:val="009B0FFF"/>
    <w:rsid w:val="009B15D6"/>
    <w:rsid w:val="009B1BA6"/>
    <w:rsid w:val="009B2DB8"/>
    <w:rsid w:val="009B3A96"/>
    <w:rsid w:val="009B3B99"/>
    <w:rsid w:val="009B3E26"/>
    <w:rsid w:val="009B464C"/>
    <w:rsid w:val="009B4FD1"/>
    <w:rsid w:val="009B63E0"/>
    <w:rsid w:val="009B65B7"/>
    <w:rsid w:val="009B738A"/>
    <w:rsid w:val="009B742D"/>
    <w:rsid w:val="009C07EA"/>
    <w:rsid w:val="009C0B83"/>
    <w:rsid w:val="009C0DD3"/>
    <w:rsid w:val="009C147A"/>
    <w:rsid w:val="009C1CA5"/>
    <w:rsid w:val="009C33C1"/>
    <w:rsid w:val="009C40A9"/>
    <w:rsid w:val="009C4E47"/>
    <w:rsid w:val="009C5051"/>
    <w:rsid w:val="009C5EF8"/>
    <w:rsid w:val="009C6243"/>
    <w:rsid w:val="009C6A69"/>
    <w:rsid w:val="009C6CEA"/>
    <w:rsid w:val="009C7B85"/>
    <w:rsid w:val="009C7FF6"/>
    <w:rsid w:val="009D0560"/>
    <w:rsid w:val="009D1544"/>
    <w:rsid w:val="009D15F7"/>
    <w:rsid w:val="009D1C71"/>
    <w:rsid w:val="009D1CB6"/>
    <w:rsid w:val="009D1DE0"/>
    <w:rsid w:val="009D1F95"/>
    <w:rsid w:val="009D227A"/>
    <w:rsid w:val="009D4049"/>
    <w:rsid w:val="009D4533"/>
    <w:rsid w:val="009D49EA"/>
    <w:rsid w:val="009D4B32"/>
    <w:rsid w:val="009D4BB7"/>
    <w:rsid w:val="009D5B6A"/>
    <w:rsid w:val="009D5B91"/>
    <w:rsid w:val="009D62E2"/>
    <w:rsid w:val="009D792E"/>
    <w:rsid w:val="009D7A57"/>
    <w:rsid w:val="009E032C"/>
    <w:rsid w:val="009E0847"/>
    <w:rsid w:val="009E0DB1"/>
    <w:rsid w:val="009E0DFE"/>
    <w:rsid w:val="009E16E3"/>
    <w:rsid w:val="009E3666"/>
    <w:rsid w:val="009E375F"/>
    <w:rsid w:val="009E3FD1"/>
    <w:rsid w:val="009E4874"/>
    <w:rsid w:val="009E4C07"/>
    <w:rsid w:val="009E5292"/>
    <w:rsid w:val="009E613E"/>
    <w:rsid w:val="009E6D92"/>
    <w:rsid w:val="009E7289"/>
    <w:rsid w:val="009E76B6"/>
    <w:rsid w:val="009E7829"/>
    <w:rsid w:val="009E7E1E"/>
    <w:rsid w:val="009E7F28"/>
    <w:rsid w:val="009F0232"/>
    <w:rsid w:val="009F1942"/>
    <w:rsid w:val="009F1A0E"/>
    <w:rsid w:val="009F2684"/>
    <w:rsid w:val="009F269F"/>
    <w:rsid w:val="009F2756"/>
    <w:rsid w:val="009F2CB2"/>
    <w:rsid w:val="009F3545"/>
    <w:rsid w:val="009F379A"/>
    <w:rsid w:val="009F4379"/>
    <w:rsid w:val="009F450A"/>
    <w:rsid w:val="009F5214"/>
    <w:rsid w:val="009F52B1"/>
    <w:rsid w:val="009F5646"/>
    <w:rsid w:val="009F5B71"/>
    <w:rsid w:val="009F62AE"/>
    <w:rsid w:val="009F799C"/>
    <w:rsid w:val="009F7DEE"/>
    <w:rsid w:val="009F7E76"/>
    <w:rsid w:val="00A000C1"/>
    <w:rsid w:val="00A0081F"/>
    <w:rsid w:val="00A00B27"/>
    <w:rsid w:val="00A00E30"/>
    <w:rsid w:val="00A00F77"/>
    <w:rsid w:val="00A01184"/>
    <w:rsid w:val="00A024BB"/>
    <w:rsid w:val="00A0278D"/>
    <w:rsid w:val="00A02A4C"/>
    <w:rsid w:val="00A02C62"/>
    <w:rsid w:val="00A02DB7"/>
    <w:rsid w:val="00A030AF"/>
    <w:rsid w:val="00A031C4"/>
    <w:rsid w:val="00A0370D"/>
    <w:rsid w:val="00A03D43"/>
    <w:rsid w:val="00A03EAA"/>
    <w:rsid w:val="00A04380"/>
    <w:rsid w:val="00A04513"/>
    <w:rsid w:val="00A05845"/>
    <w:rsid w:val="00A0588A"/>
    <w:rsid w:val="00A05B85"/>
    <w:rsid w:val="00A05E7C"/>
    <w:rsid w:val="00A0601E"/>
    <w:rsid w:val="00A06665"/>
    <w:rsid w:val="00A10028"/>
    <w:rsid w:val="00A103E8"/>
    <w:rsid w:val="00A103EB"/>
    <w:rsid w:val="00A106D8"/>
    <w:rsid w:val="00A10762"/>
    <w:rsid w:val="00A10F52"/>
    <w:rsid w:val="00A10F9C"/>
    <w:rsid w:val="00A1100B"/>
    <w:rsid w:val="00A116C9"/>
    <w:rsid w:val="00A117EF"/>
    <w:rsid w:val="00A11C27"/>
    <w:rsid w:val="00A11CD0"/>
    <w:rsid w:val="00A11F99"/>
    <w:rsid w:val="00A13826"/>
    <w:rsid w:val="00A13948"/>
    <w:rsid w:val="00A14D50"/>
    <w:rsid w:val="00A1555B"/>
    <w:rsid w:val="00A155C5"/>
    <w:rsid w:val="00A15DA2"/>
    <w:rsid w:val="00A16AD8"/>
    <w:rsid w:val="00A16C90"/>
    <w:rsid w:val="00A1730E"/>
    <w:rsid w:val="00A17E91"/>
    <w:rsid w:val="00A17F80"/>
    <w:rsid w:val="00A203F2"/>
    <w:rsid w:val="00A2056D"/>
    <w:rsid w:val="00A2056E"/>
    <w:rsid w:val="00A20C70"/>
    <w:rsid w:val="00A21CF3"/>
    <w:rsid w:val="00A22574"/>
    <w:rsid w:val="00A22B7C"/>
    <w:rsid w:val="00A22CD5"/>
    <w:rsid w:val="00A22DF1"/>
    <w:rsid w:val="00A23129"/>
    <w:rsid w:val="00A237C0"/>
    <w:rsid w:val="00A23DAF"/>
    <w:rsid w:val="00A24B4A"/>
    <w:rsid w:val="00A25236"/>
    <w:rsid w:val="00A257D2"/>
    <w:rsid w:val="00A25FEC"/>
    <w:rsid w:val="00A26DA8"/>
    <w:rsid w:val="00A26E9B"/>
    <w:rsid w:val="00A27AEC"/>
    <w:rsid w:val="00A300F5"/>
    <w:rsid w:val="00A304E0"/>
    <w:rsid w:val="00A305BA"/>
    <w:rsid w:val="00A30DD9"/>
    <w:rsid w:val="00A312DB"/>
    <w:rsid w:val="00A320DB"/>
    <w:rsid w:val="00A32662"/>
    <w:rsid w:val="00A33297"/>
    <w:rsid w:val="00A34217"/>
    <w:rsid w:val="00A34E2C"/>
    <w:rsid w:val="00A35C77"/>
    <w:rsid w:val="00A35D16"/>
    <w:rsid w:val="00A3692B"/>
    <w:rsid w:val="00A36B29"/>
    <w:rsid w:val="00A36D60"/>
    <w:rsid w:val="00A37BCD"/>
    <w:rsid w:val="00A40770"/>
    <w:rsid w:val="00A4079E"/>
    <w:rsid w:val="00A41A77"/>
    <w:rsid w:val="00A423E0"/>
    <w:rsid w:val="00A42544"/>
    <w:rsid w:val="00A42A4B"/>
    <w:rsid w:val="00A436BA"/>
    <w:rsid w:val="00A436FD"/>
    <w:rsid w:val="00A43C59"/>
    <w:rsid w:val="00A4469B"/>
    <w:rsid w:val="00A44727"/>
    <w:rsid w:val="00A44870"/>
    <w:rsid w:val="00A45514"/>
    <w:rsid w:val="00A45E7B"/>
    <w:rsid w:val="00A462F1"/>
    <w:rsid w:val="00A46479"/>
    <w:rsid w:val="00A4689A"/>
    <w:rsid w:val="00A4769F"/>
    <w:rsid w:val="00A4782E"/>
    <w:rsid w:val="00A47EB1"/>
    <w:rsid w:val="00A50053"/>
    <w:rsid w:val="00A50164"/>
    <w:rsid w:val="00A50ECD"/>
    <w:rsid w:val="00A50F9E"/>
    <w:rsid w:val="00A5133C"/>
    <w:rsid w:val="00A515CF"/>
    <w:rsid w:val="00A518F3"/>
    <w:rsid w:val="00A519DE"/>
    <w:rsid w:val="00A52729"/>
    <w:rsid w:val="00A52DE1"/>
    <w:rsid w:val="00A532A6"/>
    <w:rsid w:val="00A532AE"/>
    <w:rsid w:val="00A53675"/>
    <w:rsid w:val="00A538D8"/>
    <w:rsid w:val="00A54058"/>
    <w:rsid w:val="00A5509C"/>
    <w:rsid w:val="00A55B7B"/>
    <w:rsid w:val="00A560AD"/>
    <w:rsid w:val="00A564D7"/>
    <w:rsid w:val="00A56A4E"/>
    <w:rsid w:val="00A56B6A"/>
    <w:rsid w:val="00A57042"/>
    <w:rsid w:val="00A574D6"/>
    <w:rsid w:val="00A578DC"/>
    <w:rsid w:val="00A60634"/>
    <w:rsid w:val="00A6084C"/>
    <w:rsid w:val="00A60876"/>
    <w:rsid w:val="00A61EA3"/>
    <w:rsid w:val="00A625C5"/>
    <w:rsid w:val="00A62703"/>
    <w:rsid w:val="00A62937"/>
    <w:rsid w:val="00A62962"/>
    <w:rsid w:val="00A63470"/>
    <w:rsid w:val="00A63598"/>
    <w:rsid w:val="00A63CEA"/>
    <w:rsid w:val="00A63D3B"/>
    <w:rsid w:val="00A63DA3"/>
    <w:rsid w:val="00A64083"/>
    <w:rsid w:val="00A64B00"/>
    <w:rsid w:val="00A64D99"/>
    <w:rsid w:val="00A64DE7"/>
    <w:rsid w:val="00A65213"/>
    <w:rsid w:val="00A654AD"/>
    <w:rsid w:val="00A662A6"/>
    <w:rsid w:val="00A664F6"/>
    <w:rsid w:val="00A6725B"/>
    <w:rsid w:val="00A67F1D"/>
    <w:rsid w:val="00A70605"/>
    <w:rsid w:val="00A70D43"/>
    <w:rsid w:val="00A71925"/>
    <w:rsid w:val="00A71AB3"/>
    <w:rsid w:val="00A72037"/>
    <w:rsid w:val="00A72121"/>
    <w:rsid w:val="00A7263A"/>
    <w:rsid w:val="00A72B2E"/>
    <w:rsid w:val="00A73134"/>
    <w:rsid w:val="00A73158"/>
    <w:rsid w:val="00A73194"/>
    <w:rsid w:val="00A73A4B"/>
    <w:rsid w:val="00A73D59"/>
    <w:rsid w:val="00A74A2F"/>
    <w:rsid w:val="00A74B29"/>
    <w:rsid w:val="00A74C4A"/>
    <w:rsid w:val="00A74DB1"/>
    <w:rsid w:val="00A75080"/>
    <w:rsid w:val="00A75982"/>
    <w:rsid w:val="00A75DBB"/>
    <w:rsid w:val="00A762F1"/>
    <w:rsid w:val="00A76E8C"/>
    <w:rsid w:val="00A777B2"/>
    <w:rsid w:val="00A77A04"/>
    <w:rsid w:val="00A80248"/>
    <w:rsid w:val="00A80EF7"/>
    <w:rsid w:val="00A8122C"/>
    <w:rsid w:val="00A81502"/>
    <w:rsid w:val="00A81618"/>
    <w:rsid w:val="00A81667"/>
    <w:rsid w:val="00A81B0A"/>
    <w:rsid w:val="00A82237"/>
    <w:rsid w:val="00A8247D"/>
    <w:rsid w:val="00A826F4"/>
    <w:rsid w:val="00A82AD5"/>
    <w:rsid w:val="00A83D5A"/>
    <w:rsid w:val="00A83ED5"/>
    <w:rsid w:val="00A84386"/>
    <w:rsid w:val="00A8476E"/>
    <w:rsid w:val="00A84BED"/>
    <w:rsid w:val="00A84ECA"/>
    <w:rsid w:val="00A84F20"/>
    <w:rsid w:val="00A85C1B"/>
    <w:rsid w:val="00A860A0"/>
    <w:rsid w:val="00A86A2C"/>
    <w:rsid w:val="00A86E8B"/>
    <w:rsid w:val="00A87164"/>
    <w:rsid w:val="00A876BE"/>
    <w:rsid w:val="00A9042A"/>
    <w:rsid w:val="00A91B2E"/>
    <w:rsid w:val="00A91FD6"/>
    <w:rsid w:val="00A929C6"/>
    <w:rsid w:val="00A92A24"/>
    <w:rsid w:val="00A92AB0"/>
    <w:rsid w:val="00A92FBD"/>
    <w:rsid w:val="00A93072"/>
    <w:rsid w:val="00A93232"/>
    <w:rsid w:val="00A9338F"/>
    <w:rsid w:val="00A93570"/>
    <w:rsid w:val="00A93953"/>
    <w:rsid w:val="00A93B6E"/>
    <w:rsid w:val="00A9410C"/>
    <w:rsid w:val="00A944D2"/>
    <w:rsid w:val="00A946AF"/>
    <w:rsid w:val="00A94AFF"/>
    <w:rsid w:val="00A94FB1"/>
    <w:rsid w:val="00A9588B"/>
    <w:rsid w:val="00A959D8"/>
    <w:rsid w:val="00A9608F"/>
    <w:rsid w:val="00A965AF"/>
    <w:rsid w:val="00A967A7"/>
    <w:rsid w:val="00A96BDA"/>
    <w:rsid w:val="00A97432"/>
    <w:rsid w:val="00A977C8"/>
    <w:rsid w:val="00A979CD"/>
    <w:rsid w:val="00A97EFB"/>
    <w:rsid w:val="00AA08AC"/>
    <w:rsid w:val="00AA0AE4"/>
    <w:rsid w:val="00AA0CE5"/>
    <w:rsid w:val="00AA113D"/>
    <w:rsid w:val="00AA1F02"/>
    <w:rsid w:val="00AA35FD"/>
    <w:rsid w:val="00AA44AD"/>
    <w:rsid w:val="00AA46F4"/>
    <w:rsid w:val="00AA50E3"/>
    <w:rsid w:val="00AA51F7"/>
    <w:rsid w:val="00AA55A9"/>
    <w:rsid w:val="00AA57F3"/>
    <w:rsid w:val="00AA5922"/>
    <w:rsid w:val="00AA5F28"/>
    <w:rsid w:val="00AA619C"/>
    <w:rsid w:val="00AA6224"/>
    <w:rsid w:val="00AA67C1"/>
    <w:rsid w:val="00AA6C7D"/>
    <w:rsid w:val="00AA6E9F"/>
    <w:rsid w:val="00AA6F2C"/>
    <w:rsid w:val="00AA7B4A"/>
    <w:rsid w:val="00AA7FD6"/>
    <w:rsid w:val="00AB042A"/>
    <w:rsid w:val="00AB04A4"/>
    <w:rsid w:val="00AB08D2"/>
    <w:rsid w:val="00AB222C"/>
    <w:rsid w:val="00AB26EF"/>
    <w:rsid w:val="00AB2817"/>
    <w:rsid w:val="00AB2AFD"/>
    <w:rsid w:val="00AB2BB0"/>
    <w:rsid w:val="00AB2D34"/>
    <w:rsid w:val="00AB2E21"/>
    <w:rsid w:val="00AB3067"/>
    <w:rsid w:val="00AB3430"/>
    <w:rsid w:val="00AB3FB7"/>
    <w:rsid w:val="00AB4AD1"/>
    <w:rsid w:val="00AB5A2B"/>
    <w:rsid w:val="00AB6657"/>
    <w:rsid w:val="00AB68C2"/>
    <w:rsid w:val="00AB6DCC"/>
    <w:rsid w:val="00AB78E1"/>
    <w:rsid w:val="00AB7932"/>
    <w:rsid w:val="00AB7CCE"/>
    <w:rsid w:val="00AB7CFA"/>
    <w:rsid w:val="00AB7ECA"/>
    <w:rsid w:val="00AC00D6"/>
    <w:rsid w:val="00AC02E7"/>
    <w:rsid w:val="00AC0652"/>
    <w:rsid w:val="00AC0ABC"/>
    <w:rsid w:val="00AC0CEE"/>
    <w:rsid w:val="00AC1164"/>
    <w:rsid w:val="00AC17B8"/>
    <w:rsid w:val="00AC1F8C"/>
    <w:rsid w:val="00AC209D"/>
    <w:rsid w:val="00AC27FD"/>
    <w:rsid w:val="00AC4B28"/>
    <w:rsid w:val="00AC4CDA"/>
    <w:rsid w:val="00AC51EB"/>
    <w:rsid w:val="00AC5B07"/>
    <w:rsid w:val="00AC5B48"/>
    <w:rsid w:val="00AC6942"/>
    <w:rsid w:val="00AC7402"/>
    <w:rsid w:val="00AC7E8F"/>
    <w:rsid w:val="00AD0FAC"/>
    <w:rsid w:val="00AD17CF"/>
    <w:rsid w:val="00AD3A8D"/>
    <w:rsid w:val="00AD4764"/>
    <w:rsid w:val="00AD4E4E"/>
    <w:rsid w:val="00AD4F82"/>
    <w:rsid w:val="00AD4F98"/>
    <w:rsid w:val="00AD4FBA"/>
    <w:rsid w:val="00AD5174"/>
    <w:rsid w:val="00AD5264"/>
    <w:rsid w:val="00AD60F8"/>
    <w:rsid w:val="00AD6502"/>
    <w:rsid w:val="00AD6B76"/>
    <w:rsid w:val="00AD6D49"/>
    <w:rsid w:val="00AD6D98"/>
    <w:rsid w:val="00AD76A0"/>
    <w:rsid w:val="00AD7EA9"/>
    <w:rsid w:val="00AE0E1B"/>
    <w:rsid w:val="00AE0F9C"/>
    <w:rsid w:val="00AE1172"/>
    <w:rsid w:val="00AE1208"/>
    <w:rsid w:val="00AE1E65"/>
    <w:rsid w:val="00AE2954"/>
    <w:rsid w:val="00AE2F63"/>
    <w:rsid w:val="00AE3834"/>
    <w:rsid w:val="00AE38CF"/>
    <w:rsid w:val="00AE3B0A"/>
    <w:rsid w:val="00AE3BEB"/>
    <w:rsid w:val="00AE4558"/>
    <w:rsid w:val="00AE4B7B"/>
    <w:rsid w:val="00AE55BE"/>
    <w:rsid w:val="00AE565C"/>
    <w:rsid w:val="00AE674C"/>
    <w:rsid w:val="00AE6D07"/>
    <w:rsid w:val="00AF0885"/>
    <w:rsid w:val="00AF09A9"/>
    <w:rsid w:val="00AF0BD1"/>
    <w:rsid w:val="00AF0D88"/>
    <w:rsid w:val="00AF1180"/>
    <w:rsid w:val="00AF1315"/>
    <w:rsid w:val="00AF1821"/>
    <w:rsid w:val="00AF19BF"/>
    <w:rsid w:val="00AF23BB"/>
    <w:rsid w:val="00AF2A4F"/>
    <w:rsid w:val="00AF2DC3"/>
    <w:rsid w:val="00AF30DE"/>
    <w:rsid w:val="00AF328A"/>
    <w:rsid w:val="00AF3E2F"/>
    <w:rsid w:val="00AF3E49"/>
    <w:rsid w:val="00AF3FA9"/>
    <w:rsid w:val="00AF4390"/>
    <w:rsid w:val="00AF43F8"/>
    <w:rsid w:val="00AF4AF6"/>
    <w:rsid w:val="00AF4F54"/>
    <w:rsid w:val="00AF579E"/>
    <w:rsid w:val="00AF5BD8"/>
    <w:rsid w:val="00AF6113"/>
    <w:rsid w:val="00AF646A"/>
    <w:rsid w:val="00AF7E03"/>
    <w:rsid w:val="00AF7E68"/>
    <w:rsid w:val="00B00203"/>
    <w:rsid w:val="00B002F6"/>
    <w:rsid w:val="00B00873"/>
    <w:rsid w:val="00B00C32"/>
    <w:rsid w:val="00B00DD9"/>
    <w:rsid w:val="00B010E4"/>
    <w:rsid w:val="00B0188A"/>
    <w:rsid w:val="00B01A7D"/>
    <w:rsid w:val="00B026E6"/>
    <w:rsid w:val="00B028E2"/>
    <w:rsid w:val="00B02993"/>
    <w:rsid w:val="00B029B9"/>
    <w:rsid w:val="00B02E50"/>
    <w:rsid w:val="00B02EDA"/>
    <w:rsid w:val="00B033E5"/>
    <w:rsid w:val="00B03598"/>
    <w:rsid w:val="00B0365B"/>
    <w:rsid w:val="00B03723"/>
    <w:rsid w:val="00B03A63"/>
    <w:rsid w:val="00B03AA6"/>
    <w:rsid w:val="00B03B39"/>
    <w:rsid w:val="00B04769"/>
    <w:rsid w:val="00B04B47"/>
    <w:rsid w:val="00B04C3E"/>
    <w:rsid w:val="00B04D5C"/>
    <w:rsid w:val="00B05480"/>
    <w:rsid w:val="00B060B5"/>
    <w:rsid w:val="00B07408"/>
    <w:rsid w:val="00B07467"/>
    <w:rsid w:val="00B07973"/>
    <w:rsid w:val="00B07C33"/>
    <w:rsid w:val="00B1094B"/>
    <w:rsid w:val="00B10C45"/>
    <w:rsid w:val="00B10F83"/>
    <w:rsid w:val="00B1103C"/>
    <w:rsid w:val="00B1153C"/>
    <w:rsid w:val="00B1182B"/>
    <w:rsid w:val="00B11984"/>
    <w:rsid w:val="00B124F1"/>
    <w:rsid w:val="00B12861"/>
    <w:rsid w:val="00B12C5B"/>
    <w:rsid w:val="00B13326"/>
    <w:rsid w:val="00B1353E"/>
    <w:rsid w:val="00B13829"/>
    <w:rsid w:val="00B142E7"/>
    <w:rsid w:val="00B154C5"/>
    <w:rsid w:val="00B15649"/>
    <w:rsid w:val="00B15680"/>
    <w:rsid w:val="00B15B42"/>
    <w:rsid w:val="00B15BD9"/>
    <w:rsid w:val="00B1641F"/>
    <w:rsid w:val="00B1733C"/>
    <w:rsid w:val="00B201A4"/>
    <w:rsid w:val="00B206D3"/>
    <w:rsid w:val="00B2073D"/>
    <w:rsid w:val="00B20FD6"/>
    <w:rsid w:val="00B213A6"/>
    <w:rsid w:val="00B2320E"/>
    <w:rsid w:val="00B2355B"/>
    <w:rsid w:val="00B23592"/>
    <w:rsid w:val="00B240E8"/>
    <w:rsid w:val="00B2428A"/>
    <w:rsid w:val="00B249A5"/>
    <w:rsid w:val="00B24DF6"/>
    <w:rsid w:val="00B25559"/>
    <w:rsid w:val="00B255E1"/>
    <w:rsid w:val="00B2578E"/>
    <w:rsid w:val="00B25C15"/>
    <w:rsid w:val="00B26898"/>
    <w:rsid w:val="00B26ADE"/>
    <w:rsid w:val="00B27237"/>
    <w:rsid w:val="00B2769B"/>
    <w:rsid w:val="00B27EAF"/>
    <w:rsid w:val="00B30451"/>
    <w:rsid w:val="00B307B0"/>
    <w:rsid w:val="00B314FD"/>
    <w:rsid w:val="00B31696"/>
    <w:rsid w:val="00B31E36"/>
    <w:rsid w:val="00B326D3"/>
    <w:rsid w:val="00B33B9D"/>
    <w:rsid w:val="00B34ECD"/>
    <w:rsid w:val="00B34F57"/>
    <w:rsid w:val="00B34FE2"/>
    <w:rsid w:val="00B351DE"/>
    <w:rsid w:val="00B35425"/>
    <w:rsid w:val="00B357D8"/>
    <w:rsid w:val="00B3590C"/>
    <w:rsid w:val="00B35E98"/>
    <w:rsid w:val="00B364E3"/>
    <w:rsid w:val="00B368F7"/>
    <w:rsid w:val="00B36BE7"/>
    <w:rsid w:val="00B3709E"/>
    <w:rsid w:val="00B37279"/>
    <w:rsid w:val="00B37BFC"/>
    <w:rsid w:val="00B40358"/>
    <w:rsid w:val="00B40A11"/>
    <w:rsid w:val="00B40F08"/>
    <w:rsid w:val="00B41614"/>
    <w:rsid w:val="00B41A6E"/>
    <w:rsid w:val="00B41D91"/>
    <w:rsid w:val="00B42319"/>
    <w:rsid w:val="00B42821"/>
    <w:rsid w:val="00B42851"/>
    <w:rsid w:val="00B42CC2"/>
    <w:rsid w:val="00B42F80"/>
    <w:rsid w:val="00B43477"/>
    <w:rsid w:val="00B435CB"/>
    <w:rsid w:val="00B4433A"/>
    <w:rsid w:val="00B44378"/>
    <w:rsid w:val="00B4446B"/>
    <w:rsid w:val="00B4475C"/>
    <w:rsid w:val="00B4503B"/>
    <w:rsid w:val="00B452B9"/>
    <w:rsid w:val="00B45651"/>
    <w:rsid w:val="00B45785"/>
    <w:rsid w:val="00B4665F"/>
    <w:rsid w:val="00B46824"/>
    <w:rsid w:val="00B46DCF"/>
    <w:rsid w:val="00B471EE"/>
    <w:rsid w:val="00B50908"/>
    <w:rsid w:val="00B50A06"/>
    <w:rsid w:val="00B50DB8"/>
    <w:rsid w:val="00B5104F"/>
    <w:rsid w:val="00B51E7C"/>
    <w:rsid w:val="00B5283B"/>
    <w:rsid w:val="00B52935"/>
    <w:rsid w:val="00B52A9F"/>
    <w:rsid w:val="00B53654"/>
    <w:rsid w:val="00B53905"/>
    <w:rsid w:val="00B53AEC"/>
    <w:rsid w:val="00B53F3D"/>
    <w:rsid w:val="00B542F7"/>
    <w:rsid w:val="00B54577"/>
    <w:rsid w:val="00B54839"/>
    <w:rsid w:val="00B54B5B"/>
    <w:rsid w:val="00B54DEF"/>
    <w:rsid w:val="00B551C8"/>
    <w:rsid w:val="00B552FA"/>
    <w:rsid w:val="00B5562E"/>
    <w:rsid w:val="00B56148"/>
    <w:rsid w:val="00B562DA"/>
    <w:rsid w:val="00B562DD"/>
    <w:rsid w:val="00B562E6"/>
    <w:rsid w:val="00B5632A"/>
    <w:rsid w:val="00B5641F"/>
    <w:rsid w:val="00B56E3F"/>
    <w:rsid w:val="00B56F9A"/>
    <w:rsid w:val="00B57000"/>
    <w:rsid w:val="00B57396"/>
    <w:rsid w:val="00B57765"/>
    <w:rsid w:val="00B607EF"/>
    <w:rsid w:val="00B60939"/>
    <w:rsid w:val="00B60AFD"/>
    <w:rsid w:val="00B61A45"/>
    <w:rsid w:val="00B61C58"/>
    <w:rsid w:val="00B6230F"/>
    <w:rsid w:val="00B623CF"/>
    <w:rsid w:val="00B62715"/>
    <w:rsid w:val="00B629C7"/>
    <w:rsid w:val="00B63178"/>
    <w:rsid w:val="00B633B0"/>
    <w:rsid w:val="00B63742"/>
    <w:rsid w:val="00B648A4"/>
    <w:rsid w:val="00B64D5D"/>
    <w:rsid w:val="00B65596"/>
    <w:rsid w:val="00B656DE"/>
    <w:rsid w:val="00B657B7"/>
    <w:rsid w:val="00B66E01"/>
    <w:rsid w:val="00B67116"/>
    <w:rsid w:val="00B67625"/>
    <w:rsid w:val="00B7034A"/>
    <w:rsid w:val="00B704B4"/>
    <w:rsid w:val="00B71437"/>
    <w:rsid w:val="00B714EA"/>
    <w:rsid w:val="00B71C02"/>
    <w:rsid w:val="00B723BE"/>
    <w:rsid w:val="00B725C5"/>
    <w:rsid w:val="00B72E69"/>
    <w:rsid w:val="00B7396C"/>
    <w:rsid w:val="00B7447E"/>
    <w:rsid w:val="00B749CB"/>
    <w:rsid w:val="00B74DC5"/>
    <w:rsid w:val="00B75869"/>
    <w:rsid w:val="00B75CCE"/>
    <w:rsid w:val="00B75F28"/>
    <w:rsid w:val="00B7646D"/>
    <w:rsid w:val="00B76C53"/>
    <w:rsid w:val="00B76F78"/>
    <w:rsid w:val="00B77A2D"/>
    <w:rsid w:val="00B77E22"/>
    <w:rsid w:val="00B77E8E"/>
    <w:rsid w:val="00B810B9"/>
    <w:rsid w:val="00B81121"/>
    <w:rsid w:val="00B818A4"/>
    <w:rsid w:val="00B82496"/>
    <w:rsid w:val="00B82E81"/>
    <w:rsid w:val="00B84117"/>
    <w:rsid w:val="00B853C5"/>
    <w:rsid w:val="00B854E3"/>
    <w:rsid w:val="00B85A34"/>
    <w:rsid w:val="00B85AA2"/>
    <w:rsid w:val="00B8649C"/>
    <w:rsid w:val="00B86A18"/>
    <w:rsid w:val="00B86A95"/>
    <w:rsid w:val="00B86AF7"/>
    <w:rsid w:val="00B872A8"/>
    <w:rsid w:val="00B87902"/>
    <w:rsid w:val="00B87F0A"/>
    <w:rsid w:val="00B87F8D"/>
    <w:rsid w:val="00B903DF"/>
    <w:rsid w:val="00B918E2"/>
    <w:rsid w:val="00B92446"/>
    <w:rsid w:val="00B92692"/>
    <w:rsid w:val="00B927B5"/>
    <w:rsid w:val="00B92A73"/>
    <w:rsid w:val="00B92D0B"/>
    <w:rsid w:val="00B936FD"/>
    <w:rsid w:val="00B93911"/>
    <w:rsid w:val="00B939D7"/>
    <w:rsid w:val="00B93A92"/>
    <w:rsid w:val="00B942F9"/>
    <w:rsid w:val="00B94820"/>
    <w:rsid w:val="00B94945"/>
    <w:rsid w:val="00B95175"/>
    <w:rsid w:val="00B95C77"/>
    <w:rsid w:val="00B962A7"/>
    <w:rsid w:val="00B96C61"/>
    <w:rsid w:val="00B96CA4"/>
    <w:rsid w:val="00B96DB9"/>
    <w:rsid w:val="00B970B2"/>
    <w:rsid w:val="00B97671"/>
    <w:rsid w:val="00B97B60"/>
    <w:rsid w:val="00B97F1A"/>
    <w:rsid w:val="00BA05B6"/>
    <w:rsid w:val="00BA091A"/>
    <w:rsid w:val="00BA0FDF"/>
    <w:rsid w:val="00BA1011"/>
    <w:rsid w:val="00BA18AC"/>
    <w:rsid w:val="00BA2057"/>
    <w:rsid w:val="00BA22FF"/>
    <w:rsid w:val="00BA2943"/>
    <w:rsid w:val="00BA2AB1"/>
    <w:rsid w:val="00BA322D"/>
    <w:rsid w:val="00BA3A7F"/>
    <w:rsid w:val="00BA4313"/>
    <w:rsid w:val="00BA43F7"/>
    <w:rsid w:val="00BA4431"/>
    <w:rsid w:val="00BA5130"/>
    <w:rsid w:val="00BA549D"/>
    <w:rsid w:val="00BA5662"/>
    <w:rsid w:val="00BA5713"/>
    <w:rsid w:val="00BA72FC"/>
    <w:rsid w:val="00BA7F9E"/>
    <w:rsid w:val="00BB0BDD"/>
    <w:rsid w:val="00BB107A"/>
    <w:rsid w:val="00BB1454"/>
    <w:rsid w:val="00BB19AE"/>
    <w:rsid w:val="00BB2A73"/>
    <w:rsid w:val="00BB42B3"/>
    <w:rsid w:val="00BB462F"/>
    <w:rsid w:val="00BB4ACC"/>
    <w:rsid w:val="00BB4FF9"/>
    <w:rsid w:val="00BB51B2"/>
    <w:rsid w:val="00BB6164"/>
    <w:rsid w:val="00BB66E5"/>
    <w:rsid w:val="00BB6A7C"/>
    <w:rsid w:val="00BB703E"/>
    <w:rsid w:val="00BB71C2"/>
    <w:rsid w:val="00BB7405"/>
    <w:rsid w:val="00BB74CF"/>
    <w:rsid w:val="00BB7CB0"/>
    <w:rsid w:val="00BB7DE8"/>
    <w:rsid w:val="00BB7F0A"/>
    <w:rsid w:val="00BC06B6"/>
    <w:rsid w:val="00BC0FD3"/>
    <w:rsid w:val="00BC1485"/>
    <w:rsid w:val="00BC1E55"/>
    <w:rsid w:val="00BC229B"/>
    <w:rsid w:val="00BC3631"/>
    <w:rsid w:val="00BC3D11"/>
    <w:rsid w:val="00BC3DBB"/>
    <w:rsid w:val="00BC40CF"/>
    <w:rsid w:val="00BC43B9"/>
    <w:rsid w:val="00BC4605"/>
    <w:rsid w:val="00BC4633"/>
    <w:rsid w:val="00BC4875"/>
    <w:rsid w:val="00BC5752"/>
    <w:rsid w:val="00BC5F04"/>
    <w:rsid w:val="00BC6E8F"/>
    <w:rsid w:val="00BD00C5"/>
    <w:rsid w:val="00BD05E9"/>
    <w:rsid w:val="00BD06B2"/>
    <w:rsid w:val="00BD0E8C"/>
    <w:rsid w:val="00BD0F4E"/>
    <w:rsid w:val="00BD1FBE"/>
    <w:rsid w:val="00BD21B3"/>
    <w:rsid w:val="00BD2630"/>
    <w:rsid w:val="00BD2F23"/>
    <w:rsid w:val="00BD32F6"/>
    <w:rsid w:val="00BD4611"/>
    <w:rsid w:val="00BD49E3"/>
    <w:rsid w:val="00BD4EE5"/>
    <w:rsid w:val="00BD5F09"/>
    <w:rsid w:val="00BD68A3"/>
    <w:rsid w:val="00BD6938"/>
    <w:rsid w:val="00BD6CF3"/>
    <w:rsid w:val="00BD6F4E"/>
    <w:rsid w:val="00BD7293"/>
    <w:rsid w:val="00BD76C9"/>
    <w:rsid w:val="00BD78F2"/>
    <w:rsid w:val="00BD7906"/>
    <w:rsid w:val="00BE050A"/>
    <w:rsid w:val="00BE0BB2"/>
    <w:rsid w:val="00BE17DA"/>
    <w:rsid w:val="00BE2180"/>
    <w:rsid w:val="00BE21F2"/>
    <w:rsid w:val="00BE2BDF"/>
    <w:rsid w:val="00BE4275"/>
    <w:rsid w:val="00BE4E9B"/>
    <w:rsid w:val="00BE4EA2"/>
    <w:rsid w:val="00BE5430"/>
    <w:rsid w:val="00BE5513"/>
    <w:rsid w:val="00BE5867"/>
    <w:rsid w:val="00BE6462"/>
    <w:rsid w:val="00BF06C4"/>
    <w:rsid w:val="00BF0F95"/>
    <w:rsid w:val="00BF2202"/>
    <w:rsid w:val="00BF2433"/>
    <w:rsid w:val="00BF287B"/>
    <w:rsid w:val="00BF2CD2"/>
    <w:rsid w:val="00BF2DE4"/>
    <w:rsid w:val="00BF430D"/>
    <w:rsid w:val="00BF4724"/>
    <w:rsid w:val="00BF4A57"/>
    <w:rsid w:val="00BF4F54"/>
    <w:rsid w:val="00BF5290"/>
    <w:rsid w:val="00BF587A"/>
    <w:rsid w:val="00BF58F1"/>
    <w:rsid w:val="00BF617D"/>
    <w:rsid w:val="00BF61C9"/>
    <w:rsid w:val="00BF66ED"/>
    <w:rsid w:val="00BF6B79"/>
    <w:rsid w:val="00BF6B82"/>
    <w:rsid w:val="00BF6C94"/>
    <w:rsid w:val="00BF705F"/>
    <w:rsid w:val="00BF7B02"/>
    <w:rsid w:val="00BF7B04"/>
    <w:rsid w:val="00BF7D00"/>
    <w:rsid w:val="00C002DE"/>
    <w:rsid w:val="00C00424"/>
    <w:rsid w:val="00C01449"/>
    <w:rsid w:val="00C0155C"/>
    <w:rsid w:val="00C016F9"/>
    <w:rsid w:val="00C019A2"/>
    <w:rsid w:val="00C01F2D"/>
    <w:rsid w:val="00C02F5E"/>
    <w:rsid w:val="00C032C0"/>
    <w:rsid w:val="00C03842"/>
    <w:rsid w:val="00C04086"/>
    <w:rsid w:val="00C04F44"/>
    <w:rsid w:val="00C05F1D"/>
    <w:rsid w:val="00C05FAF"/>
    <w:rsid w:val="00C060CC"/>
    <w:rsid w:val="00C0613D"/>
    <w:rsid w:val="00C06390"/>
    <w:rsid w:val="00C06655"/>
    <w:rsid w:val="00C067F9"/>
    <w:rsid w:val="00C073E7"/>
    <w:rsid w:val="00C0796D"/>
    <w:rsid w:val="00C07AC0"/>
    <w:rsid w:val="00C07DE1"/>
    <w:rsid w:val="00C1016F"/>
    <w:rsid w:val="00C101B7"/>
    <w:rsid w:val="00C10B54"/>
    <w:rsid w:val="00C10B95"/>
    <w:rsid w:val="00C111DF"/>
    <w:rsid w:val="00C1159E"/>
    <w:rsid w:val="00C11820"/>
    <w:rsid w:val="00C11948"/>
    <w:rsid w:val="00C12B62"/>
    <w:rsid w:val="00C12C14"/>
    <w:rsid w:val="00C12EA6"/>
    <w:rsid w:val="00C1358E"/>
    <w:rsid w:val="00C13A23"/>
    <w:rsid w:val="00C13F38"/>
    <w:rsid w:val="00C154A9"/>
    <w:rsid w:val="00C155C7"/>
    <w:rsid w:val="00C15D96"/>
    <w:rsid w:val="00C16B7B"/>
    <w:rsid w:val="00C1711C"/>
    <w:rsid w:val="00C174C0"/>
    <w:rsid w:val="00C17C08"/>
    <w:rsid w:val="00C17C7F"/>
    <w:rsid w:val="00C200AA"/>
    <w:rsid w:val="00C20745"/>
    <w:rsid w:val="00C208B2"/>
    <w:rsid w:val="00C21968"/>
    <w:rsid w:val="00C21B44"/>
    <w:rsid w:val="00C21F58"/>
    <w:rsid w:val="00C228FF"/>
    <w:rsid w:val="00C22C24"/>
    <w:rsid w:val="00C22C46"/>
    <w:rsid w:val="00C22DCC"/>
    <w:rsid w:val="00C22F46"/>
    <w:rsid w:val="00C23196"/>
    <w:rsid w:val="00C23693"/>
    <w:rsid w:val="00C237ED"/>
    <w:rsid w:val="00C23A97"/>
    <w:rsid w:val="00C24632"/>
    <w:rsid w:val="00C24BEC"/>
    <w:rsid w:val="00C25418"/>
    <w:rsid w:val="00C2547D"/>
    <w:rsid w:val="00C259A5"/>
    <w:rsid w:val="00C25D9C"/>
    <w:rsid w:val="00C267BB"/>
    <w:rsid w:val="00C26E0E"/>
    <w:rsid w:val="00C2711F"/>
    <w:rsid w:val="00C2778B"/>
    <w:rsid w:val="00C301DF"/>
    <w:rsid w:val="00C30341"/>
    <w:rsid w:val="00C3050C"/>
    <w:rsid w:val="00C31053"/>
    <w:rsid w:val="00C31649"/>
    <w:rsid w:val="00C325D5"/>
    <w:rsid w:val="00C329CF"/>
    <w:rsid w:val="00C32B58"/>
    <w:rsid w:val="00C33560"/>
    <w:rsid w:val="00C33EF8"/>
    <w:rsid w:val="00C33F1F"/>
    <w:rsid w:val="00C35893"/>
    <w:rsid w:val="00C362CF"/>
    <w:rsid w:val="00C36992"/>
    <w:rsid w:val="00C3771F"/>
    <w:rsid w:val="00C37726"/>
    <w:rsid w:val="00C37EB6"/>
    <w:rsid w:val="00C40385"/>
    <w:rsid w:val="00C40FD0"/>
    <w:rsid w:val="00C413A5"/>
    <w:rsid w:val="00C41FC4"/>
    <w:rsid w:val="00C42FE2"/>
    <w:rsid w:val="00C431A9"/>
    <w:rsid w:val="00C43AB4"/>
    <w:rsid w:val="00C4440A"/>
    <w:rsid w:val="00C44553"/>
    <w:rsid w:val="00C44B6E"/>
    <w:rsid w:val="00C44C1C"/>
    <w:rsid w:val="00C45CA0"/>
    <w:rsid w:val="00C461C8"/>
    <w:rsid w:val="00C465AF"/>
    <w:rsid w:val="00C470B9"/>
    <w:rsid w:val="00C475AA"/>
    <w:rsid w:val="00C47856"/>
    <w:rsid w:val="00C47B17"/>
    <w:rsid w:val="00C47FC8"/>
    <w:rsid w:val="00C506DB"/>
    <w:rsid w:val="00C50B4A"/>
    <w:rsid w:val="00C50D39"/>
    <w:rsid w:val="00C50D83"/>
    <w:rsid w:val="00C5156E"/>
    <w:rsid w:val="00C515E5"/>
    <w:rsid w:val="00C51803"/>
    <w:rsid w:val="00C51D12"/>
    <w:rsid w:val="00C52AC1"/>
    <w:rsid w:val="00C53A71"/>
    <w:rsid w:val="00C53D7C"/>
    <w:rsid w:val="00C545B0"/>
    <w:rsid w:val="00C547A0"/>
    <w:rsid w:val="00C54983"/>
    <w:rsid w:val="00C54DB3"/>
    <w:rsid w:val="00C55195"/>
    <w:rsid w:val="00C55310"/>
    <w:rsid w:val="00C55A16"/>
    <w:rsid w:val="00C56859"/>
    <w:rsid w:val="00C5690D"/>
    <w:rsid w:val="00C572C0"/>
    <w:rsid w:val="00C578D3"/>
    <w:rsid w:val="00C57C9C"/>
    <w:rsid w:val="00C57DDF"/>
    <w:rsid w:val="00C57FC9"/>
    <w:rsid w:val="00C6038C"/>
    <w:rsid w:val="00C60E73"/>
    <w:rsid w:val="00C60E99"/>
    <w:rsid w:val="00C61DA7"/>
    <w:rsid w:val="00C62DA8"/>
    <w:rsid w:val="00C6360C"/>
    <w:rsid w:val="00C63A7D"/>
    <w:rsid w:val="00C63C6D"/>
    <w:rsid w:val="00C63E25"/>
    <w:rsid w:val="00C63ED7"/>
    <w:rsid w:val="00C63F10"/>
    <w:rsid w:val="00C646AD"/>
    <w:rsid w:val="00C64E90"/>
    <w:rsid w:val="00C652E5"/>
    <w:rsid w:val="00C6542A"/>
    <w:rsid w:val="00C65576"/>
    <w:rsid w:val="00C66165"/>
    <w:rsid w:val="00C6665F"/>
    <w:rsid w:val="00C67123"/>
    <w:rsid w:val="00C67AE7"/>
    <w:rsid w:val="00C700C4"/>
    <w:rsid w:val="00C70229"/>
    <w:rsid w:val="00C70B82"/>
    <w:rsid w:val="00C70B97"/>
    <w:rsid w:val="00C70FD8"/>
    <w:rsid w:val="00C710B4"/>
    <w:rsid w:val="00C710FE"/>
    <w:rsid w:val="00C71368"/>
    <w:rsid w:val="00C7151A"/>
    <w:rsid w:val="00C715E1"/>
    <w:rsid w:val="00C71F60"/>
    <w:rsid w:val="00C72202"/>
    <w:rsid w:val="00C72241"/>
    <w:rsid w:val="00C7268B"/>
    <w:rsid w:val="00C728CA"/>
    <w:rsid w:val="00C72970"/>
    <w:rsid w:val="00C72D0C"/>
    <w:rsid w:val="00C72F1F"/>
    <w:rsid w:val="00C73588"/>
    <w:rsid w:val="00C73B81"/>
    <w:rsid w:val="00C73E5D"/>
    <w:rsid w:val="00C73E60"/>
    <w:rsid w:val="00C73F7F"/>
    <w:rsid w:val="00C7475F"/>
    <w:rsid w:val="00C749BD"/>
    <w:rsid w:val="00C750C8"/>
    <w:rsid w:val="00C75279"/>
    <w:rsid w:val="00C7560F"/>
    <w:rsid w:val="00C75E83"/>
    <w:rsid w:val="00C7639B"/>
    <w:rsid w:val="00C76A64"/>
    <w:rsid w:val="00C76D6E"/>
    <w:rsid w:val="00C77F6A"/>
    <w:rsid w:val="00C80A0E"/>
    <w:rsid w:val="00C80B29"/>
    <w:rsid w:val="00C81E5A"/>
    <w:rsid w:val="00C8213F"/>
    <w:rsid w:val="00C82BD8"/>
    <w:rsid w:val="00C831FF"/>
    <w:rsid w:val="00C83655"/>
    <w:rsid w:val="00C84197"/>
    <w:rsid w:val="00C851E6"/>
    <w:rsid w:val="00C85BEC"/>
    <w:rsid w:val="00C86D6A"/>
    <w:rsid w:val="00C87226"/>
    <w:rsid w:val="00C874A8"/>
    <w:rsid w:val="00C874C7"/>
    <w:rsid w:val="00C8797A"/>
    <w:rsid w:val="00C879CC"/>
    <w:rsid w:val="00C87DA6"/>
    <w:rsid w:val="00C87E1E"/>
    <w:rsid w:val="00C900B8"/>
    <w:rsid w:val="00C90683"/>
    <w:rsid w:val="00C90B75"/>
    <w:rsid w:val="00C90C71"/>
    <w:rsid w:val="00C910FA"/>
    <w:rsid w:val="00C917D9"/>
    <w:rsid w:val="00C91E8D"/>
    <w:rsid w:val="00C92A49"/>
    <w:rsid w:val="00C931CF"/>
    <w:rsid w:val="00C938CF"/>
    <w:rsid w:val="00C949BA"/>
    <w:rsid w:val="00C957E0"/>
    <w:rsid w:val="00C95C40"/>
    <w:rsid w:val="00C9624D"/>
    <w:rsid w:val="00C969DA"/>
    <w:rsid w:val="00C974F5"/>
    <w:rsid w:val="00C976CB"/>
    <w:rsid w:val="00CA0D64"/>
    <w:rsid w:val="00CA1077"/>
    <w:rsid w:val="00CA138F"/>
    <w:rsid w:val="00CA25E2"/>
    <w:rsid w:val="00CA27E5"/>
    <w:rsid w:val="00CA2C77"/>
    <w:rsid w:val="00CA380C"/>
    <w:rsid w:val="00CA3A9E"/>
    <w:rsid w:val="00CA3B09"/>
    <w:rsid w:val="00CA417D"/>
    <w:rsid w:val="00CA444F"/>
    <w:rsid w:val="00CA49C7"/>
    <w:rsid w:val="00CA4AA7"/>
    <w:rsid w:val="00CA4C43"/>
    <w:rsid w:val="00CA5245"/>
    <w:rsid w:val="00CA52AD"/>
    <w:rsid w:val="00CA55B1"/>
    <w:rsid w:val="00CA6221"/>
    <w:rsid w:val="00CA6CE2"/>
    <w:rsid w:val="00CA71F4"/>
    <w:rsid w:val="00CA7B09"/>
    <w:rsid w:val="00CA7B10"/>
    <w:rsid w:val="00CA7C14"/>
    <w:rsid w:val="00CB00E5"/>
    <w:rsid w:val="00CB0CBC"/>
    <w:rsid w:val="00CB0D62"/>
    <w:rsid w:val="00CB0EE4"/>
    <w:rsid w:val="00CB2F2A"/>
    <w:rsid w:val="00CB3428"/>
    <w:rsid w:val="00CB35A1"/>
    <w:rsid w:val="00CB38AC"/>
    <w:rsid w:val="00CB38B6"/>
    <w:rsid w:val="00CB4127"/>
    <w:rsid w:val="00CB4958"/>
    <w:rsid w:val="00CB4983"/>
    <w:rsid w:val="00CB4F41"/>
    <w:rsid w:val="00CB51CC"/>
    <w:rsid w:val="00CB56DC"/>
    <w:rsid w:val="00CB5B1A"/>
    <w:rsid w:val="00CB6167"/>
    <w:rsid w:val="00CB6B22"/>
    <w:rsid w:val="00CB72B2"/>
    <w:rsid w:val="00CB73C8"/>
    <w:rsid w:val="00CB74AC"/>
    <w:rsid w:val="00CB77FD"/>
    <w:rsid w:val="00CB7ADA"/>
    <w:rsid w:val="00CB7F5F"/>
    <w:rsid w:val="00CC0368"/>
    <w:rsid w:val="00CC083E"/>
    <w:rsid w:val="00CC0B43"/>
    <w:rsid w:val="00CC0C15"/>
    <w:rsid w:val="00CC1B39"/>
    <w:rsid w:val="00CC1C38"/>
    <w:rsid w:val="00CC2181"/>
    <w:rsid w:val="00CC27C2"/>
    <w:rsid w:val="00CC2C47"/>
    <w:rsid w:val="00CC2EAB"/>
    <w:rsid w:val="00CC4256"/>
    <w:rsid w:val="00CC433B"/>
    <w:rsid w:val="00CC474E"/>
    <w:rsid w:val="00CC5521"/>
    <w:rsid w:val="00CC5B0C"/>
    <w:rsid w:val="00CC5BFD"/>
    <w:rsid w:val="00CC6260"/>
    <w:rsid w:val="00CC64C4"/>
    <w:rsid w:val="00CC64EF"/>
    <w:rsid w:val="00CC6F48"/>
    <w:rsid w:val="00CD01CD"/>
    <w:rsid w:val="00CD05CA"/>
    <w:rsid w:val="00CD0945"/>
    <w:rsid w:val="00CD1027"/>
    <w:rsid w:val="00CD1A31"/>
    <w:rsid w:val="00CD1F51"/>
    <w:rsid w:val="00CD2564"/>
    <w:rsid w:val="00CD2E6F"/>
    <w:rsid w:val="00CD39D6"/>
    <w:rsid w:val="00CD416A"/>
    <w:rsid w:val="00CD431C"/>
    <w:rsid w:val="00CD4C11"/>
    <w:rsid w:val="00CD5548"/>
    <w:rsid w:val="00CD5ED2"/>
    <w:rsid w:val="00CD64B0"/>
    <w:rsid w:val="00CD6ADC"/>
    <w:rsid w:val="00CE03BF"/>
    <w:rsid w:val="00CE0DB2"/>
    <w:rsid w:val="00CE1CE3"/>
    <w:rsid w:val="00CE20F8"/>
    <w:rsid w:val="00CE2195"/>
    <w:rsid w:val="00CE24F4"/>
    <w:rsid w:val="00CE253A"/>
    <w:rsid w:val="00CE2C41"/>
    <w:rsid w:val="00CE2CC8"/>
    <w:rsid w:val="00CE31A9"/>
    <w:rsid w:val="00CE3B26"/>
    <w:rsid w:val="00CE436A"/>
    <w:rsid w:val="00CE4A68"/>
    <w:rsid w:val="00CE5E6E"/>
    <w:rsid w:val="00CE5ED4"/>
    <w:rsid w:val="00CE6274"/>
    <w:rsid w:val="00CE7BD9"/>
    <w:rsid w:val="00CE7C23"/>
    <w:rsid w:val="00CF0546"/>
    <w:rsid w:val="00CF078B"/>
    <w:rsid w:val="00CF093A"/>
    <w:rsid w:val="00CF09E4"/>
    <w:rsid w:val="00CF0AC6"/>
    <w:rsid w:val="00CF2344"/>
    <w:rsid w:val="00CF2B8D"/>
    <w:rsid w:val="00CF2D01"/>
    <w:rsid w:val="00CF308B"/>
    <w:rsid w:val="00CF3171"/>
    <w:rsid w:val="00CF3427"/>
    <w:rsid w:val="00CF401F"/>
    <w:rsid w:val="00CF4320"/>
    <w:rsid w:val="00CF456B"/>
    <w:rsid w:val="00CF4888"/>
    <w:rsid w:val="00CF5532"/>
    <w:rsid w:val="00CF5A22"/>
    <w:rsid w:val="00CF5D52"/>
    <w:rsid w:val="00CF678E"/>
    <w:rsid w:val="00CF67B8"/>
    <w:rsid w:val="00CF70C0"/>
    <w:rsid w:val="00CF7726"/>
    <w:rsid w:val="00CF772C"/>
    <w:rsid w:val="00CF7C02"/>
    <w:rsid w:val="00D00001"/>
    <w:rsid w:val="00D00737"/>
    <w:rsid w:val="00D010E3"/>
    <w:rsid w:val="00D01454"/>
    <w:rsid w:val="00D01654"/>
    <w:rsid w:val="00D01696"/>
    <w:rsid w:val="00D016D4"/>
    <w:rsid w:val="00D01845"/>
    <w:rsid w:val="00D01FF9"/>
    <w:rsid w:val="00D0262E"/>
    <w:rsid w:val="00D02B04"/>
    <w:rsid w:val="00D030D2"/>
    <w:rsid w:val="00D040FB"/>
    <w:rsid w:val="00D04D65"/>
    <w:rsid w:val="00D052D2"/>
    <w:rsid w:val="00D05387"/>
    <w:rsid w:val="00D05500"/>
    <w:rsid w:val="00D059AA"/>
    <w:rsid w:val="00D05B58"/>
    <w:rsid w:val="00D05CB1"/>
    <w:rsid w:val="00D07B54"/>
    <w:rsid w:val="00D101A7"/>
    <w:rsid w:val="00D10AC2"/>
    <w:rsid w:val="00D10B15"/>
    <w:rsid w:val="00D110BD"/>
    <w:rsid w:val="00D11701"/>
    <w:rsid w:val="00D123E9"/>
    <w:rsid w:val="00D124A8"/>
    <w:rsid w:val="00D12C50"/>
    <w:rsid w:val="00D12E02"/>
    <w:rsid w:val="00D13675"/>
    <w:rsid w:val="00D13C1E"/>
    <w:rsid w:val="00D141E1"/>
    <w:rsid w:val="00D14C88"/>
    <w:rsid w:val="00D14D9C"/>
    <w:rsid w:val="00D14FB0"/>
    <w:rsid w:val="00D15393"/>
    <w:rsid w:val="00D1560E"/>
    <w:rsid w:val="00D15C9D"/>
    <w:rsid w:val="00D164DD"/>
    <w:rsid w:val="00D16C6D"/>
    <w:rsid w:val="00D17C09"/>
    <w:rsid w:val="00D17D6C"/>
    <w:rsid w:val="00D20756"/>
    <w:rsid w:val="00D20790"/>
    <w:rsid w:val="00D21637"/>
    <w:rsid w:val="00D223D7"/>
    <w:rsid w:val="00D22EEE"/>
    <w:rsid w:val="00D230DE"/>
    <w:rsid w:val="00D23AB6"/>
    <w:rsid w:val="00D24798"/>
    <w:rsid w:val="00D25755"/>
    <w:rsid w:val="00D26A2F"/>
    <w:rsid w:val="00D26DB6"/>
    <w:rsid w:val="00D26FC8"/>
    <w:rsid w:val="00D27115"/>
    <w:rsid w:val="00D27214"/>
    <w:rsid w:val="00D27254"/>
    <w:rsid w:val="00D2754D"/>
    <w:rsid w:val="00D275B3"/>
    <w:rsid w:val="00D278D8"/>
    <w:rsid w:val="00D27B27"/>
    <w:rsid w:val="00D307C1"/>
    <w:rsid w:val="00D30FD6"/>
    <w:rsid w:val="00D3122C"/>
    <w:rsid w:val="00D3158E"/>
    <w:rsid w:val="00D3257B"/>
    <w:rsid w:val="00D333D1"/>
    <w:rsid w:val="00D33BE9"/>
    <w:rsid w:val="00D35144"/>
    <w:rsid w:val="00D35268"/>
    <w:rsid w:val="00D357FF"/>
    <w:rsid w:val="00D35A83"/>
    <w:rsid w:val="00D35C45"/>
    <w:rsid w:val="00D35CD9"/>
    <w:rsid w:val="00D36373"/>
    <w:rsid w:val="00D36504"/>
    <w:rsid w:val="00D368E7"/>
    <w:rsid w:val="00D37272"/>
    <w:rsid w:val="00D37326"/>
    <w:rsid w:val="00D37575"/>
    <w:rsid w:val="00D37A5F"/>
    <w:rsid w:val="00D37F4B"/>
    <w:rsid w:val="00D4002E"/>
    <w:rsid w:val="00D4009D"/>
    <w:rsid w:val="00D40169"/>
    <w:rsid w:val="00D40DD4"/>
    <w:rsid w:val="00D41722"/>
    <w:rsid w:val="00D41BB6"/>
    <w:rsid w:val="00D41E02"/>
    <w:rsid w:val="00D41E1E"/>
    <w:rsid w:val="00D42441"/>
    <w:rsid w:val="00D424C7"/>
    <w:rsid w:val="00D42A42"/>
    <w:rsid w:val="00D43804"/>
    <w:rsid w:val="00D43B2A"/>
    <w:rsid w:val="00D43C9A"/>
    <w:rsid w:val="00D43E25"/>
    <w:rsid w:val="00D44080"/>
    <w:rsid w:val="00D441C6"/>
    <w:rsid w:val="00D443B3"/>
    <w:rsid w:val="00D44E36"/>
    <w:rsid w:val="00D45534"/>
    <w:rsid w:val="00D4574E"/>
    <w:rsid w:val="00D45C25"/>
    <w:rsid w:val="00D4637A"/>
    <w:rsid w:val="00D46882"/>
    <w:rsid w:val="00D469E3"/>
    <w:rsid w:val="00D47575"/>
    <w:rsid w:val="00D47778"/>
    <w:rsid w:val="00D47AA0"/>
    <w:rsid w:val="00D47C3C"/>
    <w:rsid w:val="00D47E62"/>
    <w:rsid w:val="00D50336"/>
    <w:rsid w:val="00D51020"/>
    <w:rsid w:val="00D51A19"/>
    <w:rsid w:val="00D51A3A"/>
    <w:rsid w:val="00D51B07"/>
    <w:rsid w:val="00D51E73"/>
    <w:rsid w:val="00D53414"/>
    <w:rsid w:val="00D5349F"/>
    <w:rsid w:val="00D53BD0"/>
    <w:rsid w:val="00D54543"/>
    <w:rsid w:val="00D5462D"/>
    <w:rsid w:val="00D547E3"/>
    <w:rsid w:val="00D54C41"/>
    <w:rsid w:val="00D5554B"/>
    <w:rsid w:val="00D55639"/>
    <w:rsid w:val="00D55C72"/>
    <w:rsid w:val="00D560D8"/>
    <w:rsid w:val="00D562C7"/>
    <w:rsid w:val="00D56354"/>
    <w:rsid w:val="00D5649F"/>
    <w:rsid w:val="00D603C7"/>
    <w:rsid w:val="00D60502"/>
    <w:rsid w:val="00D60EB7"/>
    <w:rsid w:val="00D6122B"/>
    <w:rsid w:val="00D6128B"/>
    <w:rsid w:val="00D616AD"/>
    <w:rsid w:val="00D62954"/>
    <w:rsid w:val="00D6337A"/>
    <w:rsid w:val="00D63609"/>
    <w:rsid w:val="00D63BA9"/>
    <w:rsid w:val="00D63E48"/>
    <w:rsid w:val="00D64D4A"/>
    <w:rsid w:val="00D64E48"/>
    <w:rsid w:val="00D64ED8"/>
    <w:rsid w:val="00D654B3"/>
    <w:rsid w:val="00D676CB"/>
    <w:rsid w:val="00D679DF"/>
    <w:rsid w:val="00D67AE1"/>
    <w:rsid w:val="00D70DD7"/>
    <w:rsid w:val="00D70E93"/>
    <w:rsid w:val="00D70ED8"/>
    <w:rsid w:val="00D70F16"/>
    <w:rsid w:val="00D7114E"/>
    <w:rsid w:val="00D71706"/>
    <w:rsid w:val="00D71D24"/>
    <w:rsid w:val="00D71D75"/>
    <w:rsid w:val="00D721A0"/>
    <w:rsid w:val="00D725EA"/>
    <w:rsid w:val="00D729E5"/>
    <w:rsid w:val="00D73255"/>
    <w:rsid w:val="00D7370F"/>
    <w:rsid w:val="00D742C3"/>
    <w:rsid w:val="00D74317"/>
    <w:rsid w:val="00D7437D"/>
    <w:rsid w:val="00D7464E"/>
    <w:rsid w:val="00D74BB1"/>
    <w:rsid w:val="00D75285"/>
    <w:rsid w:val="00D75A33"/>
    <w:rsid w:val="00D76689"/>
    <w:rsid w:val="00D769B0"/>
    <w:rsid w:val="00D76A44"/>
    <w:rsid w:val="00D7767C"/>
    <w:rsid w:val="00D779CE"/>
    <w:rsid w:val="00D80796"/>
    <w:rsid w:val="00D808FB"/>
    <w:rsid w:val="00D809C6"/>
    <w:rsid w:val="00D80C2E"/>
    <w:rsid w:val="00D80F3F"/>
    <w:rsid w:val="00D813A7"/>
    <w:rsid w:val="00D815EF"/>
    <w:rsid w:val="00D81DA3"/>
    <w:rsid w:val="00D81F04"/>
    <w:rsid w:val="00D82DFF"/>
    <w:rsid w:val="00D82E9E"/>
    <w:rsid w:val="00D83712"/>
    <w:rsid w:val="00D83CC0"/>
    <w:rsid w:val="00D850E0"/>
    <w:rsid w:val="00D8575E"/>
    <w:rsid w:val="00D8602F"/>
    <w:rsid w:val="00D86136"/>
    <w:rsid w:val="00D864F9"/>
    <w:rsid w:val="00D866B6"/>
    <w:rsid w:val="00D86894"/>
    <w:rsid w:val="00D86C1E"/>
    <w:rsid w:val="00D86D0D"/>
    <w:rsid w:val="00D87423"/>
    <w:rsid w:val="00D8772B"/>
    <w:rsid w:val="00D87BF6"/>
    <w:rsid w:val="00D87D7C"/>
    <w:rsid w:val="00D906D8"/>
    <w:rsid w:val="00D90ACB"/>
    <w:rsid w:val="00D9104D"/>
    <w:rsid w:val="00D910C8"/>
    <w:rsid w:val="00D91923"/>
    <w:rsid w:val="00D929EE"/>
    <w:rsid w:val="00D9364A"/>
    <w:rsid w:val="00D93753"/>
    <w:rsid w:val="00D944EA"/>
    <w:rsid w:val="00D9491D"/>
    <w:rsid w:val="00D95000"/>
    <w:rsid w:val="00D951C1"/>
    <w:rsid w:val="00D95233"/>
    <w:rsid w:val="00D953C6"/>
    <w:rsid w:val="00D95506"/>
    <w:rsid w:val="00D95C58"/>
    <w:rsid w:val="00D96032"/>
    <w:rsid w:val="00D965C2"/>
    <w:rsid w:val="00D97A03"/>
    <w:rsid w:val="00D97FF9"/>
    <w:rsid w:val="00DA025E"/>
    <w:rsid w:val="00DA056B"/>
    <w:rsid w:val="00DA0589"/>
    <w:rsid w:val="00DA1956"/>
    <w:rsid w:val="00DA2A64"/>
    <w:rsid w:val="00DA2BBE"/>
    <w:rsid w:val="00DA3167"/>
    <w:rsid w:val="00DA41F5"/>
    <w:rsid w:val="00DA4DC3"/>
    <w:rsid w:val="00DA4E35"/>
    <w:rsid w:val="00DA4FEB"/>
    <w:rsid w:val="00DA5052"/>
    <w:rsid w:val="00DA5130"/>
    <w:rsid w:val="00DA515B"/>
    <w:rsid w:val="00DA5629"/>
    <w:rsid w:val="00DA5864"/>
    <w:rsid w:val="00DA63DD"/>
    <w:rsid w:val="00DA66E7"/>
    <w:rsid w:val="00DA6A48"/>
    <w:rsid w:val="00DA6CDE"/>
    <w:rsid w:val="00DA77A5"/>
    <w:rsid w:val="00DA7D72"/>
    <w:rsid w:val="00DA7F4C"/>
    <w:rsid w:val="00DB01F0"/>
    <w:rsid w:val="00DB141F"/>
    <w:rsid w:val="00DB151C"/>
    <w:rsid w:val="00DB203D"/>
    <w:rsid w:val="00DB23D8"/>
    <w:rsid w:val="00DB2513"/>
    <w:rsid w:val="00DB25A4"/>
    <w:rsid w:val="00DB27A0"/>
    <w:rsid w:val="00DB2CA0"/>
    <w:rsid w:val="00DB2CDE"/>
    <w:rsid w:val="00DB2D79"/>
    <w:rsid w:val="00DB3EF7"/>
    <w:rsid w:val="00DB4429"/>
    <w:rsid w:val="00DB44EC"/>
    <w:rsid w:val="00DB484F"/>
    <w:rsid w:val="00DB50A6"/>
    <w:rsid w:val="00DB53B3"/>
    <w:rsid w:val="00DB5976"/>
    <w:rsid w:val="00DB777B"/>
    <w:rsid w:val="00DB7B58"/>
    <w:rsid w:val="00DB7C76"/>
    <w:rsid w:val="00DC04F6"/>
    <w:rsid w:val="00DC08F4"/>
    <w:rsid w:val="00DC0C58"/>
    <w:rsid w:val="00DC0CB7"/>
    <w:rsid w:val="00DC16F7"/>
    <w:rsid w:val="00DC23BD"/>
    <w:rsid w:val="00DC2C2E"/>
    <w:rsid w:val="00DC2D2A"/>
    <w:rsid w:val="00DC2FAC"/>
    <w:rsid w:val="00DC34D2"/>
    <w:rsid w:val="00DC3B11"/>
    <w:rsid w:val="00DC3C57"/>
    <w:rsid w:val="00DC49D9"/>
    <w:rsid w:val="00DC4C25"/>
    <w:rsid w:val="00DC5153"/>
    <w:rsid w:val="00DC51EC"/>
    <w:rsid w:val="00DC522A"/>
    <w:rsid w:val="00DC5501"/>
    <w:rsid w:val="00DC5F26"/>
    <w:rsid w:val="00DC616A"/>
    <w:rsid w:val="00DC674A"/>
    <w:rsid w:val="00DC6790"/>
    <w:rsid w:val="00DC6862"/>
    <w:rsid w:val="00DC7605"/>
    <w:rsid w:val="00DD00B3"/>
    <w:rsid w:val="00DD03C1"/>
    <w:rsid w:val="00DD10EC"/>
    <w:rsid w:val="00DD1111"/>
    <w:rsid w:val="00DD1888"/>
    <w:rsid w:val="00DD1AA4"/>
    <w:rsid w:val="00DD273C"/>
    <w:rsid w:val="00DD2B36"/>
    <w:rsid w:val="00DD36D4"/>
    <w:rsid w:val="00DD3CAB"/>
    <w:rsid w:val="00DD3F28"/>
    <w:rsid w:val="00DD427F"/>
    <w:rsid w:val="00DD4537"/>
    <w:rsid w:val="00DD47F1"/>
    <w:rsid w:val="00DD48F6"/>
    <w:rsid w:val="00DD4B09"/>
    <w:rsid w:val="00DD4B4A"/>
    <w:rsid w:val="00DD4E15"/>
    <w:rsid w:val="00DD5008"/>
    <w:rsid w:val="00DD54B7"/>
    <w:rsid w:val="00DD55D9"/>
    <w:rsid w:val="00DD5F20"/>
    <w:rsid w:val="00DD6127"/>
    <w:rsid w:val="00DD65C7"/>
    <w:rsid w:val="00DD66DC"/>
    <w:rsid w:val="00DD68FE"/>
    <w:rsid w:val="00DD70FA"/>
    <w:rsid w:val="00DD7BB9"/>
    <w:rsid w:val="00DD7EC1"/>
    <w:rsid w:val="00DE0E19"/>
    <w:rsid w:val="00DE114A"/>
    <w:rsid w:val="00DE173D"/>
    <w:rsid w:val="00DE1767"/>
    <w:rsid w:val="00DE184B"/>
    <w:rsid w:val="00DE2194"/>
    <w:rsid w:val="00DE2664"/>
    <w:rsid w:val="00DE2986"/>
    <w:rsid w:val="00DE2D81"/>
    <w:rsid w:val="00DE2EDF"/>
    <w:rsid w:val="00DE3138"/>
    <w:rsid w:val="00DE34E6"/>
    <w:rsid w:val="00DE356F"/>
    <w:rsid w:val="00DE370D"/>
    <w:rsid w:val="00DE37F8"/>
    <w:rsid w:val="00DE381B"/>
    <w:rsid w:val="00DE38DB"/>
    <w:rsid w:val="00DE3E96"/>
    <w:rsid w:val="00DE405C"/>
    <w:rsid w:val="00DE4674"/>
    <w:rsid w:val="00DE4C8E"/>
    <w:rsid w:val="00DE4FCB"/>
    <w:rsid w:val="00DE5A08"/>
    <w:rsid w:val="00DE67EA"/>
    <w:rsid w:val="00DE67F6"/>
    <w:rsid w:val="00DE7416"/>
    <w:rsid w:val="00DE7638"/>
    <w:rsid w:val="00DE76A3"/>
    <w:rsid w:val="00DE775F"/>
    <w:rsid w:val="00DE7832"/>
    <w:rsid w:val="00DE7D3C"/>
    <w:rsid w:val="00DF0634"/>
    <w:rsid w:val="00DF108A"/>
    <w:rsid w:val="00DF11FE"/>
    <w:rsid w:val="00DF12A8"/>
    <w:rsid w:val="00DF18FC"/>
    <w:rsid w:val="00DF1974"/>
    <w:rsid w:val="00DF19A6"/>
    <w:rsid w:val="00DF19CB"/>
    <w:rsid w:val="00DF352C"/>
    <w:rsid w:val="00DF4322"/>
    <w:rsid w:val="00DF43B9"/>
    <w:rsid w:val="00DF4B18"/>
    <w:rsid w:val="00DF5778"/>
    <w:rsid w:val="00DF5C7A"/>
    <w:rsid w:val="00DF5D2B"/>
    <w:rsid w:val="00DF601F"/>
    <w:rsid w:val="00DF610C"/>
    <w:rsid w:val="00DF6138"/>
    <w:rsid w:val="00DF62F5"/>
    <w:rsid w:val="00DF642E"/>
    <w:rsid w:val="00DF79B8"/>
    <w:rsid w:val="00E00040"/>
    <w:rsid w:val="00E00E8E"/>
    <w:rsid w:val="00E00E99"/>
    <w:rsid w:val="00E00FE5"/>
    <w:rsid w:val="00E01551"/>
    <w:rsid w:val="00E016B2"/>
    <w:rsid w:val="00E01A66"/>
    <w:rsid w:val="00E024E2"/>
    <w:rsid w:val="00E05630"/>
    <w:rsid w:val="00E05770"/>
    <w:rsid w:val="00E057E1"/>
    <w:rsid w:val="00E05DF0"/>
    <w:rsid w:val="00E0633C"/>
    <w:rsid w:val="00E06B26"/>
    <w:rsid w:val="00E06DBB"/>
    <w:rsid w:val="00E06F8B"/>
    <w:rsid w:val="00E0736B"/>
    <w:rsid w:val="00E078A9"/>
    <w:rsid w:val="00E07F20"/>
    <w:rsid w:val="00E07FE4"/>
    <w:rsid w:val="00E10149"/>
    <w:rsid w:val="00E101F5"/>
    <w:rsid w:val="00E112D9"/>
    <w:rsid w:val="00E112DE"/>
    <w:rsid w:val="00E118C1"/>
    <w:rsid w:val="00E119A0"/>
    <w:rsid w:val="00E12246"/>
    <w:rsid w:val="00E12461"/>
    <w:rsid w:val="00E131D7"/>
    <w:rsid w:val="00E13BFB"/>
    <w:rsid w:val="00E14793"/>
    <w:rsid w:val="00E14E52"/>
    <w:rsid w:val="00E15193"/>
    <w:rsid w:val="00E152B6"/>
    <w:rsid w:val="00E15363"/>
    <w:rsid w:val="00E153BF"/>
    <w:rsid w:val="00E156B0"/>
    <w:rsid w:val="00E16031"/>
    <w:rsid w:val="00E16372"/>
    <w:rsid w:val="00E16D15"/>
    <w:rsid w:val="00E17BCD"/>
    <w:rsid w:val="00E20124"/>
    <w:rsid w:val="00E203CD"/>
    <w:rsid w:val="00E20DDE"/>
    <w:rsid w:val="00E20E4D"/>
    <w:rsid w:val="00E20ED6"/>
    <w:rsid w:val="00E21266"/>
    <w:rsid w:val="00E21358"/>
    <w:rsid w:val="00E2163B"/>
    <w:rsid w:val="00E2203F"/>
    <w:rsid w:val="00E2249B"/>
    <w:rsid w:val="00E22A0D"/>
    <w:rsid w:val="00E22C01"/>
    <w:rsid w:val="00E234B5"/>
    <w:rsid w:val="00E239BA"/>
    <w:rsid w:val="00E239DC"/>
    <w:rsid w:val="00E23F7B"/>
    <w:rsid w:val="00E2428F"/>
    <w:rsid w:val="00E24AE9"/>
    <w:rsid w:val="00E24D67"/>
    <w:rsid w:val="00E25351"/>
    <w:rsid w:val="00E25356"/>
    <w:rsid w:val="00E25B5E"/>
    <w:rsid w:val="00E26AD3"/>
    <w:rsid w:val="00E26BAB"/>
    <w:rsid w:val="00E26BEF"/>
    <w:rsid w:val="00E26C6A"/>
    <w:rsid w:val="00E26EF5"/>
    <w:rsid w:val="00E26EF7"/>
    <w:rsid w:val="00E2771E"/>
    <w:rsid w:val="00E27F31"/>
    <w:rsid w:val="00E302AE"/>
    <w:rsid w:val="00E30818"/>
    <w:rsid w:val="00E30A75"/>
    <w:rsid w:val="00E3139A"/>
    <w:rsid w:val="00E31DEA"/>
    <w:rsid w:val="00E326B3"/>
    <w:rsid w:val="00E32A10"/>
    <w:rsid w:val="00E33830"/>
    <w:rsid w:val="00E340CA"/>
    <w:rsid w:val="00E3442E"/>
    <w:rsid w:val="00E34948"/>
    <w:rsid w:val="00E34D7A"/>
    <w:rsid w:val="00E34E56"/>
    <w:rsid w:val="00E351BD"/>
    <w:rsid w:val="00E354A8"/>
    <w:rsid w:val="00E35E01"/>
    <w:rsid w:val="00E35E47"/>
    <w:rsid w:val="00E360FB"/>
    <w:rsid w:val="00E370F8"/>
    <w:rsid w:val="00E3732B"/>
    <w:rsid w:val="00E37569"/>
    <w:rsid w:val="00E3784F"/>
    <w:rsid w:val="00E37E56"/>
    <w:rsid w:val="00E4000E"/>
    <w:rsid w:val="00E40191"/>
    <w:rsid w:val="00E4035D"/>
    <w:rsid w:val="00E40E1F"/>
    <w:rsid w:val="00E40EC4"/>
    <w:rsid w:val="00E41532"/>
    <w:rsid w:val="00E418A2"/>
    <w:rsid w:val="00E41C93"/>
    <w:rsid w:val="00E41E30"/>
    <w:rsid w:val="00E4260A"/>
    <w:rsid w:val="00E42E3B"/>
    <w:rsid w:val="00E433BC"/>
    <w:rsid w:val="00E43581"/>
    <w:rsid w:val="00E435EF"/>
    <w:rsid w:val="00E43D70"/>
    <w:rsid w:val="00E44C24"/>
    <w:rsid w:val="00E45312"/>
    <w:rsid w:val="00E454B7"/>
    <w:rsid w:val="00E45B90"/>
    <w:rsid w:val="00E45C02"/>
    <w:rsid w:val="00E466F3"/>
    <w:rsid w:val="00E46F92"/>
    <w:rsid w:val="00E477AA"/>
    <w:rsid w:val="00E479CF"/>
    <w:rsid w:val="00E47B2C"/>
    <w:rsid w:val="00E508F5"/>
    <w:rsid w:val="00E50F60"/>
    <w:rsid w:val="00E51522"/>
    <w:rsid w:val="00E51560"/>
    <w:rsid w:val="00E51D4A"/>
    <w:rsid w:val="00E5209D"/>
    <w:rsid w:val="00E521DD"/>
    <w:rsid w:val="00E524AA"/>
    <w:rsid w:val="00E525D6"/>
    <w:rsid w:val="00E52B4F"/>
    <w:rsid w:val="00E52B7E"/>
    <w:rsid w:val="00E52E9F"/>
    <w:rsid w:val="00E53852"/>
    <w:rsid w:val="00E53F66"/>
    <w:rsid w:val="00E540D1"/>
    <w:rsid w:val="00E541DC"/>
    <w:rsid w:val="00E54347"/>
    <w:rsid w:val="00E54953"/>
    <w:rsid w:val="00E54A75"/>
    <w:rsid w:val="00E54CA0"/>
    <w:rsid w:val="00E55105"/>
    <w:rsid w:val="00E5530A"/>
    <w:rsid w:val="00E55424"/>
    <w:rsid w:val="00E5565E"/>
    <w:rsid w:val="00E55BB5"/>
    <w:rsid w:val="00E55DFA"/>
    <w:rsid w:val="00E568FE"/>
    <w:rsid w:val="00E5762F"/>
    <w:rsid w:val="00E576FA"/>
    <w:rsid w:val="00E57C18"/>
    <w:rsid w:val="00E60299"/>
    <w:rsid w:val="00E60E77"/>
    <w:rsid w:val="00E60EA4"/>
    <w:rsid w:val="00E60FCF"/>
    <w:rsid w:val="00E61009"/>
    <w:rsid w:val="00E6243F"/>
    <w:rsid w:val="00E62BE8"/>
    <w:rsid w:val="00E62F67"/>
    <w:rsid w:val="00E62F6D"/>
    <w:rsid w:val="00E638BF"/>
    <w:rsid w:val="00E63E85"/>
    <w:rsid w:val="00E644E1"/>
    <w:rsid w:val="00E644F3"/>
    <w:rsid w:val="00E6486A"/>
    <w:rsid w:val="00E64E95"/>
    <w:rsid w:val="00E65914"/>
    <w:rsid w:val="00E65C9D"/>
    <w:rsid w:val="00E65CA0"/>
    <w:rsid w:val="00E65E79"/>
    <w:rsid w:val="00E665CE"/>
    <w:rsid w:val="00E6693F"/>
    <w:rsid w:val="00E66BA2"/>
    <w:rsid w:val="00E6729E"/>
    <w:rsid w:val="00E67327"/>
    <w:rsid w:val="00E67416"/>
    <w:rsid w:val="00E6742A"/>
    <w:rsid w:val="00E67E6B"/>
    <w:rsid w:val="00E7008A"/>
    <w:rsid w:val="00E7074E"/>
    <w:rsid w:val="00E71431"/>
    <w:rsid w:val="00E71820"/>
    <w:rsid w:val="00E718B6"/>
    <w:rsid w:val="00E722C5"/>
    <w:rsid w:val="00E723BA"/>
    <w:rsid w:val="00E72512"/>
    <w:rsid w:val="00E727CF"/>
    <w:rsid w:val="00E72C1E"/>
    <w:rsid w:val="00E73581"/>
    <w:rsid w:val="00E73596"/>
    <w:rsid w:val="00E736E7"/>
    <w:rsid w:val="00E73E59"/>
    <w:rsid w:val="00E741D1"/>
    <w:rsid w:val="00E744A6"/>
    <w:rsid w:val="00E745F8"/>
    <w:rsid w:val="00E748A0"/>
    <w:rsid w:val="00E74AD3"/>
    <w:rsid w:val="00E75828"/>
    <w:rsid w:val="00E75857"/>
    <w:rsid w:val="00E76671"/>
    <w:rsid w:val="00E76FAD"/>
    <w:rsid w:val="00E77531"/>
    <w:rsid w:val="00E77EE0"/>
    <w:rsid w:val="00E77EF0"/>
    <w:rsid w:val="00E8026C"/>
    <w:rsid w:val="00E8115C"/>
    <w:rsid w:val="00E81687"/>
    <w:rsid w:val="00E81FEB"/>
    <w:rsid w:val="00E824DD"/>
    <w:rsid w:val="00E8294C"/>
    <w:rsid w:val="00E82AFA"/>
    <w:rsid w:val="00E82EA8"/>
    <w:rsid w:val="00E82F3B"/>
    <w:rsid w:val="00E833F7"/>
    <w:rsid w:val="00E83BDF"/>
    <w:rsid w:val="00E83C0A"/>
    <w:rsid w:val="00E84039"/>
    <w:rsid w:val="00E84432"/>
    <w:rsid w:val="00E84775"/>
    <w:rsid w:val="00E85217"/>
    <w:rsid w:val="00E8538E"/>
    <w:rsid w:val="00E85E3C"/>
    <w:rsid w:val="00E86227"/>
    <w:rsid w:val="00E86291"/>
    <w:rsid w:val="00E86E79"/>
    <w:rsid w:val="00E87122"/>
    <w:rsid w:val="00E87655"/>
    <w:rsid w:val="00E87A1D"/>
    <w:rsid w:val="00E87A78"/>
    <w:rsid w:val="00E905C4"/>
    <w:rsid w:val="00E90A54"/>
    <w:rsid w:val="00E90A6D"/>
    <w:rsid w:val="00E90DB8"/>
    <w:rsid w:val="00E90E77"/>
    <w:rsid w:val="00E916F9"/>
    <w:rsid w:val="00E91AB6"/>
    <w:rsid w:val="00E91C50"/>
    <w:rsid w:val="00E91FF0"/>
    <w:rsid w:val="00E92357"/>
    <w:rsid w:val="00E926A5"/>
    <w:rsid w:val="00E927EB"/>
    <w:rsid w:val="00E92FCB"/>
    <w:rsid w:val="00E93446"/>
    <w:rsid w:val="00E93CB8"/>
    <w:rsid w:val="00E94029"/>
    <w:rsid w:val="00E943C0"/>
    <w:rsid w:val="00E946E9"/>
    <w:rsid w:val="00E9489C"/>
    <w:rsid w:val="00E94D07"/>
    <w:rsid w:val="00E951BB"/>
    <w:rsid w:val="00E95419"/>
    <w:rsid w:val="00E957DC"/>
    <w:rsid w:val="00E95D2E"/>
    <w:rsid w:val="00E9639E"/>
    <w:rsid w:val="00E96760"/>
    <w:rsid w:val="00E96779"/>
    <w:rsid w:val="00E96AB3"/>
    <w:rsid w:val="00E96E85"/>
    <w:rsid w:val="00E979B5"/>
    <w:rsid w:val="00EA04B9"/>
    <w:rsid w:val="00EA0B4B"/>
    <w:rsid w:val="00EA0F89"/>
    <w:rsid w:val="00EA1049"/>
    <w:rsid w:val="00EA156F"/>
    <w:rsid w:val="00EA17C3"/>
    <w:rsid w:val="00EA1BFD"/>
    <w:rsid w:val="00EA2CAA"/>
    <w:rsid w:val="00EA3864"/>
    <w:rsid w:val="00EA3E46"/>
    <w:rsid w:val="00EA3FCE"/>
    <w:rsid w:val="00EA405C"/>
    <w:rsid w:val="00EA4B69"/>
    <w:rsid w:val="00EA4D1B"/>
    <w:rsid w:val="00EA54E1"/>
    <w:rsid w:val="00EA5544"/>
    <w:rsid w:val="00EA5CC9"/>
    <w:rsid w:val="00EA5F3E"/>
    <w:rsid w:val="00EA61D9"/>
    <w:rsid w:val="00EA78FD"/>
    <w:rsid w:val="00EA7FC6"/>
    <w:rsid w:val="00EB0FFF"/>
    <w:rsid w:val="00EB1096"/>
    <w:rsid w:val="00EB15B6"/>
    <w:rsid w:val="00EB173B"/>
    <w:rsid w:val="00EB4916"/>
    <w:rsid w:val="00EB4992"/>
    <w:rsid w:val="00EB4E4D"/>
    <w:rsid w:val="00EB575A"/>
    <w:rsid w:val="00EB5D6F"/>
    <w:rsid w:val="00EB774E"/>
    <w:rsid w:val="00EB7ABD"/>
    <w:rsid w:val="00EC00C9"/>
    <w:rsid w:val="00EC041A"/>
    <w:rsid w:val="00EC0E23"/>
    <w:rsid w:val="00EC0E6D"/>
    <w:rsid w:val="00EC0FC7"/>
    <w:rsid w:val="00EC1D87"/>
    <w:rsid w:val="00EC1FEB"/>
    <w:rsid w:val="00EC2096"/>
    <w:rsid w:val="00EC2516"/>
    <w:rsid w:val="00EC2649"/>
    <w:rsid w:val="00EC2D64"/>
    <w:rsid w:val="00EC2E74"/>
    <w:rsid w:val="00EC2F5A"/>
    <w:rsid w:val="00EC3595"/>
    <w:rsid w:val="00EC37AF"/>
    <w:rsid w:val="00EC39A3"/>
    <w:rsid w:val="00EC39A9"/>
    <w:rsid w:val="00EC41CE"/>
    <w:rsid w:val="00EC5199"/>
    <w:rsid w:val="00EC60E6"/>
    <w:rsid w:val="00EC63BD"/>
    <w:rsid w:val="00EC6681"/>
    <w:rsid w:val="00EC6CB1"/>
    <w:rsid w:val="00EC750E"/>
    <w:rsid w:val="00EC7518"/>
    <w:rsid w:val="00EC7F93"/>
    <w:rsid w:val="00ED0237"/>
    <w:rsid w:val="00ED0569"/>
    <w:rsid w:val="00ED0843"/>
    <w:rsid w:val="00ED11E6"/>
    <w:rsid w:val="00ED13B0"/>
    <w:rsid w:val="00ED152A"/>
    <w:rsid w:val="00ED16C4"/>
    <w:rsid w:val="00ED1CC2"/>
    <w:rsid w:val="00ED2565"/>
    <w:rsid w:val="00ED261D"/>
    <w:rsid w:val="00ED2FAD"/>
    <w:rsid w:val="00ED3410"/>
    <w:rsid w:val="00ED3F1F"/>
    <w:rsid w:val="00ED41B7"/>
    <w:rsid w:val="00ED4590"/>
    <w:rsid w:val="00ED46C8"/>
    <w:rsid w:val="00ED49AE"/>
    <w:rsid w:val="00ED49D7"/>
    <w:rsid w:val="00ED5104"/>
    <w:rsid w:val="00ED55EC"/>
    <w:rsid w:val="00ED56BE"/>
    <w:rsid w:val="00ED57EA"/>
    <w:rsid w:val="00ED62CF"/>
    <w:rsid w:val="00ED6662"/>
    <w:rsid w:val="00ED69E0"/>
    <w:rsid w:val="00ED6CF8"/>
    <w:rsid w:val="00ED6D8C"/>
    <w:rsid w:val="00ED743F"/>
    <w:rsid w:val="00ED7CA8"/>
    <w:rsid w:val="00ED7F47"/>
    <w:rsid w:val="00EE07D3"/>
    <w:rsid w:val="00EE08C8"/>
    <w:rsid w:val="00EE0F82"/>
    <w:rsid w:val="00EE0FB0"/>
    <w:rsid w:val="00EE1AF6"/>
    <w:rsid w:val="00EE22AF"/>
    <w:rsid w:val="00EE2F37"/>
    <w:rsid w:val="00EE36E0"/>
    <w:rsid w:val="00EE3C9F"/>
    <w:rsid w:val="00EE3FBA"/>
    <w:rsid w:val="00EE4146"/>
    <w:rsid w:val="00EE4ADE"/>
    <w:rsid w:val="00EE5501"/>
    <w:rsid w:val="00EE55A9"/>
    <w:rsid w:val="00EE5AE8"/>
    <w:rsid w:val="00EE5EF2"/>
    <w:rsid w:val="00EE6849"/>
    <w:rsid w:val="00EE7707"/>
    <w:rsid w:val="00EE795F"/>
    <w:rsid w:val="00EF0171"/>
    <w:rsid w:val="00EF0C9B"/>
    <w:rsid w:val="00EF1796"/>
    <w:rsid w:val="00EF1B25"/>
    <w:rsid w:val="00EF1CD7"/>
    <w:rsid w:val="00EF20C5"/>
    <w:rsid w:val="00EF223A"/>
    <w:rsid w:val="00EF24A9"/>
    <w:rsid w:val="00EF274A"/>
    <w:rsid w:val="00EF28B2"/>
    <w:rsid w:val="00EF2D30"/>
    <w:rsid w:val="00EF3399"/>
    <w:rsid w:val="00EF341F"/>
    <w:rsid w:val="00EF38C8"/>
    <w:rsid w:val="00EF42DC"/>
    <w:rsid w:val="00EF435B"/>
    <w:rsid w:val="00EF435C"/>
    <w:rsid w:val="00EF4747"/>
    <w:rsid w:val="00EF49CC"/>
    <w:rsid w:val="00EF4BF8"/>
    <w:rsid w:val="00EF4C03"/>
    <w:rsid w:val="00EF5315"/>
    <w:rsid w:val="00EF55A3"/>
    <w:rsid w:val="00EF568C"/>
    <w:rsid w:val="00EF5C91"/>
    <w:rsid w:val="00EF6979"/>
    <w:rsid w:val="00EF6E2F"/>
    <w:rsid w:val="00EF741B"/>
    <w:rsid w:val="00EF7660"/>
    <w:rsid w:val="00EF79CF"/>
    <w:rsid w:val="00F0002C"/>
    <w:rsid w:val="00F01133"/>
    <w:rsid w:val="00F01473"/>
    <w:rsid w:val="00F02253"/>
    <w:rsid w:val="00F028C6"/>
    <w:rsid w:val="00F0298E"/>
    <w:rsid w:val="00F02ADB"/>
    <w:rsid w:val="00F03AB5"/>
    <w:rsid w:val="00F03C2E"/>
    <w:rsid w:val="00F045C7"/>
    <w:rsid w:val="00F04708"/>
    <w:rsid w:val="00F049D1"/>
    <w:rsid w:val="00F04A66"/>
    <w:rsid w:val="00F04B9D"/>
    <w:rsid w:val="00F05009"/>
    <w:rsid w:val="00F0516C"/>
    <w:rsid w:val="00F05844"/>
    <w:rsid w:val="00F05A0E"/>
    <w:rsid w:val="00F060C2"/>
    <w:rsid w:val="00F060EE"/>
    <w:rsid w:val="00F067A2"/>
    <w:rsid w:val="00F07256"/>
    <w:rsid w:val="00F076C8"/>
    <w:rsid w:val="00F07B7E"/>
    <w:rsid w:val="00F07BA7"/>
    <w:rsid w:val="00F1049B"/>
    <w:rsid w:val="00F109DA"/>
    <w:rsid w:val="00F110FE"/>
    <w:rsid w:val="00F114EB"/>
    <w:rsid w:val="00F11671"/>
    <w:rsid w:val="00F11B5B"/>
    <w:rsid w:val="00F12293"/>
    <w:rsid w:val="00F1263A"/>
    <w:rsid w:val="00F13C12"/>
    <w:rsid w:val="00F142AF"/>
    <w:rsid w:val="00F14968"/>
    <w:rsid w:val="00F14AEE"/>
    <w:rsid w:val="00F16319"/>
    <w:rsid w:val="00F166D4"/>
    <w:rsid w:val="00F166E6"/>
    <w:rsid w:val="00F16A9A"/>
    <w:rsid w:val="00F16C25"/>
    <w:rsid w:val="00F16FB2"/>
    <w:rsid w:val="00F17403"/>
    <w:rsid w:val="00F1790B"/>
    <w:rsid w:val="00F17D0C"/>
    <w:rsid w:val="00F17D36"/>
    <w:rsid w:val="00F204F0"/>
    <w:rsid w:val="00F2111E"/>
    <w:rsid w:val="00F211C6"/>
    <w:rsid w:val="00F21955"/>
    <w:rsid w:val="00F21994"/>
    <w:rsid w:val="00F21CC1"/>
    <w:rsid w:val="00F22A25"/>
    <w:rsid w:val="00F23FBD"/>
    <w:rsid w:val="00F24431"/>
    <w:rsid w:val="00F24837"/>
    <w:rsid w:val="00F24CBF"/>
    <w:rsid w:val="00F25664"/>
    <w:rsid w:val="00F2575F"/>
    <w:rsid w:val="00F2632E"/>
    <w:rsid w:val="00F268C2"/>
    <w:rsid w:val="00F26D79"/>
    <w:rsid w:val="00F27035"/>
    <w:rsid w:val="00F27565"/>
    <w:rsid w:val="00F301CC"/>
    <w:rsid w:val="00F303F1"/>
    <w:rsid w:val="00F30695"/>
    <w:rsid w:val="00F309E6"/>
    <w:rsid w:val="00F30AD2"/>
    <w:rsid w:val="00F30F4A"/>
    <w:rsid w:val="00F310D4"/>
    <w:rsid w:val="00F317E2"/>
    <w:rsid w:val="00F31D5A"/>
    <w:rsid w:val="00F31F2F"/>
    <w:rsid w:val="00F324F8"/>
    <w:rsid w:val="00F338A2"/>
    <w:rsid w:val="00F33DE9"/>
    <w:rsid w:val="00F34342"/>
    <w:rsid w:val="00F3449B"/>
    <w:rsid w:val="00F34ACE"/>
    <w:rsid w:val="00F34DC5"/>
    <w:rsid w:val="00F34EF2"/>
    <w:rsid w:val="00F35FA7"/>
    <w:rsid w:val="00F3619A"/>
    <w:rsid w:val="00F361F4"/>
    <w:rsid w:val="00F36B1F"/>
    <w:rsid w:val="00F37B13"/>
    <w:rsid w:val="00F37C74"/>
    <w:rsid w:val="00F401FB"/>
    <w:rsid w:val="00F4084E"/>
    <w:rsid w:val="00F40AAA"/>
    <w:rsid w:val="00F40B68"/>
    <w:rsid w:val="00F40BA7"/>
    <w:rsid w:val="00F41601"/>
    <w:rsid w:val="00F41864"/>
    <w:rsid w:val="00F4233F"/>
    <w:rsid w:val="00F42FC6"/>
    <w:rsid w:val="00F43B12"/>
    <w:rsid w:val="00F449D7"/>
    <w:rsid w:val="00F449FF"/>
    <w:rsid w:val="00F44A34"/>
    <w:rsid w:val="00F45ED7"/>
    <w:rsid w:val="00F46039"/>
    <w:rsid w:val="00F46235"/>
    <w:rsid w:val="00F468B6"/>
    <w:rsid w:val="00F4691D"/>
    <w:rsid w:val="00F46CB6"/>
    <w:rsid w:val="00F47DE8"/>
    <w:rsid w:val="00F50D4E"/>
    <w:rsid w:val="00F513F3"/>
    <w:rsid w:val="00F515DF"/>
    <w:rsid w:val="00F5201E"/>
    <w:rsid w:val="00F52170"/>
    <w:rsid w:val="00F52B9E"/>
    <w:rsid w:val="00F53426"/>
    <w:rsid w:val="00F53B85"/>
    <w:rsid w:val="00F53C2B"/>
    <w:rsid w:val="00F542C1"/>
    <w:rsid w:val="00F54383"/>
    <w:rsid w:val="00F54A51"/>
    <w:rsid w:val="00F5531F"/>
    <w:rsid w:val="00F55E73"/>
    <w:rsid w:val="00F55EDA"/>
    <w:rsid w:val="00F565F9"/>
    <w:rsid w:val="00F56636"/>
    <w:rsid w:val="00F568F5"/>
    <w:rsid w:val="00F56D8F"/>
    <w:rsid w:val="00F572C1"/>
    <w:rsid w:val="00F57470"/>
    <w:rsid w:val="00F57627"/>
    <w:rsid w:val="00F5774E"/>
    <w:rsid w:val="00F57C50"/>
    <w:rsid w:val="00F60092"/>
    <w:rsid w:val="00F6039D"/>
    <w:rsid w:val="00F6049E"/>
    <w:rsid w:val="00F6089D"/>
    <w:rsid w:val="00F6094B"/>
    <w:rsid w:val="00F60D87"/>
    <w:rsid w:val="00F61708"/>
    <w:rsid w:val="00F63C1E"/>
    <w:rsid w:val="00F63F52"/>
    <w:rsid w:val="00F6429F"/>
    <w:rsid w:val="00F642E4"/>
    <w:rsid w:val="00F6447D"/>
    <w:rsid w:val="00F64635"/>
    <w:rsid w:val="00F6522C"/>
    <w:rsid w:val="00F65697"/>
    <w:rsid w:val="00F65F4B"/>
    <w:rsid w:val="00F66146"/>
    <w:rsid w:val="00F66339"/>
    <w:rsid w:val="00F6756D"/>
    <w:rsid w:val="00F70B90"/>
    <w:rsid w:val="00F70C9D"/>
    <w:rsid w:val="00F71E0E"/>
    <w:rsid w:val="00F722E2"/>
    <w:rsid w:val="00F7286D"/>
    <w:rsid w:val="00F72E20"/>
    <w:rsid w:val="00F72E3B"/>
    <w:rsid w:val="00F737D0"/>
    <w:rsid w:val="00F73BBA"/>
    <w:rsid w:val="00F73F91"/>
    <w:rsid w:val="00F74998"/>
    <w:rsid w:val="00F74CD9"/>
    <w:rsid w:val="00F74F0B"/>
    <w:rsid w:val="00F75F31"/>
    <w:rsid w:val="00F76783"/>
    <w:rsid w:val="00F7684D"/>
    <w:rsid w:val="00F77583"/>
    <w:rsid w:val="00F77BB8"/>
    <w:rsid w:val="00F77CB8"/>
    <w:rsid w:val="00F80373"/>
    <w:rsid w:val="00F80A7B"/>
    <w:rsid w:val="00F80E5D"/>
    <w:rsid w:val="00F81325"/>
    <w:rsid w:val="00F814BA"/>
    <w:rsid w:val="00F8178E"/>
    <w:rsid w:val="00F81803"/>
    <w:rsid w:val="00F81BA3"/>
    <w:rsid w:val="00F823C4"/>
    <w:rsid w:val="00F82B6F"/>
    <w:rsid w:val="00F844A2"/>
    <w:rsid w:val="00F8463E"/>
    <w:rsid w:val="00F847D3"/>
    <w:rsid w:val="00F84BC7"/>
    <w:rsid w:val="00F851CE"/>
    <w:rsid w:val="00F85415"/>
    <w:rsid w:val="00F86B92"/>
    <w:rsid w:val="00F86D60"/>
    <w:rsid w:val="00F875AD"/>
    <w:rsid w:val="00F87CE7"/>
    <w:rsid w:val="00F90641"/>
    <w:rsid w:val="00F91219"/>
    <w:rsid w:val="00F92354"/>
    <w:rsid w:val="00F9248D"/>
    <w:rsid w:val="00F930CD"/>
    <w:rsid w:val="00F934C4"/>
    <w:rsid w:val="00F93F77"/>
    <w:rsid w:val="00F94581"/>
    <w:rsid w:val="00F958D8"/>
    <w:rsid w:val="00F95D17"/>
    <w:rsid w:val="00F95DFF"/>
    <w:rsid w:val="00F95FAA"/>
    <w:rsid w:val="00F96463"/>
    <w:rsid w:val="00F96901"/>
    <w:rsid w:val="00F97357"/>
    <w:rsid w:val="00F973D2"/>
    <w:rsid w:val="00F977CA"/>
    <w:rsid w:val="00F97A78"/>
    <w:rsid w:val="00FA03FE"/>
    <w:rsid w:val="00FA04F5"/>
    <w:rsid w:val="00FA058F"/>
    <w:rsid w:val="00FA09B2"/>
    <w:rsid w:val="00FA0B20"/>
    <w:rsid w:val="00FA0EBC"/>
    <w:rsid w:val="00FA0FEB"/>
    <w:rsid w:val="00FA13AE"/>
    <w:rsid w:val="00FA1D3A"/>
    <w:rsid w:val="00FA24E7"/>
    <w:rsid w:val="00FA2AA8"/>
    <w:rsid w:val="00FA3627"/>
    <w:rsid w:val="00FA362B"/>
    <w:rsid w:val="00FA41A6"/>
    <w:rsid w:val="00FA526F"/>
    <w:rsid w:val="00FA55EA"/>
    <w:rsid w:val="00FA5837"/>
    <w:rsid w:val="00FA606F"/>
    <w:rsid w:val="00FA62D4"/>
    <w:rsid w:val="00FA65F7"/>
    <w:rsid w:val="00FA6913"/>
    <w:rsid w:val="00FA7181"/>
    <w:rsid w:val="00FA7A01"/>
    <w:rsid w:val="00FA7CC7"/>
    <w:rsid w:val="00FA7E77"/>
    <w:rsid w:val="00FB12C7"/>
    <w:rsid w:val="00FB149E"/>
    <w:rsid w:val="00FB16B1"/>
    <w:rsid w:val="00FB1D9F"/>
    <w:rsid w:val="00FB2334"/>
    <w:rsid w:val="00FB2DA1"/>
    <w:rsid w:val="00FB2FCB"/>
    <w:rsid w:val="00FB37F8"/>
    <w:rsid w:val="00FB58FF"/>
    <w:rsid w:val="00FB5BAF"/>
    <w:rsid w:val="00FB5F49"/>
    <w:rsid w:val="00FB6677"/>
    <w:rsid w:val="00FB6B86"/>
    <w:rsid w:val="00FB6E3E"/>
    <w:rsid w:val="00FB75CC"/>
    <w:rsid w:val="00FB78CB"/>
    <w:rsid w:val="00FB7A3A"/>
    <w:rsid w:val="00FC00B4"/>
    <w:rsid w:val="00FC0148"/>
    <w:rsid w:val="00FC1074"/>
    <w:rsid w:val="00FC1884"/>
    <w:rsid w:val="00FC18EB"/>
    <w:rsid w:val="00FC1B25"/>
    <w:rsid w:val="00FC26E8"/>
    <w:rsid w:val="00FC2D18"/>
    <w:rsid w:val="00FC371D"/>
    <w:rsid w:val="00FC3EF5"/>
    <w:rsid w:val="00FC45D4"/>
    <w:rsid w:val="00FC4DCA"/>
    <w:rsid w:val="00FC5245"/>
    <w:rsid w:val="00FC5D6F"/>
    <w:rsid w:val="00FC5F0B"/>
    <w:rsid w:val="00FC5FAA"/>
    <w:rsid w:val="00FC6492"/>
    <w:rsid w:val="00FC6ECB"/>
    <w:rsid w:val="00FC7238"/>
    <w:rsid w:val="00FC74D7"/>
    <w:rsid w:val="00FC7D5C"/>
    <w:rsid w:val="00FD03C1"/>
    <w:rsid w:val="00FD07DC"/>
    <w:rsid w:val="00FD0FC2"/>
    <w:rsid w:val="00FD1525"/>
    <w:rsid w:val="00FD1543"/>
    <w:rsid w:val="00FD20AF"/>
    <w:rsid w:val="00FD2100"/>
    <w:rsid w:val="00FD38E6"/>
    <w:rsid w:val="00FD3FB7"/>
    <w:rsid w:val="00FD436C"/>
    <w:rsid w:val="00FD446D"/>
    <w:rsid w:val="00FD48EE"/>
    <w:rsid w:val="00FD5493"/>
    <w:rsid w:val="00FD5B65"/>
    <w:rsid w:val="00FD62B4"/>
    <w:rsid w:val="00FD6394"/>
    <w:rsid w:val="00FD68A0"/>
    <w:rsid w:val="00FD71C1"/>
    <w:rsid w:val="00FD7FED"/>
    <w:rsid w:val="00FE001D"/>
    <w:rsid w:val="00FE059F"/>
    <w:rsid w:val="00FE061B"/>
    <w:rsid w:val="00FE08D8"/>
    <w:rsid w:val="00FE0E6C"/>
    <w:rsid w:val="00FE1365"/>
    <w:rsid w:val="00FE1E8A"/>
    <w:rsid w:val="00FE21B0"/>
    <w:rsid w:val="00FE221F"/>
    <w:rsid w:val="00FE22FB"/>
    <w:rsid w:val="00FE23DF"/>
    <w:rsid w:val="00FE2441"/>
    <w:rsid w:val="00FE249A"/>
    <w:rsid w:val="00FE24B0"/>
    <w:rsid w:val="00FE361E"/>
    <w:rsid w:val="00FE3D6F"/>
    <w:rsid w:val="00FE4100"/>
    <w:rsid w:val="00FE5C9E"/>
    <w:rsid w:val="00FE6131"/>
    <w:rsid w:val="00FE6296"/>
    <w:rsid w:val="00FE6BE8"/>
    <w:rsid w:val="00FE70C3"/>
    <w:rsid w:val="00FE727B"/>
    <w:rsid w:val="00FE79FA"/>
    <w:rsid w:val="00FE7C6A"/>
    <w:rsid w:val="00FF0E33"/>
    <w:rsid w:val="00FF1B36"/>
    <w:rsid w:val="00FF1F8E"/>
    <w:rsid w:val="00FF206C"/>
    <w:rsid w:val="00FF21AF"/>
    <w:rsid w:val="00FF317F"/>
    <w:rsid w:val="00FF3230"/>
    <w:rsid w:val="00FF3611"/>
    <w:rsid w:val="00FF3ACA"/>
    <w:rsid w:val="00FF3AD4"/>
    <w:rsid w:val="00FF3D91"/>
    <w:rsid w:val="00FF3DCF"/>
    <w:rsid w:val="00FF4325"/>
    <w:rsid w:val="00FF492C"/>
    <w:rsid w:val="00FF4A21"/>
    <w:rsid w:val="00FF56C6"/>
    <w:rsid w:val="00FF5AA3"/>
    <w:rsid w:val="00FF5AD8"/>
    <w:rsid w:val="00FF731A"/>
    <w:rsid w:val="00FF76AE"/>
    <w:rsid w:val="00FF79DB"/>
    <w:rsid w:val="00FF7F8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6257"/>
    <o:shapelayout v:ext="edit">
      <o:idmap v:ext="edit" data="1"/>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39DC"/>
    <w:pPr>
      <w:widowControl w:val="0"/>
      <w:jc w:val="both"/>
    </w:pPr>
    <w:rPr>
      <w:rFonts w:ascii="Calibri" w:hAnsi="Calibri" w:cs="Arial"/>
      <w:snapToGrid w:val="0"/>
      <w:sz w:val="24"/>
      <w:szCs w:val="22"/>
      <w:lang w:eastAsia="en-US"/>
    </w:rPr>
  </w:style>
  <w:style w:type="paragraph" w:styleId="Heading1">
    <w:name w:val="heading 1"/>
    <w:basedOn w:val="Normal"/>
    <w:next w:val="Normal"/>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Figure caption,Bayer Caption,IB Caption,Medical Caption,- H17,Tabellen-Titel,Caption Char2 Char,Caption Char Char Char2,Caption Char1 Char Char Char1,Caption Char2 Char Char Char1 Char1,Caption Char Char1 Char Char Char1 Char1,c,Caption Char2"/>
    <w:basedOn w:val="Normal"/>
    <w:next w:val="Normal"/>
    <w:link w:val="CaptionChar"/>
    <w:uiPriority w:val="35"/>
    <w:unhideWhenUsed/>
    <w:qFormat/>
    <w:rsid w:val="00124A51"/>
    <w:pPr>
      <w:spacing w:after="200"/>
    </w:pPr>
    <w:rPr>
      <w:b/>
      <w:bCs/>
      <w:color w:val="4F81BD" w:themeColor="accent1"/>
      <w:sz w:val="18"/>
      <w:szCs w:val="18"/>
    </w:rPr>
  </w:style>
  <w:style w:type="character" w:customStyle="1" w:styleId="CaptionChar">
    <w:name w:val="Caption Char"/>
    <w:aliases w:val="Figure caption Char,Bayer Caption Char,IB Caption Char,Medical Caption Char,- H17 Char,Tabellen-Titel Char,Caption Char2 Char Char,Caption Char Char Char2 Char,Caption Char1 Char Char Char1 Char,Caption Char2 Char Char Char1 Char1 Char"/>
    <w:link w:val="Caption"/>
    <w:uiPriority w:val="35"/>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List Paragraph1,Figure_name,Numbered Indented Text,Bullet- First level,List NUmber,Listenabsatz1,lp1,List Paragraph11,Style 2,TOC style,List Paragraph2,List Paragraph Char Char,Number_1,SGLText List Paragraph,L"/>
    <w:basedOn w:val="Normal"/>
    <w:link w:val="ListParagraphChar"/>
    <w:uiPriority w:val="34"/>
    <w:qFormat/>
    <w:rsid w:val="00591957"/>
    <w:pPr>
      <w:spacing w:after="160"/>
      <w:ind w:left="720"/>
    </w:pPr>
  </w:style>
  <w:style w:type="character" w:customStyle="1" w:styleId="ListParagraphChar">
    <w:name w:val="List Paragraph Char"/>
    <w:aliases w:val="Numbered para Char,BulletPoints Char,List Paragraph1 Char,Figure_name Char,Numbered Indented Text Char,Bullet- First level Char,List NUmber Char,Listenabsatz1 Char,lp1 Char,List Paragraph11 Char,Style 2 Char,TOC style Char,L Char"/>
    <w:basedOn w:val="DefaultParagraphFont"/>
    <w:link w:val="ListParagraph"/>
    <w:uiPriority w:val="34"/>
    <w:qFormat/>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ASD Table,Header Table,NICE instructions,Source table_,HealthConsult,Dossier table,CMA Table Template,new style,MSD Table Grid,PBAC table"/>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H18"/>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widowControl/>
      <w:jc w:val="left"/>
    </w:pPr>
    <w:rPr>
      <w:rFonts w:ascii="Arial Narrow" w:hAnsi="Arial Narrow" w:cs="Times New Roman"/>
      <w:snapToGrid/>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qFormat/>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aliases w:val="Comment Text Char Char Char,Comment Text Char Char"/>
    <w:basedOn w:val="Normal"/>
    <w:link w:val="CommentTextChar"/>
    <w:rsid w:val="00FD2100"/>
    <w:rPr>
      <w:rFonts w:ascii="Times New Roman" w:hAnsi="Times New Roman" w:cs="Times New Roman"/>
      <w:sz w:val="20"/>
    </w:rPr>
  </w:style>
  <w:style w:type="character" w:customStyle="1" w:styleId="CommentTextChar">
    <w:name w:val="Comment Text Char"/>
    <w:aliases w:val="Comment Text Char Char Char Char,Comment Text Char Char Char1"/>
    <w:basedOn w:val="DefaultParagraphFont"/>
    <w:link w:val="CommentText"/>
    <w:rsid w:val="00FD2100"/>
    <w:rPr>
      <w:snapToGrid w:val="0"/>
      <w:lang w:eastAsia="en-US"/>
    </w:rPr>
  </w:style>
  <w:style w:type="paragraph" w:customStyle="1" w:styleId="Bulletpoints">
    <w:name w:val="Bullet points"/>
    <w:basedOn w:val="ListParagraph"/>
    <w:qFormat/>
    <w:rsid w:val="002C5099"/>
    <w:pPr>
      <w:numPr>
        <w:numId w:val="3"/>
      </w:numPr>
      <w:spacing w:after="0"/>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link w:val="PBACHeading1Char"/>
    <w:qFormat/>
    <w:rsid w:val="00743F98"/>
    <w:pPr>
      <w:numPr>
        <w:numId w:val="2"/>
      </w:num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basedOn w:val="Normal"/>
    <w:link w:val="TableTextChar0"/>
    <w:qFormat/>
    <w:rsid w:val="005F1BDF"/>
    <w:pPr>
      <w:keepNext/>
      <w:widowControl/>
      <w:spacing w:before="40" w:after="40"/>
      <w:jc w:val="left"/>
    </w:pPr>
    <w:rPr>
      <w:rFonts w:ascii="Arial Narrow" w:eastAsiaTheme="minorHAnsi" w:hAnsi="Arial Narrow" w:cstheme="minorBidi"/>
      <w:snapToGrid/>
      <w:sz w:val="20"/>
    </w:rPr>
  </w:style>
  <w:style w:type="paragraph" w:styleId="FootnoteText">
    <w:name w:val="footnote text"/>
    <w:basedOn w:val="Normal"/>
    <w:link w:val="FootnoteTextChar"/>
    <w:uiPriority w:val="99"/>
    <w:unhideWhenUsed/>
    <w:rsid w:val="00047828"/>
    <w:rPr>
      <w:sz w:val="20"/>
      <w:szCs w:val="20"/>
    </w:rPr>
  </w:style>
  <w:style w:type="character" w:customStyle="1" w:styleId="FootnoteTextChar">
    <w:name w:val="Footnote Text Char"/>
    <w:basedOn w:val="DefaultParagraphFont"/>
    <w:link w:val="FootnoteText"/>
    <w:uiPriority w:val="99"/>
    <w:rsid w:val="00047828"/>
    <w:rPr>
      <w:rFonts w:ascii="Calibri" w:hAnsi="Calibri" w:cs="Arial"/>
      <w:snapToGrid w:val="0"/>
      <w:lang w:eastAsia="en-US"/>
    </w:rPr>
  </w:style>
  <w:style w:type="character" w:styleId="FootnoteReference">
    <w:name w:val="footnote reference"/>
    <w:basedOn w:val="DefaultParagraphFont"/>
    <w:uiPriority w:val="99"/>
    <w:unhideWhenUsed/>
    <w:rsid w:val="00047828"/>
    <w:rPr>
      <w:vertAlign w:val="superscript"/>
    </w:rPr>
  </w:style>
  <w:style w:type="table" w:customStyle="1" w:styleId="TableGrid1">
    <w:name w:val="Table Grid1"/>
    <w:basedOn w:val="TableNormal"/>
    <w:uiPriority w:val="39"/>
    <w:rsid w:val="004650F7"/>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Char0">
    <w:name w:val="Table Text Char"/>
    <w:basedOn w:val="DefaultParagraphFont"/>
    <w:link w:val="TableText0"/>
    <w:rsid w:val="00B97671"/>
    <w:rPr>
      <w:rFonts w:ascii="Arial Narrow" w:eastAsiaTheme="minorHAnsi" w:hAnsi="Arial Narrow" w:cstheme="minorBidi"/>
      <w:szCs w:val="22"/>
      <w:lang w:eastAsia="en-US"/>
    </w:rPr>
  </w:style>
  <w:style w:type="character" w:styleId="IntenseReference">
    <w:name w:val="Intense Reference"/>
    <w:basedOn w:val="DefaultParagraphFont"/>
    <w:uiPriority w:val="32"/>
    <w:rsid w:val="007648A5"/>
    <w:rPr>
      <w:b/>
      <w:smallCaps/>
    </w:rPr>
  </w:style>
  <w:style w:type="table" w:customStyle="1" w:styleId="newstyle1">
    <w:name w:val="new style1"/>
    <w:basedOn w:val="TableNormal"/>
    <w:next w:val="TableGrid"/>
    <w:uiPriority w:val="59"/>
    <w:rsid w:val="00387358"/>
    <w:rPr>
      <w:rFonts w:ascii="Arial Narrow" w:eastAsia="MS Gothic" w:hAnsi="Arial Narrow"/>
      <w:szCs w:val="22"/>
      <w:lang w:val="en-US"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ewstyle2">
    <w:name w:val="new style2"/>
    <w:basedOn w:val="TableNormal"/>
    <w:next w:val="TableGrid"/>
    <w:uiPriority w:val="59"/>
    <w:rsid w:val="00F568F5"/>
    <w:rPr>
      <w:rFonts w:ascii="Arial Narrow" w:eastAsia="MS Gothic" w:hAnsi="Arial Narrow"/>
      <w:szCs w:val="22"/>
      <w:lang w:val="en-US"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ableNotesChar">
    <w:name w:val="Table Notes Char"/>
    <w:basedOn w:val="DefaultParagraphFont"/>
    <w:link w:val="TableNotes"/>
    <w:uiPriority w:val="6"/>
    <w:locked/>
    <w:rsid w:val="001749DD"/>
    <w:rPr>
      <w:rFonts w:ascii="Arial Narrow" w:hAnsi="Arial Narrow" w:cstheme="majorBidi"/>
      <w:sz w:val="16"/>
    </w:rPr>
  </w:style>
  <w:style w:type="paragraph" w:customStyle="1" w:styleId="TableNotes">
    <w:name w:val="Table Notes"/>
    <w:basedOn w:val="Normal"/>
    <w:link w:val="TableNotesChar"/>
    <w:uiPriority w:val="6"/>
    <w:qFormat/>
    <w:rsid w:val="001749DD"/>
    <w:pPr>
      <w:widowControl/>
      <w:spacing w:after="40"/>
      <w:jc w:val="left"/>
    </w:pPr>
    <w:rPr>
      <w:rFonts w:ascii="Arial Narrow" w:hAnsi="Arial Narrow" w:cstheme="majorBidi"/>
      <w:snapToGrid/>
      <w:sz w:val="16"/>
      <w:szCs w:val="20"/>
      <w:lang w:eastAsia="en-AU"/>
    </w:rPr>
  </w:style>
  <w:style w:type="paragraph" w:customStyle="1" w:styleId="In-tableHeading">
    <w:name w:val="In-table Heading"/>
    <w:qFormat/>
    <w:rsid w:val="00287EDF"/>
    <w:pPr>
      <w:keepNext/>
    </w:pPr>
    <w:rPr>
      <w:rFonts w:ascii="Arial Narrow" w:eastAsiaTheme="majorEastAsia" w:hAnsi="Arial Narrow"/>
      <w:b/>
      <w:szCs w:val="24"/>
      <w:lang w:val="en-US"/>
    </w:rPr>
  </w:style>
  <w:style w:type="paragraph" w:customStyle="1" w:styleId="Default">
    <w:name w:val="Default"/>
    <w:rsid w:val="003D4B33"/>
    <w:pPr>
      <w:autoSpaceDE w:val="0"/>
      <w:autoSpaceDN w:val="0"/>
      <w:adjustRightInd w:val="0"/>
    </w:pPr>
    <w:rPr>
      <w:rFonts w:ascii="Cambria" w:hAnsi="Cambria" w:cs="Cambria"/>
      <w:color w:val="000000"/>
      <w:sz w:val="24"/>
      <w:szCs w:val="24"/>
    </w:rPr>
  </w:style>
  <w:style w:type="paragraph" w:customStyle="1" w:styleId="3Bodytext">
    <w:name w:val="3. Body text"/>
    <w:basedOn w:val="ListParagraph"/>
    <w:link w:val="3BodytextChar"/>
    <w:qFormat/>
    <w:rsid w:val="00140DBA"/>
    <w:pPr>
      <w:widowControl/>
      <w:spacing w:after="120"/>
      <w:ind w:hanging="720"/>
      <w:jc w:val="left"/>
    </w:pPr>
    <w:rPr>
      <w:rFonts w:asciiTheme="minorHAnsi" w:hAnsiTheme="minorHAnsi"/>
      <w:snapToGrid/>
      <w:szCs w:val="24"/>
      <w:lang w:eastAsia="en-AU"/>
    </w:rPr>
  </w:style>
  <w:style w:type="character" w:customStyle="1" w:styleId="3BodytextChar">
    <w:name w:val="3. Body text Char"/>
    <w:basedOn w:val="DefaultParagraphFont"/>
    <w:link w:val="3Bodytext"/>
    <w:rsid w:val="00140DBA"/>
    <w:rPr>
      <w:rFonts w:asciiTheme="minorHAnsi" w:hAnsiTheme="minorHAnsi" w:cs="Arial"/>
      <w:sz w:val="24"/>
      <w:szCs w:val="24"/>
    </w:rPr>
  </w:style>
  <w:style w:type="paragraph" w:customStyle="1" w:styleId="2-SectionHeading">
    <w:name w:val="2-Section Heading"/>
    <w:qFormat/>
    <w:rsid w:val="00140DBA"/>
    <w:pPr>
      <w:keepNext/>
      <w:spacing w:before="240" w:after="120"/>
      <w:ind w:left="720" w:hanging="720"/>
      <w:outlineLvl w:val="0"/>
    </w:pPr>
    <w:rPr>
      <w:rFonts w:asciiTheme="minorHAnsi" w:hAnsiTheme="minorHAnsi" w:cs="Arial"/>
      <w:b/>
      <w:snapToGrid w:val="0"/>
      <w:sz w:val="32"/>
      <w:szCs w:val="32"/>
    </w:rPr>
  </w:style>
  <w:style w:type="paragraph" w:customStyle="1" w:styleId="Source">
    <w:name w:val="Source"/>
    <w:basedOn w:val="Normal"/>
    <w:uiPriority w:val="35"/>
    <w:qFormat/>
    <w:rsid w:val="00140DBA"/>
    <w:pPr>
      <w:widowControl/>
    </w:pPr>
    <w:rPr>
      <w:rFonts w:eastAsiaTheme="minorHAnsi" w:cstheme="minorBidi"/>
      <w:snapToGrid/>
      <w:sz w:val="18"/>
    </w:rPr>
  </w:style>
  <w:style w:type="character" w:customStyle="1" w:styleId="PBACHeading1Char">
    <w:name w:val="PBAC Heading 1 Char"/>
    <w:basedOn w:val="DefaultParagraphFont"/>
    <w:link w:val="PBACHeading1"/>
    <w:rsid w:val="001D12DC"/>
    <w:rPr>
      <w:rFonts w:ascii="Calibri" w:hAnsi="Calibri" w:cs="Arial"/>
      <w:b/>
      <w:snapToGrid w:val="0"/>
      <w:sz w:val="32"/>
      <w:szCs w:val="22"/>
      <w:lang w:eastAsia="en-US"/>
    </w:rPr>
  </w:style>
  <w:style w:type="character" w:customStyle="1" w:styleId="TableFigureFooterChar">
    <w:name w:val="Table/Figure Footer Char"/>
    <w:link w:val="TableFigureFooter"/>
    <w:locked/>
    <w:rsid w:val="00EF5C91"/>
    <w:rPr>
      <w:rFonts w:ascii="Arial Narrow" w:hAnsi="Arial Narrow" w:cs="Arial"/>
      <w:sz w:val="18"/>
    </w:rPr>
  </w:style>
  <w:style w:type="paragraph" w:customStyle="1" w:styleId="TableFigureFooter">
    <w:name w:val="Table/Figure Footer"/>
    <w:basedOn w:val="Normal"/>
    <w:link w:val="TableFigureFooterChar"/>
    <w:qFormat/>
    <w:rsid w:val="00EF5C91"/>
    <w:pPr>
      <w:widowControl/>
      <w:snapToGrid w:val="0"/>
      <w:spacing w:after="120"/>
      <w:contextualSpacing/>
    </w:pPr>
    <w:rPr>
      <w:rFonts w:ascii="Arial Narrow" w:hAnsi="Arial Narrow"/>
      <w:snapToGrid/>
      <w:sz w:val="18"/>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290435">
      <w:bodyDiv w:val="1"/>
      <w:marLeft w:val="0"/>
      <w:marRight w:val="0"/>
      <w:marTop w:val="0"/>
      <w:marBottom w:val="0"/>
      <w:divBdr>
        <w:top w:val="none" w:sz="0" w:space="0" w:color="auto"/>
        <w:left w:val="none" w:sz="0" w:space="0" w:color="auto"/>
        <w:bottom w:val="none" w:sz="0" w:space="0" w:color="auto"/>
        <w:right w:val="none" w:sz="0" w:space="0" w:color="auto"/>
      </w:divBdr>
    </w:div>
    <w:div w:id="52167573">
      <w:bodyDiv w:val="1"/>
      <w:marLeft w:val="0"/>
      <w:marRight w:val="0"/>
      <w:marTop w:val="0"/>
      <w:marBottom w:val="0"/>
      <w:divBdr>
        <w:top w:val="none" w:sz="0" w:space="0" w:color="auto"/>
        <w:left w:val="none" w:sz="0" w:space="0" w:color="auto"/>
        <w:bottom w:val="none" w:sz="0" w:space="0" w:color="auto"/>
        <w:right w:val="none" w:sz="0" w:space="0" w:color="auto"/>
      </w:divBdr>
    </w:div>
    <w:div w:id="195585224">
      <w:bodyDiv w:val="1"/>
      <w:marLeft w:val="0"/>
      <w:marRight w:val="0"/>
      <w:marTop w:val="0"/>
      <w:marBottom w:val="0"/>
      <w:divBdr>
        <w:top w:val="none" w:sz="0" w:space="0" w:color="auto"/>
        <w:left w:val="none" w:sz="0" w:space="0" w:color="auto"/>
        <w:bottom w:val="none" w:sz="0" w:space="0" w:color="auto"/>
        <w:right w:val="none" w:sz="0" w:space="0" w:color="auto"/>
      </w:divBdr>
    </w:div>
    <w:div w:id="301083350">
      <w:bodyDiv w:val="1"/>
      <w:marLeft w:val="0"/>
      <w:marRight w:val="0"/>
      <w:marTop w:val="0"/>
      <w:marBottom w:val="0"/>
      <w:divBdr>
        <w:top w:val="none" w:sz="0" w:space="0" w:color="auto"/>
        <w:left w:val="none" w:sz="0" w:space="0" w:color="auto"/>
        <w:bottom w:val="none" w:sz="0" w:space="0" w:color="auto"/>
        <w:right w:val="none" w:sz="0" w:space="0" w:color="auto"/>
      </w:divBdr>
    </w:div>
    <w:div w:id="315576473">
      <w:bodyDiv w:val="1"/>
      <w:marLeft w:val="0"/>
      <w:marRight w:val="0"/>
      <w:marTop w:val="0"/>
      <w:marBottom w:val="0"/>
      <w:divBdr>
        <w:top w:val="none" w:sz="0" w:space="0" w:color="auto"/>
        <w:left w:val="none" w:sz="0" w:space="0" w:color="auto"/>
        <w:bottom w:val="none" w:sz="0" w:space="0" w:color="auto"/>
        <w:right w:val="none" w:sz="0" w:space="0" w:color="auto"/>
      </w:divBdr>
    </w:div>
    <w:div w:id="354692527">
      <w:bodyDiv w:val="1"/>
      <w:marLeft w:val="0"/>
      <w:marRight w:val="0"/>
      <w:marTop w:val="0"/>
      <w:marBottom w:val="0"/>
      <w:divBdr>
        <w:top w:val="none" w:sz="0" w:space="0" w:color="auto"/>
        <w:left w:val="none" w:sz="0" w:space="0" w:color="auto"/>
        <w:bottom w:val="none" w:sz="0" w:space="0" w:color="auto"/>
        <w:right w:val="none" w:sz="0" w:space="0" w:color="auto"/>
      </w:divBdr>
      <w:divsChild>
        <w:div w:id="673341067">
          <w:marLeft w:val="446"/>
          <w:marRight w:val="0"/>
          <w:marTop w:val="0"/>
          <w:marBottom w:val="0"/>
          <w:divBdr>
            <w:top w:val="none" w:sz="0" w:space="0" w:color="auto"/>
            <w:left w:val="none" w:sz="0" w:space="0" w:color="auto"/>
            <w:bottom w:val="none" w:sz="0" w:space="0" w:color="auto"/>
            <w:right w:val="none" w:sz="0" w:space="0" w:color="auto"/>
          </w:divBdr>
        </w:div>
      </w:divsChild>
    </w:div>
    <w:div w:id="360129799">
      <w:bodyDiv w:val="1"/>
      <w:marLeft w:val="0"/>
      <w:marRight w:val="0"/>
      <w:marTop w:val="0"/>
      <w:marBottom w:val="0"/>
      <w:divBdr>
        <w:top w:val="none" w:sz="0" w:space="0" w:color="auto"/>
        <w:left w:val="none" w:sz="0" w:space="0" w:color="auto"/>
        <w:bottom w:val="none" w:sz="0" w:space="0" w:color="auto"/>
        <w:right w:val="none" w:sz="0" w:space="0" w:color="auto"/>
      </w:divBdr>
    </w:div>
    <w:div w:id="378357407">
      <w:bodyDiv w:val="1"/>
      <w:marLeft w:val="0"/>
      <w:marRight w:val="0"/>
      <w:marTop w:val="0"/>
      <w:marBottom w:val="0"/>
      <w:divBdr>
        <w:top w:val="none" w:sz="0" w:space="0" w:color="auto"/>
        <w:left w:val="none" w:sz="0" w:space="0" w:color="auto"/>
        <w:bottom w:val="none" w:sz="0" w:space="0" w:color="auto"/>
        <w:right w:val="none" w:sz="0" w:space="0" w:color="auto"/>
      </w:divBdr>
    </w:div>
    <w:div w:id="422069008">
      <w:bodyDiv w:val="1"/>
      <w:marLeft w:val="0"/>
      <w:marRight w:val="0"/>
      <w:marTop w:val="0"/>
      <w:marBottom w:val="0"/>
      <w:divBdr>
        <w:top w:val="none" w:sz="0" w:space="0" w:color="auto"/>
        <w:left w:val="none" w:sz="0" w:space="0" w:color="auto"/>
        <w:bottom w:val="none" w:sz="0" w:space="0" w:color="auto"/>
        <w:right w:val="none" w:sz="0" w:space="0" w:color="auto"/>
      </w:divBdr>
    </w:div>
    <w:div w:id="444425875">
      <w:bodyDiv w:val="1"/>
      <w:marLeft w:val="0"/>
      <w:marRight w:val="0"/>
      <w:marTop w:val="0"/>
      <w:marBottom w:val="0"/>
      <w:divBdr>
        <w:top w:val="none" w:sz="0" w:space="0" w:color="auto"/>
        <w:left w:val="none" w:sz="0" w:space="0" w:color="auto"/>
        <w:bottom w:val="none" w:sz="0" w:space="0" w:color="auto"/>
        <w:right w:val="none" w:sz="0" w:space="0" w:color="auto"/>
      </w:divBdr>
    </w:div>
    <w:div w:id="596136377">
      <w:bodyDiv w:val="1"/>
      <w:marLeft w:val="0"/>
      <w:marRight w:val="0"/>
      <w:marTop w:val="0"/>
      <w:marBottom w:val="0"/>
      <w:divBdr>
        <w:top w:val="none" w:sz="0" w:space="0" w:color="auto"/>
        <w:left w:val="none" w:sz="0" w:space="0" w:color="auto"/>
        <w:bottom w:val="none" w:sz="0" w:space="0" w:color="auto"/>
        <w:right w:val="none" w:sz="0" w:space="0" w:color="auto"/>
      </w:divBdr>
    </w:div>
    <w:div w:id="714161292">
      <w:bodyDiv w:val="1"/>
      <w:marLeft w:val="0"/>
      <w:marRight w:val="0"/>
      <w:marTop w:val="0"/>
      <w:marBottom w:val="0"/>
      <w:divBdr>
        <w:top w:val="none" w:sz="0" w:space="0" w:color="auto"/>
        <w:left w:val="none" w:sz="0" w:space="0" w:color="auto"/>
        <w:bottom w:val="none" w:sz="0" w:space="0" w:color="auto"/>
        <w:right w:val="none" w:sz="0" w:space="0" w:color="auto"/>
      </w:divBdr>
    </w:div>
    <w:div w:id="799609387">
      <w:bodyDiv w:val="1"/>
      <w:marLeft w:val="0"/>
      <w:marRight w:val="0"/>
      <w:marTop w:val="0"/>
      <w:marBottom w:val="0"/>
      <w:divBdr>
        <w:top w:val="none" w:sz="0" w:space="0" w:color="auto"/>
        <w:left w:val="none" w:sz="0" w:space="0" w:color="auto"/>
        <w:bottom w:val="none" w:sz="0" w:space="0" w:color="auto"/>
        <w:right w:val="none" w:sz="0" w:space="0" w:color="auto"/>
      </w:divBdr>
    </w:div>
    <w:div w:id="934552998">
      <w:bodyDiv w:val="1"/>
      <w:marLeft w:val="0"/>
      <w:marRight w:val="0"/>
      <w:marTop w:val="0"/>
      <w:marBottom w:val="0"/>
      <w:divBdr>
        <w:top w:val="none" w:sz="0" w:space="0" w:color="auto"/>
        <w:left w:val="none" w:sz="0" w:space="0" w:color="auto"/>
        <w:bottom w:val="none" w:sz="0" w:space="0" w:color="auto"/>
        <w:right w:val="none" w:sz="0" w:space="0" w:color="auto"/>
      </w:divBdr>
    </w:div>
    <w:div w:id="1020663009">
      <w:bodyDiv w:val="1"/>
      <w:marLeft w:val="0"/>
      <w:marRight w:val="0"/>
      <w:marTop w:val="0"/>
      <w:marBottom w:val="0"/>
      <w:divBdr>
        <w:top w:val="none" w:sz="0" w:space="0" w:color="auto"/>
        <w:left w:val="none" w:sz="0" w:space="0" w:color="auto"/>
        <w:bottom w:val="none" w:sz="0" w:space="0" w:color="auto"/>
        <w:right w:val="none" w:sz="0" w:space="0" w:color="auto"/>
      </w:divBdr>
    </w:div>
    <w:div w:id="1061320398">
      <w:bodyDiv w:val="1"/>
      <w:marLeft w:val="0"/>
      <w:marRight w:val="0"/>
      <w:marTop w:val="0"/>
      <w:marBottom w:val="0"/>
      <w:divBdr>
        <w:top w:val="none" w:sz="0" w:space="0" w:color="auto"/>
        <w:left w:val="none" w:sz="0" w:space="0" w:color="auto"/>
        <w:bottom w:val="none" w:sz="0" w:space="0" w:color="auto"/>
        <w:right w:val="none" w:sz="0" w:space="0" w:color="auto"/>
      </w:divBdr>
    </w:div>
    <w:div w:id="1075009826">
      <w:bodyDiv w:val="1"/>
      <w:marLeft w:val="0"/>
      <w:marRight w:val="0"/>
      <w:marTop w:val="0"/>
      <w:marBottom w:val="0"/>
      <w:divBdr>
        <w:top w:val="none" w:sz="0" w:space="0" w:color="auto"/>
        <w:left w:val="none" w:sz="0" w:space="0" w:color="auto"/>
        <w:bottom w:val="none" w:sz="0" w:space="0" w:color="auto"/>
        <w:right w:val="none" w:sz="0" w:space="0" w:color="auto"/>
      </w:divBdr>
    </w:div>
    <w:div w:id="1186287280">
      <w:bodyDiv w:val="1"/>
      <w:marLeft w:val="0"/>
      <w:marRight w:val="0"/>
      <w:marTop w:val="0"/>
      <w:marBottom w:val="0"/>
      <w:divBdr>
        <w:top w:val="none" w:sz="0" w:space="0" w:color="auto"/>
        <w:left w:val="none" w:sz="0" w:space="0" w:color="auto"/>
        <w:bottom w:val="none" w:sz="0" w:space="0" w:color="auto"/>
        <w:right w:val="none" w:sz="0" w:space="0" w:color="auto"/>
      </w:divBdr>
    </w:div>
    <w:div w:id="1203246050">
      <w:bodyDiv w:val="1"/>
      <w:marLeft w:val="0"/>
      <w:marRight w:val="0"/>
      <w:marTop w:val="0"/>
      <w:marBottom w:val="0"/>
      <w:divBdr>
        <w:top w:val="none" w:sz="0" w:space="0" w:color="auto"/>
        <w:left w:val="none" w:sz="0" w:space="0" w:color="auto"/>
        <w:bottom w:val="none" w:sz="0" w:space="0" w:color="auto"/>
        <w:right w:val="none" w:sz="0" w:space="0" w:color="auto"/>
      </w:divBdr>
    </w:div>
    <w:div w:id="1330254188">
      <w:bodyDiv w:val="1"/>
      <w:marLeft w:val="0"/>
      <w:marRight w:val="0"/>
      <w:marTop w:val="0"/>
      <w:marBottom w:val="0"/>
      <w:divBdr>
        <w:top w:val="none" w:sz="0" w:space="0" w:color="auto"/>
        <w:left w:val="none" w:sz="0" w:space="0" w:color="auto"/>
        <w:bottom w:val="none" w:sz="0" w:space="0" w:color="auto"/>
        <w:right w:val="none" w:sz="0" w:space="0" w:color="auto"/>
      </w:divBdr>
    </w:div>
    <w:div w:id="1351682451">
      <w:bodyDiv w:val="1"/>
      <w:marLeft w:val="0"/>
      <w:marRight w:val="0"/>
      <w:marTop w:val="0"/>
      <w:marBottom w:val="0"/>
      <w:divBdr>
        <w:top w:val="none" w:sz="0" w:space="0" w:color="auto"/>
        <w:left w:val="none" w:sz="0" w:space="0" w:color="auto"/>
        <w:bottom w:val="none" w:sz="0" w:space="0" w:color="auto"/>
        <w:right w:val="none" w:sz="0" w:space="0" w:color="auto"/>
      </w:divBdr>
    </w:div>
    <w:div w:id="1445886109">
      <w:bodyDiv w:val="1"/>
      <w:marLeft w:val="0"/>
      <w:marRight w:val="0"/>
      <w:marTop w:val="0"/>
      <w:marBottom w:val="0"/>
      <w:divBdr>
        <w:top w:val="none" w:sz="0" w:space="0" w:color="auto"/>
        <w:left w:val="none" w:sz="0" w:space="0" w:color="auto"/>
        <w:bottom w:val="none" w:sz="0" w:space="0" w:color="auto"/>
        <w:right w:val="none" w:sz="0" w:space="0" w:color="auto"/>
      </w:divBdr>
    </w:div>
    <w:div w:id="1876960814">
      <w:bodyDiv w:val="1"/>
      <w:marLeft w:val="0"/>
      <w:marRight w:val="0"/>
      <w:marTop w:val="0"/>
      <w:marBottom w:val="0"/>
      <w:divBdr>
        <w:top w:val="none" w:sz="0" w:space="0" w:color="auto"/>
        <w:left w:val="none" w:sz="0" w:space="0" w:color="auto"/>
        <w:bottom w:val="none" w:sz="0" w:space="0" w:color="auto"/>
        <w:right w:val="none" w:sz="0" w:space="0" w:color="auto"/>
      </w:divBdr>
      <w:divsChild>
        <w:div w:id="124472742">
          <w:marLeft w:val="446"/>
          <w:marRight w:val="0"/>
          <w:marTop w:val="0"/>
          <w:marBottom w:val="0"/>
          <w:divBdr>
            <w:top w:val="none" w:sz="0" w:space="0" w:color="auto"/>
            <w:left w:val="none" w:sz="0" w:space="0" w:color="auto"/>
            <w:bottom w:val="none" w:sz="0" w:space="0" w:color="auto"/>
            <w:right w:val="none" w:sz="0" w:space="0" w:color="auto"/>
          </w:divBdr>
        </w:div>
      </w:divsChild>
    </w:div>
    <w:div w:id="1910845596">
      <w:bodyDiv w:val="1"/>
      <w:marLeft w:val="0"/>
      <w:marRight w:val="0"/>
      <w:marTop w:val="0"/>
      <w:marBottom w:val="0"/>
      <w:divBdr>
        <w:top w:val="none" w:sz="0" w:space="0" w:color="auto"/>
        <w:left w:val="none" w:sz="0" w:space="0" w:color="auto"/>
        <w:bottom w:val="none" w:sz="0" w:space="0" w:color="auto"/>
        <w:right w:val="none" w:sz="0" w:space="0" w:color="auto"/>
      </w:divBdr>
    </w:div>
    <w:div w:id="1955553228">
      <w:bodyDiv w:val="1"/>
      <w:marLeft w:val="0"/>
      <w:marRight w:val="0"/>
      <w:marTop w:val="0"/>
      <w:marBottom w:val="0"/>
      <w:divBdr>
        <w:top w:val="none" w:sz="0" w:space="0" w:color="auto"/>
        <w:left w:val="none" w:sz="0" w:space="0" w:color="auto"/>
        <w:bottom w:val="none" w:sz="0" w:space="0" w:color="auto"/>
        <w:right w:val="none" w:sz="0" w:space="0" w:color="auto"/>
      </w:divBdr>
    </w:div>
    <w:div w:id="2008895677">
      <w:bodyDiv w:val="1"/>
      <w:marLeft w:val="0"/>
      <w:marRight w:val="0"/>
      <w:marTop w:val="0"/>
      <w:marBottom w:val="0"/>
      <w:divBdr>
        <w:top w:val="none" w:sz="0" w:space="0" w:color="auto"/>
        <w:left w:val="none" w:sz="0" w:space="0" w:color="auto"/>
        <w:bottom w:val="none" w:sz="0" w:space="0" w:color="auto"/>
        <w:right w:val="none" w:sz="0" w:space="0" w:color="auto"/>
      </w:divBdr>
    </w:div>
    <w:div w:id="2030905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1403F-0B64-4ECA-AB29-B61A5EB12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17030</Words>
  <Characters>92738</Characters>
  <Application>Microsoft Office Word</Application>
  <DocSecurity>0</DocSecurity>
  <Lines>772</Lines>
  <Paragraphs>219</Paragraphs>
  <ScaleCrop>false</ScaleCrop>
  <Company/>
  <LinksUpToDate>false</LinksUpToDate>
  <CharactersWithSpaces>109549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2022-07-08T00:48:00Z</dcterms:created>
  <dcterms:modified xsi:type="dcterms:W3CDTF">2022-07-08T00:48:00Z</dcterms:modified>
</cp:coreProperties>
</file>