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6701A" w14:textId="3AFF735D" w:rsidR="00B60939" w:rsidRPr="0002798F" w:rsidRDefault="009E7799" w:rsidP="006E0DDE">
      <w:pPr>
        <w:pStyle w:val="1-MainHeading"/>
        <w:spacing w:after="120"/>
      </w:pPr>
      <w:bookmarkStart w:id="0" w:name="_Toc93316673"/>
      <w:r w:rsidRPr="0002798F">
        <w:t>5.04</w:t>
      </w:r>
      <w:r w:rsidR="00163F66" w:rsidRPr="0002798F">
        <w:tab/>
      </w:r>
      <w:r w:rsidR="00BE68AF" w:rsidRPr="0002798F">
        <w:t>CICLOSPORIN</w:t>
      </w:r>
      <w:r w:rsidR="00163F66" w:rsidRPr="0002798F">
        <w:t>,</w:t>
      </w:r>
      <w:r w:rsidR="00163F66" w:rsidRPr="0002798F">
        <w:br/>
      </w:r>
      <w:r w:rsidR="00792B2B">
        <w:t>E</w:t>
      </w:r>
      <w:r w:rsidR="00BE68AF" w:rsidRPr="0002798F">
        <w:t>ye drops</w:t>
      </w:r>
      <w:r w:rsidR="00792B2B">
        <w:t xml:space="preserve"> </w:t>
      </w:r>
      <w:bookmarkStart w:id="1" w:name="_Hlk90552643"/>
      <w:r w:rsidR="00792B2B">
        <w:t>900 micrograms per mL single dose units 0.25 mL</w:t>
      </w:r>
      <w:bookmarkEnd w:id="1"/>
      <w:r w:rsidR="00163F66" w:rsidRPr="0002798F">
        <w:t>,</w:t>
      </w:r>
      <w:r w:rsidR="00163F66" w:rsidRPr="0002798F">
        <w:br/>
      </w:r>
      <w:proofErr w:type="spellStart"/>
      <w:r w:rsidR="00BE68AF" w:rsidRPr="0002798F">
        <w:t>Cequa</w:t>
      </w:r>
      <w:proofErr w:type="spellEnd"/>
      <w:r w:rsidR="00B60939" w:rsidRPr="0002798F">
        <w:rPr>
          <w:vertAlign w:val="superscript"/>
        </w:rPr>
        <w:t>®</w:t>
      </w:r>
      <w:r w:rsidR="004A6040" w:rsidRPr="0002798F">
        <w:t>,</w:t>
      </w:r>
      <w:r w:rsidR="004A6040" w:rsidRPr="0002798F">
        <w:br/>
      </w:r>
      <w:r w:rsidR="00433044" w:rsidRPr="0002798F">
        <w:t>S</w:t>
      </w:r>
      <w:r w:rsidR="00BE68AF" w:rsidRPr="0002798F">
        <w:t>un Pharma ANZ Pty Ltd</w:t>
      </w:r>
      <w:r w:rsidR="00B60939" w:rsidRPr="0002798F">
        <w:t>.</w:t>
      </w:r>
      <w:bookmarkEnd w:id="0"/>
    </w:p>
    <w:p w14:paraId="4F0C069C" w14:textId="1D5EE94B" w:rsidR="007B61A1" w:rsidRDefault="00B50DB8" w:rsidP="006E0DDE">
      <w:pPr>
        <w:pStyle w:val="2-SectionHeading"/>
        <w:spacing w:before="120"/>
      </w:pPr>
      <w:bookmarkStart w:id="2" w:name="_Toc93316675"/>
      <w:r w:rsidRPr="0002798F">
        <w:t xml:space="preserve">Purpose of </w:t>
      </w:r>
      <w:r w:rsidR="00CD7193" w:rsidRPr="0002798F">
        <w:t>s</w:t>
      </w:r>
      <w:r w:rsidR="00BB3A45" w:rsidRPr="0002798F">
        <w:t>ubmission</w:t>
      </w:r>
      <w:bookmarkEnd w:id="2"/>
    </w:p>
    <w:p w14:paraId="71E15263" w14:textId="0085470D" w:rsidR="007335BB" w:rsidRDefault="007170DA" w:rsidP="004E18E9">
      <w:pPr>
        <w:pStyle w:val="3-BodyText"/>
      </w:pPr>
      <w:r w:rsidRPr="0002798F">
        <w:t xml:space="preserve">The </w:t>
      </w:r>
      <w:r w:rsidR="00BB1B64">
        <w:t xml:space="preserve">Category 2 </w:t>
      </w:r>
      <w:r w:rsidRPr="0002798F">
        <w:t>submission requested</w:t>
      </w:r>
      <w:r w:rsidR="00BE68AF" w:rsidRPr="0002798F">
        <w:t xml:space="preserve"> </w:t>
      </w:r>
      <w:r w:rsidR="008B1757" w:rsidRPr="0002798F">
        <w:t xml:space="preserve">Section </w:t>
      </w:r>
      <w:r w:rsidR="00BE68AF" w:rsidRPr="0002798F">
        <w:t>85</w:t>
      </w:r>
      <w:r w:rsidR="008B1757" w:rsidRPr="0002798F">
        <w:t xml:space="preserve"> listing </w:t>
      </w:r>
      <w:r w:rsidR="006D571D">
        <w:t>of</w:t>
      </w:r>
      <w:r w:rsidR="006D571D" w:rsidRPr="0002798F">
        <w:t xml:space="preserve"> </w:t>
      </w:r>
      <w:r w:rsidR="00BE68AF" w:rsidRPr="0002798F">
        <w:t>cicl</w:t>
      </w:r>
      <w:r w:rsidR="008C064C" w:rsidRPr="0002798F">
        <w:t xml:space="preserve">osporin 0.09% eye drops </w:t>
      </w:r>
      <w:r w:rsidR="00755ED5" w:rsidRPr="0002798F">
        <w:t xml:space="preserve">formulated as an aqueous </w:t>
      </w:r>
      <w:proofErr w:type="spellStart"/>
      <w:r w:rsidR="00755ED5" w:rsidRPr="0002798F">
        <w:t>nanomicellar</w:t>
      </w:r>
      <w:proofErr w:type="spellEnd"/>
      <w:r w:rsidR="00755ED5" w:rsidRPr="0002798F">
        <w:t xml:space="preserve"> solution </w:t>
      </w:r>
      <w:r w:rsidR="000D588A" w:rsidRPr="0002798F">
        <w:t>(</w:t>
      </w:r>
      <w:r w:rsidR="00F4338D">
        <w:t xml:space="preserve">0.09% </w:t>
      </w:r>
      <w:r w:rsidR="000D588A" w:rsidRPr="0002798F">
        <w:t xml:space="preserve">OTX-101) </w:t>
      </w:r>
      <w:r w:rsidR="008B1757" w:rsidRPr="0002798F">
        <w:t xml:space="preserve">for </w:t>
      </w:r>
      <w:r w:rsidR="0050174E" w:rsidRPr="0002798F">
        <w:t xml:space="preserve">the </w:t>
      </w:r>
      <w:r w:rsidR="008B1757" w:rsidRPr="0002798F">
        <w:t xml:space="preserve">treatment of </w:t>
      </w:r>
      <w:r w:rsidR="008C064C" w:rsidRPr="0002798F">
        <w:t>chronic severe dry eye disease (DED) with keratitis.</w:t>
      </w:r>
    </w:p>
    <w:p w14:paraId="73384DB9" w14:textId="60EF22E5" w:rsidR="007335BB" w:rsidRDefault="005750C5" w:rsidP="009D571A">
      <w:pPr>
        <w:pStyle w:val="3-BodyText"/>
      </w:pPr>
      <w:r w:rsidRPr="0002798F">
        <w:t xml:space="preserve">Listing was requested </w:t>
      </w:r>
      <w:r w:rsidR="0002798F" w:rsidRPr="0002798F">
        <w:t>based on</w:t>
      </w:r>
      <w:r w:rsidRPr="0002798F">
        <w:t xml:space="preserve"> a cost-minimisation analysis versus </w:t>
      </w:r>
      <w:r w:rsidR="00D03BE8" w:rsidRPr="0002798F">
        <w:t xml:space="preserve">ciclosporin 0.1% formulated as a cationic emulsion (0.1% </w:t>
      </w:r>
      <w:proofErr w:type="spellStart"/>
      <w:r w:rsidR="00D03BE8" w:rsidRPr="0002798F">
        <w:t>CsA</w:t>
      </w:r>
      <w:proofErr w:type="spellEnd"/>
      <w:r w:rsidR="00D03BE8" w:rsidRPr="0002798F">
        <w:t xml:space="preserve"> CE; </w:t>
      </w:r>
      <w:proofErr w:type="spellStart"/>
      <w:r w:rsidR="00D03BE8" w:rsidRPr="0002798F">
        <w:t>Ikervis</w:t>
      </w:r>
      <w:proofErr w:type="spellEnd"/>
      <w:r w:rsidR="009D571A" w:rsidRPr="0002798F">
        <w:t>)</w:t>
      </w:r>
      <w:r w:rsidRPr="0002798F">
        <w:t>.</w:t>
      </w:r>
    </w:p>
    <w:p w14:paraId="618BE905" w14:textId="3539AD17" w:rsidR="00782B99" w:rsidRDefault="00782B99" w:rsidP="00AF38E3">
      <w:pPr>
        <w:pStyle w:val="TableFigureHeading"/>
      </w:pPr>
      <w:r>
        <w:t xml:space="preserve">Table </w:t>
      </w:r>
      <w:fldSimple w:instr=" SEQ Table \* ARABIC ">
        <w:r w:rsidR="001811EC">
          <w:rPr>
            <w:noProof/>
          </w:rPr>
          <w:t>1</w:t>
        </w:r>
      </w:fldSimple>
      <w:r w:rsidRPr="00B30ED0">
        <w:t>: Key components of the clinical issue addressed by the submission (as stated in the submission)</w:t>
      </w:r>
    </w:p>
    <w:tbl>
      <w:tblPr>
        <w:tblStyle w:val="TableGrid"/>
        <w:tblW w:w="5000" w:type="pct"/>
        <w:tblLook w:val="04A0" w:firstRow="1" w:lastRow="0" w:firstColumn="1" w:lastColumn="0" w:noHBand="0" w:noVBand="1"/>
        <w:tblCaption w:val="Table 1: Key components of the clinical issue addressed by the submission (as stated in the submission)"/>
        <w:tblDescription w:val="Table 1: Key components of the clinical issue addressed by the submission (as stated in the submission)"/>
      </w:tblPr>
      <w:tblGrid>
        <w:gridCol w:w="1888"/>
        <w:gridCol w:w="7129"/>
      </w:tblGrid>
      <w:tr w:rsidR="009D571A" w:rsidRPr="0002798F" w14:paraId="25B784A4" w14:textId="77777777" w:rsidTr="00782B99">
        <w:trPr>
          <w:trHeight w:val="244"/>
          <w:tblHeader/>
        </w:trPr>
        <w:tc>
          <w:tcPr>
            <w:tcW w:w="1888" w:type="dxa"/>
            <w:shd w:val="clear" w:color="auto" w:fill="auto"/>
            <w:vAlign w:val="center"/>
          </w:tcPr>
          <w:p w14:paraId="1498A6A0" w14:textId="77777777" w:rsidR="009D571A" w:rsidRPr="0002798F" w:rsidRDefault="009D571A" w:rsidP="009D571A">
            <w:pPr>
              <w:pStyle w:val="In-tableHeading"/>
              <w:rPr>
                <w:snapToGrid w:val="0"/>
                <w:lang w:val="en-AU"/>
              </w:rPr>
            </w:pPr>
            <w:r w:rsidRPr="0002798F">
              <w:rPr>
                <w:snapToGrid w:val="0"/>
                <w:lang w:val="en-AU"/>
              </w:rPr>
              <w:t>Component</w:t>
            </w:r>
          </w:p>
        </w:tc>
        <w:tc>
          <w:tcPr>
            <w:tcW w:w="7129" w:type="dxa"/>
            <w:shd w:val="clear" w:color="auto" w:fill="auto"/>
            <w:vAlign w:val="center"/>
          </w:tcPr>
          <w:p w14:paraId="3F3D1766" w14:textId="77777777" w:rsidR="009D571A" w:rsidRPr="0002798F" w:rsidRDefault="009D571A" w:rsidP="009D571A">
            <w:pPr>
              <w:pStyle w:val="In-tableHeading"/>
              <w:rPr>
                <w:snapToGrid w:val="0"/>
                <w:lang w:val="en-AU"/>
              </w:rPr>
            </w:pPr>
            <w:r w:rsidRPr="0002798F">
              <w:rPr>
                <w:snapToGrid w:val="0"/>
                <w:lang w:val="en-AU"/>
              </w:rPr>
              <w:t>Description</w:t>
            </w:r>
          </w:p>
        </w:tc>
      </w:tr>
      <w:tr w:rsidR="009D571A" w:rsidRPr="0002798F" w14:paraId="15B0CB53" w14:textId="77777777" w:rsidTr="00782B99">
        <w:trPr>
          <w:trHeight w:val="244"/>
        </w:trPr>
        <w:tc>
          <w:tcPr>
            <w:tcW w:w="1888" w:type="dxa"/>
          </w:tcPr>
          <w:p w14:paraId="0C68403A" w14:textId="77777777" w:rsidR="009D571A" w:rsidRPr="0002798F" w:rsidRDefault="009D571A" w:rsidP="009D571A">
            <w:pPr>
              <w:pStyle w:val="TableText0"/>
              <w:rPr>
                <w:snapToGrid w:val="0"/>
              </w:rPr>
            </w:pPr>
            <w:r w:rsidRPr="0002798F">
              <w:rPr>
                <w:snapToGrid w:val="0"/>
              </w:rPr>
              <w:t>Population</w:t>
            </w:r>
          </w:p>
        </w:tc>
        <w:tc>
          <w:tcPr>
            <w:tcW w:w="7129" w:type="dxa"/>
          </w:tcPr>
          <w:p w14:paraId="1674B0D6" w14:textId="6409CE95" w:rsidR="009D571A" w:rsidRPr="0002798F" w:rsidRDefault="009D571A" w:rsidP="009D571A">
            <w:pPr>
              <w:pStyle w:val="TableText0"/>
              <w:rPr>
                <w:snapToGrid w:val="0"/>
              </w:rPr>
            </w:pPr>
            <w:r w:rsidRPr="0002798F">
              <w:rPr>
                <w:snapToGrid w:val="0"/>
              </w:rPr>
              <w:t>Patients with chronic severe DED with keratitis equivalent to a CFS grade 4 on the modified Oxford scale and an OSDI ≥ 23 at baseline</w:t>
            </w:r>
            <w:r w:rsidR="00A477F9">
              <w:rPr>
                <w:snapToGrid w:val="0"/>
              </w:rPr>
              <w:t xml:space="preserve"> </w:t>
            </w:r>
            <w:r w:rsidR="007B7A72" w:rsidRPr="0002798F">
              <w:rPr>
                <w:snapToGrid w:val="0"/>
              </w:rPr>
              <w:t>(treatment initiation)</w:t>
            </w:r>
            <w:r w:rsidRPr="0002798F">
              <w:rPr>
                <w:snapToGrid w:val="0"/>
              </w:rPr>
              <w:t>, inadequately controlled by monotherapy with preservative free artificial tears.</w:t>
            </w:r>
          </w:p>
        </w:tc>
      </w:tr>
      <w:tr w:rsidR="009D571A" w:rsidRPr="0002798F" w14:paraId="1A4CF183" w14:textId="77777777" w:rsidTr="00782B99">
        <w:trPr>
          <w:trHeight w:val="244"/>
        </w:trPr>
        <w:tc>
          <w:tcPr>
            <w:tcW w:w="1888" w:type="dxa"/>
          </w:tcPr>
          <w:p w14:paraId="3A74F0DD" w14:textId="77777777" w:rsidR="009D571A" w:rsidRPr="0002798F" w:rsidRDefault="009D571A" w:rsidP="009D571A">
            <w:pPr>
              <w:pStyle w:val="TableText0"/>
              <w:rPr>
                <w:snapToGrid w:val="0"/>
              </w:rPr>
            </w:pPr>
            <w:r w:rsidRPr="0002798F">
              <w:rPr>
                <w:snapToGrid w:val="0"/>
              </w:rPr>
              <w:t>Intervention</w:t>
            </w:r>
          </w:p>
        </w:tc>
        <w:tc>
          <w:tcPr>
            <w:tcW w:w="7129" w:type="dxa"/>
          </w:tcPr>
          <w:p w14:paraId="33493397" w14:textId="77777777" w:rsidR="009D571A" w:rsidRPr="0002798F" w:rsidRDefault="009D571A" w:rsidP="009D571A">
            <w:pPr>
              <w:pStyle w:val="TableText0"/>
              <w:rPr>
                <w:snapToGrid w:val="0"/>
              </w:rPr>
            </w:pPr>
            <w:r w:rsidRPr="0002798F">
              <w:rPr>
                <w:snapToGrid w:val="0"/>
              </w:rPr>
              <w:t>0.09% OTX-101 bid</w:t>
            </w:r>
          </w:p>
        </w:tc>
      </w:tr>
      <w:tr w:rsidR="009D571A" w:rsidRPr="0002798F" w14:paraId="7853A847" w14:textId="77777777" w:rsidTr="00782B99">
        <w:trPr>
          <w:trHeight w:val="244"/>
        </w:trPr>
        <w:tc>
          <w:tcPr>
            <w:tcW w:w="1888" w:type="dxa"/>
          </w:tcPr>
          <w:p w14:paraId="14D9F746" w14:textId="77777777" w:rsidR="009D571A" w:rsidRPr="0002798F" w:rsidRDefault="009D571A" w:rsidP="009D571A">
            <w:pPr>
              <w:pStyle w:val="TableText0"/>
              <w:rPr>
                <w:snapToGrid w:val="0"/>
              </w:rPr>
            </w:pPr>
            <w:r w:rsidRPr="0002798F">
              <w:rPr>
                <w:snapToGrid w:val="0"/>
              </w:rPr>
              <w:t>Comparator</w:t>
            </w:r>
          </w:p>
        </w:tc>
        <w:tc>
          <w:tcPr>
            <w:tcW w:w="7129" w:type="dxa"/>
          </w:tcPr>
          <w:p w14:paraId="08EFF341" w14:textId="77777777" w:rsidR="009D571A" w:rsidRPr="0002798F" w:rsidRDefault="009D571A" w:rsidP="009D571A">
            <w:pPr>
              <w:pStyle w:val="TableText0"/>
              <w:rPr>
                <w:snapToGrid w:val="0"/>
              </w:rPr>
            </w:pPr>
            <w:r w:rsidRPr="0002798F">
              <w:rPr>
                <w:snapToGrid w:val="0"/>
              </w:rPr>
              <w:t xml:space="preserve">0.1% </w:t>
            </w:r>
            <w:proofErr w:type="spellStart"/>
            <w:r w:rsidRPr="0002798F">
              <w:rPr>
                <w:snapToGrid w:val="0"/>
              </w:rPr>
              <w:t>CsA</w:t>
            </w:r>
            <w:proofErr w:type="spellEnd"/>
            <w:r w:rsidRPr="0002798F">
              <w:rPr>
                <w:snapToGrid w:val="0"/>
              </w:rPr>
              <w:t xml:space="preserve"> CE </w:t>
            </w:r>
            <w:proofErr w:type="spellStart"/>
            <w:r w:rsidRPr="0002798F">
              <w:rPr>
                <w:snapToGrid w:val="0"/>
              </w:rPr>
              <w:t>qd</w:t>
            </w:r>
            <w:proofErr w:type="spellEnd"/>
          </w:p>
        </w:tc>
      </w:tr>
      <w:tr w:rsidR="009D571A" w:rsidRPr="0002798F" w14:paraId="2EB39123" w14:textId="77777777" w:rsidTr="00782B99">
        <w:trPr>
          <w:trHeight w:val="244"/>
        </w:trPr>
        <w:tc>
          <w:tcPr>
            <w:tcW w:w="1888" w:type="dxa"/>
          </w:tcPr>
          <w:p w14:paraId="3C6B9751" w14:textId="77777777" w:rsidR="009D571A" w:rsidRPr="0002798F" w:rsidRDefault="009D571A" w:rsidP="009D571A">
            <w:pPr>
              <w:pStyle w:val="TableText0"/>
              <w:rPr>
                <w:snapToGrid w:val="0"/>
              </w:rPr>
            </w:pPr>
            <w:r w:rsidRPr="0002798F">
              <w:rPr>
                <w:snapToGrid w:val="0"/>
              </w:rPr>
              <w:t>Outcomes</w:t>
            </w:r>
          </w:p>
        </w:tc>
        <w:tc>
          <w:tcPr>
            <w:tcW w:w="7129" w:type="dxa"/>
          </w:tcPr>
          <w:p w14:paraId="0698CB15" w14:textId="77777777" w:rsidR="009D571A" w:rsidRPr="0002798F" w:rsidRDefault="009D571A" w:rsidP="009D571A">
            <w:pPr>
              <w:pStyle w:val="TableText0"/>
              <w:rPr>
                <w:snapToGrid w:val="0"/>
              </w:rPr>
            </w:pPr>
            <w:r w:rsidRPr="0002798F">
              <w:rPr>
                <w:snapToGrid w:val="0"/>
              </w:rPr>
              <w:t>Change equivalent to an improvement in CFS of at least 3 from baseline (treatment initiation), using the modified Oxford scale, and an improvement in OSDI by at least 30% compared with baseline (treatment initiation).</w:t>
            </w:r>
          </w:p>
        </w:tc>
      </w:tr>
      <w:tr w:rsidR="009D571A" w:rsidRPr="0002798F" w14:paraId="7E0C2944" w14:textId="77777777" w:rsidTr="00782B99">
        <w:trPr>
          <w:trHeight w:val="244"/>
        </w:trPr>
        <w:tc>
          <w:tcPr>
            <w:tcW w:w="1888" w:type="dxa"/>
          </w:tcPr>
          <w:p w14:paraId="39D3C182" w14:textId="77777777" w:rsidR="009D571A" w:rsidRPr="0002798F" w:rsidRDefault="009D571A" w:rsidP="009D571A">
            <w:pPr>
              <w:pStyle w:val="TableText0"/>
              <w:rPr>
                <w:snapToGrid w:val="0"/>
              </w:rPr>
            </w:pPr>
            <w:r w:rsidRPr="0002798F">
              <w:rPr>
                <w:snapToGrid w:val="0"/>
              </w:rPr>
              <w:t>Clinical claim</w:t>
            </w:r>
          </w:p>
        </w:tc>
        <w:tc>
          <w:tcPr>
            <w:tcW w:w="7129" w:type="dxa"/>
          </w:tcPr>
          <w:p w14:paraId="0BB3713F" w14:textId="77777777" w:rsidR="009D571A" w:rsidRPr="0002798F" w:rsidRDefault="009D571A" w:rsidP="009D571A">
            <w:pPr>
              <w:pStyle w:val="TableText0"/>
              <w:rPr>
                <w:snapToGrid w:val="0"/>
              </w:rPr>
            </w:pPr>
            <w:r w:rsidRPr="0002798F">
              <w:rPr>
                <w:snapToGrid w:val="0"/>
              </w:rPr>
              <w:t xml:space="preserve">0.09% OTX-101 bid is non-inferior to 0.1% </w:t>
            </w:r>
            <w:proofErr w:type="spellStart"/>
            <w:r w:rsidRPr="0002798F">
              <w:rPr>
                <w:snapToGrid w:val="0"/>
              </w:rPr>
              <w:t>CsA</w:t>
            </w:r>
            <w:proofErr w:type="spellEnd"/>
            <w:r w:rsidRPr="0002798F">
              <w:rPr>
                <w:snapToGrid w:val="0"/>
              </w:rPr>
              <w:t xml:space="preserve"> CE </w:t>
            </w:r>
            <w:proofErr w:type="spellStart"/>
            <w:r w:rsidRPr="0002798F">
              <w:rPr>
                <w:snapToGrid w:val="0"/>
              </w:rPr>
              <w:t>qd</w:t>
            </w:r>
            <w:proofErr w:type="spellEnd"/>
            <w:r w:rsidRPr="0002798F">
              <w:rPr>
                <w:snapToGrid w:val="0"/>
              </w:rPr>
              <w:t xml:space="preserve"> with respect to efficacy and safety.</w:t>
            </w:r>
          </w:p>
        </w:tc>
      </w:tr>
    </w:tbl>
    <w:p w14:paraId="0821412F" w14:textId="10B776B3" w:rsidR="009D571A" w:rsidRPr="0002798F" w:rsidRDefault="009D571A" w:rsidP="009D571A">
      <w:pPr>
        <w:pStyle w:val="TableFigureFooter"/>
        <w:rPr>
          <w:rStyle w:val="CommentReference"/>
          <w:b w:val="0"/>
          <w:sz w:val="18"/>
          <w:szCs w:val="22"/>
        </w:rPr>
      </w:pPr>
      <w:r w:rsidRPr="0002798F">
        <w:t xml:space="preserve">Source: Table 1, p8 of the submission. Abbreviations: bid = twice daily; CFS = corneal fluorescein staining; </w:t>
      </w:r>
      <w:proofErr w:type="spellStart"/>
      <w:r w:rsidRPr="0002798F">
        <w:t>CsA</w:t>
      </w:r>
      <w:proofErr w:type="spellEnd"/>
      <w:r w:rsidRPr="0002798F">
        <w:t xml:space="preserve"> CE = ciclosporin (</w:t>
      </w:r>
      <w:proofErr w:type="spellStart"/>
      <w:r w:rsidRPr="0002798F">
        <w:t>Ikervis</w:t>
      </w:r>
      <w:proofErr w:type="spellEnd"/>
      <w:r w:rsidRPr="0002798F">
        <w:t>); DED = dry eye disease; OSDI = ocular surface disease index; OTX-101 = ciclosporin (</w:t>
      </w:r>
      <w:proofErr w:type="spellStart"/>
      <w:r w:rsidRPr="0002798F">
        <w:t>Cequa</w:t>
      </w:r>
      <w:proofErr w:type="spellEnd"/>
      <w:r w:rsidRPr="0002798F">
        <w:t xml:space="preserve">); </w:t>
      </w:r>
      <w:proofErr w:type="spellStart"/>
      <w:r w:rsidRPr="0002798F">
        <w:t>qd</w:t>
      </w:r>
      <w:proofErr w:type="spellEnd"/>
      <w:r w:rsidRPr="0002798F">
        <w:t xml:space="preserve"> = once daily</w:t>
      </w:r>
    </w:p>
    <w:p w14:paraId="6B4AB6C2" w14:textId="7F01D731" w:rsidR="005C25FF" w:rsidRPr="0002798F" w:rsidRDefault="005C25FF" w:rsidP="00627E98">
      <w:pPr>
        <w:pStyle w:val="2-SectionHeading"/>
      </w:pPr>
      <w:bookmarkStart w:id="3" w:name="_Toc93316676"/>
      <w:r w:rsidRPr="0002798F">
        <w:t>Background</w:t>
      </w:r>
      <w:bookmarkEnd w:id="3"/>
    </w:p>
    <w:p w14:paraId="2C521D6D" w14:textId="78CF03EE" w:rsidR="005C25FF" w:rsidRPr="0002798F" w:rsidRDefault="005C25FF" w:rsidP="004A6040">
      <w:pPr>
        <w:pStyle w:val="4-SubsectionHeading"/>
      </w:pPr>
      <w:bookmarkStart w:id="4" w:name="_Toc22897638"/>
      <w:bookmarkStart w:id="5" w:name="_Toc93316677"/>
      <w:r w:rsidRPr="0002798F">
        <w:t>Registration status</w:t>
      </w:r>
      <w:bookmarkEnd w:id="4"/>
      <w:bookmarkEnd w:id="5"/>
    </w:p>
    <w:p w14:paraId="1443C55D" w14:textId="4C62EA1D" w:rsidR="00174C47" w:rsidRPr="007B61A1" w:rsidRDefault="00AB0A5C" w:rsidP="00174C47">
      <w:pPr>
        <w:pStyle w:val="3-BodyText"/>
      </w:pPr>
      <w:bookmarkStart w:id="6" w:name="_Hlk89944438"/>
      <w:bookmarkStart w:id="7" w:name="_Hlk92897726"/>
      <w:r w:rsidRPr="007B61A1">
        <w:t>0.09% OTX-101</w:t>
      </w:r>
      <w:bookmarkEnd w:id="6"/>
      <w:r w:rsidR="00476407" w:rsidRPr="007B61A1">
        <w:t xml:space="preserve"> </w:t>
      </w:r>
      <w:bookmarkEnd w:id="7"/>
      <w:r w:rsidR="00E16122">
        <w:t xml:space="preserve">was </w:t>
      </w:r>
      <w:r w:rsidR="00A14792">
        <w:t>Therapeutic Goods Administration (</w:t>
      </w:r>
      <w:r w:rsidR="00E16122">
        <w:t>TGA</w:t>
      </w:r>
      <w:r w:rsidR="00A14792">
        <w:t>)</w:t>
      </w:r>
      <w:r w:rsidR="00E16122">
        <w:t xml:space="preserve"> approved </w:t>
      </w:r>
      <w:r w:rsidR="005C25FF" w:rsidRPr="007B61A1">
        <w:t xml:space="preserve">on </w:t>
      </w:r>
      <w:r w:rsidR="0082183E" w:rsidRPr="007B61A1">
        <w:t>31 January 2020</w:t>
      </w:r>
      <w:r w:rsidR="00BA389F">
        <w:t>. The</w:t>
      </w:r>
      <w:r w:rsidR="00C52742">
        <w:t xml:space="preserve"> </w:t>
      </w:r>
      <w:r w:rsidR="00BA389F">
        <w:t>registered indication</w:t>
      </w:r>
      <w:r w:rsidR="0082183E" w:rsidRPr="007B61A1">
        <w:t xml:space="preserve"> for </w:t>
      </w:r>
      <w:r w:rsidR="00BA389F" w:rsidRPr="007B61A1">
        <w:t>0.09% OTX-101</w:t>
      </w:r>
      <w:r w:rsidR="006D4EC4">
        <w:t>,</w:t>
      </w:r>
      <w:r w:rsidR="00BA389F" w:rsidRPr="007B61A1">
        <w:t xml:space="preserve"> </w:t>
      </w:r>
      <w:r w:rsidR="00414427" w:rsidRPr="007B61A1">
        <w:t>“</w:t>
      </w:r>
      <w:r w:rsidR="0082183E" w:rsidRPr="007B61A1">
        <w:t>to increase tear production in patients with moderate to severe keratoconjunctivitis sicca (dry eye) where prior use of artificial tears has not been sufficient</w:t>
      </w:r>
      <w:r w:rsidR="00414427" w:rsidRPr="007B61A1">
        <w:t>”</w:t>
      </w:r>
      <w:r w:rsidR="006D4EC4">
        <w:t>,</w:t>
      </w:r>
      <w:r w:rsidR="001A69EC" w:rsidRPr="007B61A1">
        <w:t xml:space="preserve"> is</w:t>
      </w:r>
      <w:r w:rsidR="00D2243B">
        <w:t xml:space="preserve"> similar</w:t>
      </w:r>
      <w:r w:rsidR="006D4EC4">
        <w:t xml:space="preserve"> to</w:t>
      </w:r>
      <w:r w:rsidR="00D2243B">
        <w:t xml:space="preserve"> but</w:t>
      </w:r>
      <w:r w:rsidR="001A69EC" w:rsidRPr="007B61A1">
        <w:t xml:space="preserve"> not </w:t>
      </w:r>
      <w:r w:rsidR="00D2243B">
        <w:t xml:space="preserve">the same as the registered indication for the </w:t>
      </w:r>
      <w:r w:rsidR="00414427" w:rsidRPr="007B61A1">
        <w:t>comparator</w:t>
      </w:r>
      <w:r w:rsidR="00D2243B">
        <w:t>, which</w:t>
      </w:r>
      <w:r w:rsidR="00414427" w:rsidRPr="007B61A1">
        <w:t xml:space="preserve"> is “Treatment of severe keratitis in adult patients with dry eye disease which has not improved despite treatment with tear substitutes</w:t>
      </w:r>
      <w:r w:rsidR="00D2243B">
        <w:t>”</w:t>
      </w:r>
      <w:r w:rsidR="00C52742">
        <w:t>.</w:t>
      </w:r>
      <w:r w:rsidR="00F02DED">
        <w:t xml:space="preserve"> The difference in registered indication is due to differences in the design of the trials</w:t>
      </w:r>
      <w:r w:rsidR="00ED4A85">
        <w:t xml:space="preserve"> that were</w:t>
      </w:r>
      <w:r w:rsidR="00F02DED">
        <w:t xml:space="preserve"> performed to support </w:t>
      </w:r>
      <w:r w:rsidR="00ED4A85">
        <w:t xml:space="preserve">the </w:t>
      </w:r>
      <w:r w:rsidR="000557F5">
        <w:t xml:space="preserve">TGA </w:t>
      </w:r>
      <w:r w:rsidR="00F02DED">
        <w:t xml:space="preserve">registration and </w:t>
      </w:r>
      <w:r w:rsidR="000557F5">
        <w:t>used as evidence for</w:t>
      </w:r>
      <w:r w:rsidR="00F02DED">
        <w:t xml:space="preserve"> the submission</w:t>
      </w:r>
      <w:r w:rsidR="000A7DC9">
        <w:t>.</w:t>
      </w:r>
    </w:p>
    <w:p w14:paraId="40EF28F6" w14:textId="65038368" w:rsidR="008D6F94" w:rsidRPr="00AF6EA0" w:rsidRDefault="005C25FF" w:rsidP="008D6F94">
      <w:pPr>
        <w:pStyle w:val="4-SubsectionHeading"/>
        <w:rPr>
          <w:rFonts w:ascii="Arial Narrow" w:hAnsi="Arial Narrow"/>
          <w:snapToGrid w:val="0"/>
          <w:sz w:val="20"/>
        </w:rPr>
      </w:pPr>
      <w:bookmarkStart w:id="8" w:name="_Toc22897639"/>
      <w:bookmarkStart w:id="9" w:name="_Toc93316678"/>
      <w:r w:rsidRPr="0002798F">
        <w:t>Previous PBAC consideration</w:t>
      </w:r>
      <w:bookmarkEnd w:id="8"/>
      <w:bookmarkEnd w:id="9"/>
    </w:p>
    <w:p w14:paraId="018F232D" w14:textId="2F4FD908" w:rsidR="005B03D4" w:rsidRDefault="00AB0A5C" w:rsidP="00E762A2">
      <w:pPr>
        <w:pStyle w:val="3-BodyText"/>
        <w:jc w:val="left"/>
      </w:pPr>
      <w:r w:rsidRPr="00174C47">
        <w:t xml:space="preserve">The </w:t>
      </w:r>
      <w:r w:rsidR="0082183E" w:rsidRPr="00174C47">
        <w:t>PBAC recommended</w:t>
      </w:r>
      <w:r w:rsidRPr="00174C47">
        <w:t xml:space="preserve"> the listing of</w:t>
      </w:r>
      <w:r w:rsidR="0082183E" w:rsidRPr="00174C47">
        <w:t xml:space="preserve"> </w:t>
      </w:r>
      <w:r w:rsidR="00D47841" w:rsidRPr="0002798F">
        <w:t xml:space="preserve">0.1% </w:t>
      </w:r>
      <w:proofErr w:type="spellStart"/>
      <w:r w:rsidR="00D47841" w:rsidRPr="0002798F">
        <w:t>CsA</w:t>
      </w:r>
      <w:proofErr w:type="spellEnd"/>
      <w:r w:rsidR="00D47841" w:rsidRPr="0002798F">
        <w:t xml:space="preserve"> CE</w:t>
      </w:r>
      <w:r w:rsidR="009E57D9" w:rsidRPr="00174C47">
        <w:t xml:space="preserve"> </w:t>
      </w:r>
      <w:r w:rsidRPr="00174C47">
        <w:t>for</w:t>
      </w:r>
      <w:r w:rsidR="009E57D9" w:rsidRPr="00174C47">
        <w:t xml:space="preserve"> </w:t>
      </w:r>
      <w:r w:rsidR="006C6A5A" w:rsidRPr="005E07BB">
        <w:t>chronic severe DED with keratitis</w:t>
      </w:r>
      <w:r w:rsidR="009E57D9" w:rsidRPr="005E07BB">
        <w:t xml:space="preserve"> </w:t>
      </w:r>
      <w:r w:rsidRPr="005E07BB">
        <w:t>i</w:t>
      </w:r>
      <w:r w:rsidR="009E57D9" w:rsidRPr="005E07BB">
        <w:t xml:space="preserve">n </w:t>
      </w:r>
      <w:r w:rsidR="008332CA" w:rsidRPr="005E07BB">
        <w:t>March 2021</w:t>
      </w:r>
      <w:r w:rsidRPr="005E07BB">
        <w:t>. The PBAC</w:t>
      </w:r>
      <w:r w:rsidR="009E57D9" w:rsidRPr="005E07BB">
        <w:t xml:space="preserve"> has not considered </w:t>
      </w:r>
      <w:r w:rsidRPr="0002798F">
        <w:t>0.09% OTX-101</w:t>
      </w:r>
      <w:r w:rsidR="009E57D9" w:rsidRPr="00174C47">
        <w:t xml:space="preserve"> previously.</w:t>
      </w:r>
    </w:p>
    <w:p w14:paraId="2545E352" w14:textId="1A47CAAE" w:rsidR="00457ED5" w:rsidRPr="000557F5" w:rsidRDefault="00E55ED6" w:rsidP="000557F5">
      <w:pPr>
        <w:pStyle w:val="3-BodyText"/>
        <w:numPr>
          <w:ilvl w:val="0"/>
          <w:numId w:val="0"/>
        </w:numPr>
        <w:ind w:left="720"/>
        <w:rPr>
          <w:i/>
          <w:iCs/>
        </w:rPr>
      </w:pPr>
      <w:r w:rsidRPr="000557F5">
        <w:rPr>
          <w:i/>
          <w:iCs/>
        </w:rPr>
        <w:lastRenderedPageBreak/>
        <w:t>For more detail on PBAC’s view, see section 7 PBAC outcome.</w:t>
      </w:r>
    </w:p>
    <w:p w14:paraId="56763224" w14:textId="54E70362" w:rsidR="00617E12" w:rsidRPr="0086547A" w:rsidRDefault="00B50DB8" w:rsidP="005B03D4">
      <w:pPr>
        <w:pStyle w:val="2-SectionHeading"/>
      </w:pPr>
      <w:bookmarkStart w:id="10" w:name="_Toc92104468"/>
      <w:bookmarkStart w:id="11" w:name="_Toc93316679"/>
      <w:bookmarkEnd w:id="10"/>
      <w:r w:rsidRPr="0086547A">
        <w:t>Requested listing</w:t>
      </w:r>
      <w:bookmarkEnd w:id="11"/>
    </w:p>
    <w:p w14:paraId="3D79B904" w14:textId="7EE1BF2C" w:rsidR="00E762A2" w:rsidRPr="000557F5" w:rsidRDefault="00185122" w:rsidP="00166971">
      <w:pPr>
        <w:pStyle w:val="3-BodyText"/>
      </w:pPr>
      <w:r w:rsidRPr="0086547A">
        <w:t xml:space="preserve">The </w:t>
      </w:r>
      <w:r w:rsidR="007D04A3">
        <w:t xml:space="preserve">submission </w:t>
      </w:r>
      <w:r w:rsidRPr="0086547A">
        <w:t>proposed</w:t>
      </w:r>
      <w:r w:rsidR="00B96C04">
        <w:t xml:space="preserve"> the same</w:t>
      </w:r>
      <w:r w:rsidRPr="0086547A">
        <w:t xml:space="preserve"> restriction as that for 0.1% </w:t>
      </w:r>
      <w:proofErr w:type="spellStart"/>
      <w:r w:rsidRPr="0086547A">
        <w:t>CsA</w:t>
      </w:r>
      <w:proofErr w:type="spellEnd"/>
      <w:r w:rsidRPr="0086547A">
        <w:t xml:space="preserve"> C</w:t>
      </w:r>
      <w:r w:rsidRPr="000557F5">
        <w:t>E.</w:t>
      </w:r>
    </w:p>
    <w:tbl>
      <w:tblPr>
        <w:tblW w:w="4977" w:type="pct"/>
        <w:tblInd w:w="28" w:type="dxa"/>
        <w:tblCellMar>
          <w:left w:w="28" w:type="dxa"/>
          <w:right w:w="28" w:type="dxa"/>
        </w:tblCellMar>
        <w:tblLook w:val="0000" w:firstRow="0" w:lastRow="0" w:firstColumn="0" w:lastColumn="0" w:noHBand="0" w:noVBand="0"/>
      </w:tblPr>
      <w:tblGrid>
        <w:gridCol w:w="1832"/>
        <w:gridCol w:w="1551"/>
        <w:gridCol w:w="1089"/>
        <w:gridCol w:w="846"/>
        <w:gridCol w:w="1518"/>
        <w:gridCol w:w="654"/>
        <w:gridCol w:w="1495"/>
      </w:tblGrid>
      <w:tr w:rsidR="003517F9" w:rsidRPr="0086547A" w14:paraId="3F3E5DD2" w14:textId="77777777" w:rsidTr="00C7151A">
        <w:trPr>
          <w:cantSplit/>
          <w:trHeight w:val="463"/>
        </w:trPr>
        <w:tc>
          <w:tcPr>
            <w:tcW w:w="1882" w:type="pct"/>
            <w:gridSpan w:val="2"/>
            <w:tcBorders>
              <w:top w:val="single" w:sz="4" w:space="0" w:color="auto"/>
              <w:bottom w:val="single" w:sz="4" w:space="0" w:color="auto"/>
            </w:tcBorders>
            <w:vAlign w:val="center"/>
          </w:tcPr>
          <w:p w14:paraId="0F6E847E" w14:textId="77777777" w:rsidR="00617E12" w:rsidRPr="0086547A" w:rsidRDefault="00617E12" w:rsidP="00617E12">
            <w:pPr>
              <w:keepNext/>
              <w:jc w:val="left"/>
              <w:rPr>
                <w:rFonts w:ascii="Arial Narrow" w:hAnsi="Arial Narrow"/>
                <w:b/>
                <w:sz w:val="20"/>
              </w:rPr>
            </w:pPr>
            <w:r w:rsidRPr="0086547A">
              <w:rPr>
                <w:rFonts w:ascii="Arial Narrow" w:hAnsi="Arial Narrow"/>
                <w:b/>
                <w:sz w:val="20"/>
              </w:rPr>
              <w:t>Name, Restriction,</w:t>
            </w:r>
          </w:p>
          <w:p w14:paraId="1DDDA174" w14:textId="77777777" w:rsidR="00617E12" w:rsidRPr="0086547A" w:rsidRDefault="00617E12" w:rsidP="00617E12">
            <w:pPr>
              <w:keepNext/>
              <w:jc w:val="left"/>
              <w:rPr>
                <w:rFonts w:ascii="Arial Narrow" w:hAnsi="Arial Narrow"/>
                <w:b/>
                <w:sz w:val="20"/>
              </w:rPr>
            </w:pPr>
            <w:r w:rsidRPr="0086547A">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14:paraId="5A87A426" w14:textId="77777777" w:rsidR="00617E12" w:rsidRPr="0086547A" w:rsidRDefault="00617E12" w:rsidP="00617E12">
            <w:pPr>
              <w:keepNext/>
              <w:jc w:val="center"/>
              <w:rPr>
                <w:rFonts w:ascii="Arial Narrow" w:hAnsi="Arial Narrow"/>
                <w:b/>
                <w:sz w:val="20"/>
              </w:rPr>
            </w:pPr>
            <w:r w:rsidRPr="0086547A">
              <w:rPr>
                <w:rFonts w:ascii="Arial Narrow" w:hAnsi="Arial Narrow"/>
                <w:b/>
                <w:sz w:val="20"/>
              </w:rPr>
              <w:t>Max.</w:t>
            </w:r>
          </w:p>
          <w:p w14:paraId="20B12ACF" w14:textId="5587D932" w:rsidR="00617E12" w:rsidRPr="0086547A" w:rsidRDefault="00617E12" w:rsidP="00617E12">
            <w:pPr>
              <w:keepNext/>
              <w:jc w:val="center"/>
              <w:rPr>
                <w:rFonts w:ascii="Arial Narrow" w:hAnsi="Arial Narrow"/>
                <w:b/>
                <w:sz w:val="20"/>
              </w:rPr>
            </w:pPr>
            <w:r w:rsidRPr="0086547A">
              <w:rPr>
                <w:rFonts w:ascii="Arial Narrow" w:hAnsi="Arial Narrow"/>
                <w:b/>
                <w:sz w:val="20"/>
              </w:rPr>
              <w:t>Qty</w:t>
            </w:r>
            <w:r w:rsidR="00591957" w:rsidRPr="0086547A">
              <w:rPr>
                <w:rFonts w:ascii="Arial Narrow" w:hAnsi="Arial Narrow"/>
                <w:b/>
                <w:sz w:val="20"/>
              </w:rPr>
              <w:t xml:space="preserve"> </w:t>
            </w:r>
            <w:r w:rsidR="0007000B" w:rsidRPr="0086547A">
              <w:rPr>
                <w:rFonts w:ascii="Arial Narrow" w:hAnsi="Arial Narrow"/>
                <w:b/>
                <w:sz w:val="20"/>
              </w:rPr>
              <w:t>(packs)</w:t>
            </w:r>
          </w:p>
        </w:tc>
        <w:tc>
          <w:tcPr>
            <w:tcW w:w="471" w:type="pct"/>
            <w:tcBorders>
              <w:top w:val="single" w:sz="4" w:space="0" w:color="auto"/>
              <w:bottom w:val="single" w:sz="4" w:space="0" w:color="auto"/>
            </w:tcBorders>
            <w:vAlign w:val="center"/>
          </w:tcPr>
          <w:p w14:paraId="47C41B58" w14:textId="77777777" w:rsidR="00617E12" w:rsidRPr="0086547A" w:rsidRDefault="00617E12" w:rsidP="00617E12">
            <w:pPr>
              <w:keepNext/>
              <w:jc w:val="center"/>
              <w:rPr>
                <w:rFonts w:ascii="Arial Narrow" w:hAnsi="Arial Narrow"/>
                <w:b/>
                <w:sz w:val="20"/>
              </w:rPr>
            </w:pPr>
            <w:proofErr w:type="gramStart"/>
            <w:r w:rsidRPr="0086547A">
              <w:rPr>
                <w:rFonts w:ascii="Arial Narrow" w:hAnsi="Arial Narrow" w:cs="Times New Roman"/>
                <w:b/>
                <w:sz w:val="20"/>
              </w:rPr>
              <w:t>№</w:t>
            </w:r>
            <w:r w:rsidRPr="0086547A">
              <w:rPr>
                <w:rFonts w:ascii="Arial Narrow" w:hAnsi="Arial Narrow"/>
                <w:b/>
                <w:sz w:val="20"/>
              </w:rPr>
              <w:t>.of</w:t>
            </w:r>
            <w:proofErr w:type="gramEnd"/>
          </w:p>
          <w:p w14:paraId="4959D822" w14:textId="77777777" w:rsidR="00617E12" w:rsidRPr="0086547A" w:rsidRDefault="00617E12" w:rsidP="00617E12">
            <w:pPr>
              <w:keepNext/>
              <w:jc w:val="center"/>
              <w:rPr>
                <w:rFonts w:ascii="Arial Narrow" w:hAnsi="Arial Narrow"/>
                <w:b/>
                <w:sz w:val="20"/>
              </w:rPr>
            </w:pPr>
            <w:proofErr w:type="spellStart"/>
            <w:r w:rsidRPr="0086547A">
              <w:rPr>
                <w:rFonts w:ascii="Arial Narrow" w:hAnsi="Arial Narrow"/>
                <w:b/>
                <w:sz w:val="20"/>
              </w:rPr>
              <w:t>Rpts</w:t>
            </w:r>
            <w:proofErr w:type="spellEnd"/>
          </w:p>
        </w:tc>
        <w:tc>
          <w:tcPr>
            <w:tcW w:w="845" w:type="pct"/>
            <w:tcBorders>
              <w:top w:val="single" w:sz="4" w:space="0" w:color="auto"/>
              <w:bottom w:val="single" w:sz="4" w:space="0" w:color="auto"/>
            </w:tcBorders>
            <w:vAlign w:val="center"/>
          </w:tcPr>
          <w:p w14:paraId="16C5700A" w14:textId="2AAAC418" w:rsidR="00617E12" w:rsidRPr="0086547A" w:rsidRDefault="00617E12" w:rsidP="00617E12">
            <w:pPr>
              <w:keepNext/>
              <w:jc w:val="center"/>
              <w:rPr>
                <w:rFonts w:ascii="Arial Narrow" w:hAnsi="Arial Narrow"/>
                <w:b/>
                <w:sz w:val="20"/>
              </w:rPr>
            </w:pPr>
            <w:r w:rsidRPr="0086547A">
              <w:rPr>
                <w:rFonts w:ascii="Arial Narrow" w:hAnsi="Arial Narrow"/>
                <w:b/>
                <w:sz w:val="20"/>
              </w:rPr>
              <w:t>Dispensed Price for Max. Qty</w:t>
            </w:r>
            <w:r w:rsidR="00591957" w:rsidRPr="0086547A">
              <w:rPr>
                <w:rFonts w:ascii="Arial Narrow" w:hAnsi="Arial Narrow"/>
                <w:b/>
                <w:sz w:val="20"/>
              </w:rPr>
              <w:t xml:space="preserve"> </w:t>
            </w:r>
          </w:p>
        </w:tc>
        <w:tc>
          <w:tcPr>
            <w:tcW w:w="1196" w:type="pct"/>
            <w:gridSpan w:val="2"/>
            <w:tcBorders>
              <w:top w:val="single" w:sz="4" w:space="0" w:color="auto"/>
              <w:bottom w:val="single" w:sz="4" w:space="0" w:color="auto"/>
            </w:tcBorders>
            <w:vAlign w:val="center"/>
          </w:tcPr>
          <w:p w14:paraId="2F67E163" w14:textId="77777777" w:rsidR="00617E12" w:rsidRPr="0086547A" w:rsidRDefault="00617E12" w:rsidP="00617E12">
            <w:pPr>
              <w:keepNext/>
              <w:jc w:val="center"/>
              <w:rPr>
                <w:rFonts w:ascii="Arial Narrow" w:hAnsi="Arial Narrow"/>
                <w:b/>
                <w:sz w:val="20"/>
              </w:rPr>
            </w:pPr>
            <w:r w:rsidRPr="0086547A">
              <w:rPr>
                <w:rFonts w:ascii="Arial Narrow" w:hAnsi="Arial Narrow"/>
                <w:b/>
                <w:sz w:val="20"/>
              </w:rPr>
              <w:t>Proprietary Name and Manufacturer</w:t>
            </w:r>
          </w:p>
        </w:tc>
      </w:tr>
      <w:tr w:rsidR="003517F9" w:rsidRPr="0086547A" w14:paraId="7FCBB5F3" w14:textId="77777777" w:rsidTr="003517F9">
        <w:trPr>
          <w:cantSplit/>
          <w:trHeight w:val="567"/>
        </w:trPr>
        <w:tc>
          <w:tcPr>
            <w:tcW w:w="1882" w:type="pct"/>
            <w:gridSpan w:val="2"/>
            <w:vAlign w:val="center"/>
          </w:tcPr>
          <w:p w14:paraId="56A2065F" w14:textId="22502285" w:rsidR="00617E12" w:rsidRPr="0086547A" w:rsidRDefault="0007000B" w:rsidP="00617E12">
            <w:pPr>
              <w:keepNext/>
              <w:jc w:val="left"/>
              <w:rPr>
                <w:rFonts w:ascii="Arial Narrow" w:hAnsi="Arial Narrow"/>
                <w:sz w:val="20"/>
              </w:rPr>
            </w:pPr>
            <w:r w:rsidRPr="0086547A">
              <w:rPr>
                <w:rFonts w:ascii="Arial Narrow" w:hAnsi="Arial Narrow"/>
                <w:smallCaps/>
                <w:sz w:val="20"/>
              </w:rPr>
              <w:t>Ciclosporin</w:t>
            </w:r>
          </w:p>
          <w:p w14:paraId="20DB567C" w14:textId="71ED28A7" w:rsidR="00617E12" w:rsidRPr="0086547A" w:rsidRDefault="00D47841" w:rsidP="00617E12">
            <w:pPr>
              <w:keepNext/>
              <w:jc w:val="left"/>
              <w:rPr>
                <w:rFonts w:ascii="Arial Narrow" w:hAnsi="Arial Narrow"/>
                <w:sz w:val="20"/>
              </w:rPr>
            </w:pPr>
            <w:r w:rsidRPr="0086547A">
              <w:rPr>
                <w:rFonts w:ascii="Arial Narrow" w:hAnsi="Arial Narrow"/>
                <w:sz w:val="20"/>
              </w:rPr>
              <w:t xml:space="preserve">ciclosporin </w:t>
            </w:r>
            <w:r w:rsidR="0007000B" w:rsidRPr="0086547A">
              <w:rPr>
                <w:rFonts w:ascii="Arial Narrow" w:hAnsi="Arial Narrow"/>
                <w:sz w:val="20"/>
              </w:rPr>
              <w:t xml:space="preserve">0.09% </w:t>
            </w:r>
            <w:r w:rsidRPr="0086547A">
              <w:rPr>
                <w:rFonts w:ascii="Arial Narrow" w:hAnsi="Arial Narrow"/>
                <w:sz w:val="20"/>
              </w:rPr>
              <w:t xml:space="preserve">eye drops </w:t>
            </w:r>
            <w:r w:rsidR="0007000B" w:rsidRPr="0086547A">
              <w:rPr>
                <w:rFonts w:ascii="Arial Narrow" w:hAnsi="Arial Narrow"/>
                <w:sz w:val="20"/>
              </w:rPr>
              <w:t>60</w:t>
            </w:r>
            <w:r w:rsidRPr="0086547A">
              <w:rPr>
                <w:rFonts w:ascii="Arial Narrow" w:hAnsi="Arial Narrow"/>
                <w:sz w:val="20"/>
              </w:rPr>
              <w:t xml:space="preserve"> </w:t>
            </w:r>
            <w:r w:rsidR="0007000B" w:rsidRPr="0086547A">
              <w:rPr>
                <w:rFonts w:ascii="Arial Narrow" w:hAnsi="Arial Narrow"/>
                <w:sz w:val="20"/>
              </w:rPr>
              <w:t>x 0.25mL unit doses</w:t>
            </w:r>
          </w:p>
        </w:tc>
        <w:tc>
          <w:tcPr>
            <w:tcW w:w="606" w:type="pct"/>
            <w:vAlign w:val="center"/>
          </w:tcPr>
          <w:p w14:paraId="0329C315" w14:textId="7C026569" w:rsidR="00617E12" w:rsidRPr="0086547A" w:rsidRDefault="0007000B" w:rsidP="00617E12">
            <w:pPr>
              <w:keepNext/>
              <w:jc w:val="center"/>
              <w:rPr>
                <w:rFonts w:ascii="Arial Narrow" w:hAnsi="Arial Narrow"/>
                <w:sz w:val="20"/>
              </w:rPr>
            </w:pPr>
            <w:r w:rsidRPr="0086547A">
              <w:rPr>
                <w:rFonts w:ascii="Arial Narrow" w:hAnsi="Arial Narrow"/>
                <w:sz w:val="20"/>
              </w:rPr>
              <w:t>1</w:t>
            </w:r>
          </w:p>
        </w:tc>
        <w:tc>
          <w:tcPr>
            <w:tcW w:w="471" w:type="pct"/>
            <w:vAlign w:val="center"/>
          </w:tcPr>
          <w:p w14:paraId="1822E97A" w14:textId="60339B42" w:rsidR="00617E12" w:rsidRPr="0086547A" w:rsidRDefault="0007000B" w:rsidP="00617E12">
            <w:pPr>
              <w:keepNext/>
              <w:jc w:val="center"/>
              <w:rPr>
                <w:rFonts w:ascii="Arial Narrow" w:hAnsi="Arial Narrow"/>
                <w:sz w:val="20"/>
              </w:rPr>
            </w:pPr>
            <w:r w:rsidRPr="0086547A">
              <w:rPr>
                <w:rFonts w:ascii="Arial Narrow" w:hAnsi="Arial Narrow"/>
                <w:sz w:val="20"/>
              </w:rPr>
              <w:t>5</w:t>
            </w:r>
          </w:p>
        </w:tc>
        <w:tc>
          <w:tcPr>
            <w:tcW w:w="845" w:type="pct"/>
            <w:vAlign w:val="center"/>
          </w:tcPr>
          <w:p w14:paraId="2097F2B6" w14:textId="172C864F" w:rsidR="00617E12" w:rsidRPr="0086547A" w:rsidRDefault="00617E12" w:rsidP="00617E12">
            <w:pPr>
              <w:keepNext/>
              <w:jc w:val="center"/>
              <w:rPr>
                <w:rFonts w:ascii="Arial Narrow" w:hAnsi="Arial Narrow"/>
                <w:sz w:val="20"/>
              </w:rPr>
            </w:pPr>
            <w:r w:rsidRPr="0086547A">
              <w:rPr>
                <w:rFonts w:ascii="Arial Narrow" w:hAnsi="Arial Narrow"/>
                <w:sz w:val="20"/>
              </w:rPr>
              <w:t>$</w:t>
            </w:r>
            <w:r w:rsidR="00D47841" w:rsidRPr="0086547A">
              <w:rPr>
                <w:rFonts w:ascii="Arial Narrow" w:hAnsi="Arial Narrow"/>
                <w:sz w:val="20"/>
              </w:rPr>
              <w:t>81.97</w:t>
            </w:r>
          </w:p>
        </w:tc>
        <w:tc>
          <w:tcPr>
            <w:tcW w:w="364" w:type="pct"/>
            <w:vAlign w:val="center"/>
          </w:tcPr>
          <w:p w14:paraId="0047029E" w14:textId="27F50059" w:rsidR="00617E12" w:rsidRPr="0086547A" w:rsidRDefault="0007000B" w:rsidP="00617E12">
            <w:pPr>
              <w:keepNext/>
              <w:jc w:val="center"/>
              <w:rPr>
                <w:rFonts w:ascii="Arial Narrow" w:hAnsi="Arial Narrow"/>
                <w:sz w:val="20"/>
              </w:rPr>
            </w:pPr>
            <w:proofErr w:type="spellStart"/>
            <w:r w:rsidRPr="0086547A">
              <w:rPr>
                <w:rFonts w:ascii="Arial Narrow" w:hAnsi="Arial Narrow"/>
                <w:sz w:val="20"/>
              </w:rPr>
              <w:t>Cequa</w:t>
            </w:r>
            <w:proofErr w:type="spellEnd"/>
          </w:p>
        </w:tc>
        <w:tc>
          <w:tcPr>
            <w:tcW w:w="832" w:type="pct"/>
            <w:vAlign w:val="center"/>
          </w:tcPr>
          <w:p w14:paraId="3F3C1A5A" w14:textId="30F47748" w:rsidR="00591957" w:rsidRPr="0086547A" w:rsidRDefault="00617E12" w:rsidP="00EC0DD9">
            <w:pPr>
              <w:keepNext/>
              <w:jc w:val="center"/>
              <w:rPr>
                <w:rFonts w:ascii="Arial Narrow" w:hAnsi="Arial Narrow"/>
                <w:sz w:val="20"/>
              </w:rPr>
            </w:pPr>
            <w:r w:rsidRPr="0086547A">
              <w:rPr>
                <w:rFonts w:ascii="Arial Narrow" w:hAnsi="Arial Narrow"/>
                <w:sz w:val="20"/>
              </w:rPr>
              <w:t>S</w:t>
            </w:r>
            <w:r w:rsidR="001942F1" w:rsidRPr="0086547A">
              <w:rPr>
                <w:rFonts w:ascii="Arial Narrow" w:hAnsi="Arial Narrow"/>
                <w:sz w:val="20"/>
              </w:rPr>
              <w:t>un Pharma ANZ Pty Ltd.</w:t>
            </w:r>
          </w:p>
        </w:tc>
      </w:tr>
      <w:tr w:rsidR="00542C2D" w:rsidRPr="0086547A" w14:paraId="714ABA0E" w14:textId="77777777" w:rsidTr="00514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14:paraId="37D692F1" w14:textId="1D344C53" w:rsidR="00542C2D" w:rsidRPr="0086547A" w:rsidRDefault="00591957" w:rsidP="00591957">
            <w:pPr>
              <w:pStyle w:val="Tabletext"/>
            </w:pPr>
            <w:r w:rsidRPr="0086547A">
              <w:t>Category/Program:</w:t>
            </w:r>
          </w:p>
        </w:tc>
        <w:tc>
          <w:tcPr>
            <w:tcW w:w="3981" w:type="pct"/>
            <w:gridSpan w:val="6"/>
            <w:tcBorders>
              <w:top w:val="single" w:sz="4" w:space="0" w:color="auto"/>
              <w:left w:val="single" w:sz="4" w:space="0" w:color="auto"/>
              <w:bottom w:val="single" w:sz="4" w:space="0" w:color="auto"/>
              <w:right w:val="single" w:sz="4" w:space="0" w:color="auto"/>
            </w:tcBorders>
          </w:tcPr>
          <w:p w14:paraId="3DD00B35" w14:textId="739953BE" w:rsidR="00542C2D" w:rsidRPr="0086547A" w:rsidRDefault="00591957" w:rsidP="00591957">
            <w:pPr>
              <w:pStyle w:val="Tabletext"/>
            </w:pPr>
            <w:r w:rsidRPr="0086547A">
              <w:t>General Schedule</w:t>
            </w:r>
          </w:p>
        </w:tc>
      </w:tr>
      <w:tr w:rsidR="00542C2D" w:rsidRPr="0086547A" w14:paraId="6A82E2AD" w14:textId="77777777" w:rsidTr="00514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14:paraId="5AD0A811" w14:textId="4DA0756A" w:rsidR="00542C2D" w:rsidRPr="0086547A" w:rsidRDefault="00591957" w:rsidP="00591957">
            <w:pPr>
              <w:pStyle w:val="Tabletext"/>
            </w:pPr>
            <w:r w:rsidRPr="0086547A">
              <w:t>PBS indication:</w:t>
            </w:r>
          </w:p>
        </w:tc>
        <w:tc>
          <w:tcPr>
            <w:tcW w:w="3981" w:type="pct"/>
            <w:gridSpan w:val="6"/>
            <w:tcBorders>
              <w:top w:val="single" w:sz="4" w:space="0" w:color="auto"/>
              <w:left w:val="single" w:sz="4" w:space="0" w:color="auto"/>
              <w:bottom w:val="single" w:sz="4" w:space="0" w:color="auto"/>
              <w:right w:val="single" w:sz="4" w:space="0" w:color="auto"/>
            </w:tcBorders>
          </w:tcPr>
          <w:p w14:paraId="11CC6D1E" w14:textId="26E1410B" w:rsidR="00542C2D" w:rsidRPr="0086547A" w:rsidRDefault="007452CA" w:rsidP="00591957">
            <w:pPr>
              <w:pStyle w:val="Tabletext"/>
            </w:pPr>
            <w:r w:rsidRPr="0086547A">
              <w:t>Chronic severe dry eye disease with keratitis</w:t>
            </w:r>
          </w:p>
        </w:tc>
      </w:tr>
      <w:tr w:rsidR="00542C2D" w:rsidRPr="0086547A" w14:paraId="3B73A389" w14:textId="77777777" w:rsidTr="00514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14:paraId="3A3EEB54" w14:textId="6CEC0FB5" w:rsidR="00542C2D" w:rsidRPr="0086547A" w:rsidRDefault="00591957" w:rsidP="00591957">
            <w:pPr>
              <w:pStyle w:val="Tabletext"/>
            </w:pPr>
            <w:r w:rsidRPr="0086547A">
              <w:t>Treatment phase:</w:t>
            </w:r>
          </w:p>
        </w:tc>
        <w:tc>
          <w:tcPr>
            <w:tcW w:w="3981" w:type="pct"/>
            <w:gridSpan w:val="6"/>
            <w:tcBorders>
              <w:top w:val="single" w:sz="4" w:space="0" w:color="auto"/>
              <w:left w:val="single" w:sz="4" w:space="0" w:color="auto"/>
              <w:bottom w:val="single" w:sz="4" w:space="0" w:color="auto"/>
              <w:right w:val="single" w:sz="4" w:space="0" w:color="auto"/>
            </w:tcBorders>
          </w:tcPr>
          <w:p w14:paraId="1AD6BF3F" w14:textId="304B3A3D" w:rsidR="00542C2D" w:rsidRPr="0086547A" w:rsidRDefault="007452CA" w:rsidP="00591957">
            <w:pPr>
              <w:pStyle w:val="Tabletext"/>
            </w:pPr>
            <w:r w:rsidRPr="0086547A">
              <w:t xml:space="preserve">Initial </w:t>
            </w:r>
          </w:p>
        </w:tc>
      </w:tr>
      <w:tr w:rsidR="00542C2D" w:rsidRPr="0086547A" w14:paraId="06EC54A9" w14:textId="77777777" w:rsidTr="00514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14:paraId="5E559BD4" w14:textId="37238FA9" w:rsidR="00542C2D" w:rsidRPr="0086547A" w:rsidRDefault="00542C2D" w:rsidP="00591957">
            <w:pPr>
              <w:pStyle w:val="Tabletext"/>
            </w:pPr>
            <w:r w:rsidRPr="0086547A">
              <w:t>Restriction</w:t>
            </w:r>
            <w:r w:rsidR="00591957" w:rsidRPr="0086547A">
              <w:t>:</w:t>
            </w:r>
          </w:p>
        </w:tc>
        <w:tc>
          <w:tcPr>
            <w:tcW w:w="3981" w:type="pct"/>
            <w:gridSpan w:val="6"/>
            <w:tcBorders>
              <w:top w:val="single" w:sz="4" w:space="0" w:color="auto"/>
              <w:left w:val="single" w:sz="4" w:space="0" w:color="auto"/>
              <w:bottom w:val="single" w:sz="4" w:space="0" w:color="auto"/>
              <w:right w:val="single" w:sz="4" w:space="0" w:color="auto"/>
            </w:tcBorders>
          </w:tcPr>
          <w:p w14:paraId="154804C9" w14:textId="39042C17" w:rsidR="00542C2D" w:rsidRPr="0086547A" w:rsidRDefault="000B5277" w:rsidP="00591957">
            <w:pPr>
              <w:pStyle w:val="Tabletext"/>
            </w:pPr>
            <w:r w:rsidRPr="0086547A">
              <w:t>Authority Required (telephone/online PBS Authorities system</w:t>
            </w:r>
            <w:r w:rsidR="006521C4" w:rsidRPr="0086547A">
              <w:t>)</w:t>
            </w:r>
          </w:p>
        </w:tc>
      </w:tr>
      <w:tr w:rsidR="00542C2D" w:rsidRPr="0086547A" w14:paraId="0DE20A68" w14:textId="77777777" w:rsidTr="00514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14:paraId="33788F5E" w14:textId="6A4B1870" w:rsidR="00542C2D" w:rsidRPr="0086547A" w:rsidRDefault="00542C2D" w:rsidP="00591957">
            <w:pPr>
              <w:pStyle w:val="Tabletext"/>
            </w:pPr>
            <w:r w:rsidRPr="0086547A">
              <w:t>Treatment criteria</w:t>
            </w:r>
            <w:r w:rsidR="00591957" w:rsidRPr="0086547A">
              <w:t>:</w:t>
            </w:r>
          </w:p>
        </w:tc>
        <w:tc>
          <w:tcPr>
            <w:tcW w:w="3981" w:type="pct"/>
            <w:gridSpan w:val="6"/>
            <w:tcBorders>
              <w:top w:val="single" w:sz="4" w:space="0" w:color="auto"/>
              <w:left w:val="single" w:sz="4" w:space="0" w:color="auto"/>
              <w:bottom w:val="single" w:sz="4" w:space="0" w:color="auto"/>
              <w:right w:val="single" w:sz="4" w:space="0" w:color="auto"/>
            </w:tcBorders>
          </w:tcPr>
          <w:p w14:paraId="05AA6555" w14:textId="77777777" w:rsidR="00542C2D" w:rsidRPr="0086547A" w:rsidRDefault="007452CA" w:rsidP="00591957">
            <w:pPr>
              <w:pStyle w:val="Tabletext"/>
            </w:pPr>
            <w:r w:rsidRPr="0086547A">
              <w:t>Patient must be undergoing simultaneous treatment with a preservative free artificial tears substitute</w:t>
            </w:r>
          </w:p>
          <w:p w14:paraId="6893D0AE" w14:textId="77777777" w:rsidR="007452CA" w:rsidRPr="0086547A" w:rsidRDefault="007452CA" w:rsidP="00591957">
            <w:pPr>
              <w:pStyle w:val="Tabletext"/>
            </w:pPr>
            <w:r w:rsidRPr="0086547A">
              <w:t>AND</w:t>
            </w:r>
          </w:p>
          <w:p w14:paraId="09B986F2" w14:textId="77777777" w:rsidR="007452CA" w:rsidRPr="0086547A" w:rsidRDefault="007452CA" w:rsidP="007452CA">
            <w:pPr>
              <w:pStyle w:val="PBACtext"/>
              <w:keepNext/>
              <w:rPr>
                <w:sz w:val="20"/>
                <w:szCs w:val="20"/>
              </w:rPr>
            </w:pPr>
            <w:r w:rsidRPr="0086547A">
              <w:rPr>
                <w:sz w:val="20"/>
                <w:szCs w:val="20"/>
              </w:rPr>
              <w:t xml:space="preserve">Must be treated by an ophthalmologist or by an accredited ophthalmology registrar in consultation with an </w:t>
            </w:r>
            <w:proofErr w:type="gramStart"/>
            <w:r w:rsidRPr="0086547A">
              <w:rPr>
                <w:sz w:val="20"/>
                <w:szCs w:val="20"/>
              </w:rPr>
              <w:t>ophthalmologist;</w:t>
            </w:r>
            <w:proofErr w:type="gramEnd"/>
            <w:r w:rsidRPr="0086547A">
              <w:rPr>
                <w:sz w:val="20"/>
                <w:szCs w:val="20"/>
              </w:rPr>
              <w:t xml:space="preserve"> OR</w:t>
            </w:r>
          </w:p>
          <w:p w14:paraId="3320D6ED" w14:textId="2D7A9C53" w:rsidR="007452CA" w:rsidRPr="0086547A" w:rsidRDefault="007452CA" w:rsidP="007452CA">
            <w:pPr>
              <w:pStyle w:val="Tabletext"/>
            </w:pPr>
            <w:r w:rsidRPr="0086547A">
              <w:rPr>
                <w:szCs w:val="20"/>
              </w:rPr>
              <w:t>Must be treated by an optometrist in accordance with Optometry Board of Australia guidelines</w:t>
            </w:r>
          </w:p>
        </w:tc>
      </w:tr>
      <w:tr w:rsidR="00542C2D" w:rsidRPr="0086547A" w14:paraId="0479F7D8" w14:textId="77777777" w:rsidTr="00514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14:paraId="33B5F61F" w14:textId="5DF57CEB" w:rsidR="00542C2D" w:rsidRPr="0086547A" w:rsidRDefault="00542C2D" w:rsidP="00591957">
            <w:pPr>
              <w:pStyle w:val="Tabletext"/>
            </w:pPr>
            <w:r w:rsidRPr="0086547A">
              <w:t>Clinical criteria</w:t>
            </w:r>
            <w:r w:rsidR="00591957" w:rsidRPr="0086547A">
              <w:t>:</w:t>
            </w:r>
          </w:p>
        </w:tc>
        <w:tc>
          <w:tcPr>
            <w:tcW w:w="3981" w:type="pct"/>
            <w:gridSpan w:val="6"/>
            <w:tcBorders>
              <w:top w:val="single" w:sz="4" w:space="0" w:color="auto"/>
              <w:left w:val="single" w:sz="4" w:space="0" w:color="auto"/>
              <w:bottom w:val="single" w:sz="4" w:space="0" w:color="auto"/>
              <w:right w:val="single" w:sz="4" w:space="0" w:color="auto"/>
            </w:tcBorders>
          </w:tcPr>
          <w:p w14:paraId="25B45E74" w14:textId="77777777" w:rsidR="00542C2D" w:rsidRPr="0086547A" w:rsidRDefault="007452CA" w:rsidP="007452CA">
            <w:pPr>
              <w:pStyle w:val="Tabletext"/>
            </w:pPr>
            <w:r w:rsidRPr="0086547A">
              <w:t>Patient must have a corneal fluorescein staining (CFS) grade of 4 at treatment initiation, using at least one of: (</w:t>
            </w:r>
            <w:proofErr w:type="spellStart"/>
            <w:r w:rsidRPr="0086547A">
              <w:t>i</w:t>
            </w:r>
            <w:proofErr w:type="spellEnd"/>
            <w:r w:rsidRPr="0086547A">
              <w:t>) the Oxford scale, (ii) the modified Oxford scale, (iii) an equivalent scale to the Oxford scale as determined by the prescriber</w:t>
            </w:r>
          </w:p>
          <w:p w14:paraId="673B4C62" w14:textId="77777777" w:rsidR="007452CA" w:rsidRPr="0086547A" w:rsidRDefault="007452CA" w:rsidP="007452CA">
            <w:pPr>
              <w:pStyle w:val="Tabletext"/>
            </w:pPr>
            <w:r w:rsidRPr="0086547A">
              <w:t>AND</w:t>
            </w:r>
          </w:p>
          <w:p w14:paraId="513C335F" w14:textId="77777777" w:rsidR="007452CA" w:rsidRPr="0086547A" w:rsidRDefault="007452CA" w:rsidP="007452CA">
            <w:pPr>
              <w:pStyle w:val="Tabletext"/>
            </w:pPr>
            <w:r w:rsidRPr="0086547A">
              <w:t>Patient must have an ocular surface disease index (OSDI) score of at least 23 at treatment initiation</w:t>
            </w:r>
          </w:p>
          <w:p w14:paraId="3A110A51" w14:textId="77777777" w:rsidR="007452CA" w:rsidRPr="0086547A" w:rsidRDefault="007452CA" w:rsidP="007452CA">
            <w:pPr>
              <w:pStyle w:val="Tabletext"/>
            </w:pPr>
            <w:r w:rsidRPr="0086547A">
              <w:t>AND</w:t>
            </w:r>
          </w:p>
          <w:p w14:paraId="66AFE1E5" w14:textId="74E20D54" w:rsidR="007452CA" w:rsidRPr="0086547A" w:rsidRDefault="007452CA" w:rsidP="00985E4D">
            <w:pPr>
              <w:pStyle w:val="TableText0"/>
            </w:pPr>
            <w:r w:rsidRPr="0086547A">
              <w:t>The condition must be inadequately controlled by monotherapy with a preservative free artificial tears substitute</w:t>
            </w:r>
          </w:p>
        </w:tc>
      </w:tr>
      <w:tr w:rsidR="00591957" w:rsidRPr="0086547A" w14:paraId="7CAE1652" w14:textId="77777777" w:rsidTr="00514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tcPr>
          <w:p w14:paraId="2BD1AE49" w14:textId="5FD32EAD" w:rsidR="00591957" w:rsidRPr="0086547A" w:rsidRDefault="00591957" w:rsidP="00591957">
            <w:pPr>
              <w:pStyle w:val="Tabletext"/>
            </w:pPr>
            <w:r w:rsidRPr="0086547A">
              <w:t>Population criteria:</w:t>
            </w:r>
          </w:p>
        </w:tc>
        <w:tc>
          <w:tcPr>
            <w:tcW w:w="3981" w:type="pct"/>
            <w:gridSpan w:val="6"/>
            <w:tcBorders>
              <w:top w:val="single" w:sz="4" w:space="0" w:color="auto"/>
              <w:left w:val="single" w:sz="4" w:space="0" w:color="auto"/>
              <w:bottom w:val="single" w:sz="4" w:space="0" w:color="auto"/>
              <w:right w:val="single" w:sz="4" w:space="0" w:color="auto"/>
            </w:tcBorders>
          </w:tcPr>
          <w:p w14:paraId="2617DE0B" w14:textId="4CE6A4EC" w:rsidR="00591957" w:rsidRPr="0086547A" w:rsidRDefault="007452CA" w:rsidP="00591957">
            <w:pPr>
              <w:pStyle w:val="Tabletext"/>
              <w:rPr>
                <w:color w:val="000000"/>
              </w:rPr>
            </w:pPr>
            <w:r w:rsidRPr="0086547A">
              <w:rPr>
                <w:color w:val="000000"/>
              </w:rPr>
              <w:t>Patient must be 18 years or older</w:t>
            </w:r>
          </w:p>
        </w:tc>
      </w:tr>
      <w:tr w:rsidR="00542C2D" w:rsidRPr="0086547A" w14:paraId="00531E8B" w14:textId="77777777" w:rsidTr="00514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9" w:type="pct"/>
            <w:tcBorders>
              <w:top w:val="single" w:sz="4" w:space="0" w:color="auto"/>
              <w:left w:val="single" w:sz="4" w:space="0" w:color="auto"/>
              <w:bottom w:val="single" w:sz="4" w:space="0" w:color="auto"/>
              <w:right w:val="single" w:sz="4" w:space="0" w:color="auto"/>
            </w:tcBorders>
            <w:hideMark/>
          </w:tcPr>
          <w:p w14:paraId="5625D14A" w14:textId="43B290EB" w:rsidR="00542C2D" w:rsidRPr="0086547A" w:rsidRDefault="00591957" w:rsidP="00591957">
            <w:pPr>
              <w:pStyle w:val="Tabletext"/>
            </w:pPr>
            <w:r w:rsidRPr="0086547A">
              <w:t>Prescriber criteria:</w:t>
            </w:r>
          </w:p>
        </w:tc>
        <w:tc>
          <w:tcPr>
            <w:tcW w:w="3981" w:type="pct"/>
            <w:gridSpan w:val="6"/>
            <w:tcBorders>
              <w:top w:val="single" w:sz="4" w:space="0" w:color="auto"/>
              <w:left w:val="single" w:sz="4" w:space="0" w:color="auto"/>
              <w:bottom w:val="single" w:sz="4" w:space="0" w:color="auto"/>
              <w:right w:val="single" w:sz="4" w:space="0" w:color="auto"/>
            </w:tcBorders>
          </w:tcPr>
          <w:p w14:paraId="03DAEA17" w14:textId="11CE998C" w:rsidR="00542C2D" w:rsidRPr="0086547A" w:rsidRDefault="007452CA" w:rsidP="00591957">
            <w:pPr>
              <w:pStyle w:val="Tabletext"/>
              <w:rPr>
                <w:color w:val="000000"/>
              </w:rPr>
            </w:pPr>
            <w:r w:rsidRPr="0086547A">
              <w:rPr>
                <w:color w:val="000000"/>
              </w:rPr>
              <w:t>Medical Practitioners, Optometrists</w:t>
            </w:r>
          </w:p>
        </w:tc>
      </w:tr>
    </w:tbl>
    <w:p w14:paraId="63E28AE7" w14:textId="1A48A32D" w:rsidR="00B60939" w:rsidRPr="0086547A" w:rsidRDefault="00B60939" w:rsidP="004B1CB4"/>
    <w:tbl>
      <w:tblPr>
        <w:tblW w:w="5000" w:type="pct"/>
        <w:tblLook w:val="0000" w:firstRow="0" w:lastRow="0" w:firstColumn="0" w:lastColumn="0" w:noHBand="0" w:noVBand="0"/>
      </w:tblPr>
      <w:tblGrid>
        <w:gridCol w:w="1830"/>
        <w:gridCol w:w="7187"/>
      </w:tblGrid>
      <w:tr w:rsidR="00AA28B3" w:rsidRPr="0086547A" w14:paraId="77F9D128" w14:textId="77777777" w:rsidTr="00E762A2">
        <w:trPr>
          <w:cantSplit/>
        </w:trPr>
        <w:tc>
          <w:tcPr>
            <w:tcW w:w="1015" w:type="pct"/>
            <w:tcBorders>
              <w:top w:val="single" w:sz="4" w:space="0" w:color="auto"/>
              <w:left w:val="single" w:sz="4" w:space="0" w:color="auto"/>
              <w:bottom w:val="single" w:sz="4" w:space="0" w:color="auto"/>
              <w:right w:val="single" w:sz="4" w:space="0" w:color="auto"/>
            </w:tcBorders>
          </w:tcPr>
          <w:p w14:paraId="7825BB97" w14:textId="77777777" w:rsidR="00687083" w:rsidRPr="0086547A" w:rsidRDefault="00687083" w:rsidP="00FA7311">
            <w:pPr>
              <w:pStyle w:val="TableText0"/>
              <w:rPr>
                <w:bCs w:val="0"/>
              </w:rPr>
            </w:pPr>
            <w:r w:rsidRPr="0086547A">
              <w:rPr>
                <w:bCs w:val="0"/>
              </w:rPr>
              <w:lastRenderedPageBreak/>
              <w:t>Category / Program:</w:t>
            </w:r>
          </w:p>
        </w:tc>
        <w:tc>
          <w:tcPr>
            <w:tcW w:w="3985" w:type="pct"/>
            <w:tcBorders>
              <w:top w:val="single" w:sz="4" w:space="0" w:color="auto"/>
              <w:left w:val="single" w:sz="4" w:space="0" w:color="auto"/>
              <w:bottom w:val="single" w:sz="4" w:space="0" w:color="auto"/>
              <w:right w:val="single" w:sz="4" w:space="0" w:color="auto"/>
            </w:tcBorders>
          </w:tcPr>
          <w:p w14:paraId="5A9A9959" w14:textId="19F05887" w:rsidR="00687083" w:rsidRPr="0086547A" w:rsidRDefault="00687083" w:rsidP="00FA7311">
            <w:pPr>
              <w:pStyle w:val="TableText0"/>
            </w:pPr>
            <w:r w:rsidRPr="0086547A">
              <w:t>General Schedule</w:t>
            </w:r>
          </w:p>
        </w:tc>
      </w:tr>
      <w:tr w:rsidR="00AA28B3" w:rsidRPr="0086547A" w14:paraId="74532046" w14:textId="77777777" w:rsidTr="00E762A2">
        <w:trPr>
          <w:cantSplit/>
        </w:trPr>
        <w:tc>
          <w:tcPr>
            <w:tcW w:w="1015" w:type="pct"/>
            <w:tcBorders>
              <w:top w:val="single" w:sz="4" w:space="0" w:color="auto"/>
              <w:left w:val="single" w:sz="4" w:space="0" w:color="auto"/>
              <w:bottom w:val="single" w:sz="4" w:space="0" w:color="auto"/>
              <w:right w:val="single" w:sz="4" w:space="0" w:color="auto"/>
            </w:tcBorders>
          </w:tcPr>
          <w:p w14:paraId="7490A029" w14:textId="77777777" w:rsidR="00687083" w:rsidRPr="0086547A" w:rsidRDefault="00687083" w:rsidP="00FA7311">
            <w:pPr>
              <w:pStyle w:val="TableText0"/>
              <w:rPr>
                <w:bCs w:val="0"/>
              </w:rPr>
            </w:pPr>
            <w:r w:rsidRPr="0086547A">
              <w:rPr>
                <w:bCs w:val="0"/>
              </w:rPr>
              <w:t>PBS Indication:</w:t>
            </w:r>
          </w:p>
        </w:tc>
        <w:tc>
          <w:tcPr>
            <w:tcW w:w="3985" w:type="pct"/>
            <w:tcBorders>
              <w:top w:val="single" w:sz="4" w:space="0" w:color="auto"/>
              <w:left w:val="single" w:sz="4" w:space="0" w:color="auto"/>
              <w:bottom w:val="single" w:sz="4" w:space="0" w:color="auto"/>
              <w:right w:val="single" w:sz="4" w:space="0" w:color="auto"/>
            </w:tcBorders>
          </w:tcPr>
          <w:p w14:paraId="6B5D45FE" w14:textId="77777777" w:rsidR="00687083" w:rsidRPr="0086547A" w:rsidRDefault="00687083" w:rsidP="00FA7311">
            <w:pPr>
              <w:pStyle w:val="TableText0"/>
            </w:pPr>
            <w:r w:rsidRPr="0086547A">
              <w:t>Chronic severe dry eye disease with keratitis</w:t>
            </w:r>
          </w:p>
        </w:tc>
      </w:tr>
      <w:tr w:rsidR="00AA28B3" w:rsidRPr="0086547A" w14:paraId="6E6FFD7D" w14:textId="77777777" w:rsidTr="00E762A2">
        <w:trPr>
          <w:cantSplit/>
        </w:trPr>
        <w:tc>
          <w:tcPr>
            <w:tcW w:w="1015" w:type="pct"/>
            <w:tcBorders>
              <w:top w:val="single" w:sz="4" w:space="0" w:color="auto"/>
              <w:left w:val="single" w:sz="4" w:space="0" w:color="auto"/>
              <w:bottom w:val="single" w:sz="4" w:space="0" w:color="auto"/>
              <w:right w:val="single" w:sz="4" w:space="0" w:color="auto"/>
            </w:tcBorders>
          </w:tcPr>
          <w:p w14:paraId="0273295D" w14:textId="5CDA34CB" w:rsidR="00687083" w:rsidRPr="0086547A" w:rsidRDefault="00687083" w:rsidP="00FA7311">
            <w:pPr>
              <w:pStyle w:val="TableText0"/>
              <w:rPr>
                <w:bCs w:val="0"/>
              </w:rPr>
            </w:pPr>
            <w:r w:rsidRPr="0086547A">
              <w:rPr>
                <w:bCs w:val="0"/>
              </w:rPr>
              <w:t>Treatment phase:</w:t>
            </w:r>
          </w:p>
        </w:tc>
        <w:tc>
          <w:tcPr>
            <w:tcW w:w="3985" w:type="pct"/>
            <w:tcBorders>
              <w:top w:val="single" w:sz="4" w:space="0" w:color="auto"/>
              <w:left w:val="single" w:sz="4" w:space="0" w:color="auto"/>
              <w:bottom w:val="single" w:sz="4" w:space="0" w:color="auto"/>
              <w:right w:val="single" w:sz="4" w:space="0" w:color="auto"/>
            </w:tcBorders>
          </w:tcPr>
          <w:p w14:paraId="17067981" w14:textId="77777777" w:rsidR="00687083" w:rsidRPr="0086547A" w:rsidRDefault="00687083" w:rsidP="00FA7311">
            <w:pPr>
              <w:pStyle w:val="TableText0"/>
            </w:pPr>
            <w:r w:rsidRPr="0086547A">
              <w:t>Continuing treatment</w:t>
            </w:r>
          </w:p>
        </w:tc>
      </w:tr>
      <w:tr w:rsidR="00AA28B3" w:rsidRPr="0086547A" w14:paraId="343909B3" w14:textId="77777777" w:rsidTr="00E762A2">
        <w:trPr>
          <w:cantSplit/>
        </w:trPr>
        <w:tc>
          <w:tcPr>
            <w:tcW w:w="1015" w:type="pct"/>
            <w:tcBorders>
              <w:top w:val="single" w:sz="4" w:space="0" w:color="auto"/>
              <w:left w:val="single" w:sz="4" w:space="0" w:color="auto"/>
              <w:bottom w:val="single" w:sz="4" w:space="0" w:color="auto"/>
              <w:right w:val="single" w:sz="4" w:space="0" w:color="auto"/>
            </w:tcBorders>
          </w:tcPr>
          <w:p w14:paraId="595C9B05" w14:textId="77777777" w:rsidR="00687083" w:rsidRPr="0086547A" w:rsidRDefault="00687083" w:rsidP="00FA7311">
            <w:pPr>
              <w:pStyle w:val="TableText0"/>
              <w:rPr>
                <w:bCs w:val="0"/>
                <w:i/>
              </w:rPr>
            </w:pPr>
            <w:r w:rsidRPr="0086547A">
              <w:rPr>
                <w:bCs w:val="0"/>
              </w:rPr>
              <w:t>Restriction:</w:t>
            </w:r>
          </w:p>
        </w:tc>
        <w:tc>
          <w:tcPr>
            <w:tcW w:w="3985" w:type="pct"/>
            <w:tcBorders>
              <w:top w:val="single" w:sz="4" w:space="0" w:color="auto"/>
              <w:left w:val="single" w:sz="4" w:space="0" w:color="auto"/>
              <w:bottom w:val="single" w:sz="4" w:space="0" w:color="auto"/>
              <w:right w:val="single" w:sz="4" w:space="0" w:color="auto"/>
            </w:tcBorders>
          </w:tcPr>
          <w:p w14:paraId="28327ED9" w14:textId="233818D2" w:rsidR="00687083" w:rsidRPr="0086547A" w:rsidRDefault="00EA4E48" w:rsidP="00FA7311">
            <w:pPr>
              <w:pStyle w:val="TableText0"/>
            </w:pPr>
            <w:r w:rsidRPr="0086547A">
              <w:t>Authority Required (telephone/online PBS Authorities system)</w:t>
            </w:r>
          </w:p>
        </w:tc>
      </w:tr>
      <w:tr w:rsidR="00AA28B3" w:rsidRPr="0086547A" w14:paraId="0797BE9F" w14:textId="77777777" w:rsidTr="00E762A2">
        <w:trPr>
          <w:cantSplit/>
        </w:trPr>
        <w:tc>
          <w:tcPr>
            <w:tcW w:w="1015" w:type="pct"/>
            <w:tcBorders>
              <w:top w:val="single" w:sz="4" w:space="0" w:color="auto"/>
              <w:left w:val="single" w:sz="4" w:space="0" w:color="auto"/>
              <w:bottom w:val="single" w:sz="4" w:space="0" w:color="auto"/>
              <w:right w:val="single" w:sz="4" w:space="0" w:color="auto"/>
            </w:tcBorders>
          </w:tcPr>
          <w:p w14:paraId="0B35DAB8" w14:textId="77777777" w:rsidR="00687083" w:rsidRPr="0086547A" w:rsidRDefault="00687083" w:rsidP="00FA7311">
            <w:pPr>
              <w:pStyle w:val="TableText0"/>
              <w:rPr>
                <w:bCs w:val="0"/>
              </w:rPr>
            </w:pPr>
            <w:r w:rsidRPr="0086547A">
              <w:rPr>
                <w:bCs w:val="0"/>
              </w:rPr>
              <w:t>Treatment criteria:</w:t>
            </w:r>
          </w:p>
          <w:p w14:paraId="764B21EB" w14:textId="01756602" w:rsidR="00687083" w:rsidRPr="0086547A" w:rsidRDefault="00687083" w:rsidP="00FA7311">
            <w:pPr>
              <w:pStyle w:val="TableText0"/>
              <w:rPr>
                <w:bCs w:val="0"/>
                <w:i/>
              </w:rPr>
            </w:pPr>
          </w:p>
        </w:tc>
        <w:tc>
          <w:tcPr>
            <w:tcW w:w="3985" w:type="pct"/>
            <w:tcBorders>
              <w:top w:val="single" w:sz="4" w:space="0" w:color="auto"/>
              <w:left w:val="single" w:sz="4" w:space="0" w:color="auto"/>
              <w:bottom w:val="single" w:sz="4" w:space="0" w:color="auto"/>
              <w:right w:val="single" w:sz="4" w:space="0" w:color="auto"/>
            </w:tcBorders>
          </w:tcPr>
          <w:p w14:paraId="18EBD704" w14:textId="77777777" w:rsidR="00687083" w:rsidRPr="0086547A" w:rsidRDefault="00687083" w:rsidP="00FA7311">
            <w:pPr>
              <w:pStyle w:val="TableText0"/>
              <w:rPr>
                <w:szCs w:val="20"/>
              </w:rPr>
            </w:pPr>
            <w:r w:rsidRPr="0086547A">
              <w:rPr>
                <w:szCs w:val="20"/>
              </w:rPr>
              <w:t>Patient must be undergoing simultaneous treatment with a preservative free artificial tears substitute</w:t>
            </w:r>
          </w:p>
          <w:p w14:paraId="2AA48108" w14:textId="77777777" w:rsidR="00687083" w:rsidRPr="0086547A" w:rsidRDefault="00687083" w:rsidP="00FA7311">
            <w:pPr>
              <w:pStyle w:val="TableText0"/>
              <w:rPr>
                <w:szCs w:val="20"/>
              </w:rPr>
            </w:pPr>
            <w:r w:rsidRPr="0086547A">
              <w:rPr>
                <w:szCs w:val="20"/>
              </w:rPr>
              <w:t>AND</w:t>
            </w:r>
          </w:p>
          <w:p w14:paraId="03F6DBD0" w14:textId="77777777" w:rsidR="00687083" w:rsidRPr="0086547A" w:rsidRDefault="00687083" w:rsidP="00FA7311">
            <w:pPr>
              <w:pStyle w:val="PBACtext"/>
              <w:keepNext/>
              <w:rPr>
                <w:sz w:val="20"/>
                <w:szCs w:val="20"/>
              </w:rPr>
            </w:pPr>
            <w:r w:rsidRPr="0086547A">
              <w:rPr>
                <w:sz w:val="20"/>
                <w:szCs w:val="20"/>
              </w:rPr>
              <w:t xml:space="preserve">Must be treated by an ophthalmologist or by an accredited ophthalmology registrar in consultation with an </w:t>
            </w:r>
            <w:proofErr w:type="gramStart"/>
            <w:r w:rsidRPr="0086547A">
              <w:rPr>
                <w:sz w:val="20"/>
                <w:szCs w:val="20"/>
              </w:rPr>
              <w:t>ophthalmologist;</w:t>
            </w:r>
            <w:proofErr w:type="gramEnd"/>
            <w:r w:rsidRPr="0086547A">
              <w:rPr>
                <w:sz w:val="20"/>
                <w:szCs w:val="20"/>
              </w:rPr>
              <w:t xml:space="preserve"> OR</w:t>
            </w:r>
          </w:p>
          <w:p w14:paraId="3E9C272D" w14:textId="6B15C160" w:rsidR="00687083" w:rsidRPr="0086547A" w:rsidRDefault="00687083" w:rsidP="00FA7311">
            <w:pPr>
              <w:pStyle w:val="TableText0"/>
              <w:rPr>
                <w:szCs w:val="20"/>
              </w:rPr>
            </w:pPr>
            <w:r w:rsidRPr="0086547A">
              <w:rPr>
                <w:szCs w:val="20"/>
              </w:rPr>
              <w:t>Must be treated by an optometrist in accordance with Optometry Board of Australia guidelines</w:t>
            </w:r>
          </w:p>
        </w:tc>
      </w:tr>
      <w:tr w:rsidR="00AA28B3" w:rsidRPr="0086547A" w14:paraId="6225CE93" w14:textId="77777777" w:rsidTr="00E762A2">
        <w:trPr>
          <w:cantSplit/>
        </w:trPr>
        <w:tc>
          <w:tcPr>
            <w:tcW w:w="1015" w:type="pct"/>
            <w:tcBorders>
              <w:top w:val="single" w:sz="4" w:space="0" w:color="auto"/>
              <w:left w:val="single" w:sz="4" w:space="0" w:color="auto"/>
              <w:bottom w:val="single" w:sz="4" w:space="0" w:color="auto"/>
              <w:right w:val="single" w:sz="4" w:space="0" w:color="auto"/>
            </w:tcBorders>
          </w:tcPr>
          <w:p w14:paraId="637881FF" w14:textId="77777777" w:rsidR="00687083" w:rsidRPr="0086547A" w:rsidRDefault="00687083" w:rsidP="00FA7311">
            <w:pPr>
              <w:pStyle w:val="TableText0"/>
              <w:rPr>
                <w:bCs w:val="0"/>
              </w:rPr>
            </w:pPr>
            <w:r w:rsidRPr="0086547A">
              <w:rPr>
                <w:bCs w:val="0"/>
              </w:rPr>
              <w:t>Clinical criteria:</w:t>
            </w:r>
          </w:p>
          <w:p w14:paraId="7274F726" w14:textId="7CD74F9A" w:rsidR="00687083" w:rsidRPr="0086547A" w:rsidRDefault="00687083" w:rsidP="00FA7311">
            <w:pPr>
              <w:pStyle w:val="TableText0"/>
              <w:rPr>
                <w:i/>
              </w:rPr>
            </w:pPr>
          </w:p>
        </w:tc>
        <w:tc>
          <w:tcPr>
            <w:tcW w:w="3985" w:type="pct"/>
            <w:tcBorders>
              <w:top w:val="single" w:sz="4" w:space="0" w:color="auto"/>
              <w:left w:val="single" w:sz="4" w:space="0" w:color="auto"/>
              <w:bottom w:val="single" w:sz="4" w:space="0" w:color="auto"/>
              <w:right w:val="single" w:sz="4" w:space="0" w:color="auto"/>
            </w:tcBorders>
          </w:tcPr>
          <w:p w14:paraId="33E2CC09" w14:textId="77777777" w:rsidR="00687083" w:rsidRPr="0086547A" w:rsidRDefault="00687083" w:rsidP="00FA7311">
            <w:pPr>
              <w:pStyle w:val="TableText0"/>
              <w:rPr>
                <w:rFonts w:cs="Arial"/>
              </w:rPr>
            </w:pPr>
            <w:r w:rsidRPr="0086547A">
              <w:rPr>
                <w:rFonts w:cs="Arial"/>
              </w:rPr>
              <w:t>Patient must have received PBS-subsidised treatment with this drug for this condition</w:t>
            </w:r>
          </w:p>
          <w:p w14:paraId="1EBA43F2" w14:textId="77777777" w:rsidR="00687083" w:rsidRPr="0086547A" w:rsidRDefault="00687083" w:rsidP="00FA7311">
            <w:pPr>
              <w:pStyle w:val="TableText0"/>
            </w:pPr>
            <w:r w:rsidRPr="0086547A">
              <w:t>AND</w:t>
            </w:r>
          </w:p>
          <w:p w14:paraId="6ACD6A1C" w14:textId="77777777" w:rsidR="00687083" w:rsidRPr="0086547A" w:rsidRDefault="00687083" w:rsidP="00FA7311">
            <w:pPr>
              <w:pStyle w:val="TableText0"/>
            </w:pPr>
            <w:r w:rsidRPr="0086547A">
              <w:t>The condition must have improved to an extent that corneal fluorescein staining, using the same scale used at the time of the first authority application, shows an improvement (reduction) by at least 3 grades from baseline (the grade stated in the first authority application) - the improvement need only be demonstrated by staining once only with the first Continuing treatment authority application</w:t>
            </w:r>
          </w:p>
          <w:p w14:paraId="656CB426" w14:textId="77777777" w:rsidR="00687083" w:rsidRPr="0086547A" w:rsidRDefault="00687083" w:rsidP="00FA7311">
            <w:pPr>
              <w:pStyle w:val="TableText0"/>
            </w:pPr>
            <w:r w:rsidRPr="0086547A">
              <w:t>AND</w:t>
            </w:r>
          </w:p>
          <w:p w14:paraId="1647F8F0" w14:textId="5B00CCAB" w:rsidR="00671320" w:rsidRPr="000557F5" w:rsidRDefault="00687083" w:rsidP="00FA7311">
            <w:pPr>
              <w:pStyle w:val="TableText0"/>
              <w:rPr>
                <w:rFonts w:cs="Arial"/>
                <w:i/>
                <w:iCs/>
              </w:rPr>
            </w:pPr>
            <w:r w:rsidRPr="0086547A">
              <w:t>The condition must have improved to an extent that the patient's ocular surface disease index score at the time of this authority application, has improved (reduced) by at least 30% compared to the value stated in the first authority application (</w:t>
            </w:r>
            <w:proofErr w:type="gramStart"/>
            <w:r w:rsidRPr="0086547A">
              <w:t>i.e.</w:t>
            </w:r>
            <w:proofErr w:type="gramEnd"/>
            <w:r w:rsidRPr="0086547A">
              <w:t xml:space="preserve"> baseline)</w:t>
            </w:r>
          </w:p>
        </w:tc>
      </w:tr>
      <w:tr w:rsidR="00AA28B3" w:rsidRPr="0002798F" w14:paraId="188CBA39" w14:textId="77777777" w:rsidTr="00E762A2">
        <w:trPr>
          <w:cantSplit/>
        </w:trPr>
        <w:tc>
          <w:tcPr>
            <w:tcW w:w="1015" w:type="pct"/>
            <w:tcBorders>
              <w:top w:val="single" w:sz="4" w:space="0" w:color="auto"/>
              <w:left w:val="single" w:sz="4" w:space="0" w:color="auto"/>
              <w:bottom w:val="single" w:sz="4" w:space="0" w:color="auto"/>
              <w:right w:val="single" w:sz="4" w:space="0" w:color="auto"/>
            </w:tcBorders>
          </w:tcPr>
          <w:p w14:paraId="1B90A57A" w14:textId="129C80A2" w:rsidR="00AD66FE" w:rsidRPr="0086547A" w:rsidRDefault="00AD66FE" w:rsidP="00AD66FE">
            <w:pPr>
              <w:pStyle w:val="TableText0"/>
              <w:rPr>
                <w:b/>
              </w:rPr>
            </w:pPr>
            <w:r w:rsidRPr="0086547A">
              <w:t>Prescriber criteria:</w:t>
            </w:r>
          </w:p>
        </w:tc>
        <w:tc>
          <w:tcPr>
            <w:tcW w:w="3985" w:type="pct"/>
            <w:tcBorders>
              <w:top w:val="single" w:sz="4" w:space="0" w:color="auto"/>
              <w:left w:val="single" w:sz="4" w:space="0" w:color="auto"/>
              <w:bottom w:val="single" w:sz="4" w:space="0" w:color="auto"/>
              <w:right w:val="single" w:sz="4" w:space="0" w:color="auto"/>
            </w:tcBorders>
          </w:tcPr>
          <w:p w14:paraId="1728F005" w14:textId="18FF8246" w:rsidR="00AD66FE" w:rsidRPr="0002798F" w:rsidRDefault="00AD66FE" w:rsidP="00AD66FE">
            <w:pPr>
              <w:pStyle w:val="TableText0"/>
            </w:pPr>
            <w:r w:rsidRPr="0086547A">
              <w:rPr>
                <w:color w:val="000000"/>
              </w:rPr>
              <w:t>Medical Practitioners, Optometrists</w:t>
            </w:r>
          </w:p>
        </w:tc>
      </w:tr>
    </w:tbl>
    <w:p w14:paraId="37B30A53" w14:textId="77777777" w:rsidR="00687083" w:rsidRPr="0002798F" w:rsidRDefault="00687083" w:rsidP="004B1CB4"/>
    <w:p w14:paraId="5E2CD144" w14:textId="63CFDF7C" w:rsidR="00E55ED6" w:rsidRPr="000557F5" w:rsidRDefault="00E55ED6" w:rsidP="000557F5">
      <w:pPr>
        <w:pStyle w:val="3-BodyText"/>
        <w:numPr>
          <w:ilvl w:val="0"/>
          <w:numId w:val="0"/>
        </w:numPr>
        <w:ind w:left="720"/>
        <w:rPr>
          <w:i/>
          <w:iCs/>
        </w:rPr>
      </w:pPr>
      <w:r w:rsidRPr="000557F5">
        <w:rPr>
          <w:i/>
          <w:iCs/>
        </w:rPr>
        <w:t>For more detail on PBAC’s view, see section 7 PBAC outcome.</w:t>
      </w:r>
    </w:p>
    <w:p w14:paraId="7075B85C" w14:textId="1655A25A" w:rsidR="00B50DB8" w:rsidRPr="0002798F" w:rsidRDefault="00203181" w:rsidP="00627E98">
      <w:pPr>
        <w:pStyle w:val="2-SectionHeading"/>
      </w:pPr>
      <w:bookmarkStart w:id="12" w:name="_Toc93316680"/>
      <w:r w:rsidRPr="0002798F">
        <w:t xml:space="preserve">Population and </w:t>
      </w:r>
      <w:r w:rsidR="008E0D3C" w:rsidRPr="0002798F">
        <w:t>d</w:t>
      </w:r>
      <w:r w:rsidRPr="0002798F">
        <w:t>isease</w:t>
      </w:r>
      <w:bookmarkEnd w:id="12"/>
    </w:p>
    <w:p w14:paraId="249D80E8" w14:textId="4BB46622" w:rsidR="007335BB" w:rsidRDefault="000D588A" w:rsidP="00F819A0">
      <w:pPr>
        <w:pStyle w:val="3-BodyText"/>
      </w:pPr>
      <w:r w:rsidRPr="0002798F">
        <w:t xml:space="preserve">The submission stated that </w:t>
      </w:r>
      <w:r w:rsidR="00F819A0" w:rsidRPr="0002798F">
        <w:t>DED is defined as “a multifactorial disease of the ocular surface characterized by a loss of homeostasis of the tear film, and accompanied by ocular symptoms, in which tear film instability and hyperosmolarity, ocular surface inflammation and damage, and neurosensory abnormalities play etiological roles” by the Tear Film and Ocular Surface (TFOS) Dry Eye Workshop (DEWS) II (Craig et al, 2017). Keratitis is the inflammation of the cornea and may be associated with DED.</w:t>
      </w:r>
    </w:p>
    <w:p w14:paraId="0A614B12" w14:textId="41169F57" w:rsidR="00895BF0" w:rsidRDefault="001B479F" w:rsidP="004E18E9">
      <w:pPr>
        <w:pStyle w:val="3-BodyText"/>
      </w:pPr>
      <w:r>
        <w:t xml:space="preserve">The submission </w:t>
      </w:r>
      <w:r w:rsidR="005A3009">
        <w:t>stated</w:t>
      </w:r>
      <w:r>
        <w:t xml:space="preserve"> that “</w:t>
      </w:r>
      <w:r w:rsidR="00895BF0" w:rsidRPr="0002798F">
        <w:t xml:space="preserve">Ciclosporin is a calcineurin inhibitor immunosuppressant agent. When administered systemically, it </w:t>
      </w:r>
      <w:proofErr w:type="gramStart"/>
      <w:r w:rsidR="00895BF0" w:rsidRPr="0002798F">
        <w:t>is able to</w:t>
      </w:r>
      <w:proofErr w:type="gramEnd"/>
      <w:r w:rsidR="00895BF0" w:rsidRPr="0002798F">
        <w:t xml:space="preserve"> inhibit the activation of transcription factors required for T-cell activation and inflammatory cytokine production. In patients whose tear production is presumed to be suppressed due to ocular inflammation associated with DED, topical administration of ciclosporin is thought to act as a partial immunomodulator</w:t>
      </w:r>
      <w:r w:rsidR="000A326B">
        <w:t>”.</w:t>
      </w:r>
      <w:r w:rsidR="0098481D">
        <w:t xml:space="preserve"> However, </w:t>
      </w:r>
      <w:r>
        <w:t>deficient tear production is not the only pathological process in DED</w:t>
      </w:r>
      <w:r w:rsidR="003C2F63">
        <w:t>;</w:t>
      </w:r>
      <w:r>
        <w:t xml:space="preserve"> </w:t>
      </w:r>
      <w:r w:rsidR="007048CE">
        <w:t xml:space="preserve">not all patients with DED </w:t>
      </w:r>
      <w:r w:rsidR="003C2F63">
        <w:t xml:space="preserve">will </w:t>
      </w:r>
      <w:r w:rsidR="007048CE">
        <w:t>have defect</w:t>
      </w:r>
      <w:r w:rsidR="003C2F63">
        <w:t>ive</w:t>
      </w:r>
      <w:r w:rsidR="007048CE">
        <w:t xml:space="preserve"> tear production, and it is not clear how many of those </w:t>
      </w:r>
      <w:r w:rsidR="00373F77">
        <w:t xml:space="preserve">patients </w:t>
      </w:r>
      <w:r w:rsidR="007048CE">
        <w:t>have an inflammatory process as the cause.</w:t>
      </w:r>
      <w:r>
        <w:rPr>
          <w:rStyle w:val="FootnoteReference"/>
        </w:rPr>
        <w:footnoteReference w:id="1"/>
      </w:r>
      <w:r>
        <w:t xml:space="preserve"> The therapeutic effect of ciclosporin in DED should not be assumed to be due to immunomodulation.</w:t>
      </w:r>
    </w:p>
    <w:p w14:paraId="21FDD135" w14:textId="53848877" w:rsidR="00894489" w:rsidRPr="0002798F" w:rsidRDefault="000D588A" w:rsidP="004E18E9">
      <w:pPr>
        <w:pStyle w:val="3-BodyText"/>
      </w:pPr>
      <w:r w:rsidRPr="0002798F">
        <w:lastRenderedPageBreak/>
        <w:t>The proposed target population for the PBS listing of 0.09%</w:t>
      </w:r>
      <w:r w:rsidR="00AC1FF7">
        <w:t xml:space="preserve"> </w:t>
      </w:r>
      <w:r w:rsidRPr="0002798F">
        <w:t xml:space="preserve">OTX-101 </w:t>
      </w:r>
      <w:r w:rsidR="005E0A26" w:rsidRPr="0002798F">
        <w:t xml:space="preserve">is the same as that for </w:t>
      </w:r>
      <w:r w:rsidR="005503A3" w:rsidRPr="0002798F">
        <w:t xml:space="preserve">0.1% </w:t>
      </w:r>
      <w:proofErr w:type="spellStart"/>
      <w:r w:rsidR="005503A3" w:rsidRPr="0002798F">
        <w:t>CsA</w:t>
      </w:r>
      <w:proofErr w:type="spellEnd"/>
      <w:r w:rsidR="005503A3" w:rsidRPr="0002798F">
        <w:t xml:space="preserve"> CE,</w:t>
      </w:r>
      <w:r w:rsidR="000C0C67" w:rsidRPr="0002798F">
        <w:t xml:space="preserve"> which is</w:t>
      </w:r>
      <w:r w:rsidR="005503A3" w:rsidRPr="0002798F">
        <w:t xml:space="preserve"> defined by a </w:t>
      </w:r>
      <w:bookmarkStart w:id="13" w:name="_Hlk98941047"/>
      <w:r w:rsidR="005503A3" w:rsidRPr="0002798F">
        <w:t xml:space="preserve">corneal fluorescein staining </w:t>
      </w:r>
      <w:bookmarkEnd w:id="13"/>
      <w:r w:rsidR="005503A3" w:rsidRPr="0002798F">
        <w:t xml:space="preserve">(CFS) score of </w:t>
      </w:r>
      <w:r w:rsidR="00AC1FF7">
        <w:t>4 or 5</w:t>
      </w:r>
      <w:r w:rsidR="005503A3" w:rsidRPr="0002798F">
        <w:t xml:space="preserve"> on the modified Oxford scale</w:t>
      </w:r>
      <w:r w:rsidR="000C0C67" w:rsidRPr="0002798F">
        <w:t>,</w:t>
      </w:r>
      <w:r w:rsidR="005503A3" w:rsidRPr="0002798F">
        <w:t xml:space="preserve"> and an Ocular Surface Disease Index (OSDI)</w:t>
      </w:r>
      <w:r w:rsidR="00AC1FF7">
        <w:t xml:space="preserve"> score</w:t>
      </w:r>
      <w:r w:rsidR="005503A3" w:rsidRPr="0002798F">
        <w:t xml:space="preserve"> </w:t>
      </w:r>
      <w:r w:rsidR="00AC1FF7">
        <w:t>of at least</w:t>
      </w:r>
      <w:r w:rsidR="005503A3" w:rsidRPr="0002798F">
        <w:t xml:space="preserve"> 23</w:t>
      </w:r>
      <w:r w:rsidR="005E0A26" w:rsidRPr="0002798F">
        <w:t>.</w:t>
      </w:r>
    </w:p>
    <w:p w14:paraId="6BA41F40" w14:textId="77777777" w:rsidR="00E55ED6" w:rsidRDefault="005E0A26" w:rsidP="00E55ED6">
      <w:pPr>
        <w:pStyle w:val="3-BodyText"/>
        <w:numPr>
          <w:ilvl w:val="1"/>
          <w:numId w:val="1"/>
        </w:numPr>
        <w:rPr>
          <w:i/>
          <w:iCs/>
        </w:rPr>
      </w:pPr>
      <w:r w:rsidRPr="0002798F">
        <w:t>The submission proposed that 0.09%</w:t>
      </w:r>
      <w:r w:rsidR="000C0C67" w:rsidRPr="0002798F">
        <w:t xml:space="preserve"> </w:t>
      </w:r>
      <w:r w:rsidRPr="0002798F">
        <w:t>OTX-101 would be an alternative to 0.1%</w:t>
      </w:r>
      <w:r w:rsidR="005D5398">
        <w:t xml:space="preserve"> </w:t>
      </w:r>
      <w:proofErr w:type="spellStart"/>
      <w:r w:rsidRPr="0002798F">
        <w:t>CsA</w:t>
      </w:r>
      <w:proofErr w:type="spellEnd"/>
      <w:r w:rsidRPr="0002798F">
        <w:t xml:space="preserve"> </w:t>
      </w:r>
      <w:r w:rsidR="005503A3" w:rsidRPr="0002798F">
        <w:t xml:space="preserve">CE </w:t>
      </w:r>
      <w:r w:rsidRPr="0002798F">
        <w:t>based on the treatment algorithm accepted by the PBAC</w:t>
      </w:r>
      <w:r w:rsidR="00895BF0">
        <w:t xml:space="preserve"> at its March 2021 consideration of 0.1% </w:t>
      </w:r>
      <w:proofErr w:type="spellStart"/>
      <w:r w:rsidR="00895BF0">
        <w:t>CsA</w:t>
      </w:r>
      <w:proofErr w:type="spellEnd"/>
      <w:r w:rsidR="00895BF0">
        <w:t xml:space="preserve"> CE</w:t>
      </w:r>
      <w:r w:rsidRPr="0002798F">
        <w:t>.</w:t>
      </w:r>
    </w:p>
    <w:p w14:paraId="7C5EE9E2" w14:textId="6697E11E" w:rsidR="00E55ED6" w:rsidRPr="00086AD2" w:rsidRDefault="00E55ED6" w:rsidP="00A2213F">
      <w:pPr>
        <w:pStyle w:val="3-BodyText"/>
        <w:numPr>
          <w:ilvl w:val="0"/>
          <w:numId w:val="0"/>
        </w:numPr>
        <w:ind w:left="720"/>
        <w:rPr>
          <w:i/>
          <w:iCs/>
        </w:rPr>
      </w:pPr>
      <w:r w:rsidRPr="00086AD2">
        <w:rPr>
          <w:i/>
          <w:iCs/>
        </w:rPr>
        <w:t>For more detail on PBAC’s view, see section 7 PBAC outcome.</w:t>
      </w:r>
    </w:p>
    <w:p w14:paraId="51E5AE96" w14:textId="136A63B1" w:rsidR="00B50DB8" w:rsidRPr="0002798F" w:rsidRDefault="00B50DB8" w:rsidP="00627E98">
      <w:pPr>
        <w:pStyle w:val="2-SectionHeading"/>
      </w:pPr>
      <w:bookmarkStart w:id="14" w:name="_Toc93316681"/>
      <w:r w:rsidRPr="0002798F">
        <w:t>Comparator</w:t>
      </w:r>
      <w:bookmarkEnd w:id="14"/>
    </w:p>
    <w:p w14:paraId="1D940938" w14:textId="5E9E1BA9" w:rsidR="007335BB" w:rsidRPr="00A2213F" w:rsidRDefault="0047648C" w:rsidP="00882E3C">
      <w:pPr>
        <w:pStyle w:val="3-BodyText"/>
        <w:rPr>
          <w:color w:val="0066FF"/>
        </w:rPr>
      </w:pPr>
      <w:r w:rsidRPr="0002798F">
        <w:t xml:space="preserve">The submission nominated </w:t>
      </w:r>
      <w:r w:rsidR="00611BF4" w:rsidRPr="0002798F">
        <w:t xml:space="preserve">0.1% </w:t>
      </w:r>
      <w:proofErr w:type="spellStart"/>
      <w:r w:rsidR="00611BF4" w:rsidRPr="0002798F">
        <w:t>CsA</w:t>
      </w:r>
      <w:proofErr w:type="spellEnd"/>
      <w:r w:rsidR="00611BF4" w:rsidRPr="0002798F">
        <w:t xml:space="preserve"> CE </w:t>
      </w:r>
      <w:r w:rsidRPr="0002798F">
        <w:t xml:space="preserve">as the comparator </w:t>
      </w:r>
      <w:r w:rsidR="00895BF0">
        <w:t>because</w:t>
      </w:r>
      <w:r w:rsidR="00895BF0" w:rsidRPr="0002798F">
        <w:t xml:space="preserve"> </w:t>
      </w:r>
      <w:r w:rsidRPr="0002798F">
        <w:t xml:space="preserve">it is the only </w:t>
      </w:r>
      <w:r w:rsidR="00611BF4" w:rsidRPr="0002798F">
        <w:t>PBS-</w:t>
      </w:r>
      <w:r w:rsidRPr="0002798F">
        <w:t>listed</w:t>
      </w:r>
      <w:r w:rsidR="00611BF4" w:rsidRPr="0002798F">
        <w:t xml:space="preserve"> ciclosporin product</w:t>
      </w:r>
      <w:r w:rsidRPr="0002798F">
        <w:t xml:space="preserve"> for th</w:t>
      </w:r>
      <w:r w:rsidR="00895BF0">
        <w:t xml:space="preserve">is </w:t>
      </w:r>
      <w:r w:rsidRPr="0002798F">
        <w:t xml:space="preserve">condition. </w:t>
      </w:r>
      <w:r w:rsidR="0066388C" w:rsidRPr="002503CB">
        <w:rPr>
          <w:iCs/>
        </w:rPr>
        <w:t>Th</w:t>
      </w:r>
      <w:r w:rsidR="0021328C">
        <w:rPr>
          <w:iCs/>
        </w:rPr>
        <w:t>e PBAC considered this</w:t>
      </w:r>
      <w:r w:rsidR="0066388C" w:rsidRPr="002503CB">
        <w:rPr>
          <w:iCs/>
        </w:rPr>
        <w:t xml:space="preserve"> comparator appropriate</w:t>
      </w:r>
      <w:r w:rsidR="007335BB" w:rsidRPr="002503CB">
        <w:rPr>
          <w:iCs/>
        </w:rPr>
        <w:t>.</w:t>
      </w:r>
      <w:bookmarkStart w:id="15" w:name="_Toc22897640"/>
    </w:p>
    <w:p w14:paraId="79C8550C" w14:textId="5F89C082" w:rsidR="00E55ED6" w:rsidRPr="00A2213F" w:rsidRDefault="00E55ED6" w:rsidP="00A2213F">
      <w:pPr>
        <w:pStyle w:val="3-BodyText"/>
        <w:numPr>
          <w:ilvl w:val="0"/>
          <w:numId w:val="0"/>
        </w:numPr>
        <w:ind w:left="720"/>
        <w:rPr>
          <w:i/>
          <w:iCs/>
        </w:rPr>
      </w:pPr>
      <w:r w:rsidRPr="00086AD2">
        <w:rPr>
          <w:i/>
          <w:iCs/>
        </w:rPr>
        <w:t>For more detail on PBAC’s view, see section 7 PBAC outcome.</w:t>
      </w:r>
    </w:p>
    <w:p w14:paraId="7F9C27C8" w14:textId="77777777" w:rsidR="00223D5A" w:rsidRPr="0002798F" w:rsidRDefault="00223D5A" w:rsidP="00627E98">
      <w:pPr>
        <w:pStyle w:val="2-SectionHeading"/>
      </w:pPr>
      <w:bookmarkStart w:id="16" w:name="_Toc93316682"/>
      <w:r w:rsidRPr="0002798F">
        <w:t>Consideration of the evidence</w:t>
      </w:r>
      <w:bookmarkEnd w:id="16"/>
    </w:p>
    <w:p w14:paraId="2CBFA68D" w14:textId="0BD6C3F9" w:rsidR="00E55ED6" w:rsidRDefault="00E55ED6" w:rsidP="002E4F02">
      <w:pPr>
        <w:pStyle w:val="4-SubsectionHeading"/>
      </w:pPr>
      <w:bookmarkStart w:id="17" w:name="_Toc93316683"/>
      <w:r>
        <w:t>Sponsor hearing</w:t>
      </w:r>
    </w:p>
    <w:p w14:paraId="2B371B9B" w14:textId="2999EAF8" w:rsidR="006402F2" w:rsidRPr="00836F75" w:rsidRDefault="006402F2" w:rsidP="006402F2">
      <w:pPr>
        <w:pStyle w:val="3-BodyText"/>
        <w:numPr>
          <w:ilvl w:val="1"/>
          <w:numId w:val="1"/>
        </w:numPr>
        <w:rPr>
          <w:snapToGrid w:val="0"/>
        </w:rPr>
      </w:pPr>
      <w:bookmarkStart w:id="18" w:name="_Hlk76382586"/>
      <w:r w:rsidRPr="00836F75">
        <w:rPr>
          <w:snapToGrid w:val="0"/>
        </w:rPr>
        <w:t xml:space="preserve">The sponsor requested a hearing for this item. The clinician </w:t>
      </w:r>
      <w:r w:rsidR="002E5188">
        <w:rPr>
          <w:snapToGrid w:val="0"/>
        </w:rPr>
        <w:t>described</w:t>
      </w:r>
      <w:r w:rsidRPr="00836F75">
        <w:rPr>
          <w:snapToGrid w:val="0"/>
        </w:rPr>
        <w:t xml:space="preserve"> the natural history of the disease,</w:t>
      </w:r>
      <w:r w:rsidR="00D511E9">
        <w:rPr>
          <w:snapToGrid w:val="0"/>
        </w:rPr>
        <w:t xml:space="preserve"> and the im</w:t>
      </w:r>
      <w:r w:rsidR="00996A99">
        <w:rPr>
          <w:snapToGrid w:val="0"/>
        </w:rPr>
        <w:t xml:space="preserve">pact of severe DED on quality of life and daily living. The clinician </w:t>
      </w:r>
      <w:r w:rsidR="00C81D66">
        <w:rPr>
          <w:snapToGrid w:val="0"/>
        </w:rPr>
        <w:t>discussed</w:t>
      </w:r>
      <w:r w:rsidR="008C09EC">
        <w:rPr>
          <w:snapToGrid w:val="0"/>
        </w:rPr>
        <w:t xml:space="preserve"> the </w:t>
      </w:r>
      <w:r w:rsidR="00CF67A4">
        <w:rPr>
          <w:snapToGrid w:val="0"/>
        </w:rPr>
        <w:t xml:space="preserve">transitivity between the different scoring methods used in the </w:t>
      </w:r>
      <w:r w:rsidR="00CF67A4" w:rsidRPr="00CF67A4">
        <w:rPr>
          <w:snapToGrid w:val="0"/>
        </w:rPr>
        <w:t xml:space="preserve">0.1% </w:t>
      </w:r>
      <w:proofErr w:type="spellStart"/>
      <w:r w:rsidR="00CF67A4" w:rsidRPr="00CF67A4">
        <w:rPr>
          <w:snapToGrid w:val="0"/>
        </w:rPr>
        <w:t>CsA</w:t>
      </w:r>
      <w:proofErr w:type="spellEnd"/>
      <w:r w:rsidR="00CF67A4" w:rsidRPr="00CF67A4">
        <w:rPr>
          <w:snapToGrid w:val="0"/>
        </w:rPr>
        <w:t xml:space="preserve"> CE</w:t>
      </w:r>
      <w:r w:rsidR="00CF67A4">
        <w:rPr>
          <w:snapToGrid w:val="0"/>
        </w:rPr>
        <w:t xml:space="preserve"> and 0.09% OTX</w:t>
      </w:r>
      <w:r w:rsidR="007D04A3">
        <w:rPr>
          <w:snapToGrid w:val="0"/>
        </w:rPr>
        <w:t>-</w:t>
      </w:r>
      <w:r w:rsidR="00CF67A4">
        <w:rPr>
          <w:snapToGrid w:val="0"/>
        </w:rPr>
        <w:t>101 trials</w:t>
      </w:r>
      <w:r w:rsidR="00A420D1">
        <w:rPr>
          <w:snapToGrid w:val="0"/>
        </w:rPr>
        <w:t xml:space="preserve">, noting that </w:t>
      </w:r>
      <w:r w:rsidR="00DE6CB8">
        <w:rPr>
          <w:snapToGrid w:val="0"/>
        </w:rPr>
        <w:t xml:space="preserve">clinical experts and consensus groups generally consider </w:t>
      </w:r>
      <w:r w:rsidR="00565847">
        <w:rPr>
          <w:snapToGrid w:val="0"/>
        </w:rPr>
        <w:t>the ODSI</w:t>
      </w:r>
      <w:r w:rsidR="00251DE8">
        <w:rPr>
          <w:snapToGrid w:val="0"/>
        </w:rPr>
        <w:t xml:space="preserve"> and SANDE symptom scores</w:t>
      </w:r>
      <w:r w:rsidR="00070E76">
        <w:rPr>
          <w:snapToGrid w:val="0"/>
        </w:rPr>
        <w:t>, and Oxford and NEI</w:t>
      </w:r>
      <w:r w:rsidR="00DE6CB8">
        <w:rPr>
          <w:snapToGrid w:val="0"/>
        </w:rPr>
        <w:t xml:space="preserve"> </w:t>
      </w:r>
      <w:r w:rsidR="00070E76">
        <w:rPr>
          <w:snapToGrid w:val="0"/>
        </w:rPr>
        <w:t>CFS scales to</w:t>
      </w:r>
      <w:r w:rsidR="00372A46">
        <w:rPr>
          <w:snapToGrid w:val="0"/>
        </w:rPr>
        <w:t xml:space="preserve"> be comparable. The clinician noted that these scales are not always used in clinical practice to assess DED and that clinicians are able to identify severe DED without</w:t>
      </w:r>
      <w:r w:rsidR="007D04A3">
        <w:rPr>
          <w:snapToGrid w:val="0"/>
        </w:rPr>
        <w:t xml:space="preserve"> the</w:t>
      </w:r>
      <w:r w:rsidR="00372A46">
        <w:rPr>
          <w:snapToGrid w:val="0"/>
        </w:rPr>
        <w:t xml:space="preserve"> use of formal symptom scoring.</w:t>
      </w:r>
      <w:r w:rsidR="00A420D1">
        <w:rPr>
          <w:snapToGrid w:val="0"/>
        </w:rPr>
        <w:t xml:space="preserve"> The clinician</w:t>
      </w:r>
      <w:r w:rsidR="002A4E27">
        <w:rPr>
          <w:snapToGrid w:val="0"/>
        </w:rPr>
        <w:t xml:space="preserve"> </w:t>
      </w:r>
      <w:r w:rsidR="00430156">
        <w:rPr>
          <w:snapToGrid w:val="0"/>
        </w:rPr>
        <w:t>stated that not all factors involved in the pathogenesis of DED are currently understood</w:t>
      </w:r>
      <w:r w:rsidR="00A420D1">
        <w:rPr>
          <w:snapToGrid w:val="0"/>
        </w:rPr>
        <w:t xml:space="preserve"> </w:t>
      </w:r>
      <w:r w:rsidR="00430156">
        <w:rPr>
          <w:snapToGrid w:val="0"/>
        </w:rPr>
        <w:t xml:space="preserve">and noted that </w:t>
      </w:r>
      <w:r w:rsidR="008B3C95">
        <w:rPr>
          <w:snapToGrid w:val="0"/>
        </w:rPr>
        <w:t>there was considerable variation in treatment tolerability and response to treatments between</w:t>
      </w:r>
      <w:r w:rsidR="00372A46">
        <w:rPr>
          <w:snapToGrid w:val="0"/>
        </w:rPr>
        <w:t xml:space="preserve"> </w:t>
      </w:r>
      <w:r w:rsidR="008B3C95">
        <w:rPr>
          <w:snapToGrid w:val="0"/>
        </w:rPr>
        <w:t>patients that was not predictable.</w:t>
      </w:r>
      <w:r w:rsidR="009152A5">
        <w:rPr>
          <w:snapToGrid w:val="0"/>
        </w:rPr>
        <w:t xml:space="preserve"> The clinician indicated</w:t>
      </w:r>
      <w:r w:rsidR="007D04A3">
        <w:rPr>
          <w:snapToGrid w:val="0"/>
        </w:rPr>
        <w:t xml:space="preserve"> that</w:t>
      </w:r>
      <w:r w:rsidR="009152A5">
        <w:rPr>
          <w:snapToGrid w:val="0"/>
        </w:rPr>
        <w:t xml:space="preserve"> there is currently no clear treatment algorithm for DED and that patients would usually try multiple treatments until an effective</w:t>
      </w:r>
      <w:r w:rsidR="001E4752">
        <w:rPr>
          <w:snapToGrid w:val="0"/>
        </w:rPr>
        <w:t>,</w:t>
      </w:r>
      <w:r w:rsidR="009152A5">
        <w:rPr>
          <w:snapToGrid w:val="0"/>
        </w:rPr>
        <w:t xml:space="preserve"> tolerable treatment was identified.</w:t>
      </w:r>
      <w:r w:rsidR="00795DC2">
        <w:rPr>
          <w:snapToGrid w:val="0"/>
        </w:rPr>
        <w:t xml:space="preserve"> The clinician considered that having an additional formulation of ciclosporin would be useful given </w:t>
      </w:r>
      <w:r w:rsidR="007D04A3">
        <w:rPr>
          <w:snapToGrid w:val="0"/>
        </w:rPr>
        <w:t xml:space="preserve">that </w:t>
      </w:r>
      <w:r w:rsidR="00795DC2">
        <w:rPr>
          <w:snapToGrid w:val="0"/>
        </w:rPr>
        <w:t xml:space="preserve">patients can have </w:t>
      </w:r>
      <w:r w:rsidR="007D04A3">
        <w:rPr>
          <w:snapToGrid w:val="0"/>
        </w:rPr>
        <w:t xml:space="preserve">a </w:t>
      </w:r>
      <w:r w:rsidR="00795DC2">
        <w:rPr>
          <w:snapToGrid w:val="0"/>
        </w:rPr>
        <w:t xml:space="preserve">variable tolerability to different formulations. </w:t>
      </w:r>
      <w:r w:rsidRPr="00836F75">
        <w:rPr>
          <w:snapToGrid w:val="0"/>
        </w:rPr>
        <w:t>The PBAC</w:t>
      </w:r>
      <w:r>
        <w:rPr>
          <w:snapToGrid w:val="0"/>
        </w:rPr>
        <w:t xml:space="preserve"> noted the information presented in the hearing.</w:t>
      </w:r>
    </w:p>
    <w:bookmarkEnd w:id="18"/>
    <w:p w14:paraId="7ADC748A" w14:textId="04CD0990" w:rsidR="00E55ED6" w:rsidRDefault="00E55ED6" w:rsidP="002E4F02">
      <w:pPr>
        <w:pStyle w:val="4-SubsectionHeading"/>
      </w:pPr>
      <w:r>
        <w:t>Consumer comments</w:t>
      </w:r>
    </w:p>
    <w:p w14:paraId="48F495B4" w14:textId="49B4CAC2" w:rsidR="00E55ED6" w:rsidRPr="00E55ED6" w:rsidRDefault="00E55ED6" w:rsidP="00166971">
      <w:pPr>
        <w:pStyle w:val="3-BodyText"/>
        <w:rPr>
          <w:lang w:eastAsia="en-US"/>
        </w:rPr>
      </w:pPr>
      <w:bookmarkStart w:id="19" w:name="_Hlk76382618"/>
      <w:r w:rsidRPr="008C5F73">
        <w:rPr>
          <w:snapToGrid w:val="0"/>
        </w:rPr>
        <w:t>The PBAC noted that no consumer comments were received for this item</w:t>
      </w:r>
      <w:bookmarkEnd w:id="19"/>
      <w:r w:rsidR="008C5F73">
        <w:rPr>
          <w:snapToGrid w:val="0"/>
        </w:rPr>
        <w:t>.</w:t>
      </w:r>
    </w:p>
    <w:p w14:paraId="609C0765" w14:textId="291A8E93" w:rsidR="00B60939" w:rsidRPr="0002798F" w:rsidRDefault="00B60939" w:rsidP="002E4F02">
      <w:pPr>
        <w:pStyle w:val="4-SubsectionHeading"/>
      </w:pPr>
      <w:r w:rsidRPr="0002798F">
        <w:t xml:space="preserve">Clinical </w:t>
      </w:r>
      <w:r w:rsidR="00D5243B" w:rsidRPr="0002798F">
        <w:t>studies</w:t>
      </w:r>
      <w:bookmarkEnd w:id="15"/>
      <w:bookmarkEnd w:id="17"/>
    </w:p>
    <w:p w14:paraId="5C881EF2" w14:textId="09876836" w:rsidR="007335BB" w:rsidRDefault="00A73134" w:rsidP="002E4F02">
      <w:pPr>
        <w:pStyle w:val="3-BodyText"/>
      </w:pPr>
      <w:r w:rsidRPr="0002798F">
        <w:t xml:space="preserve">The submission </w:t>
      </w:r>
      <w:r w:rsidR="00D5243B" w:rsidRPr="0002798F">
        <w:t>wa</w:t>
      </w:r>
      <w:r w:rsidRPr="0002798F">
        <w:t>s based</w:t>
      </w:r>
      <w:r w:rsidR="00936F04" w:rsidRPr="0002798F">
        <w:t xml:space="preserve"> on </w:t>
      </w:r>
      <w:bookmarkStart w:id="20" w:name="_Hlk99192250"/>
      <w:r w:rsidR="0066388C" w:rsidRPr="0002798F">
        <w:t>two randomised controlled trials</w:t>
      </w:r>
      <w:r w:rsidR="00C25438" w:rsidRPr="0002798F">
        <w:t xml:space="preserve"> </w:t>
      </w:r>
      <w:r w:rsidR="0066388C" w:rsidRPr="0002798F">
        <w:t>(Study 2014 and Study 2016)</w:t>
      </w:r>
      <w:r w:rsidR="00C25438" w:rsidRPr="0002798F">
        <w:t xml:space="preserve"> comparing </w:t>
      </w:r>
      <w:bookmarkStart w:id="21" w:name="_Hlk89948215"/>
      <w:r w:rsidR="00C25438" w:rsidRPr="0002798F">
        <w:t xml:space="preserve">0.09% OTX-101 </w:t>
      </w:r>
      <w:bookmarkEnd w:id="21"/>
      <w:r w:rsidR="0041536F" w:rsidRPr="0002798F">
        <w:t>to vehicle</w:t>
      </w:r>
      <w:bookmarkEnd w:id="20"/>
      <w:r w:rsidR="00AC1FF7">
        <w:t>,</w:t>
      </w:r>
      <w:r w:rsidR="0066388C" w:rsidRPr="0002798F">
        <w:t xml:space="preserve"> and two trials (SANSIKA and SICCANOVE)</w:t>
      </w:r>
      <w:r w:rsidR="00716F07" w:rsidRPr="0002798F">
        <w:t xml:space="preserve"> </w:t>
      </w:r>
      <w:r w:rsidR="0041536F" w:rsidRPr="0002798F">
        <w:lastRenderedPageBreak/>
        <w:t xml:space="preserve">comparing </w:t>
      </w:r>
      <w:bookmarkStart w:id="22" w:name="_Hlk89957895"/>
      <w:r w:rsidR="0041536F" w:rsidRPr="0002798F">
        <w:t xml:space="preserve">0.1% </w:t>
      </w:r>
      <w:proofErr w:type="spellStart"/>
      <w:r w:rsidR="0041536F" w:rsidRPr="0002798F">
        <w:t>CsA</w:t>
      </w:r>
      <w:proofErr w:type="spellEnd"/>
      <w:r w:rsidR="0041536F" w:rsidRPr="0002798F">
        <w:t xml:space="preserve"> CE </w:t>
      </w:r>
      <w:bookmarkEnd w:id="22"/>
      <w:r w:rsidR="00895BF0">
        <w:t>to</w:t>
      </w:r>
      <w:r w:rsidR="0041536F" w:rsidRPr="0002798F">
        <w:t xml:space="preserve"> vehicle</w:t>
      </w:r>
      <w:r w:rsidR="00AC1FF7">
        <w:t>. Results of Study 2014 and Study 2016, and of SANSIKA and SICCANOVE</w:t>
      </w:r>
      <w:r w:rsidR="0041536F" w:rsidRPr="0002798F">
        <w:t xml:space="preserve"> </w:t>
      </w:r>
      <w:r w:rsidR="005A3009">
        <w:t xml:space="preserve">(previously considered by the PBAC) </w:t>
      </w:r>
      <w:r w:rsidR="003C1609">
        <w:t xml:space="preserve">were used </w:t>
      </w:r>
      <w:r w:rsidR="00AC1FF7">
        <w:t>for</w:t>
      </w:r>
      <w:r w:rsidR="0041536F" w:rsidRPr="0002798F">
        <w:t xml:space="preserve"> an indirect comparison between </w:t>
      </w:r>
      <w:bookmarkStart w:id="23" w:name="_Hlk89956192"/>
      <w:r w:rsidR="0041536F" w:rsidRPr="0002798F">
        <w:t xml:space="preserve">0.09% OTX-101 </w:t>
      </w:r>
      <w:bookmarkEnd w:id="23"/>
      <w:r w:rsidR="0041536F" w:rsidRPr="0002798F">
        <w:t xml:space="preserve">and 0.1% </w:t>
      </w:r>
      <w:proofErr w:type="spellStart"/>
      <w:r w:rsidR="0041536F" w:rsidRPr="0002798F">
        <w:t>CsA</w:t>
      </w:r>
      <w:proofErr w:type="spellEnd"/>
      <w:r w:rsidR="0041536F" w:rsidRPr="0002798F">
        <w:t xml:space="preserve"> CE </w:t>
      </w:r>
      <w:r w:rsidR="0066388C" w:rsidRPr="0002798F">
        <w:t xml:space="preserve">with vehicle as the common reference. </w:t>
      </w:r>
      <w:r w:rsidR="00297A78" w:rsidRPr="0002798F">
        <w:t>Post</w:t>
      </w:r>
      <w:r w:rsidR="00C7384F">
        <w:t xml:space="preserve"> </w:t>
      </w:r>
      <w:r w:rsidR="00297A78" w:rsidRPr="0002798F">
        <w:t>hoc subgroup analyses</w:t>
      </w:r>
      <w:r w:rsidR="00901050" w:rsidRPr="0002798F">
        <w:t xml:space="preserve"> of pooled results from the trials</w:t>
      </w:r>
      <w:r w:rsidR="00297A78" w:rsidRPr="0002798F">
        <w:t xml:space="preserve"> for multiple endpoints were presented to align the populations in the trials with the proposed population for PBS listing.</w:t>
      </w:r>
    </w:p>
    <w:p w14:paraId="48281206" w14:textId="02FC471A" w:rsidR="005A3009" w:rsidRPr="0002798F" w:rsidRDefault="00A73134" w:rsidP="00DE66C9">
      <w:pPr>
        <w:pStyle w:val="3-BodyText"/>
        <w:rPr>
          <w:rFonts w:ascii="Arial Narrow" w:hAnsi="Arial Narrow"/>
          <w:b/>
          <w:sz w:val="20"/>
        </w:rPr>
      </w:pPr>
      <w:r w:rsidRPr="0002798F">
        <w:t>Details of the trials presented in the submission are provided in the table below.</w:t>
      </w:r>
    </w:p>
    <w:p w14:paraId="0CE3EF06" w14:textId="66EF0EA1" w:rsidR="00AC1168" w:rsidRDefault="00AC1168" w:rsidP="00AC1168">
      <w:pPr>
        <w:pStyle w:val="TableFigureHeading"/>
      </w:pPr>
      <w:r>
        <w:t xml:space="preserve">Table </w:t>
      </w:r>
      <w:fldSimple w:instr=" SEQ Table \* ARABIC ">
        <w:r w:rsidR="001811EC">
          <w:rPr>
            <w:noProof/>
          </w:rPr>
          <w:t>2</w:t>
        </w:r>
      </w:fldSimple>
      <w:r>
        <w:t xml:space="preserve">: </w:t>
      </w:r>
      <w:r w:rsidRPr="00B9404D">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Description w:val="Table 2: Trials and associated reports presented in the submission"/>
      </w:tblPr>
      <w:tblGrid>
        <w:gridCol w:w="1434"/>
        <w:gridCol w:w="5055"/>
        <w:gridCol w:w="2528"/>
      </w:tblGrid>
      <w:tr w:rsidR="008E0D3C" w:rsidRPr="0002798F" w14:paraId="6ACD35C4" w14:textId="77777777" w:rsidTr="00682BA6">
        <w:trPr>
          <w:cantSplit/>
          <w:tblHeader/>
        </w:trPr>
        <w:tc>
          <w:tcPr>
            <w:tcW w:w="795" w:type="pct"/>
            <w:vAlign w:val="center"/>
          </w:tcPr>
          <w:p w14:paraId="20DEEB23" w14:textId="77777777" w:rsidR="008E0D3C" w:rsidRPr="0002798F" w:rsidRDefault="008E0D3C" w:rsidP="00CE50D6">
            <w:pPr>
              <w:pStyle w:val="In-tableHeading"/>
              <w:keepNext w:val="0"/>
              <w:jc w:val="center"/>
              <w:rPr>
                <w:lang w:val="en-AU"/>
              </w:rPr>
            </w:pPr>
            <w:r w:rsidRPr="0002798F">
              <w:rPr>
                <w:lang w:val="en-AU"/>
              </w:rPr>
              <w:t>Trial ID</w:t>
            </w:r>
          </w:p>
        </w:tc>
        <w:tc>
          <w:tcPr>
            <w:tcW w:w="2803" w:type="pct"/>
            <w:vAlign w:val="center"/>
          </w:tcPr>
          <w:p w14:paraId="22EF6C51" w14:textId="77777777" w:rsidR="008E0D3C" w:rsidRPr="0002798F" w:rsidRDefault="008E0D3C" w:rsidP="00CE50D6">
            <w:pPr>
              <w:pStyle w:val="In-tableHeading"/>
              <w:keepNext w:val="0"/>
              <w:rPr>
                <w:lang w:val="en-AU"/>
              </w:rPr>
            </w:pPr>
            <w:r w:rsidRPr="0002798F">
              <w:rPr>
                <w:lang w:val="en-AU"/>
              </w:rPr>
              <w:t>Protocol title/ Publication title</w:t>
            </w:r>
          </w:p>
        </w:tc>
        <w:tc>
          <w:tcPr>
            <w:tcW w:w="1402" w:type="pct"/>
            <w:vAlign w:val="center"/>
          </w:tcPr>
          <w:p w14:paraId="561B27A8" w14:textId="77777777" w:rsidR="008E0D3C" w:rsidRPr="0002798F" w:rsidRDefault="008E0D3C" w:rsidP="00CE50D6">
            <w:pPr>
              <w:pStyle w:val="In-tableHeading"/>
              <w:keepNext w:val="0"/>
              <w:rPr>
                <w:lang w:val="en-AU"/>
              </w:rPr>
            </w:pPr>
            <w:r w:rsidRPr="0002798F">
              <w:rPr>
                <w:lang w:val="en-AU"/>
              </w:rPr>
              <w:t>Publication citation</w:t>
            </w:r>
          </w:p>
        </w:tc>
      </w:tr>
      <w:tr w:rsidR="002E4F02" w:rsidRPr="0002798F" w14:paraId="298351BA" w14:textId="77777777" w:rsidTr="00BB732D">
        <w:trPr>
          <w:cantSplit/>
        </w:trPr>
        <w:tc>
          <w:tcPr>
            <w:tcW w:w="795" w:type="pct"/>
            <w:vMerge w:val="restart"/>
            <w:vAlign w:val="center"/>
          </w:tcPr>
          <w:p w14:paraId="5D9482F5" w14:textId="3AD90A26" w:rsidR="002E4F02" w:rsidRPr="0002798F" w:rsidRDefault="0066388C" w:rsidP="00CE50D6">
            <w:pPr>
              <w:pStyle w:val="TableText0"/>
              <w:keepNext w:val="0"/>
              <w:jc w:val="center"/>
              <w:rPr>
                <w:rFonts w:ascii="Times" w:hAnsi="Times"/>
              </w:rPr>
            </w:pPr>
            <w:r w:rsidRPr="0002798F">
              <w:t>Study 2</w:t>
            </w:r>
            <w:r w:rsidR="00A96B57" w:rsidRPr="0002798F">
              <w:t>0</w:t>
            </w:r>
            <w:r w:rsidRPr="0002798F">
              <w:t>14</w:t>
            </w:r>
          </w:p>
        </w:tc>
        <w:tc>
          <w:tcPr>
            <w:tcW w:w="2803" w:type="pct"/>
            <w:tcBorders>
              <w:bottom w:val="nil"/>
            </w:tcBorders>
            <w:vAlign w:val="center"/>
          </w:tcPr>
          <w:p w14:paraId="004906E7" w14:textId="125D84B6" w:rsidR="0066388C" w:rsidRPr="0002798F" w:rsidRDefault="0066388C" w:rsidP="00CE50D6">
            <w:pPr>
              <w:pStyle w:val="TableText0"/>
              <w:keepNext w:val="0"/>
            </w:pPr>
            <w:r w:rsidRPr="0002798F">
              <w:t xml:space="preserve">A randomized, </w:t>
            </w:r>
            <w:proofErr w:type="spellStart"/>
            <w:r w:rsidRPr="0002798F">
              <w:t>multicenter</w:t>
            </w:r>
            <w:proofErr w:type="spellEnd"/>
            <w:r w:rsidRPr="0002798F">
              <w:t>, double-masked, vehicle-controlled, dose-ranging study of the safety and efficacy of OTX-101 in the treatment of Keratoconjunctivitis Sicca. NCT02254265</w:t>
            </w:r>
          </w:p>
          <w:p w14:paraId="2570DA6E" w14:textId="7A31C94F" w:rsidR="0066388C" w:rsidRPr="0002798F" w:rsidRDefault="0066388C" w:rsidP="00CE50D6">
            <w:pPr>
              <w:pStyle w:val="TableText0"/>
              <w:keepNext w:val="0"/>
            </w:pPr>
          </w:p>
        </w:tc>
        <w:tc>
          <w:tcPr>
            <w:tcW w:w="1402" w:type="pct"/>
            <w:tcBorders>
              <w:bottom w:val="nil"/>
            </w:tcBorders>
            <w:vAlign w:val="center"/>
          </w:tcPr>
          <w:p w14:paraId="7578773D" w14:textId="7B67EF68" w:rsidR="002E4F02" w:rsidRPr="0002798F" w:rsidRDefault="002E4F02" w:rsidP="00CE50D6">
            <w:pPr>
              <w:pStyle w:val="TableText0"/>
              <w:keepNext w:val="0"/>
              <w:rPr>
                <w:rFonts w:ascii="Times" w:hAnsi="Times"/>
              </w:rPr>
            </w:pPr>
            <w:r w:rsidRPr="0002798F">
              <w:t>Date</w:t>
            </w:r>
            <w:r w:rsidR="0066388C" w:rsidRPr="0002798F">
              <w:t>: 09 March 2016</w:t>
            </w:r>
          </w:p>
        </w:tc>
      </w:tr>
      <w:tr w:rsidR="002E4F02" w:rsidRPr="0002798F" w14:paraId="7F06C7BE" w14:textId="77777777" w:rsidTr="00BB732D">
        <w:trPr>
          <w:cantSplit/>
        </w:trPr>
        <w:tc>
          <w:tcPr>
            <w:tcW w:w="795" w:type="pct"/>
            <w:vMerge/>
            <w:vAlign w:val="center"/>
          </w:tcPr>
          <w:p w14:paraId="2DE31C12" w14:textId="7BFA1DAD" w:rsidR="002E4F02" w:rsidRPr="0002798F" w:rsidRDefault="002E4F02" w:rsidP="00CE50D6">
            <w:pPr>
              <w:pStyle w:val="TableText0"/>
              <w:keepNext w:val="0"/>
              <w:jc w:val="center"/>
            </w:pPr>
          </w:p>
        </w:tc>
        <w:tc>
          <w:tcPr>
            <w:tcW w:w="2803" w:type="pct"/>
            <w:tcBorders>
              <w:top w:val="nil"/>
              <w:bottom w:val="nil"/>
            </w:tcBorders>
            <w:vAlign w:val="center"/>
          </w:tcPr>
          <w:p w14:paraId="7CB8ADA9" w14:textId="013DCEC2" w:rsidR="002E4F02" w:rsidRPr="0002798F" w:rsidRDefault="0066388C" w:rsidP="00CE50D6">
            <w:pPr>
              <w:pStyle w:val="TableText0"/>
              <w:keepNext w:val="0"/>
            </w:pPr>
            <w:r w:rsidRPr="0002798F">
              <w:t xml:space="preserve">Tauber, J., Schechter, B. A., Bacharach, J., </w:t>
            </w:r>
            <w:proofErr w:type="spellStart"/>
            <w:r w:rsidRPr="0002798F">
              <w:t>Toyos</w:t>
            </w:r>
            <w:proofErr w:type="spellEnd"/>
            <w:r w:rsidRPr="0002798F">
              <w:t xml:space="preserve">, M. M., Smyth-Medina, R., Weiss, S. L. &amp; </w:t>
            </w:r>
            <w:proofErr w:type="spellStart"/>
            <w:r w:rsidRPr="0002798F">
              <w:t>Luchs</w:t>
            </w:r>
            <w:proofErr w:type="spellEnd"/>
            <w:r w:rsidRPr="0002798F">
              <w:t xml:space="preserve">, J. I. 2018. A Phase II/III, randomized, double-masked, vehicle-controlled, dose-ranging study of the safety and efficacy of OTX-101 in the treatment of dry eye disease. </w:t>
            </w:r>
          </w:p>
        </w:tc>
        <w:tc>
          <w:tcPr>
            <w:tcW w:w="1402" w:type="pct"/>
            <w:tcBorders>
              <w:top w:val="nil"/>
              <w:bottom w:val="nil"/>
            </w:tcBorders>
            <w:vAlign w:val="center"/>
          </w:tcPr>
          <w:p w14:paraId="53EB2567" w14:textId="2AE3460F" w:rsidR="002E4F02" w:rsidRPr="0002798F" w:rsidRDefault="0066388C" w:rsidP="00CE50D6">
            <w:pPr>
              <w:pStyle w:val="TableText0"/>
              <w:keepNext w:val="0"/>
            </w:pPr>
            <w:r w:rsidRPr="0002798F">
              <w:rPr>
                <w:i/>
              </w:rPr>
              <w:t xml:space="preserve">Clin </w:t>
            </w:r>
            <w:proofErr w:type="spellStart"/>
            <w:r w:rsidRPr="0002798F">
              <w:rPr>
                <w:i/>
              </w:rPr>
              <w:t>Ophthalmol</w:t>
            </w:r>
            <w:proofErr w:type="spellEnd"/>
            <w:r w:rsidRPr="0002798F">
              <w:rPr>
                <w:i/>
              </w:rPr>
              <w:t xml:space="preserve">. </w:t>
            </w:r>
            <w:r w:rsidRPr="0002798F">
              <w:rPr>
                <w:iCs/>
              </w:rPr>
              <w:t>2018, 12, 1921-1929.</w:t>
            </w:r>
          </w:p>
        </w:tc>
      </w:tr>
      <w:tr w:rsidR="002E4F02" w:rsidRPr="0002798F" w14:paraId="74132A1A" w14:textId="77777777" w:rsidTr="00BB732D">
        <w:trPr>
          <w:cantSplit/>
        </w:trPr>
        <w:tc>
          <w:tcPr>
            <w:tcW w:w="795" w:type="pct"/>
            <w:vMerge w:val="restart"/>
            <w:vAlign w:val="center"/>
          </w:tcPr>
          <w:p w14:paraId="30BA87AC" w14:textId="5AD1853E" w:rsidR="002E4F02" w:rsidRPr="0002798F" w:rsidRDefault="00A96B57" w:rsidP="00CE50D6">
            <w:pPr>
              <w:pStyle w:val="TableText0"/>
              <w:keepNext w:val="0"/>
              <w:jc w:val="center"/>
              <w:rPr>
                <w:rFonts w:ascii="Times" w:hAnsi="Times"/>
              </w:rPr>
            </w:pPr>
            <w:r w:rsidRPr="0002798F">
              <w:t>Study 2016</w:t>
            </w:r>
          </w:p>
        </w:tc>
        <w:tc>
          <w:tcPr>
            <w:tcW w:w="2803" w:type="pct"/>
            <w:tcBorders>
              <w:bottom w:val="nil"/>
            </w:tcBorders>
            <w:vAlign w:val="center"/>
          </w:tcPr>
          <w:p w14:paraId="7EF3AEBB" w14:textId="1E1FB2AA" w:rsidR="002E4F02" w:rsidRPr="0002798F" w:rsidRDefault="00A96B57" w:rsidP="00CE50D6">
            <w:pPr>
              <w:pStyle w:val="TableText0"/>
              <w:keepNext w:val="0"/>
              <w:rPr>
                <w:rFonts w:ascii="Times" w:hAnsi="Times"/>
              </w:rPr>
            </w:pPr>
            <w:r w:rsidRPr="0002798F">
              <w:t>A randomized, multicentre, double-masked, vehicle-controlled study of the safety and efficacy of OTX-101 in the treatment of Keratoconjunctivitis Sicca. NCT02688556</w:t>
            </w:r>
          </w:p>
        </w:tc>
        <w:tc>
          <w:tcPr>
            <w:tcW w:w="1402" w:type="pct"/>
            <w:tcBorders>
              <w:bottom w:val="nil"/>
            </w:tcBorders>
            <w:vAlign w:val="center"/>
          </w:tcPr>
          <w:p w14:paraId="65832AF0" w14:textId="716457F3" w:rsidR="002E4F02" w:rsidRPr="0002798F" w:rsidRDefault="002E4F02" w:rsidP="00CE50D6">
            <w:pPr>
              <w:pStyle w:val="TableText0"/>
              <w:keepNext w:val="0"/>
            </w:pPr>
            <w:r w:rsidRPr="0002798F">
              <w:t>Date</w:t>
            </w:r>
            <w:r w:rsidR="00A96B57" w:rsidRPr="0002798F">
              <w:t>: 19 July 2017</w:t>
            </w:r>
          </w:p>
        </w:tc>
      </w:tr>
      <w:tr w:rsidR="002E4F02" w:rsidRPr="0002798F" w14:paraId="72FE99D8" w14:textId="77777777" w:rsidTr="00BB732D">
        <w:trPr>
          <w:cantSplit/>
        </w:trPr>
        <w:tc>
          <w:tcPr>
            <w:tcW w:w="795" w:type="pct"/>
            <w:vMerge/>
            <w:vAlign w:val="center"/>
          </w:tcPr>
          <w:p w14:paraId="1E431D63" w14:textId="177A5F18" w:rsidR="002E4F02" w:rsidRPr="0002798F" w:rsidRDefault="002E4F02" w:rsidP="00CE50D6">
            <w:pPr>
              <w:pStyle w:val="TableText0"/>
              <w:keepNext w:val="0"/>
              <w:jc w:val="center"/>
            </w:pPr>
          </w:p>
        </w:tc>
        <w:tc>
          <w:tcPr>
            <w:tcW w:w="2803" w:type="pct"/>
            <w:tcBorders>
              <w:top w:val="nil"/>
              <w:bottom w:val="nil"/>
            </w:tcBorders>
            <w:vAlign w:val="center"/>
          </w:tcPr>
          <w:p w14:paraId="550497E6" w14:textId="77777777" w:rsidR="00A96B57" w:rsidRPr="0002798F" w:rsidRDefault="00A96B57" w:rsidP="00CE50D6">
            <w:pPr>
              <w:pStyle w:val="TableText0"/>
              <w:keepNext w:val="0"/>
            </w:pPr>
          </w:p>
          <w:p w14:paraId="0FCB0ED9" w14:textId="19D9D609" w:rsidR="002E4F02" w:rsidRPr="0002798F" w:rsidRDefault="00A96B57" w:rsidP="00CE50D6">
            <w:pPr>
              <w:pStyle w:val="TableText0"/>
              <w:keepNext w:val="0"/>
            </w:pPr>
            <w:r w:rsidRPr="0002798F">
              <w:t>Goldberg, D. F., Malhotra, R. P., Schechter, B. A., Justice, A., Weiss, S. L. &amp; Sheppard, J. D. A Phase 3, Randomized, Double-Masked Study of OTX-101 Ophthalmic Solution 0.09% in the Treatment of Dry Eye Disease. Ophthalmology, 126, 1230-1237</w:t>
            </w:r>
            <w:r w:rsidR="002E4F02" w:rsidRPr="0002798F">
              <w:t>.</w:t>
            </w:r>
          </w:p>
        </w:tc>
        <w:tc>
          <w:tcPr>
            <w:tcW w:w="1402" w:type="pct"/>
            <w:tcBorders>
              <w:top w:val="nil"/>
              <w:bottom w:val="nil"/>
            </w:tcBorders>
            <w:vAlign w:val="center"/>
          </w:tcPr>
          <w:p w14:paraId="7C0550ED" w14:textId="697CA2C5" w:rsidR="002E4F02" w:rsidRPr="0002798F" w:rsidRDefault="00A96B57" w:rsidP="00CE50D6">
            <w:pPr>
              <w:pStyle w:val="TableText0"/>
              <w:keepNext w:val="0"/>
              <w:rPr>
                <w:i/>
              </w:rPr>
            </w:pPr>
            <w:r w:rsidRPr="0002798F">
              <w:rPr>
                <w:i/>
                <w:iCs/>
              </w:rPr>
              <w:t>Ophthalmology,</w:t>
            </w:r>
            <w:r w:rsidRPr="0002798F">
              <w:t xml:space="preserve"> 2019.126, 1230-1237.</w:t>
            </w:r>
            <w:r w:rsidR="002E4F02" w:rsidRPr="0002798F">
              <w:t xml:space="preserve"> </w:t>
            </w:r>
          </w:p>
        </w:tc>
      </w:tr>
      <w:tr w:rsidR="002E4F02" w:rsidRPr="0002798F" w14:paraId="340757F6" w14:textId="77777777" w:rsidTr="00DE66C9">
        <w:trPr>
          <w:cantSplit/>
        </w:trPr>
        <w:tc>
          <w:tcPr>
            <w:tcW w:w="795" w:type="pct"/>
            <w:vMerge/>
            <w:tcBorders>
              <w:bottom w:val="single" w:sz="4" w:space="0" w:color="auto"/>
            </w:tcBorders>
            <w:vAlign w:val="center"/>
          </w:tcPr>
          <w:p w14:paraId="2C60D627" w14:textId="77777777" w:rsidR="002E4F02" w:rsidRPr="0002798F" w:rsidRDefault="002E4F02" w:rsidP="00CE50D6">
            <w:pPr>
              <w:pStyle w:val="TableText0"/>
              <w:keepNext w:val="0"/>
              <w:jc w:val="center"/>
            </w:pPr>
          </w:p>
        </w:tc>
        <w:tc>
          <w:tcPr>
            <w:tcW w:w="2803" w:type="pct"/>
            <w:tcBorders>
              <w:top w:val="nil"/>
              <w:bottom w:val="single" w:sz="4" w:space="0" w:color="auto"/>
            </w:tcBorders>
            <w:vAlign w:val="center"/>
          </w:tcPr>
          <w:p w14:paraId="07D29A63" w14:textId="77777777" w:rsidR="00A96B57" w:rsidRPr="0002798F" w:rsidRDefault="00A96B57" w:rsidP="00CE50D6">
            <w:pPr>
              <w:pStyle w:val="TableText0"/>
              <w:keepNext w:val="0"/>
            </w:pPr>
          </w:p>
          <w:p w14:paraId="1A045230" w14:textId="2E46E3D5" w:rsidR="002E4F02" w:rsidRPr="0002798F" w:rsidRDefault="00A96B57" w:rsidP="00CE50D6">
            <w:pPr>
              <w:pStyle w:val="TableText0"/>
              <w:keepNext w:val="0"/>
            </w:pPr>
            <w:r w:rsidRPr="0002798F">
              <w:t xml:space="preserve">Sheppard, J., Bergmann, M., Schechter, B. A., </w:t>
            </w:r>
            <w:proofErr w:type="spellStart"/>
            <w:r w:rsidRPr="0002798F">
              <w:t>Luchs</w:t>
            </w:r>
            <w:proofErr w:type="spellEnd"/>
            <w:r w:rsidRPr="0002798F">
              <w:t xml:space="preserve">, J., </w:t>
            </w:r>
            <w:proofErr w:type="spellStart"/>
            <w:r w:rsidRPr="0002798F">
              <w:t>Ogundele</w:t>
            </w:r>
            <w:proofErr w:type="spellEnd"/>
            <w:r w:rsidRPr="0002798F">
              <w:t xml:space="preserve">, A. &amp; </w:t>
            </w:r>
            <w:proofErr w:type="spellStart"/>
            <w:r w:rsidRPr="0002798F">
              <w:t>Karpecki</w:t>
            </w:r>
            <w:proofErr w:type="spellEnd"/>
            <w:r w:rsidRPr="0002798F">
              <w:t>, P.</w:t>
            </w:r>
            <w:r w:rsidR="007335BB">
              <w:t xml:space="preserve"> </w:t>
            </w:r>
            <w:r w:rsidRPr="0002798F">
              <w:t xml:space="preserve">Phase 3 Efficacy (Worse-Eye Analysis) and Long-Term Safety Evaluation of OTX-101 in Patients with Keratoconjunctivitis Sicca. </w:t>
            </w:r>
          </w:p>
        </w:tc>
        <w:tc>
          <w:tcPr>
            <w:tcW w:w="1402" w:type="pct"/>
            <w:tcBorders>
              <w:top w:val="nil"/>
              <w:bottom w:val="single" w:sz="4" w:space="0" w:color="auto"/>
            </w:tcBorders>
            <w:vAlign w:val="center"/>
          </w:tcPr>
          <w:p w14:paraId="32D1C1DF" w14:textId="752DFB22" w:rsidR="002E4F02" w:rsidRPr="0002798F" w:rsidRDefault="00A96B57" w:rsidP="00CE50D6">
            <w:pPr>
              <w:pStyle w:val="TableText0"/>
              <w:keepNext w:val="0"/>
              <w:rPr>
                <w:rFonts w:ascii="Times" w:hAnsi="Times"/>
              </w:rPr>
            </w:pPr>
            <w:r w:rsidRPr="0002798F">
              <w:rPr>
                <w:i/>
                <w:iCs/>
              </w:rPr>
              <w:t xml:space="preserve">Clin </w:t>
            </w:r>
            <w:proofErr w:type="spellStart"/>
            <w:r w:rsidRPr="0002798F">
              <w:rPr>
                <w:i/>
                <w:iCs/>
              </w:rPr>
              <w:t>Ophthalmol</w:t>
            </w:r>
            <w:proofErr w:type="spellEnd"/>
            <w:r w:rsidRPr="0002798F">
              <w:rPr>
                <w:i/>
                <w:iCs/>
              </w:rPr>
              <w:t>, 2021</w:t>
            </w:r>
            <w:r w:rsidRPr="0002798F">
              <w:t xml:space="preserve"> 15, 129-140</w:t>
            </w:r>
            <w:r w:rsidR="008C41B5" w:rsidRPr="0002798F">
              <w:t>.</w:t>
            </w:r>
          </w:p>
        </w:tc>
      </w:tr>
      <w:tr w:rsidR="008C41B5" w:rsidRPr="0002798F" w14:paraId="6FFB3051" w14:textId="77777777" w:rsidTr="0047458A">
        <w:trPr>
          <w:cantSplit/>
        </w:trPr>
        <w:tc>
          <w:tcPr>
            <w:tcW w:w="795" w:type="pct"/>
            <w:vMerge w:val="restart"/>
            <w:vAlign w:val="center"/>
          </w:tcPr>
          <w:p w14:paraId="271CED5D" w14:textId="1661BB1C" w:rsidR="008C41B5" w:rsidRPr="0002798F" w:rsidRDefault="008C41B5" w:rsidP="00CE50D6">
            <w:pPr>
              <w:pStyle w:val="TableText0"/>
              <w:keepNext w:val="0"/>
              <w:jc w:val="center"/>
            </w:pPr>
            <w:r w:rsidRPr="0002798F">
              <w:t>Pooled analyses of Study 2014 and 2016</w:t>
            </w:r>
          </w:p>
        </w:tc>
        <w:tc>
          <w:tcPr>
            <w:tcW w:w="2803" w:type="pct"/>
            <w:tcBorders>
              <w:top w:val="single" w:sz="4" w:space="0" w:color="auto"/>
              <w:bottom w:val="nil"/>
            </w:tcBorders>
            <w:vAlign w:val="center"/>
          </w:tcPr>
          <w:p w14:paraId="1BCAD66A" w14:textId="6334C84B" w:rsidR="008C41B5" w:rsidRPr="0002798F" w:rsidRDefault="008C41B5" w:rsidP="00CE50D6">
            <w:pPr>
              <w:pStyle w:val="TableText0"/>
              <w:keepNext w:val="0"/>
            </w:pPr>
            <w:r w:rsidRPr="0002798F">
              <w:t xml:space="preserve">Malhotra, R., Devries, D. K., </w:t>
            </w:r>
            <w:proofErr w:type="spellStart"/>
            <w:r w:rsidRPr="0002798F">
              <w:t>Luchs</w:t>
            </w:r>
            <w:proofErr w:type="spellEnd"/>
            <w:r w:rsidRPr="0002798F">
              <w:t xml:space="preserve">, J., Kabat, A., Schechter, B. A., Shen Lee, B., </w:t>
            </w:r>
            <w:proofErr w:type="spellStart"/>
            <w:r w:rsidRPr="0002798F">
              <w:t>Shettle</w:t>
            </w:r>
            <w:proofErr w:type="spellEnd"/>
            <w:r w:rsidRPr="0002798F">
              <w:t xml:space="preserve">, L., Smyth-Medina, R., </w:t>
            </w:r>
            <w:proofErr w:type="spellStart"/>
            <w:r w:rsidRPr="0002798F">
              <w:t>Ogundele</w:t>
            </w:r>
            <w:proofErr w:type="spellEnd"/>
            <w:r w:rsidRPr="0002798F">
              <w:t xml:space="preserve">, A., Darby, C., Bacharach, J. &amp; </w:t>
            </w:r>
            <w:proofErr w:type="spellStart"/>
            <w:r w:rsidRPr="0002798F">
              <w:t>Karpecki</w:t>
            </w:r>
            <w:proofErr w:type="spellEnd"/>
            <w:r w:rsidRPr="0002798F">
              <w:t xml:space="preserve">, P. Effect of OTX-101, a Novel </w:t>
            </w:r>
            <w:proofErr w:type="spellStart"/>
            <w:r w:rsidRPr="0002798F">
              <w:t>Nanomicellar</w:t>
            </w:r>
            <w:proofErr w:type="spellEnd"/>
            <w:r w:rsidRPr="0002798F">
              <w:t xml:space="preserve"> Formulation of Cyclosporine A, on Corneal Staining in Patients </w:t>
            </w:r>
            <w:proofErr w:type="gramStart"/>
            <w:r w:rsidRPr="0002798F">
              <w:t>With</w:t>
            </w:r>
            <w:proofErr w:type="gramEnd"/>
            <w:r w:rsidRPr="0002798F">
              <w:t xml:space="preserve"> Keratoconjunctivitis Sicca: A Pooled Analysis of Phase 2b/3 and Phase 3 Studies. </w:t>
            </w:r>
          </w:p>
        </w:tc>
        <w:tc>
          <w:tcPr>
            <w:tcW w:w="1402" w:type="pct"/>
            <w:tcBorders>
              <w:top w:val="single" w:sz="4" w:space="0" w:color="auto"/>
              <w:bottom w:val="nil"/>
            </w:tcBorders>
            <w:vAlign w:val="center"/>
          </w:tcPr>
          <w:p w14:paraId="4F905AE0" w14:textId="486F4921" w:rsidR="008C41B5" w:rsidRPr="0002798F" w:rsidRDefault="008C41B5" w:rsidP="00CE50D6">
            <w:pPr>
              <w:pStyle w:val="TableText0"/>
              <w:keepNext w:val="0"/>
              <w:rPr>
                <w:i/>
                <w:iCs/>
              </w:rPr>
            </w:pPr>
            <w:r w:rsidRPr="0002798F">
              <w:rPr>
                <w:i/>
                <w:iCs/>
              </w:rPr>
              <w:t>Cornea,</w:t>
            </w:r>
            <w:r w:rsidRPr="0002798F">
              <w:t xml:space="preserve"> 2019. 38, 1259-1265.</w:t>
            </w:r>
          </w:p>
        </w:tc>
      </w:tr>
      <w:tr w:rsidR="008C41B5" w:rsidRPr="0002798F" w14:paraId="07A4FFFB" w14:textId="77777777" w:rsidTr="0047458A">
        <w:trPr>
          <w:cantSplit/>
        </w:trPr>
        <w:tc>
          <w:tcPr>
            <w:tcW w:w="795" w:type="pct"/>
            <w:vMerge/>
            <w:vAlign w:val="center"/>
          </w:tcPr>
          <w:p w14:paraId="416A3BA4" w14:textId="77777777" w:rsidR="008C41B5" w:rsidRPr="0002798F" w:rsidRDefault="008C41B5" w:rsidP="00CE50D6">
            <w:pPr>
              <w:pStyle w:val="TableText0"/>
              <w:keepNext w:val="0"/>
              <w:jc w:val="center"/>
            </w:pPr>
          </w:p>
        </w:tc>
        <w:tc>
          <w:tcPr>
            <w:tcW w:w="2803" w:type="pct"/>
            <w:tcBorders>
              <w:top w:val="nil"/>
              <w:bottom w:val="nil"/>
            </w:tcBorders>
            <w:vAlign w:val="center"/>
          </w:tcPr>
          <w:p w14:paraId="0C8DE702" w14:textId="77777777" w:rsidR="0047458A" w:rsidRPr="0002798F" w:rsidRDefault="0047458A" w:rsidP="00CE50D6">
            <w:pPr>
              <w:pStyle w:val="TableText0"/>
              <w:keepNext w:val="0"/>
            </w:pPr>
          </w:p>
          <w:p w14:paraId="237ED6E0" w14:textId="31B3EF52" w:rsidR="008C41B5" w:rsidRPr="0002798F" w:rsidRDefault="008C41B5" w:rsidP="00CE50D6">
            <w:pPr>
              <w:pStyle w:val="TableText0"/>
              <w:keepNext w:val="0"/>
            </w:pPr>
            <w:r w:rsidRPr="0002798F">
              <w:t xml:space="preserve">Sheppard, J., </w:t>
            </w:r>
            <w:proofErr w:type="spellStart"/>
            <w:r w:rsidRPr="0002798F">
              <w:t>Kannarr</w:t>
            </w:r>
            <w:proofErr w:type="spellEnd"/>
            <w:r w:rsidRPr="0002798F">
              <w:t xml:space="preserve">, S., </w:t>
            </w:r>
            <w:proofErr w:type="spellStart"/>
            <w:r w:rsidRPr="0002798F">
              <w:t>Luchs</w:t>
            </w:r>
            <w:proofErr w:type="spellEnd"/>
            <w:r w:rsidRPr="0002798F">
              <w:t xml:space="preserve">, J., Malhotra, R., Justice, A., </w:t>
            </w:r>
            <w:proofErr w:type="spellStart"/>
            <w:r w:rsidRPr="0002798F">
              <w:t>Ogundele</w:t>
            </w:r>
            <w:proofErr w:type="spellEnd"/>
            <w:r w:rsidRPr="0002798F">
              <w:t>, A., Darby, C. &amp; Bacharach, J.</w:t>
            </w:r>
            <w:r w:rsidR="007335BB">
              <w:t xml:space="preserve"> </w:t>
            </w:r>
            <w:r w:rsidRPr="0002798F">
              <w:t xml:space="preserve">Efficacy and Safety of OTX-101, a Novel </w:t>
            </w:r>
            <w:proofErr w:type="spellStart"/>
            <w:r w:rsidRPr="0002798F">
              <w:t>Nanomicellar</w:t>
            </w:r>
            <w:proofErr w:type="spellEnd"/>
            <w:r w:rsidRPr="0002798F">
              <w:t xml:space="preserve"> Formulation of Cyclosporine A, for the Treatment of Keratoconjunctivitis Sicca: Pooled Analysis of a Phase 2b/3 and Phase 3 Study. </w:t>
            </w:r>
          </w:p>
        </w:tc>
        <w:tc>
          <w:tcPr>
            <w:tcW w:w="1402" w:type="pct"/>
            <w:tcBorders>
              <w:top w:val="nil"/>
              <w:bottom w:val="nil"/>
            </w:tcBorders>
            <w:vAlign w:val="center"/>
          </w:tcPr>
          <w:p w14:paraId="5406101D" w14:textId="23FAC145" w:rsidR="008C41B5" w:rsidRPr="0002798F" w:rsidRDefault="008C41B5" w:rsidP="00CE50D6">
            <w:pPr>
              <w:pStyle w:val="TableText0"/>
              <w:keepNext w:val="0"/>
              <w:rPr>
                <w:i/>
                <w:iCs/>
              </w:rPr>
            </w:pPr>
            <w:r w:rsidRPr="0002798F">
              <w:rPr>
                <w:i/>
                <w:iCs/>
              </w:rPr>
              <w:t>Eye Contact Lens</w:t>
            </w:r>
            <w:r w:rsidRPr="0002798F">
              <w:t>, 2020. 46 Suppl 1, S14-S19.</w:t>
            </w:r>
          </w:p>
        </w:tc>
      </w:tr>
      <w:tr w:rsidR="008C41B5" w:rsidRPr="0002798F" w14:paraId="57EEB84E" w14:textId="77777777" w:rsidTr="0047458A">
        <w:trPr>
          <w:cantSplit/>
        </w:trPr>
        <w:tc>
          <w:tcPr>
            <w:tcW w:w="795" w:type="pct"/>
            <w:vMerge/>
            <w:vAlign w:val="center"/>
          </w:tcPr>
          <w:p w14:paraId="6D31A791" w14:textId="77777777" w:rsidR="008C41B5" w:rsidRPr="0002798F" w:rsidRDefault="008C41B5" w:rsidP="00CE50D6">
            <w:pPr>
              <w:pStyle w:val="TableText0"/>
              <w:keepNext w:val="0"/>
              <w:jc w:val="center"/>
            </w:pPr>
          </w:p>
        </w:tc>
        <w:tc>
          <w:tcPr>
            <w:tcW w:w="2803" w:type="pct"/>
            <w:tcBorders>
              <w:top w:val="nil"/>
              <w:bottom w:val="nil"/>
            </w:tcBorders>
            <w:vAlign w:val="center"/>
          </w:tcPr>
          <w:p w14:paraId="582CD43F" w14:textId="77777777" w:rsidR="0047458A" w:rsidRPr="0002798F" w:rsidRDefault="0047458A" w:rsidP="00CE50D6">
            <w:pPr>
              <w:pStyle w:val="TableText0"/>
              <w:keepNext w:val="0"/>
            </w:pPr>
          </w:p>
          <w:p w14:paraId="24F65D0A" w14:textId="3AE401FB" w:rsidR="008C41B5" w:rsidRPr="0002798F" w:rsidRDefault="008C41B5" w:rsidP="00CE50D6">
            <w:pPr>
              <w:pStyle w:val="TableText0"/>
              <w:keepNext w:val="0"/>
            </w:pPr>
            <w:r w:rsidRPr="0002798F">
              <w:t xml:space="preserve">Smyth-Medina, R., Johnston, J., Devries, D. K., Jasper, A., </w:t>
            </w:r>
            <w:proofErr w:type="spellStart"/>
            <w:r w:rsidRPr="0002798F">
              <w:t>Kannarr</w:t>
            </w:r>
            <w:proofErr w:type="spellEnd"/>
            <w:r w:rsidRPr="0002798F">
              <w:t xml:space="preserve">, S. R., Schechter, B. A., Shen Lee, B., Varghese, G., </w:t>
            </w:r>
            <w:proofErr w:type="spellStart"/>
            <w:r w:rsidRPr="0002798F">
              <w:t>Ogundele</w:t>
            </w:r>
            <w:proofErr w:type="spellEnd"/>
            <w:r w:rsidRPr="0002798F">
              <w:t xml:space="preserve">, A., Darby, C. H., </w:t>
            </w:r>
            <w:proofErr w:type="spellStart"/>
            <w:r w:rsidRPr="0002798F">
              <w:t>Karpecki</w:t>
            </w:r>
            <w:proofErr w:type="spellEnd"/>
            <w:r w:rsidRPr="0002798F">
              <w:t xml:space="preserve">, P. &amp; </w:t>
            </w:r>
            <w:proofErr w:type="spellStart"/>
            <w:r w:rsidRPr="0002798F">
              <w:t>Luchs</w:t>
            </w:r>
            <w:proofErr w:type="spellEnd"/>
            <w:r w:rsidRPr="0002798F">
              <w:t xml:space="preserve">, J. Effect of OTX-101, a Novel </w:t>
            </w:r>
            <w:proofErr w:type="spellStart"/>
            <w:r w:rsidRPr="0002798F">
              <w:t>Nanomicellar</w:t>
            </w:r>
            <w:proofErr w:type="spellEnd"/>
            <w:r w:rsidRPr="0002798F">
              <w:t xml:space="preserve"> Formulation of Cyclosporine A, on Conjunctival Staining in Patients with Keratoconjunctivitis Sicca: A Pooled Analysis of Phase 2b/3 and 3 Clinical Trials. </w:t>
            </w:r>
          </w:p>
        </w:tc>
        <w:tc>
          <w:tcPr>
            <w:tcW w:w="1402" w:type="pct"/>
            <w:tcBorders>
              <w:top w:val="nil"/>
              <w:bottom w:val="nil"/>
            </w:tcBorders>
            <w:vAlign w:val="center"/>
          </w:tcPr>
          <w:p w14:paraId="1A5C09C0" w14:textId="5CE0E2AC" w:rsidR="008C41B5" w:rsidRPr="0002798F" w:rsidRDefault="008C41B5" w:rsidP="00CE50D6">
            <w:pPr>
              <w:pStyle w:val="TableText0"/>
              <w:keepNext w:val="0"/>
              <w:rPr>
                <w:i/>
                <w:iCs/>
              </w:rPr>
            </w:pPr>
            <w:r w:rsidRPr="0002798F">
              <w:rPr>
                <w:i/>
                <w:iCs/>
              </w:rPr>
              <w:t xml:space="preserve">J </w:t>
            </w:r>
            <w:proofErr w:type="spellStart"/>
            <w:r w:rsidRPr="0002798F">
              <w:rPr>
                <w:i/>
                <w:iCs/>
              </w:rPr>
              <w:t>Ocul</w:t>
            </w:r>
            <w:proofErr w:type="spellEnd"/>
            <w:r w:rsidRPr="0002798F">
              <w:rPr>
                <w:i/>
                <w:iCs/>
              </w:rPr>
              <w:t xml:space="preserve"> </w:t>
            </w:r>
            <w:proofErr w:type="spellStart"/>
            <w:r w:rsidRPr="0002798F">
              <w:rPr>
                <w:i/>
                <w:iCs/>
              </w:rPr>
              <w:t>Pharmacol</w:t>
            </w:r>
            <w:proofErr w:type="spellEnd"/>
            <w:r w:rsidRPr="0002798F">
              <w:rPr>
                <w:i/>
                <w:iCs/>
              </w:rPr>
              <w:t xml:space="preserve"> </w:t>
            </w:r>
            <w:proofErr w:type="spellStart"/>
            <w:r w:rsidRPr="0002798F">
              <w:rPr>
                <w:i/>
                <w:iCs/>
              </w:rPr>
              <w:t>Ther</w:t>
            </w:r>
            <w:proofErr w:type="spellEnd"/>
            <w:r w:rsidRPr="0002798F">
              <w:t>, 2019. 35, 388-394.</w:t>
            </w:r>
          </w:p>
        </w:tc>
      </w:tr>
      <w:tr w:rsidR="008C41B5" w:rsidRPr="0002798F" w14:paraId="7F110E36" w14:textId="77777777" w:rsidTr="00CE50D6">
        <w:trPr>
          <w:cantSplit/>
        </w:trPr>
        <w:tc>
          <w:tcPr>
            <w:tcW w:w="795" w:type="pct"/>
            <w:vMerge/>
            <w:tcBorders>
              <w:bottom w:val="single" w:sz="4" w:space="0" w:color="auto"/>
            </w:tcBorders>
            <w:vAlign w:val="center"/>
          </w:tcPr>
          <w:p w14:paraId="07F53A97" w14:textId="77777777" w:rsidR="008C41B5" w:rsidRPr="0002798F" w:rsidRDefault="008C41B5" w:rsidP="00CE50D6">
            <w:pPr>
              <w:pStyle w:val="TableText0"/>
              <w:keepNext w:val="0"/>
              <w:jc w:val="center"/>
            </w:pPr>
          </w:p>
        </w:tc>
        <w:tc>
          <w:tcPr>
            <w:tcW w:w="2803" w:type="pct"/>
            <w:tcBorders>
              <w:top w:val="nil"/>
              <w:bottom w:val="single" w:sz="4" w:space="0" w:color="auto"/>
            </w:tcBorders>
            <w:vAlign w:val="center"/>
          </w:tcPr>
          <w:p w14:paraId="42DCB142" w14:textId="77777777" w:rsidR="0047458A" w:rsidRPr="0002798F" w:rsidRDefault="0047458A" w:rsidP="00CE50D6">
            <w:pPr>
              <w:pStyle w:val="TableText0"/>
              <w:keepNext w:val="0"/>
            </w:pPr>
          </w:p>
          <w:p w14:paraId="65D55A44" w14:textId="4AD75B77" w:rsidR="008C41B5" w:rsidRPr="0002798F" w:rsidRDefault="008C41B5" w:rsidP="00CE50D6">
            <w:pPr>
              <w:pStyle w:val="TableText0"/>
              <w:keepNext w:val="0"/>
            </w:pPr>
            <w:proofErr w:type="spellStart"/>
            <w:r w:rsidRPr="0002798F">
              <w:t>Toyos</w:t>
            </w:r>
            <w:proofErr w:type="spellEnd"/>
            <w:r w:rsidRPr="0002798F">
              <w:t xml:space="preserve">, M., Gupta, P. K., Mitchell, B. &amp; </w:t>
            </w:r>
            <w:proofErr w:type="spellStart"/>
            <w:r w:rsidRPr="0002798F">
              <w:t>Karpecki</w:t>
            </w:r>
            <w:proofErr w:type="spellEnd"/>
            <w:r w:rsidRPr="0002798F">
              <w:t xml:space="preserve">, P. The Effect of OTX-101 on Tear Production in Patients with Severe Tear-deficient Dry Eye Disease: A Pooled Analysis of Phase 2b/3 and Phase 3 Studies. </w:t>
            </w:r>
          </w:p>
        </w:tc>
        <w:tc>
          <w:tcPr>
            <w:tcW w:w="1402" w:type="pct"/>
            <w:tcBorders>
              <w:top w:val="nil"/>
              <w:bottom w:val="single" w:sz="4" w:space="0" w:color="auto"/>
            </w:tcBorders>
            <w:vAlign w:val="center"/>
          </w:tcPr>
          <w:p w14:paraId="44F4D15F" w14:textId="3A270D08" w:rsidR="008C41B5" w:rsidRPr="0002798F" w:rsidRDefault="008C41B5" w:rsidP="00CE50D6">
            <w:pPr>
              <w:pStyle w:val="TableText0"/>
              <w:keepNext w:val="0"/>
              <w:rPr>
                <w:i/>
                <w:iCs/>
              </w:rPr>
            </w:pPr>
            <w:proofErr w:type="spellStart"/>
            <w:r w:rsidRPr="0002798F">
              <w:rPr>
                <w:i/>
                <w:iCs/>
              </w:rPr>
              <w:t>Curr</w:t>
            </w:r>
            <w:proofErr w:type="spellEnd"/>
            <w:r w:rsidRPr="0002798F">
              <w:rPr>
                <w:i/>
                <w:iCs/>
              </w:rPr>
              <w:t xml:space="preserve"> Eye Res,</w:t>
            </w:r>
            <w:r w:rsidR="00046F6D" w:rsidRPr="0002798F">
              <w:t xml:space="preserve"> 2021.</w:t>
            </w:r>
            <w:r w:rsidRPr="0002798F">
              <w:t xml:space="preserve"> 1-5.</w:t>
            </w:r>
          </w:p>
        </w:tc>
      </w:tr>
      <w:tr w:rsidR="009E2682" w:rsidRPr="0002798F" w14:paraId="3A125EF9" w14:textId="77777777" w:rsidTr="00CE50D6">
        <w:trPr>
          <w:cantSplit/>
        </w:trPr>
        <w:tc>
          <w:tcPr>
            <w:tcW w:w="795" w:type="pct"/>
            <w:vMerge w:val="restart"/>
            <w:tcBorders>
              <w:top w:val="single" w:sz="4" w:space="0" w:color="auto"/>
              <w:left w:val="single" w:sz="4" w:space="0" w:color="auto"/>
              <w:right w:val="single" w:sz="4" w:space="0" w:color="auto"/>
            </w:tcBorders>
            <w:vAlign w:val="center"/>
          </w:tcPr>
          <w:p w14:paraId="5F27E287" w14:textId="77777777" w:rsidR="009E2682" w:rsidRPr="0002798F" w:rsidRDefault="009E2682" w:rsidP="009E2682">
            <w:pPr>
              <w:pStyle w:val="TableText0"/>
              <w:keepNext w:val="0"/>
              <w:jc w:val="center"/>
            </w:pPr>
            <w:r w:rsidRPr="0002798F">
              <w:t>SANSIKA</w:t>
            </w:r>
          </w:p>
        </w:tc>
        <w:tc>
          <w:tcPr>
            <w:tcW w:w="2803" w:type="pct"/>
            <w:tcBorders>
              <w:top w:val="single" w:sz="4" w:space="0" w:color="auto"/>
              <w:left w:val="single" w:sz="4" w:space="0" w:color="auto"/>
              <w:bottom w:val="single" w:sz="4" w:space="0" w:color="auto"/>
              <w:right w:val="single" w:sz="4" w:space="0" w:color="auto"/>
            </w:tcBorders>
            <w:vAlign w:val="center"/>
          </w:tcPr>
          <w:p w14:paraId="182A45BD" w14:textId="77777777" w:rsidR="009E2682" w:rsidRPr="009E2682" w:rsidRDefault="009E2682" w:rsidP="009E2682">
            <w:pPr>
              <w:pStyle w:val="TableText0"/>
              <w:keepNext w:val="0"/>
            </w:pPr>
            <w:r w:rsidRPr="0002798F">
              <w:t xml:space="preserve">A </w:t>
            </w:r>
            <w:proofErr w:type="spellStart"/>
            <w:r w:rsidRPr="0002798F">
              <w:t>multicenter</w:t>
            </w:r>
            <w:proofErr w:type="spellEnd"/>
            <w:r w:rsidRPr="0002798F">
              <w:t xml:space="preserve">, randomized, double-masked, 2 parallel arm, vehicle-controlled, 6-month phase III trial with a 6-month open label treatment safety follow-up period to evaluate the efficacy and safety of </w:t>
            </w:r>
            <w:proofErr w:type="spellStart"/>
            <w:r>
              <w:t>C</w:t>
            </w:r>
            <w:r w:rsidRPr="0002798F">
              <w:t>yclokat</w:t>
            </w:r>
            <w:proofErr w:type="spellEnd"/>
            <w:r w:rsidRPr="0002798F">
              <w:t>® 1 mg/ml (ciclosporin/cyclosporine) eye drops, emulsion administered once daily in adult patients with severe dry eye disease (DED)</w:t>
            </w:r>
          </w:p>
        </w:tc>
        <w:tc>
          <w:tcPr>
            <w:tcW w:w="1402" w:type="pct"/>
            <w:tcBorders>
              <w:top w:val="single" w:sz="4" w:space="0" w:color="auto"/>
              <w:left w:val="single" w:sz="4" w:space="0" w:color="auto"/>
              <w:bottom w:val="single" w:sz="4" w:space="0" w:color="auto"/>
              <w:right w:val="single" w:sz="4" w:space="0" w:color="auto"/>
            </w:tcBorders>
            <w:vAlign w:val="center"/>
          </w:tcPr>
          <w:p w14:paraId="28C21E55" w14:textId="77777777" w:rsidR="009E2682" w:rsidRPr="009E2682" w:rsidRDefault="009E2682" w:rsidP="009E2682">
            <w:pPr>
              <w:pStyle w:val="TableText0"/>
              <w:keepNext w:val="0"/>
              <w:rPr>
                <w:i/>
                <w:iCs/>
              </w:rPr>
            </w:pPr>
            <w:r w:rsidRPr="009E2682">
              <w:rPr>
                <w:i/>
                <w:iCs/>
              </w:rPr>
              <w:t>2011-000160-97 (Protocol no. NVG10E117)</w:t>
            </w:r>
          </w:p>
        </w:tc>
      </w:tr>
      <w:tr w:rsidR="009E2682" w:rsidRPr="0002798F" w14:paraId="652C2B6C" w14:textId="77777777" w:rsidTr="00CE50D6">
        <w:trPr>
          <w:cantSplit/>
        </w:trPr>
        <w:tc>
          <w:tcPr>
            <w:tcW w:w="795" w:type="pct"/>
            <w:vMerge/>
            <w:tcBorders>
              <w:top w:val="single" w:sz="4" w:space="0" w:color="auto"/>
              <w:left w:val="single" w:sz="4" w:space="0" w:color="auto"/>
              <w:right w:val="single" w:sz="4" w:space="0" w:color="auto"/>
            </w:tcBorders>
            <w:vAlign w:val="center"/>
          </w:tcPr>
          <w:p w14:paraId="6DD243DB" w14:textId="77777777" w:rsidR="009E2682" w:rsidRPr="0002798F" w:rsidRDefault="009E2682" w:rsidP="009E2682">
            <w:pPr>
              <w:pStyle w:val="TableText0"/>
              <w:keepNext w:val="0"/>
              <w:jc w:val="center"/>
            </w:pPr>
          </w:p>
        </w:tc>
        <w:tc>
          <w:tcPr>
            <w:tcW w:w="2803" w:type="pct"/>
            <w:tcBorders>
              <w:top w:val="single" w:sz="4" w:space="0" w:color="auto"/>
              <w:left w:val="single" w:sz="4" w:space="0" w:color="auto"/>
              <w:bottom w:val="single" w:sz="4" w:space="0" w:color="auto"/>
              <w:right w:val="single" w:sz="4" w:space="0" w:color="auto"/>
            </w:tcBorders>
            <w:vAlign w:val="center"/>
          </w:tcPr>
          <w:p w14:paraId="36821AC0" w14:textId="77777777" w:rsidR="009E2682" w:rsidRPr="0002798F" w:rsidRDefault="009E2682" w:rsidP="009E2682">
            <w:pPr>
              <w:pStyle w:val="TableText0"/>
              <w:keepNext w:val="0"/>
            </w:pPr>
            <w:r w:rsidRPr="0002798F">
              <w:t xml:space="preserve">Leonardi, A., Van </w:t>
            </w:r>
            <w:proofErr w:type="spellStart"/>
            <w:r w:rsidRPr="0002798F">
              <w:t>Setten</w:t>
            </w:r>
            <w:proofErr w:type="spellEnd"/>
            <w:r w:rsidRPr="0002798F">
              <w:t xml:space="preserve">, G., </w:t>
            </w:r>
            <w:proofErr w:type="spellStart"/>
            <w:r w:rsidRPr="0002798F">
              <w:t>Amrane</w:t>
            </w:r>
            <w:proofErr w:type="spellEnd"/>
            <w:r w:rsidRPr="0002798F">
              <w:t xml:space="preserve">, M., Ismail, D., Garrigue, J. S., </w:t>
            </w:r>
            <w:proofErr w:type="spellStart"/>
            <w:r w:rsidRPr="0002798F">
              <w:t>Figueiredo</w:t>
            </w:r>
            <w:proofErr w:type="spellEnd"/>
            <w:r w:rsidRPr="0002798F">
              <w:t xml:space="preserve">, F. C. &amp; Baudouin, C. Efficacy and safety of 0.1% cyclosporine A cationic emulsion in the treatment of severe dry eye disease: a </w:t>
            </w:r>
            <w:proofErr w:type="spellStart"/>
            <w:r w:rsidRPr="0002798F">
              <w:t>multicenter</w:t>
            </w:r>
            <w:proofErr w:type="spellEnd"/>
            <w:r w:rsidRPr="0002798F">
              <w:t xml:space="preserve"> randomized trial. </w:t>
            </w:r>
          </w:p>
        </w:tc>
        <w:tc>
          <w:tcPr>
            <w:tcW w:w="1402" w:type="pct"/>
            <w:tcBorders>
              <w:top w:val="single" w:sz="4" w:space="0" w:color="auto"/>
              <w:left w:val="single" w:sz="4" w:space="0" w:color="auto"/>
              <w:bottom w:val="single" w:sz="4" w:space="0" w:color="auto"/>
              <w:right w:val="single" w:sz="4" w:space="0" w:color="auto"/>
            </w:tcBorders>
            <w:vAlign w:val="center"/>
          </w:tcPr>
          <w:p w14:paraId="38490AB2" w14:textId="77777777" w:rsidR="009E2682" w:rsidRPr="009E2682" w:rsidRDefault="009E2682" w:rsidP="009E2682">
            <w:pPr>
              <w:pStyle w:val="TableText0"/>
              <w:keepNext w:val="0"/>
              <w:rPr>
                <w:i/>
                <w:iCs/>
              </w:rPr>
            </w:pPr>
            <w:r w:rsidRPr="0002798F">
              <w:rPr>
                <w:i/>
                <w:iCs/>
              </w:rPr>
              <w:t xml:space="preserve">Eur J </w:t>
            </w:r>
            <w:proofErr w:type="spellStart"/>
            <w:r w:rsidRPr="0002798F">
              <w:rPr>
                <w:i/>
                <w:iCs/>
              </w:rPr>
              <w:t>Ophthalmol</w:t>
            </w:r>
            <w:proofErr w:type="spellEnd"/>
            <w:r w:rsidRPr="0002798F">
              <w:rPr>
                <w:i/>
                <w:iCs/>
              </w:rPr>
              <w:t>,</w:t>
            </w:r>
            <w:r w:rsidRPr="009E2682">
              <w:rPr>
                <w:i/>
                <w:iCs/>
              </w:rPr>
              <w:t xml:space="preserve"> 2016. 26, 287-96.</w:t>
            </w:r>
          </w:p>
        </w:tc>
      </w:tr>
      <w:tr w:rsidR="009E2682" w:rsidRPr="0002798F" w14:paraId="68CE1667" w14:textId="77777777" w:rsidTr="00CE50D6">
        <w:trPr>
          <w:cantSplit/>
        </w:trPr>
        <w:tc>
          <w:tcPr>
            <w:tcW w:w="795" w:type="pct"/>
            <w:vMerge/>
            <w:tcBorders>
              <w:top w:val="single" w:sz="4" w:space="0" w:color="auto"/>
              <w:left w:val="single" w:sz="4" w:space="0" w:color="auto"/>
              <w:bottom w:val="single" w:sz="4" w:space="0" w:color="auto"/>
              <w:right w:val="single" w:sz="4" w:space="0" w:color="auto"/>
            </w:tcBorders>
            <w:vAlign w:val="center"/>
          </w:tcPr>
          <w:p w14:paraId="6A8AC97D" w14:textId="77777777" w:rsidR="009E2682" w:rsidRPr="0002798F" w:rsidRDefault="009E2682" w:rsidP="009E2682">
            <w:pPr>
              <w:pStyle w:val="TableText0"/>
              <w:keepNext w:val="0"/>
              <w:jc w:val="center"/>
            </w:pPr>
          </w:p>
        </w:tc>
        <w:tc>
          <w:tcPr>
            <w:tcW w:w="2803" w:type="pct"/>
            <w:tcBorders>
              <w:top w:val="single" w:sz="4" w:space="0" w:color="auto"/>
              <w:left w:val="single" w:sz="4" w:space="0" w:color="auto"/>
              <w:bottom w:val="single" w:sz="4" w:space="0" w:color="auto"/>
              <w:right w:val="single" w:sz="4" w:space="0" w:color="auto"/>
            </w:tcBorders>
            <w:vAlign w:val="center"/>
          </w:tcPr>
          <w:p w14:paraId="6960B8E5" w14:textId="77777777" w:rsidR="009E2682" w:rsidRPr="0002798F" w:rsidRDefault="009E2682" w:rsidP="009E2682">
            <w:pPr>
              <w:pStyle w:val="TableText0"/>
              <w:keepNext w:val="0"/>
            </w:pPr>
            <w:r w:rsidRPr="0002798F">
              <w:t xml:space="preserve">Baudouin, C., De La </w:t>
            </w:r>
            <w:proofErr w:type="spellStart"/>
            <w:r w:rsidRPr="0002798F">
              <w:t>Maza</w:t>
            </w:r>
            <w:proofErr w:type="spellEnd"/>
            <w:r w:rsidRPr="0002798F">
              <w:t xml:space="preserve">, M. S., </w:t>
            </w:r>
            <w:proofErr w:type="spellStart"/>
            <w:r w:rsidRPr="0002798F">
              <w:t>Amrane</w:t>
            </w:r>
            <w:proofErr w:type="spellEnd"/>
            <w:r w:rsidRPr="0002798F">
              <w:t xml:space="preserve">, M., Garrigue, J. S., Ismail, D., </w:t>
            </w:r>
            <w:proofErr w:type="spellStart"/>
            <w:r w:rsidRPr="0002798F">
              <w:t>Figueiredo</w:t>
            </w:r>
            <w:proofErr w:type="spellEnd"/>
            <w:r w:rsidRPr="0002798F">
              <w:t xml:space="preserve">, F. C. &amp; Leonardi, A. 2017. One-Year Efficacy and Safety of 0.1% Cyclosporine a Cationic Emulsion in the Treatment of Severe Dry Eye Disease. </w:t>
            </w:r>
          </w:p>
        </w:tc>
        <w:tc>
          <w:tcPr>
            <w:tcW w:w="1402" w:type="pct"/>
            <w:tcBorders>
              <w:top w:val="single" w:sz="4" w:space="0" w:color="auto"/>
              <w:left w:val="single" w:sz="4" w:space="0" w:color="auto"/>
              <w:bottom w:val="single" w:sz="4" w:space="0" w:color="auto"/>
              <w:right w:val="single" w:sz="4" w:space="0" w:color="auto"/>
            </w:tcBorders>
            <w:vAlign w:val="center"/>
          </w:tcPr>
          <w:p w14:paraId="3EA20607" w14:textId="77777777" w:rsidR="009E2682" w:rsidRPr="009E2682" w:rsidRDefault="009E2682" w:rsidP="009E2682">
            <w:pPr>
              <w:pStyle w:val="TableText0"/>
              <w:keepNext w:val="0"/>
              <w:rPr>
                <w:i/>
                <w:iCs/>
              </w:rPr>
            </w:pPr>
            <w:r w:rsidRPr="0002798F">
              <w:rPr>
                <w:i/>
                <w:iCs/>
              </w:rPr>
              <w:t xml:space="preserve">Eur J </w:t>
            </w:r>
            <w:proofErr w:type="spellStart"/>
            <w:r w:rsidRPr="0002798F">
              <w:rPr>
                <w:i/>
                <w:iCs/>
              </w:rPr>
              <w:t>Ophthalmol</w:t>
            </w:r>
            <w:proofErr w:type="spellEnd"/>
            <w:r w:rsidRPr="0002798F">
              <w:rPr>
                <w:i/>
                <w:iCs/>
              </w:rPr>
              <w:t>,</w:t>
            </w:r>
            <w:r w:rsidRPr="009E2682">
              <w:rPr>
                <w:i/>
                <w:iCs/>
              </w:rPr>
              <w:t xml:space="preserve"> 2017. 27, 678-685. </w:t>
            </w:r>
          </w:p>
        </w:tc>
      </w:tr>
      <w:tr w:rsidR="009E2682" w:rsidRPr="0002798F" w14:paraId="029CE9FE" w14:textId="77777777" w:rsidTr="00CE50D6">
        <w:trPr>
          <w:cantSplit/>
        </w:trPr>
        <w:tc>
          <w:tcPr>
            <w:tcW w:w="795" w:type="pct"/>
            <w:vMerge w:val="restart"/>
            <w:tcBorders>
              <w:top w:val="single" w:sz="4" w:space="0" w:color="auto"/>
              <w:left w:val="single" w:sz="4" w:space="0" w:color="auto"/>
              <w:right w:val="single" w:sz="4" w:space="0" w:color="auto"/>
            </w:tcBorders>
            <w:vAlign w:val="center"/>
          </w:tcPr>
          <w:p w14:paraId="453E61C8" w14:textId="77777777" w:rsidR="009E2682" w:rsidRPr="0002798F" w:rsidRDefault="009E2682" w:rsidP="009E2682">
            <w:pPr>
              <w:pStyle w:val="TableText0"/>
              <w:keepNext w:val="0"/>
            </w:pPr>
            <w:r w:rsidRPr="0002798F">
              <w:t>SICCANOVE</w:t>
            </w:r>
          </w:p>
        </w:tc>
        <w:tc>
          <w:tcPr>
            <w:tcW w:w="2803" w:type="pct"/>
            <w:tcBorders>
              <w:top w:val="single" w:sz="4" w:space="0" w:color="auto"/>
              <w:left w:val="single" w:sz="4" w:space="0" w:color="auto"/>
              <w:bottom w:val="single" w:sz="4" w:space="0" w:color="auto"/>
              <w:right w:val="single" w:sz="4" w:space="0" w:color="auto"/>
            </w:tcBorders>
            <w:vAlign w:val="center"/>
          </w:tcPr>
          <w:p w14:paraId="053A12DF" w14:textId="77777777" w:rsidR="009E2682" w:rsidRPr="0002798F" w:rsidRDefault="009E2682" w:rsidP="009E2682">
            <w:pPr>
              <w:pStyle w:val="TableText0"/>
              <w:keepNext w:val="0"/>
            </w:pPr>
            <w:r w:rsidRPr="009E2682">
              <w:t>A phase III, multicentre, randomised, controlled, double-masked trial of NOVA22007 (ciclosporin 0.1%) ophthalmic cationic emulsion versus vehicle in patients with moderate to severe dry eye syndrome</w:t>
            </w:r>
          </w:p>
        </w:tc>
        <w:tc>
          <w:tcPr>
            <w:tcW w:w="1402" w:type="pct"/>
            <w:tcBorders>
              <w:top w:val="single" w:sz="4" w:space="0" w:color="auto"/>
              <w:left w:val="single" w:sz="4" w:space="0" w:color="auto"/>
              <w:bottom w:val="single" w:sz="4" w:space="0" w:color="auto"/>
              <w:right w:val="single" w:sz="4" w:space="0" w:color="auto"/>
            </w:tcBorders>
            <w:vAlign w:val="center"/>
          </w:tcPr>
          <w:p w14:paraId="1FF2A6FE" w14:textId="77777777" w:rsidR="009E2682" w:rsidRPr="009E2682" w:rsidRDefault="009E2682" w:rsidP="009E2682">
            <w:pPr>
              <w:pStyle w:val="TableText0"/>
              <w:keepNext w:val="0"/>
              <w:rPr>
                <w:i/>
                <w:iCs/>
              </w:rPr>
            </w:pPr>
            <w:r w:rsidRPr="009E2682">
              <w:rPr>
                <w:i/>
                <w:iCs/>
              </w:rPr>
              <w:t>EudraCT</w:t>
            </w:r>
          </w:p>
          <w:p w14:paraId="3AFD17AB" w14:textId="77777777" w:rsidR="009E2682" w:rsidRPr="009E2682" w:rsidRDefault="009E2682" w:rsidP="009E2682">
            <w:pPr>
              <w:pStyle w:val="TableText0"/>
              <w:keepNext w:val="0"/>
              <w:rPr>
                <w:i/>
                <w:iCs/>
              </w:rPr>
            </w:pPr>
            <w:r w:rsidRPr="009E2682">
              <w:rPr>
                <w:i/>
                <w:iCs/>
              </w:rPr>
              <w:t>2007-000029-23 (Protocol no. NVG06C103)</w:t>
            </w:r>
          </w:p>
          <w:p w14:paraId="1A81DA35" w14:textId="77777777" w:rsidR="009E2682" w:rsidRPr="0002798F" w:rsidRDefault="009E2682" w:rsidP="009E2682">
            <w:pPr>
              <w:pStyle w:val="TableText0"/>
              <w:keepNext w:val="0"/>
              <w:rPr>
                <w:i/>
                <w:iCs/>
              </w:rPr>
            </w:pPr>
          </w:p>
        </w:tc>
      </w:tr>
      <w:tr w:rsidR="009E2682" w:rsidRPr="0002798F" w14:paraId="448F887F" w14:textId="77777777" w:rsidTr="00CE50D6">
        <w:trPr>
          <w:cantSplit/>
        </w:trPr>
        <w:tc>
          <w:tcPr>
            <w:tcW w:w="795" w:type="pct"/>
            <w:vMerge/>
            <w:tcBorders>
              <w:top w:val="single" w:sz="4" w:space="0" w:color="auto"/>
              <w:left w:val="single" w:sz="4" w:space="0" w:color="auto"/>
              <w:bottom w:val="single" w:sz="4" w:space="0" w:color="auto"/>
              <w:right w:val="single" w:sz="4" w:space="0" w:color="auto"/>
            </w:tcBorders>
            <w:vAlign w:val="center"/>
          </w:tcPr>
          <w:p w14:paraId="58C9545E" w14:textId="77777777" w:rsidR="009E2682" w:rsidRPr="0002798F" w:rsidRDefault="009E2682" w:rsidP="009E2682">
            <w:pPr>
              <w:pStyle w:val="TableText0"/>
              <w:keepNext w:val="0"/>
            </w:pPr>
          </w:p>
        </w:tc>
        <w:tc>
          <w:tcPr>
            <w:tcW w:w="2803" w:type="pct"/>
            <w:tcBorders>
              <w:top w:val="single" w:sz="4" w:space="0" w:color="auto"/>
              <w:left w:val="single" w:sz="4" w:space="0" w:color="auto"/>
              <w:bottom w:val="single" w:sz="4" w:space="0" w:color="auto"/>
              <w:right w:val="single" w:sz="4" w:space="0" w:color="auto"/>
            </w:tcBorders>
            <w:vAlign w:val="center"/>
          </w:tcPr>
          <w:p w14:paraId="3EB6829A" w14:textId="77777777" w:rsidR="009E2682" w:rsidRPr="0002798F" w:rsidRDefault="009E2682" w:rsidP="009E2682">
            <w:pPr>
              <w:pStyle w:val="TableText0"/>
              <w:keepNext w:val="0"/>
            </w:pPr>
            <w:r w:rsidRPr="0002798F">
              <w:t xml:space="preserve">Baudouin, C., </w:t>
            </w:r>
            <w:proofErr w:type="spellStart"/>
            <w:r w:rsidRPr="0002798F">
              <w:t>Figueiredo</w:t>
            </w:r>
            <w:proofErr w:type="spellEnd"/>
            <w:r w:rsidRPr="0002798F">
              <w:t xml:space="preserve">, F. C., Messmer, E. M., Ismail, D., </w:t>
            </w:r>
            <w:proofErr w:type="spellStart"/>
            <w:r w:rsidRPr="0002798F">
              <w:t>Amrane</w:t>
            </w:r>
            <w:proofErr w:type="spellEnd"/>
            <w:r w:rsidRPr="0002798F">
              <w:t xml:space="preserve">, M., Garrigue, J. S., </w:t>
            </w:r>
            <w:proofErr w:type="spellStart"/>
            <w:r w:rsidRPr="0002798F">
              <w:t>Bonini</w:t>
            </w:r>
            <w:proofErr w:type="spellEnd"/>
            <w:r w:rsidRPr="0002798F">
              <w:t xml:space="preserve">, S. &amp; Leonardi, A. 2017. A randomized study of the efficacy and safety of 0.1% cyclosporine A cationic emulsion in treatment of moderate to severe dry eye. </w:t>
            </w:r>
          </w:p>
        </w:tc>
        <w:tc>
          <w:tcPr>
            <w:tcW w:w="1402" w:type="pct"/>
            <w:tcBorders>
              <w:top w:val="single" w:sz="4" w:space="0" w:color="auto"/>
              <w:left w:val="single" w:sz="4" w:space="0" w:color="auto"/>
              <w:bottom w:val="single" w:sz="4" w:space="0" w:color="auto"/>
              <w:right w:val="single" w:sz="4" w:space="0" w:color="auto"/>
            </w:tcBorders>
            <w:vAlign w:val="center"/>
          </w:tcPr>
          <w:p w14:paraId="7ABD205D" w14:textId="77777777" w:rsidR="009E2682" w:rsidRPr="009E2682" w:rsidRDefault="009E2682" w:rsidP="009E2682">
            <w:pPr>
              <w:pStyle w:val="TableText0"/>
              <w:keepNext w:val="0"/>
              <w:rPr>
                <w:i/>
                <w:iCs/>
              </w:rPr>
            </w:pPr>
            <w:r w:rsidRPr="0002798F">
              <w:rPr>
                <w:i/>
                <w:iCs/>
              </w:rPr>
              <w:t xml:space="preserve">Eur J </w:t>
            </w:r>
            <w:proofErr w:type="spellStart"/>
            <w:r w:rsidRPr="0002798F">
              <w:rPr>
                <w:i/>
                <w:iCs/>
              </w:rPr>
              <w:t>Ophthalmol</w:t>
            </w:r>
            <w:proofErr w:type="spellEnd"/>
            <w:r w:rsidRPr="0002798F">
              <w:rPr>
                <w:i/>
                <w:iCs/>
              </w:rPr>
              <w:t>,</w:t>
            </w:r>
            <w:r w:rsidRPr="009E2682">
              <w:rPr>
                <w:i/>
                <w:iCs/>
              </w:rPr>
              <w:t xml:space="preserve"> 2017. 27, 520-530.</w:t>
            </w:r>
          </w:p>
        </w:tc>
      </w:tr>
      <w:tr w:rsidR="009E2682" w:rsidRPr="0002798F" w14:paraId="7F0FD6A0" w14:textId="77777777" w:rsidTr="00CE50D6">
        <w:trPr>
          <w:cantSplit/>
        </w:trPr>
        <w:tc>
          <w:tcPr>
            <w:tcW w:w="795" w:type="pct"/>
            <w:tcBorders>
              <w:top w:val="single" w:sz="4" w:space="0" w:color="auto"/>
              <w:left w:val="single" w:sz="4" w:space="0" w:color="auto"/>
              <w:bottom w:val="single" w:sz="4" w:space="0" w:color="auto"/>
              <w:right w:val="single" w:sz="4" w:space="0" w:color="auto"/>
            </w:tcBorders>
            <w:vAlign w:val="center"/>
          </w:tcPr>
          <w:p w14:paraId="51743B97" w14:textId="77777777" w:rsidR="009E2682" w:rsidRPr="0002798F" w:rsidRDefault="009E2682" w:rsidP="009E2682">
            <w:pPr>
              <w:pStyle w:val="TableText0"/>
              <w:keepNext w:val="0"/>
            </w:pPr>
            <w:r w:rsidRPr="0002798F">
              <w:t>Meta</w:t>
            </w:r>
            <w:r>
              <w:t>-</w:t>
            </w:r>
            <w:r w:rsidRPr="0002798F">
              <w:t>analysis of SICCANOVE and SANSIKA</w:t>
            </w:r>
          </w:p>
        </w:tc>
        <w:tc>
          <w:tcPr>
            <w:tcW w:w="2803" w:type="pct"/>
            <w:tcBorders>
              <w:top w:val="single" w:sz="4" w:space="0" w:color="auto"/>
              <w:left w:val="single" w:sz="4" w:space="0" w:color="auto"/>
              <w:bottom w:val="single" w:sz="4" w:space="0" w:color="auto"/>
              <w:right w:val="single" w:sz="4" w:space="0" w:color="auto"/>
            </w:tcBorders>
            <w:vAlign w:val="center"/>
          </w:tcPr>
          <w:p w14:paraId="731EE652" w14:textId="77777777" w:rsidR="009E2682" w:rsidRPr="0002798F" w:rsidRDefault="009E2682" w:rsidP="009E2682">
            <w:pPr>
              <w:pStyle w:val="TableText0"/>
              <w:keepNext w:val="0"/>
            </w:pPr>
            <w:r w:rsidRPr="0002798F">
              <w:t xml:space="preserve">Leonardi, A., Messmer, E. M., </w:t>
            </w:r>
            <w:proofErr w:type="spellStart"/>
            <w:r w:rsidRPr="0002798F">
              <w:t>Labetoulle</w:t>
            </w:r>
            <w:proofErr w:type="spellEnd"/>
            <w:r w:rsidRPr="0002798F">
              <w:t xml:space="preserve">, M., </w:t>
            </w:r>
            <w:proofErr w:type="spellStart"/>
            <w:r w:rsidRPr="0002798F">
              <w:t>Amrane</w:t>
            </w:r>
            <w:proofErr w:type="spellEnd"/>
            <w:r w:rsidRPr="0002798F">
              <w:t xml:space="preserve">, M., Garrigue, J. S., Ismail, D., </w:t>
            </w:r>
            <w:proofErr w:type="spellStart"/>
            <w:r w:rsidRPr="0002798F">
              <w:t>Sainz</w:t>
            </w:r>
            <w:proofErr w:type="spellEnd"/>
            <w:r w:rsidRPr="0002798F">
              <w:t>-De-La-</w:t>
            </w:r>
            <w:proofErr w:type="spellStart"/>
            <w:r w:rsidRPr="0002798F">
              <w:t>Maza</w:t>
            </w:r>
            <w:proofErr w:type="spellEnd"/>
            <w:r w:rsidRPr="0002798F">
              <w:t xml:space="preserve">, M., </w:t>
            </w:r>
            <w:proofErr w:type="spellStart"/>
            <w:r w:rsidRPr="0002798F">
              <w:t>Figueiredo</w:t>
            </w:r>
            <w:proofErr w:type="spellEnd"/>
            <w:r w:rsidRPr="0002798F">
              <w:t>, F. C. &amp; Baudouin, C.</w:t>
            </w:r>
            <w:r>
              <w:t xml:space="preserve"> </w:t>
            </w:r>
            <w:r w:rsidRPr="0002798F">
              <w:t xml:space="preserve">Efficacy and safety of 0.1% ciclosporin A cationic emulsion in dry eye disease: a pooled analysis of two double-masked, randomised, vehicle-controlled phase III clinical studies. </w:t>
            </w:r>
          </w:p>
        </w:tc>
        <w:tc>
          <w:tcPr>
            <w:tcW w:w="1402" w:type="pct"/>
            <w:tcBorders>
              <w:top w:val="single" w:sz="4" w:space="0" w:color="auto"/>
              <w:left w:val="single" w:sz="4" w:space="0" w:color="auto"/>
              <w:bottom w:val="single" w:sz="4" w:space="0" w:color="auto"/>
              <w:right w:val="single" w:sz="4" w:space="0" w:color="auto"/>
            </w:tcBorders>
            <w:vAlign w:val="center"/>
          </w:tcPr>
          <w:p w14:paraId="0376C929" w14:textId="77777777" w:rsidR="009E2682" w:rsidRPr="009E2682" w:rsidRDefault="009E2682" w:rsidP="009E2682">
            <w:pPr>
              <w:pStyle w:val="TableText0"/>
              <w:keepNext w:val="0"/>
              <w:rPr>
                <w:i/>
                <w:iCs/>
              </w:rPr>
            </w:pPr>
            <w:r w:rsidRPr="0002798F">
              <w:rPr>
                <w:i/>
                <w:iCs/>
              </w:rPr>
              <w:t xml:space="preserve">Br J </w:t>
            </w:r>
            <w:proofErr w:type="spellStart"/>
            <w:r w:rsidRPr="0002798F">
              <w:rPr>
                <w:i/>
                <w:iCs/>
              </w:rPr>
              <w:t>Ophthalmol</w:t>
            </w:r>
            <w:proofErr w:type="spellEnd"/>
            <w:r w:rsidRPr="0002798F">
              <w:rPr>
                <w:i/>
                <w:iCs/>
              </w:rPr>
              <w:t>,</w:t>
            </w:r>
            <w:r w:rsidRPr="009E2682">
              <w:rPr>
                <w:i/>
                <w:iCs/>
              </w:rPr>
              <w:t xml:space="preserve"> 2019. 103, 125-131.</w:t>
            </w:r>
          </w:p>
        </w:tc>
      </w:tr>
    </w:tbl>
    <w:p w14:paraId="51D8173A" w14:textId="0DE67FFD" w:rsidR="008E0D3C" w:rsidRPr="00AC1168" w:rsidRDefault="008E0D3C" w:rsidP="00AC1168">
      <w:pPr>
        <w:pStyle w:val="TableFigureFooter"/>
      </w:pPr>
      <w:r w:rsidRPr="00AC1168">
        <w:t>Source: Table</w:t>
      </w:r>
      <w:r w:rsidR="00980C29" w:rsidRPr="00AC1168">
        <w:t xml:space="preserve"> 2.2.1</w:t>
      </w:r>
      <w:r w:rsidRPr="00AC1168">
        <w:t>, p</w:t>
      </w:r>
      <w:r w:rsidR="00AF4B70" w:rsidRPr="00AC1168">
        <w:t>p</w:t>
      </w:r>
      <w:r w:rsidR="00980C29" w:rsidRPr="00AC1168">
        <w:t>31-32</w:t>
      </w:r>
      <w:r w:rsidRPr="00AC1168">
        <w:t xml:space="preserve"> of the submission.</w:t>
      </w:r>
    </w:p>
    <w:p w14:paraId="1DD06D7D" w14:textId="7B44699A" w:rsidR="007F1017" w:rsidRPr="0002798F" w:rsidRDefault="008F120A" w:rsidP="00EC5836">
      <w:pPr>
        <w:pStyle w:val="3-BodyText"/>
        <w:rPr>
          <w:color w:val="0066FF"/>
        </w:rPr>
      </w:pPr>
      <w:r w:rsidRPr="0002798F">
        <w:t xml:space="preserve">The key features of the </w:t>
      </w:r>
      <w:r w:rsidR="00621ADA" w:rsidRPr="0002798F">
        <w:t>included evidence</w:t>
      </w:r>
      <w:r w:rsidRPr="0002798F">
        <w:t xml:space="preserve"> are summarised in </w:t>
      </w:r>
      <w:r w:rsidR="00C21FFA" w:rsidRPr="0002798F">
        <w:t>T</w:t>
      </w:r>
      <w:r w:rsidRPr="0002798F">
        <w:t>able</w:t>
      </w:r>
      <w:r w:rsidR="007A56F7" w:rsidRPr="0002798F">
        <w:t xml:space="preserve"> </w:t>
      </w:r>
      <w:r w:rsidR="00C21FFA" w:rsidRPr="0002798F">
        <w:t>3</w:t>
      </w:r>
      <w:r w:rsidRPr="0002798F">
        <w:t xml:space="preserve"> below.</w:t>
      </w:r>
    </w:p>
    <w:p w14:paraId="798EBB5F" w14:textId="2E7FF37F" w:rsidR="007335BB" w:rsidRDefault="00855318" w:rsidP="00EC5836">
      <w:pPr>
        <w:pStyle w:val="3-BodyText"/>
      </w:pPr>
      <w:r w:rsidRPr="002503CB">
        <w:rPr>
          <w:iCs/>
        </w:rPr>
        <w:t xml:space="preserve">Although ‘vehicle’ was nominated as the common comparator, the </w:t>
      </w:r>
      <w:r w:rsidR="005B03D4" w:rsidRPr="002503CB">
        <w:rPr>
          <w:iCs/>
        </w:rPr>
        <w:t>vehicle</w:t>
      </w:r>
      <w:r w:rsidR="005B03D4" w:rsidRPr="00143FBF">
        <w:t xml:space="preserve"> </w:t>
      </w:r>
      <w:r w:rsidR="005B03D4" w:rsidRPr="002503CB">
        <w:rPr>
          <w:iCs/>
        </w:rPr>
        <w:t xml:space="preserve">of the </w:t>
      </w:r>
      <w:r w:rsidR="00FE3ECB" w:rsidRPr="002503CB">
        <w:rPr>
          <w:iCs/>
        </w:rPr>
        <w:t>intervention</w:t>
      </w:r>
      <w:r w:rsidR="005B03D4" w:rsidRPr="002503CB">
        <w:rPr>
          <w:iCs/>
        </w:rPr>
        <w:t xml:space="preserve"> </w:t>
      </w:r>
      <w:r w:rsidR="00143FBF" w:rsidRPr="002503CB">
        <w:rPr>
          <w:iCs/>
        </w:rPr>
        <w:t xml:space="preserve">(aqueous </w:t>
      </w:r>
      <w:proofErr w:type="spellStart"/>
      <w:r w:rsidR="00143FBF" w:rsidRPr="002503CB">
        <w:rPr>
          <w:iCs/>
        </w:rPr>
        <w:t>nanomicellar</w:t>
      </w:r>
      <w:proofErr w:type="spellEnd"/>
      <w:r w:rsidR="00143FBF" w:rsidRPr="002503CB">
        <w:rPr>
          <w:iCs/>
        </w:rPr>
        <w:t xml:space="preserve"> ophthalmic solution)</w:t>
      </w:r>
      <w:r w:rsidRPr="002503CB">
        <w:rPr>
          <w:iCs/>
        </w:rPr>
        <w:t xml:space="preserve"> and the comparator </w:t>
      </w:r>
      <w:r w:rsidR="005B03D4" w:rsidRPr="002503CB">
        <w:rPr>
          <w:iCs/>
        </w:rPr>
        <w:t>(cationic</w:t>
      </w:r>
      <w:r w:rsidR="0077571D" w:rsidRPr="002503CB">
        <w:rPr>
          <w:iCs/>
        </w:rPr>
        <w:t xml:space="preserve"> lipid-based</w:t>
      </w:r>
      <w:r w:rsidR="005B03D4" w:rsidRPr="002503CB">
        <w:rPr>
          <w:iCs/>
        </w:rPr>
        <w:t xml:space="preserve"> emulsion) </w:t>
      </w:r>
      <w:r w:rsidR="007F4BA4" w:rsidRPr="002503CB">
        <w:rPr>
          <w:iCs/>
        </w:rPr>
        <w:t xml:space="preserve">were </w:t>
      </w:r>
      <w:r w:rsidR="005B03D4" w:rsidRPr="002503CB">
        <w:rPr>
          <w:iCs/>
        </w:rPr>
        <w:t>different</w:t>
      </w:r>
      <w:r w:rsidR="00AA7212" w:rsidRPr="002503CB">
        <w:rPr>
          <w:iCs/>
        </w:rPr>
        <w:t xml:space="preserve">. </w:t>
      </w:r>
      <w:r w:rsidR="00685235" w:rsidRPr="002503CB">
        <w:rPr>
          <w:iCs/>
        </w:rPr>
        <w:t>I</w:t>
      </w:r>
      <w:r w:rsidRPr="002503CB">
        <w:rPr>
          <w:iCs/>
        </w:rPr>
        <w:t xml:space="preserve">n its </w:t>
      </w:r>
      <w:r w:rsidR="00685235" w:rsidRPr="002503CB">
        <w:rPr>
          <w:iCs/>
        </w:rPr>
        <w:t xml:space="preserve">previous </w:t>
      </w:r>
      <w:r w:rsidRPr="002503CB">
        <w:rPr>
          <w:iCs/>
        </w:rPr>
        <w:t>consideration of the</w:t>
      </w:r>
      <w:r w:rsidR="00297A78" w:rsidRPr="002503CB">
        <w:rPr>
          <w:iCs/>
        </w:rPr>
        <w:t xml:space="preserve"> 0.1% </w:t>
      </w:r>
      <w:proofErr w:type="spellStart"/>
      <w:r w:rsidR="00297A78" w:rsidRPr="002503CB">
        <w:rPr>
          <w:iCs/>
        </w:rPr>
        <w:t>CsA</w:t>
      </w:r>
      <w:proofErr w:type="spellEnd"/>
      <w:r w:rsidR="00297A78" w:rsidRPr="002503CB">
        <w:rPr>
          <w:iCs/>
        </w:rPr>
        <w:t xml:space="preserve"> CE trials</w:t>
      </w:r>
      <w:r w:rsidR="00685235" w:rsidRPr="002503CB">
        <w:rPr>
          <w:iCs/>
        </w:rPr>
        <w:t>, the PBAC considered</w:t>
      </w:r>
      <w:r w:rsidR="00297A78" w:rsidRPr="002503CB">
        <w:rPr>
          <w:iCs/>
        </w:rPr>
        <w:t xml:space="preserve"> </w:t>
      </w:r>
      <w:r w:rsidRPr="002503CB">
        <w:rPr>
          <w:iCs/>
        </w:rPr>
        <w:t xml:space="preserve">that the </w:t>
      </w:r>
      <w:r w:rsidR="002D0C51" w:rsidRPr="002503CB">
        <w:rPr>
          <w:iCs/>
        </w:rPr>
        <w:t>cationic lipid</w:t>
      </w:r>
      <w:r w:rsidR="0070127A" w:rsidRPr="002503CB">
        <w:rPr>
          <w:iCs/>
        </w:rPr>
        <w:t>-</w:t>
      </w:r>
      <w:r w:rsidR="002D0C51" w:rsidRPr="002503CB">
        <w:rPr>
          <w:iCs/>
        </w:rPr>
        <w:t xml:space="preserve">based emulsion </w:t>
      </w:r>
      <w:r w:rsidRPr="002503CB">
        <w:rPr>
          <w:iCs/>
        </w:rPr>
        <w:t xml:space="preserve">vehicle </w:t>
      </w:r>
      <w:r w:rsidR="00AA7212" w:rsidRPr="002503CB">
        <w:rPr>
          <w:iCs/>
        </w:rPr>
        <w:t xml:space="preserve">showed superior </w:t>
      </w:r>
      <w:r w:rsidRPr="002503CB">
        <w:rPr>
          <w:iCs/>
        </w:rPr>
        <w:t>efficacy</w:t>
      </w:r>
      <w:r w:rsidR="00F02DED" w:rsidRPr="002503CB">
        <w:rPr>
          <w:iCs/>
        </w:rPr>
        <w:t xml:space="preserve"> compared to</w:t>
      </w:r>
      <w:r w:rsidR="00AA7212" w:rsidRPr="002503CB">
        <w:rPr>
          <w:iCs/>
        </w:rPr>
        <w:t xml:space="preserve"> artificial tears</w:t>
      </w:r>
      <w:r w:rsidR="002D0C51" w:rsidRPr="002503CB">
        <w:rPr>
          <w:iCs/>
        </w:rPr>
        <w:t xml:space="preserve"> </w:t>
      </w:r>
      <w:r w:rsidR="00ED42AB" w:rsidRPr="002503CB">
        <w:rPr>
          <w:iCs/>
        </w:rPr>
        <w:t>(paragraph</w:t>
      </w:r>
      <w:r w:rsidR="00895BF0" w:rsidRPr="002503CB">
        <w:rPr>
          <w:iCs/>
        </w:rPr>
        <w:t xml:space="preserve"> </w:t>
      </w:r>
      <w:r w:rsidR="00AA7212" w:rsidRPr="002503CB">
        <w:rPr>
          <w:iCs/>
        </w:rPr>
        <w:t>6.14</w:t>
      </w:r>
      <w:r w:rsidR="00895BF0" w:rsidRPr="002503CB">
        <w:rPr>
          <w:iCs/>
        </w:rPr>
        <w:t xml:space="preserve"> and</w:t>
      </w:r>
      <w:r w:rsidR="00ED42AB" w:rsidRPr="002503CB">
        <w:rPr>
          <w:iCs/>
        </w:rPr>
        <w:t xml:space="preserve"> 7.5, ciclosporin, Public Summary Document</w:t>
      </w:r>
      <w:r w:rsidR="00A449C6">
        <w:rPr>
          <w:iCs/>
        </w:rPr>
        <w:t xml:space="preserve"> (PSD)</w:t>
      </w:r>
      <w:r w:rsidR="00ED42AB" w:rsidRPr="002503CB">
        <w:rPr>
          <w:iCs/>
        </w:rPr>
        <w:t>, March 2021 PBAC meeting)</w:t>
      </w:r>
      <w:r w:rsidRPr="002503CB">
        <w:rPr>
          <w:iCs/>
        </w:rPr>
        <w:t>.</w:t>
      </w:r>
    </w:p>
    <w:p w14:paraId="4B83BBF3" w14:textId="4F245946" w:rsidR="00045017" w:rsidRPr="0002798F" w:rsidRDefault="00364F73" w:rsidP="00EC5836">
      <w:pPr>
        <w:pStyle w:val="3-BodyText"/>
        <w:rPr>
          <w:color w:val="0066FF"/>
        </w:rPr>
      </w:pPr>
      <w:r w:rsidRPr="0002798F">
        <w:t>The</w:t>
      </w:r>
      <w:r w:rsidR="00855318" w:rsidRPr="0002798F">
        <w:t xml:space="preserve"> </w:t>
      </w:r>
      <w:r w:rsidR="006750FD">
        <w:t>post hoc</w:t>
      </w:r>
      <w:r w:rsidR="00855318" w:rsidRPr="0002798F">
        <w:t xml:space="preserve"> sub</w:t>
      </w:r>
      <w:r w:rsidR="00C21FFA" w:rsidRPr="0002798F">
        <w:t>group analys</w:t>
      </w:r>
      <w:r w:rsidR="00297A78" w:rsidRPr="0002798F">
        <w:t>e</w:t>
      </w:r>
      <w:r w:rsidR="00C21FFA" w:rsidRPr="0002798F">
        <w:t>s</w:t>
      </w:r>
      <w:r w:rsidRPr="0002798F">
        <w:t xml:space="preserve"> were used</w:t>
      </w:r>
      <w:r w:rsidR="00855318" w:rsidRPr="0002798F">
        <w:t xml:space="preserve"> </w:t>
      </w:r>
      <w:r w:rsidR="00C21FFA" w:rsidRPr="0002798F">
        <w:t xml:space="preserve">as the basis </w:t>
      </w:r>
      <w:r w:rsidR="004C6D4A">
        <w:t>for</w:t>
      </w:r>
      <w:r w:rsidR="004C6D4A" w:rsidRPr="0002798F">
        <w:t xml:space="preserve"> </w:t>
      </w:r>
      <w:r w:rsidRPr="0002798F">
        <w:t>the claim of non-inferior effectiveness</w:t>
      </w:r>
      <w:r w:rsidR="00C21FFA" w:rsidRPr="0002798F">
        <w:t>. The details of the populations and outcomes used for this comparison are shown in Table 4.</w:t>
      </w:r>
    </w:p>
    <w:p w14:paraId="46127FBD" w14:textId="22AA93A7" w:rsidR="00AC1168" w:rsidRDefault="00AC1168" w:rsidP="00AC1168">
      <w:pPr>
        <w:pStyle w:val="TableFigureHeading"/>
      </w:pPr>
      <w:r>
        <w:lastRenderedPageBreak/>
        <w:t xml:space="preserve">Table </w:t>
      </w:r>
      <w:fldSimple w:instr=" SEQ Table \* ARABIC ">
        <w:r w:rsidR="001811EC">
          <w:rPr>
            <w:noProof/>
          </w:rPr>
          <w:t>3</w:t>
        </w:r>
      </w:fldSimple>
      <w:r w:rsidRPr="004B2F27">
        <w:t>: Key features of the evidence – indirect comparison</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evidence – indirect comparison"/>
        <w:tblDescription w:val="Table 3: Key features of the evidence – indirect comparison"/>
      </w:tblPr>
      <w:tblGrid>
        <w:gridCol w:w="1304"/>
        <w:gridCol w:w="852"/>
        <w:gridCol w:w="1426"/>
        <w:gridCol w:w="807"/>
        <w:gridCol w:w="1885"/>
        <w:gridCol w:w="1656"/>
        <w:gridCol w:w="1563"/>
      </w:tblGrid>
      <w:tr w:rsidR="00855318" w:rsidRPr="0002798F" w14:paraId="4CCAF103" w14:textId="77777777" w:rsidTr="00AC1168">
        <w:trPr>
          <w:tblHeader/>
        </w:trPr>
        <w:tc>
          <w:tcPr>
            <w:tcW w:w="687" w:type="pct"/>
            <w:shd w:val="clear" w:color="auto" w:fill="auto"/>
            <w:vAlign w:val="center"/>
          </w:tcPr>
          <w:p w14:paraId="12B6713F" w14:textId="77777777" w:rsidR="00855318" w:rsidRPr="0002798F" w:rsidRDefault="00855318" w:rsidP="00713290">
            <w:pPr>
              <w:pStyle w:val="In-tableHeading"/>
              <w:rPr>
                <w:lang w:val="en-AU"/>
              </w:rPr>
            </w:pPr>
            <w:r w:rsidRPr="0002798F">
              <w:rPr>
                <w:lang w:val="en-AU"/>
              </w:rPr>
              <w:t>Trial</w:t>
            </w:r>
          </w:p>
        </w:tc>
        <w:tc>
          <w:tcPr>
            <w:tcW w:w="449" w:type="pct"/>
            <w:shd w:val="clear" w:color="auto" w:fill="auto"/>
            <w:vAlign w:val="center"/>
          </w:tcPr>
          <w:p w14:paraId="7C2338DA" w14:textId="77777777" w:rsidR="00855318" w:rsidRPr="0002798F" w:rsidRDefault="00855318" w:rsidP="00713290">
            <w:pPr>
              <w:pStyle w:val="In-tableHeading"/>
              <w:jc w:val="center"/>
              <w:rPr>
                <w:lang w:val="en-AU"/>
              </w:rPr>
            </w:pPr>
            <w:r w:rsidRPr="0002798F">
              <w:rPr>
                <w:lang w:val="en-AU"/>
              </w:rPr>
              <w:t>N</w:t>
            </w:r>
          </w:p>
        </w:tc>
        <w:tc>
          <w:tcPr>
            <w:tcW w:w="751" w:type="pct"/>
            <w:shd w:val="clear" w:color="auto" w:fill="auto"/>
            <w:vAlign w:val="center"/>
          </w:tcPr>
          <w:p w14:paraId="6E490186" w14:textId="77777777" w:rsidR="00855318" w:rsidRPr="0002798F" w:rsidRDefault="00855318" w:rsidP="00713290">
            <w:pPr>
              <w:pStyle w:val="In-tableHeading"/>
              <w:jc w:val="center"/>
              <w:rPr>
                <w:lang w:val="en-AU"/>
              </w:rPr>
            </w:pPr>
            <w:r w:rsidRPr="0002798F">
              <w:rPr>
                <w:lang w:val="en-AU"/>
              </w:rPr>
              <w:t>Design/duration</w:t>
            </w:r>
          </w:p>
        </w:tc>
        <w:tc>
          <w:tcPr>
            <w:tcW w:w="425" w:type="pct"/>
            <w:shd w:val="clear" w:color="auto" w:fill="auto"/>
            <w:vAlign w:val="center"/>
          </w:tcPr>
          <w:p w14:paraId="01CC551D" w14:textId="77777777" w:rsidR="00855318" w:rsidRPr="0002798F" w:rsidRDefault="00855318" w:rsidP="00713290">
            <w:pPr>
              <w:pStyle w:val="In-tableHeading"/>
              <w:jc w:val="center"/>
              <w:rPr>
                <w:lang w:val="en-AU"/>
              </w:rPr>
            </w:pPr>
            <w:r w:rsidRPr="0002798F">
              <w:rPr>
                <w:lang w:val="en-AU"/>
              </w:rPr>
              <w:t>Risk of bias</w:t>
            </w:r>
          </w:p>
        </w:tc>
        <w:tc>
          <w:tcPr>
            <w:tcW w:w="993" w:type="pct"/>
            <w:shd w:val="clear" w:color="auto" w:fill="auto"/>
            <w:vAlign w:val="center"/>
          </w:tcPr>
          <w:p w14:paraId="16E9EE83" w14:textId="77777777" w:rsidR="00855318" w:rsidRPr="0002798F" w:rsidRDefault="00855318" w:rsidP="00713290">
            <w:pPr>
              <w:pStyle w:val="In-tableHeading"/>
              <w:jc w:val="center"/>
              <w:rPr>
                <w:lang w:val="en-AU"/>
              </w:rPr>
            </w:pPr>
            <w:r w:rsidRPr="0002798F">
              <w:rPr>
                <w:lang w:val="en-AU"/>
              </w:rPr>
              <w:t>Eligibility Criteria</w:t>
            </w:r>
          </w:p>
        </w:tc>
        <w:tc>
          <w:tcPr>
            <w:tcW w:w="872" w:type="pct"/>
            <w:shd w:val="clear" w:color="auto" w:fill="auto"/>
            <w:vAlign w:val="center"/>
          </w:tcPr>
          <w:p w14:paraId="276FDB2E" w14:textId="77777777" w:rsidR="00855318" w:rsidRPr="0002798F" w:rsidRDefault="00855318" w:rsidP="00713290">
            <w:pPr>
              <w:pStyle w:val="In-tableHeading"/>
              <w:jc w:val="center"/>
              <w:rPr>
                <w:lang w:val="en-AU"/>
              </w:rPr>
            </w:pPr>
            <w:r w:rsidRPr="0002798F">
              <w:rPr>
                <w:lang w:val="en-AU"/>
              </w:rPr>
              <w:t>Primary Outcome(s)</w:t>
            </w:r>
          </w:p>
        </w:tc>
        <w:tc>
          <w:tcPr>
            <w:tcW w:w="823" w:type="pct"/>
            <w:shd w:val="clear" w:color="auto" w:fill="auto"/>
            <w:vAlign w:val="center"/>
          </w:tcPr>
          <w:p w14:paraId="0938380D" w14:textId="77777777" w:rsidR="00855318" w:rsidRPr="0002798F" w:rsidRDefault="00855318" w:rsidP="00713290">
            <w:pPr>
              <w:pStyle w:val="In-tableHeading"/>
              <w:jc w:val="center"/>
              <w:rPr>
                <w:lang w:val="en-AU"/>
              </w:rPr>
            </w:pPr>
            <w:r w:rsidRPr="0002798F">
              <w:rPr>
                <w:lang w:val="en-AU"/>
              </w:rPr>
              <w:t>Notes</w:t>
            </w:r>
          </w:p>
        </w:tc>
      </w:tr>
      <w:tr w:rsidR="00855318" w:rsidRPr="0002798F" w14:paraId="5585FD29" w14:textId="77777777" w:rsidTr="0051425F">
        <w:trPr>
          <w:trHeight w:val="253"/>
        </w:trPr>
        <w:tc>
          <w:tcPr>
            <w:tcW w:w="5000" w:type="pct"/>
            <w:gridSpan w:val="7"/>
            <w:shd w:val="clear" w:color="auto" w:fill="auto"/>
            <w:vAlign w:val="center"/>
          </w:tcPr>
          <w:p w14:paraId="208CD2F6" w14:textId="5CF336AC" w:rsidR="00590F7A" w:rsidRPr="0002798F" w:rsidRDefault="00716F07" w:rsidP="00590F7A">
            <w:pPr>
              <w:pStyle w:val="In-tableHeading"/>
              <w:rPr>
                <w:lang w:val="en-AU"/>
              </w:rPr>
            </w:pPr>
            <w:r w:rsidRPr="0002798F">
              <w:rPr>
                <w:lang w:val="en-AU"/>
              </w:rPr>
              <w:t>0.09% OTX-101</w:t>
            </w:r>
            <w:r w:rsidR="00855318" w:rsidRPr="0002798F">
              <w:rPr>
                <w:lang w:val="en-AU"/>
              </w:rPr>
              <w:t xml:space="preserve"> vs vehicle</w:t>
            </w:r>
          </w:p>
        </w:tc>
      </w:tr>
      <w:tr w:rsidR="00855318" w:rsidRPr="0002798F" w14:paraId="7E7715DF" w14:textId="77777777" w:rsidTr="00AC1168">
        <w:trPr>
          <w:trHeight w:val="270"/>
        </w:trPr>
        <w:tc>
          <w:tcPr>
            <w:tcW w:w="687" w:type="pct"/>
            <w:shd w:val="clear" w:color="auto" w:fill="auto"/>
            <w:vAlign w:val="center"/>
          </w:tcPr>
          <w:p w14:paraId="7220FF4E" w14:textId="77777777" w:rsidR="00855318" w:rsidRPr="0002798F" w:rsidRDefault="00855318" w:rsidP="00713290">
            <w:pPr>
              <w:pStyle w:val="TableText0"/>
              <w:jc w:val="center"/>
            </w:pPr>
            <w:r w:rsidRPr="0002798F">
              <w:t>Study 2014</w:t>
            </w:r>
          </w:p>
          <w:p w14:paraId="104DE6EA" w14:textId="3AF8CFE4" w:rsidR="00855318" w:rsidRPr="0002798F" w:rsidRDefault="00855318" w:rsidP="00713290">
            <w:pPr>
              <w:pStyle w:val="TableText0"/>
              <w:jc w:val="center"/>
            </w:pPr>
            <w:r w:rsidRPr="0002798F">
              <w:t>(NCT 02254265)</w:t>
            </w:r>
          </w:p>
        </w:tc>
        <w:tc>
          <w:tcPr>
            <w:tcW w:w="449" w:type="pct"/>
            <w:shd w:val="clear" w:color="auto" w:fill="auto"/>
            <w:vAlign w:val="center"/>
          </w:tcPr>
          <w:p w14:paraId="17A04A65" w14:textId="77777777" w:rsidR="00855318" w:rsidRPr="0002798F" w:rsidRDefault="00855318" w:rsidP="00713290">
            <w:pPr>
              <w:pStyle w:val="TableText0"/>
              <w:jc w:val="center"/>
            </w:pPr>
            <w:r w:rsidRPr="0002798F">
              <w:t>455</w:t>
            </w:r>
          </w:p>
        </w:tc>
        <w:tc>
          <w:tcPr>
            <w:tcW w:w="751" w:type="pct"/>
            <w:shd w:val="clear" w:color="auto" w:fill="auto"/>
            <w:vAlign w:val="center"/>
          </w:tcPr>
          <w:p w14:paraId="7B52BEAF" w14:textId="77777777" w:rsidR="00855318" w:rsidRPr="0002798F" w:rsidRDefault="00855318" w:rsidP="00713290">
            <w:pPr>
              <w:pStyle w:val="TableText0"/>
              <w:jc w:val="center"/>
            </w:pPr>
            <w:r w:rsidRPr="0002798F">
              <w:t xml:space="preserve">R, DB, MC, 12 </w:t>
            </w:r>
            <w:proofErr w:type="spellStart"/>
            <w:r w:rsidRPr="0002798F">
              <w:t>wk</w:t>
            </w:r>
            <w:proofErr w:type="spellEnd"/>
          </w:p>
        </w:tc>
        <w:tc>
          <w:tcPr>
            <w:tcW w:w="425" w:type="pct"/>
            <w:shd w:val="clear" w:color="auto" w:fill="auto"/>
            <w:vAlign w:val="center"/>
          </w:tcPr>
          <w:p w14:paraId="306A300B" w14:textId="77777777" w:rsidR="00855318" w:rsidRPr="0002798F" w:rsidRDefault="00855318" w:rsidP="00713290">
            <w:pPr>
              <w:pStyle w:val="TableText0"/>
              <w:jc w:val="center"/>
            </w:pPr>
            <w:r w:rsidRPr="0002798F">
              <w:t>Low</w:t>
            </w:r>
          </w:p>
        </w:tc>
        <w:tc>
          <w:tcPr>
            <w:tcW w:w="993" w:type="pct"/>
            <w:shd w:val="clear" w:color="auto" w:fill="auto"/>
            <w:vAlign w:val="center"/>
          </w:tcPr>
          <w:p w14:paraId="74C1E232" w14:textId="3949A307" w:rsidR="00855318" w:rsidRPr="0002798F" w:rsidRDefault="00855318" w:rsidP="00713290">
            <w:pPr>
              <w:pStyle w:val="TableText0"/>
              <w:rPr>
                <w:vertAlign w:val="superscript"/>
              </w:rPr>
            </w:pPr>
            <w:r w:rsidRPr="0002798F">
              <w:t xml:space="preserve">DED for &gt; 6 </w:t>
            </w:r>
            <w:proofErr w:type="spellStart"/>
            <w:r w:rsidRPr="0002798F">
              <w:t>mo</w:t>
            </w:r>
            <w:proofErr w:type="spellEnd"/>
            <w:r w:rsidRPr="0002798F">
              <w:t xml:space="preserve"> </w:t>
            </w:r>
            <w:r w:rsidRPr="0002798F">
              <w:rPr>
                <w:b/>
              </w:rPr>
              <w:t>and</w:t>
            </w:r>
            <w:r w:rsidRPr="0002798F">
              <w:t xml:space="preserve"> </w:t>
            </w:r>
            <w:proofErr w:type="spellStart"/>
            <w:r w:rsidRPr="0002798F">
              <w:t>lissamine</w:t>
            </w:r>
            <w:proofErr w:type="spellEnd"/>
            <w:r w:rsidRPr="0002798F">
              <w:t xml:space="preserve"> green staining score </w:t>
            </w:r>
            <w:r w:rsidRPr="0002798F">
              <w:sym w:font="Symbol" w:char="F0B3"/>
            </w:r>
            <w:r w:rsidRPr="0002798F">
              <w:t xml:space="preserve">3 and </w:t>
            </w:r>
            <w:r w:rsidRPr="0002798F">
              <w:sym w:font="Symbol" w:char="F0A3"/>
            </w:r>
            <w:r w:rsidRPr="0002798F">
              <w:t xml:space="preserve">9 (maximum score 12) </w:t>
            </w:r>
            <w:r w:rsidRPr="0002798F">
              <w:rPr>
                <w:b/>
              </w:rPr>
              <w:t>and</w:t>
            </w:r>
            <w:r w:rsidRPr="0002798F">
              <w:t xml:space="preserve"> SANDE score </w:t>
            </w:r>
            <w:r w:rsidRPr="0002798F">
              <w:sym w:font="Symbol" w:char="F0B3"/>
            </w:r>
            <w:r w:rsidRPr="0002798F">
              <w:t xml:space="preserve"> 40</w:t>
            </w:r>
            <w:r w:rsidR="00AA7212">
              <w:rPr>
                <w:vertAlign w:val="superscript"/>
              </w:rPr>
              <w:t>a</w:t>
            </w:r>
          </w:p>
        </w:tc>
        <w:tc>
          <w:tcPr>
            <w:tcW w:w="872" w:type="pct"/>
            <w:shd w:val="clear" w:color="auto" w:fill="auto"/>
            <w:vAlign w:val="center"/>
          </w:tcPr>
          <w:p w14:paraId="4D0F8DF3" w14:textId="77777777" w:rsidR="00855318" w:rsidRPr="0002798F" w:rsidRDefault="00855318" w:rsidP="00713290">
            <w:pPr>
              <w:pStyle w:val="TableText0"/>
            </w:pPr>
            <w:r w:rsidRPr="0002798F">
              <w:t xml:space="preserve">Change in </w:t>
            </w:r>
            <w:proofErr w:type="spellStart"/>
            <w:r w:rsidRPr="0002798F">
              <w:t>lissamine</w:t>
            </w:r>
            <w:proofErr w:type="spellEnd"/>
            <w:r w:rsidRPr="0002798F">
              <w:t xml:space="preserve"> green conjunctival staining; change in SANDE Score </w:t>
            </w:r>
          </w:p>
        </w:tc>
        <w:tc>
          <w:tcPr>
            <w:tcW w:w="823" w:type="pct"/>
            <w:shd w:val="clear" w:color="auto" w:fill="auto"/>
            <w:vAlign w:val="center"/>
          </w:tcPr>
          <w:p w14:paraId="68C591CB" w14:textId="5FC68171" w:rsidR="00855318" w:rsidRPr="0002798F" w:rsidRDefault="00B5452F" w:rsidP="00713290">
            <w:pPr>
              <w:pStyle w:val="TableText0"/>
              <w:jc w:val="center"/>
            </w:pPr>
            <w:r>
              <w:t>-</w:t>
            </w:r>
          </w:p>
        </w:tc>
      </w:tr>
      <w:tr w:rsidR="00855318" w:rsidRPr="0002798F" w14:paraId="21B04F91" w14:textId="77777777" w:rsidTr="00AC1168">
        <w:tc>
          <w:tcPr>
            <w:tcW w:w="687" w:type="pct"/>
            <w:shd w:val="clear" w:color="auto" w:fill="auto"/>
            <w:vAlign w:val="center"/>
          </w:tcPr>
          <w:p w14:paraId="050F6FB1" w14:textId="10E11895" w:rsidR="00855318" w:rsidRPr="0002798F" w:rsidRDefault="00855318" w:rsidP="00713290">
            <w:pPr>
              <w:pStyle w:val="TableText0"/>
              <w:jc w:val="center"/>
            </w:pPr>
            <w:r w:rsidRPr="0002798F">
              <w:t>STUDY 2016</w:t>
            </w:r>
          </w:p>
          <w:p w14:paraId="398F1941" w14:textId="2D08D9CA" w:rsidR="00855318" w:rsidRPr="0002798F" w:rsidRDefault="00713290" w:rsidP="00713290">
            <w:pPr>
              <w:pStyle w:val="TableText0"/>
              <w:jc w:val="center"/>
            </w:pPr>
            <w:r w:rsidRPr="0002798F">
              <w:t>(</w:t>
            </w:r>
            <w:r w:rsidR="00855318" w:rsidRPr="0002798F">
              <w:t>NCT 02688556</w:t>
            </w:r>
            <w:r w:rsidRPr="0002798F">
              <w:t>)</w:t>
            </w:r>
          </w:p>
        </w:tc>
        <w:tc>
          <w:tcPr>
            <w:tcW w:w="449" w:type="pct"/>
            <w:shd w:val="clear" w:color="auto" w:fill="auto"/>
            <w:vAlign w:val="center"/>
          </w:tcPr>
          <w:p w14:paraId="41C8953A" w14:textId="77777777" w:rsidR="00855318" w:rsidRPr="0002798F" w:rsidRDefault="00855318" w:rsidP="00713290">
            <w:pPr>
              <w:pStyle w:val="TableText0"/>
              <w:jc w:val="center"/>
            </w:pPr>
            <w:r w:rsidRPr="0002798F">
              <w:t>745</w:t>
            </w:r>
          </w:p>
        </w:tc>
        <w:tc>
          <w:tcPr>
            <w:tcW w:w="751" w:type="pct"/>
            <w:shd w:val="clear" w:color="auto" w:fill="auto"/>
            <w:vAlign w:val="center"/>
          </w:tcPr>
          <w:p w14:paraId="471197E7" w14:textId="77777777" w:rsidR="00855318" w:rsidRPr="0002798F" w:rsidRDefault="00855318" w:rsidP="00713290">
            <w:pPr>
              <w:pStyle w:val="TableText0"/>
              <w:jc w:val="center"/>
            </w:pPr>
            <w:r w:rsidRPr="0002798F">
              <w:t xml:space="preserve">R, DB, MC, 12 </w:t>
            </w:r>
            <w:proofErr w:type="spellStart"/>
            <w:r w:rsidRPr="0002798F">
              <w:t>wk</w:t>
            </w:r>
            <w:proofErr w:type="spellEnd"/>
          </w:p>
        </w:tc>
        <w:tc>
          <w:tcPr>
            <w:tcW w:w="425" w:type="pct"/>
            <w:shd w:val="clear" w:color="auto" w:fill="auto"/>
            <w:vAlign w:val="center"/>
          </w:tcPr>
          <w:p w14:paraId="08FD5DDA" w14:textId="77777777" w:rsidR="00855318" w:rsidRPr="0002798F" w:rsidRDefault="00855318" w:rsidP="00713290">
            <w:pPr>
              <w:pStyle w:val="TableText0"/>
              <w:jc w:val="center"/>
            </w:pPr>
            <w:r w:rsidRPr="0002798F">
              <w:t>Low</w:t>
            </w:r>
          </w:p>
        </w:tc>
        <w:tc>
          <w:tcPr>
            <w:tcW w:w="993" w:type="pct"/>
            <w:shd w:val="clear" w:color="auto" w:fill="auto"/>
            <w:vAlign w:val="center"/>
          </w:tcPr>
          <w:p w14:paraId="7B061B01" w14:textId="77777777" w:rsidR="00855318" w:rsidRPr="0002798F" w:rsidRDefault="00855318" w:rsidP="00713290">
            <w:pPr>
              <w:pStyle w:val="TableText0"/>
            </w:pPr>
            <w:r w:rsidRPr="0002798F">
              <w:t xml:space="preserve">DED for &gt; 6 </w:t>
            </w:r>
            <w:proofErr w:type="spellStart"/>
            <w:r w:rsidRPr="0002798F">
              <w:t>mo</w:t>
            </w:r>
            <w:proofErr w:type="spellEnd"/>
            <w:r w:rsidRPr="0002798F">
              <w:t xml:space="preserve"> </w:t>
            </w:r>
            <w:r w:rsidRPr="0002798F">
              <w:rPr>
                <w:b/>
              </w:rPr>
              <w:t>and</w:t>
            </w:r>
            <w:r w:rsidRPr="0002798F">
              <w:t xml:space="preserve"> </w:t>
            </w:r>
            <w:proofErr w:type="spellStart"/>
            <w:r w:rsidRPr="0002798F">
              <w:t>lissamine</w:t>
            </w:r>
            <w:proofErr w:type="spellEnd"/>
            <w:r w:rsidRPr="0002798F">
              <w:t xml:space="preserve"> green staining score </w:t>
            </w:r>
            <w:r w:rsidRPr="0002798F">
              <w:sym w:font="Symbol" w:char="F0B3"/>
            </w:r>
            <w:r w:rsidRPr="0002798F">
              <w:t xml:space="preserve">3 and </w:t>
            </w:r>
            <w:r w:rsidRPr="0002798F">
              <w:sym w:font="Symbol" w:char="F0A3"/>
            </w:r>
            <w:r w:rsidRPr="0002798F">
              <w:t xml:space="preserve">9 (maximum score 12) </w:t>
            </w:r>
            <w:r w:rsidRPr="0002798F">
              <w:rPr>
                <w:b/>
              </w:rPr>
              <w:t>and</w:t>
            </w:r>
            <w:r w:rsidRPr="0002798F">
              <w:t xml:space="preserve"> SANDE score </w:t>
            </w:r>
            <w:r w:rsidRPr="0002798F">
              <w:sym w:font="Symbol" w:char="F0B3"/>
            </w:r>
            <w:r w:rsidRPr="0002798F">
              <w:t xml:space="preserve"> 40</w:t>
            </w:r>
          </w:p>
        </w:tc>
        <w:tc>
          <w:tcPr>
            <w:tcW w:w="872" w:type="pct"/>
            <w:shd w:val="clear" w:color="auto" w:fill="auto"/>
            <w:vAlign w:val="center"/>
          </w:tcPr>
          <w:p w14:paraId="3446F903" w14:textId="77777777" w:rsidR="00855318" w:rsidRPr="0002798F" w:rsidRDefault="00855318" w:rsidP="00713290">
            <w:pPr>
              <w:pStyle w:val="TableText0"/>
            </w:pPr>
            <w:r w:rsidRPr="0002798F">
              <w:t xml:space="preserve">Schirmer’s Test increase </w:t>
            </w:r>
            <w:r w:rsidRPr="0002798F">
              <w:sym w:font="Symbol" w:char="F0B3"/>
            </w:r>
            <w:r w:rsidRPr="0002798F">
              <w:t xml:space="preserve"> 10mm from baseline </w:t>
            </w:r>
          </w:p>
        </w:tc>
        <w:tc>
          <w:tcPr>
            <w:tcW w:w="823" w:type="pct"/>
            <w:shd w:val="clear" w:color="auto" w:fill="auto"/>
            <w:vAlign w:val="center"/>
          </w:tcPr>
          <w:p w14:paraId="21CBC77A" w14:textId="7A804139" w:rsidR="00855318" w:rsidRPr="0002798F" w:rsidRDefault="00B5452F" w:rsidP="00B5452F">
            <w:pPr>
              <w:pStyle w:val="TableText0"/>
              <w:jc w:val="center"/>
            </w:pPr>
            <w:r>
              <w:t>-</w:t>
            </w:r>
          </w:p>
        </w:tc>
      </w:tr>
      <w:tr w:rsidR="00855318" w:rsidRPr="0002798F" w14:paraId="3B4AF1F6" w14:textId="77777777" w:rsidTr="00AC1168">
        <w:tc>
          <w:tcPr>
            <w:tcW w:w="687" w:type="pct"/>
            <w:shd w:val="clear" w:color="auto" w:fill="auto"/>
            <w:vAlign w:val="center"/>
          </w:tcPr>
          <w:p w14:paraId="27927151" w14:textId="77777777" w:rsidR="00134004" w:rsidRPr="0002798F" w:rsidRDefault="00134004" w:rsidP="00713290">
            <w:pPr>
              <w:pStyle w:val="TableText0"/>
              <w:jc w:val="center"/>
            </w:pPr>
            <w:r w:rsidRPr="0002798F">
              <w:t>Study 2016</w:t>
            </w:r>
          </w:p>
          <w:p w14:paraId="03E922A7" w14:textId="5BA610C0" w:rsidR="00855318" w:rsidRPr="0002798F" w:rsidRDefault="00713290" w:rsidP="00713290">
            <w:pPr>
              <w:pStyle w:val="TableText0"/>
              <w:jc w:val="center"/>
            </w:pPr>
            <w:r w:rsidRPr="0002798F">
              <w:t>(</w:t>
            </w:r>
            <w:r w:rsidR="00855318" w:rsidRPr="0002798F">
              <w:t>NCT 02688556</w:t>
            </w:r>
            <w:r w:rsidRPr="0002798F">
              <w:t>)</w:t>
            </w:r>
            <w:r w:rsidR="00855318" w:rsidRPr="0002798F">
              <w:t xml:space="preserve"> Open label continuation phase</w:t>
            </w:r>
          </w:p>
        </w:tc>
        <w:tc>
          <w:tcPr>
            <w:tcW w:w="449" w:type="pct"/>
            <w:shd w:val="clear" w:color="auto" w:fill="auto"/>
            <w:vAlign w:val="center"/>
          </w:tcPr>
          <w:p w14:paraId="21E32441" w14:textId="3646745D" w:rsidR="00855318" w:rsidRPr="0002798F" w:rsidRDefault="00855318" w:rsidP="00713290">
            <w:pPr>
              <w:pStyle w:val="TableText0"/>
              <w:jc w:val="center"/>
            </w:pPr>
            <w:r w:rsidRPr="0002798F">
              <w:t xml:space="preserve">258 (129 continuing </w:t>
            </w:r>
            <w:r w:rsidR="00AC1FF7" w:rsidRPr="0002798F">
              <w:t>0.09% OTX-101</w:t>
            </w:r>
            <w:r w:rsidR="00AC1FF7">
              <w:t xml:space="preserve">, </w:t>
            </w:r>
            <w:r w:rsidRPr="0002798F">
              <w:t xml:space="preserve">129 switching to </w:t>
            </w:r>
            <w:r w:rsidR="00AC1FF7" w:rsidRPr="0002798F">
              <w:t>0.09% OTX-101</w:t>
            </w:r>
            <w:r w:rsidR="00AC1FF7">
              <w:t xml:space="preserve"> </w:t>
            </w:r>
            <w:r w:rsidRPr="0002798F">
              <w:t>from vehicle)</w:t>
            </w:r>
          </w:p>
        </w:tc>
        <w:tc>
          <w:tcPr>
            <w:tcW w:w="751" w:type="pct"/>
            <w:shd w:val="clear" w:color="auto" w:fill="auto"/>
            <w:vAlign w:val="center"/>
          </w:tcPr>
          <w:p w14:paraId="21F2A54F" w14:textId="77777777" w:rsidR="00855318" w:rsidRPr="0002798F" w:rsidRDefault="00855318" w:rsidP="00713290">
            <w:pPr>
              <w:pStyle w:val="TableText0"/>
              <w:jc w:val="center"/>
            </w:pPr>
            <w:r w:rsidRPr="0002798F">
              <w:t xml:space="preserve">OL, MC, 40 </w:t>
            </w:r>
            <w:proofErr w:type="spellStart"/>
            <w:r w:rsidRPr="0002798F">
              <w:t>wk</w:t>
            </w:r>
            <w:proofErr w:type="spellEnd"/>
          </w:p>
        </w:tc>
        <w:tc>
          <w:tcPr>
            <w:tcW w:w="425" w:type="pct"/>
            <w:shd w:val="clear" w:color="auto" w:fill="auto"/>
            <w:vAlign w:val="center"/>
          </w:tcPr>
          <w:p w14:paraId="74BC9D6A" w14:textId="57EF4B9E" w:rsidR="00855318" w:rsidRPr="0002798F" w:rsidRDefault="00AC1FF7" w:rsidP="00713290">
            <w:pPr>
              <w:pStyle w:val="TableText0"/>
              <w:jc w:val="center"/>
            </w:pPr>
            <w:r>
              <w:t>High</w:t>
            </w:r>
          </w:p>
        </w:tc>
        <w:tc>
          <w:tcPr>
            <w:tcW w:w="993" w:type="pct"/>
            <w:shd w:val="clear" w:color="auto" w:fill="auto"/>
            <w:vAlign w:val="center"/>
          </w:tcPr>
          <w:p w14:paraId="02EFE3EC" w14:textId="77777777" w:rsidR="00855318" w:rsidRPr="0002798F" w:rsidRDefault="00855318" w:rsidP="00713290">
            <w:pPr>
              <w:pStyle w:val="TableText0"/>
            </w:pPr>
            <w:r w:rsidRPr="0002798F">
              <w:t>Completion of DB phase</w:t>
            </w:r>
          </w:p>
        </w:tc>
        <w:tc>
          <w:tcPr>
            <w:tcW w:w="872" w:type="pct"/>
            <w:shd w:val="clear" w:color="auto" w:fill="auto"/>
            <w:vAlign w:val="center"/>
          </w:tcPr>
          <w:p w14:paraId="48078450" w14:textId="77777777" w:rsidR="00855318" w:rsidRPr="0002798F" w:rsidRDefault="00855318" w:rsidP="00713290">
            <w:pPr>
              <w:pStyle w:val="TableText0"/>
            </w:pPr>
            <w:r w:rsidRPr="0002798F">
              <w:t>Adverse events</w:t>
            </w:r>
          </w:p>
        </w:tc>
        <w:tc>
          <w:tcPr>
            <w:tcW w:w="823" w:type="pct"/>
            <w:shd w:val="clear" w:color="auto" w:fill="auto"/>
            <w:vAlign w:val="center"/>
          </w:tcPr>
          <w:p w14:paraId="636BD804" w14:textId="6205E57B" w:rsidR="00855318" w:rsidRPr="0002798F" w:rsidRDefault="00B5452F" w:rsidP="00713290">
            <w:pPr>
              <w:pStyle w:val="TableText0"/>
              <w:jc w:val="center"/>
            </w:pPr>
            <w:r>
              <w:t>-</w:t>
            </w:r>
          </w:p>
        </w:tc>
      </w:tr>
      <w:tr w:rsidR="00855318" w:rsidRPr="0002798F" w14:paraId="0DCD7A08" w14:textId="77777777" w:rsidTr="00780356">
        <w:tc>
          <w:tcPr>
            <w:tcW w:w="5000" w:type="pct"/>
            <w:gridSpan w:val="7"/>
            <w:shd w:val="clear" w:color="auto" w:fill="auto"/>
            <w:vAlign w:val="center"/>
          </w:tcPr>
          <w:p w14:paraId="3F312654" w14:textId="77777777" w:rsidR="00590F7A" w:rsidRPr="0002798F" w:rsidRDefault="00590F7A" w:rsidP="00713290">
            <w:pPr>
              <w:pStyle w:val="In-tableHeading"/>
              <w:jc w:val="center"/>
              <w:rPr>
                <w:lang w:val="en-AU"/>
              </w:rPr>
            </w:pPr>
          </w:p>
          <w:p w14:paraId="7BB0EE50" w14:textId="618B126D" w:rsidR="00855318" w:rsidRPr="0002798F" w:rsidRDefault="00A33E2C" w:rsidP="00CE273F">
            <w:pPr>
              <w:pStyle w:val="In-tableHeading"/>
              <w:rPr>
                <w:lang w:val="en-AU"/>
              </w:rPr>
            </w:pPr>
            <w:r>
              <w:rPr>
                <w:lang w:val="en-AU"/>
              </w:rPr>
              <w:t>0</w:t>
            </w:r>
            <w:r w:rsidR="00855318" w:rsidRPr="0002798F">
              <w:rPr>
                <w:lang w:val="en-AU"/>
              </w:rPr>
              <w:t xml:space="preserve">.1% </w:t>
            </w:r>
            <w:proofErr w:type="spellStart"/>
            <w:r>
              <w:rPr>
                <w:lang w:val="en-AU"/>
              </w:rPr>
              <w:t>CsA</w:t>
            </w:r>
            <w:proofErr w:type="spellEnd"/>
            <w:r>
              <w:rPr>
                <w:lang w:val="en-AU"/>
              </w:rPr>
              <w:t xml:space="preserve"> CE </w:t>
            </w:r>
            <w:r w:rsidR="00855318" w:rsidRPr="0002798F">
              <w:rPr>
                <w:lang w:val="en-AU"/>
              </w:rPr>
              <w:t>vs vehicle</w:t>
            </w:r>
          </w:p>
          <w:p w14:paraId="45314268" w14:textId="5B98458C" w:rsidR="00590F7A" w:rsidRPr="0002798F" w:rsidRDefault="00590F7A" w:rsidP="00713290">
            <w:pPr>
              <w:pStyle w:val="In-tableHeading"/>
              <w:jc w:val="center"/>
              <w:rPr>
                <w:lang w:val="en-AU"/>
              </w:rPr>
            </w:pPr>
          </w:p>
        </w:tc>
      </w:tr>
      <w:tr w:rsidR="00855318" w:rsidRPr="0002798F" w14:paraId="3E17EF25" w14:textId="77777777" w:rsidTr="00AC1168">
        <w:tc>
          <w:tcPr>
            <w:tcW w:w="687" w:type="pct"/>
            <w:shd w:val="clear" w:color="auto" w:fill="auto"/>
            <w:vAlign w:val="center"/>
          </w:tcPr>
          <w:p w14:paraId="1ECF4E1D" w14:textId="77777777" w:rsidR="00855318" w:rsidRPr="0002798F" w:rsidRDefault="00855318" w:rsidP="00713290">
            <w:pPr>
              <w:pStyle w:val="TableText0"/>
              <w:jc w:val="center"/>
            </w:pPr>
            <w:r w:rsidRPr="0002798F">
              <w:t>SICCANOVE</w:t>
            </w:r>
          </w:p>
        </w:tc>
        <w:tc>
          <w:tcPr>
            <w:tcW w:w="449" w:type="pct"/>
            <w:shd w:val="clear" w:color="auto" w:fill="auto"/>
            <w:vAlign w:val="center"/>
          </w:tcPr>
          <w:p w14:paraId="11F473C6" w14:textId="77777777" w:rsidR="00855318" w:rsidRPr="0002798F" w:rsidRDefault="00855318" w:rsidP="00713290">
            <w:pPr>
              <w:pStyle w:val="TableText0"/>
              <w:jc w:val="center"/>
            </w:pPr>
            <w:r w:rsidRPr="0002798F">
              <w:t>496</w:t>
            </w:r>
          </w:p>
        </w:tc>
        <w:tc>
          <w:tcPr>
            <w:tcW w:w="751" w:type="pct"/>
            <w:shd w:val="clear" w:color="auto" w:fill="auto"/>
            <w:vAlign w:val="center"/>
          </w:tcPr>
          <w:p w14:paraId="6A0A201C" w14:textId="77777777" w:rsidR="00855318" w:rsidRPr="0002798F" w:rsidRDefault="00855318" w:rsidP="00713290">
            <w:pPr>
              <w:pStyle w:val="TableText0"/>
              <w:jc w:val="center"/>
            </w:pPr>
            <w:r w:rsidRPr="0002798F">
              <w:t xml:space="preserve">R, DB, MC, 26 </w:t>
            </w:r>
            <w:proofErr w:type="spellStart"/>
            <w:r w:rsidRPr="0002798F">
              <w:t>wk</w:t>
            </w:r>
            <w:proofErr w:type="spellEnd"/>
          </w:p>
        </w:tc>
        <w:tc>
          <w:tcPr>
            <w:tcW w:w="425" w:type="pct"/>
            <w:shd w:val="clear" w:color="auto" w:fill="auto"/>
            <w:vAlign w:val="center"/>
          </w:tcPr>
          <w:p w14:paraId="217EC052" w14:textId="77777777" w:rsidR="00855318" w:rsidRPr="0002798F" w:rsidRDefault="00855318" w:rsidP="00713290">
            <w:pPr>
              <w:pStyle w:val="TableText0"/>
              <w:jc w:val="center"/>
            </w:pPr>
            <w:r w:rsidRPr="0002798F">
              <w:t>Low</w:t>
            </w:r>
          </w:p>
        </w:tc>
        <w:tc>
          <w:tcPr>
            <w:tcW w:w="993" w:type="pct"/>
            <w:shd w:val="clear" w:color="auto" w:fill="auto"/>
            <w:vAlign w:val="center"/>
          </w:tcPr>
          <w:p w14:paraId="16A4BDB8" w14:textId="2C346997" w:rsidR="00855318" w:rsidRPr="0002798F" w:rsidRDefault="00855318" w:rsidP="00713290">
            <w:pPr>
              <w:pStyle w:val="TableText0"/>
            </w:pPr>
            <w:r w:rsidRPr="0002798F">
              <w:t xml:space="preserve">Moderate to severe symptoms </w:t>
            </w:r>
            <w:r w:rsidRPr="0002798F">
              <w:rPr>
                <w:b/>
              </w:rPr>
              <w:t>and</w:t>
            </w:r>
            <w:r w:rsidRPr="0002798F">
              <w:t xml:space="preserve"> Tear Break-Up Time </w:t>
            </w:r>
            <w:r w:rsidRPr="0002798F">
              <w:sym w:font="Symbol" w:char="F0A3"/>
            </w:r>
            <w:r w:rsidRPr="0002798F">
              <w:t xml:space="preserve"> 8 sec </w:t>
            </w:r>
            <w:r w:rsidRPr="0002798F">
              <w:rPr>
                <w:b/>
              </w:rPr>
              <w:t>and</w:t>
            </w:r>
            <w:r w:rsidRPr="0002798F">
              <w:t xml:space="preserve"> moderate to severe corneal fluorescein staining </w:t>
            </w:r>
            <w:r w:rsidRPr="0002798F">
              <w:rPr>
                <w:b/>
              </w:rPr>
              <w:t>and</w:t>
            </w:r>
            <w:r w:rsidRPr="0002798F">
              <w:t xml:space="preserve"> impaired tear production by Schirmer’s Test </w:t>
            </w:r>
            <w:r w:rsidRPr="0002798F">
              <w:rPr>
                <w:b/>
              </w:rPr>
              <w:t>and</w:t>
            </w:r>
            <w:r w:rsidRPr="0002798F">
              <w:t xml:space="preserve"> marked conjunctival </w:t>
            </w:r>
            <w:proofErr w:type="spellStart"/>
            <w:r w:rsidRPr="0002798F">
              <w:t>lissamine</w:t>
            </w:r>
            <w:proofErr w:type="spellEnd"/>
            <w:r w:rsidRPr="0002798F">
              <w:t xml:space="preserve"> green staining </w:t>
            </w:r>
          </w:p>
        </w:tc>
        <w:tc>
          <w:tcPr>
            <w:tcW w:w="872" w:type="pct"/>
            <w:shd w:val="clear" w:color="auto" w:fill="auto"/>
            <w:vAlign w:val="center"/>
          </w:tcPr>
          <w:p w14:paraId="490EEA99" w14:textId="77777777" w:rsidR="00855318" w:rsidRPr="0002798F" w:rsidRDefault="00855318" w:rsidP="00713290">
            <w:pPr>
              <w:pStyle w:val="TableText0"/>
            </w:pPr>
            <w:r w:rsidRPr="0002798F">
              <w:t>Change in corneal fluorescein staining; change in global symptom score</w:t>
            </w:r>
          </w:p>
        </w:tc>
        <w:tc>
          <w:tcPr>
            <w:tcW w:w="823" w:type="pct"/>
            <w:shd w:val="clear" w:color="auto" w:fill="auto"/>
            <w:vAlign w:val="center"/>
          </w:tcPr>
          <w:p w14:paraId="5C4AD69B" w14:textId="77777777" w:rsidR="00855318" w:rsidRPr="0002798F" w:rsidRDefault="00855318" w:rsidP="00713290">
            <w:pPr>
              <w:pStyle w:val="TableText0"/>
            </w:pPr>
            <w:r w:rsidRPr="0002798F">
              <w:t>Randomisation stratified by Sjogren Syndrome (177 patients)</w:t>
            </w:r>
          </w:p>
        </w:tc>
      </w:tr>
      <w:tr w:rsidR="00855318" w:rsidRPr="0002798F" w14:paraId="11FB6216" w14:textId="77777777" w:rsidTr="00AC1168">
        <w:tc>
          <w:tcPr>
            <w:tcW w:w="687" w:type="pct"/>
            <w:shd w:val="clear" w:color="auto" w:fill="auto"/>
            <w:vAlign w:val="center"/>
          </w:tcPr>
          <w:p w14:paraId="373E3B6E" w14:textId="77777777" w:rsidR="00855318" w:rsidRPr="0002798F" w:rsidRDefault="00855318" w:rsidP="00713290">
            <w:pPr>
              <w:pStyle w:val="TableText0"/>
              <w:jc w:val="center"/>
            </w:pPr>
            <w:r w:rsidRPr="0002798F">
              <w:t>SANSIKA</w:t>
            </w:r>
          </w:p>
        </w:tc>
        <w:tc>
          <w:tcPr>
            <w:tcW w:w="449" w:type="pct"/>
            <w:shd w:val="clear" w:color="auto" w:fill="auto"/>
            <w:vAlign w:val="center"/>
          </w:tcPr>
          <w:p w14:paraId="697AAE65" w14:textId="77777777" w:rsidR="00855318" w:rsidRPr="0002798F" w:rsidRDefault="00855318" w:rsidP="00713290">
            <w:pPr>
              <w:pStyle w:val="TableText0"/>
              <w:jc w:val="center"/>
            </w:pPr>
            <w:r w:rsidRPr="0002798F">
              <w:t>246</w:t>
            </w:r>
          </w:p>
        </w:tc>
        <w:tc>
          <w:tcPr>
            <w:tcW w:w="751" w:type="pct"/>
            <w:shd w:val="clear" w:color="auto" w:fill="auto"/>
            <w:vAlign w:val="center"/>
          </w:tcPr>
          <w:p w14:paraId="228144D1" w14:textId="77777777" w:rsidR="00855318" w:rsidRPr="0002798F" w:rsidRDefault="00855318" w:rsidP="00713290">
            <w:pPr>
              <w:pStyle w:val="TableText0"/>
              <w:jc w:val="center"/>
            </w:pPr>
            <w:r w:rsidRPr="0002798F">
              <w:t xml:space="preserve">R, DB, MC, 26 </w:t>
            </w:r>
            <w:proofErr w:type="spellStart"/>
            <w:r w:rsidRPr="0002798F">
              <w:t>wk</w:t>
            </w:r>
            <w:proofErr w:type="spellEnd"/>
          </w:p>
        </w:tc>
        <w:tc>
          <w:tcPr>
            <w:tcW w:w="425" w:type="pct"/>
            <w:shd w:val="clear" w:color="auto" w:fill="auto"/>
            <w:vAlign w:val="center"/>
          </w:tcPr>
          <w:p w14:paraId="5439BD86" w14:textId="77777777" w:rsidR="00855318" w:rsidRPr="0002798F" w:rsidRDefault="00855318" w:rsidP="00713290">
            <w:pPr>
              <w:pStyle w:val="TableText0"/>
              <w:jc w:val="center"/>
            </w:pPr>
            <w:r w:rsidRPr="0002798F">
              <w:t>Low</w:t>
            </w:r>
          </w:p>
        </w:tc>
        <w:tc>
          <w:tcPr>
            <w:tcW w:w="993" w:type="pct"/>
            <w:shd w:val="clear" w:color="auto" w:fill="auto"/>
            <w:vAlign w:val="center"/>
          </w:tcPr>
          <w:p w14:paraId="46288EFA" w14:textId="77777777" w:rsidR="00855318" w:rsidRPr="0002798F" w:rsidRDefault="00855318" w:rsidP="00713290">
            <w:pPr>
              <w:pStyle w:val="TableText0"/>
            </w:pPr>
            <w:r w:rsidRPr="0002798F">
              <w:t xml:space="preserve">Severe corneal fluorescein staining </w:t>
            </w:r>
            <w:r w:rsidRPr="0002798F">
              <w:rPr>
                <w:b/>
              </w:rPr>
              <w:t>and</w:t>
            </w:r>
            <w:r w:rsidRPr="0002798F">
              <w:t xml:space="preserve"> impaired tear production </w:t>
            </w:r>
            <w:r w:rsidRPr="0002798F">
              <w:rPr>
                <w:b/>
              </w:rPr>
              <w:t xml:space="preserve">and </w:t>
            </w:r>
            <w:r w:rsidRPr="0002798F">
              <w:t xml:space="preserve">moderate or worse symptoms by OSDI. </w:t>
            </w:r>
          </w:p>
        </w:tc>
        <w:tc>
          <w:tcPr>
            <w:tcW w:w="872" w:type="pct"/>
            <w:shd w:val="clear" w:color="auto" w:fill="auto"/>
            <w:vAlign w:val="center"/>
          </w:tcPr>
          <w:p w14:paraId="1D01E9BC" w14:textId="2605062D" w:rsidR="00855318" w:rsidRPr="0002798F" w:rsidRDefault="00713290" w:rsidP="00713290">
            <w:pPr>
              <w:pStyle w:val="TableText0"/>
            </w:pPr>
            <w:r w:rsidRPr="0002798F">
              <w:t>Proportion with c</w:t>
            </w:r>
            <w:r w:rsidR="00855318" w:rsidRPr="0002798F">
              <w:t xml:space="preserve">orneal fluorescein staining improved </w:t>
            </w:r>
            <w:r w:rsidR="00855318" w:rsidRPr="0002798F">
              <w:sym w:font="Symbol" w:char="F0B3"/>
            </w:r>
            <w:r w:rsidR="00855318" w:rsidRPr="0002798F">
              <w:t xml:space="preserve"> 2 grades </w:t>
            </w:r>
            <w:r w:rsidR="00855318" w:rsidRPr="0002798F">
              <w:rPr>
                <w:b/>
              </w:rPr>
              <w:t>and</w:t>
            </w:r>
            <w:r w:rsidR="00855318" w:rsidRPr="0002798F">
              <w:t xml:space="preserve"> 30% reduction in OSDI. </w:t>
            </w:r>
          </w:p>
        </w:tc>
        <w:tc>
          <w:tcPr>
            <w:tcW w:w="823" w:type="pct"/>
            <w:shd w:val="clear" w:color="auto" w:fill="auto"/>
            <w:vAlign w:val="center"/>
          </w:tcPr>
          <w:p w14:paraId="6D708DC3" w14:textId="4485534E" w:rsidR="00855318" w:rsidRPr="0002798F" w:rsidRDefault="00B5452F" w:rsidP="00B5452F">
            <w:pPr>
              <w:pStyle w:val="TableText0"/>
              <w:jc w:val="center"/>
            </w:pPr>
            <w:r>
              <w:t>-</w:t>
            </w:r>
          </w:p>
        </w:tc>
      </w:tr>
    </w:tbl>
    <w:p w14:paraId="1DF3393C" w14:textId="17F7FCB6" w:rsidR="00AA7212" w:rsidRDefault="00855318" w:rsidP="00855318">
      <w:pPr>
        <w:pStyle w:val="TableFigureFooter"/>
      </w:pPr>
      <w:r w:rsidRPr="0002798F">
        <w:t xml:space="preserve">Source: </w:t>
      </w:r>
      <w:r w:rsidR="00713290" w:rsidRPr="0002798F">
        <w:t xml:space="preserve">Created from listings at </w:t>
      </w:r>
      <w:hyperlink r:id="rId8" w:history="1">
        <w:r w:rsidR="00713290" w:rsidRPr="0002798F">
          <w:rPr>
            <w:rStyle w:val="Hyperlink"/>
          </w:rPr>
          <w:t>https://clinicaltrials.gov/</w:t>
        </w:r>
      </w:hyperlink>
      <w:r w:rsidR="00713290" w:rsidRPr="0002798F">
        <w:t xml:space="preserve"> accessed 3</w:t>
      </w:r>
      <w:r w:rsidR="0006734B">
        <w:t>0</w:t>
      </w:r>
      <w:r w:rsidR="00713290" w:rsidRPr="0002798F">
        <w:t xml:space="preserve"> </w:t>
      </w:r>
      <w:r w:rsidR="00AA20F6" w:rsidRPr="0002798F">
        <w:t>November</w:t>
      </w:r>
      <w:r w:rsidR="00713290" w:rsidRPr="0002798F">
        <w:t xml:space="preserve"> 2021.</w:t>
      </w:r>
      <w:r w:rsidR="0006734B">
        <w:t xml:space="preserve">Abbreviations: </w:t>
      </w:r>
      <w:r w:rsidRPr="0002798F">
        <w:t>DB = double blind; MC = multi-centre; OL = open label; R = randomised</w:t>
      </w:r>
      <w:r w:rsidR="00713290" w:rsidRPr="0002798F">
        <w:t>, DED = Dry Eye Disease</w:t>
      </w:r>
      <w:r w:rsidRPr="0002798F">
        <w:t>.</w:t>
      </w:r>
    </w:p>
    <w:p w14:paraId="2417DB8B" w14:textId="71C397E6" w:rsidR="00855318" w:rsidRPr="0002798F" w:rsidRDefault="00AA7212" w:rsidP="00855318">
      <w:pPr>
        <w:pStyle w:val="TableFigureFooter"/>
        <w:rPr>
          <w:szCs w:val="18"/>
        </w:rPr>
      </w:pPr>
      <w:r w:rsidRPr="00AA7212">
        <w:rPr>
          <w:vertAlign w:val="superscript"/>
        </w:rPr>
        <w:t>a</w:t>
      </w:r>
      <w:r w:rsidR="00855318" w:rsidRPr="0002798F">
        <w:rPr>
          <w:vertAlign w:val="superscript"/>
        </w:rPr>
        <w:t xml:space="preserve"> </w:t>
      </w:r>
      <w:r w:rsidR="00855318" w:rsidRPr="0002798F">
        <w:t xml:space="preserve">SANDE score was calculated as follows: </w:t>
      </w:r>
      <w:r w:rsidR="00855318" w:rsidRPr="002503CB">
        <w:t>frequency</w:t>
      </w:r>
      <w:r w:rsidR="00855318" w:rsidRPr="0002798F">
        <w:t xml:space="preserve"> of dry eye/irritation was rated from 0 = rarely to 100 = all the time, and </w:t>
      </w:r>
      <w:r w:rsidR="00855318" w:rsidRPr="002503CB">
        <w:t xml:space="preserve">severity </w:t>
      </w:r>
      <w:r w:rsidR="00855318" w:rsidRPr="0002798F">
        <w:t>of dry eye/irritation was rated from 0 = very mild to 100 = very severe; the Score was the square root of the product of the frequency score and the severity score.</w:t>
      </w:r>
    </w:p>
    <w:p w14:paraId="7557CB0A" w14:textId="076353ED" w:rsidR="00AC1168" w:rsidRDefault="00AC1168" w:rsidP="00AC1168">
      <w:pPr>
        <w:pStyle w:val="TableFigureHeading"/>
      </w:pPr>
      <w:r>
        <w:lastRenderedPageBreak/>
        <w:t xml:space="preserve">Table </w:t>
      </w:r>
      <w:fldSimple w:instr=" SEQ Table \* ARABIC ">
        <w:r w:rsidR="001811EC">
          <w:rPr>
            <w:noProof/>
          </w:rPr>
          <w:t>4</w:t>
        </w:r>
      </w:fldSimple>
      <w:r w:rsidRPr="00AC55B3">
        <w:t xml:space="preserve">: Key features of the subgroups used for the indirect </w:t>
      </w:r>
      <w:proofErr w:type="spellStart"/>
      <w:r w:rsidRPr="00AC55B3">
        <w:t>comparison</w:t>
      </w:r>
      <w:r>
        <w:rPr>
          <w:rStyle w:val="CommentReference"/>
          <w:b/>
          <w:szCs w:val="24"/>
          <w:vertAlign w:val="superscript"/>
        </w:rPr>
        <w:t>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Key features of the subgroups used for the indirect comparison"/>
        <w:tblDescription w:val="Table 4: Key features of the subgroups used for the indirect comparison"/>
      </w:tblPr>
      <w:tblGrid>
        <w:gridCol w:w="1263"/>
        <w:gridCol w:w="823"/>
        <w:gridCol w:w="1374"/>
        <w:gridCol w:w="1504"/>
        <w:gridCol w:w="1977"/>
        <w:gridCol w:w="2076"/>
      </w:tblGrid>
      <w:tr w:rsidR="00C21FFA" w:rsidRPr="0002798F" w14:paraId="2AC6FEEF" w14:textId="77777777" w:rsidTr="00780356">
        <w:trPr>
          <w:tblHeader/>
        </w:trPr>
        <w:tc>
          <w:tcPr>
            <w:tcW w:w="700" w:type="pct"/>
            <w:shd w:val="clear" w:color="auto" w:fill="auto"/>
            <w:vAlign w:val="center"/>
          </w:tcPr>
          <w:p w14:paraId="21091380" w14:textId="77777777" w:rsidR="00C21FFA" w:rsidRPr="0002798F" w:rsidRDefault="00C21FFA" w:rsidP="00713290">
            <w:pPr>
              <w:pStyle w:val="In-tableHeading"/>
              <w:rPr>
                <w:lang w:val="en-AU"/>
              </w:rPr>
            </w:pPr>
            <w:r w:rsidRPr="0002798F">
              <w:rPr>
                <w:lang w:val="en-AU"/>
              </w:rPr>
              <w:t>Trial</w:t>
            </w:r>
          </w:p>
        </w:tc>
        <w:tc>
          <w:tcPr>
            <w:tcW w:w="456" w:type="pct"/>
            <w:shd w:val="clear" w:color="auto" w:fill="auto"/>
            <w:vAlign w:val="center"/>
          </w:tcPr>
          <w:p w14:paraId="743DCE98" w14:textId="77777777" w:rsidR="00C21FFA" w:rsidRPr="0002798F" w:rsidRDefault="00C21FFA" w:rsidP="00713290">
            <w:pPr>
              <w:pStyle w:val="In-tableHeading"/>
              <w:jc w:val="center"/>
              <w:rPr>
                <w:lang w:val="en-AU"/>
              </w:rPr>
            </w:pPr>
            <w:r w:rsidRPr="0002798F">
              <w:rPr>
                <w:lang w:val="en-AU"/>
              </w:rPr>
              <w:t>N (N for parent trial)</w:t>
            </w:r>
          </w:p>
        </w:tc>
        <w:tc>
          <w:tcPr>
            <w:tcW w:w="762" w:type="pct"/>
            <w:shd w:val="clear" w:color="auto" w:fill="auto"/>
            <w:vAlign w:val="center"/>
          </w:tcPr>
          <w:p w14:paraId="022B86CC" w14:textId="77777777" w:rsidR="00C21FFA" w:rsidRPr="0002798F" w:rsidRDefault="00C21FFA" w:rsidP="00713290">
            <w:pPr>
              <w:pStyle w:val="In-tableHeading"/>
              <w:jc w:val="center"/>
              <w:rPr>
                <w:lang w:val="en-AU"/>
              </w:rPr>
            </w:pPr>
            <w:r w:rsidRPr="0002798F">
              <w:rPr>
                <w:lang w:val="en-AU"/>
              </w:rPr>
              <w:t>Design/duration</w:t>
            </w:r>
          </w:p>
        </w:tc>
        <w:tc>
          <w:tcPr>
            <w:tcW w:w="834" w:type="pct"/>
            <w:shd w:val="clear" w:color="auto" w:fill="auto"/>
            <w:vAlign w:val="center"/>
          </w:tcPr>
          <w:p w14:paraId="5ADEF109" w14:textId="06145E2C" w:rsidR="00C21FFA" w:rsidRPr="0002798F" w:rsidRDefault="00C21FFA" w:rsidP="00713290">
            <w:pPr>
              <w:pStyle w:val="In-tableHeading"/>
              <w:jc w:val="center"/>
              <w:rPr>
                <w:lang w:val="en-AU"/>
              </w:rPr>
            </w:pPr>
            <w:r w:rsidRPr="0002798F">
              <w:rPr>
                <w:lang w:val="en-AU"/>
              </w:rPr>
              <w:t>“PBS Equivalent” Eligibility Criteria</w:t>
            </w:r>
          </w:p>
        </w:tc>
        <w:tc>
          <w:tcPr>
            <w:tcW w:w="1096" w:type="pct"/>
            <w:shd w:val="clear" w:color="auto" w:fill="auto"/>
            <w:vAlign w:val="center"/>
          </w:tcPr>
          <w:p w14:paraId="35D1D790" w14:textId="77777777" w:rsidR="00C21FFA" w:rsidRPr="0002798F" w:rsidRDefault="00C21FFA" w:rsidP="00713290">
            <w:pPr>
              <w:pStyle w:val="In-tableHeading"/>
              <w:jc w:val="center"/>
              <w:rPr>
                <w:lang w:val="en-AU"/>
              </w:rPr>
            </w:pPr>
            <w:r w:rsidRPr="0002798F">
              <w:rPr>
                <w:lang w:val="en-AU"/>
              </w:rPr>
              <w:t>PBS Continuation or Equivalent Outcome</w:t>
            </w:r>
          </w:p>
        </w:tc>
        <w:tc>
          <w:tcPr>
            <w:tcW w:w="1151" w:type="pct"/>
            <w:shd w:val="clear" w:color="auto" w:fill="auto"/>
            <w:vAlign w:val="center"/>
          </w:tcPr>
          <w:p w14:paraId="4E47925E" w14:textId="77777777" w:rsidR="00C21FFA" w:rsidRPr="0002798F" w:rsidRDefault="00C21FFA" w:rsidP="00713290">
            <w:pPr>
              <w:pStyle w:val="In-tableHeading"/>
              <w:jc w:val="center"/>
              <w:rPr>
                <w:lang w:val="en-AU"/>
              </w:rPr>
            </w:pPr>
            <w:r w:rsidRPr="0002798F">
              <w:rPr>
                <w:lang w:val="en-AU"/>
              </w:rPr>
              <w:t>Notes</w:t>
            </w:r>
          </w:p>
        </w:tc>
      </w:tr>
      <w:tr w:rsidR="00C21FFA" w:rsidRPr="0002798F" w14:paraId="20F25716" w14:textId="77777777" w:rsidTr="00780356">
        <w:trPr>
          <w:trHeight w:val="270"/>
        </w:trPr>
        <w:tc>
          <w:tcPr>
            <w:tcW w:w="700" w:type="pct"/>
            <w:shd w:val="clear" w:color="auto" w:fill="auto"/>
            <w:vAlign w:val="center"/>
          </w:tcPr>
          <w:p w14:paraId="07CC5B33" w14:textId="5A65800F" w:rsidR="00134004" w:rsidRPr="0002798F" w:rsidRDefault="00134004" w:rsidP="00713290">
            <w:pPr>
              <w:pStyle w:val="TableText0"/>
              <w:jc w:val="center"/>
            </w:pPr>
            <w:r w:rsidRPr="0002798F">
              <w:t>Study 2014</w:t>
            </w:r>
          </w:p>
          <w:p w14:paraId="2F2EE80C" w14:textId="398D9650" w:rsidR="00C21FFA" w:rsidRPr="0002798F" w:rsidRDefault="00C21FFA" w:rsidP="00713290">
            <w:pPr>
              <w:pStyle w:val="TableText0"/>
              <w:jc w:val="center"/>
            </w:pPr>
            <w:r w:rsidRPr="0002798F">
              <w:t>NCT 02254265</w:t>
            </w:r>
          </w:p>
        </w:tc>
        <w:tc>
          <w:tcPr>
            <w:tcW w:w="456" w:type="pct"/>
            <w:shd w:val="clear" w:color="auto" w:fill="auto"/>
            <w:vAlign w:val="center"/>
          </w:tcPr>
          <w:p w14:paraId="3588EA4E" w14:textId="77777777" w:rsidR="00C21FFA" w:rsidRPr="0002798F" w:rsidRDefault="00C21FFA" w:rsidP="00713290">
            <w:pPr>
              <w:pStyle w:val="TableText0"/>
              <w:jc w:val="center"/>
            </w:pPr>
            <w:r w:rsidRPr="0002798F">
              <w:t>77 (304)</w:t>
            </w:r>
          </w:p>
        </w:tc>
        <w:tc>
          <w:tcPr>
            <w:tcW w:w="762" w:type="pct"/>
            <w:shd w:val="clear" w:color="auto" w:fill="auto"/>
            <w:vAlign w:val="center"/>
          </w:tcPr>
          <w:p w14:paraId="609172EC" w14:textId="77777777" w:rsidR="00C21FFA" w:rsidRPr="0002798F" w:rsidRDefault="00C21FFA" w:rsidP="00713290">
            <w:pPr>
              <w:pStyle w:val="TableText0"/>
              <w:jc w:val="center"/>
            </w:pPr>
            <w:r w:rsidRPr="0002798F">
              <w:t xml:space="preserve">R, DB, MC, 12 </w:t>
            </w:r>
            <w:proofErr w:type="spellStart"/>
            <w:r w:rsidRPr="0002798F">
              <w:t>wk</w:t>
            </w:r>
            <w:proofErr w:type="spellEnd"/>
          </w:p>
        </w:tc>
        <w:tc>
          <w:tcPr>
            <w:tcW w:w="834" w:type="pct"/>
            <w:shd w:val="clear" w:color="auto" w:fill="auto"/>
            <w:vAlign w:val="center"/>
          </w:tcPr>
          <w:p w14:paraId="46F2B79A" w14:textId="5F48839B" w:rsidR="00C21FFA" w:rsidRPr="0002798F" w:rsidRDefault="00C21FFA" w:rsidP="00713290">
            <w:pPr>
              <w:pStyle w:val="TableText0"/>
            </w:pPr>
            <w:r w:rsidRPr="0002798F">
              <w:t xml:space="preserve">CFS score </w:t>
            </w:r>
            <w:r w:rsidRPr="0002798F">
              <w:sym w:font="Symbol" w:char="F0B3"/>
            </w:r>
            <w:r w:rsidRPr="0002798F">
              <w:t xml:space="preserve"> 2</w:t>
            </w:r>
            <w:r w:rsidR="00483B16">
              <w:t>.5</w:t>
            </w:r>
            <w:r w:rsidRPr="0002798F">
              <w:t xml:space="preserve"> on NEI scale </w:t>
            </w:r>
            <w:r w:rsidRPr="0002798F">
              <w:rPr>
                <w:b/>
              </w:rPr>
              <w:t>and</w:t>
            </w:r>
            <w:r w:rsidRPr="0002798F">
              <w:t xml:space="preserve"> SANDE score </w:t>
            </w:r>
            <w:r w:rsidRPr="0002798F">
              <w:sym w:font="Symbol" w:char="F0B3"/>
            </w:r>
            <w:r w:rsidRPr="0002798F">
              <w:t xml:space="preserve"> 40</w:t>
            </w:r>
          </w:p>
        </w:tc>
        <w:tc>
          <w:tcPr>
            <w:tcW w:w="1096" w:type="pct"/>
            <w:shd w:val="clear" w:color="auto" w:fill="auto"/>
            <w:vAlign w:val="center"/>
          </w:tcPr>
          <w:p w14:paraId="687A700D" w14:textId="51619485" w:rsidR="00C21FFA" w:rsidRPr="0002798F" w:rsidRDefault="00C21FFA" w:rsidP="00713290">
            <w:pPr>
              <w:pStyle w:val="TableText0"/>
            </w:pPr>
            <w:r w:rsidRPr="0002798F">
              <w:t xml:space="preserve">Proportion with NEI score </w:t>
            </w:r>
            <w:r w:rsidRPr="0002798F">
              <w:sym w:font="Symbol" w:char="F0A3"/>
            </w:r>
            <w:r w:rsidRPr="0002798F">
              <w:t xml:space="preserve"> </w:t>
            </w:r>
            <w:r w:rsidR="00663286">
              <w:t>0</w:t>
            </w:r>
            <w:r w:rsidRPr="0002798F">
              <w:t xml:space="preserve">.5 </w:t>
            </w:r>
            <w:r w:rsidRPr="0002798F">
              <w:rPr>
                <w:b/>
              </w:rPr>
              <w:t>and</w:t>
            </w:r>
            <w:r w:rsidRPr="0002798F">
              <w:t xml:space="preserve"> change in SANDE </w:t>
            </w:r>
            <w:r w:rsidRPr="0002798F">
              <w:sym w:font="Symbol" w:char="F0B3"/>
            </w:r>
            <w:r w:rsidRPr="0002798F">
              <w:t xml:space="preserve"> 30% </w:t>
            </w:r>
          </w:p>
        </w:tc>
        <w:tc>
          <w:tcPr>
            <w:tcW w:w="1151" w:type="pct"/>
            <w:shd w:val="clear" w:color="auto" w:fill="auto"/>
            <w:vAlign w:val="center"/>
          </w:tcPr>
          <w:p w14:paraId="3C298C26" w14:textId="37C626BA" w:rsidR="00C21FFA" w:rsidRPr="0002798F" w:rsidRDefault="00C21FFA" w:rsidP="00713290">
            <w:pPr>
              <w:pStyle w:val="TableText0"/>
            </w:pPr>
            <w:r w:rsidRPr="0002798F">
              <w:t xml:space="preserve">DED for &gt; 6 </w:t>
            </w:r>
            <w:proofErr w:type="spellStart"/>
            <w:r w:rsidRPr="0002798F">
              <w:t>mo</w:t>
            </w:r>
            <w:proofErr w:type="spellEnd"/>
            <w:r w:rsidRPr="0002798F">
              <w:t xml:space="preserve"> </w:t>
            </w:r>
            <w:r w:rsidRPr="0002798F">
              <w:rPr>
                <w:b/>
              </w:rPr>
              <w:t>was</w:t>
            </w:r>
            <w:r w:rsidRPr="0002798F">
              <w:t xml:space="preserve"> required for entry but is </w:t>
            </w:r>
            <w:r w:rsidRPr="0002798F">
              <w:rPr>
                <w:b/>
              </w:rPr>
              <w:t>not</w:t>
            </w:r>
            <w:r w:rsidRPr="0002798F">
              <w:t xml:space="preserve"> a PBS criterion.</w:t>
            </w:r>
          </w:p>
        </w:tc>
      </w:tr>
      <w:tr w:rsidR="00C21FFA" w:rsidRPr="0002798F" w14:paraId="4EC650EF" w14:textId="77777777" w:rsidTr="00780356">
        <w:tc>
          <w:tcPr>
            <w:tcW w:w="700" w:type="pct"/>
            <w:shd w:val="clear" w:color="auto" w:fill="auto"/>
            <w:vAlign w:val="center"/>
          </w:tcPr>
          <w:p w14:paraId="289AB193" w14:textId="77777777" w:rsidR="00134004" w:rsidRPr="0002798F" w:rsidRDefault="00134004" w:rsidP="00713290">
            <w:pPr>
              <w:pStyle w:val="TableText0"/>
              <w:jc w:val="center"/>
            </w:pPr>
            <w:r w:rsidRPr="0002798F">
              <w:t>Study 2016</w:t>
            </w:r>
          </w:p>
          <w:p w14:paraId="0C03B333" w14:textId="11313A6A" w:rsidR="00C21FFA" w:rsidRPr="0002798F" w:rsidRDefault="00C21FFA" w:rsidP="00713290">
            <w:pPr>
              <w:pStyle w:val="TableText0"/>
              <w:jc w:val="center"/>
            </w:pPr>
            <w:r w:rsidRPr="0002798F">
              <w:t>NCT 02688556</w:t>
            </w:r>
          </w:p>
        </w:tc>
        <w:tc>
          <w:tcPr>
            <w:tcW w:w="456" w:type="pct"/>
            <w:shd w:val="clear" w:color="auto" w:fill="auto"/>
            <w:vAlign w:val="center"/>
          </w:tcPr>
          <w:p w14:paraId="04FE5498" w14:textId="77777777" w:rsidR="00C21FFA" w:rsidRPr="0002798F" w:rsidRDefault="00C21FFA" w:rsidP="00713290">
            <w:pPr>
              <w:pStyle w:val="TableText0"/>
              <w:jc w:val="center"/>
            </w:pPr>
            <w:r w:rsidRPr="0002798F">
              <w:t>167 (744)</w:t>
            </w:r>
          </w:p>
        </w:tc>
        <w:tc>
          <w:tcPr>
            <w:tcW w:w="762" w:type="pct"/>
            <w:shd w:val="clear" w:color="auto" w:fill="auto"/>
            <w:vAlign w:val="center"/>
          </w:tcPr>
          <w:p w14:paraId="2BFFED03" w14:textId="77777777" w:rsidR="00C21FFA" w:rsidRPr="0002798F" w:rsidRDefault="00C21FFA" w:rsidP="00713290">
            <w:pPr>
              <w:pStyle w:val="TableText0"/>
              <w:jc w:val="center"/>
            </w:pPr>
            <w:r w:rsidRPr="0002798F">
              <w:t xml:space="preserve">R, DB, MC, 12 </w:t>
            </w:r>
            <w:proofErr w:type="spellStart"/>
            <w:r w:rsidRPr="0002798F">
              <w:t>wk</w:t>
            </w:r>
            <w:proofErr w:type="spellEnd"/>
          </w:p>
        </w:tc>
        <w:tc>
          <w:tcPr>
            <w:tcW w:w="834" w:type="pct"/>
            <w:shd w:val="clear" w:color="auto" w:fill="auto"/>
            <w:vAlign w:val="center"/>
          </w:tcPr>
          <w:p w14:paraId="143462DC" w14:textId="2438B634" w:rsidR="00C21FFA" w:rsidRPr="0002798F" w:rsidRDefault="00C21FFA" w:rsidP="00713290">
            <w:pPr>
              <w:pStyle w:val="TableText0"/>
            </w:pPr>
            <w:r w:rsidRPr="0002798F">
              <w:t xml:space="preserve">CFS score </w:t>
            </w:r>
            <w:r w:rsidRPr="0002798F">
              <w:sym w:font="Symbol" w:char="F0B3"/>
            </w:r>
            <w:r w:rsidRPr="0002798F">
              <w:t xml:space="preserve"> 2</w:t>
            </w:r>
            <w:r w:rsidR="005171CC">
              <w:t>.5</w:t>
            </w:r>
            <w:r w:rsidRPr="0002798F">
              <w:t xml:space="preserve"> on NEI scale </w:t>
            </w:r>
            <w:r w:rsidRPr="0002798F">
              <w:rPr>
                <w:b/>
              </w:rPr>
              <w:t>and</w:t>
            </w:r>
            <w:r w:rsidRPr="0002798F">
              <w:t xml:space="preserve"> SANDE score </w:t>
            </w:r>
            <w:r w:rsidRPr="0002798F">
              <w:sym w:font="Symbol" w:char="F0B3"/>
            </w:r>
            <w:r w:rsidRPr="0002798F">
              <w:t xml:space="preserve"> 40</w:t>
            </w:r>
          </w:p>
        </w:tc>
        <w:tc>
          <w:tcPr>
            <w:tcW w:w="1096" w:type="pct"/>
            <w:shd w:val="clear" w:color="auto" w:fill="auto"/>
            <w:vAlign w:val="center"/>
          </w:tcPr>
          <w:p w14:paraId="38C15270" w14:textId="278B9693" w:rsidR="00C21FFA" w:rsidRPr="0002798F" w:rsidRDefault="00C21FFA" w:rsidP="00713290">
            <w:pPr>
              <w:pStyle w:val="TableText0"/>
            </w:pPr>
            <w:r w:rsidRPr="0002798F">
              <w:t xml:space="preserve">Proportion with NEI score </w:t>
            </w:r>
            <w:r w:rsidRPr="0002798F">
              <w:sym w:font="Symbol" w:char="F0A3"/>
            </w:r>
            <w:r w:rsidRPr="0002798F">
              <w:t xml:space="preserve"> </w:t>
            </w:r>
            <w:r w:rsidR="005171CC">
              <w:t>0</w:t>
            </w:r>
            <w:r w:rsidRPr="0002798F">
              <w:t xml:space="preserve">.5 </w:t>
            </w:r>
            <w:r w:rsidRPr="0002798F">
              <w:rPr>
                <w:b/>
              </w:rPr>
              <w:t>and</w:t>
            </w:r>
            <w:r w:rsidRPr="0002798F">
              <w:t xml:space="preserve"> change in SANDE </w:t>
            </w:r>
            <w:r w:rsidRPr="0002798F">
              <w:sym w:font="Symbol" w:char="F0B3"/>
            </w:r>
            <w:r w:rsidRPr="0002798F">
              <w:t xml:space="preserve"> 30%</w:t>
            </w:r>
          </w:p>
        </w:tc>
        <w:tc>
          <w:tcPr>
            <w:tcW w:w="1151" w:type="pct"/>
            <w:shd w:val="clear" w:color="auto" w:fill="auto"/>
            <w:vAlign w:val="center"/>
          </w:tcPr>
          <w:p w14:paraId="6B845539" w14:textId="77777777" w:rsidR="00C21FFA" w:rsidRPr="0002798F" w:rsidRDefault="00C21FFA" w:rsidP="00713290">
            <w:pPr>
              <w:pStyle w:val="TableText0"/>
            </w:pPr>
            <w:r w:rsidRPr="0002798F">
              <w:t xml:space="preserve">DED for &gt; 6 </w:t>
            </w:r>
            <w:proofErr w:type="spellStart"/>
            <w:r w:rsidRPr="0002798F">
              <w:t>mo</w:t>
            </w:r>
            <w:proofErr w:type="spellEnd"/>
            <w:r w:rsidRPr="0002798F">
              <w:t xml:space="preserve"> </w:t>
            </w:r>
            <w:r w:rsidRPr="0002798F">
              <w:rPr>
                <w:b/>
              </w:rPr>
              <w:t>was</w:t>
            </w:r>
            <w:r w:rsidRPr="0002798F">
              <w:t xml:space="preserve"> required for entry but is </w:t>
            </w:r>
            <w:r w:rsidRPr="0002798F">
              <w:rPr>
                <w:b/>
              </w:rPr>
              <w:t>not</w:t>
            </w:r>
            <w:r w:rsidRPr="0002798F">
              <w:t xml:space="preserve"> a PBS criterion.</w:t>
            </w:r>
          </w:p>
        </w:tc>
      </w:tr>
      <w:tr w:rsidR="00C21FFA" w:rsidRPr="0002798F" w14:paraId="131BB819" w14:textId="77777777" w:rsidTr="00B5452F">
        <w:tc>
          <w:tcPr>
            <w:tcW w:w="700" w:type="pct"/>
            <w:shd w:val="clear" w:color="auto" w:fill="auto"/>
            <w:vAlign w:val="center"/>
          </w:tcPr>
          <w:p w14:paraId="291BC9F3" w14:textId="77777777" w:rsidR="00C21FFA" w:rsidRPr="0002798F" w:rsidRDefault="00C21FFA" w:rsidP="00713290">
            <w:pPr>
              <w:pStyle w:val="TableText0"/>
              <w:jc w:val="center"/>
            </w:pPr>
          </w:p>
          <w:p w14:paraId="2A1F430D" w14:textId="77777777" w:rsidR="00C21FFA" w:rsidRPr="0002798F" w:rsidRDefault="00C21FFA" w:rsidP="00713290">
            <w:pPr>
              <w:pStyle w:val="TableText0"/>
              <w:jc w:val="center"/>
            </w:pPr>
            <w:r w:rsidRPr="0002798F">
              <w:t>Pooled</w:t>
            </w:r>
          </w:p>
          <w:p w14:paraId="0C5C000D" w14:textId="77777777" w:rsidR="00C21FFA" w:rsidRPr="0002798F" w:rsidRDefault="00C21FFA" w:rsidP="00713290">
            <w:pPr>
              <w:pStyle w:val="TableText0"/>
              <w:jc w:val="center"/>
            </w:pPr>
          </w:p>
        </w:tc>
        <w:tc>
          <w:tcPr>
            <w:tcW w:w="456" w:type="pct"/>
            <w:shd w:val="clear" w:color="auto" w:fill="auto"/>
            <w:vAlign w:val="center"/>
          </w:tcPr>
          <w:p w14:paraId="407A9A49" w14:textId="77777777" w:rsidR="00C21FFA" w:rsidRPr="0002798F" w:rsidRDefault="00C21FFA" w:rsidP="00713290">
            <w:pPr>
              <w:pStyle w:val="TableText0"/>
              <w:jc w:val="center"/>
            </w:pPr>
            <w:r w:rsidRPr="0002798F">
              <w:t>244</w:t>
            </w:r>
          </w:p>
        </w:tc>
        <w:tc>
          <w:tcPr>
            <w:tcW w:w="762" w:type="pct"/>
            <w:shd w:val="clear" w:color="auto" w:fill="auto"/>
            <w:vAlign w:val="center"/>
          </w:tcPr>
          <w:p w14:paraId="3A7DB8C3" w14:textId="77777777" w:rsidR="00C21FFA" w:rsidRPr="0002798F" w:rsidRDefault="00C21FFA" w:rsidP="00713290">
            <w:pPr>
              <w:pStyle w:val="TableText0"/>
              <w:jc w:val="center"/>
            </w:pPr>
            <w:r w:rsidRPr="0002798F">
              <w:t>-</w:t>
            </w:r>
          </w:p>
        </w:tc>
        <w:tc>
          <w:tcPr>
            <w:tcW w:w="834" w:type="pct"/>
            <w:shd w:val="clear" w:color="auto" w:fill="auto"/>
            <w:vAlign w:val="center"/>
          </w:tcPr>
          <w:p w14:paraId="0425ED4E" w14:textId="77777777" w:rsidR="00C21FFA" w:rsidRPr="0002798F" w:rsidRDefault="00C21FFA" w:rsidP="00713290">
            <w:pPr>
              <w:pStyle w:val="TableText0"/>
              <w:jc w:val="center"/>
            </w:pPr>
            <w:r w:rsidRPr="0002798F">
              <w:t>-</w:t>
            </w:r>
          </w:p>
        </w:tc>
        <w:tc>
          <w:tcPr>
            <w:tcW w:w="1096" w:type="pct"/>
            <w:shd w:val="clear" w:color="auto" w:fill="auto"/>
            <w:vAlign w:val="center"/>
          </w:tcPr>
          <w:p w14:paraId="3E0D825B" w14:textId="77777777" w:rsidR="00C21FFA" w:rsidRPr="0002798F" w:rsidRDefault="00C21FFA" w:rsidP="00713290">
            <w:pPr>
              <w:pStyle w:val="TableText0"/>
              <w:jc w:val="center"/>
            </w:pPr>
            <w:r w:rsidRPr="0002798F">
              <w:t>-</w:t>
            </w:r>
          </w:p>
        </w:tc>
        <w:tc>
          <w:tcPr>
            <w:tcW w:w="1151" w:type="pct"/>
            <w:shd w:val="clear" w:color="auto" w:fill="auto"/>
            <w:vAlign w:val="center"/>
          </w:tcPr>
          <w:p w14:paraId="274EBFAB" w14:textId="2D419D1E" w:rsidR="00C21FFA" w:rsidRPr="0002798F" w:rsidRDefault="00B5452F" w:rsidP="00B5452F">
            <w:pPr>
              <w:pStyle w:val="TableText0"/>
              <w:jc w:val="center"/>
            </w:pPr>
            <w:r>
              <w:t>-</w:t>
            </w:r>
          </w:p>
        </w:tc>
      </w:tr>
      <w:tr w:rsidR="00C21FFA" w:rsidRPr="0002798F" w14:paraId="2348E16C" w14:textId="77777777" w:rsidTr="00780356">
        <w:tc>
          <w:tcPr>
            <w:tcW w:w="700" w:type="pct"/>
            <w:shd w:val="clear" w:color="auto" w:fill="auto"/>
            <w:vAlign w:val="center"/>
          </w:tcPr>
          <w:p w14:paraId="29725AAB" w14:textId="77777777" w:rsidR="00C21FFA" w:rsidRPr="0002798F" w:rsidRDefault="00C21FFA" w:rsidP="00713290">
            <w:pPr>
              <w:pStyle w:val="TableText0"/>
              <w:jc w:val="center"/>
            </w:pPr>
            <w:r w:rsidRPr="0002798F">
              <w:t>SICCANOVE</w:t>
            </w:r>
          </w:p>
        </w:tc>
        <w:tc>
          <w:tcPr>
            <w:tcW w:w="456" w:type="pct"/>
            <w:shd w:val="clear" w:color="auto" w:fill="auto"/>
            <w:vAlign w:val="center"/>
          </w:tcPr>
          <w:p w14:paraId="230D25D1" w14:textId="77777777" w:rsidR="00C21FFA" w:rsidRPr="0002798F" w:rsidRDefault="00C21FFA" w:rsidP="00713290">
            <w:pPr>
              <w:pStyle w:val="TableText0"/>
              <w:jc w:val="center"/>
            </w:pPr>
            <w:r w:rsidRPr="0002798F">
              <w:t>75 (489)</w:t>
            </w:r>
          </w:p>
        </w:tc>
        <w:tc>
          <w:tcPr>
            <w:tcW w:w="762" w:type="pct"/>
            <w:shd w:val="clear" w:color="auto" w:fill="auto"/>
            <w:vAlign w:val="center"/>
          </w:tcPr>
          <w:p w14:paraId="4A7098A5" w14:textId="77777777" w:rsidR="00C21FFA" w:rsidRPr="0002798F" w:rsidRDefault="00C21FFA" w:rsidP="00713290">
            <w:pPr>
              <w:pStyle w:val="TableText0"/>
              <w:jc w:val="center"/>
            </w:pPr>
            <w:r w:rsidRPr="0002798F">
              <w:t xml:space="preserve">R, DB, MC, 26 </w:t>
            </w:r>
            <w:proofErr w:type="spellStart"/>
            <w:r w:rsidRPr="0002798F">
              <w:t>wk</w:t>
            </w:r>
            <w:proofErr w:type="spellEnd"/>
          </w:p>
        </w:tc>
        <w:tc>
          <w:tcPr>
            <w:tcW w:w="834" w:type="pct"/>
            <w:shd w:val="clear" w:color="auto" w:fill="auto"/>
            <w:vAlign w:val="center"/>
          </w:tcPr>
          <w:p w14:paraId="5C9CC3FD" w14:textId="77777777" w:rsidR="00C21FFA" w:rsidRPr="0002798F" w:rsidRDefault="00C21FFA" w:rsidP="00713290">
            <w:pPr>
              <w:pStyle w:val="TableText0"/>
            </w:pPr>
            <w:r w:rsidRPr="0002798F">
              <w:t xml:space="preserve">CFS (Oxford Scale) </w:t>
            </w:r>
            <w:r w:rsidRPr="0002798F">
              <w:sym w:font="Symbol" w:char="F0B3"/>
            </w:r>
            <w:r w:rsidRPr="0002798F">
              <w:t xml:space="preserve"> 4 </w:t>
            </w:r>
            <w:r w:rsidRPr="0002798F">
              <w:rPr>
                <w:b/>
              </w:rPr>
              <w:t xml:space="preserve">and </w:t>
            </w:r>
            <w:r w:rsidRPr="0002798F">
              <w:t xml:space="preserve">OSDI </w:t>
            </w:r>
            <w:r w:rsidRPr="0002798F">
              <w:sym w:font="Symbol" w:char="F0B3"/>
            </w:r>
            <w:r w:rsidRPr="0002798F">
              <w:t xml:space="preserve"> 23.</w:t>
            </w:r>
          </w:p>
        </w:tc>
        <w:tc>
          <w:tcPr>
            <w:tcW w:w="1096" w:type="pct"/>
            <w:shd w:val="clear" w:color="auto" w:fill="auto"/>
            <w:vAlign w:val="center"/>
          </w:tcPr>
          <w:p w14:paraId="051796C8" w14:textId="28A79E89" w:rsidR="00C21FFA" w:rsidRPr="0002798F" w:rsidRDefault="00C21FFA" w:rsidP="00713290">
            <w:pPr>
              <w:pStyle w:val="TableText0"/>
            </w:pPr>
            <w:r w:rsidRPr="0002798F">
              <w:t xml:space="preserve">Corneal fluorescein staining improved </w:t>
            </w:r>
            <w:r w:rsidRPr="0002798F">
              <w:sym w:font="Symbol" w:char="F0B3"/>
            </w:r>
            <w:r w:rsidRPr="0002798F">
              <w:t xml:space="preserve"> 3 </w:t>
            </w:r>
            <w:r w:rsidR="003C1609">
              <w:t xml:space="preserve">Oxford Scale </w:t>
            </w:r>
            <w:r w:rsidRPr="0002798F">
              <w:t xml:space="preserve">grades </w:t>
            </w:r>
            <w:r w:rsidRPr="0002798F">
              <w:rPr>
                <w:b/>
              </w:rPr>
              <w:t>and</w:t>
            </w:r>
            <w:r w:rsidRPr="0002798F">
              <w:t xml:space="preserve"> </w:t>
            </w:r>
            <w:r w:rsidR="00913C37" w:rsidRPr="0002798F">
              <w:sym w:font="Symbol" w:char="F0B3"/>
            </w:r>
            <w:r w:rsidR="00913C37">
              <w:t xml:space="preserve"> </w:t>
            </w:r>
            <w:r w:rsidRPr="0002798F">
              <w:t>30% reduction in OSDI.</w:t>
            </w:r>
          </w:p>
        </w:tc>
        <w:tc>
          <w:tcPr>
            <w:tcW w:w="1151" w:type="pct"/>
            <w:shd w:val="clear" w:color="auto" w:fill="auto"/>
            <w:vAlign w:val="center"/>
          </w:tcPr>
          <w:p w14:paraId="75003046" w14:textId="40A54A2C" w:rsidR="00C21FFA" w:rsidRPr="0002798F" w:rsidRDefault="00C21FFA" w:rsidP="00713290">
            <w:pPr>
              <w:pStyle w:val="TableText0"/>
            </w:pPr>
            <w:r w:rsidRPr="0002798F">
              <w:t xml:space="preserve">Tear Break-Up Time </w:t>
            </w:r>
            <w:r w:rsidRPr="0002798F">
              <w:sym w:font="Symbol" w:char="F0A3"/>
            </w:r>
            <w:r w:rsidRPr="0002798F">
              <w:t xml:space="preserve"> 8 sec </w:t>
            </w:r>
            <w:r w:rsidRPr="0002798F">
              <w:rPr>
                <w:b/>
              </w:rPr>
              <w:t>and</w:t>
            </w:r>
            <w:r w:rsidRPr="0002798F">
              <w:t xml:space="preserve"> impaired tear production by Schirmer’s Test </w:t>
            </w:r>
            <w:r w:rsidRPr="0002798F">
              <w:rPr>
                <w:b/>
              </w:rPr>
              <w:t>and</w:t>
            </w:r>
            <w:r w:rsidRPr="0002798F">
              <w:t xml:space="preserve"> marked conjunctival </w:t>
            </w:r>
            <w:proofErr w:type="spellStart"/>
            <w:r w:rsidRPr="0002798F">
              <w:t>lissamine</w:t>
            </w:r>
            <w:proofErr w:type="spellEnd"/>
            <w:r w:rsidRPr="0002798F">
              <w:t xml:space="preserve"> green staining </w:t>
            </w:r>
            <w:r w:rsidRPr="0002798F">
              <w:rPr>
                <w:b/>
              </w:rPr>
              <w:t>were</w:t>
            </w:r>
            <w:r w:rsidRPr="0002798F">
              <w:t xml:space="preserve"> required for entry but are </w:t>
            </w:r>
            <w:r w:rsidRPr="0002798F">
              <w:rPr>
                <w:b/>
              </w:rPr>
              <w:t>not</w:t>
            </w:r>
            <w:r w:rsidRPr="0002798F">
              <w:t xml:space="preserve"> PBS criteria. </w:t>
            </w:r>
          </w:p>
        </w:tc>
      </w:tr>
      <w:tr w:rsidR="00C21FFA" w:rsidRPr="0002798F" w14:paraId="38458F3B" w14:textId="77777777" w:rsidTr="00780356">
        <w:tc>
          <w:tcPr>
            <w:tcW w:w="700" w:type="pct"/>
            <w:shd w:val="clear" w:color="auto" w:fill="auto"/>
            <w:vAlign w:val="center"/>
          </w:tcPr>
          <w:p w14:paraId="3DFCA69B" w14:textId="77777777" w:rsidR="00C21FFA" w:rsidRPr="0002798F" w:rsidRDefault="00C21FFA" w:rsidP="00713290">
            <w:pPr>
              <w:pStyle w:val="TableText0"/>
              <w:jc w:val="center"/>
            </w:pPr>
            <w:r w:rsidRPr="0002798F">
              <w:t>SANSIKA</w:t>
            </w:r>
          </w:p>
        </w:tc>
        <w:tc>
          <w:tcPr>
            <w:tcW w:w="456" w:type="pct"/>
            <w:shd w:val="clear" w:color="auto" w:fill="auto"/>
            <w:vAlign w:val="center"/>
          </w:tcPr>
          <w:p w14:paraId="20904EE5" w14:textId="77777777" w:rsidR="00C21FFA" w:rsidRPr="0002798F" w:rsidRDefault="00C21FFA" w:rsidP="00713290">
            <w:pPr>
              <w:pStyle w:val="TableText0"/>
              <w:jc w:val="center"/>
            </w:pPr>
            <w:r w:rsidRPr="0002798F">
              <w:t>245 (245)</w:t>
            </w:r>
          </w:p>
        </w:tc>
        <w:tc>
          <w:tcPr>
            <w:tcW w:w="762" w:type="pct"/>
            <w:shd w:val="clear" w:color="auto" w:fill="auto"/>
            <w:vAlign w:val="center"/>
          </w:tcPr>
          <w:p w14:paraId="5B2F5EB6" w14:textId="77777777" w:rsidR="00C21FFA" w:rsidRPr="0002798F" w:rsidRDefault="00C21FFA" w:rsidP="00713290">
            <w:pPr>
              <w:pStyle w:val="TableText0"/>
              <w:jc w:val="center"/>
            </w:pPr>
            <w:r w:rsidRPr="0002798F">
              <w:t xml:space="preserve">R, DB, MC, 26 </w:t>
            </w:r>
            <w:proofErr w:type="spellStart"/>
            <w:r w:rsidRPr="0002798F">
              <w:t>wk</w:t>
            </w:r>
            <w:proofErr w:type="spellEnd"/>
          </w:p>
        </w:tc>
        <w:tc>
          <w:tcPr>
            <w:tcW w:w="834" w:type="pct"/>
            <w:shd w:val="clear" w:color="auto" w:fill="auto"/>
            <w:vAlign w:val="center"/>
          </w:tcPr>
          <w:p w14:paraId="43515CCF" w14:textId="77777777" w:rsidR="00C21FFA" w:rsidRPr="0002798F" w:rsidRDefault="00C21FFA" w:rsidP="00713290">
            <w:pPr>
              <w:pStyle w:val="TableText0"/>
            </w:pPr>
            <w:r w:rsidRPr="0002798F">
              <w:t xml:space="preserve"> CFS (Oxford Scale) </w:t>
            </w:r>
            <w:r w:rsidRPr="0002798F">
              <w:sym w:font="Symbol" w:char="F0B3"/>
            </w:r>
            <w:r w:rsidRPr="0002798F">
              <w:t xml:space="preserve"> 4 </w:t>
            </w:r>
            <w:r w:rsidRPr="0002798F">
              <w:rPr>
                <w:b/>
              </w:rPr>
              <w:t xml:space="preserve">and </w:t>
            </w:r>
            <w:r w:rsidRPr="0002798F">
              <w:t xml:space="preserve">OSDI </w:t>
            </w:r>
            <w:r w:rsidRPr="0002798F">
              <w:sym w:font="Symbol" w:char="F0B3"/>
            </w:r>
            <w:r w:rsidRPr="0002798F">
              <w:t xml:space="preserve"> 23. </w:t>
            </w:r>
          </w:p>
        </w:tc>
        <w:tc>
          <w:tcPr>
            <w:tcW w:w="1096" w:type="pct"/>
            <w:shd w:val="clear" w:color="auto" w:fill="auto"/>
            <w:vAlign w:val="center"/>
          </w:tcPr>
          <w:p w14:paraId="2362523C" w14:textId="75DD7502" w:rsidR="00C21FFA" w:rsidRPr="0002798F" w:rsidRDefault="00C21FFA" w:rsidP="00713290">
            <w:pPr>
              <w:pStyle w:val="TableText0"/>
            </w:pPr>
            <w:r w:rsidRPr="0002798F">
              <w:t xml:space="preserve">Corneal fluorescein staining improved </w:t>
            </w:r>
            <w:r w:rsidRPr="0002798F">
              <w:sym w:font="Symbol" w:char="F0B3"/>
            </w:r>
            <w:r w:rsidRPr="0002798F">
              <w:t xml:space="preserve"> 3 grades </w:t>
            </w:r>
            <w:r w:rsidRPr="0002798F">
              <w:rPr>
                <w:b/>
              </w:rPr>
              <w:t>and</w:t>
            </w:r>
            <w:r w:rsidRPr="0002798F">
              <w:t xml:space="preserve"> </w:t>
            </w:r>
            <w:r w:rsidR="00913C37" w:rsidRPr="0002798F">
              <w:sym w:font="Symbol" w:char="F0B3"/>
            </w:r>
            <w:r w:rsidR="00913C37">
              <w:t xml:space="preserve"> </w:t>
            </w:r>
            <w:r w:rsidRPr="0002798F">
              <w:t xml:space="preserve">30% reduction in OSDI. </w:t>
            </w:r>
          </w:p>
        </w:tc>
        <w:tc>
          <w:tcPr>
            <w:tcW w:w="1151" w:type="pct"/>
            <w:shd w:val="clear" w:color="auto" w:fill="auto"/>
            <w:vAlign w:val="center"/>
          </w:tcPr>
          <w:p w14:paraId="0DF983E5" w14:textId="77777777" w:rsidR="00C21FFA" w:rsidRPr="0002798F" w:rsidRDefault="00C21FFA" w:rsidP="00713290">
            <w:pPr>
              <w:pStyle w:val="TableText0"/>
            </w:pPr>
            <w:r w:rsidRPr="0002798F">
              <w:t xml:space="preserve">Impaired tear production by Schirmer’s Test </w:t>
            </w:r>
            <w:r w:rsidRPr="0002798F">
              <w:rPr>
                <w:b/>
              </w:rPr>
              <w:t>was</w:t>
            </w:r>
            <w:r w:rsidRPr="0002798F">
              <w:t xml:space="preserve"> required for entry but is </w:t>
            </w:r>
            <w:r w:rsidRPr="0002798F">
              <w:rPr>
                <w:b/>
              </w:rPr>
              <w:t>not</w:t>
            </w:r>
            <w:r w:rsidRPr="0002798F">
              <w:t xml:space="preserve"> a PBS criterion. </w:t>
            </w:r>
          </w:p>
        </w:tc>
      </w:tr>
      <w:tr w:rsidR="00C21FFA" w:rsidRPr="0002798F" w14:paraId="463C1FC6" w14:textId="77777777" w:rsidTr="00B5452F">
        <w:tc>
          <w:tcPr>
            <w:tcW w:w="700" w:type="pct"/>
            <w:shd w:val="clear" w:color="auto" w:fill="auto"/>
            <w:vAlign w:val="center"/>
          </w:tcPr>
          <w:p w14:paraId="5F949642" w14:textId="77777777" w:rsidR="00C21FFA" w:rsidRPr="0002798F" w:rsidRDefault="00C21FFA" w:rsidP="00713290">
            <w:pPr>
              <w:pStyle w:val="TableText0"/>
              <w:jc w:val="center"/>
            </w:pPr>
          </w:p>
          <w:p w14:paraId="62555B49" w14:textId="77777777" w:rsidR="00C21FFA" w:rsidRPr="0002798F" w:rsidRDefault="00C21FFA" w:rsidP="00713290">
            <w:pPr>
              <w:pStyle w:val="TableText0"/>
              <w:jc w:val="center"/>
            </w:pPr>
            <w:r w:rsidRPr="0002798F">
              <w:t>Pooled</w:t>
            </w:r>
          </w:p>
          <w:p w14:paraId="7F9BDC47" w14:textId="77777777" w:rsidR="00C21FFA" w:rsidRPr="0002798F" w:rsidRDefault="00C21FFA" w:rsidP="00713290">
            <w:pPr>
              <w:pStyle w:val="TableText0"/>
              <w:jc w:val="center"/>
            </w:pPr>
          </w:p>
        </w:tc>
        <w:tc>
          <w:tcPr>
            <w:tcW w:w="456" w:type="pct"/>
            <w:shd w:val="clear" w:color="auto" w:fill="auto"/>
            <w:vAlign w:val="center"/>
          </w:tcPr>
          <w:p w14:paraId="195E8B0D" w14:textId="77777777" w:rsidR="00C21FFA" w:rsidRPr="0002798F" w:rsidRDefault="00C21FFA" w:rsidP="00713290">
            <w:pPr>
              <w:pStyle w:val="TableText0"/>
              <w:jc w:val="center"/>
            </w:pPr>
            <w:r w:rsidRPr="0002798F">
              <w:t>320</w:t>
            </w:r>
          </w:p>
        </w:tc>
        <w:tc>
          <w:tcPr>
            <w:tcW w:w="762" w:type="pct"/>
            <w:shd w:val="clear" w:color="auto" w:fill="auto"/>
            <w:vAlign w:val="center"/>
          </w:tcPr>
          <w:p w14:paraId="5B0943EB" w14:textId="77777777" w:rsidR="00C21FFA" w:rsidRPr="0002798F" w:rsidRDefault="00C21FFA" w:rsidP="00713290">
            <w:pPr>
              <w:pStyle w:val="TableText0"/>
              <w:jc w:val="center"/>
            </w:pPr>
            <w:r w:rsidRPr="0002798F">
              <w:t>-</w:t>
            </w:r>
          </w:p>
        </w:tc>
        <w:tc>
          <w:tcPr>
            <w:tcW w:w="834" w:type="pct"/>
            <w:shd w:val="clear" w:color="auto" w:fill="auto"/>
            <w:vAlign w:val="center"/>
          </w:tcPr>
          <w:p w14:paraId="0D7F722E" w14:textId="77777777" w:rsidR="00C21FFA" w:rsidRPr="0002798F" w:rsidRDefault="00C21FFA" w:rsidP="00713290">
            <w:pPr>
              <w:pStyle w:val="TableText0"/>
              <w:jc w:val="center"/>
            </w:pPr>
            <w:r w:rsidRPr="0002798F">
              <w:t>-</w:t>
            </w:r>
          </w:p>
        </w:tc>
        <w:tc>
          <w:tcPr>
            <w:tcW w:w="1096" w:type="pct"/>
            <w:shd w:val="clear" w:color="auto" w:fill="auto"/>
            <w:vAlign w:val="center"/>
          </w:tcPr>
          <w:p w14:paraId="6D4C0016" w14:textId="77777777" w:rsidR="00C21FFA" w:rsidRPr="0002798F" w:rsidRDefault="00C21FFA" w:rsidP="00713290">
            <w:pPr>
              <w:pStyle w:val="TableText0"/>
              <w:jc w:val="center"/>
            </w:pPr>
            <w:r w:rsidRPr="0002798F">
              <w:t>-</w:t>
            </w:r>
          </w:p>
        </w:tc>
        <w:tc>
          <w:tcPr>
            <w:tcW w:w="1151" w:type="pct"/>
            <w:shd w:val="clear" w:color="auto" w:fill="auto"/>
            <w:vAlign w:val="center"/>
          </w:tcPr>
          <w:p w14:paraId="17AC40BC" w14:textId="4F5CDFF3" w:rsidR="00C21FFA" w:rsidRPr="0002798F" w:rsidRDefault="00B5452F" w:rsidP="00B5452F">
            <w:pPr>
              <w:pStyle w:val="TableText0"/>
              <w:jc w:val="center"/>
            </w:pPr>
            <w:r>
              <w:t>-</w:t>
            </w:r>
          </w:p>
        </w:tc>
      </w:tr>
    </w:tbl>
    <w:p w14:paraId="55B37F0B" w14:textId="1BEAFEE7" w:rsidR="007335BB" w:rsidRPr="0077571D" w:rsidRDefault="00C21FFA" w:rsidP="0077571D">
      <w:pPr>
        <w:pStyle w:val="TableFigureFooter"/>
      </w:pPr>
      <w:r w:rsidRPr="0077571D">
        <w:t>Source: Table 2.2-2 and Figure 2.2-2, p34.</w:t>
      </w:r>
    </w:p>
    <w:p w14:paraId="1B182D4D" w14:textId="3C14D3F6" w:rsidR="00AA4759" w:rsidRPr="0077571D" w:rsidRDefault="00297A78" w:rsidP="0077571D">
      <w:pPr>
        <w:pStyle w:val="TableFigureFooter"/>
      </w:pPr>
      <w:r w:rsidRPr="0077571D">
        <w:t xml:space="preserve">Abbreviations: </w:t>
      </w:r>
      <w:r w:rsidR="00C21FFA" w:rsidRPr="0077571D">
        <w:t xml:space="preserve">DB = double blind; </w:t>
      </w:r>
      <w:r w:rsidRPr="0077571D">
        <w:t xml:space="preserve">DED = dry eye disease; </w:t>
      </w:r>
      <w:r w:rsidR="00C21FFA" w:rsidRPr="0077571D">
        <w:t xml:space="preserve">MC = multi-centre; OL = open label; </w:t>
      </w:r>
      <w:r w:rsidRPr="0077571D">
        <w:t>OSDI=</w:t>
      </w:r>
      <w:r w:rsidR="00590F7A" w:rsidRPr="0077571D">
        <w:t xml:space="preserve"> Optical Surface Disease Index,</w:t>
      </w:r>
      <w:r w:rsidRPr="0077571D">
        <w:t xml:space="preserve"> </w:t>
      </w:r>
      <w:r w:rsidR="00C21FFA" w:rsidRPr="0077571D">
        <w:t>R = randomised.</w:t>
      </w:r>
      <w:r w:rsidR="00590F7A" w:rsidRPr="0077571D">
        <w:t xml:space="preserve"> CFS = corneal fluorescein staining</w:t>
      </w:r>
      <w:r w:rsidR="00713290" w:rsidRPr="000F5C42">
        <w:t xml:space="preserve">, NEI = National Eye Institute, SANDE = Symptom Assessment </w:t>
      </w:r>
      <w:proofErr w:type="spellStart"/>
      <w:r w:rsidR="00CE273F" w:rsidRPr="000F5C42">
        <w:t>iN</w:t>
      </w:r>
      <w:proofErr w:type="spellEnd"/>
      <w:r w:rsidR="00713290" w:rsidRPr="000F5C42">
        <w:t xml:space="preserve"> Dry Ey</w:t>
      </w:r>
      <w:r w:rsidR="00713290" w:rsidRPr="0077571D">
        <w:t>e</w:t>
      </w:r>
      <w:bookmarkStart w:id="24" w:name="_Toc22897641"/>
      <w:r w:rsidR="00AA4759" w:rsidRPr="0077571D">
        <w:t>.</w:t>
      </w:r>
      <w:r w:rsidR="0077571D" w:rsidRPr="0077571D">
        <w:t xml:space="preserve"> </w:t>
      </w:r>
      <w:proofErr w:type="spellStart"/>
      <w:r w:rsidR="00AA4759" w:rsidRPr="0077571D">
        <w:rPr>
          <w:vertAlign w:val="superscript"/>
        </w:rPr>
        <w:t>a</w:t>
      </w:r>
      <w:r w:rsidR="00AA4759" w:rsidRPr="0077571D">
        <w:t>PBS</w:t>
      </w:r>
      <w:proofErr w:type="spellEnd"/>
      <w:r w:rsidR="001F11A4" w:rsidRPr="0077571D">
        <w:t xml:space="preserve"> criteria: p</w:t>
      </w:r>
      <w:r w:rsidR="00AA4759" w:rsidRPr="0077571D">
        <w:t>atient must have a CFS grade of 4 at treatment initiation, using at least one of: (</w:t>
      </w:r>
      <w:proofErr w:type="spellStart"/>
      <w:r w:rsidR="00AA4759" w:rsidRPr="0077571D">
        <w:t>i</w:t>
      </w:r>
      <w:proofErr w:type="spellEnd"/>
      <w:r w:rsidR="00AA4759" w:rsidRPr="0077571D">
        <w:t>) the Oxford scale, (ii) the modified Oxford scale, (iii) an equivalent scale to the Oxford scale as determined by the prescriber</w:t>
      </w:r>
      <w:r w:rsidR="0077571D">
        <w:t xml:space="preserve"> </w:t>
      </w:r>
      <w:r w:rsidR="00AA4759" w:rsidRPr="0077571D">
        <w:t>AND</w:t>
      </w:r>
      <w:r w:rsidR="001F11A4" w:rsidRPr="0077571D">
        <w:t xml:space="preserve"> </w:t>
      </w:r>
      <w:r w:rsidR="00AA4759" w:rsidRPr="0077571D">
        <w:t>Patient must have an ocular surface disease index (OSDI) score of at least 23 at treatment initiation</w:t>
      </w:r>
      <w:r w:rsidR="000F5C42">
        <w:t>.</w:t>
      </w:r>
    </w:p>
    <w:p w14:paraId="6E5747E1" w14:textId="78AA7969" w:rsidR="00155087" w:rsidRDefault="009A474F" w:rsidP="00155087">
      <w:pPr>
        <w:pStyle w:val="3-BodyText"/>
      </w:pPr>
      <w:r>
        <w:t xml:space="preserve">It </w:t>
      </w:r>
      <w:r w:rsidR="00D867A4">
        <w:t xml:space="preserve">was </w:t>
      </w:r>
      <w:r>
        <w:t xml:space="preserve">uncertain how the submission derived the PBS-eligible subgroups. </w:t>
      </w:r>
      <w:r w:rsidR="0006734B">
        <w:t xml:space="preserve">As stated in the submission, </w:t>
      </w:r>
      <w:r w:rsidR="0006734B" w:rsidRPr="0006734B">
        <w:t>Study 2014 and Study 2016 u</w:t>
      </w:r>
      <w:r w:rsidR="00F17EF1">
        <w:t>sed</w:t>
      </w:r>
      <w:r w:rsidR="0006734B" w:rsidRPr="0006734B">
        <w:t xml:space="preserve"> </w:t>
      </w:r>
      <w:r w:rsidR="00F17EF1" w:rsidRPr="0006734B">
        <w:t>differen</w:t>
      </w:r>
      <w:r w:rsidR="00F17EF1">
        <w:t>t</w:t>
      </w:r>
      <w:r w:rsidR="0006734B" w:rsidRPr="0006734B">
        <w:t xml:space="preserve"> CFS and symptom grading methods to SANSIKA and SICCANOVE</w:t>
      </w:r>
      <w:r w:rsidR="0006734B">
        <w:t>.</w:t>
      </w:r>
      <w:r w:rsidR="003C5E7C">
        <w:t xml:space="preserve"> These methods are not comparable.</w:t>
      </w:r>
      <w:r w:rsidR="0006734B">
        <w:t xml:space="preserve"> </w:t>
      </w:r>
      <w:r w:rsidR="001550FA">
        <w:t>The scale for CFS changes</w:t>
      </w:r>
      <w:r w:rsidR="00AB060B">
        <w:t xml:space="preserve"> </w:t>
      </w:r>
      <w:r w:rsidR="00AB060B" w:rsidRPr="00AB060B">
        <w:t>used in the trials of 0.09% OTX-101</w:t>
      </w:r>
      <w:r w:rsidR="001550FA">
        <w:t xml:space="preserve"> was the </w:t>
      </w:r>
      <w:r w:rsidR="001550FA" w:rsidRPr="0002798F">
        <w:t xml:space="preserve">Expanded National Eye Institute / Industry Workshop Scale (NEI) </w:t>
      </w:r>
      <w:r w:rsidR="001550FA">
        <w:t>rather than the</w:t>
      </w:r>
      <w:r w:rsidR="001550FA" w:rsidRPr="001550FA">
        <w:t xml:space="preserve"> </w:t>
      </w:r>
      <w:r w:rsidR="001550FA">
        <w:t xml:space="preserve">modified Oxford Scale previously accepted by the PBAC. </w:t>
      </w:r>
      <w:r w:rsidR="00F17EF1" w:rsidRPr="00F17EF1">
        <w:t xml:space="preserve">The symptom scale used in the trials of 0.09% OTX-101 was the Symptoms Assessment </w:t>
      </w:r>
      <w:proofErr w:type="spellStart"/>
      <w:r w:rsidR="00F17EF1" w:rsidRPr="00F17EF1">
        <w:t>iN</w:t>
      </w:r>
      <w:proofErr w:type="spellEnd"/>
      <w:r w:rsidR="00F17EF1" w:rsidRPr="00F17EF1">
        <w:t xml:space="preserve"> Dry Eye (SANDE)</w:t>
      </w:r>
      <w:r w:rsidR="004C6D4A">
        <w:t xml:space="preserve"> scale</w:t>
      </w:r>
      <w:r w:rsidR="00F17EF1" w:rsidRPr="00F17EF1">
        <w:t xml:space="preserve">. For the trials of 0.1% </w:t>
      </w:r>
      <w:proofErr w:type="spellStart"/>
      <w:r w:rsidR="00F17EF1" w:rsidRPr="00F17EF1">
        <w:t>CsA</w:t>
      </w:r>
      <w:proofErr w:type="spellEnd"/>
      <w:r w:rsidR="00F17EF1" w:rsidRPr="00F17EF1">
        <w:t xml:space="preserve"> CE, the symptom scale used was the Ocular Surface Disease Index (OSDI).</w:t>
      </w:r>
    </w:p>
    <w:p w14:paraId="56F91F55" w14:textId="00FAC3A6" w:rsidR="00155087" w:rsidRPr="003844D7" w:rsidRDefault="00F17EF1" w:rsidP="00AB060B">
      <w:pPr>
        <w:pStyle w:val="3-BodyText"/>
      </w:pPr>
      <w:r w:rsidRPr="00155087">
        <w:t>The submission nominated</w:t>
      </w:r>
      <w:r w:rsidR="00C561F6">
        <w:t xml:space="preserve"> </w:t>
      </w:r>
      <w:r w:rsidR="00C561F6" w:rsidRPr="00C561F6">
        <w:t>‘the proportion of patients achieving an improvement from baseline to a maximum CFS score of 1.5 in the worst eye (NEI scale) and ≥</w:t>
      </w:r>
      <w:r w:rsidR="004C6D4A">
        <w:t xml:space="preserve"> </w:t>
      </w:r>
      <w:r w:rsidR="00C561F6" w:rsidRPr="00C561F6">
        <w:t>30% improvement in SANDE scores</w:t>
      </w:r>
      <w:r w:rsidR="00C561F6">
        <w:t>’ as</w:t>
      </w:r>
      <w:r w:rsidRPr="00155087">
        <w:t xml:space="preserve"> ‘equivalent composite outcomes’ to the</w:t>
      </w:r>
      <w:r w:rsidR="00AB060B">
        <w:t xml:space="preserve"> </w:t>
      </w:r>
      <w:r w:rsidR="000E3487">
        <w:t xml:space="preserve">primary </w:t>
      </w:r>
      <w:r w:rsidRPr="00155087">
        <w:t xml:space="preserve">outcomes </w:t>
      </w:r>
      <w:r w:rsidR="000E3487" w:rsidRPr="000E3487">
        <w:t>(improvement ≥ 2 grades for CFS</w:t>
      </w:r>
      <w:r w:rsidR="000E3487">
        <w:t xml:space="preserve"> (modified Oxford Scale)</w:t>
      </w:r>
      <w:r w:rsidR="000E3487" w:rsidRPr="000E3487">
        <w:t xml:space="preserve"> and ≥ 30% for OSDI) </w:t>
      </w:r>
      <w:r w:rsidRPr="00155087">
        <w:t xml:space="preserve">of </w:t>
      </w:r>
      <w:r w:rsidR="000E3487">
        <w:t>SANSIKA</w:t>
      </w:r>
      <w:r w:rsidRPr="00155087">
        <w:t xml:space="preserve">, based on feedback from key opinion leaders. </w:t>
      </w:r>
      <w:r w:rsidR="00155087" w:rsidRPr="003844D7">
        <w:t xml:space="preserve">For ‘CFS (modified Oxford grade) </w:t>
      </w:r>
      <w:r w:rsidR="00155087" w:rsidRPr="003844D7">
        <w:rPr>
          <w:rFonts w:cs="Calibri"/>
        </w:rPr>
        <w:t>≥3 and OSDI ≥</w:t>
      </w:r>
      <w:r w:rsidR="00155087" w:rsidRPr="003844D7">
        <w:t>30% response rate’</w:t>
      </w:r>
      <w:r w:rsidR="00C561F6">
        <w:t>,</w:t>
      </w:r>
      <w:r w:rsidR="00155087" w:rsidRPr="003844D7">
        <w:t xml:space="preserve"> </w:t>
      </w:r>
      <w:r w:rsidR="00C561F6">
        <w:t xml:space="preserve">the submission proposed </w:t>
      </w:r>
      <w:r w:rsidR="00155087" w:rsidRPr="003844D7">
        <w:t xml:space="preserve">the ‘proportion of patients achieving an improvement from baseline to a maximum CFS </w:t>
      </w:r>
      <w:r w:rsidR="00155087" w:rsidRPr="003844D7">
        <w:lastRenderedPageBreak/>
        <w:t>score of either 0.5 (base case) or 1.</w:t>
      </w:r>
      <w:r w:rsidR="005171CC">
        <w:t>0</w:t>
      </w:r>
      <w:r w:rsidR="00155087" w:rsidRPr="003844D7">
        <w:t xml:space="preserve"> (sensitivity analysis) in the worst eye and </w:t>
      </w:r>
      <w:r w:rsidR="00155087" w:rsidRPr="003844D7">
        <w:rPr>
          <w:rFonts w:cs="Calibri"/>
        </w:rPr>
        <w:t>≥</w:t>
      </w:r>
      <w:r w:rsidR="00155087" w:rsidRPr="003844D7">
        <w:t>30% improvement in SANDE scores’</w:t>
      </w:r>
      <w:r w:rsidR="002233C8">
        <w:t xml:space="preserve"> as the equivalent outcome</w:t>
      </w:r>
      <w:r w:rsidR="00155087" w:rsidRPr="003844D7">
        <w:t>.</w:t>
      </w:r>
    </w:p>
    <w:p w14:paraId="4639C932" w14:textId="2E33F0B9" w:rsidR="0006734B" w:rsidRDefault="00F17EF1" w:rsidP="001550FA">
      <w:pPr>
        <w:pStyle w:val="3-BodyText"/>
      </w:pPr>
      <w:r>
        <w:t xml:space="preserve">The submission proposed </w:t>
      </w:r>
      <w:r w:rsidRPr="0002798F">
        <w:t xml:space="preserve">a CFS score of </w:t>
      </w:r>
      <w:r w:rsidRPr="001550FA">
        <w:rPr>
          <w:rFonts w:cs="Calibri"/>
        </w:rPr>
        <w:t xml:space="preserve">≥ </w:t>
      </w:r>
      <w:r w:rsidRPr="0002798F">
        <w:t>2.5 on the Expanded National Eye Institute (NEI)/ Industry Workshop Scale (NEI) scale to be equivalent to a CFS score of 4 on the modified Oxford scale.</w:t>
      </w:r>
    </w:p>
    <w:p w14:paraId="7D244DE8" w14:textId="1E17F9E0" w:rsidR="001550FA" w:rsidRPr="003844D7" w:rsidRDefault="00F17EF1" w:rsidP="00F17EF1">
      <w:pPr>
        <w:pStyle w:val="3-BodyText"/>
      </w:pPr>
      <w:r>
        <w:t xml:space="preserve">The validity of this equivalence is central to the assessment of comparative effectiveness. </w:t>
      </w:r>
      <w:r w:rsidRPr="00E6796E">
        <w:t>The Oxford Scale is graded between 0 and 5</w:t>
      </w:r>
      <w:r w:rsidR="001550FA" w:rsidRPr="003844D7">
        <w:t xml:space="preserve"> based on</w:t>
      </w:r>
      <w:r w:rsidRPr="00E6796E">
        <w:t xml:space="preserve"> the observer count</w:t>
      </w:r>
      <w:r w:rsidR="001550FA" w:rsidRPr="003844D7">
        <w:t>ing</w:t>
      </w:r>
      <w:r w:rsidRPr="00E6796E">
        <w:t xml:space="preserve"> the fluorescein-stained dots in the </w:t>
      </w:r>
      <w:proofErr w:type="gramStart"/>
      <w:r w:rsidRPr="00E6796E">
        <w:t>eye as a whole, with</w:t>
      </w:r>
      <w:proofErr w:type="gramEnd"/>
      <w:r w:rsidRPr="00E6796E">
        <w:t xml:space="preserve"> each grade defined as a half-log increase in the number of dots: Grade 1 has more than 1 dot but fewer than 10, Grade 2 has more than 10 </w:t>
      </w:r>
      <w:r w:rsidR="00FF7526">
        <w:t>but</w:t>
      </w:r>
      <w:r w:rsidRPr="00E6796E">
        <w:t xml:space="preserve"> fewer than 32, Grade 3 has more than 32 but fewer than 100, Grade 4 has more than 100 but fewer than 320, and Grade 5 has more than 320 (</w:t>
      </w:r>
      <w:proofErr w:type="spellStart"/>
      <w:r w:rsidRPr="00E6796E">
        <w:t>Bron</w:t>
      </w:r>
      <w:proofErr w:type="spellEnd"/>
      <w:r w:rsidRPr="00E6796E">
        <w:t>, 2003, Figure 1). For clinical use, a simplified scale was proposed which did not require dots to be counted, but instead matched the grades to drawings (</w:t>
      </w:r>
      <w:proofErr w:type="spellStart"/>
      <w:r w:rsidRPr="00E6796E">
        <w:t>Bron</w:t>
      </w:r>
      <w:proofErr w:type="spellEnd"/>
      <w:r w:rsidRPr="00E6796E">
        <w:t>, 2003, Figure 4)</w:t>
      </w:r>
      <w:r w:rsidR="00E6796E" w:rsidRPr="003844D7">
        <w:t>; this</w:t>
      </w:r>
      <w:r w:rsidRPr="00E6796E">
        <w:t xml:space="preserve"> was used in the </w:t>
      </w:r>
      <w:r w:rsidR="004C5E79">
        <w:t xml:space="preserve">0.1% </w:t>
      </w:r>
      <w:proofErr w:type="spellStart"/>
      <w:r w:rsidRPr="00E6796E">
        <w:t>CsA</w:t>
      </w:r>
      <w:proofErr w:type="spellEnd"/>
      <w:r w:rsidRPr="00E6796E">
        <w:t xml:space="preserve"> CE</w:t>
      </w:r>
      <w:r w:rsidR="00613DE5">
        <w:t xml:space="preserve"> trials</w:t>
      </w:r>
      <w:r w:rsidRPr="00E6796E">
        <w:t xml:space="preserve">. Notably, the Oxford Scale does not account </w:t>
      </w:r>
      <w:r w:rsidR="007F4BA4">
        <w:t>for</w:t>
      </w:r>
      <w:r w:rsidR="007F4BA4" w:rsidRPr="00E6796E">
        <w:t xml:space="preserve"> </w:t>
      </w:r>
      <w:r w:rsidRPr="00E6796E">
        <w:t>the possibility that some parts of the eye may be more severely affected than others.</w:t>
      </w:r>
    </w:p>
    <w:p w14:paraId="33013FC6" w14:textId="2F7E44C5" w:rsidR="00E6796E" w:rsidRPr="003844D7" w:rsidRDefault="00F17EF1" w:rsidP="00F17EF1">
      <w:pPr>
        <w:pStyle w:val="3-BodyText"/>
      </w:pPr>
      <w:r w:rsidRPr="00E6796E">
        <w:t>The NEI Scale divides the cornea into five zones</w:t>
      </w:r>
      <w:r w:rsidR="00631B1D">
        <w:t xml:space="preserve"> where </w:t>
      </w:r>
      <w:r w:rsidR="006F2EC7">
        <w:t xml:space="preserve">CFS </w:t>
      </w:r>
      <w:r w:rsidR="00631B1D">
        <w:t xml:space="preserve">is graded in each zone </w:t>
      </w:r>
      <w:r w:rsidRPr="00E6796E">
        <w:t xml:space="preserve">and the final score is the sum of the scores for </w:t>
      </w:r>
      <w:r w:rsidR="00631B1D">
        <w:t>all</w:t>
      </w:r>
      <w:r w:rsidRPr="00E6796E">
        <w:t xml:space="preserve"> zones. </w:t>
      </w:r>
      <w:r w:rsidR="00174C47">
        <w:t>In t</w:t>
      </w:r>
      <w:r w:rsidR="00631B1D">
        <w:t>he most recent version of the scale</w:t>
      </w:r>
      <w:r w:rsidR="004A6B3E">
        <w:t>,</w:t>
      </w:r>
      <w:r w:rsidRPr="00E6796E">
        <w:t xml:space="preserve"> each zone </w:t>
      </w:r>
      <w:r w:rsidR="00174C47">
        <w:t xml:space="preserve">is </w:t>
      </w:r>
      <w:r w:rsidRPr="00E6796E">
        <w:t xml:space="preserve">graded </w:t>
      </w:r>
      <w:r w:rsidR="004A6B3E">
        <w:t xml:space="preserve">from </w:t>
      </w:r>
      <w:r w:rsidRPr="00E6796E">
        <w:t>0-4, giving a range of 0-20 (</w:t>
      </w:r>
      <w:proofErr w:type="spellStart"/>
      <w:r w:rsidRPr="00E6796E">
        <w:t>Wolffsohn</w:t>
      </w:r>
      <w:proofErr w:type="spellEnd"/>
      <w:r w:rsidRPr="00E6796E">
        <w:t>, 2017).</w:t>
      </w:r>
      <w:r w:rsidR="001550FA" w:rsidRPr="003844D7">
        <w:t xml:space="preserve"> </w:t>
      </w:r>
      <w:r w:rsidRPr="00E6796E">
        <w:t xml:space="preserve">Notably, it is inherent in the NEI scale, in contrast to the Oxford Scale, that severity may vary across the cornea, </w:t>
      </w:r>
      <w:r w:rsidR="00631B1D">
        <w:t>though</w:t>
      </w:r>
      <w:r w:rsidRPr="00E6796E">
        <w:t xml:space="preserve"> the NEI score is the total score for the </w:t>
      </w:r>
      <w:proofErr w:type="gramStart"/>
      <w:r w:rsidRPr="00E6796E">
        <w:t>cornea as a whole</w:t>
      </w:r>
      <w:proofErr w:type="gramEnd"/>
      <w:r w:rsidRPr="00E6796E">
        <w:t xml:space="preserve">. </w:t>
      </w:r>
    </w:p>
    <w:p w14:paraId="3D94F37D" w14:textId="58028BA7" w:rsidR="00E6796E" w:rsidRPr="003844D7" w:rsidRDefault="00F17EF1" w:rsidP="004C5E79">
      <w:pPr>
        <w:pStyle w:val="3-BodyText"/>
      </w:pPr>
      <w:r w:rsidRPr="00E6796E">
        <w:t xml:space="preserve">It </w:t>
      </w:r>
      <w:r w:rsidR="00D867A4">
        <w:t>wa</w:t>
      </w:r>
      <w:r w:rsidR="00D867A4" w:rsidRPr="00E6796E">
        <w:t xml:space="preserve">s </w:t>
      </w:r>
      <w:r w:rsidRPr="00E6796E">
        <w:t>not clear how</w:t>
      </w:r>
      <w:r w:rsidR="00F2705C">
        <w:t xml:space="preserve"> the submission has used the NEI scale to define</w:t>
      </w:r>
      <w:r w:rsidRPr="00E6796E">
        <w:t xml:space="preserve"> keratitis equivalent to an Oxford Scale score of 4 or greater</w:t>
      </w:r>
      <w:r w:rsidR="00F2705C">
        <w:t xml:space="preserve"> </w:t>
      </w:r>
      <w:r w:rsidRPr="00E6796E">
        <w:t>for the purposes of the subgroup analys</w:t>
      </w:r>
      <w:r w:rsidR="004A6B3E">
        <w:t>e</w:t>
      </w:r>
      <w:r w:rsidRPr="00E6796E">
        <w:t>s. The submission states at several points that a zone grading of 2.0</w:t>
      </w:r>
      <w:r w:rsidR="00E7000B">
        <w:t xml:space="preserve"> (sensitivity analysis)</w:t>
      </w:r>
      <w:r w:rsidRPr="00E6796E">
        <w:t xml:space="preserve"> or 2.5</w:t>
      </w:r>
      <w:r w:rsidR="00E7000B">
        <w:t xml:space="preserve"> (base case)</w:t>
      </w:r>
      <w:r w:rsidRPr="00E6796E">
        <w:t xml:space="preserve"> on the NEI scale corresponds to an Oxford Scale score of </w:t>
      </w:r>
      <w:r w:rsidRPr="004A30E3">
        <w:t>4. However, a grading of 2.0 or 2.5 in each of the</w:t>
      </w:r>
      <w:r w:rsidRPr="00E6796E">
        <w:t xml:space="preserve"> </w:t>
      </w:r>
      <w:r w:rsidR="00FF7526">
        <w:t xml:space="preserve">five </w:t>
      </w:r>
      <w:r w:rsidRPr="00E6796E">
        <w:t xml:space="preserve">corneal zones would </w:t>
      </w:r>
      <w:r w:rsidR="006F2EC7">
        <w:t>equate to a</w:t>
      </w:r>
      <w:r w:rsidRPr="00E6796E">
        <w:t xml:space="preserve"> </w:t>
      </w:r>
      <w:r w:rsidR="004614D4">
        <w:t>total</w:t>
      </w:r>
      <w:r w:rsidR="004614D4" w:rsidRPr="00E6796E">
        <w:t xml:space="preserve"> </w:t>
      </w:r>
      <w:r w:rsidR="006F2EC7">
        <w:t>CFS</w:t>
      </w:r>
      <w:r w:rsidRPr="00E6796E">
        <w:t xml:space="preserve"> score </w:t>
      </w:r>
      <w:r w:rsidR="006F2EC7">
        <w:t>of</w:t>
      </w:r>
      <w:r w:rsidR="006F2EC7" w:rsidRPr="00E6796E">
        <w:t xml:space="preserve"> </w:t>
      </w:r>
      <w:r w:rsidRPr="00E6796E">
        <w:t>10-12.5</w:t>
      </w:r>
      <w:r w:rsidR="004614D4">
        <w:t xml:space="preserve"> for that eye</w:t>
      </w:r>
      <w:r w:rsidR="006F2EC7">
        <w:t xml:space="preserve"> on the NEI scale</w:t>
      </w:r>
      <w:r w:rsidRPr="00E6796E">
        <w:t xml:space="preserve">. That would be a reasonable equivalent to an Oxford Scale score of 4 or greater, </w:t>
      </w:r>
      <w:r w:rsidR="009970D9">
        <w:t>however,</w:t>
      </w:r>
      <w:r w:rsidRPr="00E6796E">
        <w:t xml:space="preserve"> </w:t>
      </w:r>
      <w:r w:rsidR="009970D9">
        <w:t xml:space="preserve">a </w:t>
      </w:r>
      <w:r w:rsidR="004614D4">
        <w:t xml:space="preserve">total </w:t>
      </w:r>
      <w:r w:rsidR="006F2EC7">
        <w:t xml:space="preserve">CFS </w:t>
      </w:r>
      <w:r w:rsidR="009970D9">
        <w:t xml:space="preserve">score of 10-12.5 </w:t>
      </w:r>
      <w:r w:rsidRPr="00E6796E">
        <w:t>was not the score used to define the PBS-eligible population</w:t>
      </w:r>
      <w:r w:rsidR="004614D4">
        <w:t xml:space="preserve"> in the subgroup analys</w:t>
      </w:r>
      <w:r w:rsidR="004A6B3E">
        <w:t>e</w:t>
      </w:r>
      <w:r w:rsidR="004614D4">
        <w:t>s</w:t>
      </w:r>
      <w:r w:rsidR="006F2EC7">
        <w:t xml:space="preserve"> of the 0.09% OTX-101 trials</w:t>
      </w:r>
      <w:r w:rsidR="000D7628">
        <w:t xml:space="preserve"> and it </w:t>
      </w:r>
      <w:r w:rsidR="006F2EC7">
        <w:t xml:space="preserve">was </w:t>
      </w:r>
      <w:r w:rsidR="000D7628">
        <w:t>unclear what score was used</w:t>
      </w:r>
      <w:r w:rsidR="005F54E8">
        <w:t>.</w:t>
      </w:r>
      <w:r w:rsidR="00FF7526">
        <w:t xml:space="preserve"> </w:t>
      </w:r>
      <w:r w:rsidR="009970D9">
        <w:t xml:space="preserve">The submission </w:t>
      </w:r>
      <w:r w:rsidR="005F79DA">
        <w:t xml:space="preserve">made </w:t>
      </w:r>
      <w:r w:rsidR="009970D9">
        <w:t>references</w:t>
      </w:r>
      <w:r w:rsidRPr="00E6796E">
        <w:t xml:space="preserve"> to </w:t>
      </w:r>
      <w:r w:rsidRPr="00E16122">
        <w:t>marked central corneal staining</w:t>
      </w:r>
      <w:r w:rsidR="009970D9" w:rsidRPr="00E16122">
        <w:t xml:space="preserve"> (which represents severe keratitis according to DEWS (2007b)) </w:t>
      </w:r>
      <w:r w:rsidRPr="00E16122">
        <w:t xml:space="preserve">with a central corneal zone score of at least 2 or 2.5. Although there is no threshold for ‘marked’ in the NEI scale, the </w:t>
      </w:r>
      <w:r w:rsidR="005F79DA" w:rsidRPr="00E16122">
        <w:t>s</w:t>
      </w:r>
      <w:r w:rsidR="005F79DA">
        <w:t>ubmission</w:t>
      </w:r>
      <w:r w:rsidR="005F79DA" w:rsidRPr="00E16122">
        <w:t xml:space="preserve"> ha</w:t>
      </w:r>
      <w:r w:rsidR="005F79DA">
        <w:t>d</w:t>
      </w:r>
      <w:r w:rsidR="005F79DA" w:rsidRPr="00E16122">
        <w:t xml:space="preserve"> </w:t>
      </w:r>
      <w:r w:rsidRPr="00E16122">
        <w:t xml:space="preserve">nominated a </w:t>
      </w:r>
      <w:r w:rsidRPr="004A30E3">
        <w:t xml:space="preserve">score of either </w:t>
      </w:r>
      <w:r w:rsidRPr="004A30E3">
        <w:rPr>
          <w:rFonts w:cs="Calibri"/>
        </w:rPr>
        <w:t>≥</w:t>
      </w:r>
      <w:r w:rsidR="005F79DA">
        <w:rPr>
          <w:rFonts w:cs="Calibri"/>
        </w:rPr>
        <w:t xml:space="preserve"> </w:t>
      </w:r>
      <w:r w:rsidRPr="004A30E3">
        <w:t xml:space="preserve">2.0 or </w:t>
      </w:r>
      <w:r w:rsidRPr="004A30E3">
        <w:rPr>
          <w:rFonts w:cs="Calibri"/>
        </w:rPr>
        <w:t>≥</w:t>
      </w:r>
      <w:r w:rsidR="005F79DA">
        <w:rPr>
          <w:rFonts w:cs="Calibri"/>
        </w:rPr>
        <w:t xml:space="preserve"> </w:t>
      </w:r>
      <w:r w:rsidRPr="004A30E3">
        <w:t xml:space="preserve">2.5 to be equivalent to the stringent criteria of </w:t>
      </w:r>
      <w:r w:rsidR="005F79DA">
        <w:t>‘</w:t>
      </w:r>
      <w:r w:rsidRPr="004A30E3">
        <w:t>severe keratitis</w:t>
      </w:r>
      <w:r w:rsidR="005F79DA">
        <w:t>’</w:t>
      </w:r>
      <w:r w:rsidRPr="004A30E3">
        <w:t>.</w:t>
      </w:r>
      <w:r w:rsidR="00E6796E" w:rsidRPr="004A30E3">
        <w:t xml:space="preserve"> </w:t>
      </w:r>
      <w:r w:rsidR="00CD0F6D" w:rsidRPr="004A30E3">
        <w:t xml:space="preserve">The submission also </w:t>
      </w:r>
      <w:r w:rsidR="005F79DA" w:rsidRPr="004A30E3">
        <w:t>refer</w:t>
      </w:r>
      <w:r w:rsidR="005F79DA">
        <w:t>red</w:t>
      </w:r>
      <w:r w:rsidR="005F79DA" w:rsidRPr="004A30E3">
        <w:t xml:space="preserve"> </w:t>
      </w:r>
      <w:r w:rsidRPr="004A30E3">
        <w:t>to a score of at least 2 or 2.5 in any corneal zone</w:t>
      </w:r>
      <w:r w:rsidR="005F79DA">
        <w:t>,</w:t>
      </w:r>
      <w:r w:rsidR="00691274" w:rsidRPr="004A30E3">
        <w:t xml:space="preserve"> although using a score for a single zone rather than the summed score for</w:t>
      </w:r>
      <w:r w:rsidR="00691274">
        <w:t xml:space="preserve"> all zones has not been validated</w:t>
      </w:r>
      <w:r w:rsidR="00AA28B3">
        <w:t xml:space="preserve">. </w:t>
      </w:r>
      <w:r w:rsidRPr="00E6796E">
        <w:t xml:space="preserve">Further, </w:t>
      </w:r>
      <w:r w:rsidR="00FF7526">
        <w:t xml:space="preserve">counting only a single zone means that </w:t>
      </w:r>
      <w:r w:rsidRPr="00E6796E">
        <w:t xml:space="preserve">improvement to a score of </w:t>
      </w:r>
      <w:r w:rsidRPr="00AA28B3">
        <w:rPr>
          <w:bCs/>
        </w:rPr>
        <w:t xml:space="preserve">≤ 1.5 </w:t>
      </w:r>
      <w:r w:rsidR="00E90A35" w:rsidRPr="00E6796E">
        <w:t xml:space="preserve">in what was the worst zone at baseline </w:t>
      </w:r>
      <w:r w:rsidRPr="00E6796E">
        <w:t xml:space="preserve">could be associated with worsening in all other </w:t>
      </w:r>
      <w:proofErr w:type="gramStart"/>
      <w:r w:rsidRPr="00E6796E">
        <w:t>zones</w:t>
      </w:r>
      <w:proofErr w:type="gramEnd"/>
      <w:r w:rsidRPr="00E6796E">
        <w:t xml:space="preserve"> but the patient would be counted as successfully treated. This not consistent with the design of the NEI scale, which </w:t>
      </w:r>
      <w:r w:rsidR="00397433">
        <w:t>incorporates</w:t>
      </w:r>
      <w:r w:rsidRPr="00E6796E">
        <w:t xml:space="preserve"> heterogeneity both at baseline and in response</w:t>
      </w:r>
      <w:r w:rsidR="005F54E8">
        <w:t>.</w:t>
      </w:r>
    </w:p>
    <w:p w14:paraId="65801D00" w14:textId="2EF201A0" w:rsidR="00E6796E" w:rsidRPr="004239AA" w:rsidRDefault="00F17EF1" w:rsidP="00F17EF1">
      <w:pPr>
        <w:pStyle w:val="3-BodyText"/>
      </w:pPr>
      <w:r w:rsidRPr="00E6796E">
        <w:lastRenderedPageBreak/>
        <w:t xml:space="preserve">The uncertainty concerning how the PBS-eligible </w:t>
      </w:r>
      <w:r w:rsidR="000065E0">
        <w:t>subgroups were</w:t>
      </w:r>
      <w:r w:rsidRPr="00E6796E">
        <w:t xml:space="preserve"> defined </w:t>
      </w:r>
      <w:r w:rsidR="005F54E8" w:rsidRPr="00E6796E">
        <w:t>ma</w:t>
      </w:r>
      <w:r w:rsidR="005F54E8">
        <w:t>de</w:t>
      </w:r>
      <w:r w:rsidR="005F54E8" w:rsidRPr="00E6796E">
        <w:t xml:space="preserve"> </w:t>
      </w:r>
      <w:r w:rsidRPr="00E6796E">
        <w:t>interpretation of the data presented difficult.</w:t>
      </w:r>
      <w:r w:rsidR="0000152D" w:rsidRPr="0000152D">
        <w:t xml:space="preserve"> </w:t>
      </w:r>
      <w:r w:rsidR="0000152D" w:rsidRPr="00E6796E">
        <w:t xml:space="preserve">It </w:t>
      </w:r>
      <w:r w:rsidR="0000152D">
        <w:t>wa</w:t>
      </w:r>
      <w:r w:rsidR="0000152D" w:rsidRPr="00E6796E">
        <w:t xml:space="preserve">s also </w:t>
      </w:r>
      <w:r w:rsidR="0000152D">
        <w:t>difficult</w:t>
      </w:r>
      <w:r w:rsidR="0000152D" w:rsidRPr="00E6796E">
        <w:t xml:space="preserve"> to align changes in </w:t>
      </w:r>
      <w:r w:rsidR="009E2682">
        <w:t xml:space="preserve">the </w:t>
      </w:r>
      <w:r w:rsidR="0000152D" w:rsidRPr="00E6796E">
        <w:t xml:space="preserve">Oxford Scale scores to changes in </w:t>
      </w:r>
      <w:r w:rsidR="009E2682">
        <w:t xml:space="preserve">the </w:t>
      </w:r>
      <w:r w:rsidR="0000152D" w:rsidRPr="00E6796E">
        <w:t xml:space="preserve">NEI scores because of the logarithmic </w:t>
      </w:r>
      <w:r w:rsidR="0000152D">
        <w:t>nature of the Oxford Scale</w:t>
      </w:r>
      <w:r w:rsidR="0000152D" w:rsidRPr="00E6796E">
        <w:t>.</w:t>
      </w:r>
      <w:r w:rsidRPr="00E6796E">
        <w:t xml:space="preserve"> For example, </w:t>
      </w:r>
      <w:r w:rsidR="00F51F65" w:rsidRPr="00121769">
        <w:rPr>
          <w:iCs/>
        </w:rPr>
        <w:t>the submission</w:t>
      </w:r>
      <w:r w:rsidRPr="00E6796E">
        <w:t xml:space="preserve"> </w:t>
      </w:r>
      <w:r w:rsidR="005F54E8" w:rsidRPr="00E6796E">
        <w:t>present</w:t>
      </w:r>
      <w:r w:rsidR="005F54E8">
        <w:t>ed</w:t>
      </w:r>
      <w:r w:rsidR="005F54E8" w:rsidRPr="00E6796E">
        <w:t xml:space="preserve"> </w:t>
      </w:r>
      <w:r w:rsidRPr="00E6796E">
        <w:t>data for the proportion of the PBS-eligible population with “</w:t>
      </w:r>
      <w:r w:rsidRPr="00E6796E">
        <w:rPr>
          <w:bCs/>
        </w:rPr>
        <w:t>Improvement to CFS ≤ 1.5 (NEI)</w:t>
      </w:r>
      <w:r w:rsidR="002D453C">
        <w:rPr>
          <w:bCs/>
        </w:rPr>
        <w:t xml:space="preserve"> however,</w:t>
      </w:r>
      <w:r w:rsidRPr="00E6796E">
        <w:rPr>
          <w:bCs/>
        </w:rPr>
        <w:t xml:space="preserve"> </w:t>
      </w:r>
      <w:r w:rsidR="002D453C">
        <w:rPr>
          <w:bCs/>
        </w:rPr>
        <w:t>i</w:t>
      </w:r>
      <w:r w:rsidRPr="00E6796E">
        <w:rPr>
          <w:bCs/>
        </w:rPr>
        <w:t xml:space="preserve">t </w:t>
      </w:r>
      <w:r w:rsidR="00D867A4">
        <w:rPr>
          <w:bCs/>
        </w:rPr>
        <w:t>wa</w:t>
      </w:r>
      <w:r w:rsidR="00D867A4" w:rsidRPr="00E6796E">
        <w:rPr>
          <w:bCs/>
        </w:rPr>
        <w:t xml:space="preserve">s </w:t>
      </w:r>
      <w:r w:rsidRPr="00E6796E">
        <w:rPr>
          <w:bCs/>
        </w:rPr>
        <w:t>not clear wh</w:t>
      </w:r>
      <w:r w:rsidR="002D453C">
        <w:rPr>
          <w:bCs/>
        </w:rPr>
        <w:t xml:space="preserve">ich </w:t>
      </w:r>
      <w:r w:rsidR="000A326B">
        <w:rPr>
          <w:bCs/>
        </w:rPr>
        <w:t xml:space="preserve">zone </w:t>
      </w:r>
      <w:r w:rsidR="000A326B" w:rsidRPr="00E6796E">
        <w:rPr>
          <w:bCs/>
        </w:rPr>
        <w:t>the</w:t>
      </w:r>
      <w:r w:rsidRPr="00E6796E">
        <w:rPr>
          <w:bCs/>
        </w:rPr>
        <w:t xml:space="preserve"> improvement </w:t>
      </w:r>
      <w:r w:rsidR="005F54E8">
        <w:rPr>
          <w:bCs/>
        </w:rPr>
        <w:t>had to</w:t>
      </w:r>
      <w:r w:rsidR="005F54E8" w:rsidRPr="00E6796E">
        <w:rPr>
          <w:bCs/>
        </w:rPr>
        <w:t xml:space="preserve"> </w:t>
      </w:r>
      <w:r w:rsidRPr="00E6796E">
        <w:rPr>
          <w:bCs/>
        </w:rPr>
        <w:t xml:space="preserve">be in, or whether the total NEI score, the sum of all five zones, must be </w:t>
      </w:r>
      <w:r w:rsidRPr="00E6796E">
        <w:rPr>
          <w:bCs/>
        </w:rPr>
        <w:sym w:font="Symbol" w:char="F0A3"/>
      </w:r>
      <w:r w:rsidRPr="00E6796E">
        <w:rPr>
          <w:bCs/>
        </w:rPr>
        <w:t xml:space="preserve"> 1.5.</w:t>
      </w:r>
      <w:r w:rsidR="00F7670C" w:rsidRPr="00121769">
        <w:rPr>
          <w:iCs/>
        </w:rPr>
        <w:t xml:space="preserve"> The</w:t>
      </w:r>
      <w:r w:rsidR="005F54E8">
        <w:t xml:space="preserve"> </w:t>
      </w:r>
      <w:r w:rsidR="005F54E8" w:rsidRPr="00121769">
        <w:rPr>
          <w:iCs/>
        </w:rPr>
        <w:t>Pre-Sub-Committee Response (</w:t>
      </w:r>
      <w:r w:rsidR="005F54E8">
        <w:t xml:space="preserve">PSCR) </w:t>
      </w:r>
      <w:r w:rsidR="005F0EC2" w:rsidRPr="00121769">
        <w:rPr>
          <w:iCs/>
        </w:rPr>
        <w:t xml:space="preserve">stated that for the subgroup analyses of the </w:t>
      </w:r>
      <w:r w:rsidR="00C367C7">
        <w:rPr>
          <w:iCs/>
        </w:rPr>
        <w:t xml:space="preserve">0.09% </w:t>
      </w:r>
      <w:r w:rsidR="005F0EC2" w:rsidRPr="00121769">
        <w:rPr>
          <w:iCs/>
        </w:rPr>
        <w:t>OTX-101 trials, the CFS was only assessed in the one zone with the highest CFS score at baseline (</w:t>
      </w:r>
      <w:proofErr w:type="gramStart"/>
      <w:r w:rsidR="005F0EC2" w:rsidRPr="00121769">
        <w:rPr>
          <w:iCs/>
        </w:rPr>
        <w:t>i.e.</w:t>
      </w:r>
      <w:proofErr w:type="gramEnd"/>
      <w:r w:rsidR="005F0EC2" w:rsidRPr="00121769">
        <w:rPr>
          <w:iCs/>
        </w:rPr>
        <w:t xml:space="preserve"> the worst zone) and only in the eye with the worst zone.</w:t>
      </w:r>
      <w:r w:rsidR="003D6B58" w:rsidRPr="00121769">
        <w:rPr>
          <w:iCs/>
        </w:rPr>
        <w:t xml:space="preserve"> The PSCR noted that</w:t>
      </w:r>
      <w:r w:rsidR="005F0EC2" w:rsidRPr="00121769">
        <w:rPr>
          <w:iCs/>
        </w:rPr>
        <w:t xml:space="preserve"> </w:t>
      </w:r>
      <w:r w:rsidR="003D6B58" w:rsidRPr="00121769">
        <w:rPr>
          <w:iCs/>
        </w:rPr>
        <w:t>t</w:t>
      </w:r>
      <w:r w:rsidR="005F0EC2" w:rsidRPr="00121769">
        <w:rPr>
          <w:iCs/>
        </w:rPr>
        <w:t>he use of only one single zone of the cornea to define keratitis in the PBS population excludes other areas of the eye which may also be affected</w:t>
      </w:r>
      <w:r w:rsidR="003D6B58" w:rsidRPr="00121769">
        <w:rPr>
          <w:iCs/>
        </w:rPr>
        <w:t>.</w:t>
      </w:r>
      <w:r w:rsidR="003D6B58" w:rsidRPr="003D6B58">
        <w:t xml:space="preserve"> </w:t>
      </w:r>
      <w:r w:rsidR="003D6B58" w:rsidRPr="00121769">
        <w:rPr>
          <w:iCs/>
        </w:rPr>
        <w:t>The PSCR</w:t>
      </w:r>
      <w:r w:rsidR="003D6B58">
        <w:t xml:space="preserve"> </w:t>
      </w:r>
      <w:r w:rsidR="00723FD4" w:rsidRPr="00121769">
        <w:rPr>
          <w:iCs/>
        </w:rPr>
        <w:t>noted that feedback from clinical experts indicated that worsening in other zones is unlikely when there is improvement in the worst zone.</w:t>
      </w:r>
    </w:p>
    <w:p w14:paraId="4DEF33FA" w14:textId="26667274" w:rsidR="00F17EF1" w:rsidRPr="0002798F" w:rsidRDefault="00F17EF1" w:rsidP="00B96CF4">
      <w:pPr>
        <w:pStyle w:val="3-BodyText"/>
      </w:pPr>
      <w:r w:rsidRPr="0002798F">
        <w:t xml:space="preserve">The SANDE scale combines </w:t>
      </w:r>
      <w:r w:rsidR="00C50D5B">
        <w:t xml:space="preserve">the </w:t>
      </w:r>
      <w:r w:rsidRPr="0002798F">
        <w:t>self-reported severity and self-reported frequency of eyes being “dry and/or irritated</w:t>
      </w:r>
      <w:r w:rsidR="001F11A4">
        <w:t>.</w:t>
      </w:r>
      <w:r w:rsidR="00C14DF3">
        <w:t xml:space="preserve"> </w:t>
      </w:r>
      <w:r w:rsidRPr="0002798F">
        <w:t>The OSDI considers only the frequency of symptoms, not their severity, and asks separately about a wider range of symptoms (light sensitivity, grittiness, soreness, blurred vision, and poor vision), functional impairment, and environmental precipitants.</w:t>
      </w:r>
      <w:r w:rsidR="00B96CF4">
        <w:t xml:space="preserve"> </w:t>
      </w:r>
      <w:r w:rsidRPr="00E6796E">
        <w:t xml:space="preserve">The effect is that a patient with infrequent, severe symptoms will record a similar SANDE score to a patient with frequent, mild symptoms, but those patients would have quite different OSDI scores. For example, of 16 patients with an OSDI score between 20 and 35 (i.e., around the PBS-eligibility threshold) seven (44%) had SANDE scores below 40. Conversely, of 13 patients with OSDI scores below 20, six (46%) had SANDE scores over 40. Using the SANDE score of 40 as equivalent to an OSDI score of 23 does not produce the same “PBS-eligible” </w:t>
      </w:r>
      <w:r w:rsidR="006C680E">
        <w:t>subgroups</w:t>
      </w:r>
      <w:r w:rsidRPr="00E6796E">
        <w:t>.</w:t>
      </w:r>
    </w:p>
    <w:p w14:paraId="6CA9D3C3" w14:textId="17E3CDD4" w:rsidR="00F17EF1" w:rsidRPr="0002798F" w:rsidRDefault="00F17EF1" w:rsidP="007A75A3">
      <w:pPr>
        <w:pStyle w:val="3-BodyText"/>
      </w:pPr>
      <w:r w:rsidRPr="0002798F">
        <w:t xml:space="preserve">Given the differences between the scales described above, the PBAC </w:t>
      </w:r>
      <w:r w:rsidR="00426072">
        <w:t>considered that the</w:t>
      </w:r>
      <w:r w:rsidRPr="0002798F">
        <w:t xml:space="preserve"> outcomes </w:t>
      </w:r>
      <w:r w:rsidR="00426072">
        <w:t>were not</w:t>
      </w:r>
      <w:r w:rsidR="00426072" w:rsidRPr="0002798F">
        <w:t xml:space="preserve"> </w:t>
      </w:r>
      <w:r w:rsidRPr="0002798F">
        <w:t>sufficiently comparable to allow any assessment of comparative effectiveness</w:t>
      </w:r>
      <w:r w:rsidR="00426072">
        <w:t xml:space="preserve"> by means of an indirect comparison</w:t>
      </w:r>
      <w:r w:rsidRPr="0002798F">
        <w:t>.</w:t>
      </w:r>
    </w:p>
    <w:p w14:paraId="4A4FE085" w14:textId="0801C045" w:rsidR="00B60939" w:rsidRPr="0002798F" w:rsidRDefault="00B60939" w:rsidP="00EC5836">
      <w:pPr>
        <w:pStyle w:val="4-SubsectionHeading"/>
      </w:pPr>
      <w:bookmarkStart w:id="25" w:name="_Toc93316684"/>
      <w:r w:rsidRPr="0002798F">
        <w:t>Comparative effectiveness</w:t>
      </w:r>
      <w:bookmarkEnd w:id="24"/>
      <w:bookmarkEnd w:id="25"/>
    </w:p>
    <w:p w14:paraId="5FD2E2B7" w14:textId="195BEFB2" w:rsidR="007335BB" w:rsidRDefault="00CE273F" w:rsidP="006C680E">
      <w:pPr>
        <w:pStyle w:val="3-BodyText"/>
      </w:pPr>
      <w:r w:rsidRPr="0002798F">
        <w:t xml:space="preserve">The results of the trials </w:t>
      </w:r>
      <w:r w:rsidR="00805653" w:rsidRPr="0002798F">
        <w:t xml:space="preserve">of </w:t>
      </w:r>
      <w:r w:rsidR="00716F07" w:rsidRPr="0002798F">
        <w:t>0.09% OTX-101</w:t>
      </w:r>
      <w:r w:rsidR="000B3C26">
        <w:t>, for the full trial populations,</w:t>
      </w:r>
      <w:r w:rsidR="00805653" w:rsidRPr="0002798F">
        <w:t xml:space="preserve"> </w:t>
      </w:r>
      <w:r w:rsidRPr="0002798F">
        <w:t xml:space="preserve">are shown in Tables </w:t>
      </w:r>
      <w:r w:rsidR="007F4CA7">
        <w:t xml:space="preserve">5 and 6 </w:t>
      </w:r>
      <w:r w:rsidRPr="0002798F">
        <w:t xml:space="preserve">below. </w:t>
      </w:r>
      <w:r w:rsidR="00E43E2F">
        <w:t>The r</w:t>
      </w:r>
      <w:r w:rsidR="001B5B5E">
        <w:t>esults for the subgroup analyses are discussed below, in</w:t>
      </w:r>
      <w:r w:rsidR="0025708A">
        <w:t xml:space="preserve"> </w:t>
      </w:r>
      <w:r w:rsidR="0025708A" w:rsidRPr="00C53E53">
        <w:t>para</w:t>
      </w:r>
      <w:r w:rsidR="003C46A5">
        <w:t>graphs</w:t>
      </w:r>
      <w:r w:rsidR="001B5B5E" w:rsidRPr="00C53E53">
        <w:t xml:space="preserve"> 6.</w:t>
      </w:r>
      <w:r w:rsidR="00C53E53" w:rsidRPr="00C53E53">
        <w:t>18-6.20.</w:t>
      </w:r>
    </w:p>
    <w:p w14:paraId="18BEA348" w14:textId="48FA8738" w:rsidR="00AC1168" w:rsidRDefault="00AC1168" w:rsidP="00AC1168">
      <w:pPr>
        <w:pStyle w:val="TableFigureHeading"/>
      </w:pPr>
      <w:r>
        <w:lastRenderedPageBreak/>
        <w:t xml:space="preserve">Table </w:t>
      </w:r>
      <w:fldSimple w:instr=" SEQ Table \* ARABIC ">
        <w:r w:rsidR="001811EC">
          <w:rPr>
            <w:noProof/>
          </w:rPr>
          <w:t>5</w:t>
        </w:r>
      </w:fldSimple>
      <w:r w:rsidRPr="00676FE8">
        <w:t>: Results of mean change in CFS assessed by NEI Scale from baseline to 3 months across the studies of 0.09% OTX-101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Results of mean change in CFS assessed by NEI Scale from baseline to 3 months across the studies of 0.09% OTX-101"/>
        <w:tblDescription w:val="Table 5: Results of mean change in CFS assessed by NEI Scale from baseline to 3 months across the studies of 0.09% OTX-101"/>
      </w:tblPr>
      <w:tblGrid>
        <w:gridCol w:w="1013"/>
        <w:gridCol w:w="939"/>
        <w:gridCol w:w="330"/>
        <w:gridCol w:w="778"/>
        <w:gridCol w:w="667"/>
        <w:gridCol w:w="808"/>
        <w:gridCol w:w="330"/>
        <w:gridCol w:w="805"/>
        <w:gridCol w:w="667"/>
        <w:gridCol w:w="890"/>
        <w:gridCol w:w="1045"/>
        <w:gridCol w:w="745"/>
      </w:tblGrid>
      <w:tr w:rsidR="00CE273F" w:rsidRPr="0002798F" w14:paraId="4B7D15C4" w14:textId="77777777" w:rsidTr="00CE273F">
        <w:trPr>
          <w:trHeight w:val="726"/>
          <w:tblHeader/>
        </w:trPr>
        <w:tc>
          <w:tcPr>
            <w:tcW w:w="1013" w:type="dxa"/>
            <w:vMerge w:val="restart"/>
            <w:vAlign w:val="center"/>
          </w:tcPr>
          <w:p w14:paraId="6E1ACF98" w14:textId="77777777" w:rsidR="00CE273F" w:rsidRPr="0002798F" w:rsidRDefault="00CE273F" w:rsidP="00B14290">
            <w:pPr>
              <w:pStyle w:val="In-tableHeading"/>
              <w:rPr>
                <w:lang w:val="en-AU"/>
              </w:rPr>
            </w:pPr>
            <w:r w:rsidRPr="0002798F">
              <w:rPr>
                <w:lang w:val="en-AU"/>
              </w:rPr>
              <w:t xml:space="preserve">Trial </w:t>
            </w:r>
          </w:p>
        </w:tc>
        <w:tc>
          <w:tcPr>
            <w:tcW w:w="939" w:type="dxa"/>
            <w:vMerge w:val="restart"/>
            <w:vAlign w:val="center"/>
          </w:tcPr>
          <w:p w14:paraId="159ADFAD" w14:textId="77777777" w:rsidR="00CE273F" w:rsidRPr="0002798F" w:rsidRDefault="00CE273F" w:rsidP="00B14290">
            <w:pPr>
              <w:pStyle w:val="In-tableHeading"/>
              <w:jc w:val="center"/>
              <w:rPr>
                <w:iCs/>
                <w:lang w:val="en-AU"/>
              </w:rPr>
            </w:pPr>
            <w:r w:rsidRPr="0002798F">
              <w:rPr>
                <w:iCs/>
                <w:lang w:val="en-AU"/>
              </w:rPr>
              <w:t>Endpoint</w:t>
            </w:r>
          </w:p>
        </w:tc>
        <w:tc>
          <w:tcPr>
            <w:tcW w:w="2583" w:type="dxa"/>
            <w:gridSpan w:val="4"/>
          </w:tcPr>
          <w:p w14:paraId="7183A139" w14:textId="61DEDA65" w:rsidR="00CE273F" w:rsidRPr="0002798F" w:rsidRDefault="00716F07" w:rsidP="00B14290">
            <w:pPr>
              <w:pStyle w:val="In-tableHeading"/>
              <w:jc w:val="center"/>
              <w:rPr>
                <w:iCs/>
                <w:lang w:val="en-AU"/>
              </w:rPr>
            </w:pPr>
            <w:r w:rsidRPr="0002798F">
              <w:rPr>
                <w:lang w:val="en-AU"/>
              </w:rPr>
              <w:t>0.09% OTX-101</w:t>
            </w:r>
            <w:r w:rsidR="00CE273F" w:rsidRPr="0002798F">
              <w:rPr>
                <w:iCs/>
                <w:lang w:val="en-AU"/>
              </w:rPr>
              <w:t>,</w:t>
            </w:r>
          </w:p>
          <w:p w14:paraId="61CCFC72" w14:textId="77777777" w:rsidR="00CE273F" w:rsidRPr="0002798F" w:rsidRDefault="00CE273F" w:rsidP="00B14290">
            <w:pPr>
              <w:pStyle w:val="In-tableHeading"/>
              <w:jc w:val="center"/>
              <w:rPr>
                <w:lang w:val="en-AU"/>
              </w:rPr>
            </w:pPr>
            <w:r w:rsidRPr="0002798F">
              <w:rPr>
                <w:bCs/>
                <w:lang w:val="en-AU"/>
              </w:rPr>
              <w:t xml:space="preserve">Mean (SD) </w:t>
            </w:r>
          </w:p>
        </w:tc>
        <w:tc>
          <w:tcPr>
            <w:tcW w:w="2692" w:type="dxa"/>
            <w:gridSpan w:val="4"/>
          </w:tcPr>
          <w:p w14:paraId="0FFD7B42" w14:textId="77777777" w:rsidR="00CE273F" w:rsidRPr="0002798F" w:rsidRDefault="00CE273F" w:rsidP="00B14290">
            <w:pPr>
              <w:pStyle w:val="In-tableHeading"/>
              <w:jc w:val="center"/>
              <w:rPr>
                <w:lang w:val="en-AU"/>
              </w:rPr>
            </w:pPr>
            <w:r w:rsidRPr="0002798F">
              <w:rPr>
                <w:lang w:val="en-AU"/>
              </w:rPr>
              <w:t>Vehicle,</w:t>
            </w:r>
          </w:p>
          <w:p w14:paraId="0A6E3E4A" w14:textId="77777777" w:rsidR="00CE273F" w:rsidRPr="0002798F" w:rsidRDefault="00CE273F" w:rsidP="00B14290">
            <w:pPr>
              <w:pStyle w:val="In-tableHeading"/>
              <w:jc w:val="center"/>
              <w:rPr>
                <w:lang w:val="en-AU"/>
              </w:rPr>
            </w:pPr>
            <w:r w:rsidRPr="0002798F">
              <w:rPr>
                <w:bCs/>
                <w:lang w:val="en-AU"/>
              </w:rPr>
              <w:t xml:space="preserve">Mean (SD) </w:t>
            </w:r>
            <w:r w:rsidRPr="0002798F">
              <w:rPr>
                <w:bCs/>
                <w:lang w:val="en-AU"/>
              </w:rPr>
              <w:br/>
            </w:r>
          </w:p>
        </w:tc>
        <w:tc>
          <w:tcPr>
            <w:tcW w:w="1045" w:type="dxa"/>
            <w:vMerge w:val="restart"/>
            <w:vAlign w:val="center"/>
          </w:tcPr>
          <w:p w14:paraId="42584FE9" w14:textId="77777777" w:rsidR="00CE273F" w:rsidRPr="0002798F" w:rsidRDefault="00CE273F" w:rsidP="00B14290">
            <w:pPr>
              <w:pStyle w:val="In-tableHeading"/>
              <w:jc w:val="center"/>
              <w:rPr>
                <w:lang w:val="en-AU"/>
              </w:rPr>
            </w:pPr>
            <w:r w:rsidRPr="0002798F">
              <w:rPr>
                <w:iCs/>
                <w:lang w:val="en-AU"/>
              </w:rPr>
              <w:t>Mean difference (95% CI)</w:t>
            </w:r>
          </w:p>
        </w:tc>
        <w:tc>
          <w:tcPr>
            <w:tcW w:w="0" w:type="auto"/>
            <w:vMerge w:val="restart"/>
            <w:vAlign w:val="center"/>
          </w:tcPr>
          <w:p w14:paraId="50FE6BDE" w14:textId="77777777" w:rsidR="00CE273F" w:rsidRPr="0002798F" w:rsidRDefault="00CE273F" w:rsidP="00B14290">
            <w:pPr>
              <w:pStyle w:val="In-tableHeading"/>
              <w:jc w:val="center"/>
              <w:rPr>
                <w:lang w:val="en-AU"/>
              </w:rPr>
            </w:pPr>
            <w:r w:rsidRPr="0002798F">
              <w:rPr>
                <w:iCs/>
                <w:lang w:val="en-AU"/>
              </w:rPr>
              <w:t>p-value</w:t>
            </w:r>
          </w:p>
        </w:tc>
      </w:tr>
      <w:tr w:rsidR="00CE273F" w:rsidRPr="0002798F" w14:paraId="7A016EEA" w14:textId="77777777" w:rsidTr="00CE273F">
        <w:trPr>
          <w:trHeight w:val="246"/>
        </w:trPr>
        <w:tc>
          <w:tcPr>
            <w:tcW w:w="1013" w:type="dxa"/>
            <w:vMerge/>
            <w:vAlign w:val="center"/>
          </w:tcPr>
          <w:p w14:paraId="18B8CC2F" w14:textId="77777777" w:rsidR="00CE273F" w:rsidRPr="0002798F" w:rsidRDefault="00CE273F" w:rsidP="00B14290">
            <w:pPr>
              <w:pStyle w:val="TableText0"/>
            </w:pPr>
          </w:p>
        </w:tc>
        <w:tc>
          <w:tcPr>
            <w:tcW w:w="939" w:type="dxa"/>
            <w:vMerge/>
          </w:tcPr>
          <w:p w14:paraId="047DE199" w14:textId="77777777" w:rsidR="00CE273F" w:rsidRPr="0002798F" w:rsidRDefault="00CE273F" w:rsidP="00B14290">
            <w:pPr>
              <w:pStyle w:val="TableText0"/>
              <w:jc w:val="center"/>
            </w:pPr>
          </w:p>
        </w:tc>
        <w:tc>
          <w:tcPr>
            <w:tcW w:w="330" w:type="dxa"/>
            <w:vAlign w:val="center"/>
          </w:tcPr>
          <w:p w14:paraId="6C4458BC" w14:textId="77777777" w:rsidR="00CE273F" w:rsidRPr="0002798F" w:rsidRDefault="00CE273F" w:rsidP="00B14290">
            <w:pPr>
              <w:pStyle w:val="TableText0"/>
              <w:jc w:val="center"/>
              <w:rPr>
                <w:b/>
              </w:rPr>
            </w:pPr>
            <w:r w:rsidRPr="0002798F">
              <w:rPr>
                <w:b/>
              </w:rPr>
              <w:t>N</w:t>
            </w:r>
          </w:p>
        </w:tc>
        <w:tc>
          <w:tcPr>
            <w:tcW w:w="778" w:type="dxa"/>
            <w:vAlign w:val="center"/>
          </w:tcPr>
          <w:p w14:paraId="150D204E" w14:textId="77777777" w:rsidR="00CE273F" w:rsidRPr="0002798F" w:rsidRDefault="00CE273F" w:rsidP="00B14290">
            <w:pPr>
              <w:pStyle w:val="TableText0"/>
              <w:jc w:val="center"/>
              <w:rPr>
                <w:b/>
              </w:rPr>
            </w:pPr>
            <w:r w:rsidRPr="0002798F">
              <w:rPr>
                <w:b/>
              </w:rPr>
              <w:t>Baseline</w:t>
            </w:r>
          </w:p>
        </w:tc>
        <w:tc>
          <w:tcPr>
            <w:tcW w:w="667" w:type="dxa"/>
            <w:vAlign w:val="center"/>
          </w:tcPr>
          <w:p w14:paraId="339D1B7D" w14:textId="77777777" w:rsidR="00CE273F" w:rsidRPr="0002798F" w:rsidRDefault="00CE273F" w:rsidP="00B14290">
            <w:pPr>
              <w:pStyle w:val="TableText0"/>
              <w:jc w:val="center"/>
              <w:rPr>
                <w:b/>
              </w:rPr>
            </w:pPr>
            <w:r w:rsidRPr="0002798F">
              <w:rPr>
                <w:b/>
              </w:rPr>
              <w:t>Follow-up</w:t>
            </w:r>
          </w:p>
        </w:tc>
        <w:tc>
          <w:tcPr>
            <w:tcW w:w="808" w:type="dxa"/>
            <w:vAlign w:val="center"/>
          </w:tcPr>
          <w:p w14:paraId="2D346B5E" w14:textId="77777777" w:rsidR="00CE273F" w:rsidRPr="0002798F" w:rsidRDefault="00CE273F" w:rsidP="00B14290">
            <w:pPr>
              <w:pStyle w:val="TableText0"/>
              <w:jc w:val="center"/>
              <w:rPr>
                <w:b/>
              </w:rPr>
            </w:pPr>
            <w:r w:rsidRPr="0002798F">
              <w:rPr>
                <w:b/>
              </w:rPr>
              <w:t>Change</w:t>
            </w:r>
          </w:p>
        </w:tc>
        <w:tc>
          <w:tcPr>
            <w:tcW w:w="330" w:type="dxa"/>
            <w:vAlign w:val="center"/>
          </w:tcPr>
          <w:p w14:paraId="4F07D0A3" w14:textId="77777777" w:rsidR="00CE273F" w:rsidRPr="0002798F" w:rsidRDefault="00CE273F" w:rsidP="00B14290">
            <w:pPr>
              <w:pStyle w:val="TableText0"/>
              <w:jc w:val="center"/>
              <w:rPr>
                <w:b/>
              </w:rPr>
            </w:pPr>
            <w:r w:rsidRPr="0002798F">
              <w:rPr>
                <w:b/>
              </w:rPr>
              <w:t>N</w:t>
            </w:r>
          </w:p>
        </w:tc>
        <w:tc>
          <w:tcPr>
            <w:tcW w:w="805" w:type="dxa"/>
            <w:vAlign w:val="center"/>
          </w:tcPr>
          <w:p w14:paraId="79DBCEBC" w14:textId="77777777" w:rsidR="00CE273F" w:rsidRPr="0002798F" w:rsidRDefault="00CE273F" w:rsidP="00B14290">
            <w:pPr>
              <w:pStyle w:val="TableText0"/>
              <w:jc w:val="center"/>
              <w:rPr>
                <w:b/>
              </w:rPr>
            </w:pPr>
            <w:r w:rsidRPr="0002798F">
              <w:rPr>
                <w:b/>
              </w:rPr>
              <w:t>Baseline</w:t>
            </w:r>
          </w:p>
        </w:tc>
        <w:tc>
          <w:tcPr>
            <w:tcW w:w="667" w:type="dxa"/>
            <w:vAlign w:val="center"/>
          </w:tcPr>
          <w:p w14:paraId="0096F41E" w14:textId="77777777" w:rsidR="00CE273F" w:rsidRPr="0002798F" w:rsidRDefault="00CE273F" w:rsidP="00B14290">
            <w:pPr>
              <w:pStyle w:val="TableText0"/>
              <w:jc w:val="center"/>
              <w:rPr>
                <w:b/>
              </w:rPr>
            </w:pPr>
            <w:r w:rsidRPr="0002798F">
              <w:rPr>
                <w:b/>
              </w:rPr>
              <w:t>Follow-up</w:t>
            </w:r>
          </w:p>
        </w:tc>
        <w:tc>
          <w:tcPr>
            <w:tcW w:w="890" w:type="dxa"/>
            <w:vAlign w:val="center"/>
          </w:tcPr>
          <w:p w14:paraId="3A1FD314" w14:textId="77777777" w:rsidR="00CE273F" w:rsidRPr="0002798F" w:rsidRDefault="00CE273F" w:rsidP="00B14290">
            <w:pPr>
              <w:pStyle w:val="TableText0"/>
              <w:jc w:val="center"/>
              <w:rPr>
                <w:b/>
              </w:rPr>
            </w:pPr>
            <w:r w:rsidRPr="0002798F">
              <w:rPr>
                <w:b/>
              </w:rPr>
              <w:t>Change</w:t>
            </w:r>
          </w:p>
        </w:tc>
        <w:tc>
          <w:tcPr>
            <w:tcW w:w="1045" w:type="dxa"/>
            <w:vMerge/>
            <w:vAlign w:val="center"/>
          </w:tcPr>
          <w:p w14:paraId="71F1783C" w14:textId="77777777" w:rsidR="00CE273F" w:rsidRPr="0002798F" w:rsidRDefault="00CE273F" w:rsidP="00B14290">
            <w:pPr>
              <w:pStyle w:val="TableText0"/>
              <w:jc w:val="center"/>
            </w:pPr>
          </w:p>
        </w:tc>
        <w:tc>
          <w:tcPr>
            <w:tcW w:w="0" w:type="auto"/>
            <w:vMerge/>
            <w:vAlign w:val="center"/>
          </w:tcPr>
          <w:p w14:paraId="579E9686" w14:textId="77777777" w:rsidR="00CE273F" w:rsidRPr="0002798F" w:rsidRDefault="00CE273F" w:rsidP="00B14290">
            <w:pPr>
              <w:pStyle w:val="TableText0"/>
              <w:jc w:val="center"/>
            </w:pPr>
          </w:p>
        </w:tc>
      </w:tr>
      <w:tr w:rsidR="00CE273F" w:rsidRPr="0002798F" w14:paraId="07192EF4" w14:textId="77777777" w:rsidTr="00B14290">
        <w:trPr>
          <w:trHeight w:val="234"/>
        </w:trPr>
        <w:tc>
          <w:tcPr>
            <w:tcW w:w="0" w:type="auto"/>
            <w:gridSpan w:val="12"/>
            <w:shd w:val="clear" w:color="auto" w:fill="auto"/>
          </w:tcPr>
          <w:p w14:paraId="2408F7DA" w14:textId="77777777" w:rsidR="00CE273F" w:rsidRPr="0002798F" w:rsidRDefault="00CE273F" w:rsidP="00B14290">
            <w:pPr>
              <w:pStyle w:val="TableText0"/>
            </w:pPr>
            <w:r w:rsidRPr="0002798F">
              <w:rPr>
                <w:b/>
              </w:rPr>
              <w:t>Total population</w:t>
            </w:r>
          </w:p>
        </w:tc>
      </w:tr>
      <w:tr w:rsidR="00CE273F" w:rsidRPr="0002798F" w14:paraId="34F9CAAD" w14:textId="77777777" w:rsidTr="00CE273F">
        <w:trPr>
          <w:trHeight w:val="726"/>
        </w:trPr>
        <w:tc>
          <w:tcPr>
            <w:tcW w:w="1013" w:type="dxa"/>
            <w:vAlign w:val="center"/>
          </w:tcPr>
          <w:p w14:paraId="6C2B086D" w14:textId="77777777" w:rsidR="00CE273F" w:rsidRPr="0002798F" w:rsidRDefault="00CE273F" w:rsidP="00B14290">
            <w:pPr>
              <w:pStyle w:val="TableText0"/>
              <w:rPr>
                <w:vertAlign w:val="superscript"/>
              </w:rPr>
            </w:pPr>
            <w:r w:rsidRPr="0002798F">
              <w:t>Study 2014</w:t>
            </w:r>
            <w:r w:rsidRPr="0002798F">
              <w:rPr>
                <w:vertAlign w:val="superscript"/>
              </w:rPr>
              <w:t>1</w:t>
            </w:r>
          </w:p>
        </w:tc>
        <w:tc>
          <w:tcPr>
            <w:tcW w:w="939" w:type="dxa"/>
            <w:vAlign w:val="center"/>
          </w:tcPr>
          <w:p w14:paraId="49EF29DE" w14:textId="77777777" w:rsidR="00CE273F" w:rsidRPr="0002798F" w:rsidRDefault="00CE273F" w:rsidP="00B14290">
            <w:pPr>
              <w:pStyle w:val="TableText0"/>
              <w:jc w:val="center"/>
            </w:pPr>
            <w:r w:rsidRPr="0002798F">
              <w:t>Secondary</w:t>
            </w:r>
          </w:p>
        </w:tc>
        <w:tc>
          <w:tcPr>
            <w:tcW w:w="330" w:type="dxa"/>
            <w:vAlign w:val="center"/>
          </w:tcPr>
          <w:p w14:paraId="7726159E" w14:textId="77777777" w:rsidR="00CE273F" w:rsidRPr="0002798F" w:rsidRDefault="00CE273F" w:rsidP="00B14290">
            <w:pPr>
              <w:pStyle w:val="TableText0"/>
              <w:jc w:val="center"/>
            </w:pPr>
            <w:r w:rsidRPr="0002798F">
              <w:t>152</w:t>
            </w:r>
          </w:p>
        </w:tc>
        <w:tc>
          <w:tcPr>
            <w:tcW w:w="778" w:type="dxa"/>
            <w:vAlign w:val="center"/>
          </w:tcPr>
          <w:p w14:paraId="3D13AC8F" w14:textId="04936500" w:rsidR="00CE273F" w:rsidRPr="0002798F" w:rsidRDefault="00384D7B" w:rsidP="002503CB">
            <w:pPr>
              <w:pStyle w:val="TableText0"/>
              <w:jc w:val="center"/>
              <w:rPr>
                <w:i/>
                <w:iCs/>
              </w:rPr>
            </w:pPr>
            <w:r>
              <w:t>4.5 (</w:t>
            </w:r>
            <w:proofErr w:type="gramStart"/>
            <w:r>
              <w:t>3.1)</w:t>
            </w:r>
            <w:r w:rsidR="00CE273F" w:rsidRPr="002503CB">
              <w:rPr>
                <w:iCs/>
              </w:rPr>
              <w:t>or</w:t>
            </w:r>
            <w:proofErr w:type="gramEnd"/>
            <w:r w:rsidR="00CE273F" w:rsidRPr="002503CB">
              <w:rPr>
                <w:iCs/>
              </w:rPr>
              <w:t xml:space="preserve"> 4.5 (3.05)</w:t>
            </w:r>
            <w:r w:rsidR="002503CB" w:rsidRPr="002503CB">
              <w:rPr>
                <w:iCs/>
                <w:vertAlign w:val="superscript"/>
              </w:rPr>
              <w:t>2</w:t>
            </w:r>
          </w:p>
        </w:tc>
        <w:tc>
          <w:tcPr>
            <w:tcW w:w="667" w:type="dxa"/>
            <w:vAlign w:val="center"/>
          </w:tcPr>
          <w:p w14:paraId="36CFC61D" w14:textId="77777777" w:rsidR="00CE273F" w:rsidRPr="0002798F" w:rsidRDefault="00CE273F" w:rsidP="00B14290">
            <w:pPr>
              <w:pStyle w:val="TableText0"/>
              <w:jc w:val="center"/>
            </w:pPr>
            <w:r w:rsidRPr="0002798F">
              <w:t>Not reported</w:t>
            </w:r>
          </w:p>
        </w:tc>
        <w:tc>
          <w:tcPr>
            <w:tcW w:w="808" w:type="dxa"/>
            <w:vAlign w:val="center"/>
          </w:tcPr>
          <w:p w14:paraId="5BF00A0B" w14:textId="454CEFA3" w:rsidR="00CE273F" w:rsidRPr="0002798F" w:rsidRDefault="00CE273F" w:rsidP="002503CB">
            <w:pPr>
              <w:pStyle w:val="TableText0"/>
              <w:jc w:val="center"/>
            </w:pPr>
            <w:r w:rsidRPr="0002798F">
              <w:t>-1.4</w:t>
            </w:r>
            <w:r w:rsidR="002503CB">
              <w:t xml:space="preserve"> </w:t>
            </w:r>
            <w:r w:rsidRPr="0002798F">
              <w:t>(2.87)</w:t>
            </w:r>
          </w:p>
        </w:tc>
        <w:tc>
          <w:tcPr>
            <w:tcW w:w="330" w:type="dxa"/>
            <w:vAlign w:val="center"/>
          </w:tcPr>
          <w:p w14:paraId="22BE3B17" w14:textId="77777777" w:rsidR="00CE273F" w:rsidRPr="0002798F" w:rsidRDefault="00CE273F" w:rsidP="00B14290">
            <w:pPr>
              <w:pStyle w:val="TableText0"/>
            </w:pPr>
            <w:r w:rsidRPr="0002798F">
              <w:t>152</w:t>
            </w:r>
          </w:p>
        </w:tc>
        <w:tc>
          <w:tcPr>
            <w:tcW w:w="805" w:type="dxa"/>
            <w:vAlign w:val="center"/>
          </w:tcPr>
          <w:p w14:paraId="0AC4FCE2" w14:textId="77777777" w:rsidR="00631FC1" w:rsidRDefault="00CE273F" w:rsidP="00B14290">
            <w:pPr>
              <w:pStyle w:val="TableText0"/>
              <w:jc w:val="center"/>
            </w:pPr>
            <w:r w:rsidRPr="0002798F">
              <w:t>4.6</w:t>
            </w:r>
          </w:p>
          <w:p w14:paraId="76ED94D4" w14:textId="48F04E0A" w:rsidR="00CE273F" w:rsidRPr="0002798F" w:rsidRDefault="00CE273F" w:rsidP="00B14290">
            <w:pPr>
              <w:pStyle w:val="TableText0"/>
              <w:jc w:val="center"/>
            </w:pPr>
            <w:r w:rsidRPr="0002798F">
              <w:t>(2.8)</w:t>
            </w:r>
          </w:p>
        </w:tc>
        <w:tc>
          <w:tcPr>
            <w:tcW w:w="667" w:type="dxa"/>
            <w:vAlign w:val="center"/>
          </w:tcPr>
          <w:p w14:paraId="1373810E" w14:textId="77777777" w:rsidR="00CE273F" w:rsidRPr="0002798F" w:rsidRDefault="00CE273F" w:rsidP="00B14290">
            <w:pPr>
              <w:pStyle w:val="TableText0"/>
              <w:jc w:val="center"/>
            </w:pPr>
            <w:r w:rsidRPr="0002798F">
              <w:t>Not reported</w:t>
            </w:r>
          </w:p>
        </w:tc>
        <w:tc>
          <w:tcPr>
            <w:tcW w:w="890" w:type="dxa"/>
            <w:vAlign w:val="center"/>
          </w:tcPr>
          <w:p w14:paraId="77C63A62" w14:textId="77777777" w:rsidR="00E071C8" w:rsidRDefault="00CE273F" w:rsidP="00B14290">
            <w:pPr>
              <w:pStyle w:val="TableText0"/>
              <w:jc w:val="center"/>
            </w:pPr>
            <w:r w:rsidRPr="0002798F">
              <w:t>-0.6</w:t>
            </w:r>
          </w:p>
          <w:p w14:paraId="512AA943" w14:textId="049F8BE3" w:rsidR="00CE273F" w:rsidRPr="0002798F" w:rsidRDefault="00CE273F" w:rsidP="00B14290">
            <w:pPr>
              <w:pStyle w:val="TableText0"/>
              <w:jc w:val="center"/>
            </w:pPr>
            <w:r w:rsidRPr="0002798F">
              <w:t>(2.76)</w:t>
            </w:r>
          </w:p>
        </w:tc>
        <w:tc>
          <w:tcPr>
            <w:tcW w:w="1045" w:type="dxa"/>
            <w:vAlign w:val="center"/>
          </w:tcPr>
          <w:p w14:paraId="082A90AF" w14:textId="77777777" w:rsidR="002503CB" w:rsidRDefault="00CE273F" w:rsidP="00B14290">
            <w:pPr>
              <w:pStyle w:val="TableText0"/>
              <w:jc w:val="center"/>
              <w:rPr>
                <w:szCs w:val="20"/>
              </w:rPr>
            </w:pPr>
            <w:r w:rsidRPr="0002798F">
              <w:rPr>
                <w:szCs w:val="20"/>
              </w:rPr>
              <w:t>-0.9</w:t>
            </w:r>
          </w:p>
          <w:p w14:paraId="6CAC4B80" w14:textId="08A04959" w:rsidR="00CE273F" w:rsidRPr="0002798F" w:rsidRDefault="00CE273F" w:rsidP="00B14290">
            <w:pPr>
              <w:pStyle w:val="TableText0"/>
              <w:jc w:val="center"/>
            </w:pPr>
            <w:r w:rsidRPr="0002798F">
              <w:rPr>
                <w:szCs w:val="20"/>
              </w:rPr>
              <w:t>(-1.4, -0.3)</w:t>
            </w:r>
          </w:p>
        </w:tc>
        <w:tc>
          <w:tcPr>
            <w:tcW w:w="0" w:type="auto"/>
            <w:vAlign w:val="center"/>
          </w:tcPr>
          <w:p w14:paraId="28D95760" w14:textId="77777777" w:rsidR="00CE273F" w:rsidRPr="0002798F" w:rsidRDefault="00CE273F" w:rsidP="00B14290">
            <w:pPr>
              <w:pStyle w:val="TableText0"/>
              <w:jc w:val="center"/>
            </w:pPr>
            <w:r w:rsidRPr="0002798F">
              <w:rPr>
                <w:szCs w:val="20"/>
              </w:rPr>
              <w:t>p</w:t>
            </w:r>
            <w:r w:rsidRPr="0002798F">
              <w:rPr>
                <w:b/>
                <w:bCs w:val="0"/>
                <w:szCs w:val="20"/>
              </w:rPr>
              <w:t>=0.0015</w:t>
            </w:r>
          </w:p>
        </w:tc>
      </w:tr>
      <w:tr w:rsidR="00CE273F" w:rsidRPr="0002798F" w14:paraId="144B629B" w14:textId="77777777" w:rsidTr="00CE273F">
        <w:trPr>
          <w:trHeight w:val="726"/>
        </w:trPr>
        <w:tc>
          <w:tcPr>
            <w:tcW w:w="1013" w:type="dxa"/>
            <w:vAlign w:val="center"/>
          </w:tcPr>
          <w:p w14:paraId="6DE12FA7" w14:textId="4E1A2201" w:rsidR="00CE273F" w:rsidRPr="0002798F" w:rsidRDefault="00CE273F" w:rsidP="00B14290">
            <w:pPr>
              <w:pStyle w:val="TableText0"/>
            </w:pPr>
            <w:r w:rsidRPr="0002798F">
              <w:t>STUDY 2016</w:t>
            </w:r>
            <w:r w:rsidR="00200649" w:rsidRPr="005616FB">
              <w:rPr>
                <w:vertAlign w:val="superscript"/>
              </w:rPr>
              <w:t>3</w:t>
            </w:r>
          </w:p>
        </w:tc>
        <w:tc>
          <w:tcPr>
            <w:tcW w:w="939" w:type="dxa"/>
            <w:vAlign w:val="center"/>
          </w:tcPr>
          <w:p w14:paraId="72EE0D94" w14:textId="11B3C14C" w:rsidR="00CE273F" w:rsidRPr="0002798F" w:rsidRDefault="007F4CA7" w:rsidP="00B14290">
            <w:pPr>
              <w:pStyle w:val="TableText0"/>
              <w:jc w:val="center"/>
            </w:pPr>
            <w:r>
              <w:t>S</w:t>
            </w:r>
            <w:r w:rsidR="00CE273F" w:rsidRPr="0002798F">
              <w:t>econdary</w:t>
            </w:r>
          </w:p>
        </w:tc>
        <w:tc>
          <w:tcPr>
            <w:tcW w:w="330" w:type="dxa"/>
            <w:vAlign w:val="center"/>
          </w:tcPr>
          <w:p w14:paraId="318BE6F8" w14:textId="77777777" w:rsidR="00CE273F" w:rsidRPr="0002798F" w:rsidRDefault="00CE273F" w:rsidP="00B14290">
            <w:pPr>
              <w:pStyle w:val="TableText0"/>
              <w:jc w:val="center"/>
            </w:pPr>
            <w:r w:rsidRPr="0002798F">
              <w:t>371</w:t>
            </w:r>
          </w:p>
        </w:tc>
        <w:tc>
          <w:tcPr>
            <w:tcW w:w="778" w:type="dxa"/>
            <w:vAlign w:val="center"/>
          </w:tcPr>
          <w:p w14:paraId="5F2889D7" w14:textId="77777777" w:rsidR="00CE273F" w:rsidRPr="0002798F" w:rsidRDefault="00CE273F" w:rsidP="00B14290">
            <w:pPr>
              <w:pStyle w:val="TableText0"/>
              <w:jc w:val="center"/>
            </w:pPr>
            <w:r w:rsidRPr="0002798F">
              <w:t xml:space="preserve">4.06 (2.374) </w:t>
            </w:r>
          </w:p>
        </w:tc>
        <w:tc>
          <w:tcPr>
            <w:tcW w:w="667" w:type="dxa"/>
            <w:vAlign w:val="center"/>
          </w:tcPr>
          <w:p w14:paraId="313CDD77" w14:textId="77777777" w:rsidR="00CE273F" w:rsidRPr="0002798F" w:rsidRDefault="00CE273F" w:rsidP="00B14290">
            <w:pPr>
              <w:pStyle w:val="TableText0"/>
              <w:jc w:val="center"/>
            </w:pPr>
            <w:r w:rsidRPr="0002798F">
              <w:t>Not reported</w:t>
            </w:r>
          </w:p>
        </w:tc>
        <w:tc>
          <w:tcPr>
            <w:tcW w:w="808" w:type="dxa"/>
            <w:vAlign w:val="center"/>
          </w:tcPr>
          <w:p w14:paraId="0708E857" w14:textId="3B30ECF2" w:rsidR="00CE273F" w:rsidRPr="0002798F" w:rsidRDefault="00CE273F" w:rsidP="00B14290">
            <w:pPr>
              <w:pStyle w:val="TableText0"/>
              <w:jc w:val="center"/>
            </w:pPr>
            <w:r w:rsidRPr="0002798F">
              <w:t>-</w:t>
            </w:r>
            <w:r w:rsidR="00200649">
              <w:t>1.44</w:t>
            </w:r>
            <w:r w:rsidRPr="0002798F">
              <w:t xml:space="preserve"> (</w:t>
            </w:r>
            <w:r w:rsidR="00200649">
              <w:t>1.976</w:t>
            </w:r>
            <w:r w:rsidRPr="0002798F">
              <w:t>)</w:t>
            </w:r>
          </w:p>
        </w:tc>
        <w:tc>
          <w:tcPr>
            <w:tcW w:w="330" w:type="dxa"/>
            <w:vAlign w:val="center"/>
          </w:tcPr>
          <w:p w14:paraId="7BC5F75E" w14:textId="77777777" w:rsidR="00CE273F" w:rsidRPr="0002798F" w:rsidRDefault="00CE273F" w:rsidP="00B14290">
            <w:pPr>
              <w:pStyle w:val="TableText0"/>
            </w:pPr>
            <w:r w:rsidRPr="0002798F">
              <w:t>373</w:t>
            </w:r>
          </w:p>
        </w:tc>
        <w:tc>
          <w:tcPr>
            <w:tcW w:w="805" w:type="dxa"/>
            <w:vAlign w:val="center"/>
          </w:tcPr>
          <w:p w14:paraId="74AFBFF7" w14:textId="77777777" w:rsidR="00CE273F" w:rsidRPr="0002798F" w:rsidRDefault="00CE273F" w:rsidP="00B14290">
            <w:pPr>
              <w:pStyle w:val="TableText0"/>
              <w:jc w:val="center"/>
            </w:pPr>
            <w:r w:rsidRPr="0002798F">
              <w:t>4.30 (2.650)</w:t>
            </w:r>
          </w:p>
        </w:tc>
        <w:tc>
          <w:tcPr>
            <w:tcW w:w="667" w:type="dxa"/>
            <w:vAlign w:val="center"/>
          </w:tcPr>
          <w:p w14:paraId="15645973" w14:textId="77777777" w:rsidR="00CE273F" w:rsidRPr="0002798F" w:rsidRDefault="00CE273F" w:rsidP="00B14290">
            <w:pPr>
              <w:pStyle w:val="TableText0"/>
              <w:jc w:val="center"/>
            </w:pPr>
            <w:r w:rsidRPr="0002798F">
              <w:t>Not reported</w:t>
            </w:r>
          </w:p>
        </w:tc>
        <w:tc>
          <w:tcPr>
            <w:tcW w:w="890" w:type="dxa"/>
            <w:vAlign w:val="center"/>
          </w:tcPr>
          <w:p w14:paraId="45C847DA" w14:textId="77777777" w:rsidR="00CE273F" w:rsidRPr="0002798F" w:rsidRDefault="00CE273F" w:rsidP="00B14290">
            <w:pPr>
              <w:pStyle w:val="TableText0"/>
              <w:jc w:val="center"/>
            </w:pPr>
            <w:r w:rsidRPr="0002798F">
              <w:t>-1.17 (2.181)</w:t>
            </w:r>
          </w:p>
        </w:tc>
        <w:tc>
          <w:tcPr>
            <w:tcW w:w="1045" w:type="dxa"/>
            <w:vAlign w:val="center"/>
          </w:tcPr>
          <w:p w14:paraId="79A492B6" w14:textId="77777777" w:rsidR="002503CB" w:rsidRDefault="00CE273F" w:rsidP="00B14290">
            <w:pPr>
              <w:pStyle w:val="TableText0"/>
              <w:jc w:val="center"/>
            </w:pPr>
            <w:r w:rsidRPr="0002798F">
              <w:t>-0.36</w:t>
            </w:r>
          </w:p>
          <w:p w14:paraId="2F793D14" w14:textId="06FED7AC" w:rsidR="00CE273F" w:rsidRPr="0002798F" w:rsidRDefault="00CE273F" w:rsidP="00B14290">
            <w:pPr>
              <w:pStyle w:val="TableText0"/>
              <w:jc w:val="center"/>
            </w:pPr>
            <w:r w:rsidRPr="0002798F">
              <w:t>(-0.56, -0.15)</w:t>
            </w:r>
          </w:p>
        </w:tc>
        <w:tc>
          <w:tcPr>
            <w:tcW w:w="0" w:type="auto"/>
            <w:vAlign w:val="center"/>
          </w:tcPr>
          <w:p w14:paraId="5928FBA9" w14:textId="77777777" w:rsidR="00CE273F" w:rsidRPr="0002798F" w:rsidRDefault="00CE273F" w:rsidP="00B14290">
            <w:pPr>
              <w:pStyle w:val="TableText0"/>
              <w:jc w:val="center"/>
            </w:pPr>
            <w:r w:rsidRPr="0002798F">
              <w:t>p</w:t>
            </w:r>
            <w:r w:rsidRPr="0002798F">
              <w:rPr>
                <w:b/>
                <w:bCs w:val="0"/>
              </w:rPr>
              <w:t>=0.0007</w:t>
            </w:r>
          </w:p>
        </w:tc>
      </w:tr>
    </w:tbl>
    <w:p w14:paraId="303DD1FA" w14:textId="4126D30C" w:rsidR="00CE273F" w:rsidRPr="0002798F" w:rsidRDefault="00814308" w:rsidP="00CE273F">
      <w:pPr>
        <w:pStyle w:val="TableFigureFooter"/>
        <w:rPr>
          <w:rFonts w:eastAsia="Calibri"/>
        </w:rPr>
      </w:pPr>
      <w:r w:rsidRPr="0002798F">
        <w:rPr>
          <w:rFonts w:eastAsia="Calibri"/>
        </w:rPr>
        <w:t>Source:</w:t>
      </w:r>
      <w:r w:rsidR="00CE273F" w:rsidRPr="0002798F">
        <w:rPr>
          <w:rFonts w:eastAsia="Calibri"/>
        </w:rPr>
        <w:t xml:space="preserve"> </w:t>
      </w:r>
      <w:r w:rsidRPr="0002798F">
        <w:rPr>
          <w:rFonts w:eastAsia="Calibri"/>
        </w:rPr>
        <w:t>compiled</w:t>
      </w:r>
      <w:r w:rsidR="00CE273F" w:rsidRPr="0002798F">
        <w:rPr>
          <w:rFonts w:eastAsia="Calibri"/>
        </w:rPr>
        <w:t xml:space="preserve"> from </w:t>
      </w:r>
      <w:r w:rsidR="00CE273F" w:rsidRPr="0002798F">
        <w:rPr>
          <w:rFonts w:eastAsia="Calibri"/>
          <w:vertAlign w:val="superscript"/>
        </w:rPr>
        <w:t>1</w:t>
      </w:r>
      <w:r w:rsidR="00CE273F" w:rsidRPr="0002798F">
        <w:rPr>
          <w:rFonts w:eastAsia="Calibri"/>
        </w:rPr>
        <w:t>Tauber et al, although follow-up results were only shown graphically;</w:t>
      </w:r>
      <w:r w:rsidR="002503CB">
        <w:rPr>
          <w:rFonts w:eastAsia="Calibri"/>
        </w:rPr>
        <w:t xml:space="preserve"> </w:t>
      </w:r>
      <w:r w:rsidR="00CE273F" w:rsidRPr="0002798F">
        <w:rPr>
          <w:rFonts w:eastAsia="Calibri"/>
          <w:vertAlign w:val="superscript"/>
        </w:rPr>
        <w:t>2</w:t>
      </w:r>
      <w:r w:rsidR="00CE273F" w:rsidRPr="0002798F">
        <w:rPr>
          <w:rFonts w:eastAsia="Calibri"/>
        </w:rPr>
        <w:t>TABLE 2.5.3 of the submission contains different data from the publication;</w:t>
      </w:r>
      <w:r w:rsidR="002503CB">
        <w:rPr>
          <w:rFonts w:eastAsia="Calibri"/>
        </w:rPr>
        <w:t xml:space="preserve"> </w:t>
      </w:r>
      <w:r w:rsidR="00CE273F" w:rsidRPr="0002798F">
        <w:rPr>
          <w:rFonts w:eastAsia="Calibri"/>
          <w:vertAlign w:val="superscript"/>
        </w:rPr>
        <w:t>3</w:t>
      </w:r>
      <w:r w:rsidR="00CE273F" w:rsidRPr="0002798F">
        <w:rPr>
          <w:rFonts w:eastAsia="Calibri"/>
        </w:rPr>
        <w:t xml:space="preserve">data from Table 2.5.5 in the submission, Total CFS score. CI = confidence interval; CFS = corneal fluorescent staining; FAS = full analysis set; LOCF = last observation carried forward; OR = odds ratio; SD = standard deviation; SG = subgroup. </w:t>
      </w:r>
      <w:r w:rsidR="00CE273F" w:rsidRPr="0002798F">
        <w:rPr>
          <w:rFonts w:eastAsia="Calibri"/>
          <w:b/>
        </w:rPr>
        <w:t>Bold</w:t>
      </w:r>
      <w:r w:rsidR="00CE273F" w:rsidRPr="0002798F">
        <w:rPr>
          <w:rFonts w:eastAsia="Calibri"/>
        </w:rPr>
        <w:t xml:space="preserve"> indicates statistically significant results.</w:t>
      </w:r>
    </w:p>
    <w:p w14:paraId="0A1C35A8" w14:textId="23491964" w:rsidR="001811EC" w:rsidRDefault="001811EC" w:rsidP="001811EC">
      <w:pPr>
        <w:pStyle w:val="TableFigureHeading"/>
      </w:pPr>
      <w:r>
        <w:t xml:space="preserve">Table </w:t>
      </w:r>
      <w:fldSimple w:instr=" SEQ Table \* ARABIC ">
        <w:r>
          <w:rPr>
            <w:noProof/>
          </w:rPr>
          <w:t>6</w:t>
        </w:r>
      </w:fldSimple>
      <w:r w:rsidRPr="00326279">
        <w:t>: Change in SANDE scores over 3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Change in SANDE scores over 3 months"/>
        <w:tblDescription w:val="Table 6: Change in SANDE scores over 3 months"/>
      </w:tblPr>
      <w:tblGrid>
        <w:gridCol w:w="945"/>
        <w:gridCol w:w="913"/>
        <w:gridCol w:w="330"/>
        <w:gridCol w:w="731"/>
        <w:gridCol w:w="858"/>
        <w:gridCol w:w="777"/>
        <w:gridCol w:w="330"/>
        <w:gridCol w:w="731"/>
        <w:gridCol w:w="729"/>
        <w:gridCol w:w="845"/>
        <w:gridCol w:w="1010"/>
        <w:gridCol w:w="745"/>
      </w:tblGrid>
      <w:tr w:rsidR="00CE273F" w:rsidRPr="0002798F" w14:paraId="3D9800AA" w14:textId="77777777" w:rsidTr="001811EC">
        <w:trPr>
          <w:trHeight w:val="726"/>
          <w:tblHeader/>
        </w:trPr>
        <w:tc>
          <w:tcPr>
            <w:tcW w:w="945" w:type="dxa"/>
            <w:vMerge w:val="restart"/>
            <w:vAlign w:val="center"/>
          </w:tcPr>
          <w:p w14:paraId="66F55022" w14:textId="77777777" w:rsidR="00CE273F" w:rsidRPr="0002798F" w:rsidRDefault="00CE273F" w:rsidP="00B14290">
            <w:pPr>
              <w:pStyle w:val="In-tableHeading"/>
              <w:rPr>
                <w:lang w:val="en-AU"/>
              </w:rPr>
            </w:pPr>
            <w:r w:rsidRPr="0002798F">
              <w:rPr>
                <w:lang w:val="en-AU"/>
              </w:rPr>
              <w:t xml:space="preserve">Trial </w:t>
            </w:r>
          </w:p>
        </w:tc>
        <w:tc>
          <w:tcPr>
            <w:tcW w:w="913" w:type="dxa"/>
            <w:vMerge w:val="restart"/>
            <w:vAlign w:val="center"/>
          </w:tcPr>
          <w:p w14:paraId="6C101D50" w14:textId="77777777" w:rsidR="00CE273F" w:rsidRPr="0002798F" w:rsidRDefault="00CE273F" w:rsidP="00B14290">
            <w:pPr>
              <w:pStyle w:val="In-tableHeading"/>
              <w:jc w:val="center"/>
              <w:rPr>
                <w:iCs/>
                <w:lang w:val="en-AU"/>
              </w:rPr>
            </w:pPr>
            <w:r w:rsidRPr="0002798F">
              <w:rPr>
                <w:iCs/>
                <w:lang w:val="en-AU"/>
              </w:rPr>
              <w:t>Endpoint</w:t>
            </w:r>
          </w:p>
        </w:tc>
        <w:tc>
          <w:tcPr>
            <w:tcW w:w="2696" w:type="dxa"/>
            <w:gridSpan w:val="4"/>
          </w:tcPr>
          <w:p w14:paraId="414174A8" w14:textId="4FA8FB28" w:rsidR="00CE273F" w:rsidRPr="0002798F" w:rsidRDefault="00716F07" w:rsidP="00B14290">
            <w:pPr>
              <w:pStyle w:val="In-tableHeading"/>
              <w:jc w:val="center"/>
              <w:rPr>
                <w:iCs/>
                <w:lang w:val="en-AU"/>
              </w:rPr>
            </w:pPr>
            <w:r w:rsidRPr="0002798F">
              <w:rPr>
                <w:lang w:val="en-AU"/>
              </w:rPr>
              <w:t>0.09% OTX-101</w:t>
            </w:r>
            <w:r w:rsidR="00CE273F" w:rsidRPr="0002798F">
              <w:rPr>
                <w:iCs/>
                <w:lang w:val="en-AU"/>
              </w:rPr>
              <w:t>,</w:t>
            </w:r>
          </w:p>
          <w:p w14:paraId="07252EC5" w14:textId="77777777" w:rsidR="00CE273F" w:rsidRPr="0002798F" w:rsidRDefault="00CE273F" w:rsidP="00B14290">
            <w:pPr>
              <w:pStyle w:val="In-tableHeading"/>
              <w:jc w:val="center"/>
              <w:rPr>
                <w:lang w:val="en-AU"/>
              </w:rPr>
            </w:pPr>
            <w:r w:rsidRPr="0002798F">
              <w:rPr>
                <w:bCs/>
                <w:lang w:val="en-AU"/>
              </w:rPr>
              <w:t xml:space="preserve">Mean (SD) </w:t>
            </w:r>
          </w:p>
        </w:tc>
        <w:tc>
          <w:tcPr>
            <w:tcW w:w="2635" w:type="dxa"/>
            <w:gridSpan w:val="4"/>
          </w:tcPr>
          <w:p w14:paraId="387FF7F6" w14:textId="77777777" w:rsidR="00CE273F" w:rsidRPr="0002798F" w:rsidRDefault="00CE273F" w:rsidP="00B14290">
            <w:pPr>
              <w:pStyle w:val="In-tableHeading"/>
              <w:jc w:val="center"/>
              <w:rPr>
                <w:lang w:val="en-AU"/>
              </w:rPr>
            </w:pPr>
            <w:r w:rsidRPr="0002798F">
              <w:rPr>
                <w:lang w:val="en-AU"/>
              </w:rPr>
              <w:t>Vehicle,</w:t>
            </w:r>
          </w:p>
          <w:p w14:paraId="20585B48" w14:textId="77777777" w:rsidR="00CE273F" w:rsidRPr="0002798F" w:rsidRDefault="00CE273F" w:rsidP="00B14290">
            <w:pPr>
              <w:pStyle w:val="In-tableHeading"/>
              <w:jc w:val="center"/>
              <w:rPr>
                <w:lang w:val="en-AU"/>
              </w:rPr>
            </w:pPr>
            <w:r w:rsidRPr="0002798F">
              <w:rPr>
                <w:bCs/>
                <w:lang w:val="en-AU"/>
              </w:rPr>
              <w:t xml:space="preserve">Mean (SD) </w:t>
            </w:r>
            <w:r w:rsidRPr="0002798F">
              <w:rPr>
                <w:bCs/>
                <w:lang w:val="en-AU"/>
              </w:rPr>
              <w:br/>
            </w:r>
          </w:p>
        </w:tc>
        <w:tc>
          <w:tcPr>
            <w:tcW w:w="1010" w:type="dxa"/>
            <w:vMerge w:val="restart"/>
            <w:vAlign w:val="center"/>
          </w:tcPr>
          <w:p w14:paraId="78B2947F" w14:textId="77777777" w:rsidR="00CE273F" w:rsidRPr="0002798F" w:rsidRDefault="00CE273F" w:rsidP="00B14290">
            <w:pPr>
              <w:pStyle w:val="In-tableHeading"/>
              <w:jc w:val="center"/>
              <w:rPr>
                <w:lang w:val="en-AU"/>
              </w:rPr>
            </w:pPr>
            <w:r w:rsidRPr="0002798F">
              <w:rPr>
                <w:iCs/>
                <w:lang w:val="en-AU"/>
              </w:rPr>
              <w:t>Mean difference (95% CI)</w:t>
            </w:r>
          </w:p>
        </w:tc>
        <w:tc>
          <w:tcPr>
            <w:tcW w:w="0" w:type="auto"/>
            <w:vMerge w:val="restart"/>
            <w:vAlign w:val="center"/>
          </w:tcPr>
          <w:p w14:paraId="75F7C6F1" w14:textId="77777777" w:rsidR="00CE273F" w:rsidRPr="0002798F" w:rsidRDefault="00CE273F" w:rsidP="00B14290">
            <w:pPr>
              <w:pStyle w:val="In-tableHeading"/>
              <w:jc w:val="center"/>
              <w:rPr>
                <w:lang w:val="en-AU"/>
              </w:rPr>
            </w:pPr>
            <w:r w:rsidRPr="0002798F">
              <w:rPr>
                <w:iCs/>
                <w:lang w:val="en-AU"/>
              </w:rPr>
              <w:t>p-value</w:t>
            </w:r>
          </w:p>
        </w:tc>
      </w:tr>
      <w:tr w:rsidR="00CE273F" w:rsidRPr="0002798F" w14:paraId="35EE0288" w14:textId="77777777" w:rsidTr="001811EC">
        <w:trPr>
          <w:trHeight w:val="246"/>
        </w:trPr>
        <w:tc>
          <w:tcPr>
            <w:tcW w:w="945" w:type="dxa"/>
            <w:vMerge/>
            <w:vAlign w:val="center"/>
          </w:tcPr>
          <w:p w14:paraId="0B5E5001" w14:textId="77777777" w:rsidR="00CE273F" w:rsidRPr="0002798F" w:rsidRDefault="00CE273F" w:rsidP="00B14290">
            <w:pPr>
              <w:pStyle w:val="TableText0"/>
            </w:pPr>
          </w:p>
        </w:tc>
        <w:tc>
          <w:tcPr>
            <w:tcW w:w="913" w:type="dxa"/>
            <w:vMerge/>
          </w:tcPr>
          <w:p w14:paraId="3C2FEC76" w14:textId="77777777" w:rsidR="00CE273F" w:rsidRPr="0002798F" w:rsidRDefault="00CE273F" w:rsidP="00B14290">
            <w:pPr>
              <w:pStyle w:val="TableText0"/>
              <w:jc w:val="center"/>
            </w:pPr>
          </w:p>
        </w:tc>
        <w:tc>
          <w:tcPr>
            <w:tcW w:w="330" w:type="dxa"/>
            <w:vAlign w:val="center"/>
          </w:tcPr>
          <w:p w14:paraId="158F4A41" w14:textId="77777777" w:rsidR="00CE273F" w:rsidRPr="0002798F" w:rsidRDefault="00CE273F" w:rsidP="00B14290">
            <w:pPr>
              <w:pStyle w:val="TableText0"/>
              <w:jc w:val="center"/>
              <w:rPr>
                <w:b/>
              </w:rPr>
            </w:pPr>
            <w:r w:rsidRPr="0002798F">
              <w:rPr>
                <w:b/>
              </w:rPr>
              <w:t>N</w:t>
            </w:r>
          </w:p>
        </w:tc>
        <w:tc>
          <w:tcPr>
            <w:tcW w:w="731" w:type="dxa"/>
            <w:vAlign w:val="center"/>
          </w:tcPr>
          <w:p w14:paraId="35205BDB" w14:textId="77777777" w:rsidR="00CE273F" w:rsidRPr="0002798F" w:rsidRDefault="00CE273F" w:rsidP="00B14290">
            <w:pPr>
              <w:pStyle w:val="TableText0"/>
              <w:jc w:val="center"/>
              <w:rPr>
                <w:b/>
              </w:rPr>
            </w:pPr>
            <w:r w:rsidRPr="0002798F">
              <w:rPr>
                <w:b/>
              </w:rPr>
              <w:t>Baseline</w:t>
            </w:r>
          </w:p>
        </w:tc>
        <w:tc>
          <w:tcPr>
            <w:tcW w:w="858" w:type="dxa"/>
            <w:vAlign w:val="center"/>
          </w:tcPr>
          <w:p w14:paraId="3570BBE6" w14:textId="77777777" w:rsidR="00CE273F" w:rsidRPr="0002798F" w:rsidRDefault="00CE273F" w:rsidP="00B14290">
            <w:pPr>
              <w:pStyle w:val="TableText0"/>
              <w:jc w:val="center"/>
              <w:rPr>
                <w:b/>
              </w:rPr>
            </w:pPr>
            <w:r w:rsidRPr="0002798F">
              <w:rPr>
                <w:b/>
              </w:rPr>
              <w:t>Follow-up</w:t>
            </w:r>
          </w:p>
        </w:tc>
        <w:tc>
          <w:tcPr>
            <w:tcW w:w="777" w:type="dxa"/>
            <w:vAlign w:val="center"/>
          </w:tcPr>
          <w:p w14:paraId="40E52A24" w14:textId="77777777" w:rsidR="00CE273F" w:rsidRPr="0002798F" w:rsidRDefault="00CE273F" w:rsidP="00B14290">
            <w:pPr>
              <w:pStyle w:val="TableText0"/>
              <w:jc w:val="center"/>
              <w:rPr>
                <w:b/>
              </w:rPr>
            </w:pPr>
            <w:r w:rsidRPr="0002798F">
              <w:rPr>
                <w:b/>
              </w:rPr>
              <w:t>Change</w:t>
            </w:r>
          </w:p>
        </w:tc>
        <w:tc>
          <w:tcPr>
            <w:tcW w:w="330" w:type="dxa"/>
            <w:vAlign w:val="center"/>
          </w:tcPr>
          <w:p w14:paraId="328E7AC6" w14:textId="77777777" w:rsidR="00CE273F" w:rsidRPr="0002798F" w:rsidRDefault="00CE273F" w:rsidP="00B14290">
            <w:pPr>
              <w:pStyle w:val="TableText0"/>
              <w:jc w:val="center"/>
              <w:rPr>
                <w:b/>
              </w:rPr>
            </w:pPr>
            <w:r w:rsidRPr="0002798F">
              <w:rPr>
                <w:b/>
              </w:rPr>
              <w:t>N</w:t>
            </w:r>
          </w:p>
        </w:tc>
        <w:tc>
          <w:tcPr>
            <w:tcW w:w="731" w:type="dxa"/>
            <w:vAlign w:val="center"/>
          </w:tcPr>
          <w:p w14:paraId="1F08D3A6" w14:textId="77777777" w:rsidR="00CE273F" w:rsidRPr="0002798F" w:rsidRDefault="00CE273F" w:rsidP="00B14290">
            <w:pPr>
              <w:pStyle w:val="TableText0"/>
              <w:jc w:val="center"/>
              <w:rPr>
                <w:b/>
              </w:rPr>
            </w:pPr>
            <w:r w:rsidRPr="0002798F">
              <w:rPr>
                <w:b/>
              </w:rPr>
              <w:t>Baseline</w:t>
            </w:r>
          </w:p>
        </w:tc>
        <w:tc>
          <w:tcPr>
            <w:tcW w:w="729" w:type="dxa"/>
            <w:vAlign w:val="center"/>
          </w:tcPr>
          <w:p w14:paraId="30AC595A" w14:textId="77777777" w:rsidR="00CE273F" w:rsidRPr="0002798F" w:rsidRDefault="00CE273F" w:rsidP="00B14290">
            <w:pPr>
              <w:pStyle w:val="TableText0"/>
              <w:jc w:val="center"/>
              <w:rPr>
                <w:b/>
              </w:rPr>
            </w:pPr>
            <w:r w:rsidRPr="0002798F">
              <w:rPr>
                <w:b/>
              </w:rPr>
              <w:t>Follow-up</w:t>
            </w:r>
          </w:p>
        </w:tc>
        <w:tc>
          <w:tcPr>
            <w:tcW w:w="845" w:type="dxa"/>
            <w:vAlign w:val="center"/>
          </w:tcPr>
          <w:p w14:paraId="5EECA790" w14:textId="77777777" w:rsidR="00CE273F" w:rsidRPr="0002798F" w:rsidRDefault="00CE273F" w:rsidP="00B14290">
            <w:pPr>
              <w:pStyle w:val="TableText0"/>
              <w:jc w:val="center"/>
              <w:rPr>
                <w:b/>
              </w:rPr>
            </w:pPr>
            <w:r w:rsidRPr="0002798F">
              <w:rPr>
                <w:b/>
              </w:rPr>
              <w:t>Change</w:t>
            </w:r>
          </w:p>
        </w:tc>
        <w:tc>
          <w:tcPr>
            <w:tcW w:w="1010" w:type="dxa"/>
            <w:vMerge/>
            <w:vAlign w:val="center"/>
          </w:tcPr>
          <w:p w14:paraId="37E51F4C" w14:textId="77777777" w:rsidR="00CE273F" w:rsidRPr="0002798F" w:rsidRDefault="00CE273F" w:rsidP="00B14290">
            <w:pPr>
              <w:pStyle w:val="TableText0"/>
              <w:jc w:val="center"/>
            </w:pPr>
          </w:p>
        </w:tc>
        <w:tc>
          <w:tcPr>
            <w:tcW w:w="0" w:type="auto"/>
            <w:vMerge/>
            <w:vAlign w:val="center"/>
          </w:tcPr>
          <w:p w14:paraId="6BEE743C" w14:textId="77777777" w:rsidR="00CE273F" w:rsidRPr="0002798F" w:rsidRDefault="00CE273F" w:rsidP="00B14290">
            <w:pPr>
              <w:pStyle w:val="TableText0"/>
              <w:jc w:val="center"/>
            </w:pPr>
          </w:p>
        </w:tc>
      </w:tr>
      <w:tr w:rsidR="00CE273F" w:rsidRPr="0002798F" w14:paraId="6F6464AA" w14:textId="77777777" w:rsidTr="00B14290">
        <w:trPr>
          <w:trHeight w:val="234"/>
        </w:trPr>
        <w:tc>
          <w:tcPr>
            <w:tcW w:w="0" w:type="auto"/>
            <w:gridSpan w:val="12"/>
            <w:shd w:val="clear" w:color="auto" w:fill="auto"/>
          </w:tcPr>
          <w:p w14:paraId="06E3E211" w14:textId="77777777" w:rsidR="00CE273F" w:rsidRPr="0002798F" w:rsidRDefault="00CE273F" w:rsidP="00B14290">
            <w:pPr>
              <w:pStyle w:val="TableText0"/>
            </w:pPr>
            <w:r w:rsidRPr="0002798F">
              <w:rPr>
                <w:b/>
              </w:rPr>
              <w:t>Total population</w:t>
            </w:r>
          </w:p>
        </w:tc>
      </w:tr>
      <w:tr w:rsidR="00CE273F" w:rsidRPr="0002798F" w14:paraId="015D9526" w14:textId="77777777" w:rsidTr="001811EC">
        <w:trPr>
          <w:trHeight w:val="726"/>
        </w:trPr>
        <w:tc>
          <w:tcPr>
            <w:tcW w:w="945" w:type="dxa"/>
            <w:vAlign w:val="center"/>
          </w:tcPr>
          <w:p w14:paraId="7976BA53" w14:textId="77777777" w:rsidR="00CE273F" w:rsidRPr="0002798F" w:rsidRDefault="00CE273F" w:rsidP="00B14290">
            <w:pPr>
              <w:pStyle w:val="TableText0"/>
              <w:rPr>
                <w:vertAlign w:val="superscript"/>
              </w:rPr>
            </w:pPr>
            <w:r w:rsidRPr="0002798F">
              <w:t>Study 2014</w:t>
            </w:r>
            <w:r w:rsidRPr="0002798F">
              <w:rPr>
                <w:vertAlign w:val="superscript"/>
              </w:rPr>
              <w:t>1</w:t>
            </w:r>
          </w:p>
        </w:tc>
        <w:tc>
          <w:tcPr>
            <w:tcW w:w="913" w:type="dxa"/>
            <w:vAlign w:val="center"/>
          </w:tcPr>
          <w:p w14:paraId="5AD709FF" w14:textId="77777777" w:rsidR="00CE273F" w:rsidRPr="0002798F" w:rsidRDefault="00CE273F" w:rsidP="00B14290">
            <w:pPr>
              <w:pStyle w:val="TableText0"/>
              <w:jc w:val="center"/>
            </w:pPr>
            <w:r w:rsidRPr="0002798F">
              <w:t>Co-primary</w:t>
            </w:r>
          </w:p>
        </w:tc>
        <w:tc>
          <w:tcPr>
            <w:tcW w:w="330" w:type="dxa"/>
            <w:vAlign w:val="center"/>
          </w:tcPr>
          <w:p w14:paraId="06A7619E" w14:textId="77777777" w:rsidR="00CE273F" w:rsidRPr="0002798F" w:rsidRDefault="00CE273F" w:rsidP="00B14290">
            <w:pPr>
              <w:pStyle w:val="TableText0"/>
              <w:jc w:val="center"/>
            </w:pPr>
            <w:r w:rsidRPr="0002798F">
              <w:t>152</w:t>
            </w:r>
          </w:p>
        </w:tc>
        <w:tc>
          <w:tcPr>
            <w:tcW w:w="731" w:type="dxa"/>
            <w:vAlign w:val="center"/>
          </w:tcPr>
          <w:p w14:paraId="5E58A60A" w14:textId="77777777" w:rsidR="00CE273F" w:rsidRPr="0002798F" w:rsidRDefault="00CE273F" w:rsidP="00B14290">
            <w:pPr>
              <w:pStyle w:val="TableText0"/>
              <w:jc w:val="center"/>
              <w:rPr>
                <w:i/>
                <w:iCs/>
              </w:rPr>
            </w:pPr>
            <w:r w:rsidRPr="0002798F">
              <w:rPr>
                <w:szCs w:val="20"/>
              </w:rPr>
              <w:t>62.62 (14.557)</w:t>
            </w:r>
          </w:p>
        </w:tc>
        <w:tc>
          <w:tcPr>
            <w:tcW w:w="858" w:type="dxa"/>
            <w:vAlign w:val="center"/>
          </w:tcPr>
          <w:p w14:paraId="09E6BDF4" w14:textId="77777777" w:rsidR="00CE273F" w:rsidRPr="0002798F" w:rsidRDefault="00CE273F" w:rsidP="00B14290">
            <w:pPr>
              <w:pStyle w:val="TableText0"/>
              <w:jc w:val="center"/>
            </w:pPr>
            <w:r w:rsidRPr="0002798F">
              <w:t>Not reported</w:t>
            </w:r>
          </w:p>
        </w:tc>
        <w:tc>
          <w:tcPr>
            <w:tcW w:w="777" w:type="dxa"/>
            <w:vAlign w:val="center"/>
          </w:tcPr>
          <w:p w14:paraId="7411F7D4" w14:textId="77777777" w:rsidR="00CE273F" w:rsidRPr="0002798F" w:rsidRDefault="00CE273F" w:rsidP="00B14290">
            <w:pPr>
              <w:pStyle w:val="TableText0"/>
              <w:jc w:val="center"/>
            </w:pPr>
            <w:r w:rsidRPr="0002798F">
              <w:rPr>
                <w:szCs w:val="20"/>
              </w:rPr>
              <w:t>-17.93 (22.686)</w:t>
            </w:r>
          </w:p>
        </w:tc>
        <w:tc>
          <w:tcPr>
            <w:tcW w:w="330" w:type="dxa"/>
            <w:vAlign w:val="center"/>
          </w:tcPr>
          <w:p w14:paraId="705D7713" w14:textId="77777777" w:rsidR="00CE273F" w:rsidRPr="0002798F" w:rsidRDefault="00CE273F" w:rsidP="00B14290">
            <w:pPr>
              <w:pStyle w:val="TableText0"/>
            </w:pPr>
            <w:r w:rsidRPr="0002798F">
              <w:t>152</w:t>
            </w:r>
          </w:p>
        </w:tc>
        <w:tc>
          <w:tcPr>
            <w:tcW w:w="731" w:type="dxa"/>
            <w:vAlign w:val="center"/>
          </w:tcPr>
          <w:p w14:paraId="4CAE05DE" w14:textId="77777777" w:rsidR="00CE273F" w:rsidRPr="0002798F" w:rsidRDefault="00CE273F" w:rsidP="00B14290">
            <w:pPr>
              <w:pStyle w:val="TableText0"/>
            </w:pPr>
            <w:r w:rsidRPr="0002798F">
              <w:t>61.49 (14.337)</w:t>
            </w:r>
          </w:p>
        </w:tc>
        <w:tc>
          <w:tcPr>
            <w:tcW w:w="729" w:type="dxa"/>
            <w:vAlign w:val="center"/>
          </w:tcPr>
          <w:p w14:paraId="4B23FA20" w14:textId="77777777" w:rsidR="00CE273F" w:rsidRPr="0002798F" w:rsidRDefault="00CE273F" w:rsidP="00B14290">
            <w:pPr>
              <w:pStyle w:val="TableText0"/>
              <w:jc w:val="center"/>
            </w:pPr>
            <w:r w:rsidRPr="0002798F">
              <w:t>Not reported</w:t>
            </w:r>
          </w:p>
        </w:tc>
        <w:tc>
          <w:tcPr>
            <w:tcW w:w="845" w:type="dxa"/>
            <w:vAlign w:val="center"/>
          </w:tcPr>
          <w:p w14:paraId="3E3F8DB8" w14:textId="77777777" w:rsidR="00CE273F" w:rsidRPr="0002798F" w:rsidRDefault="00CE273F" w:rsidP="00B14290">
            <w:pPr>
              <w:pStyle w:val="TableText0"/>
              <w:jc w:val="center"/>
            </w:pPr>
            <w:r w:rsidRPr="0002798F">
              <w:rPr>
                <w:szCs w:val="20"/>
              </w:rPr>
              <w:t>-18.40 (23.021)</w:t>
            </w:r>
          </w:p>
        </w:tc>
        <w:tc>
          <w:tcPr>
            <w:tcW w:w="1010" w:type="dxa"/>
            <w:vAlign w:val="center"/>
          </w:tcPr>
          <w:p w14:paraId="272C9B7F" w14:textId="77777777" w:rsidR="00CE273F" w:rsidRPr="0002798F" w:rsidRDefault="00CE273F" w:rsidP="00B14290">
            <w:pPr>
              <w:pStyle w:val="TableText0"/>
              <w:jc w:val="center"/>
            </w:pPr>
            <w:r w:rsidRPr="0002798F">
              <w:rPr>
                <w:szCs w:val="20"/>
              </w:rPr>
              <w:t xml:space="preserve">0.74 (-4.33, 5.80); </w:t>
            </w:r>
          </w:p>
        </w:tc>
        <w:tc>
          <w:tcPr>
            <w:tcW w:w="0" w:type="auto"/>
            <w:vAlign w:val="center"/>
          </w:tcPr>
          <w:p w14:paraId="75560DD5" w14:textId="77777777" w:rsidR="00CE273F" w:rsidRPr="0002798F" w:rsidRDefault="00CE273F" w:rsidP="00B14290">
            <w:pPr>
              <w:pStyle w:val="TableText0"/>
            </w:pPr>
            <w:r w:rsidRPr="0002798F">
              <w:rPr>
                <w:szCs w:val="20"/>
              </w:rPr>
              <w:t>p=0.7755</w:t>
            </w:r>
          </w:p>
        </w:tc>
      </w:tr>
      <w:tr w:rsidR="00CE273F" w:rsidRPr="0002798F" w14:paraId="550F3593" w14:textId="77777777" w:rsidTr="001811EC">
        <w:trPr>
          <w:trHeight w:val="726"/>
        </w:trPr>
        <w:tc>
          <w:tcPr>
            <w:tcW w:w="945" w:type="dxa"/>
            <w:vAlign w:val="center"/>
          </w:tcPr>
          <w:p w14:paraId="7E2F9483" w14:textId="77777777" w:rsidR="00CE273F" w:rsidRPr="0002798F" w:rsidRDefault="00CE273F" w:rsidP="00B14290">
            <w:pPr>
              <w:pStyle w:val="TableText0"/>
            </w:pPr>
            <w:r w:rsidRPr="0002798F">
              <w:t>STUDY 2016</w:t>
            </w:r>
          </w:p>
        </w:tc>
        <w:tc>
          <w:tcPr>
            <w:tcW w:w="913" w:type="dxa"/>
            <w:vAlign w:val="center"/>
          </w:tcPr>
          <w:p w14:paraId="02617143" w14:textId="621668CC" w:rsidR="00CE273F" w:rsidRPr="0002798F" w:rsidRDefault="007F4CA7" w:rsidP="00B14290">
            <w:pPr>
              <w:pStyle w:val="TableText0"/>
              <w:jc w:val="center"/>
            </w:pPr>
            <w:r>
              <w:t>S</w:t>
            </w:r>
            <w:r w:rsidR="00CE273F" w:rsidRPr="0002798F">
              <w:t>econdary</w:t>
            </w:r>
          </w:p>
        </w:tc>
        <w:tc>
          <w:tcPr>
            <w:tcW w:w="330" w:type="dxa"/>
            <w:vAlign w:val="center"/>
          </w:tcPr>
          <w:p w14:paraId="6F42C62B" w14:textId="77777777" w:rsidR="00CE273F" w:rsidRPr="0002798F" w:rsidRDefault="00CE273F" w:rsidP="00B14290">
            <w:pPr>
              <w:pStyle w:val="TableText0"/>
              <w:jc w:val="center"/>
            </w:pPr>
            <w:r w:rsidRPr="0002798F">
              <w:t>371</w:t>
            </w:r>
          </w:p>
        </w:tc>
        <w:tc>
          <w:tcPr>
            <w:tcW w:w="731" w:type="dxa"/>
            <w:vAlign w:val="center"/>
          </w:tcPr>
          <w:p w14:paraId="6FB94D9E" w14:textId="77777777" w:rsidR="00CE273F" w:rsidRPr="0002798F" w:rsidRDefault="00CE273F" w:rsidP="00B14290">
            <w:pPr>
              <w:pStyle w:val="TableText0"/>
              <w:jc w:val="center"/>
            </w:pPr>
            <w:r w:rsidRPr="0002798F">
              <w:t xml:space="preserve">63.1 (15.71) </w:t>
            </w:r>
          </w:p>
        </w:tc>
        <w:tc>
          <w:tcPr>
            <w:tcW w:w="858" w:type="dxa"/>
            <w:vAlign w:val="center"/>
          </w:tcPr>
          <w:p w14:paraId="32E389D4" w14:textId="77777777" w:rsidR="00CE273F" w:rsidRPr="0002798F" w:rsidRDefault="00CE273F" w:rsidP="00B14290">
            <w:pPr>
              <w:pStyle w:val="TableText0"/>
              <w:jc w:val="center"/>
            </w:pPr>
            <w:r w:rsidRPr="0002798F">
              <w:t>Not reported</w:t>
            </w:r>
          </w:p>
        </w:tc>
        <w:tc>
          <w:tcPr>
            <w:tcW w:w="777" w:type="dxa"/>
            <w:vAlign w:val="center"/>
          </w:tcPr>
          <w:p w14:paraId="5E2B655A" w14:textId="77777777" w:rsidR="00CE273F" w:rsidRPr="0002798F" w:rsidRDefault="00CE273F" w:rsidP="00B14290">
            <w:pPr>
              <w:pStyle w:val="TableText0"/>
              <w:jc w:val="center"/>
            </w:pPr>
            <w:r w:rsidRPr="0002798F">
              <w:t>-18.8 (24.08)</w:t>
            </w:r>
          </w:p>
        </w:tc>
        <w:tc>
          <w:tcPr>
            <w:tcW w:w="330" w:type="dxa"/>
            <w:vAlign w:val="center"/>
          </w:tcPr>
          <w:p w14:paraId="41DC17A5" w14:textId="77777777" w:rsidR="00CE273F" w:rsidRPr="0002798F" w:rsidRDefault="00CE273F" w:rsidP="00B14290">
            <w:pPr>
              <w:pStyle w:val="TableText0"/>
            </w:pPr>
            <w:r w:rsidRPr="0002798F">
              <w:t>373</w:t>
            </w:r>
          </w:p>
        </w:tc>
        <w:tc>
          <w:tcPr>
            <w:tcW w:w="731" w:type="dxa"/>
            <w:vAlign w:val="center"/>
          </w:tcPr>
          <w:p w14:paraId="3383E8A3" w14:textId="77777777" w:rsidR="00CE273F" w:rsidRPr="0002798F" w:rsidRDefault="00CE273F" w:rsidP="00B14290">
            <w:pPr>
              <w:pStyle w:val="TableText0"/>
              <w:jc w:val="center"/>
            </w:pPr>
            <w:r w:rsidRPr="0002798F">
              <w:t>62.2 (16.12)</w:t>
            </w:r>
          </w:p>
        </w:tc>
        <w:tc>
          <w:tcPr>
            <w:tcW w:w="729" w:type="dxa"/>
            <w:vAlign w:val="center"/>
          </w:tcPr>
          <w:p w14:paraId="66808AEE" w14:textId="77777777" w:rsidR="00CE273F" w:rsidRPr="0002798F" w:rsidRDefault="00CE273F" w:rsidP="00B14290">
            <w:pPr>
              <w:pStyle w:val="TableText0"/>
              <w:jc w:val="center"/>
            </w:pPr>
            <w:r w:rsidRPr="0002798F">
              <w:t>Not reported</w:t>
            </w:r>
          </w:p>
        </w:tc>
        <w:tc>
          <w:tcPr>
            <w:tcW w:w="845" w:type="dxa"/>
            <w:vAlign w:val="center"/>
          </w:tcPr>
          <w:p w14:paraId="6C5EC4DE" w14:textId="77777777" w:rsidR="00CE273F" w:rsidRPr="0002798F" w:rsidRDefault="00CE273F" w:rsidP="00B14290">
            <w:pPr>
              <w:pStyle w:val="TableText0"/>
              <w:jc w:val="center"/>
            </w:pPr>
            <w:r w:rsidRPr="0002798F">
              <w:t>-19.1 (23.14)</w:t>
            </w:r>
          </w:p>
        </w:tc>
        <w:tc>
          <w:tcPr>
            <w:tcW w:w="1010" w:type="dxa"/>
            <w:vAlign w:val="center"/>
          </w:tcPr>
          <w:p w14:paraId="0AB374E2" w14:textId="77777777" w:rsidR="00CE273F" w:rsidRPr="0002798F" w:rsidRDefault="00CE273F" w:rsidP="00B14290">
            <w:pPr>
              <w:pStyle w:val="TableText0"/>
            </w:pPr>
            <w:r w:rsidRPr="0002798F">
              <w:t>-0.05 (-2.9, 4.0)</w:t>
            </w:r>
          </w:p>
        </w:tc>
        <w:tc>
          <w:tcPr>
            <w:tcW w:w="0" w:type="auto"/>
            <w:vAlign w:val="center"/>
          </w:tcPr>
          <w:p w14:paraId="2197BBE0" w14:textId="77777777" w:rsidR="00CE273F" w:rsidRPr="0002798F" w:rsidRDefault="00CE273F" w:rsidP="00B14290">
            <w:pPr>
              <w:pStyle w:val="TableText0"/>
              <w:jc w:val="center"/>
            </w:pPr>
            <w:r w:rsidRPr="0002798F">
              <w:rPr>
                <w:szCs w:val="20"/>
              </w:rPr>
              <w:t>p=0.7528</w:t>
            </w:r>
          </w:p>
        </w:tc>
      </w:tr>
    </w:tbl>
    <w:p w14:paraId="65245144" w14:textId="56B940A4" w:rsidR="002303D6" w:rsidRPr="0002798F" w:rsidRDefault="00CE273F" w:rsidP="00804738">
      <w:pPr>
        <w:pStyle w:val="TableFigureFooter"/>
      </w:pPr>
      <w:r w:rsidRPr="0002798F">
        <w:t>Source: compiled from Table 2.5.2, p 82 and Table 2.5.5 pp 87-88 of the submission.</w:t>
      </w:r>
    </w:p>
    <w:p w14:paraId="05CCFF4F" w14:textId="000A9B36" w:rsidR="007335BB" w:rsidRDefault="002303D6" w:rsidP="00805653">
      <w:pPr>
        <w:pStyle w:val="3-BodyText"/>
      </w:pPr>
      <w:r w:rsidRPr="0002798F">
        <w:t>The results</w:t>
      </w:r>
      <w:r w:rsidR="000864CE">
        <w:t xml:space="preserve"> of the</w:t>
      </w:r>
      <w:r w:rsidRPr="0002798F">
        <w:t xml:space="preserve"> SANSIKA and SICCANOVE</w:t>
      </w:r>
      <w:r w:rsidR="000864CE">
        <w:t xml:space="preserve"> </w:t>
      </w:r>
      <w:r w:rsidRPr="0002798F">
        <w:t xml:space="preserve">trials are presented below </w:t>
      </w:r>
      <w:r w:rsidR="007D59A7">
        <w:t>from</w:t>
      </w:r>
      <w:r w:rsidR="000864CE" w:rsidRPr="0002798F">
        <w:t xml:space="preserve"> </w:t>
      </w:r>
      <w:r w:rsidRPr="0002798F">
        <w:t>the</w:t>
      </w:r>
      <w:r w:rsidR="0002046F" w:rsidRPr="0002798F">
        <w:t xml:space="preserve"> March 2021 ciclosporin PSD</w:t>
      </w:r>
      <w:r w:rsidRPr="0002798F">
        <w:t>.</w:t>
      </w:r>
    </w:p>
    <w:p w14:paraId="552D7B53" w14:textId="118C4D6A" w:rsidR="001811EC" w:rsidRDefault="001811EC" w:rsidP="001811EC">
      <w:pPr>
        <w:pStyle w:val="TableFigureHeading"/>
      </w:pPr>
      <w:r>
        <w:lastRenderedPageBreak/>
        <w:t xml:space="preserve">Table </w:t>
      </w:r>
      <w:fldSimple w:instr=" SEQ Table \* ARABIC ">
        <w:r>
          <w:rPr>
            <w:noProof/>
          </w:rPr>
          <w:t>7</w:t>
        </w:r>
      </w:fldSimple>
      <w:r w:rsidRPr="00AD6E4C">
        <w:t xml:space="preserve">: Results of mean change in CFS assessed by the Oxford Scale from baseline to 6 months across the 0.1% </w:t>
      </w:r>
      <w:proofErr w:type="spellStart"/>
      <w:r w:rsidRPr="00AD6E4C">
        <w:t>CsA</w:t>
      </w:r>
      <w:proofErr w:type="spellEnd"/>
      <w:r w:rsidRPr="00AD6E4C">
        <w:t xml:space="preserve"> CE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Results of mean change in CFS assessed by the Oxford Scale from baseline to 6 months across the 0.1% CsA CE studies"/>
        <w:tblDescription w:val="Table 7: Results of mean change in CFS assessed by the Oxford Scale from baseline to 6 months across the 0.1% CsA CE studies"/>
      </w:tblPr>
      <w:tblGrid>
        <w:gridCol w:w="1109"/>
        <w:gridCol w:w="962"/>
        <w:gridCol w:w="330"/>
        <w:gridCol w:w="789"/>
        <w:gridCol w:w="631"/>
        <w:gridCol w:w="830"/>
        <w:gridCol w:w="330"/>
        <w:gridCol w:w="822"/>
        <w:gridCol w:w="631"/>
        <w:gridCol w:w="932"/>
        <w:gridCol w:w="1093"/>
        <w:gridCol w:w="558"/>
      </w:tblGrid>
      <w:tr w:rsidR="002303D6" w:rsidRPr="0002798F" w14:paraId="076A9F10" w14:textId="77777777" w:rsidTr="00B14290">
        <w:trPr>
          <w:trHeight w:val="726"/>
          <w:tblHeader/>
        </w:trPr>
        <w:tc>
          <w:tcPr>
            <w:tcW w:w="1109" w:type="dxa"/>
            <w:vMerge w:val="restart"/>
            <w:vAlign w:val="center"/>
          </w:tcPr>
          <w:p w14:paraId="063DD749" w14:textId="77777777" w:rsidR="002303D6" w:rsidRPr="0002798F" w:rsidRDefault="002303D6" w:rsidP="00B14290">
            <w:pPr>
              <w:pStyle w:val="In-tableHeading"/>
              <w:rPr>
                <w:lang w:val="en-AU"/>
              </w:rPr>
            </w:pPr>
            <w:r w:rsidRPr="0002798F">
              <w:rPr>
                <w:lang w:val="en-AU"/>
              </w:rPr>
              <w:t xml:space="preserve">Trial </w:t>
            </w:r>
          </w:p>
        </w:tc>
        <w:tc>
          <w:tcPr>
            <w:tcW w:w="962" w:type="dxa"/>
            <w:vMerge w:val="restart"/>
            <w:vAlign w:val="center"/>
          </w:tcPr>
          <w:p w14:paraId="0D78AEE4" w14:textId="77777777" w:rsidR="002303D6" w:rsidRPr="0002798F" w:rsidRDefault="002303D6" w:rsidP="00B14290">
            <w:pPr>
              <w:pStyle w:val="In-tableHeading"/>
              <w:jc w:val="center"/>
              <w:rPr>
                <w:iCs/>
                <w:lang w:val="en-AU"/>
              </w:rPr>
            </w:pPr>
            <w:r w:rsidRPr="0002798F">
              <w:rPr>
                <w:iCs/>
                <w:lang w:val="en-AU"/>
              </w:rPr>
              <w:t>Endpoint</w:t>
            </w:r>
          </w:p>
        </w:tc>
        <w:tc>
          <w:tcPr>
            <w:tcW w:w="2580" w:type="dxa"/>
            <w:gridSpan w:val="4"/>
          </w:tcPr>
          <w:p w14:paraId="69DA0A1D" w14:textId="607FD7AF" w:rsidR="002303D6" w:rsidRPr="0002798F" w:rsidRDefault="00873846" w:rsidP="00B14290">
            <w:pPr>
              <w:pStyle w:val="In-tableHeading"/>
              <w:jc w:val="center"/>
              <w:rPr>
                <w:iCs/>
                <w:lang w:val="en-AU"/>
              </w:rPr>
            </w:pPr>
            <w:r>
              <w:rPr>
                <w:iCs/>
                <w:lang w:val="en-AU"/>
              </w:rPr>
              <w:t xml:space="preserve">0.1% </w:t>
            </w:r>
            <w:proofErr w:type="spellStart"/>
            <w:r>
              <w:rPr>
                <w:iCs/>
                <w:lang w:val="en-AU"/>
              </w:rPr>
              <w:t>CsA</w:t>
            </w:r>
            <w:proofErr w:type="spellEnd"/>
            <w:r>
              <w:rPr>
                <w:iCs/>
                <w:lang w:val="en-AU"/>
              </w:rPr>
              <w:t xml:space="preserve"> CE</w:t>
            </w:r>
            <w:r w:rsidR="002303D6" w:rsidRPr="0002798F">
              <w:rPr>
                <w:iCs/>
                <w:lang w:val="en-AU"/>
              </w:rPr>
              <w:t>,</w:t>
            </w:r>
          </w:p>
          <w:p w14:paraId="6CC2D798" w14:textId="77777777" w:rsidR="002303D6" w:rsidRPr="0002798F" w:rsidRDefault="002303D6" w:rsidP="00B14290">
            <w:pPr>
              <w:pStyle w:val="In-tableHeading"/>
              <w:jc w:val="center"/>
              <w:rPr>
                <w:lang w:val="en-AU"/>
              </w:rPr>
            </w:pPr>
            <w:r w:rsidRPr="0002798F">
              <w:rPr>
                <w:bCs/>
                <w:lang w:val="en-AU"/>
              </w:rPr>
              <w:t xml:space="preserve">Mean (SD) </w:t>
            </w:r>
            <w:r w:rsidRPr="0002798F">
              <w:rPr>
                <w:bCs/>
                <w:lang w:val="en-AU"/>
              </w:rPr>
              <w:br/>
              <w:t>OR adjusted mean (95% CI)</w:t>
            </w:r>
          </w:p>
        </w:tc>
        <w:tc>
          <w:tcPr>
            <w:tcW w:w="2715" w:type="dxa"/>
            <w:gridSpan w:val="4"/>
          </w:tcPr>
          <w:p w14:paraId="09D5D2FD" w14:textId="77777777" w:rsidR="002303D6" w:rsidRPr="0002798F" w:rsidRDefault="002303D6" w:rsidP="00B14290">
            <w:pPr>
              <w:pStyle w:val="In-tableHeading"/>
              <w:jc w:val="center"/>
              <w:rPr>
                <w:lang w:val="en-AU"/>
              </w:rPr>
            </w:pPr>
            <w:r w:rsidRPr="0002798F">
              <w:rPr>
                <w:lang w:val="en-AU"/>
              </w:rPr>
              <w:t>Vehicle,</w:t>
            </w:r>
          </w:p>
          <w:p w14:paraId="6B0BF59F" w14:textId="77777777" w:rsidR="002303D6" w:rsidRPr="0002798F" w:rsidRDefault="002303D6" w:rsidP="00B14290">
            <w:pPr>
              <w:pStyle w:val="In-tableHeading"/>
              <w:jc w:val="center"/>
              <w:rPr>
                <w:lang w:val="en-AU"/>
              </w:rPr>
            </w:pPr>
            <w:r w:rsidRPr="0002798F">
              <w:rPr>
                <w:bCs/>
                <w:lang w:val="en-AU"/>
              </w:rPr>
              <w:t xml:space="preserve">Mean (SD) </w:t>
            </w:r>
            <w:r w:rsidRPr="0002798F">
              <w:rPr>
                <w:bCs/>
                <w:lang w:val="en-AU"/>
              </w:rPr>
              <w:br/>
              <w:t>OR adjusted mean (95% CI)</w:t>
            </w:r>
          </w:p>
        </w:tc>
        <w:tc>
          <w:tcPr>
            <w:tcW w:w="1093" w:type="dxa"/>
            <w:vMerge w:val="restart"/>
            <w:vAlign w:val="center"/>
          </w:tcPr>
          <w:p w14:paraId="44DABA11" w14:textId="77777777" w:rsidR="002303D6" w:rsidRPr="0002798F" w:rsidRDefault="002303D6" w:rsidP="00B14290">
            <w:pPr>
              <w:pStyle w:val="In-tableHeading"/>
              <w:jc w:val="center"/>
              <w:rPr>
                <w:lang w:val="en-AU"/>
              </w:rPr>
            </w:pPr>
            <w:r w:rsidRPr="0002798F">
              <w:rPr>
                <w:iCs/>
                <w:lang w:val="en-AU"/>
              </w:rPr>
              <w:t>Mean difference (95% CI)</w:t>
            </w:r>
          </w:p>
        </w:tc>
        <w:tc>
          <w:tcPr>
            <w:tcW w:w="0" w:type="auto"/>
            <w:vMerge w:val="restart"/>
            <w:vAlign w:val="center"/>
          </w:tcPr>
          <w:p w14:paraId="1620E7D5" w14:textId="77777777" w:rsidR="002303D6" w:rsidRPr="0002798F" w:rsidRDefault="002303D6" w:rsidP="00B14290">
            <w:pPr>
              <w:pStyle w:val="In-tableHeading"/>
              <w:jc w:val="center"/>
              <w:rPr>
                <w:lang w:val="en-AU"/>
              </w:rPr>
            </w:pPr>
            <w:r w:rsidRPr="0002798F">
              <w:rPr>
                <w:iCs/>
                <w:lang w:val="en-AU"/>
              </w:rPr>
              <w:t>p-value</w:t>
            </w:r>
          </w:p>
        </w:tc>
      </w:tr>
      <w:tr w:rsidR="002303D6" w:rsidRPr="0002798F" w14:paraId="5BDC0CFD" w14:textId="77777777" w:rsidTr="00B14290">
        <w:trPr>
          <w:trHeight w:val="246"/>
        </w:trPr>
        <w:tc>
          <w:tcPr>
            <w:tcW w:w="1109" w:type="dxa"/>
            <w:vMerge/>
            <w:vAlign w:val="center"/>
          </w:tcPr>
          <w:p w14:paraId="2064E3A2" w14:textId="77777777" w:rsidR="002303D6" w:rsidRPr="0002798F" w:rsidRDefault="002303D6" w:rsidP="00B14290">
            <w:pPr>
              <w:pStyle w:val="TableText0"/>
            </w:pPr>
          </w:p>
        </w:tc>
        <w:tc>
          <w:tcPr>
            <w:tcW w:w="962" w:type="dxa"/>
            <w:vMerge/>
          </w:tcPr>
          <w:p w14:paraId="597D87E1" w14:textId="77777777" w:rsidR="002303D6" w:rsidRPr="0002798F" w:rsidRDefault="002303D6" w:rsidP="00B14290">
            <w:pPr>
              <w:pStyle w:val="TableText0"/>
              <w:jc w:val="center"/>
            </w:pPr>
          </w:p>
        </w:tc>
        <w:tc>
          <w:tcPr>
            <w:tcW w:w="330" w:type="dxa"/>
            <w:vAlign w:val="center"/>
          </w:tcPr>
          <w:p w14:paraId="3FD2AE43" w14:textId="77777777" w:rsidR="002303D6" w:rsidRPr="0002798F" w:rsidRDefault="002303D6" w:rsidP="00B14290">
            <w:pPr>
              <w:pStyle w:val="TableText0"/>
              <w:jc w:val="center"/>
              <w:rPr>
                <w:b/>
              </w:rPr>
            </w:pPr>
            <w:r w:rsidRPr="0002798F">
              <w:rPr>
                <w:b/>
              </w:rPr>
              <w:t>N</w:t>
            </w:r>
          </w:p>
        </w:tc>
        <w:tc>
          <w:tcPr>
            <w:tcW w:w="789" w:type="dxa"/>
            <w:vAlign w:val="center"/>
          </w:tcPr>
          <w:p w14:paraId="10740CEB" w14:textId="77777777" w:rsidR="002303D6" w:rsidRPr="0002798F" w:rsidRDefault="002303D6" w:rsidP="00B14290">
            <w:pPr>
              <w:pStyle w:val="TableText0"/>
              <w:jc w:val="center"/>
              <w:rPr>
                <w:b/>
              </w:rPr>
            </w:pPr>
            <w:r w:rsidRPr="0002798F">
              <w:rPr>
                <w:b/>
              </w:rPr>
              <w:t>Baseline</w:t>
            </w:r>
          </w:p>
        </w:tc>
        <w:tc>
          <w:tcPr>
            <w:tcW w:w="631" w:type="dxa"/>
            <w:vAlign w:val="center"/>
          </w:tcPr>
          <w:p w14:paraId="4F205F46" w14:textId="77777777" w:rsidR="002303D6" w:rsidRPr="0002798F" w:rsidRDefault="002303D6" w:rsidP="00B14290">
            <w:pPr>
              <w:pStyle w:val="TableText0"/>
              <w:jc w:val="center"/>
              <w:rPr>
                <w:b/>
              </w:rPr>
            </w:pPr>
            <w:r w:rsidRPr="0002798F">
              <w:rPr>
                <w:b/>
              </w:rPr>
              <w:t>Follow-up</w:t>
            </w:r>
          </w:p>
        </w:tc>
        <w:tc>
          <w:tcPr>
            <w:tcW w:w="830" w:type="dxa"/>
            <w:vAlign w:val="center"/>
          </w:tcPr>
          <w:p w14:paraId="27F3DA58" w14:textId="77777777" w:rsidR="002303D6" w:rsidRPr="0002798F" w:rsidRDefault="002303D6" w:rsidP="00B14290">
            <w:pPr>
              <w:pStyle w:val="TableText0"/>
              <w:jc w:val="center"/>
              <w:rPr>
                <w:b/>
              </w:rPr>
            </w:pPr>
            <w:r w:rsidRPr="0002798F">
              <w:rPr>
                <w:b/>
              </w:rPr>
              <w:t>Change</w:t>
            </w:r>
          </w:p>
        </w:tc>
        <w:tc>
          <w:tcPr>
            <w:tcW w:w="330" w:type="dxa"/>
            <w:vAlign w:val="center"/>
          </w:tcPr>
          <w:p w14:paraId="510C3A9C" w14:textId="77777777" w:rsidR="002303D6" w:rsidRPr="0002798F" w:rsidRDefault="002303D6" w:rsidP="00B14290">
            <w:pPr>
              <w:pStyle w:val="TableText0"/>
              <w:jc w:val="center"/>
              <w:rPr>
                <w:b/>
              </w:rPr>
            </w:pPr>
            <w:r w:rsidRPr="0002798F">
              <w:rPr>
                <w:b/>
              </w:rPr>
              <w:t>N</w:t>
            </w:r>
          </w:p>
        </w:tc>
        <w:tc>
          <w:tcPr>
            <w:tcW w:w="822" w:type="dxa"/>
            <w:vAlign w:val="center"/>
          </w:tcPr>
          <w:p w14:paraId="5D3147F0" w14:textId="77777777" w:rsidR="002303D6" w:rsidRPr="0002798F" w:rsidRDefault="002303D6" w:rsidP="00B14290">
            <w:pPr>
              <w:pStyle w:val="TableText0"/>
              <w:jc w:val="center"/>
              <w:rPr>
                <w:b/>
              </w:rPr>
            </w:pPr>
            <w:r w:rsidRPr="0002798F">
              <w:rPr>
                <w:b/>
              </w:rPr>
              <w:t>Baseline</w:t>
            </w:r>
          </w:p>
        </w:tc>
        <w:tc>
          <w:tcPr>
            <w:tcW w:w="631" w:type="dxa"/>
            <w:vAlign w:val="center"/>
          </w:tcPr>
          <w:p w14:paraId="46A1B727" w14:textId="77777777" w:rsidR="002303D6" w:rsidRPr="0002798F" w:rsidRDefault="002303D6" w:rsidP="00B14290">
            <w:pPr>
              <w:pStyle w:val="TableText0"/>
              <w:jc w:val="center"/>
              <w:rPr>
                <w:b/>
              </w:rPr>
            </w:pPr>
            <w:r w:rsidRPr="0002798F">
              <w:rPr>
                <w:b/>
              </w:rPr>
              <w:t>Follow-up</w:t>
            </w:r>
          </w:p>
        </w:tc>
        <w:tc>
          <w:tcPr>
            <w:tcW w:w="932" w:type="dxa"/>
            <w:vAlign w:val="center"/>
          </w:tcPr>
          <w:p w14:paraId="44FC1B66" w14:textId="77777777" w:rsidR="002303D6" w:rsidRPr="0002798F" w:rsidRDefault="002303D6" w:rsidP="00B14290">
            <w:pPr>
              <w:pStyle w:val="TableText0"/>
              <w:jc w:val="center"/>
              <w:rPr>
                <w:b/>
              </w:rPr>
            </w:pPr>
            <w:r w:rsidRPr="0002798F">
              <w:rPr>
                <w:b/>
              </w:rPr>
              <w:t>Change</w:t>
            </w:r>
          </w:p>
        </w:tc>
        <w:tc>
          <w:tcPr>
            <w:tcW w:w="1093" w:type="dxa"/>
            <w:vMerge/>
            <w:vAlign w:val="center"/>
          </w:tcPr>
          <w:p w14:paraId="16B3F5CB" w14:textId="77777777" w:rsidR="002303D6" w:rsidRPr="0002798F" w:rsidRDefault="002303D6" w:rsidP="00B14290">
            <w:pPr>
              <w:pStyle w:val="TableText0"/>
              <w:jc w:val="center"/>
            </w:pPr>
          </w:p>
        </w:tc>
        <w:tc>
          <w:tcPr>
            <w:tcW w:w="0" w:type="auto"/>
            <w:vMerge/>
            <w:vAlign w:val="center"/>
          </w:tcPr>
          <w:p w14:paraId="10E92924" w14:textId="77777777" w:rsidR="002303D6" w:rsidRPr="0002798F" w:rsidRDefault="002303D6" w:rsidP="00B14290">
            <w:pPr>
              <w:pStyle w:val="TableText0"/>
              <w:jc w:val="center"/>
            </w:pPr>
          </w:p>
        </w:tc>
      </w:tr>
      <w:tr w:rsidR="002303D6" w:rsidRPr="0002798F" w14:paraId="0F5BACD9" w14:textId="77777777" w:rsidTr="00B14290">
        <w:trPr>
          <w:trHeight w:val="234"/>
        </w:trPr>
        <w:tc>
          <w:tcPr>
            <w:tcW w:w="0" w:type="auto"/>
            <w:gridSpan w:val="12"/>
            <w:shd w:val="clear" w:color="auto" w:fill="auto"/>
          </w:tcPr>
          <w:p w14:paraId="23EB279E" w14:textId="77777777" w:rsidR="002303D6" w:rsidRPr="0002798F" w:rsidRDefault="002303D6" w:rsidP="00B14290">
            <w:pPr>
              <w:pStyle w:val="TableText0"/>
            </w:pPr>
            <w:r w:rsidRPr="0002798F">
              <w:rPr>
                <w:b/>
              </w:rPr>
              <w:t>Total population</w:t>
            </w:r>
          </w:p>
        </w:tc>
      </w:tr>
      <w:tr w:rsidR="002303D6" w:rsidRPr="0002798F" w14:paraId="4F687ECE" w14:textId="77777777" w:rsidTr="00B14290">
        <w:trPr>
          <w:trHeight w:val="726"/>
        </w:trPr>
        <w:tc>
          <w:tcPr>
            <w:tcW w:w="1109" w:type="dxa"/>
            <w:vAlign w:val="center"/>
          </w:tcPr>
          <w:p w14:paraId="4B02A925" w14:textId="77777777" w:rsidR="002303D6" w:rsidRPr="0002798F" w:rsidRDefault="002303D6" w:rsidP="00B14290">
            <w:pPr>
              <w:pStyle w:val="TableText0"/>
            </w:pPr>
            <w:r w:rsidRPr="0002798F">
              <w:t>SANSIKA</w:t>
            </w:r>
          </w:p>
          <w:p w14:paraId="401FBFA4" w14:textId="77777777" w:rsidR="002303D6" w:rsidRPr="0002798F" w:rsidRDefault="002303D6" w:rsidP="00B14290">
            <w:pPr>
              <w:pStyle w:val="TableText0"/>
            </w:pPr>
            <w:r w:rsidRPr="0002798F">
              <w:t>CFS=4 (FAS)</w:t>
            </w:r>
          </w:p>
        </w:tc>
        <w:tc>
          <w:tcPr>
            <w:tcW w:w="962" w:type="dxa"/>
            <w:vAlign w:val="center"/>
          </w:tcPr>
          <w:p w14:paraId="1D07D032" w14:textId="77777777" w:rsidR="002303D6" w:rsidRPr="0002798F" w:rsidRDefault="002303D6" w:rsidP="00B14290">
            <w:pPr>
              <w:pStyle w:val="TableText0"/>
              <w:jc w:val="center"/>
            </w:pPr>
            <w:r w:rsidRPr="0002798F">
              <w:t>Secondary</w:t>
            </w:r>
          </w:p>
        </w:tc>
        <w:tc>
          <w:tcPr>
            <w:tcW w:w="330" w:type="dxa"/>
            <w:vAlign w:val="center"/>
          </w:tcPr>
          <w:p w14:paraId="4FCACAEE" w14:textId="77777777" w:rsidR="002303D6" w:rsidRPr="0002798F" w:rsidRDefault="002303D6" w:rsidP="00B14290">
            <w:pPr>
              <w:pStyle w:val="TableText0"/>
              <w:jc w:val="center"/>
            </w:pPr>
            <w:r w:rsidRPr="0002798F">
              <w:t>154</w:t>
            </w:r>
          </w:p>
        </w:tc>
        <w:tc>
          <w:tcPr>
            <w:tcW w:w="789" w:type="dxa"/>
            <w:vAlign w:val="center"/>
          </w:tcPr>
          <w:p w14:paraId="31D7F237" w14:textId="77777777" w:rsidR="002303D6" w:rsidRPr="0002798F" w:rsidRDefault="002303D6" w:rsidP="00B14290">
            <w:pPr>
              <w:pStyle w:val="TableText0"/>
              <w:jc w:val="center"/>
            </w:pPr>
            <w:r w:rsidRPr="0002798F">
              <w:t>4.00 (0.00)</w:t>
            </w:r>
          </w:p>
        </w:tc>
        <w:tc>
          <w:tcPr>
            <w:tcW w:w="631" w:type="dxa"/>
            <w:vAlign w:val="center"/>
          </w:tcPr>
          <w:p w14:paraId="4473F515" w14:textId="77777777" w:rsidR="002303D6" w:rsidRPr="0002798F" w:rsidRDefault="002303D6" w:rsidP="00B14290">
            <w:pPr>
              <w:pStyle w:val="TableText0"/>
              <w:jc w:val="center"/>
            </w:pPr>
            <w:r w:rsidRPr="0002798F">
              <w:t>2.19 (1.27)</w:t>
            </w:r>
          </w:p>
        </w:tc>
        <w:tc>
          <w:tcPr>
            <w:tcW w:w="830" w:type="dxa"/>
            <w:vAlign w:val="center"/>
          </w:tcPr>
          <w:p w14:paraId="2F8DFCF3" w14:textId="77777777" w:rsidR="002303D6" w:rsidRPr="0002798F" w:rsidRDefault="002303D6" w:rsidP="00B14290">
            <w:pPr>
              <w:pStyle w:val="TableText0"/>
              <w:jc w:val="center"/>
            </w:pPr>
            <w:r w:rsidRPr="0002798F">
              <w:t xml:space="preserve">-1.76 </w:t>
            </w:r>
            <w:r w:rsidRPr="0002798F">
              <w:br/>
              <w:t>(-1.97,</w:t>
            </w:r>
            <w:r w:rsidRPr="0002798F">
              <w:br/>
              <w:t xml:space="preserve"> -1.56)</w:t>
            </w:r>
          </w:p>
        </w:tc>
        <w:tc>
          <w:tcPr>
            <w:tcW w:w="330" w:type="dxa"/>
            <w:vAlign w:val="center"/>
          </w:tcPr>
          <w:p w14:paraId="752DB357" w14:textId="77777777" w:rsidR="002303D6" w:rsidRPr="0002798F" w:rsidRDefault="002303D6" w:rsidP="00B14290">
            <w:pPr>
              <w:pStyle w:val="TableText0"/>
              <w:jc w:val="center"/>
            </w:pPr>
            <w:r w:rsidRPr="0002798F">
              <w:t>91</w:t>
            </w:r>
          </w:p>
        </w:tc>
        <w:tc>
          <w:tcPr>
            <w:tcW w:w="822" w:type="dxa"/>
            <w:vAlign w:val="center"/>
          </w:tcPr>
          <w:p w14:paraId="7546123A" w14:textId="77777777" w:rsidR="002303D6" w:rsidRPr="0002798F" w:rsidRDefault="002303D6" w:rsidP="00B14290">
            <w:pPr>
              <w:pStyle w:val="TableText0"/>
              <w:jc w:val="center"/>
            </w:pPr>
            <w:r w:rsidRPr="0002798F">
              <w:t>4.00 (0.00)</w:t>
            </w:r>
          </w:p>
        </w:tc>
        <w:tc>
          <w:tcPr>
            <w:tcW w:w="631" w:type="dxa"/>
            <w:vAlign w:val="center"/>
          </w:tcPr>
          <w:p w14:paraId="1C364491" w14:textId="77777777" w:rsidR="002303D6" w:rsidRPr="0002798F" w:rsidRDefault="002303D6" w:rsidP="00B14290">
            <w:pPr>
              <w:pStyle w:val="TableText0"/>
              <w:jc w:val="center"/>
            </w:pPr>
            <w:r w:rsidRPr="0002798F">
              <w:t>2.52 (1.08)</w:t>
            </w:r>
          </w:p>
        </w:tc>
        <w:tc>
          <w:tcPr>
            <w:tcW w:w="932" w:type="dxa"/>
            <w:vAlign w:val="center"/>
          </w:tcPr>
          <w:p w14:paraId="68F12E23" w14:textId="77777777" w:rsidR="002303D6" w:rsidRPr="0002798F" w:rsidRDefault="002303D6" w:rsidP="00B14290">
            <w:pPr>
              <w:pStyle w:val="TableText0"/>
              <w:jc w:val="center"/>
            </w:pPr>
            <w:r w:rsidRPr="0002798F">
              <w:t>-1.42</w:t>
            </w:r>
            <w:r w:rsidRPr="0002798F">
              <w:br/>
              <w:t>(-1.68,</w:t>
            </w:r>
            <w:r w:rsidRPr="0002798F">
              <w:br/>
              <w:t xml:space="preserve"> -1.16)</w:t>
            </w:r>
          </w:p>
        </w:tc>
        <w:tc>
          <w:tcPr>
            <w:tcW w:w="1093" w:type="dxa"/>
            <w:vAlign w:val="center"/>
          </w:tcPr>
          <w:p w14:paraId="0783EF27" w14:textId="77777777" w:rsidR="002303D6" w:rsidRPr="0002798F" w:rsidRDefault="002303D6" w:rsidP="00B14290">
            <w:pPr>
              <w:pStyle w:val="TableText0"/>
              <w:jc w:val="center"/>
            </w:pPr>
            <w:r w:rsidRPr="0002798F">
              <w:t>-0.31</w:t>
            </w:r>
            <w:r w:rsidRPr="0002798F">
              <w:br/>
              <w:t>(-0.57, -0.06)</w:t>
            </w:r>
          </w:p>
        </w:tc>
        <w:tc>
          <w:tcPr>
            <w:tcW w:w="0" w:type="auto"/>
            <w:vAlign w:val="center"/>
          </w:tcPr>
          <w:p w14:paraId="6B7A5700" w14:textId="77777777" w:rsidR="002303D6" w:rsidRPr="0002798F" w:rsidRDefault="002303D6" w:rsidP="00B14290">
            <w:pPr>
              <w:pStyle w:val="TableText0"/>
              <w:jc w:val="center"/>
            </w:pPr>
            <w:r w:rsidRPr="0002798F">
              <w:rPr>
                <w:b/>
                <w:bCs w:val="0"/>
              </w:rPr>
              <w:t>0.017</w:t>
            </w:r>
          </w:p>
        </w:tc>
      </w:tr>
      <w:tr w:rsidR="002303D6" w:rsidRPr="0002798F" w14:paraId="21908D53" w14:textId="77777777" w:rsidTr="00B14290">
        <w:trPr>
          <w:trHeight w:val="726"/>
        </w:trPr>
        <w:tc>
          <w:tcPr>
            <w:tcW w:w="1109" w:type="dxa"/>
            <w:vAlign w:val="center"/>
          </w:tcPr>
          <w:p w14:paraId="76D57C93" w14:textId="77777777" w:rsidR="002303D6" w:rsidRPr="0002798F" w:rsidRDefault="002303D6" w:rsidP="00B14290">
            <w:pPr>
              <w:pStyle w:val="TableText0"/>
            </w:pPr>
            <w:r w:rsidRPr="0002798F">
              <w:t>SICCANOVE</w:t>
            </w:r>
          </w:p>
          <w:p w14:paraId="77190823" w14:textId="77777777" w:rsidR="002303D6" w:rsidRPr="0002798F" w:rsidRDefault="002303D6" w:rsidP="00B14290">
            <w:pPr>
              <w:pStyle w:val="TableText0"/>
            </w:pPr>
            <w:r w:rsidRPr="0002798F">
              <w:t>CFS=2-4 (FAS LOCF)</w:t>
            </w:r>
          </w:p>
        </w:tc>
        <w:tc>
          <w:tcPr>
            <w:tcW w:w="962" w:type="dxa"/>
            <w:vAlign w:val="center"/>
          </w:tcPr>
          <w:p w14:paraId="165A26EC" w14:textId="77777777" w:rsidR="002303D6" w:rsidRPr="0002798F" w:rsidRDefault="002303D6" w:rsidP="00B14290">
            <w:pPr>
              <w:pStyle w:val="TableText0"/>
              <w:jc w:val="center"/>
            </w:pPr>
            <w:r w:rsidRPr="0002798F">
              <w:t>Co-primary</w:t>
            </w:r>
          </w:p>
        </w:tc>
        <w:tc>
          <w:tcPr>
            <w:tcW w:w="330" w:type="dxa"/>
            <w:vAlign w:val="center"/>
          </w:tcPr>
          <w:p w14:paraId="1B93D71F" w14:textId="77777777" w:rsidR="002303D6" w:rsidRPr="0002798F" w:rsidRDefault="002303D6" w:rsidP="00B14290">
            <w:pPr>
              <w:pStyle w:val="TableText0"/>
              <w:jc w:val="center"/>
            </w:pPr>
            <w:r w:rsidRPr="0002798F">
              <w:t>241</w:t>
            </w:r>
          </w:p>
        </w:tc>
        <w:tc>
          <w:tcPr>
            <w:tcW w:w="789" w:type="dxa"/>
            <w:vAlign w:val="center"/>
          </w:tcPr>
          <w:p w14:paraId="11B07A42" w14:textId="77777777" w:rsidR="002303D6" w:rsidRPr="0002798F" w:rsidRDefault="002303D6" w:rsidP="00B14290">
            <w:pPr>
              <w:pStyle w:val="TableText0"/>
              <w:jc w:val="center"/>
            </w:pPr>
            <w:r w:rsidRPr="0002798F">
              <w:t>2.83 (0.709)</w:t>
            </w:r>
          </w:p>
        </w:tc>
        <w:tc>
          <w:tcPr>
            <w:tcW w:w="631" w:type="dxa"/>
            <w:vAlign w:val="center"/>
          </w:tcPr>
          <w:p w14:paraId="3A4F0015" w14:textId="77777777" w:rsidR="002303D6" w:rsidRPr="0002798F" w:rsidRDefault="002303D6" w:rsidP="00B14290">
            <w:pPr>
              <w:pStyle w:val="TableText0"/>
              <w:jc w:val="center"/>
            </w:pPr>
            <w:r w:rsidRPr="0002798F">
              <w:t>1.78 (1.065)</w:t>
            </w:r>
          </w:p>
        </w:tc>
        <w:tc>
          <w:tcPr>
            <w:tcW w:w="830" w:type="dxa"/>
            <w:vAlign w:val="center"/>
          </w:tcPr>
          <w:p w14:paraId="03C2F1C3" w14:textId="77777777" w:rsidR="002303D6" w:rsidRPr="0002798F" w:rsidRDefault="002303D6" w:rsidP="00B14290">
            <w:pPr>
              <w:pStyle w:val="TableText0"/>
              <w:jc w:val="center"/>
            </w:pPr>
            <w:r w:rsidRPr="0002798F">
              <w:t>-1.05 (0.983)</w:t>
            </w:r>
          </w:p>
        </w:tc>
        <w:tc>
          <w:tcPr>
            <w:tcW w:w="330" w:type="dxa"/>
            <w:vAlign w:val="center"/>
          </w:tcPr>
          <w:p w14:paraId="68C167EE" w14:textId="77777777" w:rsidR="002303D6" w:rsidRPr="0002798F" w:rsidRDefault="002303D6" w:rsidP="00B14290">
            <w:pPr>
              <w:pStyle w:val="TableText0"/>
              <w:jc w:val="center"/>
            </w:pPr>
            <w:r w:rsidRPr="0002798F">
              <w:t>248</w:t>
            </w:r>
          </w:p>
        </w:tc>
        <w:tc>
          <w:tcPr>
            <w:tcW w:w="822" w:type="dxa"/>
            <w:vAlign w:val="center"/>
          </w:tcPr>
          <w:p w14:paraId="5EBD081A" w14:textId="77777777" w:rsidR="002303D6" w:rsidRPr="0002798F" w:rsidRDefault="002303D6" w:rsidP="00B14290">
            <w:pPr>
              <w:pStyle w:val="TableText0"/>
              <w:jc w:val="center"/>
            </w:pPr>
            <w:r w:rsidRPr="0002798F">
              <w:t>2.80 (0.720)</w:t>
            </w:r>
          </w:p>
        </w:tc>
        <w:tc>
          <w:tcPr>
            <w:tcW w:w="631" w:type="dxa"/>
            <w:vAlign w:val="center"/>
          </w:tcPr>
          <w:p w14:paraId="14ECA3D7" w14:textId="77777777" w:rsidR="002303D6" w:rsidRPr="0002798F" w:rsidRDefault="002303D6" w:rsidP="00B14290">
            <w:pPr>
              <w:pStyle w:val="TableText0"/>
              <w:jc w:val="center"/>
            </w:pPr>
            <w:r w:rsidRPr="0002798F">
              <w:t>1.98 (1.172)</w:t>
            </w:r>
          </w:p>
        </w:tc>
        <w:tc>
          <w:tcPr>
            <w:tcW w:w="932" w:type="dxa"/>
            <w:vAlign w:val="center"/>
          </w:tcPr>
          <w:p w14:paraId="55563324" w14:textId="77777777" w:rsidR="002303D6" w:rsidRPr="0002798F" w:rsidRDefault="002303D6" w:rsidP="00B14290">
            <w:pPr>
              <w:pStyle w:val="TableText0"/>
              <w:jc w:val="center"/>
            </w:pPr>
            <w:r w:rsidRPr="0002798F">
              <w:t>-0.82 (0.937)</w:t>
            </w:r>
          </w:p>
        </w:tc>
        <w:tc>
          <w:tcPr>
            <w:tcW w:w="1093" w:type="dxa"/>
            <w:vAlign w:val="center"/>
          </w:tcPr>
          <w:p w14:paraId="66F4C338" w14:textId="77777777" w:rsidR="002303D6" w:rsidRPr="0002798F" w:rsidRDefault="002303D6" w:rsidP="00B14290">
            <w:pPr>
              <w:pStyle w:val="TableText0"/>
              <w:jc w:val="center"/>
            </w:pPr>
            <w:r w:rsidRPr="0002798F">
              <w:t xml:space="preserve">-0.22 </w:t>
            </w:r>
            <w:r w:rsidRPr="0002798F">
              <w:br/>
              <w:t>(-0.39, -0.06)</w:t>
            </w:r>
          </w:p>
        </w:tc>
        <w:tc>
          <w:tcPr>
            <w:tcW w:w="0" w:type="auto"/>
            <w:vAlign w:val="center"/>
          </w:tcPr>
          <w:p w14:paraId="56F21EB3" w14:textId="77777777" w:rsidR="002303D6" w:rsidRPr="0002798F" w:rsidRDefault="002303D6" w:rsidP="00B14290">
            <w:pPr>
              <w:pStyle w:val="TableText0"/>
              <w:jc w:val="center"/>
            </w:pPr>
            <w:r w:rsidRPr="0002798F">
              <w:rPr>
                <w:b/>
                <w:bCs w:val="0"/>
              </w:rPr>
              <w:t>0.009</w:t>
            </w:r>
          </w:p>
        </w:tc>
      </w:tr>
      <w:tr w:rsidR="002303D6" w:rsidRPr="0002798F" w14:paraId="760D2744" w14:textId="77777777" w:rsidTr="00B14290">
        <w:trPr>
          <w:trHeight w:val="246"/>
        </w:trPr>
        <w:tc>
          <w:tcPr>
            <w:tcW w:w="0" w:type="auto"/>
            <w:gridSpan w:val="12"/>
            <w:shd w:val="clear" w:color="auto" w:fill="auto"/>
          </w:tcPr>
          <w:p w14:paraId="418A69E4" w14:textId="77777777" w:rsidR="002303D6" w:rsidRPr="0002798F" w:rsidRDefault="002303D6" w:rsidP="00B14290">
            <w:pPr>
              <w:pStyle w:val="TableText0"/>
            </w:pPr>
            <w:r w:rsidRPr="0002798F">
              <w:rPr>
                <w:rFonts w:eastAsia="Times New Roman" w:cs="Times New Roman"/>
                <w:b/>
                <w:bCs w:val="0"/>
                <w:szCs w:val="20"/>
                <w:lang w:eastAsia="en-US"/>
              </w:rPr>
              <w:t>Subgroup</w:t>
            </w:r>
          </w:p>
        </w:tc>
      </w:tr>
      <w:tr w:rsidR="002303D6" w:rsidRPr="0002798F" w14:paraId="17098E5B" w14:textId="77777777" w:rsidTr="00B14290">
        <w:trPr>
          <w:trHeight w:val="726"/>
        </w:trPr>
        <w:tc>
          <w:tcPr>
            <w:tcW w:w="1109" w:type="dxa"/>
            <w:vAlign w:val="center"/>
          </w:tcPr>
          <w:p w14:paraId="71A85AEE" w14:textId="23824A5D" w:rsidR="002303D6" w:rsidRPr="0002798F" w:rsidRDefault="006750FD" w:rsidP="00B14290">
            <w:pPr>
              <w:pStyle w:val="TableText0"/>
            </w:pPr>
            <w:r>
              <w:t>Post hoc</w:t>
            </w:r>
          </w:p>
          <w:p w14:paraId="62B546C8" w14:textId="77777777" w:rsidR="002303D6" w:rsidRPr="0002798F" w:rsidRDefault="002303D6" w:rsidP="00B14290">
            <w:pPr>
              <w:pStyle w:val="TableText0"/>
            </w:pPr>
            <w:r w:rsidRPr="0002798F">
              <w:t>SICCANOVE</w:t>
            </w:r>
          </w:p>
          <w:p w14:paraId="5F695D44" w14:textId="77777777" w:rsidR="002303D6" w:rsidRPr="0002798F" w:rsidRDefault="002303D6" w:rsidP="00B14290">
            <w:pPr>
              <w:pStyle w:val="TableText0"/>
            </w:pPr>
            <w:r w:rsidRPr="0002798F">
              <w:t>CFS=4 (SG)</w:t>
            </w:r>
          </w:p>
        </w:tc>
        <w:tc>
          <w:tcPr>
            <w:tcW w:w="962" w:type="dxa"/>
            <w:vAlign w:val="center"/>
          </w:tcPr>
          <w:p w14:paraId="682BE825" w14:textId="586B99F1" w:rsidR="002303D6" w:rsidRPr="0002798F" w:rsidRDefault="006750FD" w:rsidP="00B14290">
            <w:pPr>
              <w:pStyle w:val="TableText0"/>
              <w:jc w:val="center"/>
            </w:pPr>
            <w:r>
              <w:t>Post hoc</w:t>
            </w:r>
          </w:p>
        </w:tc>
        <w:tc>
          <w:tcPr>
            <w:tcW w:w="330" w:type="dxa"/>
            <w:vAlign w:val="center"/>
          </w:tcPr>
          <w:p w14:paraId="7775C99A" w14:textId="77777777" w:rsidR="002303D6" w:rsidRPr="0002798F" w:rsidRDefault="002303D6" w:rsidP="00B14290">
            <w:pPr>
              <w:pStyle w:val="TableText0"/>
              <w:jc w:val="center"/>
            </w:pPr>
            <w:r w:rsidRPr="0002798F">
              <w:t>39</w:t>
            </w:r>
          </w:p>
        </w:tc>
        <w:tc>
          <w:tcPr>
            <w:tcW w:w="789" w:type="dxa"/>
            <w:vAlign w:val="center"/>
          </w:tcPr>
          <w:p w14:paraId="7CC403F1" w14:textId="77777777" w:rsidR="002303D6" w:rsidRPr="0002798F" w:rsidRDefault="002303D6" w:rsidP="00B14290">
            <w:pPr>
              <w:pStyle w:val="TableText0"/>
              <w:jc w:val="center"/>
            </w:pPr>
            <w:r w:rsidRPr="0002798F">
              <w:t>4.00 (0.00)</w:t>
            </w:r>
          </w:p>
        </w:tc>
        <w:tc>
          <w:tcPr>
            <w:tcW w:w="631" w:type="dxa"/>
            <w:vAlign w:val="center"/>
          </w:tcPr>
          <w:p w14:paraId="06D81D14" w14:textId="77777777" w:rsidR="002303D6" w:rsidRPr="0002798F" w:rsidRDefault="002303D6" w:rsidP="00B14290">
            <w:pPr>
              <w:pStyle w:val="TableText0"/>
              <w:jc w:val="center"/>
            </w:pPr>
            <w:r w:rsidRPr="0002798F">
              <w:t>2.59 (1.141)</w:t>
            </w:r>
          </w:p>
        </w:tc>
        <w:tc>
          <w:tcPr>
            <w:tcW w:w="830" w:type="dxa"/>
            <w:vAlign w:val="center"/>
          </w:tcPr>
          <w:p w14:paraId="2BE04ABB" w14:textId="77777777" w:rsidR="002303D6" w:rsidRPr="0002798F" w:rsidRDefault="002303D6" w:rsidP="00B14290">
            <w:pPr>
              <w:pStyle w:val="TableText0"/>
              <w:jc w:val="center"/>
            </w:pPr>
            <w:r w:rsidRPr="0002798F">
              <w:t>-1.41 (1.141)</w:t>
            </w:r>
          </w:p>
        </w:tc>
        <w:tc>
          <w:tcPr>
            <w:tcW w:w="330" w:type="dxa"/>
            <w:vAlign w:val="center"/>
          </w:tcPr>
          <w:p w14:paraId="569F9FD4" w14:textId="77777777" w:rsidR="002303D6" w:rsidRPr="0002798F" w:rsidRDefault="002303D6" w:rsidP="00B14290">
            <w:pPr>
              <w:pStyle w:val="TableText0"/>
              <w:jc w:val="center"/>
            </w:pPr>
            <w:r w:rsidRPr="0002798F">
              <w:t>36</w:t>
            </w:r>
          </w:p>
        </w:tc>
        <w:tc>
          <w:tcPr>
            <w:tcW w:w="822" w:type="dxa"/>
            <w:vAlign w:val="center"/>
          </w:tcPr>
          <w:p w14:paraId="44C37530" w14:textId="77777777" w:rsidR="002303D6" w:rsidRPr="0002798F" w:rsidRDefault="002303D6" w:rsidP="00B14290">
            <w:pPr>
              <w:pStyle w:val="TableText0"/>
              <w:jc w:val="center"/>
            </w:pPr>
            <w:r w:rsidRPr="0002798F">
              <w:t>4.03 (0.167)</w:t>
            </w:r>
          </w:p>
        </w:tc>
        <w:tc>
          <w:tcPr>
            <w:tcW w:w="631" w:type="dxa"/>
            <w:vAlign w:val="center"/>
          </w:tcPr>
          <w:p w14:paraId="19737EDE" w14:textId="77777777" w:rsidR="002303D6" w:rsidRPr="0002798F" w:rsidRDefault="002303D6" w:rsidP="00B14290">
            <w:pPr>
              <w:pStyle w:val="TableText0"/>
              <w:jc w:val="center"/>
            </w:pPr>
            <w:r w:rsidRPr="0002798F">
              <w:t>3.36 (0.961)</w:t>
            </w:r>
          </w:p>
        </w:tc>
        <w:tc>
          <w:tcPr>
            <w:tcW w:w="932" w:type="dxa"/>
            <w:vAlign w:val="center"/>
          </w:tcPr>
          <w:p w14:paraId="7ED6C89C" w14:textId="77777777" w:rsidR="002303D6" w:rsidRPr="0002798F" w:rsidRDefault="002303D6" w:rsidP="00B14290">
            <w:pPr>
              <w:pStyle w:val="TableText0"/>
              <w:jc w:val="center"/>
            </w:pPr>
            <w:r w:rsidRPr="0002798F">
              <w:t>-0.67 (0.986)</w:t>
            </w:r>
          </w:p>
        </w:tc>
        <w:tc>
          <w:tcPr>
            <w:tcW w:w="1093" w:type="dxa"/>
            <w:vAlign w:val="center"/>
          </w:tcPr>
          <w:p w14:paraId="10DB1132" w14:textId="77777777" w:rsidR="002303D6" w:rsidRPr="0002798F" w:rsidRDefault="002303D6" w:rsidP="00B14290">
            <w:pPr>
              <w:pStyle w:val="TableText0"/>
              <w:jc w:val="center"/>
            </w:pPr>
            <w:r w:rsidRPr="0002798F">
              <w:t xml:space="preserve">-0.74 </w:t>
            </w:r>
            <w:r w:rsidRPr="0002798F">
              <w:br/>
              <w:t>(-1.24, -0.24)</w:t>
            </w:r>
          </w:p>
        </w:tc>
        <w:tc>
          <w:tcPr>
            <w:tcW w:w="0" w:type="auto"/>
            <w:vAlign w:val="center"/>
          </w:tcPr>
          <w:p w14:paraId="3F2F5CD8" w14:textId="77777777" w:rsidR="002303D6" w:rsidRPr="0002798F" w:rsidRDefault="002303D6" w:rsidP="00B14290">
            <w:pPr>
              <w:pStyle w:val="TableText0"/>
              <w:jc w:val="center"/>
            </w:pPr>
            <w:r w:rsidRPr="0002798F">
              <w:rPr>
                <w:b/>
                <w:bCs w:val="0"/>
              </w:rPr>
              <w:t>0.004</w:t>
            </w:r>
          </w:p>
        </w:tc>
      </w:tr>
      <w:tr w:rsidR="002303D6" w:rsidRPr="0002798F" w14:paraId="760EAFEF" w14:textId="77777777" w:rsidTr="00B14290">
        <w:trPr>
          <w:trHeight w:val="131"/>
        </w:trPr>
        <w:tc>
          <w:tcPr>
            <w:tcW w:w="0" w:type="auto"/>
            <w:gridSpan w:val="12"/>
            <w:vAlign w:val="center"/>
          </w:tcPr>
          <w:p w14:paraId="64A70243" w14:textId="77777777" w:rsidR="002303D6" w:rsidRPr="0002798F" w:rsidRDefault="002303D6" w:rsidP="00B14290">
            <w:pPr>
              <w:pStyle w:val="TableText0"/>
              <w:rPr>
                <w:b/>
                <w:bCs w:val="0"/>
              </w:rPr>
            </w:pPr>
            <w:r w:rsidRPr="0002798F">
              <w:rPr>
                <w:b/>
                <w:bCs w:val="0"/>
                <w:szCs w:val="20"/>
              </w:rPr>
              <w:t>Meta-analysis (Leonardi 2019) of total trial population – SANSIKA and SICCANOVE</w:t>
            </w:r>
          </w:p>
        </w:tc>
      </w:tr>
      <w:tr w:rsidR="002303D6" w:rsidRPr="0002798F" w14:paraId="479BF044" w14:textId="77777777" w:rsidTr="00B14290">
        <w:trPr>
          <w:trHeight w:val="59"/>
        </w:trPr>
        <w:tc>
          <w:tcPr>
            <w:tcW w:w="1109" w:type="dxa"/>
            <w:vAlign w:val="center"/>
          </w:tcPr>
          <w:p w14:paraId="2C805DBC" w14:textId="77777777" w:rsidR="002303D6" w:rsidRPr="0002798F" w:rsidRDefault="002303D6" w:rsidP="00B14290">
            <w:pPr>
              <w:pStyle w:val="TableText0"/>
            </w:pPr>
            <w:r w:rsidRPr="0002798F">
              <w:t>Meta-analysis</w:t>
            </w:r>
          </w:p>
        </w:tc>
        <w:tc>
          <w:tcPr>
            <w:tcW w:w="962" w:type="dxa"/>
            <w:vAlign w:val="center"/>
          </w:tcPr>
          <w:p w14:paraId="5398BD27" w14:textId="746FD425" w:rsidR="002303D6" w:rsidRPr="0002798F" w:rsidRDefault="006750FD" w:rsidP="00B14290">
            <w:pPr>
              <w:pStyle w:val="TableText0"/>
              <w:jc w:val="center"/>
            </w:pPr>
            <w:r>
              <w:t>Post hoc</w:t>
            </w:r>
          </w:p>
        </w:tc>
        <w:tc>
          <w:tcPr>
            <w:tcW w:w="330" w:type="dxa"/>
            <w:vAlign w:val="center"/>
          </w:tcPr>
          <w:p w14:paraId="259D626D" w14:textId="77777777" w:rsidR="002303D6" w:rsidRPr="0002798F" w:rsidRDefault="002303D6" w:rsidP="00B14290">
            <w:pPr>
              <w:pStyle w:val="TableText0"/>
              <w:jc w:val="center"/>
            </w:pPr>
            <w:r w:rsidRPr="0002798F">
              <w:t>-</w:t>
            </w:r>
          </w:p>
        </w:tc>
        <w:tc>
          <w:tcPr>
            <w:tcW w:w="789" w:type="dxa"/>
            <w:vAlign w:val="center"/>
          </w:tcPr>
          <w:p w14:paraId="21D5C099" w14:textId="77777777" w:rsidR="002303D6" w:rsidRPr="0002798F" w:rsidRDefault="002303D6" w:rsidP="00B14290">
            <w:pPr>
              <w:pStyle w:val="TableText0"/>
              <w:jc w:val="center"/>
            </w:pPr>
            <w:r w:rsidRPr="0002798F">
              <w:t>-</w:t>
            </w:r>
          </w:p>
        </w:tc>
        <w:tc>
          <w:tcPr>
            <w:tcW w:w="631" w:type="dxa"/>
            <w:vAlign w:val="center"/>
          </w:tcPr>
          <w:p w14:paraId="204A6E9F" w14:textId="77777777" w:rsidR="002303D6" w:rsidRPr="0002798F" w:rsidRDefault="002303D6" w:rsidP="00B14290">
            <w:pPr>
              <w:pStyle w:val="TableText0"/>
              <w:jc w:val="center"/>
            </w:pPr>
            <w:r w:rsidRPr="0002798F">
              <w:t>-</w:t>
            </w:r>
          </w:p>
        </w:tc>
        <w:tc>
          <w:tcPr>
            <w:tcW w:w="830" w:type="dxa"/>
            <w:vAlign w:val="center"/>
          </w:tcPr>
          <w:p w14:paraId="628296B6" w14:textId="77777777" w:rsidR="002303D6" w:rsidRPr="0002798F" w:rsidRDefault="002303D6" w:rsidP="00B14290">
            <w:pPr>
              <w:pStyle w:val="TableText0"/>
              <w:jc w:val="center"/>
            </w:pPr>
            <w:r w:rsidRPr="0002798F">
              <w:t>-</w:t>
            </w:r>
          </w:p>
        </w:tc>
        <w:tc>
          <w:tcPr>
            <w:tcW w:w="330" w:type="dxa"/>
            <w:vAlign w:val="center"/>
          </w:tcPr>
          <w:p w14:paraId="46DCB2DC" w14:textId="77777777" w:rsidR="002303D6" w:rsidRPr="0002798F" w:rsidRDefault="002303D6" w:rsidP="00B14290">
            <w:pPr>
              <w:pStyle w:val="TableText0"/>
              <w:jc w:val="center"/>
            </w:pPr>
            <w:r w:rsidRPr="0002798F">
              <w:t>-</w:t>
            </w:r>
          </w:p>
        </w:tc>
        <w:tc>
          <w:tcPr>
            <w:tcW w:w="822" w:type="dxa"/>
            <w:vAlign w:val="center"/>
          </w:tcPr>
          <w:p w14:paraId="1BC68D99" w14:textId="77777777" w:rsidR="002303D6" w:rsidRPr="0002798F" w:rsidRDefault="002303D6" w:rsidP="00B14290">
            <w:pPr>
              <w:pStyle w:val="TableText0"/>
              <w:jc w:val="center"/>
            </w:pPr>
            <w:r w:rsidRPr="0002798F">
              <w:t>-</w:t>
            </w:r>
          </w:p>
        </w:tc>
        <w:tc>
          <w:tcPr>
            <w:tcW w:w="631" w:type="dxa"/>
            <w:vAlign w:val="center"/>
          </w:tcPr>
          <w:p w14:paraId="2B32DABC" w14:textId="77777777" w:rsidR="002303D6" w:rsidRPr="0002798F" w:rsidRDefault="002303D6" w:rsidP="00B14290">
            <w:pPr>
              <w:pStyle w:val="TableText0"/>
              <w:jc w:val="center"/>
            </w:pPr>
            <w:r w:rsidRPr="0002798F">
              <w:t>-</w:t>
            </w:r>
          </w:p>
        </w:tc>
        <w:tc>
          <w:tcPr>
            <w:tcW w:w="932" w:type="dxa"/>
            <w:vAlign w:val="center"/>
          </w:tcPr>
          <w:p w14:paraId="58FE21F5" w14:textId="77777777" w:rsidR="002303D6" w:rsidRPr="0002798F" w:rsidRDefault="002303D6" w:rsidP="00B14290">
            <w:pPr>
              <w:pStyle w:val="TableText0"/>
              <w:jc w:val="center"/>
            </w:pPr>
            <w:r w:rsidRPr="0002798F">
              <w:t>-</w:t>
            </w:r>
          </w:p>
        </w:tc>
        <w:tc>
          <w:tcPr>
            <w:tcW w:w="1093" w:type="dxa"/>
            <w:vAlign w:val="center"/>
          </w:tcPr>
          <w:p w14:paraId="28698EAB" w14:textId="77777777" w:rsidR="002303D6" w:rsidRPr="0002798F" w:rsidRDefault="002303D6" w:rsidP="00B14290">
            <w:pPr>
              <w:pStyle w:val="TableText0"/>
              <w:jc w:val="center"/>
            </w:pPr>
            <w:r w:rsidRPr="0002798F">
              <w:rPr>
                <w:szCs w:val="20"/>
              </w:rPr>
              <w:t xml:space="preserve">-0.25 </w:t>
            </w:r>
            <w:r w:rsidRPr="0002798F">
              <w:rPr>
                <w:szCs w:val="20"/>
              </w:rPr>
              <w:br/>
              <w:t>(-0.40, -0.11)</w:t>
            </w:r>
          </w:p>
        </w:tc>
        <w:tc>
          <w:tcPr>
            <w:tcW w:w="0" w:type="auto"/>
            <w:vAlign w:val="center"/>
          </w:tcPr>
          <w:p w14:paraId="749307B7" w14:textId="77777777" w:rsidR="002303D6" w:rsidRPr="0002798F" w:rsidRDefault="002303D6" w:rsidP="00B14290">
            <w:pPr>
              <w:pStyle w:val="TableText0"/>
              <w:jc w:val="center"/>
              <w:rPr>
                <w:b/>
                <w:bCs w:val="0"/>
              </w:rPr>
            </w:pPr>
            <w:r w:rsidRPr="0002798F">
              <w:rPr>
                <w:b/>
                <w:bCs w:val="0"/>
              </w:rPr>
              <w:t>0.0008</w:t>
            </w:r>
          </w:p>
        </w:tc>
      </w:tr>
    </w:tbl>
    <w:p w14:paraId="3AC2AD17" w14:textId="45B1E018" w:rsidR="006750FD" w:rsidRDefault="002303D6" w:rsidP="006750FD">
      <w:pPr>
        <w:pStyle w:val="TableFigureFooter"/>
        <w:rPr>
          <w:rFonts w:eastAsia="Calibri"/>
        </w:rPr>
      </w:pPr>
      <w:r w:rsidRPr="0002798F">
        <w:t xml:space="preserve">Source: Table 4, </w:t>
      </w:r>
      <w:r w:rsidR="000864CE">
        <w:t>March 2021 ciclosporin PSD</w:t>
      </w:r>
      <w:r w:rsidRPr="0002798F">
        <w:t>.</w:t>
      </w:r>
    </w:p>
    <w:p w14:paraId="2331EA02" w14:textId="4246EE08" w:rsidR="002303D6" w:rsidRPr="001811EC" w:rsidRDefault="006750FD" w:rsidP="001811EC">
      <w:pPr>
        <w:pStyle w:val="TableFigureFooter"/>
        <w:rPr>
          <w:rFonts w:eastAsia="Calibri"/>
        </w:rPr>
      </w:pPr>
      <w:r w:rsidRPr="0002798F">
        <w:rPr>
          <w:rFonts w:eastAsia="Calibri"/>
        </w:rPr>
        <w:t>CI = confidence interval; CFS = corneal fluoresce</w:t>
      </w:r>
      <w:r w:rsidR="00FF7526">
        <w:rPr>
          <w:rFonts w:eastAsia="Calibri"/>
        </w:rPr>
        <w:t>in</w:t>
      </w:r>
      <w:r w:rsidRPr="0002798F">
        <w:rPr>
          <w:rFonts w:eastAsia="Calibri"/>
        </w:rPr>
        <w:t xml:space="preserve"> staining; FAS = full analysis set; LOCF = last observation carried forward; OR = odds ratio; SD = standard deviation; SG = subgroup. </w:t>
      </w:r>
      <w:r w:rsidRPr="0002798F">
        <w:rPr>
          <w:rFonts w:eastAsia="Calibri"/>
          <w:b/>
        </w:rPr>
        <w:t>Bold</w:t>
      </w:r>
      <w:r w:rsidRPr="0002798F">
        <w:rPr>
          <w:rFonts w:eastAsia="Calibri"/>
        </w:rPr>
        <w:t xml:space="preserve"> indicates statistically significant results.</w:t>
      </w:r>
    </w:p>
    <w:p w14:paraId="3454586F" w14:textId="2646B798" w:rsidR="001811EC" w:rsidRDefault="001811EC" w:rsidP="001811EC">
      <w:pPr>
        <w:pStyle w:val="TableFigureHeading"/>
      </w:pPr>
      <w:r>
        <w:t xml:space="preserve">Table </w:t>
      </w:r>
      <w:fldSimple w:instr=" SEQ Table \* ARABIC ">
        <w:r>
          <w:rPr>
            <w:noProof/>
          </w:rPr>
          <w:t>8</w:t>
        </w:r>
      </w:fldSimple>
      <w:r w:rsidRPr="00B071F4">
        <w:t xml:space="preserve">: Results for CFS-OSDI response across the 0.1% </w:t>
      </w:r>
      <w:proofErr w:type="spellStart"/>
      <w:r w:rsidRPr="00B071F4">
        <w:t>CsA</w:t>
      </w:r>
      <w:proofErr w:type="spellEnd"/>
      <w:r w:rsidRPr="00B071F4">
        <w:t xml:space="preserve"> CE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Results for CFS-OSDI response across the 0.1% CsA CE studies"/>
        <w:tblDescription w:val="Table 8: Results for CFS-OSDI response across the 0.1% CsA CE studies"/>
      </w:tblPr>
      <w:tblGrid>
        <w:gridCol w:w="2069"/>
        <w:gridCol w:w="1041"/>
        <w:gridCol w:w="1491"/>
        <w:gridCol w:w="1006"/>
        <w:gridCol w:w="1344"/>
        <w:gridCol w:w="1199"/>
        <w:gridCol w:w="867"/>
      </w:tblGrid>
      <w:tr w:rsidR="002303D6" w:rsidRPr="0002798F" w14:paraId="4A8EB69D" w14:textId="77777777" w:rsidTr="00E34715">
        <w:trPr>
          <w:tblHeader/>
        </w:trPr>
        <w:tc>
          <w:tcPr>
            <w:tcW w:w="1147" w:type="pct"/>
            <w:tcBorders>
              <w:bottom w:val="single" w:sz="4" w:space="0" w:color="auto"/>
            </w:tcBorders>
            <w:vAlign w:val="center"/>
          </w:tcPr>
          <w:p w14:paraId="7587CB9E" w14:textId="77777777" w:rsidR="002303D6" w:rsidRPr="0002798F" w:rsidRDefault="002303D6" w:rsidP="00B14290">
            <w:pPr>
              <w:pStyle w:val="TableTitlecentred"/>
              <w:keepNext/>
              <w:jc w:val="left"/>
              <w:rPr>
                <w:rFonts w:ascii="Arial Narrow" w:hAnsi="Arial Narrow"/>
                <w:sz w:val="20"/>
              </w:rPr>
            </w:pPr>
            <w:r w:rsidRPr="0002798F">
              <w:rPr>
                <w:rFonts w:ascii="Arial Narrow" w:hAnsi="Arial Narrow"/>
                <w:sz w:val="20"/>
              </w:rPr>
              <w:t>Trial ID</w:t>
            </w:r>
          </w:p>
        </w:tc>
        <w:tc>
          <w:tcPr>
            <w:tcW w:w="577" w:type="pct"/>
            <w:tcBorders>
              <w:bottom w:val="single" w:sz="4" w:space="0" w:color="auto"/>
            </w:tcBorders>
            <w:vAlign w:val="center"/>
          </w:tcPr>
          <w:p w14:paraId="759B639B" w14:textId="77777777" w:rsidR="002303D6" w:rsidRPr="0002798F" w:rsidRDefault="002303D6" w:rsidP="00B14290">
            <w:pPr>
              <w:pStyle w:val="TableTitlecentred"/>
              <w:keepNext/>
              <w:rPr>
                <w:rFonts w:ascii="Arial Narrow" w:hAnsi="Arial Narrow"/>
                <w:sz w:val="20"/>
              </w:rPr>
            </w:pPr>
            <w:r w:rsidRPr="0002798F">
              <w:rPr>
                <w:rFonts w:ascii="Arial Narrow" w:hAnsi="Arial Narrow"/>
                <w:sz w:val="20"/>
              </w:rPr>
              <w:t>Endpoint</w:t>
            </w:r>
          </w:p>
        </w:tc>
        <w:tc>
          <w:tcPr>
            <w:tcW w:w="827" w:type="pct"/>
            <w:tcBorders>
              <w:bottom w:val="single" w:sz="4" w:space="0" w:color="auto"/>
            </w:tcBorders>
            <w:vAlign w:val="center"/>
          </w:tcPr>
          <w:p w14:paraId="43F1C0DB" w14:textId="4532DFAC" w:rsidR="002303D6" w:rsidRPr="0002798F" w:rsidRDefault="007335BB" w:rsidP="007335BB">
            <w:pPr>
              <w:pStyle w:val="TableTitlecentred"/>
              <w:keepNext/>
              <w:rPr>
                <w:rFonts w:ascii="Arial Narrow" w:hAnsi="Arial Narrow"/>
                <w:sz w:val="20"/>
              </w:rPr>
            </w:pPr>
            <w:r>
              <w:rPr>
                <w:rFonts w:ascii="Arial Narrow" w:hAnsi="Arial Narrow"/>
                <w:sz w:val="20"/>
              </w:rPr>
              <w:t xml:space="preserve">0.1% </w:t>
            </w:r>
            <w:proofErr w:type="spellStart"/>
            <w:r>
              <w:rPr>
                <w:rFonts w:ascii="Arial Narrow" w:hAnsi="Arial Narrow"/>
                <w:sz w:val="20"/>
              </w:rPr>
              <w:t>CsA</w:t>
            </w:r>
            <w:proofErr w:type="spellEnd"/>
            <w:r>
              <w:rPr>
                <w:rFonts w:ascii="Arial Narrow" w:hAnsi="Arial Narrow"/>
                <w:sz w:val="20"/>
              </w:rPr>
              <w:t xml:space="preserve"> CE </w:t>
            </w:r>
            <w:r w:rsidR="002303D6" w:rsidRPr="0002798F">
              <w:rPr>
                <w:rFonts w:ascii="Arial Narrow" w:hAnsi="Arial Narrow"/>
                <w:sz w:val="20"/>
              </w:rPr>
              <w:t>n/N (%)</w:t>
            </w:r>
          </w:p>
        </w:tc>
        <w:tc>
          <w:tcPr>
            <w:tcW w:w="558" w:type="pct"/>
            <w:tcBorders>
              <w:bottom w:val="single" w:sz="4" w:space="0" w:color="auto"/>
            </w:tcBorders>
            <w:vAlign w:val="center"/>
          </w:tcPr>
          <w:p w14:paraId="2C805C0A" w14:textId="77777777" w:rsidR="002303D6" w:rsidRPr="0002798F" w:rsidRDefault="002303D6" w:rsidP="00B14290">
            <w:pPr>
              <w:pStyle w:val="TableTitlecentred"/>
              <w:keepNext/>
              <w:rPr>
                <w:rFonts w:ascii="Arial Narrow" w:hAnsi="Arial Narrow"/>
                <w:sz w:val="20"/>
              </w:rPr>
            </w:pPr>
            <w:r w:rsidRPr="0002798F">
              <w:rPr>
                <w:rFonts w:ascii="Arial Narrow" w:hAnsi="Arial Narrow"/>
                <w:sz w:val="20"/>
              </w:rPr>
              <w:t>Vehicle</w:t>
            </w:r>
          </w:p>
          <w:p w14:paraId="5357B43D" w14:textId="77777777" w:rsidR="002303D6" w:rsidRPr="0002798F" w:rsidRDefault="002303D6" w:rsidP="00B14290">
            <w:pPr>
              <w:pStyle w:val="TableTitlecentred"/>
              <w:keepNext/>
              <w:rPr>
                <w:rFonts w:ascii="Arial Narrow" w:hAnsi="Arial Narrow"/>
                <w:sz w:val="20"/>
              </w:rPr>
            </w:pPr>
            <w:r w:rsidRPr="0002798F">
              <w:rPr>
                <w:rFonts w:ascii="Arial Narrow" w:hAnsi="Arial Narrow"/>
                <w:sz w:val="20"/>
              </w:rPr>
              <w:t>n/N (%)</w:t>
            </w:r>
          </w:p>
        </w:tc>
        <w:tc>
          <w:tcPr>
            <w:tcW w:w="745" w:type="pct"/>
            <w:tcBorders>
              <w:bottom w:val="single" w:sz="4" w:space="0" w:color="auto"/>
            </w:tcBorders>
            <w:vAlign w:val="center"/>
          </w:tcPr>
          <w:p w14:paraId="66AA625F" w14:textId="77777777" w:rsidR="002303D6" w:rsidRPr="0002798F" w:rsidRDefault="002303D6" w:rsidP="00B14290">
            <w:pPr>
              <w:pStyle w:val="TableTitlecentred"/>
              <w:keepNext/>
              <w:rPr>
                <w:rFonts w:ascii="Arial Narrow" w:hAnsi="Arial Narrow"/>
                <w:sz w:val="20"/>
              </w:rPr>
            </w:pPr>
            <w:r w:rsidRPr="0002798F">
              <w:rPr>
                <w:rFonts w:ascii="Arial Narrow" w:hAnsi="Arial Narrow"/>
                <w:sz w:val="20"/>
              </w:rPr>
              <w:t>Risk difference (95% CI)</w:t>
            </w:r>
          </w:p>
        </w:tc>
        <w:tc>
          <w:tcPr>
            <w:tcW w:w="665" w:type="pct"/>
            <w:tcBorders>
              <w:bottom w:val="single" w:sz="4" w:space="0" w:color="auto"/>
            </w:tcBorders>
            <w:vAlign w:val="center"/>
          </w:tcPr>
          <w:p w14:paraId="318CCB07" w14:textId="77777777" w:rsidR="002303D6" w:rsidRPr="0002798F" w:rsidRDefault="002303D6" w:rsidP="00B14290">
            <w:pPr>
              <w:pStyle w:val="TableTitlecentred"/>
              <w:keepNext/>
              <w:rPr>
                <w:rFonts w:ascii="Arial Narrow" w:hAnsi="Arial Narrow"/>
                <w:sz w:val="20"/>
              </w:rPr>
            </w:pPr>
            <w:r w:rsidRPr="0002798F">
              <w:rPr>
                <w:rFonts w:ascii="Arial Narrow" w:hAnsi="Arial Narrow"/>
                <w:sz w:val="20"/>
              </w:rPr>
              <w:t xml:space="preserve">Odds ratio </w:t>
            </w:r>
            <w:r w:rsidRPr="0002798F">
              <w:rPr>
                <w:rFonts w:ascii="Arial Narrow" w:hAnsi="Arial Narrow"/>
                <w:sz w:val="20"/>
              </w:rPr>
              <w:br/>
              <w:t>(95% CI)</w:t>
            </w:r>
          </w:p>
        </w:tc>
        <w:tc>
          <w:tcPr>
            <w:tcW w:w="481" w:type="pct"/>
            <w:tcBorders>
              <w:bottom w:val="single" w:sz="4" w:space="0" w:color="auto"/>
            </w:tcBorders>
            <w:vAlign w:val="center"/>
          </w:tcPr>
          <w:p w14:paraId="01559055" w14:textId="77777777" w:rsidR="002303D6" w:rsidRPr="0002798F" w:rsidRDefault="002303D6" w:rsidP="00B14290">
            <w:pPr>
              <w:pStyle w:val="TableTitlecentred"/>
              <w:keepNext/>
              <w:rPr>
                <w:rFonts w:ascii="Arial Narrow" w:hAnsi="Arial Narrow"/>
                <w:sz w:val="20"/>
              </w:rPr>
            </w:pPr>
            <w:r w:rsidRPr="0002798F">
              <w:rPr>
                <w:rFonts w:ascii="Arial Narrow" w:hAnsi="Arial Narrow"/>
                <w:sz w:val="20"/>
              </w:rPr>
              <w:t>p-value</w:t>
            </w:r>
          </w:p>
        </w:tc>
      </w:tr>
      <w:tr w:rsidR="002303D6" w:rsidRPr="0002798F" w14:paraId="5F944BF9" w14:textId="77777777" w:rsidTr="00E34715">
        <w:tc>
          <w:tcPr>
            <w:tcW w:w="1147"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6000858B" w14:textId="77777777" w:rsidR="002303D6" w:rsidRPr="0002798F" w:rsidRDefault="002303D6" w:rsidP="00B14290">
            <w:pPr>
              <w:pStyle w:val="TableTextleftalign"/>
              <w:keepNext/>
              <w:widowControl w:val="0"/>
              <w:rPr>
                <w:rFonts w:ascii="Arial Narrow" w:hAnsi="Arial Narrow"/>
                <w:b/>
                <w:sz w:val="20"/>
                <w:szCs w:val="20"/>
              </w:rPr>
            </w:pPr>
            <w:r w:rsidRPr="0002798F">
              <w:rPr>
                <w:rFonts w:ascii="Arial Narrow" w:hAnsi="Arial Narrow"/>
                <w:b/>
                <w:sz w:val="20"/>
                <w:szCs w:val="20"/>
              </w:rPr>
              <w:t>Total population</w:t>
            </w:r>
          </w:p>
        </w:tc>
        <w:tc>
          <w:tcPr>
            <w:tcW w:w="577" w:type="pct"/>
            <w:tcBorders>
              <w:top w:val="single" w:sz="4" w:space="0" w:color="auto"/>
              <w:left w:val="nil"/>
              <w:bottom w:val="single" w:sz="4" w:space="0" w:color="auto"/>
              <w:right w:val="nil"/>
            </w:tcBorders>
            <w:shd w:val="clear" w:color="auto" w:fill="D9D9D9" w:themeFill="background1" w:themeFillShade="D9"/>
            <w:vAlign w:val="center"/>
          </w:tcPr>
          <w:p w14:paraId="0F100901" w14:textId="77777777" w:rsidR="002303D6" w:rsidRPr="0002798F" w:rsidRDefault="002303D6" w:rsidP="00B14290">
            <w:pPr>
              <w:pStyle w:val="TableTextleftalign"/>
              <w:keepNext/>
              <w:widowControl w:val="0"/>
              <w:jc w:val="center"/>
              <w:rPr>
                <w:rFonts w:ascii="Arial Narrow" w:hAnsi="Arial Narrow"/>
                <w:b/>
                <w:sz w:val="20"/>
                <w:szCs w:val="20"/>
              </w:rPr>
            </w:pPr>
          </w:p>
        </w:tc>
        <w:tc>
          <w:tcPr>
            <w:tcW w:w="827" w:type="pct"/>
            <w:tcBorders>
              <w:top w:val="single" w:sz="4" w:space="0" w:color="auto"/>
              <w:left w:val="nil"/>
              <w:bottom w:val="single" w:sz="4" w:space="0" w:color="auto"/>
              <w:right w:val="nil"/>
            </w:tcBorders>
            <w:shd w:val="clear" w:color="auto" w:fill="D9D9D9" w:themeFill="background1" w:themeFillShade="D9"/>
            <w:vAlign w:val="center"/>
          </w:tcPr>
          <w:p w14:paraId="7536273A" w14:textId="77777777" w:rsidR="002303D6" w:rsidRPr="0002798F" w:rsidRDefault="002303D6" w:rsidP="00B14290">
            <w:pPr>
              <w:pStyle w:val="TableTextleftalign"/>
              <w:keepNext/>
              <w:widowControl w:val="0"/>
              <w:jc w:val="center"/>
              <w:rPr>
                <w:rFonts w:ascii="Arial Narrow" w:hAnsi="Arial Narrow"/>
                <w:b/>
                <w:sz w:val="20"/>
                <w:szCs w:val="20"/>
              </w:rPr>
            </w:pPr>
          </w:p>
        </w:tc>
        <w:tc>
          <w:tcPr>
            <w:tcW w:w="558" w:type="pct"/>
            <w:tcBorders>
              <w:top w:val="single" w:sz="4" w:space="0" w:color="auto"/>
              <w:left w:val="nil"/>
              <w:bottom w:val="single" w:sz="4" w:space="0" w:color="auto"/>
              <w:right w:val="nil"/>
            </w:tcBorders>
            <w:shd w:val="clear" w:color="auto" w:fill="D9D9D9" w:themeFill="background1" w:themeFillShade="D9"/>
            <w:vAlign w:val="center"/>
          </w:tcPr>
          <w:p w14:paraId="398BE14B" w14:textId="77777777" w:rsidR="002303D6" w:rsidRPr="0002798F" w:rsidRDefault="002303D6" w:rsidP="00B14290">
            <w:pPr>
              <w:pStyle w:val="TableTextleftalign"/>
              <w:keepNext/>
              <w:widowControl w:val="0"/>
              <w:jc w:val="center"/>
              <w:rPr>
                <w:rFonts w:ascii="Arial Narrow" w:hAnsi="Arial Narrow"/>
                <w:b/>
                <w:sz w:val="20"/>
                <w:szCs w:val="20"/>
              </w:rPr>
            </w:pPr>
          </w:p>
        </w:tc>
        <w:tc>
          <w:tcPr>
            <w:tcW w:w="745" w:type="pct"/>
            <w:tcBorders>
              <w:top w:val="single" w:sz="4" w:space="0" w:color="auto"/>
              <w:left w:val="nil"/>
              <w:bottom w:val="single" w:sz="4" w:space="0" w:color="auto"/>
              <w:right w:val="nil"/>
            </w:tcBorders>
            <w:shd w:val="clear" w:color="auto" w:fill="D9D9D9" w:themeFill="background1" w:themeFillShade="D9"/>
            <w:vAlign w:val="center"/>
          </w:tcPr>
          <w:p w14:paraId="464ED296" w14:textId="77777777" w:rsidR="002303D6" w:rsidRPr="0002798F" w:rsidRDefault="002303D6" w:rsidP="00B14290">
            <w:pPr>
              <w:pStyle w:val="TableTextleftalign"/>
              <w:keepNext/>
              <w:widowControl w:val="0"/>
              <w:jc w:val="center"/>
              <w:rPr>
                <w:rFonts w:ascii="Arial Narrow" w:hAnsi="Arial Narrow"/>
                <w:b/>
                <w:sz w:val="20"/>
                <w:szCs w:val="20"/>
              </w:rPr>
            </w:pPr>
          </w:p>
        </w:tc>
        <w:tc>
          <w:tcPr>
            <w:tcW w:w="665" w:type="pct"/>
            <w:tcBorders>
              <w:top w:val="single" w:sz="4" w:space="0" w:color="auto"/>
              <w:left w:val="nil"/>
              <w:bottom w:val="single" w:sz="4" w:space="0" w:color="auto"/>
              <w:right w:val="nil"/>
            </w:tcBorders>
            <w:shd w:val="clear" w:color="auto" w:fill="D9D9D9" w:themeFill="background1" w:themeFillShade="D9"/>
            <w:vAlign w:val="center"/>
          </w:tcPr>
          <w:p w14:paraId="58F1A440" w14:textId="77777777" w:rsidR="002303D6" w:rsidRPr="0002798F" w:rsidRDefault="002303D6" w:rsidP="00B14290">
            <w:pPr>
              <w:pStyle w:val="TableTextleftalign"/>
              <w:keepNext/>
              <w:widowControl w:val="0"/>
              <w:jc w:val="center"/>
              <w:rPr>
                <w:rFonts w:ascii="Arial Narrow" w:hAnsi="Arial Narrow"/>
                <w:b/>
                <w:sz w:val="20"/>
                <w:szCs w:val="20"/>
              </w:rPr>
            </w:pPr>
          </w:p>
        </w:tc>
        <w:tc>
          <w:tcPr>
            <w:tcW w:w="48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9370A55" w14:textId="77777777" w:rsidR="002303D6" w:rsidRPr="0002798F" w:rsidRDefault="002303D6" w:rsidP="00B14290">
            <w:pPr>
              <w:pStyle w:val="TableTextleftalign"/>
              <w:keepNext/>
              <w:widowControl w:val="0"/>
              <w:jc w:val="center"/>
              <w:rPr>
                <w:rFonts w:ascii="Arial Narrow" w:hAnsi="Arial Narrow"/>
                <w:b/>
                <w:sz w:val="20"/>
                <w:szCs w:val="20"/>
              </w:rPr>
            </w:pPr>
          </w:p>
        </w:tc>
      </w:tr>
      <w:tr w:rsidR="002303D6" w:rsidRPr="0002798F" w14:paraId="051563CE" w14:textId="77777777" w:rsidTr="00E34715">
        <w:tc>
          <w:tcPr>
            <w:tcW w:w="2551" w:type="pct"/>
            <w:gridSpan w:val="3"/>
            <w:tcBorders>
              <w:top w:val="single" w:sz="4" w:space="0" w:color="auto"/>
              <w:left w:val="single" w:sz="4" w:space="0" w:color="auto"/>
              <w:bottom w:val="single" w:sz="4" w:space="0" w:color="auto"/>
              <w:right w:val="nil"/>
            </w:tcBorders>
            <w:vAlign w:val="center"/>
          </w:tcPr>
          <w:p w14:paraId="57337B47"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b/>
                <w:sz w:val="20"/>
                <w:szCs w:val="20"/>
              </w:rPr>
              <w:t>Improvement ≥ 2 grades (CFS) and 30% (OSDI)</w:t>
            </w:r>
          </w:p>
        </w:tc>
        <w:tc>
          <w:tcPr>
            <w:tcW w:w="558" w:type="pct"/>
            <w:tcBorders>
              <w:top w:val="single" w:sz="4" w:space="0" w:color="auto"/>
              <w:left w:val="nil"/>
              <w:bottom w:val="single" w:sz="4" w:space="0" w:color="auto"/>
              <w:right w:val="nil"/>
            </w:tcBorders>
            <w:vAlign w:val="center"/>
          </w:tcPr>
          <w:p w14:paraId="6D0D3B3E" w14:textId="77777777" w:rsidR="002303D6" w:rsidRPr="0002798F" w:rsidRDefault="002303D6" w:rsidP="00B14290">
            <w:pPr>
              <w:pStyle w:val="TableTextleftalign"/>
              <w:keepNext/>
              <w:widowControl w:val="0"/>
              <w:jc w:val="center"/>
              <w:rPr>
                <w:rFonts w:ascii="Arial Narrow" w:hAnsi="Arial Narrow"/>
                <w:sz w:val="20"/>
                <w:szCs w:val="20"/>
              </w:rPr>
            </w:pPr>
          </w:p>
        </w:tc>
        <w:tc>
          <w:tcPr>
            <w:tcW w:w="745" w:type="pct"/>
            <w:tcBorders>
              <w:top w:val="single" w:sz="4" w:space="0" w:color="auto"/>
              <w:left w:val="nil"/>
              <w:bottom w:val="single" w:sz="4" w:space="0" w:color="auto"/>
              <w:right w:val="nil"/>
            </w:tcBorders>
            <w:vAlign w:val="center"/>
          </w:tcPr>
          <w:p w14:paraId="2FA69B4E" w14:textId="77777777" w:rsidR="002303D6" w:rsidRPr="0002798F" w:rsidRDefault="002303D6" w:rsidP="00B14290">
            <w:pPr>
              <w:pStyle w:val="TableTextleftalign"/>
              <w:keepNext/>
              <w:widowControl w:val="0"/>
              <w:jc w:val="center"/>
              <w:rPr>
                <w:rFonts w:ascii="Arial Narrow" w:hAnsi="Arial Narrow"/>
                <w:sz w:val="20"/>
                <w:szCs w:val="20"/>
              </w:rPr>
            </w:pPr>
          </w:p>
        </w:tc>
        <w:tc>
          <w:tcPr>
            <w:tcW w:w="665" w:type="pct"/>
            <w:tcBorders>
              <w:top w:val="single" w:sz="4" w:space="0" w:color="auto"/>
              <w:left w:val="nil"/>
              <w:bottom w:val="single" w:sz="4" w:space="0" w:color="auto"/>
              <w:right w:val="nil"/>
            </w:tcBorders>
            <w:vAlign w:val="center"/>
          </w:tcPr>
          <w:p w14:paraId="25A0DAD3" w14:textId="77777777" w:rsidR="002303D6" w:rsidRPr="0002798F" w:rsidRDefault="002303D6" w:rsidP="00B14290">
            <w:pPr>
              <w:pStyle w:val="TableTextleftalign"/>
              <w:keepNext/>
              <w:widowControl w:val="0"/>
              <w:jc w:val="center"/>
              <w:rPr>
                <w:rFonts w:ascii="Arial Narrow" w:hAnsi="Arial Narrow"/>
                <w:sz w:val="20"/>
                <w:szCs w:val="20"/>
              </w:rPr>
            </w:pPr>
          </w:p>
        </w:tc>
        <w:tc>
          <w:tcPr>
            <w:tcW w:w="481" w:type="pct"/>
            <w:tcBorders>
              <w:top w:val="single" w:sz="4" w:space="0" w:color="auto"/>
              <w:left w:val="nil"/>
              <w:bottom w:val="single" w:sz="4" w:space="0" w:color="auto"/>
              <w:right w:val="single" w:sz="4" w:space="0" w:color="auto"/>
            </w:tcBorders>
            <w:vAlign w:val="center"/>
          </w:tcPr>
          <w:p w14:paraId="26F7A22D" w14:textId="77777777" w:rsidR="002303D6" w:rsidRPr="0002798F" w:rsidRDefault="002303D6" w:rsidP="00B14290">
            <w:pPr>
              <w:pStyle w:val="TableTextleftalign"/>
              <w:keepNext/>
              <w:widowControl w:val="0"/>
              <w:jc w:val="center"/>
              <w:rPr>
                <w:rFonts w:ascii="Arial Narrow" w:hAnsi="Arial Narrow"/>
                <w:sz w:val="20"/>
                <w:szCs w:val="20"/>
              </w:rPr>
            </w:pPr>
          </w:p>
        </w:tc>
      </w:tr>
      <w:tr w:rsidR="002303D6" w:rsidRPr="0002798F" w14:paraId="75E3BB6D" w14:textId="77777777" w:rsidTr="00E34715">
        <w:tc>
          <w:tcPr>
            <w:tcW w:w="1147" w:type="pct"/>
            <w:tcBorders>
              <w:top w:val="single" w:sz="4" w:space="0" w:color="auto"/>
            </w:tcBorders>
            <w:vAlign w:val="center"/>
          </w:tcPr>
          <w:p w14:paraId="20A285F1"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sz w:val="20"/>
                <w:szCs w:val="20"/>
              </w:rPr>
              <w:t>SANSIKA</w:t>
            </w:r>
          </w:p>
        </w:tc>
        <w:tc>
          <w:tcPr>
            <w:tcW w:w="577" w:type="pct"/>
            <w:tcBorders>
              <w:top w:val="single" w:sz="4" w:space="0" w:color="auto"/>
            </w:tcBorders>
            <w:vAlign w:val="center"/>
          </w:tcPr>
          <w:p w14:paraId="15F9398F"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Primary</w:t>
            </w:r>
          </w:p>
        </w:tc>
        <w:tc>
          <w:tcPr>
            <w:tcW w:w="827" w:type="pct"/>
            <w:tcBorders>
              <w:top w:val="single" w:sz="4" w:space="0" w:color="auto"/>
            </w:tcBorders>
            <w:vAlign w:val="center"/>
          </w:tcPr>
          <w:p w14:paraId="1521CF9C"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44/154 (28.6)</w:t>
            </w:r>
          </w:p>
        </w:tc>
        <w:tc>
          <w:tcPr>
            <w:tcW w:w="558" w:type="pct"/>
            <w:tcBorders>
              <w:top w:val="single" w:sz="4" w:space="0" w:color="auto"/>
            </w:tcBorders>
            <w:vAlign w:val="center"/>
          </w:tcPr>
          <w:p w14:paraId="4D26510A"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21/91 (23.1)</w:t>
            </w:r>
          </w:p>
        </w:tc>
        <w:tc>
          <w:tcPr>
            <w:tcW w:w="745" w:type="pct"/>
            <w:tcBorders>
              <w:top w:val="single" w:sz="4" w:space="0" w:color="auto"/>
            </w:tcBorders>
            <w:vAlign w:val="center"/>
          </w:tcPr>
          <w:p w14:paraId="51FFBD68"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0.05 </w:t>
            </w:r>
            <w:r w:rsidRPr="0002798F">
              <w:rPr>
                <w:rFonts w:ascii="Arial Narrow" w:hAnsi="Arial Narrow"/>
                <w:sz w:val="20"/>
                <w:szCs w:val="20"/>
              </w:rPr>
              <w:br/>
              <w:t>(-0.06, 0.17)</w:t>
            </w:r>
          </w:p>
        </w:tc>
        <w:tc>
          <w:tcPr>
            <w:tcW w:w="665" w:type="pct"/>
            <w:tcBorders>
              <w:top w:val="single" w:sz="4" w:space="0" w:color="auto"/>
            </w:tcBorders>
            <w:vAlign w:val="center"/>
          </w:tcPr>
          <w:p w14:paraId="5B121147"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1.36</w:t>
            </w:r>
            <w:r w:rsidRPr="0002798F">
              <w:rPr>
                <w:rFonts w:ascii="Arial Narrow" w:hAnsi="Arial Narrow"/>
                <w:sz w:val="20"/>
                <w:szCs w:val="20"/>
              </w:rPr>
              <w:br/>
              <w:t>(0.74, 2.54)</w:t>
            </w:r>
          </w:p>
        </w:tc>
        <w:tc>
          <w:tcPr>
            <w:tcW w:w="481" w:type="pct"/>
            <w:tcBorders>
              <w:top w:val="single" w:sz="4" w:space="0" w:color="auto"/>
            </w:tcBorders>
            <w:vAlign w:val="center"/>
          </w:tcPr>
          <w:p w14:paraId="5F2DAA1B"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0.326</w:t>
            </w:r>
          </w:p>
        </w:tc>
      </w:tr>
      <w:tr w:rsidR="002303D6" w:rsidRPr="0002798F" w14:paraId="23CA370F" w14:textId="77777777" w:rsidTr="00E34715">
        <w:tc>
          <w:tcPr>
            <w:tcW w:w="1147" w:type="pct"/>
            <w:tcBorders>
              <w:bottom w:val="single" w:sz="4" w:space="0" w:color="auto"/>
            </w:tcBorders>
            <w:vAlign w:val="center"/>
          </w:tcPr>
          <w:p w14:paraId="3C9A3AD6"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sz w:val="20"/>
                <w:szCs w:val="20"/>
              </w:rPr>
              <w:t>SICCANOVE</w:t>
            </w:r>
          </w:p>
        </w:tc>
        <w:tc>
          <w:tcPr>
            <w:tcW w:w="577" w:type="pct"/>
            <w:tcBorders>
              <w:bottom w:val="single" w:sz="4" w:space="0" w:color="auto"/>
            </w:tcBorders>
            <w:vAlign w:val="center"/>
          </w:tcPr>
          <w:p w14:paraId="03CFEF80"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NR</w:t>
            </w:r>
          </w:p>
        </w:tc>
        <w:tc>
          <w:tcPr>
            <w:tcW w:w="827" w:type="pct"/>
            <w:tcBorders>
              <w:bottom w:val="single" w:sz="4" w:space="0" w:color="auto"/>
            </w:tcBorders>
            <w:vAlign w:val="center"/>
          </w:tcPr>
          <w:p w14:paraId="5B23A71D"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NR</w:t>
            </w:r>
          </w:p>
        </w:tc>
        <w:tc>
          <w:tcPr>
            <w:tcW w:w="558" w:type="pct"/>
            <w:tcBorders>
              <w:bottom w:val="single" w:sz="4" w:space="0" w:color="auto"/>
            </w:tcBorders>
            <w:vAlign w:val="center"/>
          </w:tcPr>
          <w:p w14:paraId="01CEE46C"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w:t>
            </w:r>
          </w:p>
        </w:tc>
        <w:tc>
          <w:tcPr>
            <w:tcW w:w="745" w:type="pct"/>
            <w:tcBorders>
              <w:bottom w:val="single" w:sz="4" w:space="0" w:color="auto"/>
            </w:tcBorders>
            <w:vAlign w:val="center"/>
          </w:tcPr>
          <w:p w14:paraId="791DB163"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w:t>
            </w:r>
          </w:p>
        </w:tc>
        <w:tc>
          <w:tcPr>
            <w:tcW w:w="665" w:type="pct"/>
            <w:tcBorders>
              <w:bottom w:val="single" w:sz="4" w:space="0" w:color="auto"/>
            </w:tcBorders>
            <w:vAlign w:val="center"/>
          </w:tcPr>
          <w:p w14:paraId="032B1EFA"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w:t>
            </w:r>
          </w:p>
        </w:tc>
        <w:tc>
          <w:tcPr>
            <w:tcW w:w="481" w:type="pct"/>
            <w:tcBorders>
              <w:bottom w:val="single" w:sz="4" w:space="0" w:color="auto"/>
            </w:tcBorders>
            <w:vAlign w:val="center"/>
          </w:tcPr>
          <w:p w14:paraId="2850188A"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w:t>
            </w:r>
          </w:p>
        </w:tc>
      </w:tr>
      <w:tr w:rsidR="002303D6" w:rsidRPr="0002798F" w14:paraId="42E7819C" w14:textId="77777777" w:rsidTr="00E34715">
        <w:tc>
          <w:tcPr>
            <w:tcW w:w="2551" w:type="pct"/>
            <w:gridSpan w:val="3"/>
            <w:tcBorders>
              <w:top w:val="single" w:sz="4" w:space="0" w:color="auto"/>
              <w:left w:val="single" w:sz="4" w:space="0" w:color="auto"/>
              <w:bottom w:val="single" w:sz="4" w:space="0" w:color="auto"/>
              <w:right w:val="nil"/>
            </w:tcBorders>
            <w:vAlign w:val="center"/>
          </w:tcPr>
          <w:p w14:paraId="1FAF0B86" w14:textId="77777777" w:rsidR="002303D6" w:rsidRPr="0002798F" w:rsidRDefault="002303D6" w:rsidP="00B14290">
            <w:pPr>
              <w:pStyle w:val="TableTextleftalign"/>
              <w:keepNext/>
              <w:widowControl w:val="0"/>
              <w:rPr>
                <w:rFonts w:ascii="Arial Narrow" w:hAnsi="Arial Narrow"/>
                <w:b/>
                <w:bCs/>
                <w:sz w:val="20"/>
                <w:szCs w:val="20"/>
              </w:rPr>
            </w:pPr>
            <w:r w:rsidRPr="0002798F">
              <w:rPr>
                <w:rFonts w:ascii="Arial Narrow" w:hAnsi="Arial Narrow"/>
                <w:b/>
                <w:bCs/>
                <w:sz w:val="20"/>
                <w:szCs w:val="20"/>
              </w:rPr>
              <w:t>Improvement ≥ 2 grades (CFS)</w:t>
            </w:r>
          </w:p>
        </w:tc>
        <w:tc>
          <w:tcPr>
            <w:tcW w:w="558" w:type="pct"/>
            <w:tcBorders>
              <w:top w:val="single" w:sz="4" w:space="0" w:color="auto"/>
              <w:left w:val="nil"/>
              <w:bottom w:val="single" w:sz="4" w:space="0" w:color="auto"/>
              <w:right w:val="nil"/>
            </w:tcBorders>
            <w:vAlign w:val="center"/>
          </w:tcPr>
          <w:p w14:paraId="1959DBB0" w14:textId="77777777" w:rsidR="002303D6" w:rsidRPr="0002798F" w:rsidRDefault="002303D6" w:rsidP="00B14290">
            <w:pPr>
              <w:pStyle w:val="TableTextleftalign"/>
              <w:keepNext/>
              <w:widowControl w:val="0"/>
              <w:jc w:val="center"/>
              <w:rPr>
                <w:rFonts w:ascii="Arial Narrow" w:hAnsi="Arial Narrow"/>
                <w:b/>
                <w:bCs/>
                <w:sz w:val="20"/>
                <w:szCs w:val="20"/>
              </w:rPr>
            </w:pPr>
          </w:p>
        </w:tc>
        <w:tc>
          <w:tcPr>
            <w:tcW w:w="745" w:type="pct"/>
            <w:tcBorders>
              <w:top w:val="single" w:sz="4" w:space="0" w:color="auto"/>
              <w:left w:val="nil"/>
              <w:bottom w:val="single" w:sz="4" w:space="0" w:color="auto"/>
              <w:right w:val="nil"/>
            </w:tcBorders>
            <w:vAlign w:val="center"/>
          </w:tcPr>
          <w:p w14:paraId="274DB7C5" w14:textId="77777777" w:rsidR="002303D6" w:rsidRPr="0002798F" w:rsidRDefault="002303D6" w:rsidP="00B14290">
            <w:pPr>
              <w:pStyle w:val="TableTextleftalign"/>
              <w:keepNext/>
              <w:widowControl w:val="0"/>
              <w:jc w:val="center"/>
              <w:rPr>
                <w:rFonts w:ascii="Arial Narrow" w:hAnsi="Arial Narrow"/>
                <w:b/>
                <w:bCs/>
                <w:sz w:val="20"/>
                <w:szCs w:val="20"/>
              </w:rPr>
            </w:pPr>
          </w:p>
        </w:tc>
        <w:tc>
          <w:tcPr>
            <w:tcW w:w="665" w:type="pct"/>
            <w:tcBorders>
              <w:top w:val="single" w:sz="4" w:space="0" w:color="auto"/>
              <w:left w:val="nil"/>
              <w:bottom w:val="single" w:sz="4" w:space="0" w:color="auto"/>
              <w:right w:val="nil"/>
            </w:tcBorders>
            <w:vAlign w:val="center"/>
          </w:tcPr>
          <w:p w14:paraId="6B8FC952" w14:textId="77777777" w:rsidR="002303D6" w:rsidRPr="0002798F" w:rsidRDefault="002303D6" w:rsidP="00B14290">
            <w:pPr>
              <w:pStyle w:val="TableTextleftalign"/>
              <w:keepNext/>
              <w:widowControl w:val="0"/>
              <w:jc w:val="center"/>
              <w:rPr>
                <w:rFonts w:ascii="Arial Narrow" w:hAnsi="Arial Narrow"/>
                <w:b/>
                <w:bCs/>
                <w:sz w:val="20"/>
                <w:szCs w:val="20"/>
              </w:rPr>
            </w:pPr>
          </w:p>
        </w:tc>
        <w:tc>
          <w:tcPr>
            <w:tcW w:w="481" w:type="pct"/>
            <w:tcBorders>
              <w:top w:val="single" w:sz="4" w:space="0" w:color="auto"/>
              <w:left w:val="nil"/>
              <w:bottom w:val="single" w:sz="4" w:space="0" w:color="auto"/>
              <w:right w:val="single" w:sz="4" w:space="0" w:color="auto"/>
            </w:tcBorders>
            <w:vAlign w:val="center"/>
          </w:tcPr>
          <w:p w14:paraId="062B36F1" w14:textId="77777777" w:rsidR="002303D6" w:rsidRPr="0002798F" w:rsidRDefault="002303D6" w:rsidP="00B14290">
            <w:pPr>
              <w:pStyle w:val="TableTextleftalign"/>
              <w:keepNext/>
              <w:widowControl w:val="0"/>
              <w:jc w:val="center"/>
              <w:rPr>
                <w:rFonts w:ascii="Arial Narrow" w:hAnsi="Arial Narrow"/>
                <w:b/>
                <w:bCs/>
                <w:sz w:val="20"/>
                <w:szCs w:val="20"/>
              </w:rPr>
            </w:pPr>
          </w:p>
        </w:tc>
      </w:tr>
      <w:tr w:rsidR="002303D6" w:rsidRPr="0002798F" w14:paraId="56FF6DE4" w14:textId="77777777" w:rsidTr="00E34715">
        <w:tc>
          <w:tcPr>
            <w:tcW w:w="1147" w:type="pct"/>
            <w:tcBorders>
              <w:top w:val="single" w:sz="4" w:space="0" w:color="auto"/>
            </w:tcBorders>
            <w:vAlign w:val="center"/>
          </w:tcPr>
          <w:p w14:paraId="46641124"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sz w:val="20"/>
                <w:szCs w:val="20"/>
              </w:rPr>
              <w:t>SANSIKA</w:t>
            </w:r>
          </w:p>
        </w:tc>
        <w:tc>
          <w:tcPr>
            <w:tcW w:w="577" w:type="pct"/>
            <w:tcBorders>
              <w:top w:val="single" w:sz="4" w:space="0" w:color="auto"/>
            </w:tcBorders>
            <w:vAlign w:val="center"/>
          </w:tcPr>
          <w:p w14:paraId="07F27942"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Secondary</w:t>
            </w:r>
          </w:p>
        </w:tc>
        <w:tc>
          <w:tcPr>
            <w:tcW w:w="827" w:type="pct"/>
            <w:tcBorders>
              <w:top w:val="single" w:sz="4" w:space="0" w:color="auto"/>
            </w:tcBorders>
            <w:vAlign w:val="center"/>
          </w:tcPr>
          <w:p w14:paraId="7C229105"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80/154 (51.9)</w:t>
            </w:r>
          </w:p>
        </w:tc>
        <w:tc>
          <w:tcPr>
            <w:tcW w:w="558" w:type="pct"/>
            <w:tcBorders>
              <w:top w:val="single" w:sz="4" w:space="0" w:color="auto"/>
            </w:tcBorders>
            <w:vAlign w:val="center"/>
          </w:tcPr>
          <w:p w14:paraId="552267EC"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41/91 (45.1)</w:t>
            </w:r>
          </w:p>
        </w:tc>
        <w:tc>
          <w:tcPr>
            <w:tcW w:w="745" w:type="pct"/>
            <w:tcBorders>
              <w:top w:val="single" w:sz="4" w:space="0" w:color="auto"/>
            </w:tcBorders>
            <w:vAlign w:val="center"/>
          </w:tcPr>
          <w:p w14:paraId="23F9B35C"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0.07 </w:t>
            </w:r>
            <w:r w:rsidRPr="0002798F">
              <w:rPr>
                <w:rFonts w:ascii="Arial Narrow" w:hAnsi="Arial Narrow"/>
                <w:sz w:val="20"/>
                <w:szCs w:val="20"/>
              </w:rPr>
              <w:br/>
              <w:t>(-0.06, 0.20)</w:t>
            </w:r>
          </w:p>
        </w:tc>
        <w:tc>
          <w:tcPr>
            <w:tcW w:w="665" w:type="pct"/>
            <w:tcBorders>
              <w:top w:val="single" w:sz="4" w:space="0" w:color="auto"/>
            </w:tcBorders>
            <w:vAlign w:val="center"/>
          </w:tcPr>
          <w:p w14:paraId="3D62961B"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1.288 </w:t>
            </w:r>
            <w:r w:rsidRPr="0002798F">
              <w:rPr>
                <w:rFonts w:ascii="Arial Narrow" w:hAnsi="Arial Narrow"/>
                <w:sz w:val="20"/>
                <w:szCs w:val="20"/>
              </w:rPr>
              <w:br/>
              <w:t>(0.761, 2.185)</w:t>
            </w:r>
          </w:p>
        </w:tc>
        <w:tc>
          <w:tcPr>
            <w:tcW w:w="481" w:type="pct"/>
            <w:tcBorders>
              <w:top w:val="single" w:sz="4" w:space="0" w:color="auto"/>
            </w:tcBorders>
            <w:vAlign w:val="center"/>
          </w:tcPr>
          <w:p w14:paraId="0A2560CE"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0.346</w:t>
            </w:r>
          </w:p>
        </w:tc>
      </w:tr>
      <w:tr w:rsidR="002303D6" w:rsidRPr="0002798F" w14:paraId="7D8C32BD" w14:textId="77777777" w:rsidTr="00E34715">
        <w:tc>
          <w:tcPr>
            <w:tcW w:w="1147" w:type="pct"/>
            <w:tcBorders>
              <w:bottom w:val="single" w:sz="4" w:space="0" w:color="auto"/>
            </w:tcBorders>
            <w:vAlign w:val="center"/>
          </w:tcPr>
          <w:p w14:paraId="2027A05E"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sz w:val="20"/>
                <w:szCs w:val="20"/>
              </w:rPr>
              <w:t>SICCANOVE</w:t>
            </w:r>
          </w:p>
        </w:tc>
        <w:tc>
          <w:tcPr>
            <w:tcW w:w="577" w:type="pct"/>
            <w:tcBorders>
              <w:bottom w:val="single" w:sz="4" w:space="0" w:color="auto"/>
            </w:tcBorders>
            <w:vAlign w:val="center"/>
          </w:tcPr>
          <w:p w14:paraId="2B3FF624"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NR</w:t>
            </w:r>
          </w:p>
        </w:tc>
        <w:tc>
          <w:tcPr>
            <w:tcW w:w="827" w:type="pct"/>
            <w:tcBorders>
              <w:bottom w:val="single" w:sz="4" w:space="0" w:color="auto"/>
            </w:tcBorders>
            <w:vAlign w:val="center"/>
          </w:tcPr>
          <w:p w14:paraId="4FD27B33"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NR</w:t>
            </w:r>
          </w:p>
        </w:tc>
        <w:tc>
          <w:tcPr>
            <w:tcW w:w="558" w:type="pct"/>
            <w:tcBorders>
              <w:bottom w:val="single" w:sz="4" w:space="0" w:color="auto"/>
            </w:tcBorders>
            <w:vAlign w:val="center"/>
          </w:tcPr>
          <w:p w14:paraId="58CD2F3D"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w:t>
            </w:r>
          </w:p>
        </w:tc>
        <w:tc>
          <w:tcPr>
            <w:tcW w:w="745" w:type="pct"/>
            <w:tcBorders>
              <w:bottom w:val="single" w:sz="4" w:space="0" w:color="auto"/>
            </w:tcBorders>
            <w:vAlign w:val="center"/>
          </w:tcPr>
          <w:p w14:paraId="529A1D96"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w:t>
            </w:r>
          </w:p>
        </w:tc>
        <w:tc>
          <w:tcPr>
            <w:tcW w:w="665" w:type="pct"/>
            <w:tcBorders>
              <w:bottom w:val="single" w:sz="4" w:space="0" w:color="auto"/>
            </w:tcBorders>
            <w:vAlign w:val="center"/>
          </w:tcPr>
          <w:p w14:paraId="7D6DE8F1"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w:t>
            </w:r>
          </w:p>
        </w:tc>
        <w:tc>
          <w:tcPr>
            <w:tcW w:w="481" w:type="pct"/>
            <w:tcBorders>
              <w:bottom w:val="single" w:sz="4" w:space="0" w:color="auto"/>
            </w:tcBorders>
            <w:vAlign w:val="center"/>
          </w:tcPr>
          <w:p w14:paraId="7C8E6380"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w:t>
            </w:r>
          </w:p>
        </w:tc>
      </w:tr>
      <w:tr w:rsidR="002303D6" w:rsidRPr="0002798F" w14:paraId="4ACD8BD8" w14:textId="77777777" w:rsidTr="00E34715">
        <w:tc>
          <w:tcPr>
            <w:tcW w:w="2551" w:type="pct"/>
            <w:gridSpan w:val="3"/>
            <w:tcBorders>
              <w:top w:val="single" w:sz="4" w:space="0" w:color="auto"/>
              <w:left w:val="single" w:sz="4" w:space="0" w:color="auto"/>
              <w:bottom w:val="single" w:sz="4" w:space="0" w:color="auto"/>
              <w:right w:val="nil"/>
            </w:tcBorders>
            <w:vAlign w:val="center"/>
          </w:tcPr>
          <w:p w14:paraId="068365A3" w14:textId="77777777" w:rsidR="002303D6" w:rsidRPr="0002798F" w:rsidRDefault="002303D6" w:rsidP="00B14290">
            <w:pPr>
              <w:pStyle w:val="TableTextleftalign"/>
              <w:keepNext/>
              <w:widowControl w:val="0"/>
              <w:rPr>
                <w:rFonts w:ascii="Arial Narrow" w:hAnsi="Arial Narrow"/>
                <w:b/>
                <w:bCs/>
                <w:sz w:val="20"/>
                <w:szCs w:val="20"/>
              </w:rPr>
            </w:pPr>
            <w:r w:rsidRPr="0002798F">
              <w:rPr>
                <w:rFonts w:ascii="Arial Narrow" w:hAnsi="Arial Narrow"/>
                <w:b/>
                <w:bCs/>
                <w:sz w:val="20"/>
                <w:szCs w:val="20"/>
              </w:rPr>
              <w:t>Improvement ≥ 30% (OSDI)</w:t>
            </w:r>
          </w:p>
        </w:tc>
        <w:tc>
          <w:tcPr>
            <w:tcW w:w="558" w:type="pct"/>
            <w:tcBorders>
              <w:top w:val="single" w:sz="4" w:space="0" w:color="auto"/>
              <w:left w:val="nil"/>
              <w:bottom w:val="single" w:sz="4" w:space="0" w:color="auto"/>
              <w:right w:val="nil"/>
            </w:tcBorders>
            <w:vAlign w:val="center"/>
          </w:tcPr>
          <w:p w14:paraId="79DEE41F" w14:textId="77777777" w:rsidR="002303D6" w:rsidRPr="0002798F" w:rsidRDefault="002303D6" w:rsidP="00B14290">
            <w:pPr>
              <w:pStyle w:val="TableTextleftalign"/>
              <w:keepNext/>
              <w:widowControl w:val="0"/>
              <w:jc w:val="center"/>
              <w:rPr>
                <w:rFonts w:ascii="Arial Narrow" w:hAnsi="Arial Narrow"/>
                <w:b/>
                <w:bCs/>
                <w:sz w:val="20"/>
                <w:szCs w:val="20"/>
              </w:rPr>
            </w:pPr>
          </w:p>
        </w:tc>
        <w:tc>
          <w:tcPr>
            <w:tcW w:w="745" w:type="pct"/>
            <w:tcBorders>
              <w:top w:val="single" w:sz="4" w:space="0" w:color="auto"/>
              <w:left w:val="nil"/>
              <w:bottom w:val="single" w:sz="4" w:space="0" w:color="auto"/>
              <w:right w:val="nil"/>
            </w:tcBorders>
            <w:vAlign w:val="center"/>
          </w:tcPr>
          <w:p w14:paraId="76E26528" w14:textId="77777777" w:rsidR="002303D6" w:rsidRPr="0002798F" w:rsidRDefault="002303D6" w:rsidP="00B14290">
            <w:pPr>
              <w:pStyle w:val="TableTextleftalign"/>
              <w:keepNext/>
              <w:widowControl w:val="0"/>
              <w:jc w:val="center"/>
              <w:rPr>
                <w:rFonts w:ascii="Arial Narrow" w:hAnsi="Arial Narrow"/>
                <w:b/>
                <w:bCs/>
                <w:sz w:val="20"/>
                <w:szCs w:val="20"/>
              </w:rPr>
            </w:pPr>
          </w:p>
        </w:tc>
        <w:tc>
          <w:tcPr>
            <w:tcW w:w="665" w:type="pct"/>
            <w:tcBorders>
              <w:top w:val="single" w:sz="4" w:space="0" w:color="auto"/>
              <w:left w:val="nil"/>
              <w:bottom w:val="single" w:sz="4" w:space="0" w:color="auto"/>
              <w:right w:val="nil"/>
            </w:tcBorders>
            <w:vAlign w:val="center"/>
          </w:tcPr>
          <w:p w14:paraId="664F9EF3" w14:textId="77777777" w:rsidR="002303D6" w:rsidRPr="0002798F" w:rsidRDefault="002303D6" w:rsidP="00B14290">
            <w:pPr>
              <w:pStyle w:val="TableTextleftalign"/>
              <w:keepNext/>
              <w:widowControl w:val="0"/>
              <w:jc w:val="center"/>
              <w:rPr>
                <w:rFonts w:ascii="Arial Narrow" w:hAnsi="Arial Narrow"/>
                <w:b/>
                <w:bCs/>
                <w:sz w:val="20"/>
                <w:szCs w:val="20"/>
              </w:rPr>
            </w:pPr>
          </w:p>
        </w:tc>
        <w:tc>
          <w:tcPr>
            <w:tcW w:w="481" w:type="pct"/>
            <w:tcBorders>
              <w:top w:val="single" w:sz="4" w:space="0" w:color="auto"/>
              <w:left w:val="nil"/>
              <w:bottom w:val="single" w:sz="4" w:space="0" w:color="auto"/>
              <w:right w:val="single" w:sz="4" w:space="0" w:color="auto"/>
            </w:tcBorders>
            <w:vAlign w:val="center"/>
          </w:tcPr>
          <w:p w14:paraId="1791AE04" w14:textId="77777777" w:rsidR="002303D6" w:rsidRPr="0002798F" w:rsidRDefault="002303D6" w:rsidP="00B14290">
            <w:pPr>
              <w:pStyle w:val="TableTextleftalign"/>
              <w:keepNext/>
              <w:widowControl w:val="0"/>
              <w:jc w:val="center"/>
              <w:rPr>
                <w:rFonts w:ascii="Arial Narrow" w:hAnsi="Arial Narrow"/>
                <w:b/>
                <w:bCs/>
                <w:sz w:val="20"/>
                <w:szCs w:val="20"/>
              </w:rPr>
            </w:pPr>
          </w:p>
        </w:tc>
      </w:tr>
      <w:tr w:rsidR="002303D6" w:rsidRPr="0002798F" w14:paraId="10485E74" w14:textId="77777777" w:rsidTr="00E34715">
        <w:tc>
          <w:tcPr>
            <w:tcW w:w="1147" w:type="pct"/>
            <w:tcBorders>
              <w:top w:val="single" w:sz="4" w:space="0" w:color="auto"/>
            </w:tcBorders>
            <w:vAlign w:val="center"/>
          </w:tcPr>
          <w:p w14:paraId="4A7AC6BE"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sz w:val="20"/>
                <w:szCs w:val="20"/>
              </w:rPr>
              <w:t>SANSIKA</w:t>
            </w:r>
          </w:p>
        </w:tc>
        <w:tc>
          <w:tcPr>
            <w:tcW w:w="577" w:type="pct"/>
            <w:tcBorders>
              <w:top w:val="single" w:sz="4" w:space="0" w:color="auto"/>
            </w:tcBorders>
            <w:vAlign w:val="center"/>
          </w:tcPr>
          <w:p w14:paraId="632748BA"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Secondary</w:t>
            </w:r>
          </w:p>
        </w:tc>
        <w:tc>
          <w:tcPr>
            <w:tcW w:w="827" w:type="pct"/>
            <w:tcBorders>
              <w:top w:val="single" w:sz="4" w:space="0" w:color="auto"/>
            </w:tcBorders>
            <w:vAlign w:val="center"/>
          </w:tcPr>
          <w:p w14:paraId="751E0260"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61/154 (39.6)</w:t>
            </w:r>
          </w:p>
        </w:tc>
        <w:tc>
          <w:tcPr>
            <w:tcW w:w="558" w:type="pct"/>
            <w:tcBorders>
              <w:top w:val="single" w:sz="4" w:space="0" w:color="auto"/>
            </w:tcBorders>
            <w:vAlign w:val="center"/>
          </w:tcPr>
          <w:p w14:paraId="1B4E11EA"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36/91 (39.6)</w:t>
            </w:r>
          </w:p>
        </w:tc>
        <w:tc>
          <w:tcPr>
            <w:tcW w:w="745" w:type="pct"/>
            <w:tcBorders>
              <w:top w:val="single" w:sz="4" w:space="0" w:color="auto"/>
            </w:tcBorders>
            <w:vAlign w:val="center"/>
          </w:tcPr>
          <w:p w14:paraId="1D120D5C"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0.00 </w:t>
            </w:r>
            <w:r w:rsidRPr="0002798F">
              <w:rPr>
                <w:rFonts w:ascii="Arial Narrow" w:hAnsi="Arial Narrow"/>
                <w:sz w:val="20"/>
                <w:szCs w:val="20"/>
              </w:rPr>
              <w:br/>
              <w:t>(-0.13, 0.13)</w:t>
            </w:r>
          </w:p>
        </w:tc>
        <w:tc>
          <w:tcPr>
            <w:tcW w:w="665" w:type="pct"/>
            <w:tcBorders>
              <w:top w:val="single" w:sz="4" w:space="0" w:color="auto"/>
            </w:tcBorders>
            <w:vAlign w:val="center"/>
          </w:tcPr>
          <w:p w14:paraId="5897439C"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1.021 </w:t>
            </w:r>
            <w:r w:rsidRPr="0002798F">
              <w:rPr>
                <w:rFonts w:ascii="Arial Narrow" w:hAnsi="Arial Narrow"/>
                <w:sz w:val="20"/>
                <w:szCs w:val="20"/>
              </w:rPr>
              <w:br/>
              <w:t>(0.598, 1.755)</w:t>
            </w:r>
          </w:p>
        </w:tc>
        <w:tc>
          <w:tcPr>
            <w:tcW w:w="481" w:type="pct"/>
            <w:tcBorders>
              <w:top w:val="single" w:sz="4" w:space="0" w:color="auto"/>
            </w:tcBorders>
            <w:vAlign w:val="center"/>
          </w:tcPr>
          <w:p w14:paraId="3E09928F"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0.939</w:t>
            </w:r>
          </w:p>
        </w:tc>
      </w:tr>
      <w:tr w:rsidR="002303D6" w:rsidRPr="0002798F" w14:paraId="195CC231" w14:textId="77777777" w:rsidTr="00E34715">
        <w:tc>
          <w:tcPr>
            <w:tcW w:w="1147" w:type="pct"/>
            <w:tcBorders>
              <w:bottom w:val="single" w:sz="4" w:space="0" w:color="auto"/>
            </w:tcBorders>
            <w:vAlign w:val="center"/>
          </w:tcPr>
          <w:p w14:paraId="435C4E33"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sz w:val="20"/>
                <w:szCs w:val="20"/>
              </w:rPr>
              <w:t>SICCANOVE</w:t>
            </w:r>
          </w:p>
        </w:tc>
        <w:tc>
          <w:tcPr>
            <w:tcW w:w="577" w:type="pct"/>
            <w:tcBorders>
              <w:bottom w:val="single" w:sz="4" w:space="0" w:color="auto"/>
            </w:tcBorders>
            <w:vAlign w:val="center"/>
          </w:tcPr>
          <w:p w14:paraId="4730CDFF"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NR</w:t>
            </w:r>
          </w:p>
        </w:tc>
        <w:tc>
          <w:tcPr>
            <w:tcW w:w="827" w:type="pct"/>
            <w:tcBorders>
              <w:bottom w:val="single" w:sz="4" w:space="0" w:color="auto"/>
            </w:tcBorders>
            <w:vAlign w:val="center"/>
          </w:tcPr>
          <w:p w14:paraId="365B96D0"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NR</w:t>
            </w:r>
          </w:p>
        </w:tc>
        <w:tc>
          <w:tcPr>
            <w:tcW w:w="558" w:type="pct"/>
            <w:tcBorders>
              <w:bottom w:val="single" w:sz="4" w:space="0" w:color="auto"/>
            </w:tcBorders>
            <w:vAlign w:val="center"/>
          </w:tcPr>
          <w:p w14:paraId="72B587F8" w14:textId="69B10092" w:rsidR="002303D6" w:rsidRPr="0002798F" w:rsidRDefault="00B5452F" w:rsidP="00B14290">
            <w:pPr>
              <w:pStyle w:val="TableTextcentred"/>
              <w:keepNext/>
              <w:widowControl w:val="0"/>
              <w:rPr>
                <w:rFonts w:ascii="Arial Narrow" w:hAnsi="Arial Narrow"/>
                <w:sz w:val="20"/>
                <w:szCs w:val="20"/>
              </w:rPr>
            </w:pPr>
            <w:r>
              <w:rPr>
                <w:rFonts w:ascii="Arial Narrow" w:hAnsi="Arial Narrow"/>
                <w:sz w:val="20"/>
                <w:szCs w:val="20"/>
              </w:rPr>
              <w:t>-</w:t>
            </w:r>
          </w:p>
        </w:tc>
        <w:tc>
          <w:tcPr>
            <w:tcW w:w="745" w:type="pct"/>
            <w:tcBorders>
              <w:bottom w:val="single" w:sz="4" w:space="0" w:color="auto"/>
            </w:tcBorders>
            <w:vAlign w:val="center"/>
          </w:tcPr>
          <w:p w14:paraId="392E3034" w14:textId="2BF3F226" w:rsidR="002303D6" w:rsidRPr="0002798F" w:rsidRDefault="00B5452F" w:rsidP="00B14290">
            <w:pPr>
              <w:pStyle w:val="TableTextcentred"/>
              <w:keepNext/>
              <w:widowControl w:val="0"/>
              <w:rPr>
                <w:rFonts w:ascii="Arial Narrow" w:hAnsi="Arial Narrow"/>
                <w:sz w:val="20"/>
                <w:szCs w:val="20"/>
              </w:rPr>
            </w:pPr>
            <w:r>
              <w:rPr>
                <w:rFonts w:ascii="Arial Narrow" w:hAnsi="Arial Narrow"/>
                <w:sz w:val="20"/>
                <w:szCs w:val="20"/>
              </w:rPr>
              <w:t>-</w:t>
            </w:r>
          </w:p>
        </w:tc>
        <w:tc>
          <w:tcPr>
            <w:tcW w:w="665" w:type="pct"/>
            <w:tcBorders>
              <w:bottom w:val="single" w:sz="4" w:space="0" w:color="auto"/>
            </w:tcBorders>
            <w:vAlign w:val="center"/>
          </w:tcPr>
          <w:p w14:paraId="3BFBFF27" w14:textId="64471051" w:rsidR="002303D6" w:rsidRPr="0002798F" w:rsidRDefault="00B5452F" w:rsidP="00B14290">
            <w:pPr>
              <w:pStyle w:val="TableTextcentred"/>
              <w:keepNext/>
              <w:widowControl w:val="0"/>
              <w:rPr>
                <w:rFonts w:ascii="Arial Narrow" w:hAnsi="Arial Narrow"/>
                <w:sz w:val="20"/>
                <w:szCs w:val="20"/>
              </w:rPr>
            </w:pPr>
            <w:r>
              <w:rPr>
                <w:rFonts w:ascii="Arial Narrow" w:hAnsi="Arial Narrow"/>
                <w:sz w:val="20"/>
                <w:szCs w:val="20"/>
              </w:rPr>
              <w:t>-</w:t>
            </w:r>
          </w:p>
        </w:tc>
        <w:tc>
          <w:tcPr>
            <w:tcW w:w="481" w:type="pct"/>
            <w:tcBorders>
              <w:bottom w:val="single" w:sz="4" w:space="0" w:color="auto"/>
            </w:tcBorders>
            <w:vAlign w:val="center"/>
          </w:tcPr>
          <w:p w14:paraId="4D7840DA" w14:textId="4648B5EB" w:rsidR="002303D6" w:rsidRPr="0002798F" w:rsidRDefault="00B5452F" w:rsidP="00B14290">
            <w:pPr>
              <w:pStyle w:val="TableTextcentred"/>
              <w:keepNext/>
              <w:widowControl w:val="0"/>
              <w:rPr>
                <w:rFonts w:ascii="Arial Narrow" w:hAnsi="Arial Narrow"/>
                <w:sz w:val="20"/>
                <w:szCs w:val="20"/>
              </w:rPr>
            </w:pPr>
            <w:r>
              <w:rPr>
                <w:rFonts w:ascii="Arial Narrow" w:hAnsi="Arial Narrow"/>
                <w:sz w:val="20"/>
                <w:szCs w:val="20"/>
              </w:rPr>
              <w:t>-</w:t>
            </w:r>
          </w:p>
        </w:tc>
      </w:tr>
      <w:tr w:rsidR="002303D6" w:rsidRPr="0002798F" w14:paraId="4A921041" w14:textId="77777777" w:rsidTr="00E34715">
        <w:tc>
          <w:tcPr>
            <w:tcW w:w="2551" w:type="pct"/>
            <w:gridSpan w:val="3"/>
            <w:tcBorders>
              <w:top w:val="single" w:sz="4" w:space="0" w:color="auto"/>
              <w:left w:val="single" w:sz="4" w:space="0" w:color="auto"/>
              <w:bottom w:val="single" w:sz="4" w:space="0" w:color="auto"/>
              <w:right w:val="nil"/>
            </w:tcBorders>
            <w:vAlign w:val="center"/>
          </w:tcPr>
          <w:p w14:paraId="169280DC"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b/>
                <w:sz w:val="20"/>
                <w:szCs w:val="20"/>
              </w:rPr>
              <w:t>Improvement ≥ 3 grades (CFS) and 30% (OSDI)</w:t>
            </w:r>
          </w:p>
        </w:tc>
        <w:tc>
          <w:tcPr>
            <w:tcW w:w="558" w:type="pct"/>
            <w:tcBorders>
              <w:top w:val="single" w:sz="4" w:space="0" w:color="auto"/>
              <w:left w:val="nil"/>
              <w:bottom w:val="single" w:sz="4" w:space="0" w:color="auto"/>
              <w:right w:val="nil"/>
            </w:tcBorders>
            <w:vAlign w:val="center"/>
          </w:tcPr>
          <w:p w14:paraId="0D662E19" w14:textId="77777777" w:rsidR="002303D6" w:rsidRPr="0002798F" w:rsidRDefault="002303D6" w:rsidP="00B14290">
            <w:pPr>
              <w:pStyle w:val="TableTextleftalign"/>
              <w:keepNext/>
              <w:widowControl w:val="0"/>
              <w:jc w:val="center"/>
              <w:rPr>
                <w:rFonts w:ascii="Arial Narrow" w:hAnsi="Arial Narrow"/>
                <w:sz w:val="20"/>
                <w:szCs w:val="20"/>
              </w:rPr>
            </w:pPr>
          </w:p>
        </w:tc>
        <w:tc>
          <w:tcPr>
            <w:tcW w:w="745" w:type="pct"/>
            <w:tcBorders>
              <w:top w:val="single" w:sz="4" w:space="0" w:color="auto"/>
              <w:left w:val="nil"/>
              <w:bottom w:val="single" w:sz="4" w:space="0" w:color="auto"/>
              <w:right w:val="nil"/>
            </w:tcBorders>
            <w:vAlign w:val="center"/>
          </w:tcPr>
          <w:p w14:paraId="24033513" w14:textId="77777777" w:rsidR="002303D6" w:rsidRPr="0002798F" w:rsidRDefault="002303D6" w:rsidP="00B14290">
            <w:pPr>
              <w:pStyle w:val="TableTextleftalign"/>
              <w:keepNext/>
              <w:widowControl w:val="0"/>
              <w:jc w:val="center"/>
              <w:rPr>
                <w:rFonts w:ascii="Arial Narrow" w:hAnsi="Arial Narrow"/>
                <w:sz w:val="20"/>
                <w:szCs w:val="20"/>
              </w:rPr>
            </w:pPr>
          </w:p>
        </w:tc>
        <w:tc>
          <w:tcPr>
            <w:tcW w:w="665" w:type="pct"/>
            <w:tcBorders>
              <w:top w:val="single" w:sz="4" w:space="0" w:color="auto"/>
              <w:left w:val="nil"/>
              <w:bottom w:val="single" w:sz="4" w:space="0" w:color="auto"/>
              <w:right w:val="nil"/>
            </w:tcBorders>
            <w:vAlign w:val="center"/>
          </w:tcPr>
          <w:p w14:paraId="2A17D206" w14:textId="77777777" w:rsidR="002303D6" w:rsidRPr="0002798F" w:rsidRDefault="002303D6" w:rsidP="00B14290">
            <w:pPr>
              <w:pStyle w:val="TableTextleftalign"/>
              <w:keepNext/>
              <w:widowControl w:val="0"/>
              <w:jc w:val="center"/>
              <w:rPr>
                <w:rFonts w:ascii="Arial Narrow" w:hAnsi="Arial Narrow"/>
                <w:sz w:val="20"/>
                <w:szCs w:val="20"/>
              </w:rPr>
            </w:pPr>
          </w:p>
        </w:tc>
        <w:tc>
          <w:tcPr>
            <w:tcW w:w="481" w:type="pct"/>
            <w:tcBorders>
              <w:top w:val="single" w:sz="4" w:space="0" w:color="auto"/>
              <w:left w:val="nil"/>
              <w:bottom w:val="single" w:sz="4" w:space="0" w:color="auto"/>
              <w:right w:val="single" w:sz="4" w:space="0" w:color="auto"/>
            </w:tcBorders>
            <w:vAlign w:val="center"/>
          </w:tcPr>
          <w:p w14:paraId="6EE10BE4" w14:textId="77777777" w:rsidR="002303D6" w:rsidRPr="0002798F" w:rsidRDefault="002303D6" w:rsidP="00B14290">
            <w:pPr>
              <w:pStyle w:val="TableTextleftalign"/>
              <w:keepNext/>
              <w:widowControl w:val="0"/>
              <w:jc w:val="center"/>
              <w:rPr>
                <w:rFonts w:ascii="Arial Narrow" w:hAnsi="Arial Narrow"/>
                <w:sz w:val="20"/>
                <w:szCs w:val="20"/>
              </w:rPr>
            </w:pPr>
          </w:p>
        </w:tc>
      </w:tr>
      <w:tr w:rsidR="002303D6" w:rsidRPr="0002798F" w14:paraId="6D86AAD2" w14:textId="77777777" w:rsidTr="00E34715">
        <w:tc>
          <w:tcPr>
            <w:tcW w:w="1147" w:type="pct"/>
            <w:tcBorders>
              <w:top w:val="single" w:sz="4" w:space="0" w:color="auto"/>
            </w:tcBorders>
            <w:vAlign w:val="center"/>
          </w:tcPr>
          <w:p w14:paraId="60867324"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sz w:val="20"/>
                <w:szCs w:val="20"/>
              </w:rPr>
              <w:t>SANSIKA</w:t>
            </w:r>
          </w:p>
        </w:tc>
        <w:tc>
          <w:tcPr>
            <w:tcW w:w="577" w:type="pct"/>
            <w:tcBorders>
              <w:top w:val="single" w:sz="4" w:space="0" w:color="auto"/>
            </w:tcBorders>
            <w:vAlign w:val="center"/>
          </w:tcPr>
          <w:p w14:paraId="20FC0AA4" w14:textId="23C9BE28" w:rsidR="002303D6" w:rsidRPr="0002798F" w:rsidRDefault="006750FD" w:rsidP="00B14290">
            <w:pPr>
              <w:pStyle w:val="TableTextcentred"/>
              <w:keepNext/>
              <w:widowControl w:val="0"/>
              <w:rPr>
                <w:rFonts w:ascii="Arial Narrow" w:hAnsi="Arial Narrow"/>
                <w:sz w:val="20"/>
                <w:szCs w:val="20"/>
              </w:rPr>
            </w:pPr>
            <w:r>
              <w:rPr>
                <w:rFonts w:ascii="Arial Narrow" w:hAnsi="Arial Narrow"/>
                <w:sz w:val="20"/>
                <w:szCs w:val="20"/>
              </w:rPr>
              <w:t>Post hoc</w:t>
            </w:r>
          </w:p>
        </w:tc>
        <w:tc>
          <w:tcPr>
            <w:tcW w:w="827" w:type="pct"/>
            <w:tcBorders>
              <w:top w:val="single" w:sz="4" w:space="0" w:color="auto"/>
            </w:tcBorders>
            <w:vAlign w:val="center"/>
          </w:tcPr>
          <w:p w14:paraId="0030F1E6"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29/154 (18.8)</w:t>
            </w:r>
          </w:p>
        </w:tc>
        <w:tc>
          <w:tcPr>
            <w:tcW w:w="558" w:type="pct"/>
            <w:tcBorders>
              <w:top w:val="single" w:sz="4" w:space="0" w:color="auto"/>
            </w:tcBorders>
            <w:vAlign w:val="center"/>
          </w:tcPr>
          <w:p w14:paraId="70BCC07F"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7/91 </w:t>
            </w:r>
            <w:r w:rsidRPr="0002798F">
              <w:rPr>
                <w:rFonts w:ascii="Arial Narrow" w:hAnsi="Arial Narrow"/>
                <w:sz w:val="20"/>
                <w:szCs w:val="20"/>
              </w:rPr>
              <w:br/>
              <w:t>(7.7)</w:t>
            </w:r>
          </w:p>
        </w:tc>
        <w:tc>
          <w:tcPr>
            <w:tcW w:w="745" w:type="pct"/>
            <w:tcBorders>
              <w:top w:val="single" w:sz="4" w:space="0" w:color="auto"/>
            </w:tcBorders>
            <w:vAlign w:val="center"/>
          </w:tcPr>
          <w:p w14:paraId="1431ADF8"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0.11 </w:t>
            </w:r>
            <w:r w:rsidRPr="0002798F">
              <w:rPr>
                <w:rFonts w:ascii="Arial Narrow" w:hAnsi="Arial Narrow"/>
                <w:sz w:val="20"/>
                <w:szCs w:val="20"/>
              </w:rPr>
              <w:br/>
              <w:t>(0.03, 0.19)</w:t>
            </w:r>
          </w:p>
        </w:tc>
        <w:tc>
          <w:tcPr>
            <w:tcW w:w="665" w:type="pct"/>
            <w:tcBorders>
              <w:top w:val="single" w:sz="4" w:space="0" w:color="auto"/>
            </w:tcBorders>
            <w:vAlign w:val="center"/>
          </w:tcPr>
          <w:p w14:paraId="50EBBF43"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2.95 </w:t>
            </w:r>
            <w:r w:rsidRPr="0002798F">
              <w:rPr>
                <w:rFonts w:ascii="Arial Narrow" w:hAnsi="Arial Narrow"/>
                <w:sz w:val="20"/>
                <w:szCs w:val="20"/>
              </w:rPr>
              <w:br/>
              <w:t>(1.28, 7.68)</w:t>
            </w:r>
          </w:p>
        </w:tc>
        <w:tc>
          <w:tcPr>
            <w:tcW w:w="481" w:type="pct"/>
            <w:tcBorders>
              <w:top w:val="single" w:sz="4" w:space="0" w:color="auto"/>
            </w:tcBorders>
            <w:vAlign w:val="center"/>
          </w:tcPr>
          <w:p w14:paraId="7F1541B5"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b/>
                <w:bCs/>
                <w:sz w:val="20"/>
                <w:szCs w:val="20"/>
              </w:rPr>
              <w:t>0.016</w:t>
            </w:r>
          </w:p>
        </w:tc>
      </w:tr>
      <w:tr w:rsidR="002303D6" w:rsidRPr="0002798F" w14:paraId="1BCA4C96" w14:textId="77777777" w:rsidTr="00E34715">
        <w:tc>
          <w:tcPr>
            <w:tcW w:w="1147" w:type="pct"/>
            <w:tcBorders>
              <w:bottom w:val="single" w:sz="4" w:space="0" w:color="auto"/>
            </w:tcBorders>
            <w:vAlign w:val="center"/>
          </w:tcPr>
          <w:p w14:paraId="6254340C"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sz w:val="20"/>
                <w:szCs w:val="20"/>
              </w:rPr>
              <w:t>SICCANOVE</w:t>
            </w:r>
          </w:p>
        </w:tc>
        <w:tc>
          <w:tcPr>
            <w:tcW w:w="577" w:type="pct"/>
            <w:tcBorders>
              <w:bottom w:val="single" w:sz="4" w:space="0" w:color="auto"/>
            </w:tcBorders>
            <w:vAlign w:val="center"/>
          </w:tcPr>
          <w:p w14:paraId="535D90A4"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NR</w:t>
            </w:r>
          </w:p>
        </w:tc>
        <w:tc>
          <w:tcPr>
            <w:tcW w:w="827" w:type="pct"/>
            <w:tcBorders>
              <w:bottom w:val="single" w:sz="4" w:space="0" w:color="auto"/>
            </w:tcBorders>
            <w:vAlign w:val="center"/>
          </w:tcPr>
          <w:p w14:paraId="4782CD14"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NR</w:t>
            </w:r>
          </w:p>
        </w:tc>
        <w:tc>
          <w:tcPr>
            <w:tcW w:w="558" w:type="pct"/>
            <w:tcBorders>
              <w:bottom w:val="single" w:sz="4" w:space="0" w:color="auto"/>
            </w:tcBorders>
            <w:vAlign w:val="center"/>
          </w:tcPr>
          <w:p w14:paraId="00024885"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w:t>
            </w:r>
          </w:p>
        </w:tc>
        <w:tc>
          <w:tcPr>
            <w:tcW w:w="745" w:type="pct"/>
            <w:tcBorders>
              <w:bottom w:val="single" w:sz="4" w:space="0" w:color="auto"/>
            </w:tcBorders>
            <w:vAlign w:val="center"/>
          </w:tcPr>
          <w:p w14:paraId="72A4B808"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w:t>
            </w:r>
          </w:p>
        </w:tc>
        <w:tc>
          <w:tcPr>
            <w:tcW w:w="665" w:type="pct"/>
            <w:tcBorders>
              <w:bottom w:val="single" w:sz="4" w:space="0" w:color="auto"/>
            </w:tcBorders>
            <w:vAlign w:val="center"/>
          </w:tcPr>
          <w:p w14:paraId="34350112"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w:t>
            </w:r>
          </w:p>
        </w:tc>
        <w:tc>
          <w:tcPr>
            <w:tcW w:w="481" w:type="pct"/>
            <w:tcBorders>
              <w:bottom w:val="single" w:sz="4" w:space="0" w:color="auto"/>
            </w:tcBorders>
            <w:vAlign w:val="center"/>
          </w:tcPr>
          <w:p w14:paraId="7076E208" w14:textId="77777777" w:rsidR="002303D6" w:rsidRPr="0002798F" w:rsidRDefault="002303D6" w:rsidP="00B14290">
            <w:pPr>
              <w:pStyle w:val="TableTextcentred"/>
              <w:keepNext/>
              <w:widowControl w:val="0"/>
              <w:rPr>
                <w:rFonts w:ascii="Arial Narrow" w:hAnsi="Arial Narrow"/>
                <w:b/>
                <w:bCs/>
                <w:sz w:val="20"/>
                <w:szCs w:val="20"/>
              </w:rPr>
            </w:pPr>
            <w:r w:rsidRPr="0002798F">
              <w:rPr>
                <w:rFonts w:ascii="Arial Narrow" w:hAnsi="Arial Narrow"/>
                <w:b/>
                <w:bCs/>
                <w:sz w:val="20"/>
                <w:szCs w:val="20"/>
              </w:rPr>
              <w:t>-</w:t>
            </w:r>
          </w:p>
        </w:tc>
      </w:tr>
    </w:tbl>
    <w:p w14:paraId="0CA5B0E0" w14:textId="77777777" w:rsidR="00DE2D6C" w:rsidRDefault="00DE2D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Results for CFS-OSDI response across the 0.1% CsA CE studies"/>
        <w:tblDescription w:val="Table 8: Results for CFS-OSDI response across the 0.1% CsA CE studies"/>
      </w:tblPr>
      <w:tblGrid>
        <w:gridCol w:w="2065"/>
        <w:gridCol w:w="1041"/>
        <w:gridCol w:w="1495"/>
        <w:gridCol w:w="1006"/>
        <w:gridCol w:w="1345"/>
        <w:gridCol w:w="1199"/>
        <w:gridCol w:w="866"/>
      </w:tblGrid>
      <w:tr w:rsidR="0063748C" w:rsidRPr="0002798F" w14:paraId="177C5FBC" w14:textId="77777777" w:rsidTr="0063748C">
        <w:tc>
          <w:tcPr>
            <w:tcW w:w="1145" w:type="pct"/>
            <w:tcBorders>
              <w:top w:val="single" w:sz="4" w:space="0" w:color="auto"/>
              <w:left w:val="single" w:sz="4" w:space="0" w:color="auto"/>
              <w:bottom w:val="single" w:sz="4" w:space="0" w:color="auto"/>
              <w:right w:val="single" w:sz="4" w:space="0" w:color="auto"/>
            </w:tcBorders>
            <w:shd w:val="clear" w:color="auto" w:fill="auto"/>
            <w:vAlign w:val="center"/>
          </w:tcPr>
          <w:p w14:paraId="363CDF5B" w14:textId="021C0E41" w:rsidR="0063748C" w:rsidRPr="0002798F" w:rsidRDefault="0063748C" w:rsidP="0063748C">
            <w:pPr>
              <w:pStyle w:val="In-tableHeading"/>
              <w:rPr>
                <w:bCs/>
                <w:szCs w:val="20"/>
              </w:rPr>
            </w:pPr>
            <w:r w:rsidRPr="0002798F">
              <w:lastRenderedPageBreak/>
              <w:t>Trial ID</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851801F" w14:textId="095B8A8A" w:rsidR="0063748C" w:rsidRPr="0002798F" w:rsidRDefault="0063748C" w:rsidP="0063748C">
            <w:pPr>
              <w:pStyle w:val="In-tableHeading"/>
              <w:rPr>
                <w:bCs/>
                <w:szCs w:val="20"/>
              </w:rPr>
            </w:pPr>
            <w:r w:rsidRPr="0002798F">
              <w:t>Endpoint</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49AD174D" w14:textId="17DE8915" w:rsidR="0063748C" w:rsidRPr="0002798F" w:rsidRDefault="0063748C" w:rsidP="0063748C">
            <w:pPr>
              <w:pStyle w:val="In-tableHeading"/>
              <w:rPr>
                <w:bCs/>
                <w:szCs w:val="20"/>
              </w:rPr>
            </w:pPr>
            <w:r>
              <w:t xml:space="preserve">0.1% </w:t>
            </w:r>
            <w:proofErr w:type="spellStart"/>
            <w:r>
              <w:t>CsA</w:t>
            </w:r>
            <w:proofErr w:type="spellEnd"/>
            <w:r>
              <w:t xml:space="preserve"> CE </w:t>
            </w:r>
            <w:r w:rsidRPr="0002798F">
              <w:t>n/N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14:paraId="4F3DB6E5" w14:textId="77777777" w:rsidR="0063748C" w:rsidRPr="0002798F" w:rsidRDefault="0063748C" w:rsidP="0063748C">
            <w:pPr>
              <w:pStyle w:val="In-tableHeading"/>
            </w:pPr>
            <w:r w:rsidRPr="0002798F">
              <w:t>Vehicle</w:t>
            </w:r>
          </w:p>
          <w:p w14:paraId="1063D059" w14:textId="0D9E5CB4" w:rsidR="0063748C" w:rsidRPr="0002798F" w:rsidRDefault="0063748C" w:rsidP="0063748C">
            <w:pPr>
              <w:pStyle w:val="In-tableHeading"/>
              <w:rPr>
                <w:bCs/>
                <w:szCs w:val="20"/>
              </w:rPr>
            </w:pPr>
            <w:r w:rsidRPr="0002798F">
              <w:t>n/N (%)</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603CA4F8" w14:textId="0F571799" w:rsidR="0063748C" w:rsidRPr="0002798F" w:rsidRDefault="0063748C" w:rsidP="0063748C">
            <w:pPr>
              <w:pStyle w:val="In-tableHeading"/>
              <w:rPr>
                <w:bCs/>
                <w:szCs w:val="20"/>
              </w:rPr>
            </w:pPr>
            <w:r w:rsidRPr="0002798F">
              <w:t>Risk difference (95% CI)</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1191B89B" w14:textId="1B30F085" w:rsidR="0063748C" w:rsidRPr="0002798F" w:rsidRDefault="0063748C" w:rsidP="0063748C">
            <w:pPr>
              <w:pStyle w:val="In-tableHeading"/>
              <w:rPr>
                <w:bCs/>
                <w:szCs w:val="20"/>
              </w:rPr>
            </w:pPr>
            <w:r w:rsidRPr="0002798F">
              <w:t xml:space="preserve">Odds ratio </w:t>
            </w:r>
            <w:r w:rsidRPr="0002798F">
              <w:br/>
              <w:t>(95% CI)</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C65C67B" w14:textId="3F87F10A" w:rsidR="0063748C" w:rsidRPr="0002798F" w:rsidRDefault="0063748C" w:rsidP="0063748C">
            <w:pPr>
              <w:pStyle w:val="In-tableHeading"/>
              <w:rPr>
                <w:bCs/>
                <w:szCs w:val="20"/>
              </w:rPr>
            </w:pPr>
            <w:r w:rsidRPr="0002798F">
              <w:t>p-value</w:t>
            </w:r>
          </w:p>
        </w:tc>
      </w:tr>
      <w:tr w:rsidR="002303D6" w:rsidRPr="0002798F" w14:paraId="128FDEA0" w14:textId="77777777" w:rsidTr="00B14290">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E8DDC0"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b/>
                <w:bCs/>
                <w:sz w:val="20"/>
                <w:szCs w:val="20"/>
              </w:rPr>
              <w:t>PBS eligible subgroup – SICCANOVE (CFS=4; OSDI ≥ 23)</w:t>
            </w:r>
          </w:p>
        </w:tc>
      </w:tr>
      <w:tr w:rsidR="002303D6" w:rsidRPr="0002798F" w14:paraId="0BE66A3F" w14:textId="77777777" w:rsidTr="0063748C">
        <w:tc>
          <w:tcPr>
            <w:tcW w:w="3109" w:type="pct"/>
            <w:gridSpan w:val="4"/>
            <w:tcBorders>
              <w:top w:val="single" w:sz="4" w:space="0" w:color="auto"/>
              <w:left w:val="single" w:sz="4" w:space="0" w:color="auto"/>
              <w:bottom w:val="single" w:sz="4" w:space="0" w:color="auto"/>
              <w:right w:val="nil"/>
            </w:tcBorders>
            <w:vAlign w:val="center"/>
          </w:tcPr>
          <w:p w14:paraId="345C6BBB"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b/>
                <w:bCs/>
                <w:sz w:val="20"/>
                <w:szCs w:val="20"/>
              </w:rPr>
              <w:t>Improvement ≥ 2 grades (CFS) and 30% (OSDI)</w:t>
            </w:r>
          </w:p>
        </w:tc>
        <w:tc>
          <w:tcPr>
            <w:tcW w:w="746" w:type="pct"/>
            <w:tcBorders>
              <w:top w:val="single" w:sz="4" w:space="0" w:color="auto"/>
              <w:left w:val="nil"/>
              <w:bottom w:val="single" w:sz="4" w:space="0" w:color="auto"/>
              <w:right w:val="nil"/>
            </w:tcBorders>
            <w:vAlign w:val="center"/>
          </w:tcPr>
          <w:p w14:paraId="589DA2F9" w14:textId="77777777" w:rsidR="002303D6" w:rsidRPr="0002798F" w:rsidRDefault="002303D6" w:rsidP="00B14290">
            <w:pPr>
              <w:pStyle w:val="TableTextleftalign"/>
              <w:keepNext/>
              <w:widowControl w:val="0"/>
              <w:jc w:val="center"/>
              <w:rPr>
                <w:rFonts w:ascii="Arial Narrow" w:hAnsi="Arial Narrow"/>
                <w:sz w:val="20"/>
                <w:szCs w:val="20"/>
              </w:rPr>
            </w:pPr>
          </w:p>
        </w:tc>
        <w:tc>
          <w:tcPr>
            <w:tcW w:w="665" w:type="pct"/>
            <w:tcBorders>
              <w:top w:val="single" w:sz="4" w:space="0" w:color="auto"/>
              <w:left w:val="nil"/>
              <w:bottom w:val="single" w:sz="4" w:space="0" w:color="auto"/>
              <w:right w:val="nil"/>
            </w:tcBorders>
            <w:vAlign w:val="center"/>
          </w:tcPr>
          <w:p w14:paraId="32821395" w14:textId="77777777" w:rsidR="002303D6" w:rsidRPr="0002798F" w:rsidRDefault="002303D6" w:rsidP="00B14290">
            <w:pPr>
              <w:pStyle w:val="TableTextleftalign"/>
              <w:keepNext/>
              <w:widowControl w:val="0"/>
              <w:jc w:val="center"/>
              <w:rPr>
                <w:rFonts w:ascii="Arial Narrow" w:hAnsi="Arial Narrow"/>
                <w:sz w:val="20"/>
                <w:szCs w:val="20"/>
              </w:rPr>
            </w:pPr>
          </w:p>
        </w:tc>
        <w:tc>
          <w:tcPr>
            <w:tcW w:w="480" w:type="pct"/>
            <w:tcBorders>
              <w:top w:val="single" w:sz="4" w:space="0" w:color="auto"/>
              <w:left w:val="nil"/>
              <w:bottom w:val="single" w:sz="4" w:space="0" w:color="auto"/>
              <w:right w:val="single" w:sz="4" w:space="0" w:color="auto"/>
            </w:tcBorders>
            <w:vAlign w:val="center"/>
          </w:tcPr>
          <w:p w14:paraId="43360EE6" w14:textId="77777777" w:rsidR="002303D6" w:rsidRPr="0002798F" w:rsidRDefault="002303D6" w:rsidP="00B14290">
            <w:pPr>
              <w:pStyle w:val="TableTextleftalign"/>
              <w:keepNext/>
              <w:widowControl w:val="0"/>
              <w:jc w:val="center"/>
              <w:rPr>
                <w:rFonts w:ascii="Arial Narrow" w:hAnsi="Arial Narrow"/>
                <w:sz w:val="20"/>
                <w:szCs w:val="20"/>
              </w:rPr>
            </w:pPr>
          </w:p>
        </w:tc>
      </w:tr>
      <w:tr w:rsidR="002303D6" w:rsidRPr="0002798F" w14:paraId="5E5240CB" w14:textId="77777777" w:rsidTr="0063748C">
        <w:tc>
          <w:tcPr>
            <w:tcW w:w="1145" w:type="pct"/>
            <w:tcBorders>
              <w:top w:val="single" w:sz="4" w:space="0" w:color="auto"/>
              <w:bottom w:val="single" w:sz="4" w:space="0" w:color="auto"/>
            </w:tcBorders>
            <w:vAlign w:val="center"/>
          </w:tcPr>
          <w:p w14:paraId="21869A73"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sz w:val="20"/>
                <w:szCs w:val="20"/>
              </w:rPr>
              <w:t>SICCANOVE CFS=4; OSDI ≥ 23 (SG)</w:t>
            </w:r>
          </w:p>
        </w:tc>
        <w:tc>
          <w:tcPr>
            <w:tcW w:w="577" w:type="pct"/>
            <w:tcBorders>
              <w:top w:val="single" w:sz="4" w:space="0" w:color="auto"/>
              <w:bottom w:val="single" w:sz="4" w:space="0" w:color="auto"/>
            </w:tcBorders>
            <w:vAlign w:val="center"/>
          </w:tcPr>
          <w:p w14:paraId="43E00405" w14:textId="2D71F54B" w:rsidR="002303D6" w:rsidRPr="0002798F" w:rsidRDefault="006750FD" w:rsidP="00B14290">
            <w:pPr>
              <w:pStyle w:val="TableTextcentred"/>
              <w:keepNext/>
              <w:widowControl w:val="0"/>
              <w:rPr>
                <w:rFonts w:ascii="Arial Narrow" w:hAnsi="Arial Narrow"/>
                <w:sz w:val="20"/>
                <w:szCs w:val="20"/>
              </w:rPr>
            </w:pPr>
            <w:r>
              <w:rPr>
                <w:rFonts w:ascii="Arial Narrow" w:hAnsi="Arial Narrow"/>
                <w:sz w:val="20"/>
                <w:szCs w:val="20"/>
              </w:rPr>
              <w:t>Post hoc</w:t>
            </w:r>
          </w:p>
        </w:tc>
        <w:tc>
          <w:tcPr>
            <w:tcW w:w="829" w:type="pct"/>
            <w:tcBorders>
              <w:top w:val="single" w:sz="4" w:space="0" w:color="auto"/>
              <w:bottom w:val="single" w:sz="4" w:space="0" w:color="auto"/>
            </w:tcBorders>
            <w:vAlign w:val="center"/>
          </w:tcPr>
          <w:p w14:paraId="04071048"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12/39 </w:t>
            </w:r>
            <w:r w:rsidRPr="0002798F">
              <w:rPr>
                <w:rFonts w:ascii="Arial Narrow" w:hAnsi="Arial Narrow"/>
                <w:sz w:val="20"/>
                <w:szCs w:val="20"/>
              </w:rPr>
              <w:br/>
              <w:t>(30.8)</w:t>
            </w:r>
          </w:p>
        </w:tc>
        <w:tc>
          <w:tcPr>
            <w:tcW w:w="558" w:type="pct"/>
            <w:tcBorders>
              <w:top w:val="single" w:sz="4" w:space="0" w:color="auto"/>
              <w:bottom w:val="single" w:sz="4" w:space="0" w:color="auto"/>
            </w:tcBorders>
            <w:vAlign w:val="center"/>
          </w:tcPr>
          <w:p w14:paraId="1E08532E"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2/36 </w:t>
            </w:r>
            <w:r w:rsidRPr="0002798F">
              <w:rPr>
                <w:rFonts w:ascii="Arial Narrow" w:hAnsi="Arial Narrow"/>
                <w:sz w:val="20"/>
                <w:szCs w:val="20"/>
              </w:rPr>
              <w:br/>
              <w:t>(5.6)</w:t>
            </w:r>
          </w:p>
        </w:tc>
        <w:tc>
          <w:tcPr>
            <w:tcW w:w="746" w:type="pct"/>
            <w:tcBorders>
              <w:top w:val="single" w:sz="4" w:space="0" w:color="auto"/>
              <w:bottom w:val="single" w:sz="4" w:space="0" w:color="auto"/>
            </w:tcBorders>
            <w:vAlign w:val="center"/>
          </w:tcPr>
          <w:p w14:paraId="406BC7F4"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0.25</w:t>
            </w:r>
          </w:p>
          <w:p w14:paraId="01E2B6FB"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(0.09, 0.42)</w:t>
            </w:r>
          </w:p>
        </w:tc>
        <w:tc>
          <w:tcPr>
            <w:tcW w:w="665" w:type="pct"/>
            <w:tcBorders>
              <w:top w:val="single" w:sz="4" w:space="0" w:color="auto"/>
              <w:bottom w:val="single" w:sz="4" w:space="0" w:color="auto"/>
            </w:tcBorders>
            <w:vAlign w:val="center"/>
          </w:tcPr>
          <w:p w14:paraId="71927EC4"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7.56</w:t>
            </w:r>
          </w:p>
          <w:p w14:paraId="1C161F44"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(1.56, </w:t>
            </w:r>
            <w:proofErr w:type="gramStart"/>
            <w:r w:rsidRPr="0002798F">
              <w:rPr>
                <w:rFonts w:ascii="Arial Narrow" w:hAnsi="Arial Narrow"/>
                <w:sz w:val="20"/>
                <w:szCs w:val="20"/>
              </w:rPr>
              <w:t>36.68)</w:t>
            </w:r>
            <w:r w:rsidRPr="0002798F">
              <w:rPr>
                <w:rFonts w:ascii="Arial Narrow" w:hAnsi="Arial Narrow"/>
                <w:sz w:val="20"/>
                <w:szCs w:val="20"/>
                <w:vertAlign w:val="superscript"/>
              </w:rPr>
              <w:t>a</w:t>
            </w:r>
            <w:proofErr w:type="gramEnd"/>
          </w:p>
        </w:tc>
        <w:tc>
          <w:tcPr>
            <w:tcW w:w="480" w:type="pct"/>
            <w:tcBorders>
              <w:top w:val="single" w:sz="4" w:space="0" w:color="auto"/>
              <w:bottom w:val="single" w:sz="4" w:space="0" w:color="auto"/>
            </w:tcBorders>
            <w:vAlign w:val="center"/>
          </w:tcPr>
          <w:p w14:paraId="17BA3A10" w14:textId="77777777" w:rsidR="002303D6" w:rsidRPr="0002798F" w:rsidRDefault="002303D6" w:rsidP="00B14290">
            <w:pPr>
              <w:pStyle w:val="TableTextcentred"/>
              <w:keepNext/>
              <w:widowControl w:val="0"/>
              <w:rPr>
                <w:rFonts w:ascii="Arial Narrow" w:hAnsi="Arial Narrow"/>
                <w:b/>
                <w:bCs/>
                <w:sz w:val="20"/>
                <w:szCs w:val="20"/>
              </w:rPr>
            </w:pPr>
            <w:r w:rsidRPr="0002798F">
              <w:rPr>
                <w:rFonts w:ascii="Arial Narrow" w:hAnsi="Arial Narrow"/>
                <w:b/>
                <w:bCs/>
                <w:sz w:val="20"/>
                <w:szCs w:val="20"/>
              </w:rPr>
              <w:t>0.004</w:t>
            </w:r>
          </w:p>
        </w:tc>
      </w:tr>
      <w:tr w:rsidR="002303D6" w:rsidRPr="0002798F" w14:paraId="050138B2" w14:textId="77777777" w:rsidTr="0063748C">
        <w:tc>
          <w:tcPr>
            <w:tcW w:w="2551" w:type="pct"/>
            <w:gridSpan w:val="3"/>
            <w:tcBorders>
              <w:top w:val="single" w:sz="4" w:space="0" w:color="auto"/>
              <w:left w:val="single" w:sz="4" w:space="0" w:color="auto"/>
              <w:bottom w:val="single" w:sz="4" w:space="0" w:color="auto"/>
              <w:right w:val="nil"/>
            </w:tcBorders>
            <w:vAlign w:val="center"/>
          </w:tcPr>
          <w:p w14:paraId="148C8271"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b/>
                <w:bCs/>
                <w:sz w:val="20"/>
                <w:szCs w:val="20"/>
              </w:rPr>
              <w:t>Improvement ≥ 2 grades (CFS)</w:t>
            </w:r>
          </w:p>
        </w:tc>
        <w:tc>
          <w:tcPr>
            <w:tcW w:w="558" w:type="pct"/>
            <w:tcBorders>
              <w:top w:val="single" w:sz="4" w:space="0" w:color="auto"/>
              <w:left w:val="nil"/>
              <w:bottom w:val="single" w:sz="4" w:space="0" w:color="auto"/>
              <w:right w:val="nil"/>
            </w:tcBorders>
            <w:vAlign w:val="center"/>
          </w:tcPr>
          <w:p w14:paraId="6D74E298" w14:textId="77777777" w:rsidR="002303D6" w:rsidRPr="0002798F" w:rsidRDefault="002303D6" w:rsidP="00B14290">
            <w:pPr>
              <w:pStyle w:val="TableTextleftalign"/>
              <w:keepNext/>
              <w:widowControl w:val="0"/>
              <w:jc w:val="center"/>
              <w:rPr>
                <w:rFonts w:ascii="Arial Narrow" w:hAnsi="Arial Narrow"/>
                <w:sz w:val="20"/>
                <w:szCs w:val="20"/>
              </w:rPr>
            </w:pPr>
          </w:p>
        </w:tc>
        <w:tc>
          <w:tcPr>
            <w:tcW w:w="746" w:type="pct"/>
            <w:tcBorders>
              <w:top w:val="single" w:sz="4" w:space="0" w:color="auto"/>
              <w:left w:val="nil"/>
              <w:bottom w:val="single" w:sz="4" w:space="0" w:color="auto"/>
              <w:right w:val="nil"/>
            </w:tcBorders>
            <w:vAlign w:val="center"/>
          </w:tcPr>
          <w:p w14:paraId="3825CE3D" w14:textId="77777777" w:rsidR="002303D6" w:rsidRPr="0002798F" w:rsidRDefault="002303D6" w:rsidP="00B14290">
            <w:pPr>
              <w:pStyle w:val="TableTextleftalign"/>
              <w:keepNext/>
              <w:widowControl w:val="0"/>
              <w:jc w:val="center"/>
              <w:rPr>
                <w:rFonts w:ascii="Arial Narrow" w:hAnsi="Arial Narrow"/>
                <w:sz w:val="20"/>
                <w:szCs w:val="20"/>
              </w:rPr>
            </w:pPr>
          </w:p>
        </w:tc>
        <w:tc>
          <w:tcPr>
            <w:tcW w:w="665" w:type="pct"/>
            <w:tcBorders>
              <w:top w:val="single" w:sz="4" w:space="0" w:color="auto"/>
              <w:left w:val="nil"/>
              <w:bottom w:val="single" w:sz="4" w:space="0" w:color="auto"/>
              <w:right w:val="nil"/>
            </w:tcBorders>
            <w:vAlign w:val="center"/>
          </w:tcPr>
          <w:p w14:paraId="1D65DF17" w14:textId="77777777" w:rsidR="002303D6" w:rsidRPr="0002798F" w:rsidRDefault="002303D6" w:rsidP="00B14290">
            <w:pPr>
              <w:pStyle w:val="TableTextleftalign"/>
              <w:keepNext/>
              <w:widowControl w:val="0"/>
              <w:jc w:val="center"/>
              <w:rPr>
                <w:rFonts w:ascii="Arial Narrow" w:hAnsi="Arial Narrow"/>
                <w:sz w:val="20"/>
                <w:szCs w:val="20"/>
              </w:rPr>
            </w:pPr>
          </w:p>
        </w:tc>
        <w:tc>
          <w:tcPr>
            <w:tcW w:w="480" w:type="pct"/>
            <w:tcBorders>
              <w:top w:val="single" w:sz="4" w:space="0" w:color="auto"/>
              <w:left w:val="nil"/>
              <w:bottom w:val="single" w:sz="4" w:space="0" w:color="auto"/>
              <w:right w:val="single" w:sz="4" w:space="0" w:color="auto"/>
            </w:tcBorders>
            <w:vAlign w:val="center"/>
          </w:tcPr>
          <w:p w14:paraId="682C4288" w14:textId="77777777" w:rsidR="002303D6" w:rsidRPr="0002798F" w:rsidRDefault="002303D6" w:rsidP="00B14290">
            <w:pPr>
              <w:pStyle w:val="TableTextleftalign"/>
              <w:keepNext/>
              <w:widowControl w:val="0"/>
              <w:jc w:val="center"/>
              <w:rPr>
                <w:rFonts w:ascii="Arial Narrow" w:hAnsi="Arial Narrow"/>
                <w:b/>
                <w:bCs/>
                <w:sz w:val="20"/>
                <w:szCs w:val="20"/>
              </w:rPr>
            </w:pPr>
          </w:p>
        </w:tc>
      </w:tr>
      <w:tr w:rsidR="002303D6" w:rsidRPr="0002798F" w14:paraId="37786D45" w14:textId="77777777" w:rsidTr="0063748C">
        <w:tc>
          <w:tcPr>
            <w:tcW w:w="1145" w:type="pct"/>
            <w:tcBorders>
              <w:top w:val="single" w:sz="4" w:space="0" w:color="auto"/>
              <w:bottom w:val="single" w:sz="4" w:space="0" w:color="auto"/>
            </w:tcBorders>
            <w:vAlign w:val="center"/>
          </w:tcPr>
          <w:p w14:paraId="1AE8BD9D"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sz w:val="20"/>
                <w:szCs w:val="20"/>
              </w:rPr>
              <w:t>SICCANOVE CFS=4; OSDI ≥ 23 (SG)</w:t>
            </w:r>
          </w:p>
        </w:tc>
        <w:tc>
          <w:tcPr>
            <w:tcW w:w="577" w:type="pct"/>
            <w:tcBorders>
              <w:top w:val="single" w:sz="4" w:space="0" w:color="auto"/>
              <w:bottom w:val="single" w:sz="4" w:space="0" w:color="auto"/>
            </w:tcBorders>
            <w:vAlign w:val="center"/>
          </w:tcPr>
          <w:p w14:paraId="6DBEE54F" w14:textId="4F1A3A5D" w:rsidR="002303D6" w:rsidRPr="0002798F" w:rsidRDefault="006750FD" w:rsidP="00B14290">
            <w:pPr>
              <w:pStyle w:val="TableTextcentred"/>
              <w:keepNext/>
              <w:widowControl w:val="0"/>
              <w:rPr>
                <w:rFonts w:ascii="Arial Narrow" w:hAnsi="Arial Narrow"/>
                <w:sz w:val="20"/>
                <w:szCs w:val="20"/>
              </w:rPr>
            </w:pPr>
            <w:r>
              <w:rPr>
                <w:rFonts w:ascii="Arial Narrow" w:hAnsi="Arial Narrow"/>
                <w:sz w:val="20"/>
                <w:szCs w:val="20"/>
              </w:rPr>
              <w:t>Post hoc</w:t>
            </w:r>
          </w:p>
        </w:tc>
        <w:tc>
          <w:tcPr>
            <w:tcW w:w="829" w:type="pct"/>
            <w:tcBorders>
              <w:top w:val="single" w:sz="4" w:space="0" w:color="auto"/>
              <w:bottom w:val="single" w:sz="4" w:space="0" w:color="auto"/>
            </w:tcBorders>
            <w:vAlign w:val="center"/>
          </w:tcPr>
          <w:p w14:paraId="4F6FE728"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16/39 </w:t>
            </w:r>
            <w:r w:rsidRPr="0002798F">
              <w:rPr>
                <w:rFonts w:ascii="Arial Narrow" w:hAnsi="Arial Narrow"/>
                <w:sz w:val="20"/>
                <w:szCs w:val="20"/>
              </w:rPr>
              <w:br/>
              <w:t>(41.0)</w:t>
            </w:r>
          </w:p>
        </w:tc>
        <w:tc>
          <w:tcPr>
            <w:tcW w:w="558" w:type="pct"/>
            <w:tcBorders>
              <w:top w:val="single" w:sz="4" w:space="0" w:color="auto"/>
              <w:bottom w:val="single" w:sz="4" w:space="0" w:color="auto"/>
            </w:tcBorders>
            <w:vAlign w:val="center"/>
          </w:tcPr>
          <w:p w14:paraId="1303D342"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6/36 </w:t>
            </w:r>
            <w:r w:rsidRPr="0002798F">
              <w:rPr>
                <w:rFonts w:ascii="Arial Narrow" w:hAnsi="Arial Narrow"/>
                <w:sz w:val="20"/>
                <w:szCs w:val="20"/>
              </w:rPr>
              <w:br/>
              <w:t>(16.7)</w:t>
            </w:r>
          </w:p>
        </w:tc>
        <w:tc>
          <w:tcPr>
            <w:tcW w:w="746" w:type="pct"/>
            <w:tcBorders>
              <w:top w:val="single" w:sz="4" w:space="0" w:color="auto"/>
              <w:bottom w:val="single" w:sz="4" w:space="0" w:color="auto"/>
            </w:tcBorders>
            <w:vAlign w:val="center"/>
          </w:tcPr>
          <w:p w14:paraId="14CC49C5"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0.24</w:t>
            </w:r>
          </w:p>
          <w:p w14:paraId="7C36C648"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(0.05, 0.44)</w:t>
            </w:r>
          </w:p>
        </w:tc>
        <w:tc>
          <w:tcPr>
            <w:tcW w:w="665" w:type="pct"/>
            <w:tcBorders>
              <w:top w:val="single" w:sz="4" w:space="0" w:color="auto"/>
              <w:bottom w:val="single" w:sz="4" w:space="0" w:color="auto"/>
            </w:tcBorders>
            <w:vAlign w:val="center"/>
          </w:tcPr>
          <w:p w14:paraId="5C61AF71"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3.48</w:t>
            </w:r>
          </w:p>
          <w:p w14:paraId="2A94627C"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(1.18, </w:t>
            </w:r>
            <w:proofErr w:type="gramStart"/>
            <w:r w:rsidRPr="0002798F">
              <w:rPr>
                <w:rFonts w:ascii="Arial Narrow" w:hAnsi="Arial Narrow"/>
                <w:sz w:val="20"/>
                <w:szCs w:val="20"/>
              </w:rPr>
              <w:t>10.29)</w:t>
            </w:r>
            <w:r w:rsidRPr="0002798F">
              <w:rPr>
                <w:rFonts w:ascii="Arial Narrow" w:hAnsi="Arial Narrow"/>
                <w:sz w:val="20"/>
                <w:szCs w:val="20"/>
                <w:vertAlign w:val="superscript"/>
              </w:rPr>
              <w:t>a</w:t>
            </w:r>
            <w:proofErr w:type="gramEnd"/>
          </w:p>
        </w:tc>
        <w:tc>
          <w:tcPr>
            <w:tcW w:w="480" w:type="pct"/>
            <w:tcBorders>
              <w:top w:val="single" w:sz="4" w:space="0" w:color="auto"/>
              <w:bottom w:val="single" w:sz="4" w:space="0" w:color="auto"/>
            </w:tcBorders>
            <w:vAlign w:val="center"/>
          </w:tcPr>
          <w:p w14:paraId="1993001F" w14:textId="77777777" w:rsidR="002303D6" w:rsidRPr="0002798F" w:rsidRDefault="002303D6" w:rsidP="00B14290">
            <w:pPr>
              <w:pStyle w:val="TableTextcentred"/>
              <w:keepNext/>
              <w:widowControl w:val="0"/>
              <w:rPr>
                <w:rFonts w:ascii="Arial Narrow" w:hAnsi="Arial Narrow"/>
                <w:b/>
                <w:bCs/>
                <w:sz w:val="20"/>
                <w:szCs w:val="20"/>
              </w:rPr>
            </w:pPr>
            <w:r w:rsidRPr="0002798F">
              <w:rPr>
                <w:rFonts w:ascii="Arial Narrow" w:hAnsi="Arial Narrow"/>
                <w:b/>
                <w:bCs/>
                <w:sz w:val="20"/>
                <w:szCs w:val="20"/>
              </w:rPr>
              <w:t>0.013</w:t>
            </w:r>
          </w:p>
        </w:tc>
      </w:tr>
      <w:tr w:rsidR="002303D6" w:rsidRPr="0002798F" w14:paraId="5116CCE5" w14:textId="77777777" w:rsidTr="0063748C">
        <w:tc>
          <w:tcPr>
            <w:tcW w:w="2551" w:type="pct"/>
            <w:gridSpan w:val="3"/>
            <w:tcBorders>
              <w:top w:val="single" w:sz="4" w:space="0" w:color="auto"/>
              <w:left w:val="single" w:sz="4" w:space="0" w:color="auto"/>
              <w:bottom w:val="single" w:sz="4" w:space="0" w:color="auto"/>
              <w:right w:val="nil"/>
            </w:tcBorders>
            <w:vAlign w:val="center"/>
          </w:tcPr>
          <w:p w14:paraId="2204B8E6"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b/>
                <w:bCs/>
                <w:sz w:val="20"/>
                <w:szCs w:val="20"/>
              </w:rPr>
              <w:t>Improvement ≥ 30% (OSDI)</w:t>
            </w:r>
          </w:p>
        </w:tc>
        <w:tc>
          <w:tcPr>
            <w:tcW w:w="558" w:type="pct"/>
            <w:tcBorders>
              <w:top w:val="single" w:sz="4" w:space="0" w:color="auto"/>
              <w:left w:val="nil"/>
              <w:bottom w:val="single" w:sz="4" w:space="0" w:color="auto"/>
              <w:right w:val="nil"/>
            </w:tcBorders>
            <w:vAlign w:val="center"/>
          </w:tcPr>
          <w:p w14:paraId="2A361850" w14:textId="77777777" w:rsidR="002303D6" w:rsidRPr="0002798F" w:rsidRDefault="002303D6" w:rsidP="00B14290">
            <w:pPr>
              <w:pStyle w:val="TableTextleftalign"/>
              <w:keepNext/>
              <w:widowControl w:val="0"/>
              <w:jc w:val="center"/>
              <w:rPr>
                <w:rFonts w:ascii="Arial Narrow" w:hAnsi="Arial Narrow"/>
                <w:sz w:val="20"/>
                <w:szCs w:val="20"/>
              </w:rPr>
            </w:pPr>
          </w:p>
        </w:tc>
        <w:tc>
          <w:tcPr>
            <w:tcW w:w="746" w:type="pct"/>
            <w:tcBorders>
              <w:top w:val="single" w:sz="4" w:space="0" w:color="auto"/>
              <w:left w:val="nil"/>
              <w:bottom w:val="single" w:sz="4" w:space="0" w:color="auto"/>
              <w:right w:val="nil"/>
            </w:tcBorders>
            <w:vAlign w:val="center"/>
          </w:tcPr>
          <w:p w14:paraId="784F76D9" w14:textId="77777777" w:rsidR="002303D6" w:rsidRPr="0002798F" w:rsidRDefault="002303D6" w:rsidP="00B14290">
            <w:pPr>
              <w:pStyle w:val="TableTextleftalign"/>
              <w:keepNext/>
              <w:widowControl w:val="0"/>
              <w:jc w:val="center"/>
              <w:rPr>
                <w:rFonts w:ascii="Arial Narrow" w:hAnsi="Arial Narrow"/>
                <w:sz w:val="20"/>
                <w:szCs w:val="20"/>
              </w:rPr>
            </w:pPr>
          </w:p>
        </w:tc>
        <w:tc>
          <w:tcPr>
            <w:tcW w:w="665" w:type="pct"/>
            <w:tcBorders>
              <w:top w:val="single" w:sz="4" w:space="0" w:color="auto"/>
              <w:left w:val="nil"/>
              <w:bottom w:val="single" w:sz="4" w:space="0" w:color="auto"/>
              <w:right w:val="nil"/>
            </w:tcBorders>
            <w:vAlign w:val="center"/>
          </w:tcPr>
          <w:p w14:paraId="1B8F4F1B" w14:textId="77777777" w:rsidR="002303D6" w:rsidRPr="0002798F" w:rsidRDefault="002303D6" w:rsidP="00B14290">
            <w:pPr>
              <w:pStyle w:val="TableTextleftalign"/>
              <w:keepNext/>
              <w:widowControl w:val="0"/>
              <w:jc w:val="center"/>
              <w:rPr>
                <w:rFonts w:ascii="Arial Narrow" w:hAnsi="Arial Narrow"/>
                <w:sz w:val="20"/>
                <w:szCs w:val="20"/>
              </w:rPr>
            </w:pPr>
          </w:p>
        </w:tc>
        <w:tc>
          <w:tcPr>
            <w:tcW w:w="480" w:type="pct"/>
            <w:tcBorders>
              <w:top w:val="single" w:sz="4" w:space="0" w:color="auto"/>
              <w:left w:val="nil"/>
              <w:bottom w:val="single" w:sz="4" w:space="0" w:color="auto"/>
              <w:right w:val="single" w:sz="4" w:space="0" w:color="auto"/>
            </w:tcBorders>
            <w:vAlign w:val="center"/>
          </w:tcPr>
          <w:p w14:paraId="63DA846A" w14:textId="77777777" w:rsidR="002303D6" w:rsidRPr="0002798F" w:rsidRDefault="002303D6" w:rsidP="00B14290">
            <w:pPr>
              <w:pStyle w:val="TableTextleftalign"/>
              <w:keepNext/>
              <w:widowControl w:val="0"/>
              <w:jc w:val="center"/>
              <w:rPr>
                <w:rFonts w:ascii="Arial Narrow" w:hAnsi="Arial Narrow"/>
                <w:sz w:val="20"/>
                <w:szCs w:val="20"/>
              </w:rPr>
            </w:pPr>
          </w:p>
        </w:tc>
      </w:tr>
      <w:tr w:rsidR="002303D6" w:rsidRPr="0002798F" w14:paraId="69B8EB99" w14:textId="77777777" w:rsidTr="0063748C">
        <w:tc>
          <w:tcPr>
            <w:tcW w:w="1145" w:type="pct"/>
            <w:tcBorders>
              <w:top w:val="single" w:sz="4" w:space="0" w:color="auto"/>
              <w:bottom w:val="single" w:sz="4" w:space="0" w:color="auto"/>
            </w:tcBorders>
            <w:vAlign w:val="center"/>
          </w:tcPr>
          <w:p w14:paraId="72BF46BA"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sz w:val="20"/>
                <w:szCs w:val="20"/>
              </w:rPr>
              <w:t>SICCANOVE CFS=4; OSDI ≥ 23 (SG)</w:t>
            </w:r>
          </w:p>
        </w:tc>
        <w:tc>
          <w:tcPr>
            <w:tcW w:w="577" w:type="pct"/>
            <w:tcBorders>
              <w:top w:val="single" w:sz="4" w:space="0" w:color="auto"/>
              <w:bottom w:val="single" w:sz="4" w:space="0" w:color="auto"/>
            </w:tcBorders>
            <w:vAlign w:val="center"/>
          </w:tcPr>
          <w:p w14:paraId="2F095019" w14:textId="162B2567" w:rsidR="002303D6" w:rsidRPr="0002798F" w:rsidRDefault="006750FD" w:rsidP="00B14290">
            <w:pPr>
              <w:pStyle w:val="TableTextcentred"/>
              <w:keepNext/>
              <w:widowControl w:val="0"/>
              <w:rPr>
                <w:rFonts w:ascii="Arial Narrow" w:hAnsi="Arial Narrow"/>
                <w:sz w:val="20"/>
                <w:szCs w:val="20"/>
              </w:rPr>
            </w:pPr>
            <w:r>
              <w:rPr>
                <w:rFonts w:ascii="Arial Narrow" w:hAnsi="Arial Narrow"/>
                <w:sz w:val="20"/>
                <w:szCs w:val="20"/>
              </w:rPr>
              <w:t>Post hoc</w:t>
            </w:r>
          </w:p>
        </w:tc>
        <w:tc>
          <w:tcPr>
            <w:tcW w:w="829" w:type="pct"/>
            <w:tcBorders>
              <w:top w:val="single" w:sz="4" w:space="0" w:color="auto"/>
              <w:bottom w:val="single" w:sz="4" w:space="0" w:color="auto"/>
            </w:tcBorders>
            <w:vAlign w:val="center"/>
          </w:tcPr>
          <w:p w14:paraId="135292BF"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16/39 </w:t>
            </w:r>
            <w:r w:rsidRPr="0002798F">
              <w:rPr>
                <w:rFonts w:ascii="Arial Narrow" w:hAnsi="Arial Narrow"/>
                <w:sz w:val="20"/>
                <w:szCs w:val="20"/>
              </w:rPr>
              <w:br/>
              <w:t>(41.0)</w:t>
            </w:r>
          </w:p>
        </w:tc>
        <w:tc>
          <w:tcPr>
            <w:tcW w:w="558" w:type="pct"/>
            <w:tcBorders>
              <w:top w:val="single" w:sz="4" w:space="0" w:color="auto"/>
              <w:bottom w:val="single" w:sz="4" w:space="0" w:color="auto"/>
            </w:tcBorders>
            <w:vAlign w:val="center"/>
          </w:tcPr>
          <w:p w14:paraId="61D45DAF"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9/36 </w:t>
            </w:r>
            <w:r w:rsidRPr="0002798F">
              <w:rPr>
                <w:rFonts w:ascii="Arial Narrow" w:hAnsi="Arial Narrow"/>
                <w:sz w:val="20"/>
                <w:szCs w:val="20"/>
              </w:rPr>
              <w:br/>
              <w:t>(25.0)</w:t>
            </w:r>
          </w:p>
        </w:tc>
        <w:tc>
          <w:tcPr>
            <w:tcW w:w="746" w:type="pct"/>
            <w:tcBorders>
              <w:top w:val="single" w:sz="4" w:space="0" w:color="auto"/>
              <w:bottom w:val="single" w:sz="4" w:space="0" w:color="auto"/>
            </w:tcBorders>
            <w:vAlign w:val="center"/>
          </w:tcPr>
          <w:p w14:paraId="2B1AFA89"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0.16</w:t>
            </w:r>
          </w:p>
          <w:p w14:paraId="450A2C31"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(-0.05, 0.37)</w:t>
            </w:r>
          </w:p>
        </w:tc>
        <w:tc>
          <w:tcPr>
            <w:tcW w:w="665" w:type="pct"/>
            <w:tcBorders>
              <w:top w:val="single" w:sz="4" w:space="0" w:color="auto"/>
              <w:bottom w:val="single" w:sz="4" w:space="0" w:color="auto"/>
            </w:tcBorders>
            <w:vAlign w:val="center"/>
          </w:tcPr>
          <w:p w14:paraId="324E2626"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2.09</w:t>
            </w:r>
          </w:p>
          <w:p w14:paraId="7B1A4B2E"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 xml:space="preserve">(0.78, </w:t>
            </w:r>
            <w:proofErr w:type="gramStart"/>
            <w:r w:rsidRPr="0002798F">
              <w:rPr>
                <w:rFonts w:ascii="Arial Narrow" w:hAnsi="Arial Narrow"/>
                <w:sz w:val="20"/>
                <w:szCs w:val="20"/>
              </w:rPr>
              <w:t>5.61)</w:t>
            </w:r>
            <w:r w:rsidRPr="0002798F">
              <w:rPr>
                <w:rFonts w:ascii="Arial Narrow" w:hAnsi="Arial Narrow"/>
                <w:sz w:val="20"/>
                <w:szCs w:val="20"/>
                <w:vertAlign w:val="superscript"/>
              </w:rPr>
              <w:t>a</w:t>
            </w:r>
            <w:proofErr w:type="gramEnd"/>
          </w:p>
        </w:tc>
        <w:tc>
          <w:tcPr>
            <w:tcW w:w="480" w:type="pct"/>
            <w:tcBorders>
              <w:top w:val="single" w:sz="4" w:space="0" w:color="auto"/>
              <w:bottom w:val="single" w:sz="4" w:space="0" w:color="auto"/>
            </w:tcBorders>
            <w:vAlign w:val="center"/>
          </w:tcPr>
          <w:p w14:paraId="3AC31993"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0.106</w:t>
            </w:r>
          </w:p>
        </w:tc>
      </w:tr>
      <w:tr w:rsidR="002303D6" w:rsidRPr="0002798F" w14:paraId="5AFAEE4F" w14:textId="77777777" w:rsidTr="0063748C">
        <w:tc>
          <w:tcPr>
            <w:tcW w:w="2551" w:type="pct"/>
            <w:gridSpan w:val="3"/>
            <w:tcBorders>
              <w:top w:val="single" w:sz="4" w:space="0" w:color="auto"/>
              <w:left w:val="single" w:sz="4" w:space="0" w:color="auto"/>
              <w:bottom w:val="single" w:sz="4" w:space="0" w:color="auto"/>
              <w:right w:val="nil"/>
            </w:tcBorders>
            <w:vAlign w:val="center"/>
          </w:tcPr>
          <w:p w14:paraId="76334C8E"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b/>
                <w:bCs/>
                <w:sz w:val="20"/>
                <w:szCs w:val="20"/>
              </w:rPr>
              <w:t>Improvement ≥ 3 grades (CFS) and 30% (OSDI)</w:t>
            </w:r>
          </w:p>
        </w:tc>
        <w:tc>
          <w:tcPr>
            <w:tcW w:w="558" w:type="pct"/>
            <w:tcBorders>
              <w:top w:val="single" w:sz="4" w:space="0" w:color="auto"/>
              <w:left w:val="nil"/>
              <w:bottom w:val="single" w:sz="4" w:space="0" w:color="auto"/>
              <w:right w:val="nil"/>
            </w:tcBorders>
            <w:vAlign w:val="center"/>
          </w:tcPr>
          <w:p w14:paraId="290CED15" w14:textId="77777777" w:rsidR="002303D6" w:rsidRPr="0002798F" w:rsidRDefault="002303D6" w:rsidP="00B14290">
            <w:pPr>
              <w:pStyle w:val="TableTextleftalign"/>
              <w:keepNext/>
              <w:widowControl w:val="0"/>
              <w:jc w:val="center"/>
              <w:rPr>
                <w:rFonts w:ascii="Arial Narrow" w:hAnsi="Arial Narrow"/>
                <w:sz w:val="20"/>
                <w:szCs w:val="20"/>
              </w:rPr>
            </w:pPr>
          </w:p>
        </w:tc>
        <w:tc>
          <w:tcPr>
            <w:tcW w:w="746" w:type="pct"/>
            <w:tcBorders>
              <w:top w:val="single" w:sz="4" w:space="0" w:color="auto"/>
              <w:left w:val="nil"/>
              <w:bottom w:val="single" w:sz="4" w:space="0" w:color="auto"/>
              <w:right w:val="nil"/>
            </w:tcBorders>
            <w:vAlign w:val="center"/>
          </w:tcPr>
          <w:p w14:paraId="6FEFFE17" w14:textId="77777777" w:rsidR="002303D6" w:rsidRPr="0002798F" w:rsidRDefault="002303D6" w:rsidP="00B14290">
            <w:pPr>
              <w:pStyle w:val="TableTextleftalign"/>
              <w:keepNext/>
              <w:widowControl w:val="0"/>
              <w:jc w:val="center"/>
              <w:rPr>
                <w:rFonts w:ascii="Arial Narrow" w:hAnsi="Arial Narrow"/>
                <w:sz w:val="20"/>
                <w:szCs w:val="20"/>
              </w:rPr>
            </w:pPr>
          </w:p>
        </w:tc>
        <w:tc>
          <w:tcPr>
            <w:tcW w:w="665" w:type="pct"/>
            <w:tcBorders>
              <w:top w:val="single" w:sz="4" w:space="0" w:color="auto"/>
              <w:left w:val="nil"/>
              <w:bottom w:val="single" w:sz="4" w:space="0" w:color="auto"/>
              <w:right w:val="nil"/>
            </w:tcBorders>
            <w:vAlign w:val="center"/>
          </w:tcPr>
          <w:p w14:paraId="64F3B2C9" w14:textId="77777777" w:rsidR="002303D6" w:rsidRPr="0002798F" w:rsidRDefault="002303D6" w:rsidP="00B14290">
            <w:pPr>
              <w:pStyle w:val="TableTextleftalign"/>
              <w:keepNext/>
              <w:widowControl w:val="0"/>
              <w:jc w:val="center"/>
              <w:rPr>
                <w:rFonts w:ascii="Arial Narrow" w:hAnsi="Arial Narrow"/>
                <w:sz w:val="20"/>
                <w:szCs w:val="20"/>
              </w:rPr>
            </w:pPr>
          </w:p>
        </w:tc>
        <w:tc>
          <w:tcPr>
            <w:tcW w:w="480" w:type="pct"/>
            <w:tcBorders>
              <w:top w:val="single" w:sz="4" w:space="0" w:color="auto"/>
              <w:left w:val="nil"/>
              <w:bottom w:val="single" w:sz="4" w:space="0" w:color="auto"/>
              <w:right w:val="single" w:sz="4" w:space="0" w:color="auto"/>
            </w:tcBorders>
            <w:vAlign w:val="center"/>
          </w:tcPr>
          <w:p w14:paraId="741EC1BA" w14:textId="77777777" w:rsidR="002303D6" w:rsidRPr="0002798F" w:rsidRDefault="002303D6" w:rsidP="00B14290">
            <w:pPr>
              <w:pStyle w:val="TableTextleftalign"/>
              <w:keepNext/>
              <w:widowControl w:val="0"/>
              <w:jc w:val="center"/>
              <w:rPr>
                <w:rFonts w:ascii="Arial Narrow" w:hAnsi="Arial Narrow"/>
                <w:sz w:val="20"/>
                <w:szCs w:val="20"/>
              </w:rPr>
            </w:pPr>
          </w:p>
        </w:tc>
      </w:tr>
      <w:tr w:rsidR="002303D6" w:rsidRPr="0002798F" w14:paraId="6C603192" w14:textId="77777777" w:rsidTr="0063748C">
        <w:tc>
          <w:tcPr>
            <w:tcW w:w="1145" w:type="pct"/>
            <w:tcBorders>
              <w:top w:val="single" w:sz="4" w:space="0" w:color="auto"/>
              <w:bottom w:val="single" w:sz="4" w:space="0" w:color="auto"/>
            </w:tcBorders>
            <w:vAlign w:val="center"/>
          </w:tcPr>
          <w:p w14:paraId="679542B6"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sz w:val="20"/>
                <w:szCs w:val="20"/>
              </w:rPr>
              <w:t>SICCANOVE CFS=4 OSDI ≥ 23 (SG)</w:t>
            </w:r>
            <w:r w:rsidRPr="0002798F">
              <w:rPr>
                <w:rFonts w:ascii="Arial Narrow" w:hAnsi="Arial Narrow"/>
                <w:sz w:val="20"/>
                <w:szCs w:val="20"/>
                <w:vertAlign w:val="superscript"/>
              </w:rPr>
              <w:t>a</w:t>
            </w:r>
          </w:p>
        </w:tc>
        <w:tc>
          <w:tcPr>
            <w:tcW w:w="577" w:type="pct"/>
            <w:tcBorders>
              <w:top w:val="single" w:sz="4" w:space="0" w:color="auto"/>
              <w:bottom w:val="single" w:sz="4" w:space="0" w:color="auto"/>
            </w:tcBorders>
            <w:vAlign w:val="center"/>
          </w:tcPr>
          <w:p w14:paraId="642D1D2D"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NR</w:t>
            </w:r>
          </w:p>
        </w:tc>
        <w:tc>
          <w:tcPr>
            <w:tcW w:w="829" w:type="pct"/>
            <w:tcBorders>
              <w:top w:val="single" w:sz="4" w:space="0" w:color="auto"/>
              <w:bottom w:val="single" w:sz="4" w:space="0" w:color="auto"/>
            </w:tcBorders>
            <w:vAlign w:val="center"/>
          </w:tcPr>
          <w:p w14:paraId="31C5381E"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NR</w:t>
            </w:r>
          </w:p>
        </w:tc>
        <w:tc>
          <w:tcPr>
            <w:tcW w:w="558" w:type="pct"/>
            <w:tcBorders>
              <w:top w:val="single" w:sz="4" w:space="0" w:color="auto"/>
              <w:bottom w:val="single" w:sz="4" w:space="0" w:color="auto"/>
            </w:tcBorders>
            <w:vAlign w:val="center"/>
          </w:tcPr>
          <w:p w14:paraId="76069888"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w:t>
            </w:r>
          </w:p>
        </w:tc>
        <w:tc>
          <w:tcPr>
            <w:tcW w:w="746" w:type="pct"/>
            <w:tcBorders>
              <w:top w:val="single" w:sz="4" w:space="0" w:color="auto"/>
              <w:bottom w:val="single" w:sz="4" w:space="0" w:color="auto"/>
            </w:tcBorders>
            <w:vAlign w:val="center"/>
          </w:tcPr>
          <w:p w14:paraId="76169E1A"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w:t>
            </w:r>
          </w:p>
        </w:tc>
        <w:tc>
          <w:tcPr>
            <w:tcW w:w="665" w:type="pct"/>
            <w:tcBorders>
              <w:top w:val="single" w:sz="4" w:space="0" w:color="auto"/>
              <w:bottom w:val="single" w:sz="4" w:space="0" w:color="auto"/>
            </w:tcBorders>
            <w:vAlign w:val="center"/>
          </w:tcPr>
          <w:p w14:paraId="5CBC3FA8"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w:t>
            </w:r>
          </w:p>
        </w:tc>
        <w:tc>
          <w:tcPr>
            <w:tcW w:w="480" w:type="pct"/>
            <w:tcBorders>
              <w:top w:val="single" w:sz="4" w:space="0" w:color="auto"/>
              <w:bottom w:val="single" w:sz="4" w:space="0" w:color="auto"/>
            </w:tcBorders>
            <w:vAlign w:val="center"/>
          </w:tcPr>
          <w:p w14:paraId="3CE305BE"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w:t>
            </w:r>
          </w:p>
        </w:tc>
      </w:tr>
      <w:tr w:rsidR="002303D6" w:rsidRPr="0002798F" w14:paraId="4F039076" w14:textId="77777777" w:rsidTr="00B14290">
        <w:tc>
          <w:tcPr>
            <w:tcW w:w="5000" w:type="pct"/>
            <w:gridSpan w:val="7"/>
            <w:tcBorders>
              <w:top w:val="single" w:sz="4" w:space="0" w:color="auto"/>
              <w:bottom w:val="single" w:sz="4" w:space="0" w:color="auto"/>
            </w:tcBorders>
            <w:shd w:val="clear" w:color="auto" w:fill="D9D9D9" w:themeFill="background1" w:themeFillShade="D9"/>
            <w:vAlign w:val="center"/>
          </w:tcPr>
          <w:p w14:paraId="415AAF4A" w14:textId="2CB13A53" w:rsidR="002303D6" w:rsidRPr="0002798F" w:rsidRDefault="002303D6" w:rsidP="00B14290">
            <w:pPr>
              <w:pStyle w:val="TableTextcentred"/>
              <w:keepNext/>
              <w:widowControl w:val="0"/>
              <w:jc w:val="left"/>
              <w:rPr>
                <w:rFonts w:ascii="Arial Narrow" w:hAnsi="Arial Narrow"/>
                <w:b/>
                <w:bCs/>
                <w:sz w:val="20"/>
                <w:szCs w:val="20"/>
              </w:rPr>
            </w:pPr>
            <w:r w:rsidRPr="0002798F">
              <w:rPr>
                <w:rFonts w:ascii="Arial Narrow" w:hAnsi="Arial Narrow"/>
                <w:b/>
                <w:bCs/>
                <w:sz w:val="20"/>
                <w:szCs w:val="20"/>
              </w:rPr>
              <w:t>Meta-analysis (Leonardi 2019) of PBS eligible population – SANSIKA total population and SICCANOVE subgroup with severe keratitis CFS</w:t>
            </w:r>
            <w:r w:rsidR="007F4CA7">
              <w:rPr>
                <w:rFonts w:ascii="Arial Narrow" w:hAnsi="Arial Narrow"/>
                <w:b/>
                <w:bCs/>
                <w:sz w:val="20"/>
                <w:szCs w:val="20"/>
              </w:rPr>
              <w:sym w:font="Symbol" w:char="F0B3"/>
            </w:r>
            <w:r w:rsidRPr="0002798F">
              <w:rPr>
                <w:rFonts w:ascii="Arial Narrow" w:hAnsi="Arial Narrow"/>
                <w:b/>
                <w:bCs/>
                <w:sz w:val="20"/>
                <w:szCs w:val="20"/>
              </w:rPr>
              <w:t>4; OSDI ≥ 23)</w:t>
            </w:r>
          </w:p>
        </w:tc>
      </w:tr>
      <w:tr w:rsidR="002303D6" w:rsidRPr="0002798F" w14:paraId="180E07C3" w14:textId="77777777" w:rsidTr="0063748C">
        <w:tc>
          <w:tcPr>
            <w:tcW w:w="1145" w:type="pct"/>
            <w:tcBorders>
              <w:top w:val="single" w:sz="4" w:space="0" w:color="auto"/>
              <w:bottom w:val="single" w:sz="4" w:space="0" w:color="auto"/>
            </w:tcBorders>
            <w:vAlign w:val="center"/>
          </w:tcPr>
          <w:p w14:paraId="56C9CBE4"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bCs/>
                <w:sz w:val="20"/>
                <w:szCs w:val="22"/>
              </w:rPr>
              <w:t>Improvement ≥ 3 grades (CFS) and 30% (OSDI)</w:t>
            </w:r>
          </w:p>
        </w:tc>
        <w:tc>
          <w:tcPr>
            <w:tcW w:w="577" w:type="pct"/>
            <w:tcBorders>
              <w:top w:val="single" w:sz="4" w:space="0" w:color="auto"/>
              <w:bottom w:val="single" w:sz="4" w:space="0" w:color="auto"/>
            </w:tcBorders>
            <w:vAlign w:val="center"/>
          </w:tcPr>
          <w:p w14:paraId="169FDF8B" w14:textId="711FE63E" w:rsidR="002303D6" w:rsidRPr="0002798F" w:rsidRDefault="006750FD" w:rsidP="00B14290">
            <w:pPr>
              <w:pStyle w:val="TableTextcentred"/>
              <w:keepNext/>
              <w:widowControl w:val="0"/>
              <w:rPr>
                <w:rFonts w:ascii="Arial Narrow" w:hAnsi="Arial Narrow"/>
                <w:sz w:val="20"/>
                <w:szCs w:val="20"/>
              </w:rPr>
            </w:pPr>
            <w:r>
              <w:rPr>
                <w:rFonts w:ascii="Arial Narrow" w:hAnsi="Arial Narrow"/>
                <w:sz w:val="20"/>
                <w:szCs w:val="20"/>
              </w:rPr>
              <w:t>Post hoc</w:t>
            </w:r>
          </w:p>
        </w:tc>
        <w:tc>
          <w:tcPr>
            <w:tcW w:w="829" w:type="pct"/>
            <w:tcBorders>
              <w:top w:val="single" w:sz="4" w:space="0" w:color="auto"/>
              <w:bottom w:val="single" w:sz="4" w:space="0" w:color="auto"/>
            </w:tcBorders>
            <w:vAlign w:val="center"/>
          </w:tcPr>
          <w:p w14:paraId="0E4F98B0"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bCs/>
                <w:sz w:val="20"/>
                <w:szCs w:val="22"/>
              </w:rPr>
              <w:t>34/193 (17.6)</w:t>
            </w:r>
          </w:p>
        </w:tc>
        <w:tc>
          <w:tcPr>
            <w:tcW w:w="558" w:type="pct"/>
            <w:tcBorders>
              <w:top w:val="single" w:sz="4" w:space="0" w:color="auto"/>
              <w:bottom w:val="single" w:sz="4" w:space="0" w:color="auto"/>
            </w:tcBorders>
            <w:vAlign w:val="center"/>
          </w:tcPr>
          <w:p w14:paraId="1EA14C77"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bCs/>
                <w:sz w:val="20"/>
                <w:szCs w:val="22"/>
              </w:rPr>
              <w:t xml:space="preserve">7/126 </w:t>
            </w:r>
            <w:r w:rsidRPr="0002798F">
              <w:rPr>
                <w:rFonts w:ascii="Arial Narrow" w:hAnsi="Arial Narrow"/>
                <w:bCs/>
                <w:sz w:val="20"/>
                <w:szCs w:val="22"/>
              </w:rPr>
              <w:br/>
              <w:t>(5.6)</w:t>
            </w:r>
          </w:p>
        </w:tc>
        <w:tc>
          <w:tcPr>
            <w:tcW w:w="746" w:type="pct"/>
            <w:tcBorders>
              <w:top w:val="single" w:sz="4" w:space="0" w:color="auto"/>
              <w:bottom w:val="single" w:sz="4" w:space="0" w:color="auto"/>
            </w:tcBorders>
            <w:vAlign w:val="center"/>
          </w:tcPr>
          <w:p w14:paraId="2CFF315F" w14:textId="77777777" w:rsidR="002303D6" w:rsidRPr="0002798F" w:rsidRDefault="002303D6" w:rsidP="00B14290">
            <w:pPr>
              <w:pStyle w:val="TableTextcentred"/>
              <w:keepNext/>
              <w:widowControl w:val="0"/>
              <w:rPr>
                <w:rFonts w:ascii="Arial Narrow" w:hAnsi="Arial Narrow"/>
                <w:bCs/>
                <w:sz w:val="20"/>
                <w:szCs w:val="22"/>
              </w:rPr>
            </w:pPr>
            <w:r w:rsidRPr="0002798F">
              <w:rPr>
                <w:rFonts w:ascii="Arial Narrow" w:hAnsi="Arial Narrow"/>
                <w:bCs/>
                <w:sz w:val="20"/>
                <w:szCs w:val="22"/>
              </w:rPr>
              <w:t>0.12</w:t>
            </w:r>
          </w:p>
          <w:p w14:paraId="5515CF92"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bCs/>
                <w:sz w:val="20"/>
                <w:szCs w:val="22"/>
              </w:rPr>
              <w:t>(0.05, 0.19)</w:t>
            </w:r>
          </w:p>
        </w:tc>
        <w:tc>
          <w:tcPr>
            <w:tcW w:w="665" w:type="pct"/>
            <w:tcBorders>
              <w:top w:val="single" w:sz="4" w:space="0" w:color="auto"/>
              <w:bottom w:val="single" w:sz="4" w:space="0" w:color="auto"/>
            </w:tcBorders>
            <w:vAlign w:val="center"/>
          </w:tcPr>
          <w:p w14:paraId="40C8E782" w14:textId="77777777" w:rsidR="002303D6" w:rsidRPr="0002798F" w:rsidRDefault="002303D6" w:rsidP="00B14290">
            <w:pPr>
              <w:pStyle w:val="TableTextcentred"/>
              <w:keepNext/>
              <w:widowControl w:val="0"/>
              <w:rPr>
                <w:rFonts w:ascii="Arial Narrow" w:hAnsi="Arial Narrow"/>
                <w:bCs/>
                <w:sz w:val="20"/>
                <w:szCs w:val="22"/>
              </w:rPr>
            </w:pPr>
            <w:r w:rsidRPr="0002798F">
              <w:rPr>
                <w:rFonts w:ascii="Arial Narrow" w:hAnsi="Arial Narrow"/>
                <w:bCs/>
                <w:sz w:val="20"/>
                <w:szCs w:val="22"/>
              </w:rPr>
              <w:t>3.664</w:t>
            </w:r>
          </w:p>
          <w:p w14:paraId="76664D66"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bCs/>
                <w:sz w:val="20"/>
                <w:szCs w:val="22"/>
              </w:rPr>
              <w:t>(1.639, 9.355)</w:t>
            </w:r>
          </w:p>
        </w:tc>
        <w:tc>
          <w:tcPr>
            <w:tcW w:w="480" w:type="pct"/>
            <w:tcBorders>
              <w:top w:val="single" w:sz="4" w:space="0" w:color="auto"/>
              <w:bottom w:val="single" w:sz="4" w:space="0" w:color="auto"/>
            </w:tcBorders>
            <w:vAlign w:val="center"/>
          </w:tcPr>
          <w:p w14:paraId="4DB446D4"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b/>
                <w:sz w:val="20"/>
                <w:szCs w:val="22"/>
              </w:rPr>
              <w:t>0.003</w:t>
            </w:r>
          </w:p>
        </w:tc>
      </w:tr>
      <w:tr w:rsidR="002303D6" w:rsidRPr="0002798F" w14:paraId="15ED8477" w14:textId="77777777" w:rsidTr="0063748C">
        <w:tc>
          <w:tcPr>
            <w:tcW w:w="1145" w:type="pct"/>
            <w:tcBorders>
              <w:top w:val="single" w:sz="4" w:space="0" w:color="auto"/>
              <w:bottom w:val="single" w:sz="4" w:space="0" w:color="auto"/>
            </w:tcBorders>
            <w:vAlign w:val="center"/>
          </w:tcPr>
          <w:p w14:paraId="6D4C8806"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bCs/>
                <w:sz w:val="20"/>
                <w:szCs w:val="22"/>
              </w:rPr>
              <w:t>Improvement ≥ 2 grades (CFS) and 30% (OSDI)</w:t>
            </w:r>
          </w:p>
        </w:tc>
        <w:tc>
          <w:tcPr>
            <w:tcW w:w="577" w:type="pct"/>
            <w:tcBorders>
              <w:top w:val="single" w:sz="4" w:space="0" w:color="auto"/>
              <w:bottom w:val="single" w:sz="4" w:space="0" w:color="auto"/>
            </w:tcBorders>
            <w:vAlign w:val="center"/>
          </w:tcPr>
          <w:p w14:paraId="2C0B3342"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Primary</w:t>
            </w:r>
          </w:p>
        </w:tc>
        <w:tc>
          <w:tcPr>
            <w:tcW w:w="829" w:type="pct"/>
            <w:tcBorders>
              <w:top w:val="single" w:sz="4" w:space="0" w:color="auto"/>
              <w:bottom w:val="single" w:sz="4" w:space="0" w:color="auto"/>
            </w:tcBorders>
            <w:vAlign w:val="center"/>
          </w:tcPr>
          <w:p w14:paraId="44BA462A"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bCs/>
                <w:sz w:val="20"/>
                <w:szCs w:val="22"/>
              </w:rPr>
              <w:t>57/193 (29.5)</w:t>
            </w:r>
          </w:p>
        </w:tc>
        <w:tc>
          <w:tcPr>
            <w:tcW w:w="558" w:type="pct"/>
            <w:tcBorders>
              <w:top w:val="single" w:sz="4" w:space="0" w:color="auto"/>
              <w:bottom w:val="single" w:sz="4" w:space="0" w:color="auto"/>
            </w:tcBorders>
            <w:vAlign w:val="center"/>
          </w:tcPr>
          <w:p w14:paraId="39229545"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bCs/>
                <w:sz w:val="20"/>
                <w:szCs w:val="22"/>
              </w:rPr>
              <w:t>23/126 (18.3)</w:t>
            </w:r>
          </w:p>
        </w:tc>
        <w:tc>
          <w:tcPr>
            <w:tcW w:w="746" w:type="pct"/>
            <w:tcBorders>
              <w:top w:val="single" w:sz="4" w:space="0" w:color="auto"/>
              <w:bottom w:val="single" w:sz="4" w:space="0" w:color="auto"/>
            </w:tcBorders>
            <w:vAlign w:val="center"/>
          </w:tcPr>
          <w:p w14:paraId="7EC55400" w14:textId="77777777" w:rsidR="002303D6" w:rsidRPr="0002798F" w:rsidRDefault="002303D6" w:rsidP="00B14290">
            <w:pPr>
              <w:pStyle w:val="TableTextcentred"/>
              <w:keepNext/>
              <w:widowControl w:val="0"/>
              <w:rPr>
                <w:rFonts w:ascii="Arial Narrow" w:hAnsi="Arial Narrow"/>
                <w:bCs/>
                <w:sz w:val="20"/>
                <w:szCs w:val="22"/>
              </w:rPr>
            </w:pPr>
            <w:r w:rsidRPr="0002798F">
              <w:rPr>
                <w:rFonts w:ascii="Arial Narrow" w:hAnsi="Arial Narrow"/>
                <w:bCs/>
                <w:sz w:val="20"/>
                <w:szCs w:val="22"/>
              </w:rPr>
              <w:t>0.11</w:t>
            </w:r>
          </w:p>
          <w:p w14:paraId="73347F54"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bCs/>
                <w:sz w:val="20"/>
                <w:szCs w:val="22"/>
              </w:rPr>
              <w:t>(0.02, 0.21)</w:t>
            </w:r>
          </w:p>
        </w:tc>
        <w:tc>
          <w:tcPr>
            <w:tcW w:w="665" w:type="pct"/>
            <w:tcBorders>
              <w:top w:val="single" w:sz="4" w:space="0" w:color="auto"/>
              <w:bottom w:val="single" w:sz="4" w:space="0" w:color="auto"/>
            </w:tcBorders>
            <w:vAlign w:val="center"/>
          </w:tcPr>
          <w:p w14:paraId="4005B91E" w14:textId="77777777" w:rsidR="002303D6" w:rsidRPr="0002798F" w:rsidRDefault="002303D6" w:rsidP="00B14290">
            <w:pPr>
              <w:pStyle w:val="TableTextcentred"/>
              <w:keepNext/>
              <w:widowControl w:val="0"/>
              <w:rPr>
                <w:rFonts w:ascii="Arial Narrow" w:hAnsi="Arial Narrow"/>
                <w:bCs/>
                <w:sz w:val="20"/>
                <w:szCs w:val="22"/>
              </w:rPr>
            </w:pPr>
            <w:r w:rsidRPr="0002798F">
              <w:rPr>
                <w:rFonts w:ascii="Arial Narrow" w:hAnsi="Arial Narrow"/>
                <w:bCs/>
                <w:sz w:val="20"/>
                <w:szCs w:val="22"/>
              </w:rPr>
              <w:t>1.803</w:t>
            </w:r>
          </w:p>
          <w:p w14:paraId="369B9AA0"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bCs/>
                <w:sz w:val="20"/>
                <w:szCs w:val="22"/>
              </w:rPr>
              <w:t>(1.043, 3.192)</w:t>
            </w:r>
          </w:p>
        </w:tc>
        <w:tc>
          <w:tcPr>
            <w:tcW w:w="480" w:type="pct"/>
            <w:tcBorders>
              <w:top w:val="single" w:sz="4" w:space="0" w:color="auto"/>
              <w:bottom w:val="single" w:sz="4" w:space="0" w:color="auto"/>
            </w:tcBorders>
            <w:vAlign w:val="center"/>
          </w:tcPr>
          <w:p w14:paraId="0A87C717"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b/>
                <w:sz w:val="20"/>
                <w:szCs w:val="22"/>
              </w:rPr>
              <w:t>0.038</w:t>
            </w:r>
          </w:p>
        </w:tc>
      </w:tr>
      <w:tr w:rsidR="002303D6" w:rsidRPr="0002798F" w14:paraId="1D25D8D0" w14:textId="77777777" w:rsidTr="0063748C">
        <w:tc>
          <w:tcPr>
            <w:tcW w:w="1145" w:type="pct"/>
            <w:tcBorders>
              <w:top w:val="single" w:sz="4" w:space="0" w:color="auto"/>
              <w:bottom w:val="single" w:sz="4" w:space="0" w:color="auto"/>
            </w:tcBorders>
            <w:vAlign w:val="center"/>
          </w:tcPr>
          <w:p w14:paraId="53FF8B2B"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sz w:val="20"/>
                <w:szCs w:val="22"/>
              </w:rPr>
              <w:t>CFS response (improvement ≥ 2 grades)</w:t>
            </w:r>
          </w:p>
        </w:tc>
        <w:tc>
          <w:tcPr>
            <w:tcW w:w="577" w:type="pct"/>
            <w:tcBorders>
              <w:top w:val="single" w:sz="4" w:space="0" w:color="auto"/>
              <w:bottom w:val="single" w:sz="4" w:space="0" w:color="auto"/>
            </w:tcBorders>
            <w:vAlign w:val="center"/>
          </w:tcPr>
          <w:p w14:paraId="0D8AC478"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Secondary</w:t>
            </w:r>
          </w:p>
        </w:tc>
        <w:tc>
          <w:tcPr>
            <w:tcW w:w="829" w:type="pct"/>
            <w:tcBorders>
              <w:top w:val="single" w:sz="4" w:space="0" w:color="auto"/>
              <w:bottom w:val="single" w:sz="4" w:space="0" w:color="auto"/>
            </w:tcBorders>
            <w:vAlign w:val="center"/>
          </w:tcPr>
          <w:p w14:paraId="1F9FECE3"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2"/>
              </w:rPr>
              <w:t>97</w:t>
            </w:r>
            <w:r w:rsidRPr="0002798F">
              <w:rPr>
                <w:rFonts w:ascii="Arial Narrow" w:hAnsi="Arial Narrow"/>
                <w:bCs/>
                <w:sz w:val="20"/>
                <w:szCs w:val="22"/>
              </w:rPr>
              <w:t xml:space="preserve">/193 </w:t>
            </w:r>
            <w:r w:rsidRPr="0002798F">
              <w:rPr>
                <w:rFonts w:ascii="Arial Narrow" w:hAnsi="Arial Narrow"/>
                <w:sz w:val="20"/>
                <w:szCs w:val="22"/>
              </w:rPr>
              <w:t>(50.3)</w:t>
            </w:r>
          </w:p>
        </w:tc>
        <w:tc>
          <w:tcPr>
            <w:tcW w:w="558" w:type="pct"/>
            <w:tcBorders>
              <w:top w:val="single" w:sz="4" w:space="0" w:color="auto"/>
              <w:bottom w:val="single" w:sz="4" w:space="0" w:color="auto"/>
            </w:tcBorders>
            <w:vAlign w:val="center"/>
          </w:tcPr>
          <w:p w14:paraId="554F8A45"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2"/>
              </w:rPr>
              <w:t>47</w:t>
            </w:r>
            <w:r w:rsidRPr="0002798F">
              <w:rPr>
                <w:rFonts w:ascii="Arial Narrow" w:hAnsi="Arial Narrow"/>
                <w:bCs/>
                <w:sz w:val="20"/>
                <w:szCs w:val="22"/>
              </w:rPr>
              <w:t xml:space="preserve">/126 </w:t>
            </w:r>
            <w:r w:rsidRPr="0002798F">
              <w:rPr>
                <w:rFonts w:ascii="Arial Narrow" w:hAnsi="Arial Narrow"/>
                <w:sz w:val="20"/>
                <w:szCs w:val="22"/>
              </w:rPr>
              <w:t>(37.3)</w:t>
            </w:r>
          </w:p>
        </w:tc>
        <w:tc>
          <w:tcPr>
            <w:tcW w:w="746" w:type="pct"/>
            <w:tcBorders>
              <w:top w:val="single" w:sz="4" w:space="0" w:color="auto"/>
              <w:bottom w:val="single" w:sz="4" w:space="0" w:color="auto"/>
            </w:tcBorders>
            <w:vAlign w:val="center"/>
          </w:tcPr>
          <w:p w14:paraId="67784FAE" w14:textId="77777777" w:rsidR="002303D6" w:rsidRPr="0002798F" w:rsidRDefault="002303D6" w:rsidP="00B14290">
            <w:pPr>
              <w:pStyle w:val="TableTextcentred"/>
              <w:keepNext/>
              <w:widowControl w:val="0"/>
              <w:rPr>
                <w:rFonts w:ascii="Arial Narrow" w:hAnsi="Arial Narrow"/>
                <w:sz w:val="20"/>
                <w:szCs w:val="22"/>
              </w:rPr>
            </w:pPr>
            <w:r w:rsidRPr="0002798F">
              <w:rPr>
                <w:rFonts w:ascii="Arial Narrow" w:hAnsi="Arial Narrow"/>
                <w:sz w:val="20"/>
                <w:szCs w:val="22"/>
              </w:rPr>
              <w:t>0.13</w:t>
            </w:r>
          </w:p>
          <w:p w14:paraId="0D95C584"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2"/>
              </w:rPr>
              <w:t>(0.02, 0.24)</w:t>
            </w:r>
          </w:p>
        </w:tc>
        <w:tc>
          <w:tcPr>
            <w:tcW w:w="665" w:type="pct"/>
            <w:tcBorders>
              <w:top w:val="single" w:sz="4" w:space="0" w:color="auto"/>
              <w:bottom w:val="single" w:sz="4" w:space="0" w:color="auto"/>
            </w:tcBorders>
            <w:vAlign w:val="center"/>
          </w:tcPr>
          <w:p w14:paraId="45C723BB" w14:textId="77777777" w:rsidR="002303D6" w:rsidRPr="0002798F" w:rsidRDefault="002303D6" w:rsidP="00B14290">
            <w:pPr>
              <w:pStyle w:val="TableTextcentred"/>
              <w:keepNext/>
              <w:widowControl w:val="0"/>
              <w:rPr>
                <w:rFonts w:ascii="Arial Narrow" w:hAnsi="Arial Narrow"/>
                <w:sz w:val="20"/>
                <w:szCs w:val="22"/>
              </w:rPr>
            </w:pPr>
            <w:r w:rsidRPr="0002798F">
              <w:rPr>
                <w:rFonts w:ascii="Arial Narrow" w:hAnsi="Arial Narrow"/>
                <w:sz w:val="20"/>
                <w:szCs w:val="22"/>
              </w:rPr>
              <w:t>1.557</w:t>
            </w:r>
          </w:p>
          <w:p w14:paraId="03B2A16B"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2"/>
              </w:rPr>
              <w:t>(0.975, 2.501)</w:t>
            </w:r>
          </w:p>
        </w:tc>
        <w:tc>
          <w:tcPr>
            <w:tcW w:w="480" w:type="pct"/>
            <w:tcBorders>
              <w:top w:val="single" w:sz="4" w:space="0" w:color="auto"/>
              <w:bottom w:val="single" w:sz="4" w:space="0" w:color="auto"/>
            </w:tcBorders>
            <w:vAlign w:val="center"/>
          </w:tcPr>
          <w:p w14:paraId="76E7293C"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2"/>
              </w:rPr>
              <w:t>0.065</w:t>
            </w:r>
          </w:p>
        </w:tc>
      </w:tr>
      <w:tr w:rsidR="002303D6" w:rsidRPr="0002798F" w14:paraId="5B4FA9A1" w14:textId="77777777" w:rsidTr="0063748C">
        <w:tc>
          <w:tcPr>
            <w:tcW w:w="1145" w:type="pct"/>
            <w:tcBorders>
              <w:top w:val="single" w:sz="4" w:space="0" w:color="auto"/>
              <w:bottom w:val="single" w:sz="4" w:space="0" w:color="auto"/>
            </w:tcBorders>
            <w:vAlign w:val="center"/>
          </w:tcPr>
          <w:p w14:paraId="4FFB5A56"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sz w:val="20"/>
                <w:szCs w:val="22"/>
              </w:rPr>
              <w:t>OSDI response (30% improvement)</w:t>
            </w:r>
          </w:p>
        </w:tc>
        <w:tc>
          <w:tcPr>
            <w:tcW w:w="577" w:type="pct"/>
            <w:tcBorders>
              <w:top w:val="single" w:sz="4" w:space="0" w:color="auto"/>
              <w:bottom w:val="single" w:sz="4" w:space="0" w:color="auto"/>
            </w:tcBorders>
            <w:vAlign w:val="center"/>
          </w:tcPr>
          <w:p w14:paraId="78C5669C"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Secondary</w:t>
            </w:r>
          </w:p>
        </w:tc>
        <w:tc>
          <w:tcPr>
            <w:tcW w:w="829" w:type="pct"/>
            <w:tcBorders>
              <w:top w:val="single" w:sz="4" w:space="0" w:color="auto"/>
              <w:bottom w:val="single" w:sz="4" w:space="0" w:color="auto"/>
            </w:tcBorders>
            <w:vAlign w:val="center"/>
          </w:tcPr>
          <w:p w14:paraId="47FE78EA"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2"/>
              </w:rPr>
              <w:t>78</w:t>
            </w:r>
            <w:r w:rsidRPr="0002798F">
              <w:rPr>
                <w:rFonts w:ascii="Arial Narrow" w:hAnsi="Arial Narrow"/>
                <w:bCs/>
                <w:sz w:val="20"/>
                <w:szCs w:val="22"/>
              </w:rPr>
              <w:t xml:space="preserve">/193 </w:t>
            </w:r>
            <w:r w:rsidRPr="0002798F">
              <w:rPr>
                <w:rFonts w:ascii="Arial Narrow" w:hAnsi="Arial Narrow"/>
                <w:sz w:val="20"/>
                <w:szCs w:val="22"/>
              </w:rPr>
              <w:t>(40.4)</w:t>
            </w:r>
          </w:p>
        </w:tc>
        <w:tc>
          <w:tcPr>
            <w:tcW w:w="558" w:type="pct"/>
            <w:tcBorders>
              <w:top w:val="single" w:sz="4" w:space="0" w:color="auto"/>
              <w:bottom w:val="single" w:sz="4" w:space="0" w:color="auto"/>
            </w:tcBorders>
            <w:vAlign w:val="center"/>
          </w:tcPr>
          <w:p w14:paraId="087187CC"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2"/>
              </w:rPr>
              <w:t>45</w:t>
            </w:r>
            <w:r w:rsidRPr="0002798F">
              <w:rPr>
                <w:rFonts w:ascii="Arial Narrow" w:hAnsi="Arial Narrow"/>
                <w:bCs/>
                <w:sz w:val="20"/>
                <w:szCs w:val="22"/>
              </w:rPr>
              <w:t xml:space="preserve">/126 </w:t>
            </w:r>
            <w:r w:rsidRPr="0002798F">
              <w:rPr>
                <w:rFonts w:ascii="Arial Narrow" w:hAnsi="Arial Narrow"/>
                <w:sz w:val="20"/>
                <w:szCs w:val="22"/>
              </w:rPr>
              <w:t>(35.7)</w:t>
            </w:r>
          </w:p>
        </w:tc>
        <w:tc>
          <w:tcPr>
            <w:tcW w:w="746" w:type="pct"/>
            <w:tcBorders>
              <w:top w:val="single" w:sz="4" w:space="0" w:color="auto"/>
              <w:bottom w:val="single" w:sz="4" w:space="0" w:color="auto"/>
            </w:tcBorders>
            <w:vAlign w:val="center"/>
          </w:tcPr>
          <w:p w14:paraId="067347F9" w14:textId="77777777" w:rsidR="002303D6" w:rsidRPr="0002798F" w:rsidRDefault="002303D6" w:rsidP="00B14290">
            <w:pPr>
              <w:pStyle w:val="TableTextcentred"/>
              <w:keepNext/>
              <w:widowControl w:val="0"/>
              <w:rPr>
                <w:rFonts w:ascii="Arial Narrow" w:hAnsi="Arial Narrow"/>
                <w:sz w:val="20"/>
                <w:szCs w:val="22"/>
              </w:rPr>
            </w:pPr>
            <w:r w:rsidRPr="0002798F">
              <w:rPr>
                <w:rFonts w:ascii="Arial Narrow" w:hAnsi="Arial Narrow"/>
                <w:sz w:val="20"/>
                <w:szCs w:val="22"/>
              </w:rPr>
              <w:t>0.05</w:t>
            </w:r>
          </w:p>
          <w:p w14:paraId="0F9CCB0A"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2"/>
              </w:rPr>
              <w:t>(-0.06, 0.16)</w:t>
            </w:r>
          </w:p>
        </w:tc>
        <w:tc>
          <w:tcPr>
            <w:tcW w:w="665" w:type="pct"/>
            <w:tcBorders>
              <w:top w:val="single" w:sz="4" w:space="0" w:color="auto"/>
              <w:bottom w:val="single" w:sz="4" w:space="0" w:color="auto"/>
            </w:tcBorders>
            <w:vAlign w:val="center"/>
          </w:tcPr>
          <w:p w14:paraId="0D25FF39" w14:textId="77777777" w:rsidR="002303D6" w:rsidRPr="0002798F" w:rsidRDefault="002303D6" w:rsidP="00B14290">
            <w:pPr>
              <w:pStyle w:val="TableTextcentred"/>
              <w:keepNext/>
              <w:widowControl w:val="0"/>
              <w:rPr>
                <w:rFonts w:ascii="Arial Narrow" w:hAnsi="Arial Narrow"/>
                <w:sz w:val="20"/>
                <w:szCs w:val="22"/>
              </w:rPr>
            </w:pPr>
            <w:r w:rsidRPr="0002798F">
              <w:rPr>
                <w:rFonts w:ascii="Arial Narrow" w:hAnsi="Arial Narrow"/>
                <w:sz w:val="20"/>
                <w:szCs w:val="22"/>
              </w:rPr>
              <w:t>1.207</w:t>
            </w:r>
          </w:p>
          <w:p w14:paraId="05BCF737" w14:textId="77777777" w:rsidR="002303D6" w:rsidRPr="0002798F" w:rsidRDefault="002303D6" w:rsidP="00B14290">
            <w:pPr>
              <w:pStyle w:val="TableTextcentred"/>
              <w:keepNext/>
              <w:widowControl w:val="0"/>
              <w:rPr>
                <w:rFonts w:ascii="Arial Narrow" w:hAnsi="Arial Narrow"/>
                <w:sz w:val="20"/>
                <w:szCs w:val="22"/>
              </w:rPr>
            </w:pPr>
            <w:r w:rsidRPr="0002798F">
              <w:rPr>
                <w:rFonts w:ascii="Arial Narrow" w:hAnsi="Arial Narrow"/>
                <w:sz w:val="20"/>
                <w:szCs w:val="22"/>
              </w:rPr>
              <w:t>(0.753, 1.945)</w:t>
            </w:r>
          </w:p>
        </w:tc>
        <w:tc>
          <w:tcPr>
            <w:tcW w:w="480" w:type="pct"/>
            <w:tcBorders>
              <w:top w:val="single" w:sz="4" w:space="0" w:color="auto"/>
              <w:bottom w:val="single" w:sz="4" w:space="0" w:color="auto"/>
            </w:tcBorders>
            <w:vAlign w:val="center"/>
          </w:tcPr>
          <w:p w14:paraId="3D64B3BA"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2"/>
              </w:rPr>
              <w:t>0.436</w:t>
            </w:r>
          </w:p>
        </w:tc>
      </w:tr>
      <w:tr w:rsidR="002303D6" w:rsidRPr="0002798F" w14:paraId="726CD9B7" w14:textId="77777777" w:rsidTr="0063748C">
        <w:tc>
          <w:tcPr>
            <w:tcW w:w="1145" w:type="pct"/>
            <w:tcBorders>
              <w:top w:val="single" w:sz="4" w:space="0" w:color="auto"/>
              <w:bottom w:val="single" w:sz="4" w:space="0" w:color="auto"/>
            </w:tcBorders>
            <w:vAlign w:val="center"/>
          </w:tcPr>
          <w:p w14:paraId="1A2B7522" w14:textId="77777777" w:rsidR="002303D6" w:rsidRPr="0002798F" w:rsidRDefault="002303D6" w:rsidP="00B14290">
            <w:pPr>
              <w:pStyle w:val="TableTextleftalign"/>
              <w:keepNext/>
              <w:widowControl w:val="0"/>
              <w:rPr>
                <w:rFonts w:ascii="Arial Narrow" w:hAnsi="Arial Narrow"/>
                <w:sz w:val="20"/>
                <w:szCs w:val="20"/>
              </w:rPr>
            </w:pPr>
            <w:r w:rsidRPr="0002798F">
              <w:rPr>
                <w:rFonts w:ascii="Arial Narrow" w:hAnsi="Arial Narrow"/>
                <w:sz w:val="20"/>
                <w:szCs w:val="22"/>
              </w:rPr>
              <w:t>Complete responders (CFS)</w:t>
            </w:r>
          </w:p>
        </w:tc>
        <w:tc>
          <w:tcPr>
            <w:tcW w:w="577" w:type="pct"/>
            <w:tcBorders>
              <w:top w:val="single" w:sz="4" w:space="0" w:color="auto"/>
              <w:bottom w:val="single" w:sz="4" w:space="0" w:color="auto"/>
            </w:tcBorders>
            <w:vAlign w:val="center"/>
          </w:tcPr>
          <w:p w14:paraId="1039658F"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0"/>
              </w:rPr>
              <w:t>Secondary</w:t>
            </w:r>
          </w:p>
        </w:tc>
        <w:tc>
          <w:tcPr>
            <w:tcW w:w="829" w:type="pct"/>
            <w:tcBorders>
              <w:top w:val="single" w:sz="4" w:space="0" w:color="auto"/>
              <w:bottom w:val="single" w:sz="4" w:space="0" w:color="auto"/>
            </w:tcBorders>
            <w:vAlign w:val="center"/>
          </w:tcPr>
          <w:p w14:paraId="04F9C804"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2"/>
              </w:rPr>
              <w:t>11</w:t>
            </w:r>
            <w:r w:rsidRPr="0002798F">
              <w:rPr>
                <w:rFonts w:ascii="Arial Narrow" w:hAnsi="Arial Narrow"/>
                <w:bCs/>
                <w:sz w:val="20"/>
                <w:szCs w:val="22"/>
              </w:rPr>
              <w:t xml:space="preserve">/193 </w:t>
            </w:r>
            <w:r w:rsidRPr="0002798F">
              <w:rPr>
                <w:rFonts w:ascii="Arial Narrow" w:hAnsi="Arial Narrow"/>
                <w:bCs/>
                <w:sz w:val="20"/>
                <w:szCs w:val="22"/>
              </w:rPr>
              <w:br/>
            </w:r>
            <w:r w:rsidRPr="0002798F">
              <w:rPr>
                <w:rFonts w:ascii="Arial Narrow" w:hAnsi="Arial Narrow"/>
                <w:sz w:val="20"/>
                <w:szCs w:val="22"/>
              </w:rPr>
              <w:t>(5.7)</w:t>
            </w:r>
          </w:p>
        </w:tc>
        <w:tc>
          <w:tcPr>
            <w:tcW w:w="558" w:type="pct"/>
            <w:tcBorders>
              <w:top w:val="single" w:sz="4" w:space="0" w:color="auto"/>
              <w:bottom w:val="single" w:sz="4" w:space="0" w:color="auto"/>
            </w:tcBorders>
            <w:vAlign w:val="center"/>
          </w:tcPr>
          <w:p w14:paraId="7D7AE33E"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2"/>
              </w:rPr>
              <w:t>4</w:t>
            </w:r>
            <w:r w:rsidRPr="0002798F">
              <w:rPr>
                <w:rFonts w:ascii="Arial Narrow" w:hAnsi="Arial Narrow"/>
                <w:bCs/>
                <w:sz w:val="20"/>
                <w:szCs w:val="22"/>
              </w:rPr>
              <w:t xml:space="preserve">/126 </w:t>
            </w:r>
            <w:r w:rsidRPr="0002798F">
              <w:rPr>
                <w:rFonts w:ascii="Arial Narrow" w:hAnsi="Arial Narrow"/>
                <w:bCs/>
                <w:sz w:val="20"/>
                <w:szCs w:val="22"/>
              </w:rPr>
              <w:br/>
            </w:r>
            <w:r w:rsidRPr="0002798F">
              <w:rPr>
                <w:rFonts w:ascii="Arial Narrow" w:hAnsi="Arial Narrow"/>
                <w:sz w:val="20"/>
                <w:szCs w:val="22"/>
              </w:rPr>
              <w:t>(3.2)</w:t>
            </w:r>
          </w:p>
        </w:tc>
        <w:tc>
          <w:tcPr>
            <w:tcW w:w="746" w:type="pct"/>
            <w:tcBorders>
              <w:top w:val="single" w:sz="4" w:space="0" w:color="auto"/>
              <w:bottom w:val="single" w:sz="4" w:space="0" w:color="auto"/>
            </w:tcBorders>
            <w:vAlign w:val="center"/>
          </w:tcPr>
          <w:p w14:paraId="6E6CBEA7" w14:textId="77777777" w:rsidR="002303D6" w:rsidRPr="0002798F" w:rsidRDefault="002303D6" w:rsidP="00B14290">
            <w:pPr>
              <w:pStyle w:val="TableTextcentred"/>
              <w:keepNext/>
              <w:widowControl w:val="0"/>
              <w:rPr>
                <w:rFonts w:ascii="Arial Narrow" w:hAnsi="Arial Narrow"/>
                <w:sz w:val="20"/>
                <w:szCs w:val="22"/>
              </w:rPr>
            </w:pPr>
            <w:r w:rsidRPr="0002798F">
              <w:rPr>
                <w:rFonts w:ascii="Arial Narrow" w:hAnsi="Arial Narrow"/>
                <w:sz w:val="20"/>
                <w:szCs w:val="22"/>
              </w:rPr>
              <w:t>0.03</w:t>
            </w:r>
          </w:p>
          <w:p w14:paraId="5CDAF3B1"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2"/>
              </w:rPr>
              <w:t>(-0.02, 0.07)</w:t>
            </w:r>
          </w:p>
        </w:tc>
        <w:tc>
          <w:tcPr>
            <w:tcW w:w="665" w:type="pct"/>
            <w:tcBorders>
              <w:top w:val="single" w:sz="4" w:space="0" w:color="auto"/>
              <w:bottom w:val="single" w:sz="4" w:space="0" w:color="auto"/>
            </w:tcBorders>
            <w:vAlign w:val="center"/>
          </w:tcPr>
          <w:p w14:paraId="56C3C436"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2"/>
              </w:rPr>
              <w:t xml:space="preserve">1.823 </w:t>
            </w:r>
            <w:r w:rsidRPr="0002798F">
              <w:rPr>
                <w:rFonts w:ascii="Arial Narrow" w:hAnsi="Arial Narrow"/>
                <w:sz w:val="20"/>
                <w:szCs w:val="22"/>
              </w:rPr>
              <w:br/>
              <w:t>(0.598, 6.775)</w:t>
            </w:r>
          </w:p>
        </w:tc>
        <w:tc>
          <w:tcPr>
            <w:tcW w:w="480" w:type="pct"/>
            <w:tcBorders>
              <w:top w:val="single" w:sz="4" w:space="0" w:color="auto"/>
              <w:bottom w:val="single" w:sz="4" w:space="0" w:color="auto"/>
            </w:tcBorders>
            <w:vAlign w:val="center"/>
          </w:tcPr>
          <w:p w14:paraId="2F4B2F93" w14:textId="77777777" w:rsidR="002303D6" w:rsidRPr="0002798F" w:rsidRDefault="002303D6" w:rsidP="00B14290">
            <w:pPr>
              <w:pStyle w:val="TableTextcentred"/>
              <w:keepNext/>
              <w:widowControl w:val="0"/>
              <w:rPr>
                <w:rFonts w:ascii="Arial Narrow" w:hAnsi="Arial Narrow"/>
                <w:sz w:val="20"/>
                <w:szCs w:val="20"/>
              </w:rPr>
            </w:pPr>
            <w:r w:rsidRPr="0002798F">
              <w:rPr>
                <w:rFonts w:ascii="Arial Narrow" w:hAnsi="Arial Narrow"/>
                <w:sz w:val="20"/>
                <w:szCs w:val="22"/>
              </w:rPr>
              <w:t>0.320</w:t>
            </w:r>
          </w:p>
        </w:tc>
      </w:tr>
    </w:tbl>
    <w:p w14:paraId="1B490C56" w14:textId="5225BF97" w:rsidR="00E34715" w:rsidRPr="0002798F" w:rsidRDefault="00E34715" w:rsidP="001811EC">
      <w:pPr>
        <w:pStyle w:val="TableFigureFooter"/>
        <w:rPr>
          <w:szCs w:val="18"/>
        </w:rPr>
      </w:pPr>
      <w:r w:rsidRPr="0002798F">
        <w:t xml:space="preserve">Source: Table 5, </w:t>
      </w:r>
      <w:r w:rsidR="004613FF" w:rsidRPr="004613FF">
        <w:t>March 2021 ciclosporin PSD</w:t>
      </w:r>
    </w:p>
    <w:p w14:paraId="044485A2" w14:textId="10B805ED" w:rsidR="007335BB" w:rsidRDefault="002303D6" w:rsidP="001811EC">
      <w:pPr>
        <w:pStyle w:val="TableFigureFooter"/>
        <w:rPr>
          <w:szCs w:val="18"/>
        </w:rPr>
      </w:pPr>
      <w:r w:rsidRPr="0002798F">
        <w:t xml:space="preserve">CI = confidence interval; CFS = corneal fluorescent staining; NR = not reported; OSDI = ocular disease surface index; SG = subgroup; </w:t>
      </w:r>
      <w:r w:rsidRPr="0002798F">
        <w:rPr>
          <w:rFonts w:eastAsia="Calibri"/>
          <w:b/>
        </w:rPr>
        <w:t>Bold</w:t>
      </w:r>
      <w:r w:rsidRPr="0002798F">
        <w:rPr>
          <w:rFonts w:eastAsia="Calibri"/>
        </w:rPr>
        <w:t xml:space="preserve"> indicates statistically significant results.</w:t>
      </w:r>
    </w:p>
    <w:p w14:paraId="3C4724DB" w14:textId="3C07D777" w:rsidR="002303D6" w:rsidRPr="0002798F" w:rsidRDefault="002303D6" w:rsidP="001811EC">
      <w:pPr>
        <w:pStyle w:val="TableFigureFooter"/>
        <w:rPr>
          <w:color w:val="4F81BD" w:themeColor="accent1"/>
        </w:rPr>
      </w:pPr>
      <w:proofErr w:type="spellStart"/>
      <w:proofErr w:type="gramStart"/>
      <w:r w:rsidRPr="0002798F">
        <w:rPr>
          <w:szCs w:val="18"/>
          <w:vertAlign w:val="superscript"/>
        </w:rPr>
        <w:t>a</w:t>
      </w:r>
      <w:proofErr w:type="spellEnd"/>
      <w:proofErr w:type="gramEnd"/>
      <w:r w:rsidRPr="0002798F">
        <w:rPr>
          <w:szCs w:val="18"/>
        </w:rPr>
        <w:t xml:space="preserve"> individual study data not reported in the SICCANOVE CSR or Leonardi 2019.</w:t>
      </w:r>
    </w:p>
    <w:p w14:paraId="460930D2" w14:textId="32ABF411" w:rsidR="00E43E2F" w:rsidRPr="006C680E" w:rsidRDefault="007B2503" w:rsidP="00C53E53">
      <w:pPr>
        <w:pStyle w:val="3-BodyText"/>
      </w:pPr>
      <w:r w:rsidRPr="0002798F">
        <w:t>The submission provided multiple post</w:t>
      </w:r>
      <w:r w:rsidR="00C7384F">
        <w:t xml:space="preserve"> </w:t>
      </w:r>
      <w:r w:rsidRPr="0002798F">
        <w:t xml:space="preserve">hoc subgroup analyses </w:t>
      </w:r>
      <w:r w:rsidR="00BC0B7A">
        <w:t xml:space="preserve">as </w:t>
      </w:r>
      <w:proofErr w:type="gramStart"/>
      <w:r w:rsidRPr="0002798F">
        <w:t>the</w:t>
      </w:r>
      <w:proofErr w:type="gramEnd"/>
      <w:r w:rsidRPr="0002798F">
        <w:t xml:space="preserve"> whole</w:t>
      </w:r>
      <w:r w:rsidR="007F4CA7">
        <w:t>-</w:t>
      </w:r>
      <w:r w:rsidRPr="0002798F">
        <w:t>of</w:t>
      </w:r>
      <w:r w:rsidR="007F4CA7">
        <w:t>-</w:t>
      </w:r>
      <w:r w:rsidRPr="0002798F">
        <w:t xml:space="preserve">trial population </w:t>
      </w:r>
      <w:r w:rsidR="00FF7526">
        <w:t>d</w:t>
      </w:r>
      <w:r w:rsidR="00051844">
        <w:t>id</w:t>
      </w:r>
      <w:r w:rsidRPr="0002798F">
        <w:t xml:space="preserve"> not align with the current PBS listing </w:t>
      </w:r>
      <w:r w:rsidR="00E34715">
        <w:t>of</w:t>
      </w:r>
      <w:r w:rsidR="00E34715" w:rsidRPr="0002798F">
        <w:t xml:space="preserve"> </w:t>
      </w:r>
      <w:r w:rsidRPr="0002798F">
        <w:t>0.1%</w:t>
      </w:r>
      <w:r w:rsidR="00E34715">
        <w:t xml:space="preserve"> </w:t>
      </w:r>
      <w:proofErr w:type="spellStart"/>
      <w:r w:rsidR="00E34715">
        <w:t>CsA</w:t>
      </w:r>
      <w:proofErr w:type="spellEnd"/>
      <w:r w:rsidR="00E34715">
        <w:t xml:space="preserve"> CE</w:t>
      </w:r>
      <w:r w:rsidR="00FA7311">
        <w:t>.</w:t>
      </w:r>
      <w:r w:rsidR="000B3C26" w:rsidRPr="00325908">
        <w:rPr>
          <w:iCs/>
        </w:rPr>
        <w:t xml:space="preserve"> This approach </w:t>
      </w:r>
      <w:r w:rsidR="00E43E2F">
        <w:rPr>
          <w:iCs/>
        </w:rPr>
        <w:t>wa</w:t>
      </w:r>
      <w:r w:rsidR="00E43E2F" w:rsidRPr="00325908">
        <w:rPr>
          <w:iCs/>
        </w:rPr>
        <w:t xml:space="preserve">s </w:t>
      </w:r>
      <w:r w:rsidR="000B3C26" w:rsidRPr="00325908">
        <w:rPr>
          <w:iCs/>
        </w:rPr>
        <w:t xml:space="preserve">consistent with the PBAC Guidelines and consistent with the approach in the submission for 0.1% </w:t>
      </w:r>
      <w:proofErr w:type="spellStart"/>
      <w:r w:rsidR="000B3C26" w:rsidRPr="00325908">
        <w:rPr>
          <w:iCs/>
        </w:rPr>
        <w:t>CsA</w:t>
      </w:r>
      <w:proofErr w:type="spellEnd"/>
      <w:r w:rsidR="000B3C26" w:rsidRPr="00325908">
        <w:rPr>
          <w:iCs/>
        </w:rPr>
        <w:t xml:space="preserve"> CE.</w:t>
      </w:r>
    </w:p>
    <w:p w14:paraId="3BB6698C" w14:textId="04363576" w:rsidR="00C53E53" w:rsidRPr="00C53E53" w:rsidRDefault="00C53E53" w:rsidP="001B06F5">
      <w:pPr>
        <w:pStyle w:val="3-BodyText"/>
      </w:pPr>
      <w:r>
        <w:t>T</w:t>
      </w:r>
      <w:r w:rsidRPr="0002798F">
        <w:t xml:space="preserve">he submission presented </w:t>
      </w:r>
      <w:r>
        <w:t xml:space="preserve">results </w:t>
      </w:r>
      <w:r w:rsidR="003844D7">
        <w:t xml:space="preserve">for the subgroup analyses </w:t>
      </w:r>
      <w:r>
        <w:t xml:space="preserve">as categorical </w:t>
      </w:r>
      <w:r w:rsidR="00C14DF3">
        <w:t>outcomes for</w:t>
      </w:r>
      <w:r>
        <w:t xml:space="preserve"> different grades of response rather than continuous outcomes as for the total trial population</w:t>
      </w:r>
      <w:r w:rsidRPr="0002798F">
        <w:t>, using standard statistical approaches to calculate pooled estimates of effect sizes with different metrics</w:t>
      </w:r>
      <w:r w:rsidR="003844D7">
        <w:t>.</w:t>
      </w:r>
      <w:r w:rsidRPr="0002798F">
        <w:t xml:space="preserve"> The submission also presented meta-analyses of the results of SANSIKA and SICCANOVE, from the PSD for 0.1% </w:t>
      </w:r>
      <w:proofErr w:type="spellStart"/>
      <w:r>
        <w:t>CsA</w:t>
      </w:r>
      <w:proofErr w:type="spellEnd"/>
      <w:r>
        <w:t xml:space="preserve"> CE</w:t>
      </w:r>
      <w:r w:rsidRPr="0002798F">
        <w:t xml:space="preserve"> and the publication by</w:t>
      </w:r>
      <w:r>
        <w:t xml:space="preserve"> </w:t>
      </w:r>
      <w:hyperlink w:anchor="_ENREF_23" w:tooltip="Leonardi, 2019 #6" w:history="1">
        <w:r w:rsidRPr="0002798F">
          <w:fldChar w:fldCharType="begin">
            <w:fldData xml:space="preserve">PEVuZE5vdGU+PENpdGUgQXV0aG9yWWVhcj0iMSI+PEF1dGhvcj5MZW9uYXJkaTwvQXV0aG9yPjxZ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</w:fldData>
          </w:fldChar>
        </w:r>
        <w:r w:rsidRPr="0002798F">
          <w:instrText xml:space="preserve"> ADDIN EN.CITE </w:instrText>
        </w:r>
        <w:r w:rsidRPr="0002798F">
          <w:fldChar w:fldCharType="begin">
            <w:fldData xml:space="preserve">PEVuZE5vdGU+PENpdGUgQXV0aG9yWWVhcj0iMSI+PEF1dGhvcj5MZW9uYXJkaTwvQXV0aG9yPjxZ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</w:fldData>
          </w:fldChar>
        </w:r>
        <w:r w:rsidRPr="0002798F">
          <w:instrText xml:space="preserve"> ADDIN EN.CITE.DATA </w:instrText>
        </w:r>
        <w:r w:rsidRPr="0002798F">
          <w:fldChar w:fldCharType="end"/>
        </w:r>
        <w:r w:rsidRPr="0002798F">
          <w:fldChar w:fldCharType="separate"/>
        </w:r>
        <w:r w:rsidRPr="0002798F">
          <w:t>Leonardi et al. (2019)</w:t>
        </w:r>
        <w:r w:rsidRPr="0002798F">
          <w:fldChar w:fldCharType="end"/>
        </w:r>
      </w:hyperlink>
      <w:r w:rsidRPr="0002798F">
        <w:t>.</w:t>
      </w:r>
    </w:p>
    <w:p w14:paraId="42C5D297" w14:textId="00FB8C9D" w:rsidR="007335BB" w:rsidRPr="00434F31" w:rsidRDefault="00C53E53" w:rsidP="00C53E53">
      <w:pPr>
        <w:pStyle w:val="3-BodyText"/>
      </w:pPr>
      <w:r>
        <w:lastRenderedPageBreak/>
        <w:t xml:space="preserve">The results </w:t>
      </w:r>
      <w:r w:rsidR="00C9320D">
        <w:t>of</w:t>
      </w:r>
      <w:r>
        <w:t xml:space="preserve"> the subgroup analyses were difficult to interpret. </w:t>
      </w:r>
      <w:r w:rsidR="00FA7311">
        <w:t>T</w:t>
      </w:r>
      <w:r w:rsidR="007B2503" w:rsidRPr="0002798F">
        <w:t xml:space="preserve">he populations in the trials of </w:t>
      </w:r>
      <w:r w:rsidR="00716F07" w:rsidRPr="0002798F">
        <w:t xml:space="preserve">0.09% OTX-101 </w:t>
      </w:r>
      <w:r w:rsidR="007B2503" w:rsidRPr="0002798F">
        <w:t xml:space="preserve">were, overall, much less severely </w:t>
      </w:r>
      <w:r w:rsidR="002C7A96" w:rsidRPr="0002798F">
        <w:t>affecte</w:t>
      </w:r>
      <w:r w:rsidR="002C7A96">
        <w:t>d</w:t>
      </w:r>
      <w:r w:rsidR="00FF7526">
        <w:t>, even allowing for the difference in measures of severity</w:t>
      </w:r>
      <w:r w:rsidR="00FA7311">
        <w:t xml:space="preserve">: over the two </w:t>
      </w:r>
      <w:r w:rsidR="00FF7526">
        <w:t xml:space="preserve">OTX-101 </w:t>
      </w:r>
      <w:r w:rsidR="00FA7311">
        <w:t>trials, 2014 and 2016, a total of 244/1049 (23.3%) of patients had marked corneal fluorescein staining</w:t>
      </w:r>
      <w:r w:rsidR="00434F31">
        <w:t xml:space="preserve"> (</w:t>
      </w:r>
      <w:proofErr w:type="gramStart"/>
      <w:r w:rsidR="00434F31">
        <w:t>i.e.</w:t>
      </w:r>
      <w:proofErr w:type="gramEnd"/>
      <w:r w:rsidR="00434F31">
        <w:t xml:space="preserve"> severe keratitis)</w:t>
      </w:r>
      <w:r w:rsidR="00FA7311">
        <w:t xml:space="preserve"> and moderate to severe symptoms, compared to </w:t>
      </w:r>
      <w:r w:rsidR="00315265">
        <w:t>320/620 (51.6%) of patients in the SICCANOVE and SANSIKA trials</w:t>
      </w:r>
      <w:r w:rsidR="002C7A96">
        <w:t xml:space="preserve">. </w:t>
      </w:r>
      <w:r w:rsidR="00A90DEE" w:rsidRPr="00434F31">
        <w:t>I</w:t>
      </w:r>
      <w:r w:rsidR="00315265" w:rsidRPr="00434F31">
        <w:t xml:space="preserve">t </w:t>
      </w:r>
      <w:r w:rsidR="001F11A4">
        <w:t>was</w:t>
      </w:r>
      <w:r w:rsidR="00315265" w:rsidRPr="00434F31">
        <w:t xml:space="preserve"> not possible to compare</w:t>
      </w:r>
      <w:r w:rsidR="00DE0B62">
        <w:t xml:space="preserve"> the</w:t>
      </w:r>
      <w:r w:rsidR="00315265" w:rsidRPr="00434F31">
        <w:t xml:space="preserve"> baseline characteristics of the patients included in the subgroup analyse</w:t>
      </w:r>
      <w:r w:rsidR="00315265" w:rsidRPr="00325908">
        <w:rPr>
          <w:iCs/>
        </w:rPr>
        <w:t xml:space="preserve">s. </w:t>
      </w:r>
      <w:r w:rsidR="00047C0D" w:rsidRPr="0002798F">
        <w:t>Only t</w:t>
      </w:r>
      <w:r w:rsidR="007B2503" w:rsidRPr="0002798F">
        <w:t xml:space="preserve">he baseline characteristics of the </w:t>
      </w:r>
      <w:r w:rsidR="007F4CA7">
        <w:t>whole-of-</w:t>
      </w:r>
      <w:r w:rsidR="007B2503" w:rsidRPr="0002798F">
        <w:t>trial population</w:t>
      </w:r>
      <w:r w:rsidR="007B2503" w:rsidRPr="00325908">
        <w:rPr>
          <w:iCs/>
        </w:rPr>
        <w:t xml:space="preserve"> </w:t>
      </w:r>
      <w:r w:rsidR="00CC3182">
        <w:t>were</w:t>
      </w:r>
      <w:r w:rsidR="007B2503" w:rsidRPr="0002798F">
        <w:t xml:space="preserve"> </w:t>
      </w:r>
      <w:r w:rsidR="007B2503" w:rsidRPr="00CC3182">
        <w:t>presented</w:t>
      </w:r>
      <w:r w:rsidR="00E43E2F">
        <w:t>,</w:t>
      </w:r>
      <w:r w:rsidR="007B2503" w:rsidRPr="00CC3182">
        <w:t xml:space="preserve"> </w:t>
      </w:r>
      <w:r w:rsidR="00203F6F">
        <w:t xml:space="preserve">and the submission stated that </w:t>
      </w:r>
      <w:r w:rsidR="007B2503" w:rsidRPr="0002798F">
        <w:t xml:space="preserve">“The baseline characteristics for the </w:t>
      </w:r>
      <w:r w:rsidR="006750FD">
        <w:t>post hoc</w:t>
      </w:r>
      <w:r w:rsidR="007B2503" w:rsidRPr="0002798F">
        <w:t xml:space="preserve"> specified PBS population in Study 2014, Study 2016 and SICCANOVE were unavailable”.</w:t>
      </w:r>
    </w:p>
    <w:p w14:paraId="20619954" w14:textId="5CE5267C" w:rsidR="00C9320D" w:rsidRPr="004E6B4B" w:rsidRDefault="008A0EFF" w:rsidP="000B3C26">
      <w:pPr>
        <w:pStyle w:val="3-BodyText"/>
      </w:pPr>
      <w:r>
        <w:t xml:space="preserve">Because of the </w:t>
      </w:r>
      <w:r w:rsidR="00F60DF4">
        <w:t>uncertainty</w:t>
      </w:r>
      <w:r>
        <w:t xml:space="preserve"> about the definition of severe </w:t>
      </w:r>
      <w:r w:rsidR="00315265">
        <w:t>keratitis</w:t>
      </w:r>
      <w:r w:rsidR="00F60DF4">
        <w:t xml:space="preserve"> </w:t>
      </w:r>
      <w:r w:rsidR="00315265">
        <w:t>for</w:t>
      </w:r>
      <w:r w:rsidR="00F60DF4">
        <w:t xml:space="preserve"> the</w:t>
      </w:r>
      <w:r w:rsidR="00315265">
        <w:t xml:space="preserve"> subgroup analyses of the</w:t>
      </w:r>
      <w:r w:rsidR="00405149">
        <w:t xml:space="preserve"> 0.09%</w:t>
      </w:r>
      <w:r w:rsidR="00F60DF4">
        <w:t xml:space="preserve"> OTX-101 trials, i</w:t>
      </w:r>
      <w:r w:rsidR="007B2503" w:rsidRPr="0002798F">
        <w:t xml:space="preserve">t </w:t>
      </w:r>
      <w:r w:rsidR="007C1CA2">
        <w:t>wa</w:t>
      </w:r>
      <w:r w:rsidR="007C1CA2" w:rsidRPr="0002798F">
        <w:t xml:space="preserve">s </w:t>
      </w:r>
      <w:r w:rsidR="007B2503" w:rsidRPr="0002798F">
        <w:t xml:space="preserve">difficult to reconcile the numbers included in the PBS-eligible </w:t>
      </w:r>
      <w:r w:rsidR="006A61F8" w:rsidRPr="0002798F">
        <w:t xml:space="preserve">subgroup </w:t>
      </w:r>
      <w:r w:rsidR="007B2503" w:rsidRPr="0002798F">
        <w:t>with the reported baseline characteristics</w:t>
      </w:r>
      <w:r w:rsidR="006A61F8" w:rsidRPr="0002798F">
        <w:t xml:space="preserve"> of the trials</w:t>
      </w:r>
      <w:r w:rsidR="007B2503" w:rsidRPr="0002798F">
        <w:t>.</w:t>
      </w:r>
      <w:r>
        <w:t xml:space="preserve"> For example,</w:t>
      </w:r>
      <w:r w:rsidR="007B2503" w:rsidRPr="0002798F">
        <w:t xml:space="preserve"> </w:t>
      </w:r>
      <w:r>
        <w:t>f</w:t>
      </w:r>
      <w:r w:rsidR="007B2503" w:rsidRPr="0002798F">
        <w:t xml:space="preserve">or Study 2016, the PBS-eligible </w:t>
      </w:r>
      <w:r w:rsidR="00047C0D" w:rsidRPr="0002798F">
        <w:t xml:space="preserve">subgroup </w:t>
      </w:r>
      <w:r w:rsidR="007C1CA2">
        <w:t>was</w:t>
      </w:r>
      <w:r w:rsidR="007B2503" w:rsidRPr="0002798F">
        <w:t xml:space="preserve"> reported to be 167/744</w:t>
      </w:r>
      <w:r w:rsidR="00E1600B">
        <w:t xml:space="preserve"> </w:t>
      </w:r>
      <w:r w:rsidR="00525B4A" w:rsidRPr="0002798F">
        <w:t>(</w:t>
      </w:r>
      <w:r w:rsidR="007B2503" w:rsidRPr="0002798F">
        <w:t>35%</w:t>
      </w:r>
      <w:r w:rsidR="00525B4A" w:rsidRPr="0002798F">
        <w:t xml:space="preserve"> of the total Study 2016 population)</w:t>
      </w:r>
      <w:r w:rsidR="007B2503" w:rsidRPr="0002798F">
        <w:t xml:space="preserve">. However, </w:t>
      </w:r>
      <w:r w:rsidR="00F101BA" w:rsidRPr="00121769">
        <w:rPr>
          <w:iCs/>
        </w:rPr>
        <w:t>the</w:t>
      </w:r>
      <w:r w:rsidR="00F101BA">
        <w:t xml:space="preserve"> </w:t>
      </w:r>
      <w:r w:rsidR="00F101BA" w:rsidRPr="00121769">
        <w:rPr>
          <w:iCs/>
        </w:rPr>
        <w:t>submission</w:t>
      </w:r>
      <w:r w:rsidR="007B2503" w:rsidRPr="0002798F">
        <w:t xml:space="preserve"> provide</w:t>
      </w:r>
      <w:r w:rsidR="00C53E53">
        <w:t>d</w:t>
      </w:r>
      <w:r w:rsidR="007B2503" w:rsidRPr="0002798F">
        <w:t xml:space="preserve"> data for baseline central CFS scores for the whole study</w:t>
      </w:r>
      <w:r w:rsidR="00DD7A40">
        <w:t xml:space="preserve"> </w:t>
      </w:r>
      <w:r w:rsidR="00DD7A40" w:rsidRPr="00121769">
        <w:rPr>
          <w:iCs/>
        </w:rPr>
        <w:t>and</w:t>
      </w:r>
      <w:r w:rsidR="00DD7A40">
        <w:t xml:space="preserve"> </w:t>
      </w:r>
      <w:r w:rsidR="00DD7A40" w:rsidRPr="00121769">
        <w:rPr>
          <w:iCs/>
        </w:rPr>
        <w:t>specified that</w:t>
      </w:r>
      <w:r w:rsidR="007B2503" w:rsidRPr="0002798F">
        <w:t xml:space="preserve"> </w:t>
      </w:r>
      <w:r w:rsidR="002B6767">
        <w:t xml:space="preserve">the </w:t>
      </w:r>
      <w:r w:rsidR="007B2503" w:rsidRPr="0002798F">
        <w:t xml:space="preserve">mean (SD) score for patients randomised to 0.09% OTX-101 was 0.6 (0.6), and for </w:t>
      </w:r>
      <w:r w:rsidR="002B6767">
        <w:t xml:space="preserve">the </w:t>
      </w:r>
      <w:r w:rsidR="007B2503" w:rsidRPr="0002798F">
        <w:t xml:space="preserve">vehicle-treated patients </w:t>
      </w:r>
      <w:r w:rsidR="002B6767">
        <w:t xml:space="preserve">it was </w:t>
      </w:r>
      <w:r w:rsidR="007B2503" w:rsidRPr="0002798F">
        <w:t>0.7 (0.7).</w:t>
      </w:r>
      <w:r w:rsidR="00135165" w:rsidRPr="0002798F">
        <w:t xml:space="preserve"> Based on </w:t>
      </w:r>
      <w:r w:rsidR="00E55301">
        <w:t>this data</w:t>
      </w:r>
      <w:r w:rsidR="00135165" w:rsidRPr="0002798F">
        <w:t>,</w:t>
      </w:r>
      <w:r w:rsidR="007B2503" w:rsidRPr="0002798F">
        <w:t xml:space="preserve"> </w:t>
      </w:r>
      <w:r w:rsidR="00135165" w:rsidRPr="0002798F">
        <w:t>o</w:t>
      </w:r>
      <w:r w:rsidR="007B2503" w:rsidRPr="0002798F">
        <w:t xml:space="preserve">nly a </w:t>
      </w:r>
      <w:r w:rsidR="00135165" w:rsidRPr="0002798F">
        <w:t xml:space="preserve">small </w:t>
      </w:r>
      <w:r w:rsidR="007B2503" w:rsidRPr="0002798F">
        <w:t>percent</w:t>
      </w:r>
      <w:r w:rsidR="00135165" w:rsidRPr="0002798F">
        <w:t>age of patients</w:t>
      </w:r>
      <w:r w:rsidR="007B2503" w:rsidRPr="0002798F">
        <w:t xml:space="preserve"> would be expected to have central CFS scores over 2.</w:t>
      </w:r>
      <w:r w:rsidR="004E6B4B" w:rsidRPr="00121769">
        <w:rPr>
          <w:iCs/>
        </w:rPr>
        <w:t xml:space="preserve"> In Study 2014</w:t>
      </w:r>
      <w:r w:rsidR="00BB23E8" w:rsidRPr="00121769">
        <w:rPr>
          <w:iCs/>
        </w:rPr>
        <w:t>,</w:t>
      </w:r>
      <w:r w:rsidR="004E6B4B" w:rsidRPr="00121769">
        <w:rPr>
          <w:iCs/>
        </w:rPr>
        <w:t xml:space="preserve"> the mean (SD) corneal staining scores for the study eyes were 0.8 (0.79)</w:t>
      </w:r>
      <w:r w:rsidR="004239AA" w:rsidRPr="00121769">
        <w:rPr>
          <w:iCs/>
        </w:rPr>
        <w:t xml:space="preserve"> </w:t>
      </w:r>
      <w:r w:rsidR="003D0CC5" w:rsidRPr="00121769">
        <w:rPr>
          <w:iCs/>
        </w:rPr>
        <w:t xml:space="preserve">for </w:t>
      </w:r>
      <w:r w:rsidR="004239AA" w:rsidRPr="00121769">
        <w:rPr>
          <w:iCs/>
        </w:rPr>
        <w:t>the central zones</w:t>
      </w:r>
      <w:r w:rsidR="004E6B4B" w:rsidRPr="00121769">
        <w:rPr>
          <w:iCs/>
        </w:rPr>
        <w:t xml:space="preserve">, </w:t>
      </w:r>
      <w:r w:rsidR="004239AA" w:rsidRPr="00121769">
        <w:rPr>
          <w:iCs/>
        </w:rPr>
        <w:t xml:space="preserve">1.4 (0.88) </w:t>
      </w:r>
      <w:r w:rsidR="004E6B4B" w:rsidRPr="00121769">
        <w:rPr>
          <w:iCs/>
        </w:rPr>
        <w:t>for the inferior zones,</w:t>
      </w:r>
      <w:r w:rsidR="003D0CC5" w:rsidRPr="00121769">
        <w:rPr>
          <w:iCs/>
        </w:rPr>
        <w:t xml:space="preserve"> 0.9 (0.78)</w:t>
      </w:r>
      <w:r w:rsidR="004E6B4B" w:rsidRPr="00121769">
        <w:rPr>
          <w:iCs/>
        </w:rPr>
        <w:t xml:space="preserve"> for the lateral zones,</w:t>
      </w:r>
      <w:r w:rsidR="003D0CC5" w:rsidRPr="00121769">
        <w:rPr>
          <w:iCs/>
        </w:rPr>
        <w:t xml:space="preserve"> 1.1 (0.78)</w:t>
      </w:r>
      <w:r w:rsidR="004E6B4B" w:rsidRPr="00121769">
        <w:rPr>
          <w:iCs/>
        </w:rPr>
        <w:t xml:space="preserve"> for the medial zones, and</w:t>
      </w:r>
      <w:r w:rsidR="003D0CC5" w:rsidRPr="00121769">
        <w:rPr>
          <w:iCs/>
        </w:rPr>
        <w:t xml:space="preserve"> 0.5 (0.56)</w:t>
      </w:r>
      <w:r w:rsidR="004E6B4B" w:rsidRPr="00121769">
        <w:rPr>
          <w:iCs/>
        </w:rPr>
        <w:t xml:space="preserve"> for the superior zones. These scores were </w:t>
      </w:r>
      <w:proofErr w:type="gramStart"/>
      <w:r w:rsidR="004E6B4B" w:rsidRPr="00121769">
        <w:rPr>
          <w:iCs/>
        </w:rPr>
        <w:t>similar to</w:t>
      </w:r>
      <w:proofErr w:type="gramEnd"/>
      <w:r w:rsidR="004E6B4B" w:rsidRPr="00121769">
        <w:rPr>
          <w:iCs/>
        </w:rPr>
        <w:t xml:space="preserve"> or less than those of the non-study eyes. For the worst zone, the inferior zone, only about 10% of patients had scores &gt; 2.5.</w:t>
      </w:r>
    </w:p>
    <w:p w14:paraId="2CEF1E5F" w14:textId="050116C4" w:rsidR="00C53E53" w:rsidRPr="0002798F" w:rsidRDefault="00C53E53" w:rsidP="007B2503">
      <w:pPr>
        <w:pStyle w:val="3-BodyText"/>
      </w:pPr>
      <w:r>
        <w:t>The results of the subgroup analyses</w:t>
      </w:r>
      <w:r w:rsidR="000B1A3D">
        <w:t xml:space="preserve"> </w:t>
      </w:r>
      <w:r w:rsidR="00E55301">
        <w:t xml:space="preserve">for various levels of response </w:t>
      </w:r>
      <w:r w:rsidR="000B1A3D">
        <w:t xml:space="preserve">were presented in the submission. Only the pooled analyses resulted in statistically significant differences. </w:t>
      </w:r>
      <w:r w:rsidR="000B1A3D" w:rsidRPr="00BB23E8">
        <w:t xml:space="preserve">Given the fundamental questions about the validity of the data, these results have not been </w:t>
      </w:r>
      <w:r w:rsidR="00BB23E8">
        <w:t>re-</w:t>
      </w:r>
      <w:r w:rsidR="000B1A3D" w:rsidRPr="00BB23E8">
        <w:t>presented</w:t>
      </w:r>
      <w:r w:rsidR="00C9320D" w:rsidRPr="00BB23E8">
        <w:t>.</w:t>
      </w:r>
      <w:r w:rsidR="00D56DF6" w:rsidRPr="00BB23E8">
        <w:t xml:space="preserve"> S</w:t>
      </w:r>
      <w:r w:rsidR="00D56DF6">
        <w:t xml:space="preserve">imilarly, </w:t>
      </w:r>
      <w:r w:rsidR="00302067">
        <w:t xml:space="preserve">the </w:t>
      </w:r>
      <w:r w:rsidR="00D56DF6">
        <w:t xml:space="preserve">results of the indirect comparison of the PBS-eligible subgroups </w:t>
      </w:r>
      <w:r w:rsidR="00DE0B62">
        <w:t>we</w:t>
      </w:r>
      <w:r w:rsidR="00D56DF6">
        <w:t xml:space="preserve">re also not </w:t>
      </w:r>
      <w:r w:rsidR="00BB23E8">
        <w:t>re-</w:t>
      </w:r>
      <w:r w:rsidR="00D56DF6">
        <w:t>presented.</w:t>
      </w:r>
    </w:p>
    <w:p w14:paraId="22C7C77B" w14:textId="70A143C7" w:rsidR="007335BB" w:rsidRPr="00325908" w:rsidRDefault="007B2503" w:rsidP="000B1A3D">
      <w:pPr>
        <w:pStyle w:val="3-BodyText"/>
        <w:rPr>
          <w:iCs/>
        </w:rPr>
      </w:pPr>
      <w:r w:rsidRPr="0002798F">
        <w:t>The submission then used the pooled estimates of effect size for the subgroups from Study 2014 and 2016 and the estimates of effect from the</w:t>
      </w:r>
      <w:r w:rsidR="00514095">
        <w:t xml:space="preserve"> pooled</w:t>
      </w:r>
      <w:r w:rsidRPr="0002798F">
        <w:t xml:space="preserve"> SANSIKA and SICCANOVE subgroup, to carry out a formal statistical indirect comparison using the Bucher </w:t>
      </w:r>
      <w:r w:rsidR="00B068C9" w:rsidRPr="0002798F">
        <w:t>method</w:t>
      </w:r>
      <w:r w:rsidRPr="0002798F">
        <w:t>.</w:t>
      </w:r>
      <w:r w:rsidR="007335BB">
        <w:t xml:space="preserve"> </w:t>
      </w:r>
      <w:r w:rsidRPr="0002798F">
        <w:t xml:space="preserve">The results of these comparisons for multiple different outcomes and composite outcomes (different changes in corneal fluorescein staining scores combined with symptom scores) </w:t>
      </w:r>
      <w:r w:rsidR="00A11DB8">
        <w:t>were</w:t>
      </w:r>
      <w:r w:rsidRPr="0002798F">
        <w:t xml:space="preserve"> presented in the submission.</w:t>
      </w:r>
    </w:p>
    <w:p w14:paraId="67EDEFE8" w14:textId="69416464" w:rsidR="007B2503" w:rsidRPr="0002798F" w:rsidRDefault="007B2503" w:rsidP="007B2503">
      <w:pPr>
        <w:pStyle w:val="3-BodyText"/>
      </w:pPr>
      <w:r w:rsidRPr="0002798F">
        <w:t>The submission presented a detailed discussion of the transitivity assumptions concerning th</w:t>
      </w:r>
      <w:r w:rsidR="00061AF4">
        <w:t xml:space="preserve">e comparison of the 0.09% OTX-101 trials with the 0.1% </w:t>
      </w:r>
      <w:proofErr w:type="spellStart"/>
      <w:r w:rsidR="00061AF4">
        <w:t>CsA</w:t>
      </w:r>
      <w:proofErr w:type="spellEnd"/>
      <w:r w:rsidR="00061AF4">
        <w:t xml:space="preserve"> CE trials</w:t>
      </w:r>
      <w:r w:rsidRPr="0002798F">
        <w:t>, noting that:</w:t>
      </w:r>
    </w:p>
    <w:p w14:paraId="2E199490" w14:textId="34D33D0E" w:rsidR="007B2503" w:rsidRPr="0002798F" w:rsidRDefault="007B2503" w:rsidP="001B403A">
      <w:pPr>
        <w:pStyle w:val="ListParagraph"/>
        <w:numPr>
          <w:ilvl w:val="0"/>
          <w:numId w:val="4"/>
        </w:numPr>
        <w:tabs>
          <w:tab w:val="num" w:pos="1080"/>
        </w:tabs>
        <w:ind w:left="1080"/>
      </w:pPr>
      <w:r w:rsidRPr="0002798F">
        <w:t xml:space="preserve">The baseline characteristics of the populations in the trials were </w:t>
      </w:r>
      <w:proofErr w:type="gramStart"/>
      <w:r w:rsidR="008570D5" w:rsidRPr="0002798F">
        <w:t>di</w:t>
      </w:r>
      <w:r w:rsidR="008570D5">
        <w:t>fferent</w:t>
      </w:r>
      <w:r w:rsidRPr="0002798F">
        <w:t>;</w:t>
      </w:r>
      <w:proofErr w:type="gramEnd"/>
    </w:p>
    <w:p w14:paraId="266526C4" w14:textId="0FFFEB57" w:rsidR="007B2503" w:rsidRPr="0002798F" w:rsidRDefault="007B2503" w:rsidP="001B403A">
      <w:pPr>
        <w:pStyle w:val="ListParagraph"/>
        <w:numPr>
          <w:ilvl w:val="0"/>
          <w:numId w:val="4"/>
        </w:numPr>
        <w:tabs>
          <w:tab w:val="num" w:pos="1080"/>
        </w:tabs>
        <w:ind w:left="1077" w:hanging="357"/>
      </w:pPr>
      <w:r w:rsidRPr="0002798F">
        <w:t xml:space="preserve">The grading systems for disease characteristics were different </w:t>
      </w:r>
      <w:r w:rsidR="00061AF4">
        <w:t xml:space="preserve">between the 0.09% OTX-101 trials and the 0.1% </w:t>
      </w:r>
      <w:proofErr w:type="spellStart"/>
      <w:r w:rsidR="00061AF4">
        <w:t>CsA</w:t>
      </w:r>
      <w:proofErr w:type="spellEnd"/>
      <w:r w:rsidR="00061AF4">
        <w:t xml:space="preserve"> CE </w:t>
      </w:r>
      <w:proofErr w:type="gramStart"/>
      <w:r w:rsidR="00061AF4">
        <w:t>trials</w:t>
      </w:r>
      <w:r w:rsidRPr="0002798F">
        <w:t>;</w:t>
      </w:r>
      <w:proofErr w:type="gramEnd"/>
    </w:p>
    <w:p w14:paraId="118CE780" w14:textId="327C690B" w:rsidR="007B2503" w:rsidRPr="0002798F" w:rsidRDefault="007B2503" w:rsidP="001B403A">
      <w:pPr>
        <w:pStyle w:val="ListParagraph"/>
        <w:numPr>
          <w:ilvl w:val="0"/>
          <w:numId w:val="4"/>
        </w:numPr>
        <w:tabs>
          <w:tab w:val="num" w:pos="1080"/>
        </w:tabs>
        <w:ind w:left="1077" w:hanging="357"/>
      </w:pPr>
      <w:r w:rsidRPr="0002798F">
        <w:lastRenderedPageBreak/>
        <w:t xml:space="preserve">Different scoring methods were used across the </w:t>
      </w:r>
      <w:r w:rsidR="00302067">
        <w:t xml:space="preserve">0.09% OTX-101 trials and the </w:t>
      </w:r>
      <w:bookmarkStart w:id="26" w:name="_Hlk98938670"/>
      <w:r w:rsidR="00302067">
        <w:t xml:space="preserve">0.1% </w:t>
      </w:r>
      <w:proofErr w:type="spellStart"/>
      <w:r w:rsidR="00302067">
        <w:t>CsA</w:t>
      </w:r>
      <w:proofErr w:type="spellEnd"/>
      <w:r w:rsidR="00302067">
        <w:t xml:space="preserve"> CE </w:t>
      </w:r>
      <w:bookmarkEnd w:id="26"/>
      <w:r w:rsidR="00302067">
        <w:t>trials</w:t>
      </w:r>
      <w:r w:rsidR="00302067" w:rsidRPr="0002798F" w:rsidDel="00302067">
        <w:t xml:space="preserve"> </w:t>
      </w:r>
      <w:r w:rsidRPr="0002798F">
        <w:t xml:space="preserve">for the outcomes of </w:t>
      </w:r>
      <w:proofErr w:type="gramStart"/>
      <w:r w:rsidRPr="0002798F">
        <w:t>interest;</w:t>
      </w:r>
      <w:proofErr w:type="gramEnd"/>
    </w:p>
    <w:p w14:paraId="6599D91D" w14:textId="6D15B8E6" w:rsidR="007B2503" w:rsidRPr="0002798F" w:rsidRDefault="007B2503" w:rsidP="001B403A">
      <w:pPr>
        <w:pStyle w:val="ListParagraph"/>
        <w:numPr>
          <w:ilvl w:val="0"/>
          <w:numId w:val="4"/>
        </w:numPr>
        <w:tabs>
          <w:tab w:val="num" w:pos="1080"/>
        </w:tabs>
        <w:ind w:left="1077" w:hanging="357"/>
      </w:pPr>
      <w:r w:rsidRPr="0002798F">
        <w:t>There wer</w:t>
      </w:r>
      <w:r w:rsidR="00061AF4">
        <w:t xml:space="preserve">e </w:t>
      </w:r>
      <w:r w:rsidRPr="0002798F">
        <w:t>differences in eligibility criteria</w:t>
      </w:r>
      <w:r w:rsidR="00061AF4">
        <w:t xml:space="preserve"> between the 0.09% OTX-101 trials and the 0.1% </w:t>
      </w:r>
      <w:proofErr w:type="spellStart"/>
      <w:r w:rsidR="00061AF4">
        <w:t>CsA</w:t>
      </w:r>
      <w:proofErr w:type="spellEnd"/>
      <w:r w:rsidR="00061AF4">
        <w:t xml:space="preserve"> CE </w:t>
      </w:r>
      <w:proofErr w:type="gramStart"/>
      <w:r w:rsidR="00061AF4">
        <w:t>trials</w:t>
      </w:r>
      <w:r w:rsidRPr="0002798F">
        <w:t>;</w:t>
      </w:r>
      <w:proofErr w:type="gramEnd"/>
    </w:p>
    <w:p w14:paraId="7CF804E4" w14:textId="77777777" w:rsidR="00302067" w:rsidRPr="00302067" w:rsidRDefault="007B2503" w:rsidP="001B403A">
      <w:pPr>
        <w:pStyle w:val="ListParagraph"/>
        <w:numPr>
          <w:ilvl w:val="0"/>
          <w:numId w:val="4"/>
        </w:numPr>
        <w:ind w:left="1078"/>
      </w:pPr>
      <w:r w:rsidRPr="00302067">
        <w:t>The treatment durations of</w:t>
      </w:r>
      <w:r w:rsidR="00061AF4" w:rsidRPr="00302067">
        <w:t xml:space="preserve"> the 0.09% OTX-101 trials and the 0.1% </w:t>
      </w:r>
      <w:proofErr w:type="spellStart"/>
      <w:r w:rsidR="00061AF4" w:rsidRPr="00302067">
        <w:t>CsA</w:t>
      </w:r>
      <w:proofErr w:type="spellEnd"/>
      <w:r w:rsidR="00061AF4" w:rsidRPr="00302067">
        <w:t xml:space="preserve"> CE trials</w:t>
      </w:r>
      <w:r w:rsidRPr="00302067">
        <w:t xml:space="preserve"> were </w:t>
      </w:r>
      <w:proofErr w:type="gramStart"/>
      <w:r w:rsidRPr="00302067">
        <w:t>different;</w:t>
      </w:r>
      <w:proofErr w:type="gramEnd"/>
    </w:p>
    <w:p w14:paraId="53BBFBD9" w14:textId="4C874893" w:rsidR="00302067" w:rsidRPr="00302067" w:rsidRDefault="007B2503" w:rsidP="001B403A">
      <w:pPr>
        <w:pStyle w:val="ListParagraph"/>
        <w:numPr>
          <w:ilvl w:val="0"/>
          <w:numId w:val="4"/>
        </w:numPr>
        <w:ind w:left="1078"/>
      </w:pPr>
      <w:r w:rsidRPr="00302067">
        <w:t xml:space="preserve">There were differences </w:t>
      </w:r>
      <w:r w:rsidR="00061AF4" w:rsidRPr="00302067">
        <w:t xml:space="preserve">between the 0.09% OTX-101 trials and the 0.1% </w:t>
      </w:r>
      <w:proofErr w:type="spellStart"/>
      <w:r w:rsidR="00061AF4" w:rsidRPr="00302067">
        <w:t>CsA</w:t>
      </w:r>
      <w:proofErr w:type="spellEnd"/>
      <w:r w:rsidR="00061AF4" w:rsidRPr="00302067">
        <w:t xml:space="preserve"> CE trials</w:t>
      </w:r>
      <w:r w:rsidRPr="00302067">
        <w:t xml:space="preserve"> with respect to use of artificial tears.</w:t>
      </w:r>
    </w:p>
    <w:p w14:paraId="7BE8A74A" w14:textId="7D68DB4C" w:rsidR="007B2503" w:rsidRPr="00325908" w:rsidRDefault="007B2503" w:rsidP="00302067">
      <w:pPr>
        <w:pStyle w:val="3-BodyText"/>
        <w:numPr>
          <w:ilvl w:val="0"/>
          <w:numId w:val="0"/>
        </w:numPr>
        <w:ind w:left="720"/>
        <w:rPr>
          <w:iCs/>
        </w:rPr>
      </w:pPr>
      <w:r w:rsidRPr="00325908">
        <w:rPr>
          <w:iCs/>
        </w:rPr>
        <w:t xml:space="preserve">In addition, the vehicle in the trials of </w:t>
      </w:r>
      <w:r w:rsidR="00716F07" w:rsidRPr="00325908">
        <w:rPr>
          <w:iCs/>
        </w:rPr>
        <w:t>0.09% OTX-101</w:t>
      </w:r>
      <w:r w:rsidRPr="00325908">
        <w:rPr>
          <w:iCs/>
        </w:rPr>
        <w:t xml:space="preserve"> was different to the vehicle in the trials of 0.1</w:t>
      </w:r>
      <w:r w:rsidR="007335BB" w:rsidRPr="00325908">
        <w:rPr>
          <w:iCs/>
        </w:rPr>
        <w:t xml:space="preserve">% </w:t>
      </w:r>
      <w:proofErr w:type="spellStart"/>
      <w:r w:rsidR="00B753F0" w:rsidRPr="00325908">
        <w:rPr>
          <w:iCs/>
        </w:rPr>
        <w:t>CsA</w:t>
      </w:r>
      <w:proofErr w:type="spellEnd"/>
      <w:r w:rsidR="00B753F0" w:rsidRPr="00325908">
        <w:rPr>
          <w:iCs/>
        </w:rPr>
        <w:t xml:space="preserve"> CE</w:t>
      </w:r>
      <w:r w:rsidRPr="00325908">
        <w:rPr>
          <w:iCs/>
        </w:rPr>
        <w:t>.</w:t>
      </w:r>
    </w:p>
    <w:p w14:paraId="4A3A1E3D" w14:textId="0CB531E3" w:rsidR="007335BB" w:rsidRPr="00325908" w:rsidRDefault="007B2503" w:rsidP="00F26D52">
      <w:pPr>
        <w:pStyle w:val="3-BodyText"/>
        <w:rPr>
          <w:iCs/>
        </w:rPr>
      </w:pPr>
      <w:r w:rsidRPr="00325908">
        <w:rPr>
          <w:iCs/>
        </w:rPr>
        <w:t xml:space="preserve">Given these significant differences between the trials together with the </w:t>
      </w:r>
      <w:r w:rsidR="00B753F0" w:rsidRPr="00325908">
        <w:rPr>
          <w:iCs/>
        </w:rPr>
        <w:t xml:space="preserve">issues </w:t>
      </w:r>
      <w:r w:rsidRPr="00325908">
        <w:rPr>
          <w:iCs/>
        </w:rPr>
        <w:t xml:space="preserve">identified with the subgroup analyses, the transitivity assumptions for an indirect comparison </w:t>
      </w:r>
      <w:r w:rsidR="00BE3FD0">
        <w:rPr>
          <w:iCs/>
        </w:rPr>
        <w:t>we</w:t>
      </w:r>
      <w:r w:rsidRPr="00325908">
        <w:rPr>
          <w:iCs/>
        </w:rPr>
        <w:t>re not satisfied.</w:t>
      </w:r>
      <w:bookmarkStart w:id="27" w:name="_Toc22897642"/>
    </w:p>
    <w:p w14:paraId="1452C351" w14:textId="0D19F1B0" w:rsidR="00B60939" w:rsidRPr="0002798F" w:rsidRDefault="00B60939" w:rsidP="00D86231">
      <w:pPr>
        <w:pStyle w:val="4-SubsectionHeading"/>
      </w:pPr>
      <w:bookmarkStart w:id="28" w:name="_Toc93316685"/>
      <w:r w:rsidRPr="0002798F">
        <w:t>Comparative harms</w:t>
      </w:r>
      <w:bookmarkEnd w:id="27"/>
      <w:bookmarkEnd w:id="28"/>
    </w:p>
    <w:p w14:paraId="2DAF16D1" w14:textId="082AB225" w:rsidR="00B60939" w:rsidRPr="0002798F" w:rsidRDefault="00291537" w:rsidP="00D86231">
      <w:pPr>
        <w:pStyle w:val="3-BodyText"/>
      </w:pPr>
      <w:r w:rsidRPr="0002798F">
        <w:t xml:space="preserve">Adverse events </w:t>
      </w:r>
      <w:r w:rsidR="00D545DD" w:rsidRPr="0002798F">
        <w:t xml:space="preserve">for the full trial populations </w:t>
      </w:r>
      <w:r w:rsidRPr="0002798F">
        <w:t xml:space="preserve">as reported in the trials of </w:t>
      </w:r>
      <w:r w:rsidR="00A33E2C">
        <w:t>0.09% OTX-101 a</w:t>
      </w:r>
      <w:r w:rsidRPr="0002798F">
        <w:t xml:space="preserve">re summarised in </w:t>
      </w:r>
      <w:r w:rsidR="00584AD7">
        <w:t>T</w:t>
      </w:r>
      <w:r w:rsidRPr="0002798F">
        <w:t>able</w:t>
      </w:r>
      <w:r w:rsidR="00584AD7">
        <w:t xml:space="preserve"> 9</w:t>
      </w:r>
      <w:r w:rsidR="00780356" w:rsidRPr="0002798F">
        <w:t>.</w:t>
      </w:r>
      <w:r w:rsidR="007335BB">
        <w:t xml:space="preserve"> </w:t>
      </w:r>
      <w:r w:rsidR="00780356" w:rsidRPr="0002798F">
        <w:t xml:space="preserve">Table </w:t>
      </w:r>
      <w:r w:rsidR="00804738" w:rsidRPr="0002798F">
        <w:t xml:space="preserve">10 </w:t>
      </w:r>
      <w:r w:rsidR="00780356" w:rsidRPr="0002798F">
        <w:t xml:space="preserve">presents the </w:t>
      </w:r>
      <w:r w:rsidR="009517E0" w:rsidRPr="0002798F">
        <w:t>adverse events from</w:t>
      </w:r>
      <w:r w:rsidR="00780356" w:rsidRPr="0002798F">
        <w:t xml:space="preserve"> the trials of </w:t>
      </w:r>
      <w:r w:rsidR="00A33E2C">
        <w:t xml:space="preserve">0.1% </w:t>
      </w:r>
      <w:proofErr w:type="spellStart"/>
      <w:r w:rsidR="00A33E2C">
        <w:t>CsA</w:t>
      </w:r>
      <w:proofErr w:type="spellEnd"/>
      <w:r w:rsidR="00A33E2C">
        <w:t xml:space="preserve"> CE.</w:t>
      </w:r>
    </w:p>
    <w:p w14:paraId="7ED191A6" w14:textId="63973A76" w:rsidR="001811EC" w:rsidRDefault="001811EC" w:rsidP="001811EC">
      <w:pPr>
        <w:pStyle w:val="TableFigureHeading"/>
      </w:pPr>
      <w:r>
        <w:t xml:space="preserve">Table </w:t>
      </w:r>
      <w:fldSimple w:instr=" SEQ Table \* ARABIC ">
        <w:r>
          <w:rPr>
            <w:noProof/>
          </w:rPr>
          <w:t>9</w:t>
        </w:r>
      </w:fldSimple>
      <w:r w:rsidRPr="00C12F8C">
        <w:t>: Adverse events in the randomised trials of 0.09% OTX-101</w:t>
      </w:r>
    </w:p>
    <w:tbl>
      <w:tblPr>
        <w:tblStyle w:val="TableGrid"/>
        <w:tblW w:w="0" w:type="auto"/>
        <w:tblLook w:val="04A0" w:firstRow="1" w:lastRow="0" w:firstColumn="1" w:lastColumn="0" w:noHBand="0" w:noVBand="1"/>
        <w:tblCaption w:val="Table 9: Adverse events in the randomised trials of 0.09% OTX-101"/>
        <w:tblDescription w:val="Table 9: Adverse events in the randomised trials of 0.09% OTX-101"/>
      </w:tblPr>
      <w:tblGrid>
        <w:gridCol w:w="2252"/>
        <w:gridCol w:w="2252"/>
        <w:gridCol w:w="2253"/>
        <w:gridCol w:w="2253"/>
      </w:tblGrid>
      <w:tr w:rsidR="00291537" w:rsidRPr="0002798F" w14:paraId="487F6B42" w14:textId="77777777" w:rsidTr="00713290">
        <w:tc>
          <w:tcPr>
            <w:tcW w:w="2252" w:type="dxa"/>
          </w:tcPr>
          <w:p w14:paraId="42D4E067" w14:textId="77777777" w:rsidR="00291537" w:rsidRPr="0002798F" w:rsidRDefault="00291537" w:rsidP="00713290">
            <w:pPr>
              <w:pStyle w:val="In-tableHeading"/>
              <w:rPr>
                <w:lang w:val="en-AU"/>
              </w:rPr>
            </w:pPr>
          </w:p>
        </w:tc>
        <w:tc>
          <w:tcPr>
            <w:tcW w:w="2252" w:type="dxa"/>
          </w:tcPr>
          <w:p w14:paraId="7BB19AB8" w14:textId="1F1CCE83" w:rsidR="00291537" w:rsidRPr="0002798F" w:rsidRDefault="00A33E2C" w:rsidP="00713290">
            <w:pPr>
              <w:pStyle w:val="In-tableHeading"/>
              <w:rPr>
                <w:lang w:val="en-AU"/>
              </w:rPr>
            </w:pPr>
            <w:r>
              <w:rPr>
                <w:lang w:val="en-AU"/>
              </w:rPr>
              <w:t>0.09% OTX-101</w:t>
            </w:r>
          </w:p>
          <w:p w14:paraId="678973BC" w14:textId="77777777" w:rsidR="00291537" w:rsidRPr="0002798F" w:rsidRDefault="00291537" w:rsidP="00713290">
            <w:pPr>
              <w:pStyle w:val="In-tableHeading"/>
              <w:rPr>
                <w:lang w:val="en-AU"/>
              </w:rPr>
            </w:pPr>
            <w:r w:rsidRPr="0002798F">
              <w:rPr>
                <w:lang w:val="en-AU"/>
              </w:rPr>
              <w:t>n/N (%)</w:t>
            </w:r>
          </w:p>
        </w:tc>
        <w:tc>
          <w:tcPr>
            <w:tcW w:w="2253" w:type="dxa"/>
          </w:tcPr>
          <w:p w14:paraId="1F29ECE8" w14:textId="77777777" w:rsidR="00291537" w:rsidRPr="0002798F" w:rsidRDefault="00291537" w:rsidP="00713290">
            <w:pPr>
              <w:pStyle w:val="In-tableHeading"/>
              <w:rPr>
                <w:lang w:val="en-AU"/>
              </w:rPr>
            </w:pPr>
            <w:r w:rsidRPr="0002798F">
              <w:rPr>
                <w:lang w:val="en-AU"/>
              </w:rPr>
              <w:t>Vehicle</w:t>
            </w:r>
          </w:p>
          <w:p w14:paraId="2672528E" w14:textId="77777777" w:rsidR="00291537" w:rsidRPr="0002798F" w:rsidRDefault="00291537" w:rsidP="00713290">
            <w:pPr>
              <w:pStyle w:val="In-tableHeading"/>
              <w:rPr>
                <w:lang w:val="en-AU"/>
              </w:rPr>
            </w:pPr>
            <w:r w:rsidRPr="0002798F">
              <w:rPr>
                <w:lang w:val="en-AU"/>
              </w:rPr>
              <w:t>n/N (%)</w:t>
            </w:r>
          </w:p>
        </w:tc>
        <w:tc>
          <w:tcPr>
            <w:tcW w:w="2253" w:type="dxa"/>
          </w:tcPr>
          <w:p w14:paraId="0AD5D600" w14:textId="77777777" w:rsidR="00291537" w:rsidRPr="0002798F" w:rsidRDefault="00291537" w:rsidP="00713290">
            <w:pPr>
              <w:pStyle w:val="In-tableHeading"/>
              <w:rPr>
                <w:lang w:val="en-AU"/>
              </w:rPr>
            </w:pPr>
            <w:r w:rsidRPr="0002798F">
              <w:rPr>
                <w:lang w:val="en-AU"/>
              </w:rPr>
              <w:t>Odds Ratio (95% CI)</w:t>
            </w:r>
          </w:p>
        </w:tc>
      </w:tr>
      <w:tr w:rsidR="00291537" w:rsidRPr="0002798F" w14:paraId="7F21C226" w14:textId="77777777" w:rsidTr="00713290">
        <w:tc>
          <w:tcPr>
            <w:tcW w:w="9010" w:type="dxa"/>
            <w:gridSpan w:val="4"/>
          </w:tcPr>
          <w:p w14:paraId="23DD62BD" w14:textId="5A8B26B2" w:rsidR="00291537" w:rsidRPr="0002798F" w:rsidRDefault="00291537" w:rsidP="0063748C">
            <w:pPr>
              <w:pStyle w:val="In-tableHeading"/>
            </w:pPr>
            <w:r w:rsidRPr="0002798F">
              <w:t>Any TEAE</w:t>
            </w:r>
          </w:p>
        </w:tc>
      </w:tr>
      <w:tr w:rsidR="00291537" w:rsidRPr="0002798F" w14:paraId="613B90EE" w14:textId="77777777" w:rsidTr="00713290">
        <w:tc>
          <w:tcPr>
            <w:tcW w:w="2252" w:type="dxa"/>
          </w:tcPr>
          <w:p w14:paraId="4D2235AC" w14:textId="49DC846B" w:rsidR="00291537" w:rsidRPr="0002798F" w:rsidRDefault="00291537" w:rsidP="00713290">
            <w:pPr>
              <w:pStyle w:val="TableText0"/>
            </w:pPr>
            <w:r w:rsidRPr="0002798F">
              <w:t>Study 2014</w:t>
            </w:r>
          </w:p>
        </w:tc>
        <w:tc>
          <w:tcPr>
            <w:tcW w:w="2252" w:type="dxa"/>
          </w:tcPr>
          <w:p w14:paraId="3471E9B7" w14:textId="77777777" w:rsidR="00291537" w:rsidRPr="0002798F" w:rsidRDefault="00291537" w:rsidP="00713290">
            <w:pPr>
              <w:pStyle w:val="TableText0"/>
            </w:pPr>
            <w:r w:rsidRPr="0002798F">
              <w:t>52/152 (34.2%)</w:t>
            </w:r>
          </w:p>
        </w:tc>
        <w:tc>
          <w:tcPr>
            <w:tcW w:w="2253" w:type="dxa"/>
          </w:tcPr>
          <w:p w14:paraId="111FF058" w14:textId="77777777" w:rsidR="00291537" w:rsidRPr="0002798F" w:rsidRDefault="00291537" w:rsidP="00713290">
            <w:pPr>
              <w:pStyle w:val="TableText0"/>
            </w:pPr>
            <w:r w:rsidRPr="0002798F">
              <w:t>51/152 (33.6%)</w:t>
            </w:r>
          </w:p>
        </w:tc>
        <w:tc>
          <w:tcPr>
            <w:tcW w:w="2253" w:type="dxa"/>
          </w:tcPr>
          <w:p w14:paraId="115411CD" w14:textId="77777777" w:rsidR="00291537" w:rsidRPr="0002798F" w:rsidRDefault="00291537" w:rsidP="00713290">
            <w:pPr>
              <w:pStyle w:val="TableText0"/>
            </w:pPr>
            <w:r w:rsidRPr="0002798F">
              <w:t>1.03 (0.64, 1.66) p=0.90</w:t>
            </w:r>
          </w:p>
        </w:tc>
      </w:tr>
      <w:tr w:rsidR="00291537" w:rsidRPr="0002798F" w14:paraId="0B49EADB" w14:textId="77777777" w:rsidTr="00713290">
        <w:tc>
          <w:tcPr>
            <w:tcW w:w="2252" w:type="dxa"/>
          </w:tcPr>
          <w:p w14:paraId="4533E1C9" w14:textId="301F5C98" w:rsidR="00291537" w:rsidRPr="0002798F" w:rsidRDefault="00291537" w:rsidP="00713290">
            <w:pPr>
              <w:pStyle w:val="TableText0"/>
            </w:pPr>
            <w:r w:rsidRPr="0002798F">
              <w:t>Study 2016</w:t>
            </w:r>
          </w:p>
        </w:tc>
        <w:tc>
          <w:tcPr>
            <w:tcW w:w="2252" w:type="dxa"/>
          </w:tcPr>
          <w:p w14:paraId="7269C85D" w14:textId="77777777" w:rsidR="00291537" w:rsidRPr="0002798F" w:rsidRDefault="00291537" w:rsidP="00713290">
            <w:pPr>
              <w:pStyle w:val="TableText0"/>
            </w:pPr>
            <w:r w:rsidRPr="0002798F">
              <w:t>151/372 (40.6%)</w:t>
            </w:r>
          </w:p>
        </w:tc>
        <w:tc>
          <w:tcPr>
            <w:tcW w:w="2253" w:type="dxa"/>
          </w:tcPr>
          <w:p w14:paraId="5F388AA6" w14:textId="77777777" w:rsidR="00291537" w:rsidRPr="0002798F" w:rsidRDefault="00291537" w:rsidP="00713290">
            <w:pPr>
              <w:pStyle w:val="TableText0"/>
            </w:pPr>
            <w:r w:rsidRPr="0002798F">
              <w:t>91/372 (24.5%)</w:t>
            </w:r>
          </w:p>
        </w:tc>
        <w:tc>
          <w:tcPr>
            <w:tcW w:w="2253" w:type="dxa"/>
          </w:tcPr>
          <w:p w14:paraId="172BEDAE" w14:textId="77777777" w:rsidR="00291537" w:rsidRPr="0002798F" w:rsidRDefault="00291537" w:rsidP="00713290">
            <w:pPr>
              <w:pStyle w:val="TableText0"/>
            </w:pPr>
            <w:r w:rsidRPr="0002798F">
              <w:t>2.11 (1.54, 2.89) p&lt;0.0001</w:t>
            </w:r>
          </w:p>
        </w:tc>
      </w:tr>
      <w:tr w:rsidR="00291537" w:rsidRPr="0002798F" w14:paraId="6E2A3C00" w14:textId="77777777" w:rsidTr="00713290">
        <w:tc>
          <w:tcPr>
            <w:tcW w:w="2252" w:type="dxa"/>
          </w:tcPr>
          <w:p w14:paraId="2DC38157" w14:textId="77777777" w:rsidR="00291537" w:rsidRPr="0002798F" w:rsidRDefault="00291537" w:rsidP="00713290">
            <w:pPr>
              <w:pStyle w:val="TableText0"/>
            </w:pPr>
            <w:r w:rsidRPr="0002798F">
              <w:t>Pooled</w:t>
            </w:r>
          </w:p>
        </w:tc>
        <w:tc>
          <w:tcPr>
            <w:tcW w:w="2252" w:type="dxa"/>
          </w:tcPr>
          <w:p w14:paraId="4045BFC5" w14:textId="77777777" w:rsidR="00291537" w:rsidRPr="0002798F" w:rsidRDefault="00291537" w:rsidP="00713290">
            <w:pPr>
              <w:pStyle w:val="TableText0"/>
            </w:pPr>
            <w:r w:rsidRPr="0002798F">
              <w:t>203/524 (38.7%)</w:t>
            </w:r>
          </w:p>
        </w:tc>
        <w:tc>
          <w:tcPr>
            <w:tcW w:w="2253" w:type="dxa"/>
          </w:tcPr>
          <w:p w14:paraId="4EDAC840" w14:textId="77777777" w:rsidR="00291537" w:rsidRPr="0002798F" w:rsidRDefault="00291537" w:rsidP="00713290">
            <w:pPr>
              <w:pStyle w:val="TableText0"/>
            </w:pPr>
            <w:r w:rsidRPr="0002798F">
              <w:t>142/524 (27.1%)</w:t>
            </w:r>
          </w:p>
        </w:tc>
        <w:tc>
          <w:tcPr>
            <w:tcW w:w="2253" w:type="dxa"/>
          </w:tcPr>
          <w:p w14:paraId="3A41175E" w14:textId="77777777" w:rsidR="00291537" w:rsidRPr="0002798F" w:rsidRDefault="00291537" w:rsidP="00713290">
            <w:pPr>
              <w:pStyle w:val="TableText0"/>
            </w:pPr>
            <w:r w:rsidRPr="0002798F">
              <w:t>1.51 (0.75, 3.04) p=0.25</w:t>
            </w:r>
          </w:p>
        </w:tc>
      </w:tr>
      <w:tr w:rsidR="00291537" w:rsidRPr="0002798F" w14:paraId="1E8471BB" w14:textId="77777777" w:rsidTr="00713290">
        <w:tc>
          <w:tcPr>
            <w:tcW w:w="9010" w:type="dxa"/>
            <w:gridSpan w:val="4"/>
          </w:tcPr>
          <w:p w14:paraId="4B267C89" w14:textId="633099DA" w:rsidR="00291537" w:rsidRPr="0002798F" w:rsidRDefault="00291537" w:rsidP="0063748C">
            <w:pPr>
              <w:pStyle w:val="In-tableHeading"/>
            </w:pPr>
            <w:r w:rsidRPr="0002798F">
              <w:t>Treatment-related Ocular TEAE</w:t>
            </w:r>
          </w:p>
        </w:tc>
      </w:tr>
      <w:tr w:rsidR="00291537" w:rsidRPr="0002798F" w14:paraId="08745E49" w14:textId="77777777" w:rsidTr="00713290">
        <w:tc>
          <w:tcPr>
            <w:tcW w:w="2252" w:type="dxa"/>
          </w:tcPr>
          <w:p w14:paraId="5A0BE43B" w14:textId="53919435" w:rsidR="00291537" w:rsidRPr="0002798F" w:rsidRDefault="00291537" w:rsidP="00713290">
            <w:pPr>
              <w:pStyle w:val="TableText0"/>
            </w:pPr>
            <w:r w:rsidRPr="0002798F">
              <w:t>Study 2014</w:t>
            </w:r>
          </w:p>
        </w:tc>
        <w:tc>
          <w:tcPr>
            <w:tcW w:w="2252" w:type="dxa"/>
          </w:tcPr>
          <w:p w14:paraId="153F8859" w14:textId="77777777" w:rsidR="00291537" w:rsidRPr="0002798F" w:rsidRDefault="00291537" w:rsidP="00713290">
            <w:pPr>
              <w:pStyle w:val="TableText0"/>
            </w:pPr>
            <w:r w:rsidRPr="0002798F">
              <w:t>30/152 (19.7%)</w:t>
            </w:r>
          </w:p>
        </w:tc>
        <w:tc>
          <w:tcPr>
            <w:tcW w:w="2253" w:type="dxa"/>
          </w:tcPr>
          <w:p w14:paraId="415E7ACD" w14:textId="77777777" w:rsidR="00291537" w:rsidRPr="0002798F" w:rsidRDefault="00291537" w:rsidP="00713290">
            <w:pPr>
              <w:pStyle w:val="TableText0"/>
            </w:pPr>
            <w:r w:rsidRPr="0002798F">
              <w:t>12/152 (7.9%)</w:t>
            </w:r>
          </w:p>
        </w:tc>
        <w:tc>
          <w:tcPr>
            <w:tcW w:w="2253" w:type="dxa"/>
          </w:tcPr>
          <w:p w14:paraId="6099D45A" w14:textId="77777777" w:rsidR="00291537" w:rsidRPr="0002798F" w:rsidRDefault="00291537" w:rsidP="00713290">
            <w:pPr>
              <w:pStyle w:val="TableText0"/>
            </w:pPr>
            <w:r w:rsidRPr="0002798F">
              <w:t>2.87 (1.41, 5.85); p=0.004</w:t>
            </w:r>
          </w:p>
        </w:tc>
      </w:tr>
      <w:tr w:rsidR="00291537" w:rsidRPr="0002798F" w14:paraId="07EDDD0E" w14:textId="77777777" w:rsidTr="00713290">
        <w:tc>
          <w:tcPr>
            <w:tcW w:w="2252" w:type="dxa"/>
          </w:tcPr>
          <w:p w14:paraId="7351C4F9" w14:textId="0D6DC515" w:rsidR="00291537" w:rsidRPr="0002798F" w:rsidRDefault="00291537" w:rsidP="00713290">
            <w:pPr>
              <w:pStyle w:val="TableText0"/>
            </w:pPr>
            <w:r w:rsidRPr="0002798F">
              <w:t>Study 2016</w:t>
            </w:r>
          </w:p>
        </w:tc>
        <w:tc>
          <w:tcPr>
            <w:tcW w:w="2252" w:type="dxa"/>
          </w:tcPr>
          <w:p w14:paraId="22FE75FA" w14:textId="77777777" w:rsidR="00291537" w:rsidRPr="0002798F" w:rsidRDefault="00291537" w:rsidP="00713290">
            <w:pPr>
              <w:pStyle w:val="TableText0"/>
            </w:pPr>
            <w:r w:rsidRPr="0002798F">
              <w:t>102/372 (27.4%)</w:t>
            </w:r>
          </w:p>
        </w:tc>
        <w:tc>
          <w:tcPr>
            <w:tcW w:w="2253" w:type="dxa"/>
          </w:tcPr>
          <w:p w14:paraId="1700B27E" w14:textId="77777777" w:rsidR="00291537" w:rsidRPr="0002798F" w:rsidRDefault="00291537" w:rsidP="00713290">
            <w:pPr>
              <w:pStyle w:val="TableText0"/>
            </w:pPr>
            <w:r w:rsidRPr="0002798F">
              <w:t>33/372 (8.9%)</w:t>
            </w:r>
          </w:p>
        </w:tc>
        <w:tc>
          <w:tcPr>
            <w:tcW w:w="2253" w:type="dxa"/>
          </w:tcPr>
          <w:p w14:paraId="10CC47DE" w14:textId="77777777" w:rsidR="00291537" w:rsidRPr="0002798F" w:rsidRDefault="00291537" w:rsidP="00713290">
            <w:pPr>
              <w:pStyle w:val="TableText0"/>
            </w:pPr>
            <w:r w:rsidRPr="0002798F">
              <w:t>3.88 (2.54, 5.93); p&lt;0.0001</w:t>
            </w:r>
          </w:p>
        </w:tc>
      </w:tr>
      <w:tr w:rsidR="00291537" w:rsidRPr="0002798F" w14:paraId="69BB8742" w14:textId="77777777" w:rsidTr="00713290">
        <w:tc>
          <w:tcPr>
            <w:tcW w:w="2252" w:type="dxa"/>
          </w:tcPr>
          <w:p w14:paraId="4B46078D" w14:textId="77777777" w:rsidR="00291537" w:rsidRPr="0002798F" w:rsidRDefault="00291537" w:rsidP="00713290">
            <w:pPr>
              <w:pStyle w:val="TableText0"/>
            </w:pPr>
            <w:r w:rsidRPr="0002798F">
              <w:t>Pooled</w:t>
            </w:r>
          </w:p>
        </w:tc>
        <w:tc>
          <w:tcPr>
            <w:tcW w:w="2252" w:type="dxa"/>
          </w:tcPr>
          <w:p w14:paraId="589C7F2B" w14:textId="77777777" w:rsidR="00291537" w:rsidRPr="0002798F" w:rsidRDefault="00291537" w:rsidP="00713290">
            <w:pPr>
              <w:pStyle w:val="TableText0"/>
            </w:pPr>
            <w:r w:rsidRPr="0002798F">
              <w:t>132/524 (25.2%)</w:t>
            </w:r>
          </w:p>
        </w:tc>
        <w:tc>
          <w:tcPr>
            <w:tcW w:w="2253" w:type="dxa"/>
            <w:vAlign w:val="center"/>
          </w:tcPr>
          <w:p w14:paraId="06C77163" w14:textId="77777777" w:rsidR="00291537" w:rsidRPr="0002798F" w:rsidRDefault="00291537" w:rsidP="00713290">
            <w:pPr>
              <w:pStyle w:val="TableText0"/>
            </w:pPr>
            <w:r w:rsidRPr="0002798F">
              <w:t>45/524 (8.6%)</w:t>
            </w:r>
          </w:p>
        </w:tc>
        <w:tc>
          <w:tcPr>
            <w:tcW w:w="2253" w:type="dxa"/>
          </w:tcPr>
          <w:p w14:paraId="2C55917F" w14:textId="77777777" w:rsidR="00291537" w:rsidRPr="0002798F" w:rsidRDefault="00291537" w:rsidP="00713290">
            <w:pPr>
              <w:pStyle w:val="TableText0"/>
            </w:pPr>
            <w:r w:rsidRPr="0002798F">
              <w:t>3.59 (2.49, 5.16); p&lt;0.0001</w:t>
            </w:r>
          </w:p>
        </w:tc>
      </w:tr>
      <w:tr w:rsidR="00291537" w:rsidRPr="0002798F" w14:paraId="2AE4119A" w14:textId="77777777" w:rsidTr="00713290">
        <w:tc>
          <w:tcPr>
            <w:tcW w:w="9010" w:type="dxa"/>
            <w:gridSpan w:val="4"/>
          </w:tcPr>
          <w:p w14:paraId="02D7C66E" w14:textId="27586716" w:rsidR="00291537" w:rsidRPr="0002798F" w:rsidRDefault="00291537" w:rsidP="0063748C">
            <w:pPr>
              <w:pStyle w:val="In-tableHeading"/>
            </w:pPr>
            <w:r w:rsidRPr="0002798F">
              <w:t>Instillation Site Pain</w:t>
            </w:r>
          </w:p>
        </w:tc>
      </w:tr>
      <w:tr w:rsidR="00291537" w:rsidRPr="0002798F" w14:paraId="4FB058B9" w14:textId="77777777" w:rsidTr="00713290">
        <w:tc>
          <w:tcPr>
            <w:tcW w:w="2252" w:type="dxa"/>
          </w:tcPr>
          <w:p w14:paraId="0A83F7CC" w14:textId="5978AD30" w:rsidR="00291537" w:rsidRPr="0002798F" w:rsidRDefault="00291537" w:rsidP="00713290">
            <w:pPr>
              <w:pStyle w:val="TableText0"/>
            </w:pPr>
            <w:r w:rsidRPr="0002798F">
              <w:t>Study 2014</w:t>
            </w:r>
          </w:p>
        </w:tc>
        <w:tc>
          <w:tcPr>
            <w:tcW w:w="2252" w:type="dxa"/>
          </w:tcPr>
          <w:p w14:paraId="03C61618" w14:textId="77777777" w:rsidR="00291537" w:rsidRPr="0002798F" w:rsidRDefault="00291537" w:rsidP="00713290">
            <w:pPr>
              <w:pStyle w:val="TableText0"/>
            </w:pPr>
            <w:r w:rsidRPr="0002798F">
              <w:t>23/152 (15.1%)</w:t>
            </w:r>
          </w:p>
        </w:tc>
        <w:tc>
          <w:tcPr>
            <w:tcW w:w="2253" w:type="dxa"/>
          </w:tcPr>
          <w:p w14:paraId="614A470C" w14:textId="77777777" w:rsidR="00291537" w:rsidRPr="0002798F" w:rsidRDefault="00291537" w:rsidP="00713290">
            <w:pPr>
              <w:pStyle w:val="TableText0"/>
            </w:pPr>
            <w:r w:rsidRPr="0002798F">
              <w:t>5/152 (3.3%)</w:t>
            </w:r>
          </w:p>
        </w:tc>
        <w:tc>
          <w:tcPr>
            <w:tcW w:w="2253" w:type="dxa"/>
          </w:tcPr>
          <w:p w14:paraId="79947744" w14:textId="77777777" w:rsidR="00291537" w:rsidRPr="0002798F" w:rsidRDefault="00291537" w:rsidP="00713290">
            <w:pPr>
              <w:pStyle w:val="TableText0"/>
            </w:pPr>
            <w:r w:rsidRPr="0002798F">
              <w:t>5.24 (1.94, 14.19); p=0.001</w:t>
            </w:r>
          </w:p>
        </w:tc>
      </w:tr>
      <w:tr w:rsidR="00291537" w:rsidRPr="0002798F" w14:paraId="12FC2A1C" w14:textId="77777777" w:rsidTr="00713290">
        <w:tc>
          <w:tcPr>
            <w:tcW w:w="2252" w:type="dxa"/>
          </w:tcPr>
          <w:p w14:paraId="3B489623" w14:textId="07F18AB6" w:rsidR="00291537" w:rsidRPr="0002798F" w:rsidRDefault="00291537" w:rsidP="00713290">
            <w:pPr>
              <w:pStyle w:val="TableText0"/>
            </w:pPr>
            <w:r w:rsidRPr="0002798F">
              <w:t>Study 2016</w:t>
            </w:r>
          </w:p>
        </w:tc>
        <w:tc>
          <w:tcPr>
            <w:tcW w:w="2252" w:type="dxa"/>
          </w:tcPr>
          <w:p w14:paraId="6AB489E4" w14:textId="77777777" w:rsidR="00291537" w:rsidRPr="0002798F" w:rsidRDefault="00291537" w:rsidP="00713290">
            <w:pPr>
              <w:pStyle w:val="TableText0"/>
            </w:pPr>
            <w:r w:rsidRPr="0002798F">
              <w:t>90/372 (24.2%)</w:t>
            </w:r>
          </w:p>
        </w:tc>
        <w:tc>
          <w:tcPr>
            <w:tcW w:w="2253" w:type="dxa"/>
          </w:tcPr>
          <w:p w14:paraId="2B1ACD1E" w14:textId="77777777" w:rsidR="00291537" w:rsidRPr="0002798F" w:rsidRDefault="00291537" w:rsidP="00713290">
            <w:pPr>
              <w:pStyle w:val="TableText0"/>
            </w:pPr>
            <w:r w:rsidRPr="0002798F">
              <w:t>16/372 (4.3%)</w:t>
            </w:r>
          </w:p>
        </w:tc>
        <w:tc>
          <w:tcPr>
            <w:tcW w:w="2253" w:type="dxa"/>
          </w:tcPr>
          <w:p w14:paraId="3E3BB0D8" w14:textId="77777777" w:rsidR="00291537" w:rsidRPr="0002798F" w:rsidRDefault="00291537" w:rsidP="00713290">
            <w:pPr>
              <w:pStyle w:val="TableText0"/>
            </w:pPr>
            <w:r w:rsidRPr="0002798F">
              <w:t>7.10 (4.08, 12.36); p&lt;0.0001</w:t>
            </w:r>
          </w:p>
        </w:tc>
      </w:tr>
      <w:tr w:rsidR="00291537" w:rsidRPr="0002798F" w14:paraId="4AF5F9C9" w14:textId="77777777" w:rsidTr="00713290">
        <w:tc>
          <w:tcPr>
            <w:tcW w:w="2252" w:type="dxa"/>
          </w:tcPr>
          <w:p w14:paraId="6EE82D44" w14:textId="77777777" w:rsidR="00291537" w:rsidRPr="0002798F" w:rsidRDefault="00291537" w:rsidP="00713290">
            <w:pPr>
              <w:pStyle w:val="TableText0"/>
            </w:pPr>
            <w:r w:rsidRPr="0002798F">
              <w:t>Pooled</w:t>
            </w:r>
          </w:p>
        </w:tc>
        <w:tc>
          <w:tcPr>
            <w:tcW w:w="2252" w:type="dxa"/>
            <w:vAlign w:val="center"/>
          </w:tcPr>
          <w:p w14:paraId="5C1D7347" w14:textId="77777777" w:rsidR="00291537" w:rsidRPr="0002798F" w:rsidRDefault="00291537" w:rsidP="00713290">
            <w:pPr>
              <w:pStyle w:val="TableText0"/>
            </w:pPr>
            <w:r w:rsidRPr="0002798F">
              <w:t>113/524 (21.6%)</w:t>
            </w:r>
          </w:p>
        </w:tc>
        <w:tc>
          <w:tcPr>
            <w:tcW w:w="2253" w:type="dxa"/>
            <w:vAlign w:val="center"/>
          </w:tcPr>
          <w:p w14:paraId="70DC4215" w14:textId="77777777" w:rsidR="00291537" w:rsidRPr="0002798F" w:rsidRDefault="00291537" w:rsidP="00713290">
            <w:pPr>
              <w:pStyle w:val="TableText0"/>
            </w:pPr>
            <w:r w:rsidRPr="0002798F">
              <w:t>21/524 (4%)</w:t>
            </w:r>
          </w:p>
        </w:tc>
        <w:tc>
          <w:tcPr>
            <w:tcW w:w="2253" w:type="dxa"/>
          </w:tcPr>
          <w:p w14:paraId="4CE010EC" w14:textId="77777777" w:rsidR="00291537" w:rsidRPr="0002798F" w:rsidRDefault="00291537" w:rsidP="00713290">
            <w:pPr>
              <w:pStyle w:val="TableText0"/>
            </w:pPr>
            <w:r w:rsidRPr="0002798F">
              <w:t>6.61 (4.07, 10.73); p&lt;0.0001</w:t>
            </w:r>
          </w:p>
        </w:tc>
      </w:tr>
      <w:tr w:rsidR="00291537" w:rsidRPr="0002798F" w14:paraId="4635942A" w14:textId="77777777" w:rsidTr="00713290">
        <w:tc>
          <w:tcPr>
            <w:tcW w:w="9010" w:type="dxa"/>
            <w:gridSpan w:val="4"/>
          </w:tcPr>
          <w:p w14:paraId="17A8EA6A" w14:textId="05778A77" w:rsidR="00291537" w:rsidRPr="0002798F" w:rsidRDefault="00291537" w:rsidP="0063748C">
            <w:pPr>
              <w:pStyle w:val="In-tableHeading"/>
            </w:pPr>
            <w:r w:rsidRPr="0002798F">
              <w:t>Instillation Site Reaction</w:t>
            </w:r>
          </w:p>
        </w:tc>
      </w:tr>
      <w:tr w:rsidR="00291537" w:rsidRPr="0002798F" w14:paraId="157F6514" w14:textId="77777777" w:rsidTr="00713290">
        <w:tc>
          <w:tcPr>
            <w:tcW w:w="2252" w:type="dxa"/>
          </w:tcPr>
          <w:p w14:paraId="1081D6D1" w14:textId="27C5E942" w:rsidR="00291537" w:rsidRPr="0002798F" w:rsidRDefault="00291537" w:rsidP="00713290">
            <w:pPr>
              <w:pStyle w:val="TableText0"/>
            </w:pPr>
            <w:r w:rsidRPr="0002798F">
              <w:t>Study 2014</w:t>
            </w:r>
          </w:p>
        </w:tc>
        <w:tc>
          <w:tcPr>
            <w:tcW w:w="2252" w:type="dxa"/>
          </w:tcPr>
          <w:p w14:paraId="601AD54F" w14:textId="77777777" w:rsidR="00291537" w:rsidRPr="0002798F" w:rsidRDefault="00291537" w:rsidP="00713290">
            <w:pPr>
              <w:pStyle w:val="TableText0"/>
            </w:pPr>
            <w:r w:rsidRPr="0002798F">
              <w:t>0/152 (0)</w:t>
            </w:r>
          </w:p>
        </w:tc>
        <w:tc>
          <w:tcPr>
            <w:tcW w:w="2253" w:type="dxa"/>
          </w:tcPr>
          <w:p w14:paraId="0076192F" w14:textId="77777777" w:rsidR="00291537" w:rsidRPr="0002798F" w:rsidRDefault="00291537" w:rsidP="00713290">
            <w:pPr>
              <w:pStyle w:val="TableText0"/>
            </w:pPr>
            <w:r w:rsidRPr="0002798F">
              <w:t>1/152 (0.7%)</w:t>
            </w:r>
          </w:p>
        </w:tc>
        <w:tc>
          <w:tcPr>
            <w:tcW w:w="2253" w:type="dxa"/>
          </w:tcPr>
          <w:p w14:paraId="4DB0DF9D" w14:textId="77777777" w:rsidR="00291537" w:rsidRPr="0002798F" w:rsidRDefault="00291537" w:rsidP="00713290">
            <w:pPr>
              <w:pStyle w:val="TableText0"/>
            </w:pPr>
            <w:r w:rsidRPr="0002798F">
              <w:t>0.33 (0.01, 8.19); p=0.50</w:t>
            </w:r>
          </w:p>
        </w:tc>
      </w:tr>
      <w:tr w:rsidR="00291537" w:rsidRPr="0002798F" w14:paraId="1068D158" w14:textId="77777777" w:rsidTr="00713290">
        <w:tc>
          <w:tcPr>
            <w:tcW w:w="2252" w:type="dxa"/>
          </w:tcPr>
          <w:p w14:paraId="53556371" w14:textId="01055C2E" w:rsidR="00291537" w:rsidRPr="0002798F" w:rsidRDefault="00291537" w:rsidP="00713290">
            <w:pPr>
              <w:pStyle w:val="TableText0"/>
            </w:pPr>
            <w:r w:rsidRPr="0002798F">
              <w:t>Study 2016</w:t>
            </w:r>
          </w:p>
        </w:tc>
        <w:tc>
          <w:tcPr>
            <w:tcW w:w="2252" w:type="dxa"/>
          </w:tcPr>
          <w:p w14:paraId="0DD4C237" w14:textId="77777777" w:rsidR="00291537" w:rsidRPr="0002798F" w:rsidRDefault="00291537" w:rsidP="00713290">
            <w:pPr>
              <w:pStyle w:val="TableText0"/>
            </w:pPr>
            <w:r w:rsidRPr="0002798F">
              <w:t>4/372 (1.1%)</w:t>
            </w:r>
          </w:p>
        </w:tc>
        <w:tc>
          <w:tcPr>
            <w:tcW w:w="2253" w:type="dxa"/>
          </w:tcPr>
          <w:p w14:paraId="362B7B7E" w14:textId="77777777" w:rsidR="00291537" w:rsidRPr="0002798F" w:rsidRDefault="00291537" w:rsidP="00713290">
            <w:pPr>
              <w:pStyle w:val="TableText0"/>
            </w:pPr>
            <w:r w:rsidRPr="0002798F">
              <w:t>2/372 (0.5%)</w:t>
            </w:r>
          </w:p>
        </w:tc>
        <w:tc>
          <w:tcPr>
            <w:tcW w:w="2253" w:type="dxa"/>
          </w:tcPr>
          <w:p w14:paraId="3D2D5D80" w14:textId="77777777" w:rsidR="00291537" w:rsidRPr="0002798F" w:rsidRDefault="00291537" w:rsidP="00713290">
            <w:pPr>
              <w:pStyle w:val="TableText0"/>
            </w:pPr>
            <w:r w:rsidRPr="0002798F">
              <w:t>2.01 (0.37, 11.05); p=0.42</w:t>
            </w:r>
          </w:p>
        </w:tc>
      </w:tr>
      <w:tr w:rsidR="00291537" w:rsidRPr="0002798F" w14:paraId="6843A68C" w14:textId="77777777" w:rsidTr="00713290">
        <w:tc>
          <w:tcPr>
            <w:tcW w:w="2252" w:type="dxa"/>
          </w:tcPr>
          <w:p w14:paraId="2033C848" w14:textId="77777777" w:rsidR="00291537" w:rsidRPr="0002798F" w:rsidRDefault="00291537" w:rsidP="00713290">
            <w:pPr>
              <w:pStyle w:val="TableText0"/>
            </w:pPr>
            <w:r w:rsidRPr="0002798F">
              <w:t>Pooled</w:t>
            </w:r>
          </w:p>
        </w:tc>
        <w:tc>
          <w:tcPr>
            <w:tcW w:w="2252" w:type="dxa"/>
            <w:vAlign w:val="center"/>
          </w:tcPr>
          <w:p w14:paraId="7D97252E" w14:textId="77777777" w:rsidR="00291537" w:rsidRPr="0002798F" w:rsidRDefault="00291537" w:rsidP="00713290">
            <w:pPr>
              <w:pStyle w:val="TableText0"/>
            </w:pPr>
            <w:r w:rsidRPr="0002798F">
              <w:t>4/524 (0.8%)</w:t>
            </w:r>
          </w:p>
        </w:tc>
        <w:tc>
          <w:tcPr>
            <w:tcW w:w="2253" w:type="dxa"/>
            <w:vAlign w:val="center"/>
          </w:tcPr>
          <w:p w14:paraId="2A7A4A4D" w14:textId="77777777" w:rsidR="00291537" w:rsidRPr="0002798F" w:rsidRDefault="00291537" w:rsidP="00713290">
            <w:pPr>
              <w:pStyle w:val="TableText0"/>
            </w:pPr>
            <w:r w:rsidRPr="0002798F">
              <w:t>3/524 (0.6%)</w:t>
            </w:r>
          </w:p>
        </w:tc>
        <w:tc>
          <w:tcPr>
            <w:tcW w:w="2253" w:type="dxa"/>
          </w:tcPr>
          <w:p w14:paraId="308137BA" w14:textId="77777777" w:rsidR="00291537" w:rsidRPr="0002798F" w:rsidRDefault="00291537" w:rsidP="00713290">
            <w:pPr>
              <w:pStyle w:val="TableText0"/>
            </w:pPr>
            <w:r w:rsidRPr="0002798F">
              <w:t>1.35 (0.30, 6.09); p=0.69</w:t>
            </w:r>
          </w:p>
        </w:tc>
      </w:tr>
      <w:tr w:rsidR="00291537" w:rsidRPr="0002798F" w14:paraId="00D6D425" w14:textId="77777777" w:rsidTr="00713290">
        <w:tc>
          <w:tcPr>
            <w:tcW w:w="9010" w:type="dxa"/>
            <w:gridSpan w:val="4"/>
          </w:tcPr>
          <w:p w14:paraId="25A3328B" w14:textId="1DE1D687" w:rsidR="00291537" w:rsidRPr="0002798F" w:rsidRDefault="00291537" w:rsidP="0063748C">
            <w:pPr>
              <w:pStyle w:val="In-tableHeading"/>
            </w:pPr>
            <w:r w:rsidRPr="0002798F">
              <w:t>Withdrawal due to an AE</w:t>
            </w:r>
          </w:p>
        </w:tc>
      </w:tr>
      <w:tr w:rsidR="00291537" w:rsidRPr="0002798F" w14:paraId="5D4C0B22" w14:textId="77777777" w:rsidTr="00713290">
        <w:tc>
          <w:tcPr>
            <w:tcW w:w="2252" w:type="dxa"/>
          </w:tcPr>
          <w:p w14:paraId="4C953428" w14:textId="3EC9C3C9" w:rsidR="00291537" w:rsidRPr="0002798F" w:rsidRDefault="00291537" w:rsidP="00713290">
            <w:pPr>
              <w:pStyle w:val="TableText0"/>
            </w:pPr>
            <w:r w:rsidRPr="0002798F">
              <w:t>Study 2014</w:t>
            </w:r>
          </w:p>
        </w:tc>
        <w:tc>
          <w:tcPr>
            <w:tcW w:w="2252" w:type="dxa"/>
          </w:tcPr>
          <w:p w14:paraId="12FEBC86" w14:textId="77777777" w:rsidR="00291537" w:rsidRPr="0002798F" w:rsidRDefault="00291537" w:rsidP="00713290">
            <w:pPr>
              <w:pStyle w:val="TableText0"/>
            </w:pPr>
            <w:r w:rsidRPr="0002798F">
              <w:t>5/152 (3.3)</w:t>
            </w:r>
          </w:p>
        </w:tc>
        <w:tc>
          <w:tcPr>
            <w:tcW w:w="2253" w:type="dxa"/>
          </w:tcPr>
          <w:p w14:paraId="51932563" w14:textId="77777777" w:rsidR="00291537" w:rsidRPr="0002798F" w:rsidRDefault="00291537" w:rsidP="00713290">
            <w:pPr>
              <w:pStyle w:val="TableText0"/>
            </w:pPr>
            <w:r w:rsidRPr="0002798F">
              <w:t>6/152 (3.9%)</w:t>
            </w:r>
          </w:p>
        </w:tc>
        <w:tc>
          <w:tcPr>
            <w:tcW w:w="2253" w:type="dxa"/>
          </w:tcPr>
          <w:p w14:paraId="150E3676" w14:textId="77777777" w:rsidR="00291537" w:rsidRPr="0002798F" w:rsidRDefault="00291537" w:rsidP="00713290">
            <w:pPr>
              <w:pStyle w:val="TableText0"/>
            </w:pPr>
            <w:r w:rsidRPr="0002798F">
              <w:t>0.83 (0.25, 2.77); p=0.76</w:t>
            </w:r>
          </w:p>
        </w:tc>
      </w:tr>
      <w:tr w:rsidR="00291537" w:rsidRPr="0002798F" w14:paraId="5A4E8900" w14:textId="77777777" w:rsidTr="00713290">
        <w:tc>
          <w:tcPr>
            <w:tcW w:w="2252" w:type="dxa"/>
          </w:tcPr>
          <w:p w14:paraId="4953EF04" w14:textId="422E3EC9" w:rsidR="00291537" w:rsidRPr="0002798F" w:rsidRDefault="00291537" w:rsidP="00713290">
            <w:pPr>
              <w:pStyle w:val="TableText0"/>
            </w:pPr>
            <w:r w:rsidRPr="0002798F">
              <w:t>Study 2016</w:t>
            </w:r>
          </w:p>
        </w:tc>
        <w:tc>
          <w:tcPr>
            <w:tcW w:w="2252" w:type="dxa"/>
          </w:tcPr>
          <w:p w14:paraId="34055A39" w14:textId="77777777" w:rsidR="00291537" w:rsidRPr="0002798F" w:rsidRDefault="00291537" w:rsidP="00713290">
            <w:pPr>
              <w:pStyle w:val="TableText0"/>
            </w:pPr>
            <w:r w:rsidRPr="0002798F">
              <w:t>17/372 (4.6%)</w:t>
            </w:r>
          </w:p>
        </w:tc>
        <w:tc>
          <w:tcPr>
            <w:tcW w:w="2253" w:type="dxa"/>
          </w:tcPr>
          <w:p w14:paraId="4C631A84" w14:textId="77777777" w:rsidR="00291537" w:rsidRPr="0002798F" w:rsidRDefault="00291537" w:rsidP="00713290">
            <w:pPr>
              <w:pStyle w:val="TableText0"/>
            </w:pPr>
            <w:r w:rsidRPr="0002798F">
              <w:t>3/372 (0.8%)</w:t>
            </w:r>
          </w:p>
        </w:tc>
        <w:tc>
          <w:tcPr>
            <w:tcW w:w="2253" w:type="dxa"/>
          </w:tcPr>
          <w:p w14:paraId="10FD23AE" w14:textId="77777777" w:rsidR="00291537" w:rsidRPr="0002798F" w:rsidRDefault="00291537" w:rsidP="00713290">
            <w:pPr>
              <w:pStyle w:val="TableText0"/>
            </w:pPr>
            <w:r w:rsidRPr="0002798F">
              <w:t>5.89 (1.71, 20.27); p=0.0049</w:t>
            </w:r>
          </w:p>
        </w:tc>
      </w:tr>
      <w:tr w:rsidR="00291537" w:rsidRPr="0002798F" w14:paraId="6E47E7AF" w14:textId="77777777" w:rsidTr="00713290">
        <w:tc>
          <w:tcPr>
            <w:tcW w:w="2252" w:type="dxa"/>
          </w:tcPr>
          <w:p w14:paraId="11EAA716" w14:textId="77777777" w:rsidR="00291537" w:rsidRPr="0002798F" w:rsidRDefault="00291537" w:rsidP="00713290">
            <w:pPr>
              <w:pStyle w:val="TableText0"/>
            </w:pPr>
            <w:r w:rsidRPr="0002798F">
              <w:t>Pooled</w:t>
            </w:r>
          </w:p>
        </w:tc>
        <w:tc>
          <w:tcPr>
            <w:tcW w:w="2252" w:type="dxa"/>
            <w:vAlign w:val="center"/>
          </w:tcPr>
          <w:p w14:paraId="7218A18C" w14:textId="77777777" w:rsidR="00291537" w:rsidRPr="0002798F" w:rsidRDefault="00291537" w:rsidP="00713290">
            <w:pPr>
              <w:pStyle w:val="TableText0"/>
            </w:pPr>
            <w:r w:rsidRPr="0002798F">
              <w:t>22/524 (4.2%)</w:t>
            </w:r>
          </w:p>
        </w:tc>
        <w:tc>
          <w:tcPr>
            <w:tcW w:w="2253" w:type="dxa"/>
            <w:vAlign w:val="center"/>
          </w:tcPr>
          <w:p w14:paraId="35FA7EA8" w14:textId="77777777" w:rsidR="00291537" w:rsidRPr="0002798F" w:rsidRDefault="00291537" w:rsidP="00713290">
            <w:pPr>
              <w:pStyle w:val="TableText0"/>
            </w:pPr>
            <w:r w:rsidRPr="0002798F">
              <w:t>9/524 (1.7%)</w:t>
            </w:r>
          </w:p>
        </w:tc>
        <w:tc>
          <w:tcPr>
            <w:tcW w:w="2253" w:type="dxa"/>
          </w:tcPr>
          <w:p w14:paraId="65D9C42D" w14:textId="77777777" w:rsidR="00291537" w:rsidRPr="0002798F" w:rsidRDefault="00291537" w:rsidP="00713290">
            <w:pPr>
              <w:pStyle w:val="TableText0"/>
            </w:pPr>
            <w:r w:rsidRPr="0002798F">
              <w:t>2.20 (0.31, 15.37); p=0.43</w:t>
            </w:r>
          </w:p>
        </w:tc>
      </w:tr>
    </w:tbl>
    <w:p w14:paraId="57900FA5" w14:textId="77777777" w:rsidR="00291537" w:rsidRPr="001811EC" w:rsidRDefault="00291537" w:rsidP="001811EC">
      <w:pPr>
        <w:pStyle w:val="TableFigureFooter"/>
        <w:rPr>
          <w:rFonts w:eastAsiaTheme="majorEastAsia"/>
        </w:rPr>
      </w:pPr>
      <w:r w:rsidRPr="001811EC">
        <w:rPr>
          <w:rFonts w:eastAsiaTheme="majorEastAsia"/>
        </w:rPr>
        <w:t>Source: Table 2.6-19, pp134-5</w:t>
      </w:r>
    </w:p>
    <w:p w14:paraId="7E43A741" w14:textId="538C24EF" w:rsidR="005D26B4" w:rsidRPr="001811EC" w:rsidRDefault="005D26B4" w:rsidP="001811EC">
      <w:pPr>
        <w:pStyle w:val="TableFigureFooter"/>
      </w:pPr>
      <w:r w:rsidRPr="001811EC">
        <w:rPr>
          <w:rFonts w:eastAsia="Calibri"/>
        </w:rPr>
        <w:t>CI = confidence interval; n = number of participants reporting data; N = total participants in group; RD = risk difference; RR = relative risk</w:t>
      </w:r>
    </w:p>
    <w:p w14:paraId="38CA6374" w14:textId="1D835DD7" w:rsidR="001811EC" w:rsidRDefault="001811EC" w:rsidP="001811EC">
      <w:pPr>
        <w:pStyle w:val="TableFigureHeading"/>
      </w:pPr>
      <w:bookmarkStart w:id="29" w:name="_Toc22897643"/>
      <w:r>
        <w:lastRenderedPageBreak/>
        <w:t xml:space="preserve">Table </w:t>
      </w:r>
      <w:fldSimple w:instr=" SEQ Table \* ARABIC ">
        <w:r>
          <w:rPr>
            <w:noProof/>
          </w:rPr>
          <w:t>10</w:t>
        </w:r>
      </w:fldSimple>
      <w:r w:rsidRPr="00727576">
        <w:t xml:space="preserve">: Adverse Events in Trials of 0.1% </w:t>
      </w:r>
      <w:proofErr w:type="spellStart"/>
      <w:r w:rsidRPr="00727576">
        <w:t>CsA</w:t>
      </w:r>
      <w:proofErr w:type="spellEnd"/>
      <w:r w:rsidRPr="00727576">
        <w:t xml:space="preserve"> CE</w:t>
      </w:r>
    </w:p>
    <w:tbl>
      <w:tblPr>
        <w:tblStyle w:val="TableGrid"/>
        <w:tblW w:w="0" w:type="auto"/>
        <w:tblLook w:val="04A0" w:firstRow="1" w:lastRow="0" w:firstColumn="1" w:lastColumn="0" w:noHBand="0" w:noVBand="1"/>
        <w:tblCaption w:val="Table 10: Adverse Events in Trials of 0.1% CsA CE"/>
        <w:tblDescription w:val="Table 10: Adverse Events in Trials of 0.1% CsA CE"/>
      </w:tblPr>
      <w:tblGrid>
        <w:gridCol w:w="2252"/>
        <w:gridCol w:w="2252"/>
        <w:gridCol w:w="2253"/>
        <w:gridCol w:w="2253"/>
      </w:tblGrid>
      <w:tr w:rsidR="00804738" w:rsidRPr="0002798F" w14:paraId="599F21F7" w14:textId="77777777" w:rsidTr="00B14290">
        <w:tc>
          <w:tcPr>
            <w:tcW w:w="2252" w:type="dxa"/>
          </w:tcPr>
          <w:p w14:paraId="0F3CD7E3" w14:textId="77777777" w:rsidR="00804738" w:rsidRPr="0002798F" w:rsidRDefault="00804738" w:rsidP="0052372A">
            <w:pPr>
              <w:pStyle w:val="In-tableHeading"/>
            </w:pPr>
          </w:p>
        </w:tc>
        <w:tc>
          <w:tcPr>
            <w:tcW w:w="2252" w:type="dxa"/>
          </w:tcPr>
          <w:p w14:paraId="2C32E47A" w14:textId="5F9E0CB3" w:rsidR="00804738" w:rsidRPr="0002798F" w:rsidRDefault="00A33E2C" w:rsidP="0052372A">
            <w:pPr>
              <w:pStyle w:val="In-tableHeading"/>
            </w:pPr>
            <w:r>
              <w:t xml:space="preserve">0.1% </w:t>
            </w:r>
            <w:proofErr w:type="spellStart"/>
            <w:r>
              <w:t>CsA</w:t>
            </w:r>
            <w:proofErr w:type="spellEnd"/>
            <w:r>
              <w:t xml:space="preserve"> CE</w:t>
            </w:r>
          </w:p>
          <w:p w14:paraId="3773DAF6" w14:textId="77777777" w:rsidR="00804738" w:rsidRPr="0002798F" w:rsidRDefault="00804738" w:rsidP="0052372A">
            <w:pPr>
              <w:pStyle w:val="In-tableHeading"/>
            </w:pPr>
            <w:r w:rsidRPr="0002798F">
              <w:t>n/N (%)</w:t>
            </w:r>
          </w:p>
        </w:tc>
        <w:tc>
          <w:tcPr>
            <w:tcW w:w="2253" w:type="dxa"/>
          </w:tcPr>
          <w:p w14:paraId="72A3E382" w14:textId="77777777" w:rsidR="00804738" w:rsidRPr="0002798F" w:rsidRDefault="00804738" w:rsidP="0052372A">
            <w:pPr>
              <w:pStyle w:val="In-tableHeading"/>
            </w:pPr>
            <w:r w:rsidRPr="0002798F">
              <w:t>Vehicle</w:t>
            </w:r>
          </w:p>
          <w:p w14:paraId="145BF1C2" w14:textId="77777777" w:rsidR="00804738" w:rsidRPr="0002798F" w:rsidRDefault="00804738" w:rsidP="0052372A">
            <w:pPr>
              <w:pStyle w:val="In-tableHeading"/>
            </w:pPr>
            <w:r w:rsidRPr="0002798F">
              <w:t>n/N (%)</w:t>
            </w:r>
          </w:p>
        </w:tc>
        <w:tc>
          <w:tcPr>
            <w:tcW w:w="2253" w:type="dxa"/>
          </w:tcPr>
          <w:p w14:paraId="265658F3" w14:textId="77777777" w:rsidR="00804738" w:rsidRPr="0002798F" w:rsidRDefault="00804738" w:rsidP="0052372A">
            <w:pPr>
              <w:pStyle w:val="In-tableHeading"/>
            </w:pPr>
            <w:r w:rsidRPr="0002798F">
              <w:t>Odds Ratio (95% CI)</w:t>
            </w:r>
          </w:p>
        </w:tc>
      </w:tr>
      <w:tr w:rsidR="00804738" w:rsidRPr="0002798F" w14:paraId="72F1816B" w14:textId="77777777" w:rsidTr="00B14290">
        <w:tc>
          <w:tcPr>
            <w:tcW w:w="9010" w:type="dxa"/>
            <w:gridSpan w:val="4"/>
          </w:tcPr>
          <w:p w14:paraId="5DA08A96" w14:textId="7C54EC41" w:rsidR="00804738" w:rsidRPr="0002798F" w:rsidRDefault="00804738" w:rsidP="0052372A">
            <w:pPr>
              <w:pStyle w:val="In-tableHeading"/>
            </w:pPr>
            <w:r w:rsidRPr="0002798F">
              <w:t>Any TEAE</w:t>
            </w:r>
          </w:p>
        </w:tc>
      </w:tr>
      <w:tr w:rsidR="003B22E5" w:rsidRPr="0002798F" w14:paraId="7E4A3C40" w14:textId="77777777" w:rsidTr="00B14290">
        <w:tc>
          <w:tcPr>
            <w:tcW w:w="2252" w:type="dxa"/>
          </w:tcPr>
          <w:p w14:paraId="35FED969" w14:textId="77777777" w:rsidR="003B22E5" w:rsidRPr="0002798F" w:rsidRDefault="003B22E5" w:rsidP="0051425F">
            <w:pPr>
              <w:pStyle w:val="Tabletext"/>
              <w:keepNext/>
            </w:pPr>
            <w:r w:rsidRPr="0002798F">
              <w:t>SANSIKA</w:t>
            </w:r>
          </w:p>
        </w:tc>
        <w:tc>
          <w:tcPr>
            <w:tcW w:w="2252" w:type="dxa"/>
          </w:tcPr>
          <w:p w14:paraId="0CE76E95" w14:textId="77777777" w:rsidR="003B22E5" w:rsidRPr="0002798F" w:rsidRDefault="003B22E5" w:rsidP="0051425F">
            <w:pPr>
              <w:pStyle w:val="Tabletext"/>
              <w:keepNext/>
            </w:pPr>
            <w:r w:rsidRPr="0002798F">
              <w:t>88/154 (57.1%)</w:t>
            </w:r>
          </w:p>
        </w:tc>
        <w:tc>
          <w:tcPr>
            <w:tcW w:w="2253" w:type="dxa"/>
          </w:tcPr>
          <w:p w14:paraId="258A1103" w14:textId="77777777" w:rsidR="003B22E5" w:rsidRPr="0002798F" w:rsidRDefault="003B22E5" w:rsidP="0051425F">
            <w:pPr>
              <w:pStyle w:val="Tabletext"/>
              <w:keepNext/>
            </w:pPr>
            <w:r w:rsidRPr="0002798F">
              <w:t>42/90 (46.7%)</w:t>
            </w:r>
          </w:p>
        </w:tc>
        <w:tc>
          <w:tcPr>
            <w:tcW w:w="2253" w:type="dxa"/>
            <w:vMerge w:val="restart"/>
          </w:tcPr>
          <w:p w14:paraId="3CBB737C" w14:textId="51233E95" w:rsidR="003B22E5" w:rsidRPr="0002798F" w:rsidRDefault="003B22E5" w:rsidP="0051425F">
            <w:pPr>
              <w:pStyle w:val="Tabletext"/>
              <w:keepNext/>
            </w:pPr>
            <w:r>
              <w:t>N</w:t>
            </w:r>
            <w:r w:rsidR="00726213">
              <w:t>ot reported</w:t>
            </w:r>
          </w:p>
        </w:tc>
      </w:tr>
      <w:tr w:rsidR="003B22E5" w:rsidRPr="0002798F" w14:paraId="19E64FAC" w14:textId="77777777" w:rsidTr="00B14290">
        <w:tc>
          <w:tcPr>
            <w:tcW w:w="2252" w:type="dxa"/>
          </w:tcPr>
          <w:p w14:paraId="00F66C26" w14:textId="77777777" w:rsidR="003B22E5" w:rsidRPr="0002798F" w:rsidRDefault="003B22E5" w:rsidP="0051425F">
            <w:pPr>
              <w:pStyle w:val="Tabletext"/>
              <w:keepNext/>
            </w:pPr>
            <w:r w:rsidRPr="0002798F">
              <w:t>SICCANOVE</w:t>
            </w:r>
          </w:p>
        </w:tc>
        <w:tc>
          <w:tcPr>
            <w:tcW w:w="2252" w:type="dxa"/>
          </w:tcPr>
          <w:p w14:paraId="089F9BE4" w14:textId="77777777" w:rsidR="003B22E5" w:rsidRPr="0002798F" w:rsidRDefault="003B22E5" w:rsidP="0051425F">
            <w:pPr>
              <w:pStyle w:val="Tabletext"/>
              <w:keepNext/>
            </w:pPr>
            <w:r w:rsidRPr="0002798F">
              <w:t>54/252 (21.4%)</w:t>
            </w:r>
          </w:p>
        </w:tc>
        <w:tc>
          <w:tcPr>
            <w:tcW w:w="2253" w:type="dxa"/>
          </w:tcPr>
          <w:p w14:paraId="6E2C2223" w14:textId="77777777" w:rsidR="003B22E5" w:rsidRPr="0002798F" w:rsidRDefault="003B22E5" w:rsidP="0051425F">
            <w:pPr>
              <w:pStyle w:val="Tabletext"/>
              <w:keepNext/>
            </w:pPr>
            <w:r w:rsidRPr="0002798F">
              <w:t>28/250 (11.2%)</w:t>
            </w:r>
          </w:p>
        </w:tc>
        <w:tc>
          <w:tcPr>
            <w:tcW w:w="2253" w:type="dxa"/>
            <w:vMerge/>
          </w:tcPr>
          <w:p w14:paraId="2E2699C8" w14:textId="110F5F96" w:rsidR="003B22E5" w:rsidRPr="0002798F" w:rsidRDefault="003B22E5" w:rsidP="0051425F">
            <w:pPr>
              <w:pStyle w:val="Tabletext"/>
              <w:keepNext/>
            </w:pPr>
          </w:p>
        </w:tc>
      </w:tr>
      <w:tr w:rsidR="003B22E5" w:rsidRPr="0002798F" w14:paraId="33FBAD13" w14:textId="77777777" w:rsidTr="00B14290">
        <w:tc>
          <w:tcPr>
            <w:tcW w:w="2252" w:type="dxa"/>
          </w:tcPr>
          <w:p w14:paraId="338B2DEF" w14:textId="77777777" w:rsidR="003B22E5" w:rsidRPr="0002798F" w:rsidRDefault="003B22E5" w:rsidP="0051425F">
            <w:pPr>
              <w:pStyle w:val="Tabletext"/>
              <w:keepNext/>
            </w:pPr>
            <w:r w:rsidRPr="0002798F">
              <w:t>Pooled</w:t>
            </w:r>
          </w:p>
        </w:tc>
        <w:tc>
          <w:tcPr>
            <w:tcW w:w="2252" w:type="dxa"/>
          </w:tcPr>
          <w:p w14:paraId="7D6E095B" w14:textId="77777777" w:rsidR="003B22E5" w:rsidRPr="0002798F" w:rsidRDefault="003B22E5" w:rsidP="0051425F">
            <w:pPr>
              <w:pStyle w:val="Tabletext"/>
              <w:keepNext/>
            </w:pPr>
            <w:r w:rsidRPr="0002798F">
              <w:t>142/396 (35.9%)</w:t>
            </w:r>
          </w:p>
        </w:tc>
        <w:tc>
          <w:tcPr>
            <w:tcW w:w="2253" w:type="dxa"/>
          </w:tcPr>
          <w:p w14:paraId="0169D89B" w14:textId="77777777" w:rsidR="003B22E5" w:rsidRPr="0002798F" w:rsidRDefault="003B22E5" w:rsidP="0051425F">
            <w:pPr>
              <w:pStyle w:val="Tabletext"/>
              <w:keepNext/>
            </w:pPr>
            <w:r w:rsidRPr="0002798F">
              <w:t>69/340 (20.3%)</w:t>
            </w:r>
          </w:p>
        </w:tc>
        <w:tc>
          <w:tcPr>
            <w:tcW w:w="2253" w:type="dxa"/>
            <w:vMerge/>
          </w:tcPr>
          <w:p w14:paraId="54A75F31" w14:textId="7944307F" w:rsidR="003B22E5" w:rsidRPr="0002798F" w:rsidRDefault="003B22E5" w:rsidP="0051425F">
            <w:pPr>
              <w:pStyle w:val="Tabletext"/>
              <w:keepNext/>
            </w:pPr>
          </w:p>
        </w:tc>
      </w:tr>
      <w:tr w:rsidR="00804738" w:rsidRPr="0002798F" w14:paraId="2D5D8799" w14:textId="77777777" w:rsidTr="00B14290">
        <w:tc>
          <w:tcPr>
            <w:tcW w:w="9010" w:type="dxa"/>
            <w:gridSpan w:val="4"/>
          </w:tcPr>
          <w:p w14:paraId="751E7AE5" w14:textId="45C39C6D" w:rsidR="00804738" w:rsidRPr="0002798F" w:rsidRDefault="00804738" w:rsidP="0052372A">
            <w:pPr>
              <w:pStyle w:val="In-tableHeading"/>
            </w:pPr>
            <w:r w:rsidRPr="0002798F">
              <w:t>Treatment-related Ocular TEAE</w:t>
            </w:r>
          </w:p>
        </w:tc>
      </w:tr>
      <w:tr w:rsidR="003B22E5" w:rsidRPr="0002798F" w14:paraId="450A4300" w14:textId="77777777" w:rsidTr="00B14290">
        <w:tc>
          <w:tcPr>
            <w:tcW w:w="2252" w:type="dxa"/>
          </w:tcPr>
          <w:p w14:paraId="7827BB57" w14:textId="77777777" w:rsidR="003B22E5" w:rsidRPr="0002798F" w:rsidRDefault="003B22E5" w:rsidP="0051425F">
            <w:pPr>
              <w:pStyle w:val="Tabletext"/>
              <w:keepNext/>
            </w:pPr>
            <w:r w:rsidRPr="0002798F">
              <w:t>SANSIKA</w:t>
            </w:r>
          </w:p>
        </w:tc>
        <w:tc>
          <w:tcPr>
            <w:tcW w:w="2252" w:type="dxa"/>
          </w:tcPr>
          <w:p w14:paraId="274AF2BE" w14:textId="77777777" w:rsidR="003B22E5" w:rsidRPr="0002798F" w:rsidRDefault="003B22E5" w:rsidP="0051425F">
            <w:pPr>
              <w:pStyle w:val="Tabletext"/>
              <w:keepNext/>
            </w:pPr>
            <w:r w:rsidRPr="0002798F">
              <w:t>57/154 (37.0%)</w:t>
            </w:r>
          </w:p>
        </w:tc>
        <w:tc>
          <w:tcPr>
            <w:tcW w:w="2253" w:type="dxa"/>
          </w:tcPr>
          <w:p w14:paraId="014F1980" w14:textId="77777777" w:rsidR="003B22E5" w:rsidRPr="0002798F" w:rsidRDefault="003B22E5" w:rsidP="0051425F">
            <w:pPr>
              <w:pStyle w:val="Tabletext"/>
              <w:keepNext/>
            </w:pPr>
            <w:r w:rsidRPr="0002798F">
              <w:rPr>
                <w:rFonts w:eastAsia="Calibri"/>
              </w:rPr>
              <w:t>18/90 (20%)</w:t>
            </w:r>
          </w:p>
        </w:tc>
        <w:tc>
          <w:tcPr>
            <w:tcW w:w="2253" w:type="dxa"/>
            <w:vMerge w:val="restart"/>
          </w:tcPr>
          <w:p w14:paraId="5291F8FF" w14:textId="0B2582DB" w:rsidR="003B22E5" w:rsidRPr="0002798F" w:rsidRDefault="003B22E5" w:rsidP="0051425F">
            <w:pPr>
              <w:pStyle w:val="Tabletext"/>
              <w:keepNext/>
            </w:pPr>
            <w:r>
              <w:t>N</w:t>
            </w:r>
            <w:r w:rsidR="00726213">
              <w:t>ot reported</w:t>
            </w:r>
          </w:p>
        </w:tc>
      </w:tr>
      <w:tr w:rsidR="003B22E5" w:rsidRPr="0002798F" w14:paraId="4DF24249" w14:textId="77777777" w:rsidTr="00B14290">
        <w:tc>
          <w:tcPr>
            <w:tcW w:w="2252" w:type="dxa"/>
          </w:tcPr>
          <w:p w14:paraId="35B93FAD" w14:textId="77777777" w:rsidR="003B22E5" w:rsidRPr="0002798F" w:rsidRDefault="003B22E5" w:rsidP="0051425F">
            <w:pPr>
              <w:pStyle w:val="Tabletext"/>
              <w:keepNext/>
            </w:pPr>
            <w:r w:rsidRPr="0002798F">
              <w:t>SICCANOVE</w:t>
            </w:r>
          </w:p>
        </w:tc>
        <w:tc>
          <w:tcPr>
            <w:tcW w:w="2252" w:type="dxa"/>
          </w:tcPr>
          <w:p w14:paraId="1ECCA02C" w14:textId="77777777" w:rsidR="003B22E5" w:rsidRPr="0002798F" w:rsidRDefault="003B22E5" w:rsidP="0051425F">
            <w:pPr>
              <w:pStyle w:val="Tabletext"/>
              <w:keepNext/>
            </w:pPr>
            <w:r w:rsidRPr="0002798F">
              <w:t xml:space="preserve">92/242 (38%) </w:t>
            </w:r>
          </w:p>
        </w:tc>
        <w:tc>
          <w:tcPr>
            <w:tcW w:w="2253" w:type="dxa"/>
          </w:tcPr>
          <w:p w14:paraId="2B298709" w14:textId="77777777" w:rsidR="003B22E5" w:rsidRPr="0002798F" w:rsidRDefault="003B22E5" w:rsidP="0051425F">
            <w:pPr>
              <w:pStyle w:val="Tabletext"/>
              <w:keepNext/>
            </w:pPr>
            <w:r w:rsidRPr="0002798F">
              <w:rPr>
                <w:rFonts w:eastAsia="Calibri"/>
              </w:rPr>
              <w:t>41/250 (16.4%)</w:t>
            </w:r>
          </w:p>
        </w:tc>
        <w:tc>
          <w:tcPr>
            <w:tcW w:w="2253" w:type="dxa"/>
            <w:vMerge/>
          </w:tcPr>
          <w:p w14:paraId="732E2FF2" w14:textId="14F47A5E" w:rsidR="003B22E5" w:rsidRPr="0002798F" w:rsidRDefault="003B22E5" w:rsidP="0051425F">
            <w:pPr>
              <w:pStyle w:val="Tabletext"/>
              <w:keepNext/>
            </w:pPr>
          </w:p>
        </w:tc>
      </w:tr>
      <w:tr w:rsidR="003B22E5" w:rsidRPr="0002798F" w14:paraId="3AA8D328" w14:textId="77777777" w:rsidTr="00B14290">
        <w:tc>
          <w:tcPr>
            <w:tcW w:w="2252" w:type="dxa"/>
          </w:tcPr>
          <w:p w14:paraId="61E5CF99" w14:textId="77777777" w:rsidR="003B22E5" w:rsidRPr="0002798F" w:rsidRDefault="003B22E5" w:rsidP="0051425F">
            <w:pPr>
              <w:pStyle w:val="Tabletext"/>
              <w:keepNext/>
            </w:pPr>
            <w:r w:rsidRPr="0002798F">
              <w:t>Pooled</w:t>
            </w:r>
          </w:p>
        </w:tc>
        <w:tc>
          <w:tcPr>
            <w:tcW w:w="2252" w:type="dxa"/>
          </w:tcPr>
          <w:p w14:paraId="4859FBB2" w14:textId="77777777" w:rsidR="003B22E5" w:rsidRPr="0002798F" w:rsidRDefault="003B22E5" w:rsidP="0051425F">
            <w:pPr>
              <w:pStyle w:val="Tabletext"/>
              <w:keepNext/>
            </w:pPr>
            <w:r w:rsidRPr="0002798F">
              <w:t>149/396 (37.6%)</w:t>
            </w:r>
          </w:p>
        </w:tc>
        <w:tc>
          <w:tcPr>
            <w:tcW w:w="2253" w:type="dxa"/>
            <w:vAlign w:val="center"/>
          </w:tcPr>
          <w:p w14:paraId="3F19B0B5" w14:textId="77777777" w:rsidR="003B22E5" w:rsidRPr="0002798F" w:rsidRDefault="003B22E5" w:rsidP="0051425F">
            <w:pPr>
              <w:pStyle w:val="Tabletext"/>
              <w:keepNext/>
            </w:pPr>
            <w:r w:rsidRPr="0002798F">
              <w:t>59/340 (17.4%)</w:t>
            </w:r>
          </w:p>
        </w:tc>
        <w:tc>
          <w:tcPr>
            <w:tcW w:w="2253" w:type="dxa"/>
            <w:vMerge/>
          </w:tcPr>
          <w:p w14:paraId="579CEFD0" w14:textId="4129A1FF" w:rsidR="003B22E5" w:rsidRPr="0002798F" w:rsidRDefault="003B22E5" w:rsidP="0051425F">
            <w:pPr>
              <w:pStyle w:val="Tabletext"/>
              <w:keepNext/>
            </w:pPr>
          </w:p>
        </w:tc>
      </w:tr>
      <w:tr w:rsidR="00804738" w:rsidRPr="0002798F" w14:paraId="2E90FF7F" w14:textId="77777777" w:rsidTr="00B14290">
        <w:tc>
          <w:tcPr>
            <w:tcW w:w="9010" w:type="dxa"/>
            <w:gridSpan w:val="4"/>
          </w:tcPr>
          <w:p w14:paraId="5CC28C66" w14:textId="60F87C49" w:rsidR="00804738" w:rsidRPr="0002798F" w:rsidRDefault="00804738" w:rsidP="0052372A">
            <w:pPr>
              <w:pStyle w:val="In-tableHeading"/>
            </w:pPr>
            <w:r w:rsidRPr="0002798F">
              <w:t>Instillation Site Pain</w:t>
            </w:r>
          </w:p>
        </w:tc>
      </w:tr>
      <w:tr w:rsidR="003B22E5" w:rsidRPr="0002798F" w14:paraId="1CA03256" w14:textId="77777777" w:rsidTr="00B14290">
        <w:tc>
          <w:tcPr>
            <w:tcW w:w="2252" w:type="dxa"/>
          </w:tcPr>
          <w:p w14:paraId="0BA667D5" w14:textId="77777777" w:rsidR="003B22E5" w:rsidRPr="0002798F" w:rsidRDefault="003B22E5" w:rsidP="0051425F">
            <w:pPr>
              <w:pStyle w:val="Tabletext"/>
              <w:keepNext/>
            </w:pPr>
            <w:r w:rsidRPr="0002798F">
              <w:t>SANSIKA</w:t>
            </w:r>
          </w:p>
        </w:tc>
        <w:tc>
          <w:tcPr>
            <w:tcW w:w="2252" w:type="dxa"/>
          </w:tcPr>
          <w:p w14:paraId="09EA0ECE" w14:textId="5389D471" w:rsidR="003B22E5" w:rsidRPr="0002798F" w:rsidRDefault="00A90DEE" w:rsidP="0051425F">
            <w:pPr>
              <w:pStyle w:val="Tabletext"/>
              <w:keepNext/>
            </w:pPr>
            <w:r>
              <w:t>Not reported</w:t>
            </w:r>
          </w:p>
        </w:tc>
        <w:tc>
          <w:tcPr>
            <w:tcW w:w="2253" w:type="dxa"/>
          </w:tcPr>
          <w:p w14:paraId="73469FB1" w14:textId="69A7CA7D" w:rsidR="003B22E5" w:rsidRPr="0002798F" w:rsidRDefault="00A90DEE" w:rsidP="0051425F">
            <w:pPr>
              <w:pStyle w:val="Tabletext"/>
              <w:keepNext/>
            </w:pPr>
            <w:r>
              <w:t>Not reported</w:t>
            </w:r>
          </w:p>
        </w:tc>
        <w:tc>
          <w:tcPr>
            <w:tcW w:w="2253" w:type="dxa"/>
            <w:vMerge w:val="restart"/>
          </w:tcPr>
          <w:p w14:paraId="7769459B" w14:textId="284B8E6B" w:rsidR="003B22E5" w:rsidRPr="0002798F" w:rsidRDefault="003B22E5" w:rsidP="0051425F">
            <w:pPr>
              <w:pStyle w:val="Tabletext"/>
              <w:keepNext/>
            </w:pPr>
            <w:r>
              <w:t>N</w:t>
            </w:r>
            <w:r w:rsidR="00726213">
              <w:t>ot reported</w:t>
            </w:r>
            <w:r w:rsidR="008702A0">
              <w:t xml:space="preserve"> </w:t>
            </w:r>
          </w:p>
        </w:tc>
      </w:tr>
      <w:tr w:rsidR="003B22E5" w:rsidRPr="0002798F" w14:paraId="2BA91817" w14:textId="77777777" w:rsidTr="00B14290">
        <w:tc>
          <w:tcPr>
            <w:tcW w:w="2252" w:type="dxa"/>
          </w:tcPr>
          <w:p w14:paraId="48B7DDCA" w14:textId="77777777" w:rsidR="003B22E5" w:rsidRPr="0002798F" w:rsidRDefault="003B22E5" w:rsidP="0051425F">
            <w:pPr>
              <w:pStyle w:val="Tabletext"/>
              <w:keepNext/>
            </w:pPr>
            <w:r w:rsidRPr="0002798F">
              <w:t>SICCANOVE</w:t>
            </w:r>
          </w:p>
        </w:tc>
        <w:tc>
          <w:tcPr>
            <w:tcW w:w="2252" w:type="dxa"/>
          </w:tcPr>
          <w:p w14:paraId="50C47256" w14:textId="65101CA3" w:rsidR="003B22E5" w:rsidRPr="0002798F" w:rsidRDefault="00A90DEE" w:rsidP="0051425F">
            <w:pPr>
              <w:pStyle w:val="Tabletext"/>
              <w:keepNext/>
            </w:pPr>
            <w:r>
              <w:t>Not reported</w:t>
            </w:r>
          </w:p>
        </w:tc>
        <w:tc>
          <w:tcPr>
            <w:tcW w:w="2253" w:type="dxa"/>
          </w:tcPr>
          <w:p w14:paraId="1B6332EC" w14:textId="36278364" w:rsidR="003B22E5" w:rsidRPr="0002798F" w:rsidRDefault="00A90DEE" w:rsidP="0051425F">
            <w:pPr>
              <w:pStyle w:val="Tabletext"/>
              <w:keepNext/>
            </w:pPr>
            <w:r>
              <w:t>Not reported</w:t>
            </w:r>
          </w:p>
        </w:tc>
        <w:tc>
          <w:tcPr>
            <w:tcW w:w="2253" w:type="dxa"/>
            <w:vMerge/>
          </w:tcPr>
          <w:p w14:paraId="47A54DDE" w14:textId="77777777" w:rsidR="003B22E5" w:rsidRPr="0002798F" w:rsidRDefault="003B22E5" w:rsidP="0051425F">
            <w:pPr>
              <w:pStyle w:val="Tabletext"/>
              <w:keepNext/>
            </w:pPr>
          </w:p>
        </w:tc>
      </w:tr>
      <w:tr w:rsidR="003B22E5" w:rsidRPr="0002798F" w14:paraId="6D4E96FA" w14:textId="77777777" w:rsidTr="00B14290">
        <w:tc>
          <w:tcPr>
            <w:tcW w:w="2252" w:type="dxa"/>
          </w:tcPr>
          <w:p w14:paraId="110DE70D" w14:textId="77777777" w:rsidR="003B22E5" w:rsidRPr="0002798F" w:rsidRDefault="003B22E5" w:rsidP="0051425F">
            <w:pPr>
              <w:pStyle w:val="Tabletext"/>
              <w:keepNext/>
            </w:pPr>
            <w:r w:rsidRPr="0002798F">
              <w:t>Pooled</w:t>
            </w:r>
          </w:p>
        </w:tc>
        <w:tc>
          <w:tcPr>
            <w:tcW w:w="2252" w:type="dxa"/>
            <w:vAlign w:val="center"/>
          </w:tcPr>
          <w:p w14:paraId="5D659624" w14:textId="77777777" w:rsidR="003B22E5" w:rsidRPr="0002798F" w:rsidRDefault="003B22E5" w:rsidP="0051425F">
            <w:pPr>
              <w:pStyle w:val="Tabletext"/>
              <w:keepNext/>
            </w:pPr>
            <w:r w:rsidRPr="0002798F">
              <w:t>48/396 (12.1%)</w:t>
            </w:r>
          </w:p>
        </w:tc>
        <w:tc>
          <w:tcPr>
            <w:tcW w:w="2253" w:type="dxa"/>
            <w:vAlign w:val="center"/>
          </w:tcPr>
          <w:p w14:paraId="1D3DDAAB" w14:textId="77777777" w:rsidR="003B22E5" w:rsidRPr="0002798F" w:rsidRDefault="003B22E5" w:rsidP="0051425F">
            <w:pPr>
              <w:pStyle w:val="Tabletext"/>
              <w:keepNext/>
            </w:pPr>
            <w:r w:rsidRPr="0002798F">
              <w:t>9/340 (2.6%)</w:t>
            </w:r>
          </w:p>
        </w:tc>
        <w:tc>
          <w:tcPr>
            <w:tcW w:w="2253" w:type="dxa"/>
            <w:vMerge/>
          </w:tcPr>
          <w:p w14:paraId="68FA81B3" w14:textId="77777777" w:rsidR="003B22E5" w:rsidRPr="0002798F" w:rsidRDefault="003B22E5" w:rsidP="0051425F">
            <w:pPr>
              <w:pStyle w:val="Tabletext"/>
              <w:keepNext/>
            </w:pPr>
          </w:p>
        </w:tc>
      </w:tr>
      <w:tr w:rsidR="00804738" w:rsidRPr="0002798F" w14:paraId="1F93105E" w14:textId="77777777" w:rsidTr="00B14290">
        <w:tc>
          <w:tcPr>
            <w:tcW w:w="9010" w:type="dxa"/>
            <w:gridSpan w:val="4"/>
          </w:tcPr>
          <w:p w14:paraId="390C151F" w14:textId="7A4C3B5F" w:rsidR="00804738" w:rsidRPr="0002798F" w:rsidRDefault="00804738" w:rsidP="0052372A">
            <w:pPr>
              <w:pStyle w:val="In-tableHeading"/>
            </w:pPr>
            <w:r w:rsidRPr="0002798F">
              <w:t>Instillation Site Reaction</w:t>
            </w:r>
          </w:p>
        </w:tc>
      </w:tr>
      <w:tr w:rsidR="003B22E5" w:rsidRPr="0002798F" w14:paraId="2BECE2B9" w14:textId="77777777" w:rsidTr="00B14290">
        <w:tc>
          <w:tcPr>
            <w:tcW w:w="2252" w:type="dxa"/>
          </w:tcPr>
          <w:p w14:paraId="67E7B246" w14:textId="77777777" w:rsidR="003B22E5" w:rsidRPr="0002798F" w:rsidRDefault="003B22E5" w:rsidP="0051425F">
            <w:pPr>
              <w:pStyle w:val="Tabletext"/>
              <w:keepNext/>
            </w:pPr>
            <w:r w:rsidRPr="0002798F">
              <w:t>SANSIKA</w:t>
            </w:r>
          </w:p>
        </w:tc>
        <w:tc>
          <w:tcPr>
            <w:tcW w:w="2252" w:type="dxa"/>
          </w:tcPr>
          <w:p w14:paraId="3EAF1640" w14:textId="24E85591" w:rsidR="003B22E5" w:rsidRPr="0002798F" w:rsidRDefault="00A90DEE" w:rsidP="0051425F">
            <w:pPr>
              <w:pStyle w:val="Tabletext"/>
              <w:keepNext/>
            </w:pPr>
            <w:r>
              <w:t>Not reported</w:t>
            </w:r>
          </w:p>
        </w:tc>
        <w:tc>
          <w:tcPr>
            <w:tcW w:w="2253" w:type="dxa"/>
          </w:tcPr>
          <w:p w14:paraId="5DF56187" w14:textId="00276509" w:rsidR="003B22E5" w:rsidRPr="0002798F" w:rsidRDefault="00A90DEE" w:rsidP="0051425F">
            <w:pPr>
              <w:pStyle w:val="Tabletext"/>
              <w:keepNext/>
            </w:pPr>
            <w:r>
              <w:t>Not reported</w:t>
            </w:r>
          </w:p>
        </w:tc>
        <w:tc>
          <w:tcPr>
            <w:tcW w:w="2253" w:type="dxa"/>
            <w:vMerge w:val="restart"/>
          </w:tcPr>
          <w:p w14:paraId="29AB4E70" w14:textId="7810049A" w:rsidR="003B22E5" w:rsidRPr="0002798F" w:rsidRDefault="003B22E5" w:rsidP="0051425F">
            <w:pPr>
              <w:pStyle w:val="Tabletext"/>
              <w:keepNext/>
            </w:pPr>
            <w:r>
              <w:t>N</w:t>
            </w:r>
            <w:r w:rsidR="00726213">
              <w:t>ot reported</w:t>
            </w:r>
          </w:p>
        </w:tc>
      </w:tr>
      <w:tr w:rsidR="003B22E5" w:rsidRPr="0002798F" w14:paraId="74C80014" w14:textId="77777777" w:rsidTr="00B14290">
        <w:tc>
          <w:tcPr>
            <w:tcW w:w="2252" w:type="dxa"/>
          </w:tcPr>
          <w:p w14:paraId="39C2AA59" w14:textId="77777777" w:rsidR="003B22E5" w:rsidRPr="0002798F" w:rsidRDefault="003B22E5" w:rsidP="0051425F">
            <w:pPr>
              <w:pStyle w:val="Tabletext"/>
              <w:keepNext/>
            </w:pPr>
            <w:r w:rsidRPr="0002798F">
              <w:t>SICCANOVE</w:t>
            </w:r>
          </w:p>
        </w:tc>
        <w:tc>
          <w:tcPr>
            <w:tcW w:w="2252" w:type="dxa"/>
          </w:tcPr>
          <w:p w14:paraId="7C0DFBAF" w14:textId="025BB715" w:rsidR="003B22E5" w:rsidRPr="0002798F" w:rsidRDefault="00A90DEE" w:rsidP="0051425F">
            <w:pPr>
              <w:pStyle w:val="Tabletext"/>
              <w:keepNext/>
            </w:pPr>
            <w:r>
              <w:t>Not reported</w:t>
            </w:r>
          </w:p>
        </w:tc>
        <w:tc>
          <w:tcPr>
            <w:tcW w:w="2253" w:type="dxa"/>
          </w:tcPr>
          <w:p w14:paraId="3F7D633B" w14:textId="138B4593" w:rsidR="003B22E5" w:rsidRPr="0002798F" w:rsidRDefault="00A90DEE" w:rsidP="0051425F">
            <w:pPr>
              <w:pStyle w:val="Tabletext"/>
              <w:keepNext/>
            </w:pPr>
            <w:r>
              <w:t>Not reported</w:t>
            </w:r>
          </w:p>
        </w:tc>
        <w:tc>
          <w:tcPr>
            <w:tcW w:w="2253" w:type="dxa"/>
            <w:vMerge/>
          </w:tcPr>
          <w:p w14:paraId="4854B59C" w14:textId="77777777" w:rsidR="003B22E5" w:rsidRPr="0002798F" w:rsidRDefault="003B22E5" w:rsidP="0051425F">
            <w:pPr>
              <w:pStyle w:val="Tabletext"/>
              <w:keepNext/>
            </w:pPr>
          </w:p>
        </w:tc>
      </w:tr>
      <w:tr w:rsidR="003B22E5" w:rsidRPr="0002798F" w14:paraId="50E842C7" w14:textId="77777777" w:rsidTr="00B14290">
        <w:tc>
          <w:tcPr>
            <w:tcW w:w="2252" w:type="dxa"/>
          </w:tcPr>
          <w:p w14:paraId="37B7FA60" w14:textId="77777777" w:rsidR="003B22E5" w:rsidRPr="0002798F" w:rsidRDefault="003B22E5" w:rsidP="0051425F">
            <w:pPr>
              <w:pStyle w:val="Tabletext"/>
              <w:keepNext/>
            </w:pPr>
            <w:r w:rsidRPr="0002798F">
              <w:t>Pooled</w:t>
            </w:r>
          </w:p>
        </w:tc>
        <w:tc>
          <w:tcPr>
            <w:tcW w:w="2252" w:type="dxa"/>
            <w:vAlign w:val="center"/>
          </w:tcPr>
          <w:p w14:paraId="280CF923" w14:textId="77777777" w:rsidR="003B22E5" w:rsidRPr="0002798F" w:rsidRDefault="003B22E5" w:rsidP="0051425F">
            <w:pPr>
              <w:pStyle w:val="Tabletext"/>
              <w:keepNext/>
            </w:pPr>
            <w:r w:rsidRPr="0002798F">
              <w:t>20/396 (5.1%)</w:t>
            </w:r>
          </w:p>
        </w:tc>
        <w:tc>
          <w:tcPr>
            <w:tcW w:w="2253" w:type="dxa"/>
            <w:vAlign w:val="center"/>
          </w:tcPr>
          <w:p w14:paraId="14BE7967" w14:textId="77777777" w:rsidR="003B22E5" w:rsidRPr="0002798F" w:rsidRDefault="003B22E5" w:rsidP="0051425F">
            <w:pPr>
              <w:pStyle w:val="Tabletext"/>
              <w:keepNext/>
            </w:pPr>
            <w:r w:rsidRPr="0002798F">
              <w:t>4/340 (1.2%)</w:t>
            </w:r>
          </w:p>
        </w:tc>
        <w:tc>
          <w:tcPr>
            <w:tcW w:w="2253" w:type="dxa"/>
            <w:vMerge/>
          </w:tcPr>
          <w:p w14:paraId="6A44150B" w14:textId="77777777" w:rsidR="003B22E5" w:rsidRPr="0002798F" w:rsidRDefault="003B22E5" w:rsidP="0051425F">
            <w:pPr>
              <w:pStyle w:val="Tabletext"/>
              <w:keepNext/>
            </w:pPr>
          </w:p>
        </w:tc>
      </w:tr>
      <w:tr w:rsidR="00804738" w:rsidRPr="0002798F" w14:paraId="32C8FBC9" w14:textId="77777777" w:rsidTr="00B14290">
        <w:tc>
          <w:tcPr>
            <w:tcW w:w="9010" w:type="dxa"/>
            <w:gridSpan w:val="4"/>
          </w:tcPr>
          <w:p w14:paraId="0C97B35F" w14:textId="598E9C81" w:rsidR="00804738" w:rsidRPr="0002798F" w:rsidRDefault="00804738" w:rsidP="0052372A">
            <w:pPr>
              <w:pStyle w:val="In-tableHeading"/>
            </w:pPr>
            <w:r w:rsidRPr="0002798F">
              <w:t>Withdrawal due to an AE</w:t>
            </w:r>
          </w:p>
        </w:tc>
      </w:tr>
      <w:tr w:rsidR="003B22E5" w:rsidRPr="0002798F" w14:paraId="2D51233E" w14:textId="77777777" w:rsidTr="00B14290">
        <w:tc>
          <w:tcPr>
            <w:tcW w:w="2252" w:type="dxa"/>
          </w:tcPr>
          <w:p w14:paraId="6370114E" w14:textId="77777777" w:rsidR="003B22E5" w:rsidRPr="0002798F" w:rsidRDefault="003B22E5" w:rsidP="0051425F">
            <w:pPr>
              <w:pStyle w:val="Tabletext"/>
              <w:keepNext/>
            </w:pPr>
            <w:r w:rsidRPr="0002798F">
              <w:t>SANSIKA</w:t>
            </w:r>
          </w:p>
        </w:tc>
        <w:tc>
          <w:tcPr>
            <w:tcW w:w="2252" w:type="dxa"/>
          </w:tcPr>
          <w:p w14:paraId="5D54BB85" w14:textId="77777777" w:rsidR="003B22E5" w:rsidRPr="0002798F" w:rsidRDefault="003B22E5" w:rsidP="0051425F">
            <w:pPr>
              <w:pStyle w:val="Tabletext"/>
              <w:keepNext/>
            </w:pPr>
            <w:r w:rsidRPr="0002798F">
              <w:t>21/154 (13.6%)</w:t>
            </w:r>
          </w:p>
        </w:tc>
        <w:tc>
          <w:tcPr>
            <w:tcW w:w="2253" w:type="dxa"/>
          </w:tcPr>
          <w:p w14:paraId="16AAC385" w14:textId="77777777" w:rsidR="003B22E5" w:rsidRPr="0002798F" w:rsidRDefault="003B22E5" w:rsidP="0051425F">
            <w:pPr>
              <w:pStyle w:val="Tabletext"/>
              <w:keepNext/>
            </w:pPr>
            <w:r w:rsidRPr="0002798F">
              <w:t>9/90 (10.0%)</w:t>
            </w:r>
          </w:p>
        </w:tc>
        <w:tc>
          <w:tcPr>
            <w:tcW w:w="2253" w:type="dxa"/>
            <w:vMerge w:val="restart"/>
          </w:tcPr>
          <w:p w14:paraId="301B95DE" w14:textId="12E8BC82" w:rsidR="003B22E5" w:rsidRPr="0002798F" w:rsidRDefault="003B22E5" w:rsidP="0051425F">
            <w:pPr>
              <w:pStyle w:val="Tabletext"/>
              <w:keepNext/>
            </w:pPr>
            <w:r>
              <w:t>N</w:t>
            </w:r>
            <w:r w:rsidR="00726213">
              <w:t>ot reported</w:t>
            </w:r>
          </w:p>
        </w:tc>
      </w:tr>
      <w:tr w:rsidR="003B22E5" w:rsidRPr="0002798F" w14:paraId="41910000" w14:textId="77777777" w:rsidTr="00B14290">
        <w:tc>
          <w:tcPr>
            <w:tcW w:w="2252" w:type="dxa"/>
          </w:tcPr>
          <w:p w14:paraId="1CC1C0D7" w14:textId="77777777" w:rsidR="003B22E5" w:rsidRPr="0002798F" w:rsidRDefault="003B22E5" w:rsidP="0051425F">
            <w:pPr>
              <w:pStyle w:val="Tabletext"/>
              <w:keepNext/>
            </w:pPr>
            <w:r w:rsidRPr="0002798F">
              <w:t>SICCANOVE</w:t>
            </w:r>
          </w:p>
        </w:tc>
        <w:tc>
          <w:tcPr>
            <w:tcW w:w="2252" w:type="dxa"/>
          </w:tcPr>
          <w:p w14:paraId="500FBE3D" w14:textId="77777777" w:rsidR="003B22E5" w:rsidRPr="0002798F" w:rsidRDefault="003B22E5" w:rsidP="0051425F">
            <w:pPr>
              <w:pStyle w:val="Tabletext"/>
              <w:keepNext/>
            </w:pPr>
            <w:r w:rsidRPr="0002798F">
              <w:t>24/242 (9.9%)</w:t>
            </w:r>
          </w:p>
        </w:tc>
        <w:tc>
          <w:tcPr>
            <w:tcW w:w="2253" w:type="dxa"/>
          </w:tcPr>
          <w:p w14:paraId="0702049A" w14:textId="77777777" w:rsidR="003B22E5" w:rsidRPr="0002798F" w:rsidRDefault="003B22E5" w:rsidP="0051425F">
            <w:pPr>
              <w:pStyle w:val="Tabletext"/>
              <w:keepNext/>
            </w:pPr>
            <w:r w:rsidRPr="0002798F">
              <w:t>18/250 (17.2%)</w:t>
            </w:r>
          </w:p>
        </w:tc>
        <w:tc>
          <w:tcPr>
            <w:tcW w:w="2253" w:type="dxa"/>
            <w:vMerge/>
          </w:tcPr>
          <w:p w14:paraId="737744A2" w14:textId="77777777" w:rsidR="003B22E5" w:rsidRPr="0002798F" w:rsidRDefault="003B22E5" w:rsidP="0051425F">
            <w:pPr>
              <w:pStyle w:val="Tabletext"/>
              <w:keepNext/>
            </w:pPr>
          </w:p>
        </w:tc>
      </w:tr>
      <w:tr w:rsidR="003B22E5" w:rsidRPr="0002798F" w14:paraId="6B74C028" w14:textId="77777777" w:rsidTr="00B14290">
        <w:tc>
          <w:tcPr>
            <w:tcW w:w="2252" w:type="dxa"/>
          </w:tcPr>
          <w:p w14:paraId="72B9D14B" w14:textId="77777777" w:rsidR="003B22E5" w:rsidRPr="0002798F" w:rsidRDefault="003B22E5" w:rsidP="0051425F">
            <w:pPr>
              <w:pStyle w:val="Tabletext"/>
              <w:keepNext/>
            </w:pPr>
            <w:r w:rsidRPr="0002798F">
              <w:t>Pooled</w:t>
            </w:r>
          </w:p>
        </w:tc>
        <w:tc>
          <w:tcPr>
            <w:tcW w:w="2252" w:type="dxa"/>
            <w:vAlign w:val="center"/>
          </w:tcPr>
          <w:p w14:paraId="5D9F2D85" w14:textId="77777777" w:rsidR="003B22E5" w:rsidRPr="0002798F" w:rsidRDefault="003B22E5" w:rsidP="0051425F">
            <w:pPr>
              <w:pStyle w:val="Tabletext"/>
              <w:keepNext/>
            </w:pPr>
            <w:r w:rsidRPr="0002798F">
              <w:t>45/396 (11.4%)</w:t>
            </w:r>
          </w:p>
        </w:tc>
        <w:tc>
          <w:tcPr>
            <w:tcW w:w="2253" w:type="dxa"/>
            <w:vAlign w:val="center"/>
          </w:tcPr>
          <w:p w14:paraId="3EA22A26" w14:textId="77777777" w:rsidR="003B22E5" w:rsidRPr="0002798F" w:rsidRDefault="003B22E5" w:rsidP="0051425F">
            <w:pPr>
              <w:pStyle w:val="Tabletext"/>
              <w:keepNext/>
            </w:pPr>
            <w:r w:rsidRPr="0002798F">
              <w:t>27/340 (7.9%)</w:t>
            </w:r>
          </w:p>
        </w:tc>
        <w:tc>
          <w:tcPr>
            <w:tcW w:w="2253" w:type="dxa"/>
            <w:vMerge/>
          </w:tcPr>
          <w:p w14:paraId="6E37BDAE" w14:textId="77777777" w:rsidR="003B22E5" w:rsidRPr="0002798F" w:rsidRDefault="003B22E5" w:rsidP="0051425F">
            <w:pPr>
              <w:pStyle w:val="Tabletext"/>
              <w:keepNext/>
            </w:pPr>
          </w:p>
        </w:tc>
      </w:tr>
    </w:tbl>
    <w:p w14:paraId="259E882C" w14:textId="64F1FF1A" w:rsidR="007335BB" w:rsidRDefault="00804738" w:rsidP="00804738">
      <w:pPr>
        <w:pStyle w:val="TableFigureFooter"/>
      </w:pPr>
      <w:r w:rsidRPr="0002798F">
        <w:t xml:space="preserve">Source: Tables 2.5-16 and 2.5-17, pp104-5; Leonardi et al, 2016, Supplementary Appendix 2. </w:t>
      </w:r>
    </w:p>
    <w:p w14:paraId="7A1772B6" w14:textId="23BB3145" w:rsidR="00B60939" w:rsidRPr="0002798F" w:rsidRDefault="00B60939" w:rsidP="00E9094A">
      <w:pPr>
        <w:pStyle w:val="4-SubsectionHeading"/>
      </w:pPr>
      <w:bookmarkStart w:id="30" w:name="_Toc22897644"/>
      <w:bookmarkStart w:id="31" w:name="_Toc93316686"/>
      <w:bookmarkEnd w:id="29"/>
      <w:r w:rsidRPr="0002798F">
        <w:t>Clinical claim</w:t>
      </w:r>
      <w:bookmarkEnd w:id="30"/>
      <w:bookmarkEnd w:id="31"/>
    </w:p>
    <w:p w14:paraId="67CD5443" w14:textId="71C9AFCF" w:rsidR="007A56F7" w:rsidRPr="0002798F" w:rsidRDefault="007A56F7" w:rsidP="007A56F7">
      <w:pPr>
        <w:pStyle w:val="3-BodyText"/>
      </w:pPr>
      <w:r w:rsidRPr="0002798F">
        <w:t xml:space="preserve">The submission described </w:t>
      </w:r>
      <w:bookmarkStart w:id="32" w:name="_Hlk90046377"/>
      <w:r w:rsidRPr="0002798F">
        <w:t>0.09</w:t>
      </w:r>
      <w:r w:rsidR="007335BB">
        <w:t>% O</w:t>
      </w:r>
      <w:r w:rsidRPr="0002798F">
        <w:t xml:space="preserve">TX-101 </w:t>
      </w:r>
      <w:bookmarkEnd w:id="32"/>
      <w:r w:rsidRPr="0002798F">
        <w:t>as non-inferior in effectiveness</w:t>
      </w:r>
      <w:r w:rsidR="00DD4D82" w:rsidRPr="0002798F">
        <w:t xml:space="preserve"> and safety</w:t>
      </w:r>
      <w:r w:rsidRPr="0002798F">
        <w:t xml:space="preserve"> compared with </w:t>
      </w:r>
      <w:bookmarkStart w:id="33" w:name="_Hlk99023328"/>
      <w:r w:rsidRPr="0002798F">
        <w:t xml:space="preserve">0.1% </w:t>
      </w:r>
      <w:proofErr w:type="spellStart"/>
      <w:r w:rsidRPr="0002798F">
        <w:t>CsA</w:t>
      </w:r>
      <w:proofErr w:type="spellEnd"/>
      <w:r w:rsidRPr="0002798F">
        <w:t xml:space="preserve"> CE</w:t>
      </w:r>
      <w:bookmarkEnd w:id="33"/>
      <w:r w:rsidRPr="0002798F">
        <w:t>.</w:t>
      </w:r>
    </w:p>
    <w:p w14:paraId="7FEA5649" w14:textId="259654D1" w:rsidR="007335BB" w:rsidRDefault="007A56F7" w:rsidP="00713290">
      <w:pPr>
        <w:pStyle w:val="3-BodyText"/>
        <w:rPr>
          <w:iCs/>
        </w:rPr>
      </w:pPr>
      <w:r w:rsidRPr="00325908">
        <w:rPr>
          <w:iCs/>
        </w:rPr>
        <w:t xml:space="preserve">The therapeutic conclusion presented in the submission </w:t>
      </w:r>
      <w:r w:rsidR="00302067" w:rsidRPr="00325908">
        <w:rPr>
          <w:iCs/>
        </w:rPr>
        <w:t xml:space="preserve">was </w:t>
      </w:r>
      <w:r w:rsidRPr="00325908">
        <w:rPr>
          <w:iCs/>
        </w:rPr>
        <w:t xml:space="preserve">not adequately supported by the evidence presented </w:t>
      </w:r>
      <w:r w:rsidRPr="005616FB">
        <w:rPr>
          <w:iCs/>
        </w:rPr>
        <w:t xml:space="preserve">in </w:t>
      </w:r>
      <w:r w:rsidRPr="00325908">
        <w:rPr>
          <w:iCs/>
        </w:rPr>
        <w:t xml:space="preserve">the submission because the post hoc </w:t>
      </w:r>
      <w:r w:rsidR="00847057" w:rsidRPr="00325908">
        <w:rPr>
          <w:iCs/>
        </w:rPr>
        <w:t>subgroup</w:t>
      </w:r>
      <w:r w:rsidR="00590F7A" w:rsidRPr="00325908">
        <w:rPr>
          <w:iCs/>
        </w:rPr>
        <w:t>s</w:t>
      </w:r>
      <w:r w:rsidRPr="00325908">
        <w:rPr>
          <w:iCs/>
        </w:rPr>
        <w:t xml:space="preserve"> used in the indirect comparison </w:t>
      </w:r>
      <w:r w:rsidR="00302067" w:rsidRPr="00325908">
        <w:rPr>
          <w:iCs/>
        </w:rPr>
        <w:t xml:space="preserve">were </w:t>
      </w:r>
      <w:r w:rsidRPr="00325908">
        <w:rPr>
          <w:iCs/>
        </w:rPr>
        <w:t>ina</w:t>
      </w:r>
      <w:r w:rsidR="003B22E5" w:rsidRPr="00325908">
        <w:rPr>
          <w:iCs/>
        </w:rPr>
        <w:t>ppropriate</w:t>
      </w:r>
      <w:r w:rsidRPr="00325908">
        <w:rPr>
          <w:iCs/>
        </w:rPr>
        <w:t xml:space="preserve"> as the basis for a statistical analysis. The PBAC consider</w:t>
      </w:r>
      <w:r w:rsidR="00DD3773">
        <w:rPr>
          <w:iCs/>
        </w:rPr>
        <w:t>ed</w:t>
      </w:r>
      <w:r w:rsidRPr="00325908">
        <w:rPr>
          <w:iCs/>
        </w:rPr>
        <w:t xml:space="preserve"> </w:t>
      </w:r>
      <w:r w:rsidR="00DD3773">
        <w:rPr>
          <w:iCs/>
        </w:rPr>
        <w:t>that</w:t>
      </w:r>
      <w:r w:rsidR="00DD3773" w:rsidRPr="00325908">
        <w:rPr>
          <w:iCs/>
        </w:rPr>
        <w:t xml:space="preserve"> </w:t>
      </w:r>
      <w:r w:rsidRPr="00325908">
        <w:rPr>
          <w:iCs/>
        </w:rPr>
        <w:t xml:space="preserve">a naïve comparison without statistical analysis </w:t>
      </w:r>
      <w:r w:rsidR="00DD3773">
        <w:rPr>
          <w:iCs/>
        </w:rPr>
        <w:t>was</w:t>
      </w:r>
      <w:r w:rsidRPr="00325908">
        <w:rPr>
          <w:iCs/>
        </w:rPr>
        <w:t xml:space="preserve"> more appropriate as the basis of assessment.</w:t>
      </w:r>
      <w:bookmarkStart w:id="34" w:name="_Toc22897645"/>
      <w:r w:rsidR="009E484C">
        <w:rPr>
          <w:iCs/>
        </w:rPr>
        <w:t xml:space="preserve"> The pre-PBAC Response </w:t>
      </w:r>
      <w:r w:rsidR="006C17D7">
        <w:rPr>
          <w:iCs/>
        </w:rPr>
        <w:t xml:space="preserve">noted that in the naïve comparison of </w:t>
      </w:r>
      <w:r w:rsidR="006C17D7" w:rsidRPr="006C17D7">
        <w:rPr>
          <w:iCs/>
        </w:rPr>
        <w:t>0.09% OTX-101</w:t>
      </w:r>
      <w:r w:rsidR="006C17D7">
        <w:rPr>
          <w:iCs/>
        </w:rPr>
        <w:t xml:space="preserve"> and </w:t>
      </w:r>
      <w:r w:rsidR="006C17D7" w:rsidRPr="006C17D7">
        <w:rPr>
          <w:iCs/>
        </w:rPr>
        <w:t xml:space="preserve">0.1% </w:t>
      </w:r>
      <w:proofErr w:type="spellStart"/>
      <w:r w:rsidR="006C17D7" w:rsidRPr="006C17D7">
        <w:rPr>
          <w:iCs/>
        </w:rPr>
        <w:t>CsA</w:t>
      </w:r>
      <w:proofErr w:type="spellEnd"/>
      <w:r w:rsidR="006C17D7" w:rsidRPr="006C17D7">
        <w:rPr>
          <w:iCs/>
        </w:rPr>
        <w:t xml:space="preserve"> CE</w:t>
      </w:r>
      <w:r w:rsidR="006C17D7">
        <w:rPr>
          <w:iCs/>
        </w:rPr>
        <w:t>,</w:t>
      </w:r>
      <w:r w:rsidR="00574345">
        <w:rPr>
          <w:iCs/>
        </w:rPr>
        <w:t xml:space="preserve"> </w:t>
      </w:r>
      <w:r w:rsidR="006C17D7">
        <w:rPr>
          <w:iCs/>
        </w:rPr>
        <w:t>a similar proportion of patients (</w:t>
      </w:r>
      <w:r w:rsidR="006C17D7" w:rsidRPr="006C17D7">
        <w:rPr>
          <w:iCs/>
        </w:rPr>
        <w:t>17.8%</w:t>
      </w:r>
      <w:r w:rsidR="006C17D7">
        <w:rPr>
          <w:iCs/>
        </w:rPr>
        <w:t>)</w:t>
      </w:r>
      <w:r w:rsidR="00E7350E">
        <w:rPr>
          <w:iCs/>
        </w:rPr>
        <w:t xml:space="preserve"> in</w:t>
      </w:r>
      <w:r w:rsidR="006C17D7" w:rsidRPr="006C17D7">
        <w:rPr>
          <w:iCs/>
        </w:rPr>
        <w:t xml:space="preserve"> the PBS population of the pooled 0.09% OTX-101 arm of Study 2014 and Study 2016</w:t>
      </w:r>
      <w:r w:rsidR="00574345">
        <w:rPr>
          <w:iCs/>
        </w:rPr>
        <w:t xml:space="preserve">, </w:t>
      </w:r>
      <w:r w:rsidR="006C17D7" w:rsidRPr="006C17D7">
        <w:rPr>
          <w:iCs/>
        </w:rPr>
        <w:t>achieved the equivalent of the criteria for continuing treatment on the PBS</w:t>
      </w:r>
      <w:r w:rsidR="00574345">
        <w:rPr>
          <w:iCs/>
        </w:rPr>
        <w:t>,</w:t>
      </w:r>
      <w:r w:rsidR="00E7350E">
        <w:rPr>
          <w:iCs/>
        </w:rPr>
        <w:t xml:space="preserve"> compared to the proportion of patients (</w:t>
      </w:r>
      <w:r w:rsidR="006C17D7" w:rsidRPr="006C17D7">
        <w:rPr>
          <w:iCs/>
        </w:rPr>
        <w:t>17.6%</w:t>
      </w:r>
      <w:r w:rsidR="00574345">
        <w:rPr>
          <w:iCs/>
        </w:rPr>
        <w:t>)</w:t>
      </w:r>
      <w:r w:rsidR="006C17D7" w:rsidRPr="006C17D7">
        <w:rPr>
          <w:iCs/>
        </w:rPr>
        <w:t xml:space="preserve"> in</w:t>
      </w:r>
      <w:r w:rsidR="00574345">
        <w:rPr>
          <w:iCs/>
        </w:rPr>
        <w:t xml:space="preserve"> </w:t>
      </w:r>
      <w:r w:rsidR="006C17D7" w:rsidRPr="006C17D7">
        <w:rPr>
          <w:iCs/>
        </w:rPr>
        <w:t xml:space="preserve">the pooled 0.1% </w:t>
      </w:r>
      <w:proofErr w:type="spellStart"/>
      <w:r w:rsidR="006C17D7" w:rsidRPr="006C17D7">
        <w:rPr>
          <w:iCs/>
        </w:rPr>
        <w:t>CsA</w:t>
      </w:r>
      <w:proofErr w:type="spellEnd"/>
      <w:r w:rsidR="006C17D7" w:rsidRPr="006C17D7">
        <w:rPr>
          <w:iCs/>
        </w:rPr>
        <w:t xml:space="preserve"> CE arm of SANSIKA and SICCANOVE</w:t>
      </w:r>
      <w:r w:rsidR="00574345">
        <w:rPr>
          <w:iCs/>
        </w:rPr>
        <w:t>,</w:t>
      </w:r>
      <w:r w:rsidR="006C17D7" w:rsidRPr="006C17D7">
        <w:rPr>
          <w:iCs/>
        </w:rPr>
        <w:t xml:space="preserve"> who met the criteria for continuing treatment on the PBS. </w:t>
      </w:r>
    </w:p>
    <w:p w14:paraId="35D46CB3" w14:textId="1C0AB970" w:rsidR="00E55ED6" w:rsidRPr="00CE42B4" w:rsidRDefault="00B14F8C" w:rsidP="00E55ED6">
      <w:pPr>
        <w:pStyle w:val="3-BodyText"/>
        <w:rPr>
          <w:snapToGrid w:val="0"/>
        </w:rPr>
      </w:pPr>
      <w:bookmarkStart w:id="35" w:name="_Hlk76376200"/>
      <w:r>
        <w:rPr>
          <w:iCs/>
          <w:snapToGrid w:val="0"/>
        </w:rPr>
        <w:t>Overall, t</w:t>
      </w:r>
      <w:r w:rsidR="00E55ED6" w:rsidRPr="00CE42B4">
        <w:rPr>
          <w:iCs/>
          <w:snapToGrid w:val="0"/>
        </w:rPr>
        <w:t>he</w:t>
      </w:r>
      <w:r w:rsidR="00E55ED6" w:rsidRPr="00CE42B4">
        <w:rPr>
          <w:snapToGrid w:val="0"/>
        </w:rPr>
        <w:t xml:space="preserve"> PBAC considered that the claim of non-inferior comparative effectiveness</w:t>
      </w:r>
      <w:r w:rsidR="00DD3773">
        <w:rPr>
          <w:snapToGrid w:val="0"/>
        </w:rPr>
        <w:t xml:space="preserve"> and safety</w:t>
      </w:r>
      <w:r w:rsidR="00E55ED6" w:rsidRPr="00CE42B4">
        <w:rPr>
          <w:snapToGrid w:val="0"/>
        </w:rPr>
        <w:t xml:space="preserve"> w</w:t>
      </w:r>
      <w:r w:rsidR="00DD3773">
        <w:rPr>
          <w:snapToGrid w:val="0"/>
        </w:rPr>
        <w:t>ere</w:t>
      </w:r>
      <w:r w:rsidR="00E55ED6" w:rsidRPr="00CE42B4">
        <w:rPr>
          <w:snapToGrid w:val="0"/>
        </w:rPr>
        <w:t xml:space="preserve"> reasonable.</w:t>
      </w:r>
    </w:p>
    <w:p w14:paraId="74A1172E" w14:textId="128C170E" w:rsidR="00B60939" w:rsidRPr="0002798F" w:rsidRDefault="00B60939" w:rsidP="00E9094A">
      <w:pPr>
        <w:pStyle w:val="4-SubsectionHeading"/>
      </w:pPr>
      <w:bookmarkStart w:id="36" w:name="_Toc93316687"/>
      <w:bookmarkEnd w:id="35"/>
      <w:r w:rsidRPr="0002798F">
        <w:t>Economic analysis</w:t>
      </w:r>
      <w:bookmarkEnd w:id="34"/>
      <w:bookmarkEnd w:id="36"/>
      <w:r w:rsidR="00491B3A" w:rsidRPr="0002798F">
        <w:t xml:space="preserve"> </w:t>
      </w:r>
    </w:p>
    <w:p w14:paraId="01E0C9E9" w14:textId="579335AD" w:rsidR="007335BB" w:rsidRDefault="003C7CB0" w:rsidP="00641FB3">
      <w:pPr>
        <w:pStyle w:val="3-BodyText"/>
      </w:pPr>
      <w:r w:rsidRPr="0002798F">
        <w:t>The submission presented a cost</w:t>
      </w:r>
      <w:r w:rsidR="00320AE9" w:rsidRPr="0002798F">
        <w:t>-</w:t>
      </w:r>
      <w:r w:rsidRPr="0002798F">
        <w:t>minimisation analysis</w:t>
      </w:r>
      <w:r w:rsidR="00567E84" w:rsidRPr="0002798F">
        <w:t xml:space="preserve"> </w:t>
      </w:r>
      <w:r w:rsidR="00814308" w:rsidRPr="0002798F">
        <w:t>based on</w:t>
      </w:r>
      <w:r w:rsidR="00567E84" w:rsidRPr="0002798F">
        <w:t xml:space="preserve"> the claimed non-inferiority of 0.09</w:t>
      </w:r>
      <w:r w:rsidR="007335BB">
        <w:t>% O</w:t>
      </w:r>
      <w:r w:rsidR="00567E84" w:rsidRPr="0002798F">
        <w:t xml:space="preserve">TX-101 to 0.1% </w:t>
      </w:r>
      <w:proofErr w:type="spellStart"/>
      <w:r w:rsidR="00567E84" w:rsidRPr="0002798F">
        <w:t>CsA</w:t>
      </w:r>
      <w:proofErr w:type="spellEnd"/>
      <w:r w:rsidR="00567E84" w:rsidRPr="0002798F">
        <w:t xml:space="preserve"> CE</w:t>
      </w:r>
      <w:r w:rsidRPr="0002798F">
        <w:t>.</w:t>
      </w:r>
      <w:r w:rsidR="00726213">
        <w:t xml:space="preserve"> The key components</w:t>
      </w:r>
      <w:r w:rsidR="00E64B4F">
        <w:t xml:space="preserve"> </w:t>
      </w:r>
      <w:r w:rsidR="00726213">
        <w:t>and assumptions are shown below.</w:t>
      </w:r>
    </w:p>
    <w:p w14:paraId="31A6CEC9" w14:textId="4E41FC56" w:rsidR="001811EC" w:rsidRDefault="001811EC" w:rsidP="001811EC">
      <w:pPr>
        <w:pStyle w:val="TableFigureHeading"/>
      </w:pPr>
      <w:bookmarkStart w:id="37" w:name="_Hlk99714164"/>
      <w:r>
        <w:lastRenderedPageBreak/>
        <w:t xml:space="preserve">Table </w:t>
      </w:r>
      <w:fldSimple w:instr=" SEQ Table \* ARABIC ">
        <w:r>
          <w:rPr>
            <w:noProof/>
          </w:rPr>
          <w:t>11</w:t>
        </w:r>
      </w:fldSimple>
      <w:r w:rsidRPr="00E275A2">
        <w:t>: Key components and assumptions of the cost-minimisation 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Key components and assumptions of the cost-minimisation analysis"/>
        <w:tblDescription w:val="Table 11: Key components and assumptions of the cost-minimisation analysis"/>
      </w:tblPr>
      <w:tblGrid>
        <w:gridCol w:w="2660"/>
        <w:gridCol w:w="6520"/>
      </w:tblGrid>
      <w:tr w:rsidR="00726213" w:rsidRPr="0002798F" w14:paraId="31337EAD" w14:textId="77777777" w:rsidTr="00D35187">
        <w:tc>
          <w:tcPr>
            <w:tcW w:w="2660" w:type="dxa"/>
            <w:vAlign w:val="center"/>
          </w:tcPr>
          <w:bookmarkEnd w:id="37"/>
          <w:p w14:paraId="70AA70C8" w14:textId="77777777" w:rsidR="00726213" w:rsidRPr="0002798F" w:rsidRDefault="00726213" w:rsidP="00D35187">
            <w:pPr>
              <w:pStyle w:val="In-tableHeading"/>
              <w:rPr>
                <w:lang w:val="en-AU"/>
              </w:rPr>
            </w:pPr>
            <w:r w:rsidRPr="0002798F">
              <w:rPr>
                <w:lang w:val="en-AU"/>
              </w:rPr>
              <w:t>Component</w:t>
            </w:r>
          </w:p>
        </w:tc>
        <w:tc>
          <w:tcPr>
            <w:tcW w:w="6520" w:type="dxa"/>
            <w:vAlign w:val="center"/>
          </w:tcPr>
          <w:p w14:paraId="55B58EC8" w14:textId="77777777" w:rsidR="00726213" w:rsidRPr="0002798F" w:rsidRDefault="00726213" w:rsidP="00D35187">
            <w:pPr>
              <w:pStyle w:val="In-tableHeading"/>
              <w:rPr>
                <w:lang w:val="en-AU"/>
              </w:rPr>
            </w:pPr>
            <w:r w:rsidRPr="0002798F">
              <w:rPr>
                <w:lang w:val="en-AU"/>
              </w:rPr>
              <w:t>Claim or assumption</w:t>
            </w:r>
          </w:p>
        </w:tc>
      </w:tr>
      <w:tr w:rsidR="00726213" w:rsidRPr="0002798F" w14:paraId="5ABB3A19" w14:textId="77777777" w:rsidTr="00D35187">
        <w:tc>
          <w:tcPr>
            <w:tcW w:w="2660" w:type="dxa"/>
            <w:vAlign w:val="center"/>
          </w:tcPr>
          <w:p w14:paraId="1F8F7B88" w14:textId="77777777" w:rsidR="00726213" w:rsidRPr="0002798F" w:rsidRDefault="00726213" w:rsidP="00D35187">
            <w:pPr>
              <w:pStyle w:val="TableText0"/>
            </w:pPr>
            <w:r w:rsidRPr="0002798F">
              <w:t>Therapeutic claim: effectiveness</w:t>
            </w:r>
          </w:p>
        </w:tc>
        <w:tc>
          <w:tcPr>
            <w:tcW w:w="6520" w:type="dxa"/>
            <w:vAlign w:val="center"/>
          </w:tcPr>
          <w:p w14:paraId="5E82CB39" w14:textId="304E96BD" w:rsidR="00726213" w:rsidRPr="0002798F" w:rsidRDefault="00726213" w:rsidP="00D35187">
            <w:pPr>
              <w:pStyle w:val="TableText0"/>
            </w:pPr>
            <w:r w:rsidRPr="00301441">
              <w:t xml:space="preserve">Based on evidence presented in </w:t>
            </w:r>
            <w:r w:rsidR="00BB23E8" w:rsidRPr="00121769">
              <w:rPr>
                <w:iCs/>
              </w:rPr>
              <w:t>the submission</w:t>
            </w:r>
            <w:r w:rsidRPr="00301441">
              <w:t>,</w:t>
            </w:r>
            <w:r w:rsidRPr="0002798F">
              <w:t xml:space="preserve"> effectiveness is assumed to be non-inferior</w:t>
            </w:r>
          </w:p>
        </w:tc>
      </w:tr>
      <w:tr w:rsidR="00726213" w:rsidRPr="0002798F" w14:paraId="0CB89A5F" w14:textId="77777777" w:rsidTr="00D35187">
        <w:tc>
          <w:tcPr>
            <w:tcW w:w="2660" w:type="dxa"/>
            <w:vAlign w:val="center"/>
          </w:tcPr>
          <w:p w14:paraId="5BB0BC9A" w14:textId="77777777" w:rsidR="00726213" w:rsidRPr="0002798F" w:rsidRDefault="00726213" w:rsidP="00D35187">
            <w:pPr>
              <w:pStyle w:val="TableText0"/>
            </w:pPr>
            <w:r w:rsidRPr="0002798F">
              <w:t>Therapeutic claim: safety</w:t>
            </w:r>
          </w:p>
        </w:tc>
        <w:tc>
          <w:tcPr>
            <w:tcW w:w="6520" w:type="dxa"/>
            <w:vAlign w:val="center"/>
          </w:tcPr>
          <w:p w14:paraId="264052E3" w14:textId="4315B5D8" w:rsidR="00726213" w:rsidRPr="00301441" w:rsidRDefault="00726213" w:rsidP="00D35187">
            <w:pPr>
              <w:pStyle w:val="TableText0"/>
            </w:pPr>
            <w:r w:rsidRPr="00301441">
              <w:t xml:space="preserve">Based on evidence presented in </w:t>
            </w:r>
            <w:r w:rsidR="00BB23E8" w:rsidRPr="00121769">
              <w:rPr>
                <w:iCs/>
              </w:rPr>
              <w:t>the submission</w:t>
            </w:r>
            <w:r w:rsidRPr="00301441">
              <w:t>, safety is assumed to be non-inferior</w:t>
            </w:r>
          </w:p>
        </w:tc>
      </w:tr>
      <w:tr w:rsidR="00726213" w:rsidRPr="0002798F" w14:paraId="541D2F68" w14:textId="77777777" w:rsidTr="00D35187">
        <w:tc>
          <w:tcPr>
            <w:tcW w:w="2660" w:type="dxa"/>
            <w:vAlign w:val="center"/>
          </w:tcPr>
          <w:p w14:paraId="2106E211" w14:textId="77777777" w:rsidR="00726213" w:rsidRPr="0002798F" w:rsidRDefault="00726213" w:rsidP="00D35187">
            <w:pPr>
              <w:pStyle w:val="TableText0"/>
            </w:pPr>
            <w:r w:rsidRPr="0002798F">
              <w:t>Evidence base</w:t>
            </w:r>
          </w:p>
        </w:tc>
        <w:tc>
          <w:tcPr>
            <w:tcW w:w="6520" w:type="dxa"/>
            <w:vAlign w:val="center"/>
          </w:tcPr>
          <w:p w14:paraId="201B5874" w14:textId="77777777" w:rsidR="00726213" w:rsidRPr="0002798F" w:rsidRDefault="00726213" w:rsidP="00D35187">
            <w:pPr>
              <w:pStyle w:val="TableText0"/>
            </w:pPr>
            <w:r w:rsidRPr="0002798F">
              <w:t>Indirect comparison of proposed medicine and main comparator</w:t>
            </w:r>
          </w:p>
        </w:tc>
      </w:tr>
      <w:tr w:rsidR="00726213" w:rsidRPr="0002798F" w14:paraId="1E0D3B23" w14:textId="77777777" w:rsidTr="00D35187">
        <w:tc>
          <w:tcPr>
            <w:tcW w:w="2660" w:type="dxa"/>
            <w:vAlign w:val="center"/>
          </w:tcPr>
          <w:p w14:paraId="7EB09DBE" w14:textId="77777777" w:rsidR="00726213" w:rsidRPr="0002798F" w:rsidRDefault="00726213" w:rsidP="00D35187">
            <w:pPr>
              <w:pStyle w:val="TableText0"/>
            </w:pPr>
            <w:r w:rsidRPr="0002798F">
              <w:t>Equi-effective doses</w:t>
            </w:r>
          </w:p>
        </w:tc>
        <w:tc>
          <w:tcPr>
            <w:tcW w:w="6520" w:type="dxa"/>
            <w:vAlign w:val="center"/>
          </w:tcPr>
          <w:p w14:paraId="58A0709E" w14:textId="77777777" w:rsidR="00726213" w:rsidRPr="0002798F" w:rsidRDefault="00726213" w:rsidP="00D35187">
            <w:pPr>
              <w:pStyle w:val="TableText0"/>
            </w:pPr>
            <w:r w:rsidRPr="0002798F">
              <w:t xml:space="preserve">0.09% OTX-101 bid ≡ 0.1% </w:t>
            </w:r>
            <w:proofErr w:type="spellStart"/>
            <w:r w:rsidRPr="0002798F">
              <w:t>CsA</w:t>
            </w:r>
            <w:proofErr w:type="spellEnd"/>
            <w:r w:rsidRPr="0002798F">
              <w:t xml:space="preserve"> CE </w:t>
            </w:r>
            <w:proofErr w:type="spellStart"/>
            <w:r w:rsidRPr="0002798F">
              <w:t>qd</w:t>
            </w:r>
            <w:proofErr w:type="spellEnd"/>
          </w:p>
        </w:tc>
      </w:tr>
      <w:tr w:rsidR="00726213" w:rsidRPr="0002798F" w14:paraId="4E5E4269" w14:textId="77777777" w:rsidTr="00D35187">
        <w:tc>
          <w:tcPr>
            <w:tcW w:w="2660" w:type="dxa"/>
            <w:vAlign w:val="center"/>
          </w:tcPr>
          <w:p w14:paraId="7CA26A1B" w14:textId="77777777" w:rsidR="00726213" w:rsidRPr="0002798F" w:rsidRDefault="00726213" w:rsidP="00D35187">
            <w:pPr>
              <w:pStyle w:val="TableText0"/>
            </w:pPr>
            <w:r w:rsidRPr="0002798F">
              <w:t>Direct medicine costs</w:t>
            </w:r>
          </w:p>
        </w:tc>
        <w:tc>
          <w:tcPr>
            <w:tcW w:w="6520" w:type="dxa"/>
            <w:vAlign w:val="center"/>
          </w:tcPr>
          <w:p w14:paraId="7DCD7714" w14:textId="32EDF304" w:rsidR="00726213" w:rsidRPr="0002798F" w:rsidRDefault="00C9303C" w:rsidP="00D35187">
            <w:pPr>
              <w:pStyle w:val="TableText0"/>
            </w:pPr>
            <w:r>
              <w:t>C</w:t>
            </w:r>
            <w:r w:rsidRPr="0002798F">
              <w:t xml:space="preserve">osts </w:t>
            </w:r>
            <w:r w:rsidR="00726213" w:rsidRPr="0002798F">
              <w:t>of proposed medicine and comparator are equivalent</w:t>
            </w:r>
          </w:p>
        </w:tc>
      </w:tr>
      <w:tr w:rsidR="00726213" w:rsidRPr="0002798F" w14:paraId="1879BF55" w14:textId="77777777" w:rsidTr="00D35187">
        <w:tc>
          <w:tcPr>
            <w:tcW w:w="2660" w:type="dxa"/>
            <w:vAlign w:val="center"/>
          </w:tcPr>
          <w:p w14:paraId="112691A3" w14:textId="77777777" w:rsidR="00726213" w:rsidRPr="0002798F" w:rsidRDefault="00726213" w:rsidP="00D35187">
            <w:pPr>
              <w:pStyle w:val="TableText0"/>
            </w:pPr>
            <w:r w:rsidRPr="0002798F">
              <w:t>Other costs or cost offsets</w:t>
            </w:r>
          </w:p>
        </w:tc>
        <w:tc>
          <w:tcPr>
            <w:tcW w:w="6520" w:type="dxa"/>
            <w:vAlign w:val="center"/>
          </w:tcPr>
          <w:p w14:paraId="0FADC560" w14:textId="77777777" w:rsidR="00726213" w:rsidRPr="0002798F" w:rsidRDefault="00726213" w:rsidP="00D35187">
            <w:pPr>
              <w:pStyle w:val="TableText0"/>
            </w:pPr>
            <w:r w:rsidRPr="0002798F">
              <w:t>None</w:t>
            </w:r>
          </w:p>
        </w:tc>
      </w:tr>
    </w:tbl>
    <w:p w14:paraId="2D458388" w14:textId="0B796CC7" w:rsidR="00726213" w:rsidRDefault="00E64B4F" w:rsidP="00E64B4F">
      <w:pPr>
        <w:pStyle w:val="TableFigureFooter"/>
      </w:pPr>
      <w:bookmarkStart w:id="38" w:name="_Hlk99715488"/>
      <w:r>
        <w:t>Source: Table 3.1-1, p161 of the submission.</w:t>
      </w:r>
    </w:p>
    <w:bookmarkEnd w:id="38"/>
    <w:p w14:paraId="27AE9376" w14:textId="158204D5" w:rsidR="007335BB" w:rsidRDefault="00A86E8B" w:rsidP="00BB732D">
      <w:pPr>
        <w:pStyle w:val="3-BodyText"/>
      </w:pPr>
      <w:r w:rsidRPr="0002798F">
        <w:t xml:space="preserve">The equi-effective doses </w:t>
      </w:r>
      <w:r w:rsidR="00F61C18" w:rsidRPr="0002798F">
        <w:t>we</w:t>
      </w:r>
      <w:r w:rsidRPr="0002798F">
        <w:t xml:space="preserve">re estimated as </w:t>
      </w:r>
      <w:r w:rsidR="00716F07" w:rsidRPr="0002798F">
        <w:t>0.09% OTX-101</w:t>
      </w:r>
      <w:r w:rsidR="00C57B85" w:rsidRPr="0002798F">
        <w:t xml:space="preserve"> </w:t>
      </w:r>
      <w:r w:rsidR="00590F7A" w:rsidRPr="0002798F">
        <w:t>one</w:t>
      </w:r>
      <w:r w:rsidR="00C57B85" w:rsidRPr="0002798F">
        <w:t xml:space="preserve"> drop twice daily</w:t>
      </w:r>
      <w:r w:rsidRPr="0002798F">
        <w:t xml:space="preserve"> and </w:t>
      </w:r>
      <w:r w:rsidR="00C57B85" w:rsidRPr="0002798F">
        <w:t xml:space="preserve">0.1% </w:t>
      </w:r>
      <w:proofErr w:type="spellStart"/>
      <w:r w:rsidR="00C57B85" w:rsidRPr="0002798F">
        <w:t>CsA</w:t>
      </w:r>
      <w:proofErr w:type="spellEnd"/>
      <w:r w:rsidR="00C57B85" w:rsidRPr="0002798F">
        <w:t xml:space="preserve"> CE </w:t>
      </w:r>
      <w:r w:rsidR="00590F7A" w:rsidRPr="0002798F">
        <w:t>one</w:t>
      </w:r>
      <w:r w:rsidR="00C57B85" w:rsidRPr="0002798F">
        <w:t xml:space="preserve"> drop daily, based on the dosing regimens used in the clinical trials and as recommended in the PI</w:t>
      </w:r>
      <w:r w:rsidR="00C61A7F" w:rsidRPr="0002798F">
        <w:t>s</w:t>
      </w:r>
      <w:r w:rsidR="00C57B85" w:rsidRPr="0002798F">
        <w:t>.</w:t>
      </w:r>
    </w:p>
    <w:p w14:paraId="11027314" w14:textId="089B8892" w:rsidR="00E11F1C" w:rsidRDefault="00C57B85" w:rsidP="003E0201">
      <w:pPr>
        <w:pStyle w:val="3-BodyText"/>
      </w:pPr>
      <w:r w:rsidRPr="0002798F">
        <w:t>No additional costs or cost-offsets were included in the analysis.</w:t>
      </w:r>
      <w:bookmarkStart w:id="39" w:name="_Toc22897646"/>
      <w:r w:rsidR="003E0201">
        <w:t xml:space="preserve"> The results of the cost-minimisation analysis are presented below.</w:t>
      </w:r>
    </w:p>
    <w:p w14:paraId="1E45536C" w14:textId="17973AC4" w:rsidR="003E0201" w:rsidRDefault="003E0201" w:rsidP="003E0201">
      <w:pPr>
        <w:pStyle w:val="TableFigureHeading"/>
      </w:pPr>
      <w:r>
        <w:t xml:space="preserve">Table </w:t>
      </w:r>
      <w:fldSimple w:instr=" SEQ Table \* ARABIC ">
        <w:r>
          <w:rPr>
            <w:noProof/>
          </w:rPr>
          <w:t>12</w:t>
        </w:r>
      </w:fldSimple>
      <w:r w:rsidRPr="00E275A2">
        <w:t xml:space="preserve">: </w:t>
      </w:r>
      <w:r>
        <w:t>C</w:t>
      </w:r>
      <w:r w:rsidRPr="00E275A2">
        <w:t>ost-minimisation analysis</w:t>
      </w:r>
    </w:p>
    <w:tbl>
      <w:tblPr>
        <w:tblStyle w:val="TableGridbeth1"/>
        <w:tblW w:w="5000" w:type="pct"/>
        <w:tblLook w:val="04A0" w:firstRow="1" w:lastRow="0" w:firstColumn="1" w:lastColumn="0" w:noHBand="0" w:noVBand="1"/>
      </w:tblPr>
      <w:tblGrid>
        <w:gridCol w:w="3542"/>
        <w:gridCol w:w="2472"/>
        <w:gridCol w:w="3003"/>
      </w:tblGrid>
      <w:tr w:rsidR="003E0201" w:rsidRPr="003E0201" w14:paraId="66EFA475" w14:textId="77777777" w:rsidTr="003E0201">
        <w:tc>
          <w:tcPr>
            <w:tcW w:w="1964" w:type="pct"/>
            <w:shd w:val="clear" w:color="auto" w:fill="auto"/>
          </w:tcPr>
          <w:p w14:paraId="32E6A926" w14:textId="77777777" w:rsidR="003E0201" w:rsidRPr="003E0201" w:rsidRDefault="003E0201" w:rsidP="003E0201">
            <w:pPr>
              <w:spacing w:line="276" w:lineRule="auto"/>
              <w:rPr>
                <w:rFonts w:cstheme="minorBidi"/>
                <w:sz w:val="20"/>
                <w:szCs w:val="20"/>
              </w:rPr>
            </w:pPr>
            <w:bookmarkStart w:id="40" w:name="_Hlk77427430"/>
          </w:p>
        </w:tc>
        <w:tc>
          <w:tcPr>
            <w:tcW w:w="1371" w:type="pct"/>
            <w:shd w:val="clear" w:color="auto" w:fill="auto"/>
          </w:tcPr>
          <w:p w14:paraId="55F3D5E5" w14:textId="77777777" w:rsidR="003E0201" w:rsidRPr="003E0201" w:rsidRDefault="003E0201" w:rsidP="003E0201">
            <w:pPr>
              <w:spacing w:line="276" w:lineRule="auto"/>
              <w:jc w:val="center"/>
              <w:rPr>
                <w:rFonts w:cstheme="minorBidi"/>
                <w:b/>
                <w:bCs/>
                <w:sz w:val="20"/>
                <w:szCs w:val="20"/>
              </w:rPr>
            </w:pPr>
            <w:r w:rsidRPr="003E0201">
              <w:rPr>
                <w:rFonts w:ascii="Arial Narrow" w:eastAsiaTheme="majorEastAsia" w:hAnsi="Arial Narrow" w:cs="Times New Roman"/>
                <w:b/>
                <w:sz w:val="20"/>
                <w:lang w:eastAsia="en-AU"/>
              </w:rPr>
              <w:t>0.09% OTX-101</w:t>
            </w:r>
            <w:r w:rsidRPr="003E0201">
              <w:rPr>
                <w:rFonts w:cstheme="minorBidi"/>
                <w:b/>
                <w:bCs/>
                <w:sz w:val="20"/>
                <w:szCs w:val="20"/>
              </w:rPr>
              <w:t xml:space="preserve"> </w:t>
            </w:r>
          </w:p>
        </w:tc>
        <w:tc>
          <w:tcPr>
            <w:tcW w:w="1666" w:type="pct"/>
            <w:shd w:val="clear" w:color="auto" w:fill="auto"/>
          </w:tcPr>
          <w:p w14:paraId="066189C9" w14:textId="77777777" w:rsidR="003E0201" w:rsidRPr="003E0201" w:rsidRDefault="003E0201" w:rsidP="003E0201">
            <w:pPr>
              <w:spacing w:line="276" w:lineRule="auto"/>
              <w:jc w:val="center"/>
              <w:rPr>
                <w:rFonts w:cstheme="minorBidi"/>
                <w:b/>
                <w:bCs/>
                <w:sz w:val="20"/>
                <w:szCs w:val="20"/>
              </w:rPr>
            </w:pPr>
            <w:r w:rsidRPr="003E0201">
              <w:rPr>
                <w:rFonts w:ascii="Arial Narrow" w:eastAsiaTheme="majorEastAsia" w:hAnsi="Arial Narrow" w:cs="Times New Roman"/>
                <w:b/>
                <w:sz w:val="20"/>
                <w:lang w:eastAsia="en-AU"/>
              </w:rPr>
              <w:t xml:space="preserve">0.1% </w:t>
            </w:r>
            <w:proofErr w:type="spellStart"/>
            <w:r w:rsidRPr="003E0201">
              <w:rPr>
                <w:rFonts w:ascii="Arial Narrow" w:eastAsiaTheme="majorEastAsia" w:hAnsi="Arial Narrow" w:cs="Times New Roman"/>
                <w:b/>
                <w:sz w:val="20"/>
                <w:lang w:eastAsia="en-AU"/>
              </w:rPr>
              <w:t>CsA</w:t>
            </w:r>
            <w:proofErr w:type="spellEnd"/>
            <w:r w:rsidRPr="003E0201">
              <w:rPr>
                <w:rFonts w:ascii="Arial Narrow" w:eastAsiaTheme="majorEastAsia" w:hAnsi="Arial Narrow" w:cs="Times New Roman"/>
                <w:b/>
                <w:sz w:val="20"/>
                <w:lang w:eastAsia="en-AU"/>
              </w:rPr>
              <w:t xml:space="preserve"> CE</w:t>
            </w:r>
            <w:r w:rsidRPr="003E0201">
              <w:rPr>
                <w:rFonts w:cstheme="minorBidi"/>
                <w:b/>
                <w:bCs/>
                <w:sz w:val="20"/>
                <w:szCs w:val="20"/>
              </w:rPr>
              <w:t xml:space="preserve"> </w:t>
            </w:r>
          </w:p>
        </w:tc>
      </w:tr>
      <w:tr w:rsidR="003E0201" w:rsidRPr="003E0201" w14:paraId="1321D1AD" w14:textId="77777777" w:rsidTr="00A31B65">
        <w:tc>
          <w:tcPr>
            <w:tcW w:w="5000" w:type="pct"/>
            <w:gridSpan w:val="3"/>
            <w:shd w:val="clear" w:color="auto" w:fill="F2F2F2" w:themeFill="background1" w:themeFillShade="F2"/>
            <w:vAlign w:val="center"/>
          </w:tcPr>
          <w:p w14:paraId="1284FE70" w14:textId="77777777" w:rsidR="003E0201" w:rsidRPr="003E0201" w:rsidRDefault="003E0201" w:rsidP="003E0201">
            <w:pPr>
              <w:spacing w:line="276" w:lineRule="auto"/>
              <w:rPr>
                <w:rFonts w:cstheme="minorBidi"/>
                <w:sz w:val="20"/>
                <w:szCs w:val="20"/>
              </w:rPr>
            </w:pPr>
            <w:r w:rsidRPr="003E0201">
              <w:rPr>
                <w:rFonts w:ascii="Arial Narrow" w:eastAsiaTheme="majorEastAsia" w:hAnsi="Arial Narrow" w:cstheme="majorBidi"/>
                <w:bCs/>
                <w:sz w:val="20"/>
                <w:lang w:eastAsia="en-AU"/>
              </w:rPr>
              <w:t>Prescriptions</w:t>
            </w:r>
          </w:p>
        </w:tc>
      </w:tr>
      <w:tr w:rsidR="003E0201" w:rsidRPr="003E0201" w14:paraId="7A50DE5E" w14:textId="77777777" w:rsidTr="003E0201">
        <w:tc>
          <w:tcPr>
            <w:tcW w:w="1964" w:type="pct"/>
            <w:vAlign w:val="center"/>
          </w:tcPr>
          <w:p w14:paraId="13759C2A" w14:textId="77777777" w:rsidR="003E0201" w:rsidRPr="003E0201" w:rsidRDefault="003E0201" w:rsidP="003E0201">
            <w:pPr>
              <w:spacing w:line="276" w:lineRule="auto"/>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Prescriptions per 30 days</w:t>
            </w:r>
          </w:p>
        </w:tc>
        <w:tc>
          <w:tcPr>
            <w:tcW w:w="1371" w:type="pct"/>
          </w:tcPr>
          <w:p w14:paraId="21F4A138" w14:textId="77777777" w:rsidR="003E0201" w:rsidRPr="003E0201" w:rsidRDefault="003E0201" w:rsidP="003E0201">
            <w:pPr>
              <w:spacing w:line="276" w:lineRule="auto"/>
              <w:jc w:val="center"/>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1</w:t>
            </w:r>
          </w:p>
        </w:tc>
        <w:tc>
          <w:tcPr>
            <w:tcW w:w="1666" w:type="pct"/>
          </w:tcPr>
          <w:p w14:paraId="40D9B065" w14:textId="77777777" w:rsidR="003E0201" w:rsidRPr="003E0201" w:rsidRDefault="003E0201" w:rsidP="003E0201">
            <w:pPr>
              <w:spacing w:line="276" w:lineRule="auto"/>
              <w:jc w:val="center"/>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1</w:t>
            </w:r>
          </w:p>
        </w:tc>
      </w:tr>
      <w:tr w:rsidR="003E0201" w:rsidRPr="003E0201" w14:paraId="557A7E65" w14:textId="77777777" w:rsidTr="00A31B65">
        <w:tc>
          <w:tcPr>
            <w:tcW w:w="5000" w:type="pct"/>
            <w:gridSpan w:val="3"/>
            <w:shd w:val="clear" w:color="auto" w:fill="F2F2F2" w:themeFill="background1" w:themeFillShade="F2"/>
            <w:vAlign w:val="center"/>
          </w:tcPr>
          <w:p w14:paraId="0B6FA786" w14:textId="77777777" w:rsidR="003E0201" w:rsidRPr="003E0201" w:rsidRDefault="003E0201" w:rsidP="003E0201">
            <w:pPr>
              <w:spacing w:line="276" w:lineRule="auto"/>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Quantity per prescription</w:t>
            </w:r>
          </w:p>
        </w:tc>
      </w:tr>
      <w:tr w:rsidR="003E0201" w:rsidRPr="003E0201" w14:paraId="48DF9BB4" w14:textId="77777777" w:rsidTr="003E0201">
        <w:tc>
          <w:tcPr>
            <w:tcW w:w="1964" w:type="pct"/>
            <w:vAlign w:val="center"/>
          </w:tcPr>
          <w:p w14:paraId="574FC3CE" w14:textId="77777777" w:rsidR="003E0201" w:rsidRPr="003E0201" w:rsidRDefault="003E0201" w:rsidP="003E0201">
            <w:pPr>
              <w:spacing w:line="276" w:lineRule="auto"/>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Single dose units per pouch</w:t>
            </w:r>
          </w:p>
        </w:tc>
        <w:tc>
          <w:tcPr>
            <w:tcW w:w="1371" w:type="pct"/>
          </w:tcPr>
          <w:p w14:paraId="2A178AE2" w14:textId="77777777" w:rsidR="003E0201" w:rsidRPr="003E0201" w:rsidRDefault="003E0201" w:rsidP="003E0201">
            <w:pPr>
              <w:spacing w:line="276" w:lineRule="auto"/>
              <w:jc w:val="center"/>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10</w:t>
            </w:r>
          </w:p>
        </w:tc>
        <w:tc>
          <w:tcPr>
            <w:tcW w:w="1666" w:type="pct"/>
          </w:tcPr>
          <w:p w14:paraId="6437B9CB" w14:textId="77777777" w:rsidR="003E0201" w:rsidRPr="003E0201" w:rsidRDefault="003E0201" w:rsidP="003E0201">
            <w:pPr>
              <w:spacing w:line="276" w:lineRule="auto"/>
              <w:jc w:val="center"/>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5</w:t>
            </w:r>
          </w:p>
        </w:tc>
      </w:tr>
      <w:tr w:rsidR="003E0201" w:rsidRPr="003E0201" w14:paraId="288D9642" w14:textId="77777777" w:rsidTr="003E0201">
        <w:tc>
          <w:tcPr>
            <w:tcW w:w="1964" w:type="pct"/>
            <w:vAlign w:val="center"/>
          </w:tcPr>
          <w:p w14:paraId="45652501" w14:textId="77777777" w:rsidR="003E0201" w:rsidRPr="003E0201" w:rsidRDefault="003E0201" w:rsidP="003E0201">
            <w:pPr>
              <w:spacing w:line="276" w:lineRule="auto"/>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Pouches per pack</w:t>
            </w:r>
          </w:p>
        </w:tc>
        <w:tc>
          <w:tcPr>
            <w:tcW w:w="1371" w:type="pct"/>
          </w:tcPr>
          <w:p w14:paraId="54495E52" w14:textId="77777777" w:rsidR="003E0201" w:rsidRPr="003E0201" w:rsidRDefault="003E0201" w:rsidP="003E0201">
            <w:pPr>
              <w:spacing w:line="276" w:lineRule="auto"/>
              <w:jc w:val="center"/>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6</w:t>
            </w:r>
          </w:p>
        </w:tc>
        <w:tc>
          <w:tcPr>
            <w:tcW w:w="1666" w:type="pct"/>
          </w:tcPr>
          <w:p w14:paraId="1DB44A28" w14:textId="77777777" w:rsidR="003E0201" w:rsidRPr="003E0201" w:rsidRDefault="003E0201" w:rsidP="003E0201">
            <w:pPr>
              <w:spacing w:line="276" w:lineRule="auto"/>
              <w:jc w:val="center"/>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6</w:t>
            </w:r>
          </w:p>
        </w:tc>
      </w:tr>
      <w:tr w:rsidR="003E0201" w:rsidRPr="003E0201" w14:paraId="2A902F67" w14:textId="77777777" w:rsidTr="003E0201">
        <w:tc>
          <w:tcPr>
            <w:tcW w:w="1964" w:type="pct"/>
            <w:vAlign w:val="center"/>
          </w:tcPr>
          <w:p w14:paraId="5ACA1E84" w14:textId="77777777" w:rsidR="003E0201" w:rsidRPr="003E0201" w:rsidRDefault="003E0201" w:rsidP="003E0201">
            <w:pPr>
              <w:spacing w:line="276" w:lineRule="auto"/>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Single dose units per pack</w:t>
            </w:r>
          </w:p>
        </w:tc>
        <w:tc>
          <w:tcPr>
            <w:tcW w:w="1371" w:type="pct"/>
          </w:tcPr>
          <w:p w14:paraId="1701A52B" w14:textId="77777777" w:rsidR="003E0201" w:rsidRPr="003E0201" w:rsidRDefault="003E0201" w:rsidP="003E0201">
            <w:pPr>
              <w:spacing w:line="276" w:lineRule="auto"/>
              <w:jc w:val="center"/>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60 [6 x 10]</w:t>
            </w:r>
          </w:p>
        </w:tc>
        <w:tc>
          <w:tcPr>
            <w:tcW w:w="1666" w:type="pct"/>
          </w:tcPr>
          <w:p w14:paraId="352A15B9" w14:textId="77777777" w:rsidR="003E0201" w:rsidRPr="003E0201" w:rsidRDefault="003E0201" w:rsidP="003E0201">
            <w:pPr>
              <w:spacing w:line="276" w:lineRule="auto"/>
              <w:jc w:val="center"/>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30 [6 x 5]</w:t>
            </w:r>
          </w:p>
        </w:tc>
      </w:tr>
      <w:tr w:rsidR="003E0201" w:rsidRPr="003E0201" w14:paraId="718E577C" w14:textId="77777777" w:rsidTr="003E0201">
        <w:tc>
          <w:tcPr>
            <w:tcW w:w="1964" w:type="pct"/>
            <w:vAlign w:val="center"/>
          </w:tcPr>
          <w:p w14:paraId="78774A0C" w14:textId="77777777" w:rsidR="003E0201" w:rsidRPr="003E0201" w:rsidDel="00DE753C" w:rsidRDefault="003E0201" w:rsidP="003E0201">
            <w:pPr>
              <w:spacing w:line="276" w:lineRule="auto"/>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Single dose units per day</w:t>
            </w:r>
          </w:p>
        </w:tc>
        <w:tc>
          <w:tcPr>
            <w:tcW w:w="1371" w:type="pct"/>
          </w:tcPr>
          <w:p w14:paraId="1360A114" w14:textId="77777777" w:rsidR="003E0201" w:rsidRPr="003E0201" w:rsidRDefault="003E0201" w:rsidP="003E0201">
            <w:pPr>
              <w:spacing w:line="276" w:lineRule="auto"/>
              <w:jc w:val="center"/>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2</w:t>
            </w:r>
          </w:p>
        </w:tc>
        <w:tc>
          <w:tcPr>
            <w:tcW w:w="1666" w:type="pct"/>
          </w:tcPr>
          <w:p w14:paraId="7D103356" w14:textId="77777777" w:rsidR="003E0201" w:rsidRPr="003E0201" w:rsidRDefault="003E0201" w:rsidP="003E0201">
            <w:pPr>
              <w:spacing w:line="276" w:lineRule="auto"/>
              <w:jc w:val="center"/>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1</w:t>
            </w:r>
          </w:p>
        </w:tc>
      </w:tr>
      <w:tr w:rsidR="003E0201" w:rsidRPr="003E0201" w14:paraId="419A2594" w14:textId="77777777" w:rsidTr="003E0201">
        <w:tc>
          <w:tcPr>
            <w:tcW w:w="1964" w:type="pct"/>
            <w:vAlign w:val="center"/>
          </w:tcPr>
          <w:p w14:paraId="7CBF29F4" w14:textId="77777777" w:rsidR="003E0201" w:rsidRPr="003E0201" w:rsidDel="00DE753C" w:rsidRDefault="003E0201" w:rsidP="003E0201">
            <w:pPr>
              <w:spacing w:line="276" w:lineRule="auto"/>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Days of treatment per pack</w:t>
            </w:r>
          </w:p>
        </w:tc>
        <w:tc>
          <w:tcPr>
            <w:tcW w:w="1371" w:type="pct"/>
          </w:tcPr>
          <w:p w14:paraId="4CB963DC" w14:textId="77777777" w:rsidR="003E0201" w:rsidRPr="003E0201" w:rsidRDefault="003E0201" w:rsidP="003E0201">
            <w:pPr>
              <w:spacing w:line="276" w:lineRule="auto"/>
              <w:jc w:val="center"/>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30 [60/2]</w:t>
            </w:r>
          </w:p>
        </w:tc>
        <w:tc>
          <w:tcPr>
            <w:tcW w:w="1666" w:type="pct"/>
          </w:tcPr>
          <w:p w14:paraId="7F38D040" w14:textId="77777777" w:rsidR="003E0201" w:rsidRPr="003E0201" w:rsidRDefault="003E0201" w:rsidP="003E0201">
            <w:pPr>
              <w:spacing w:line="276" w:lineRule="auto"/>
              <w:jc w:val="center"/>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30 [30/1]</w:t>
            </w:r>
          </w:p>
        </w:tc>
      </w:tr>
      <w:tr w:rsidR="003E0201" w:rsidRPr="003E0201" w14:paraId="15AF936E" w14:textId="77777777" w:rsidTr="00A31B65">
        <w:tc>
          <w:tcPr>
            <w:tcW w:w="5000" w:type="pct"/>
            <w:gridSpan w:val="3"/>
            <w:shd w:val="clear" w:color="auto" w:fill="F2F2F2" w:themeFill="background1" w:themeFillShade="F2"/>
            <w:vAlign w:val="center"/>
          </w:tcPr>
          <w:p w14:paraId="51A08232" w14:textId="77777777" w:rsidR="003E0201" w:rsidRPr="003E0201" w:rsidRDefault="003E0201" w:rsidP="003E0201">
            <w:pPr>
              <w:spacing w:line="276" w:lineRule="auto"/>
              <w:jc w:val="left"/>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Cost of treatment per prescription</w:t>
            </w:r>
          </w:p>
        </w:tc>
      </w:tr>
      <w:tr w:rsidR="003E0201" w:rsidRPr="003E0201" w14:paraId="4EF8E486" w14:textId="77777777" w:rsidTr="003E0201">
        <w:tc>
          <w:tcPr>
            <w:tcW w:w="1964" w:type="pct"/>
            <w:vAlign w:val="center"/>
          </w:tcPr>
          <w:p w14:paraId="0BB79F95" w14:textId="77777777" w:rsidR="003E0201" w:rsidRPr="003E0201" w:rsidRDefault="003E0201" w:rsidP="003E0201">
            <w:pPr>
              <w:spacing w:line="276" w:lineRule="auto"/>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AEMP per single dose unit</w:t>
            </w:r>
          </w:p>
        </w:tc>
        <w:tc>
          <w:tcPr>
            <w:tcW w:w="1371" w:type="pct"/>
          </w:tcPr>
          <w:p w14:paraId="1E71C895" w14:textId="77777777" w:rsidR="003E0201" w:rsidRPr="00CA74E2" w:rsidRDefault="003E0201" w:rsidP="003E0201">
            <w:pPr>
              <w:spacing w:line="276" w:lineRule="auto"/>
              <w:jc w:val="center"/>
              <w:rPr>
                <w:rFonts w:ascii="Arial Narrow" w:eastAsiaTheme="majorEastAsia" w:hAnsi="Arial Narrow" w:cstheme="majorBidi"/>
                <w:bCs/>
                <w:sz w:val="20"/>
                <w:lang w:eastAsia="en-AU"/>
              </w:rPr>
            </w:pPr>
            <w:r w:rsidRPr="00CA74E2">
              <w:rPr>
                <w:rFonts w:ascii="Arial Narrow" w:eastAsiaTheme="majorEastAsia" w:hAnsi="Arial Narrow" w:cstheme="majorBidi"/>
                <w:bCs/>
                <w:sz w:val="20"/>
                <w:lang w:eastAsia="en-AU"/>
              </w:rPr>
              <w:t>$</w:t>
            </w:r>
            <w:r w:rsidRPr="00CA74E2">
              <w:rPr>
                <w:rFonts w:ascii="Arial Narrow" w:eastAsiaTheme="majorEastAsia" w:hAnsi="Arial Narrow" w:cstheme="majorBidi"/>
                <w:bCs/>
                <w:sz w:val="20"/>
              </w:rPr>
              <w:t>1.08</w:t>
            </w:r>
            <w:r w:rsidRPr="00CA74E2">
              <w:rPr>
                <w:rFonts w:ascii="Arial Narrow" w:eastAsiaTheme="majorEastAsia" w:hAnsi="Arial Narrow" w:cstheme="majorBidi"/>
                <w:bCs/>
                <w:sz w:val="20"/>
                <w:lang w:eastAsia="en-AU"/>
              </w:rPr>
              <w:t xml:space="preserve"> [$</w:t>
            </w:r>
            <w:r w:rsidRPr="00CA74E2">
              <w:rPr>
                <w:rFonts w:ascii="Arial Narrow" w:eastAsiaTheme="majorEastAsia" w:hAnsi="Arial Narrow" w:cstheme="majorBidi"/>
                <w:bCs/>
                <w:sz w:val="20"/>
              </w:rPr>
              <w:t>65.00</w:t>
            </w:r>
            <w:r w:rsidRPr="00CA74E2">
              <w:rPr>
                <w:rFonts w:ascii="Arial Narrow" w:eastAsiaTheme="majorEastAsia" w:hAnsi="Arial Narrow" w:cstheme="majorBidi"/>
                <w:bCs/>
                <w:sz w:val="20"/>
                <w:lang w:eastAsia="en-AU"/>
              </w:rPr>
              <w:t>/60]</w:t>
            </w:r>
          </w:p>
        </w:tc>
        <w:tc>
          <w:tcPr>
            <w:tcW w:w="1666" w:type="pct"/>
          </w:tcPr>
          <w:p w14:paraId="0E28D17A" w14:textId="77777777" w:rsidR="003E0201" w:rsidRPr="00CA74E2" w:rsidRDefault="003E0201" w:rsidP="003E0201">
            <w:pPr>
              <w:spacing w:line="276" w:lineRule="auto"/>
              <w:jc w:val="center"/>
              <w:rPr>
                <w:rFonts w:ascii="Arial Narrow" w:eastAsiaTheme="majorEastAsia" w:hAnsi="Arial Narrow" w:cstheme="majorBidi"/>
                <w:bCs/>
                <w:sz w:val="20"/>
                <w:lang w:eastAsia="en-AU"/>
              </w:rPr>
            </w:pPr>
            <w:r w:rsidRPr="00CA74E2">
              <w:rPr>
                <w:rFonts w:ascii="Arial Narrow" w:eastAsiaTheme="majorEastAsia" w:hAnsi="Arial Narrow" w:cstheme="majorBidi"/>
                <w:bCs/>
                <w:sz w:val="20"/>
                <w:lang w:eastAsia="en-AU"/>
              </w:rPr>
              <w:t>$2.17 [$65.00/30]</w:t>
            </w:r>
          </w:p>
        </w:tc>
      </w:tr>
      <w:tr w:rsidR="003E0201" w:rsidRPr="003E0201" w14:paraId="64E47D36" w14:textId="77777777" w:rsidTr="003E0201">
        <w:tc>
          <w:tcPr>
            <w:tcW w:w="1964" w:type="pct"/>
            <w:vAlign w:val="center"/>
          </w:tcPr>
          <w:p w14:paraId="3D63D327" w14:textId="77777777" w:rsidR="003E0201" w:rsidRPr="003E0201" w:rsidRDefault="003E0201" w:rsidP="003E0201">
            <w:pPr>
              <w:spacing w:line="276" w:lineRule="auto"/>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AEMP per day</w:t>
            </w:r>
          </w:p>
        </w:tc>
        <w:tc>
          <w:tcPr>
            <w:tcW w:w="1371" w:type="pct"/>
          </w:tcPr>
          <w:p w14:paraId="39A85D47" w14:textId="77777777" w:rsidR="003E0201" w:rsidRPr="00CA74E2" w:rsidRDefault="003E0201" w:rsidP="003E0201">
            <w:pPr>
              <w:spacing w:line="276" w:lineRule="auto"/>
              <w:jc w:val="center"/>
              <w:rPr>
                <w:rFonts w:ascii="Arial Narrow" w:eastAsiaTheme="majorEastAsia" w:hAnsi="Arial Narrow" w:cstheme="majorBidi"/>
                <w:bCs/>
                <w:sz w:val="20"/>
                <w:lang w:eastAsia="en-AU"/>
              </w:rPr>
            </w:pPr>
            <w:r w:rsidRPr="00CA74E2">
              <w:rPr>
                <w:rFonts w:ascii="Arial Narrow" w:eastAsiaTheme="majorEastAsia" w:hAnsi="Arial Narrow" w:cstheme="majorBidi"/>
                <w:bCs/>
                <w:sz w:val="20"/>
                <w:lang w:eastAsia="en-AU"/>
              </w:rPr>
              <w:t>$</w:t>
            </w:r>
            <w:r w:rsidRPr="00CA74E2">
              <w:rPr>
                <w:rFonts w:ascii="Arial Narrow" w:eastAsiaTheme="majorEastAsia" w:hAnsi="Arial Narrow" w:cstheme="majorBidi"/>
                <w:bCs/>
                <w:sz w:val="20"/>
              </w:rPr>
              <w:t>2.17</w:t>
            </w:r>
            <w:r w:rsidRPr="00CA74E2">
              <w:rPr>
                <w:rFonts w:ascii="Arial Narrow" w:eastAsiaTheme="majorEastAsia" w:hAnsi="Arial Narrow" w:cstheme="majorBidi"/>
                <w:bCs/>
                <w:sz w:val="20"/>
                <w:lang w:eastAsia="en-AU"/>
              </w:rPr>
              <w:t xml:space="preserve"> [$</w:t>
            </w:r>
            <w:r w:rsidRPr="00CA74E2">
              <w:rPr>
                <w:rFonts w:ascii="Arial Narrow" w:eastAsiaTheme="majorEastAsia" w:hAnsi="Arial Narrow" w:cstheme="majorBidi"/>
                <w:bCs/>
                <w:sz w:val="20"/>
              </w:rPr>
              <w:t>1.08</w:t>
            </w:r>
            <w:r w:rsidRPr="00CA74E2">
              <w:rPr>
                <w:rFonts w:ascii="Arial Narrow" w:eastAsiaTheme="majorEastAsia" w:hAnsi="Arial Narrow" w:cstheme="majorBidi"/>
                <w:bCs/>
                <w:sz w:val="20"/>
                <w:lang w:eastAsia="en-AU"/>
              </w:rPr>
              <w:t xml:space="preserve"> x 2]</w:t>
            </w:r>
          </w:p>
        </w:tc>
        <w:tc>
          <w:tcPr>
            <w:tcW w:w="1666" w:type="pct"/>
          </w:tcPr>
          <w:p w14:paraId="0B0F4C08" w14:textId="77777777" w:rsidR="003E0201" w:rsidRPr="00CA74E2" w:rsidRDefault="003E0201" w:rsidP="003E0201">
            <w:pPr>
              <w:spacing w:line="276" w:lineRule="auto"/>
              <w:jc w:val="center"/>
              <w:rPr>
                <w:rFonts w:ascii="Arial Narrow" w:eastAsiaTheme="majorEastAsia" w:hAnsi="Arial Narrow" w:cstheme="majorBidi"/>
                <w:bCs/>
                <w:sz w:val="20"/>
                <w:lang w:eastAsia="en-AU"/>
              </w:rPr>
            </w:pPr>
            <w:r w:rsidRPr="00CA74E2">
              <w:rPr>
                <w:rFonts w:ascii="Arial Narrow" w:eastAsiaTheme="majorEastAsia" w:hAnsi="Arial Narrow" w:cstheme="majorBidi"/>
                <w:bCs/>
                <w:sz w:val="20"/>
                <w:lang w:eastAsia="en-AU"/>
              </w:rPr>
              <w:t>$2.17 [$2.17 x 1]</w:t>
            </w:r>
          </w:p>
        </w:tc>
      </w:tr>
      <w:tr w:rsidR="003E0201" w:rsidRPr="003E0201" w14:paraId="533E223E" w14:textId="77777777" w:rsidTr="003E0201">
        <w:tc>
          <w:tcPr>
            <w:tcW w:w="1964" w:type="pct"/>
            <w:vAlign w:val="center"/>
          </w:tcPr>
          <w:p w14:paraId="2CA46433" w14:textId="77777777" w:rsidR="003E0201" w:rsidRPr="003E0201" w:rsidRDefault="003E0201" w:rsidP="003E0201">
            <w:pPr>
              <w:spacing w:line="276" w:lineRule="auto"/>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AEMP per prescription</w:t>
            </w:r>
          </w:p>
        </w:tc>
        <w:tc>
          <w:tcPr>
            <w:tcW w:w="1371" w:type="pct"/>
          </w:tcPr>
          <w:p w14:paraId="39A4BB5D" w14:textId="77777777" w:rsidR="003E0201" w:rsidRPr="00CA74E2" w:rsidRDefault="003E0201" w:rsidP="003E0201">
            <w:pPr>
              <w:spacing w:line="276" w:lineRule="auto"/>
              <w:jc w:val="center"/>
              <w:rPr>
                <w:rFonts w:ascii="Arial Narrow" w:eastAsiaTheme="majorEastAsia" w:hAnsi="Arial Narrow" w:cstheme="majorBidi"/>
                <w:bCs/>
                <w:sz w:val="20"/>
                <w:lang w:eastAsia="en-AU"/>
              </w:rPr>
            </w:pPr>
            <w:r w:rsidRPr="00CA74E2">
              <w:rPr>
                <w:rFonts w:ascii="Arial Narrow" w:eastAsiaTheme="majorEastAsia" w:hAnsi="Arial Narrow" w:cstheme="majorBidi"/>
                <w:bCs/>
                <w:sz w:val="20"/>
                <w:lang w:eastAsia="en-AU"/>
              </w:rPr>
              <w:t>$65.00</w:t>
            </w:r>
          </w:p>
        </w:tc>
        <w:tc>
          <w:tcPr>
            <w:tcW w:w="1666" w:type="pct"/>
          </w:tcPr>
          <w:p w14:paraId="7FB4B985" w14:textId="77777777" w:rsidR="003E0201" w:rsidRPr="00CA74E2" w:rsidRDefault="003E0201" w:rsidP="003E0201">
            <w:pPr>
              <w:spacing w:line="276" w:lineRule="auto"/>
              <w:jc w:val="center"/>
              <w:rPr>
                <w:rFonts w:ascii="Arial Narrow" w:eastAsiaTheme="majorEastAsia" w:hAnsi="Arial Narrow" w:cstheme="majorBidi"/>
                <w:bCs/>
                <w:sz w:val="20"/>
                <w:lang w:eastAsia="en-AU"/>
              </w:rPr>
            </w:pPr>
            <w:r w:rsidRPr="00CA74E2">
              <w:rPr>
                <w:rFonts w:ascii="Arial Narrow" w:eastAsiaTheme="majorEastAsia" w:hAnsi="Arial Narrow" w:cstheme="majorBidi"/>
                <w:bCs/>
                <w:sz w:val="20"/>
                <w:lang w:eastAsia="en-AU"/>
              </w:rPr>
              <w:t>$65.00</w:t>
            </w:r>
          </w:p>
        </w:tc>
      </w:tr>
      <w:tr w:rsidR="003E0201" w:rsidRPr="003E0201" w14:paraId="293E5589" w14:textId="77777777" w:rsidTr="003E0201">
        <w:tc>
          <w:tcPr>
            <w:tcW w:w="1964" w:type="pct"/>
            <w:vAlign w:val="center"/>
          </w:tcPr>
          <w:p w14:paraId="11B49957" w14:textId="77777777" w:rsidR="003E0201" w:rsidRPr="003E0201" w:rsidRDefault="003E0201" w:rsidP="003E0201">
            <w:pPr>
              <w:spacing w:line="276" w:lineRule="auto"/>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Difference in cost of treatment</w:t>
            </w:r>
          </w:p>
        </w:tc>
        <w:tc>
          <w:tcPr>
            <w:tcW w:w="3036" w:type="pct"/>
            <w:gridSpan w:val="2"/>
          </w:tcPr>
          <w:p w14:paraId="586B58E6" w14:textId="77777777" w:rsidR="003E0201" w:rsidRPr="003E0201" w:rsidRDefault="003E0201" w:rsidP="003E0201">
            <w:pPr>
              <w:spacing w:line="276" w:lineRule="auto"/>
              <w:jc w:val="center"/>
              <w:rPr>
                <w:rFonts w:ascii="Arial Narrow" w:eastAsiaTheme="majorEastAsia" w:hAnsi="Arial Narrow" w:cstheme="majorBidi"/>
                <w:bCs/>
                <w:sz w:val="20"/>
                <w:lang w:eastAsia="en-AU"/>
              </w:rPr>
            </w:pPr>
            <w:r w:rsidRPr="003E0201">
              <w:rPr>
                <w:rFonts w:ascii="Arial Narrow" w:eastAsiaTheme="majorEastAsia" w:hAnsi="Arial Narrow" w:cstheme="majorBidi"/>
                <w:bCs/>
                <w:sz w:val="20"/>
                <w:lang w:eastAsia="en-AU"/>
              </w:rPr>
              <w:t>$0.00</w:t>
            </w:r>
          </w:p>
        </w:tc>
      </w:tr>
    </w:tbl>
    <w:bookmarkEnd w:id="40"/>
    <w:p w14:paraId="0ADF3F28" w14:textId="7F708895" w:rsidR="003E0201" w:rsidRDefault="003E0201" w:rsidP="003E0201">
      <w:pPr>
        <w:spacing w:after="120"/>
        <w:contextualSpacing/>
        <w:rPr>
          <w:rFonts w:ascii="Arial Narrow" w:hAnsi="Arial Narrow"/>
          <w:snapToGrid w:val="0"/>
          <w:sz w:val="18"/>
          <w:szCs w:val="22"/>
        </w:rPr>
      </w:pPr>
      <w:r w:rsidRPr="003E0201">
        <w:rPr>
          <w:rFonts w:ascii="Arial Narrow" w:hAnsi="Arial Narrow"/>
          <w:snapToGrid w:val="0"/>
          <w:sz w:val="18"/>
          <w:szCs w:val="22"/>
        </w:rPr>
        <w:t>Source: Table 3.</w:t>
      </w:r>
      <w:r>
        <w:rPr>
          <w:rFonts w:ascii="Arial Narrow" w:hAnsi="Arial Narrow"/>
          <w:snapToGrid w:val="0"/>
          <w:sz w:val="18"/>
          <w:szCs w:val="22"/>
        </w:rPr>
        <w:t>3</w:t>
      </w:r>
      <w:r w:rsidRPr="003E0201">
        <w:rPr>
          <w:rFonts w:ascii="Arial Narrow" w:hAnsi="Arial Narrow"/>
          <w:snapToGrid w:val="0"/>
          <w:sz w:val="18"/>
          <w:szCs w:val="22"/>
        </w:rPr>
        <w:t>-</w:t>
      </w:r>
      <w:r>
        <w:rPr>
          <w:rFonts w:ascii="Arial Narrow" w:hAnsi="Arial Narrow"/>
          <w:snapToGrid w:val="0"/>
          <w:sz w:val="18"/>
          <w:szCs w:val="22"/>
        </w:rPr>
        <w:t>2</w:t>
      </w:r>
      <w:r w:rsidRPr="003E0201">
        <w:rPr>
          <w:rFonts w:ascii="Arial Narrow" w:hAnsi="Arial Narrow"/>
          <w:snapToGrid w:val="0"/>
          <w:sz w:val="18"/>
          <w:szCs w:val="22"/>
        </w:rPr>
        <w:t>, p16</w:t>
      </w:r>
      <w:r>
        <w:rPr>
          <w:rFonts w:ascii="Arial Narrow" w:hAnsi="Arial Narrow"/>
          <w:snapToGrid w:val="0"/>
          <w:sz w:val="18"/>
          <w:szCs w:val="22"/>
        </w:rPr>
        <w:t>4</w:t>
      </w:r>
      <w:r w:rsidRPr="003E0201">
        <w:rPr>
          <w:rFonts w:ascii="Arial Narrow" w:hAnsi="Arial Narrow"/>
          <w:snapToGrid w:val="0"/>
          <w:sz w:val="18"/>
          <w:szCs w:val="22"/>
        </w:rPr>
        <w:t xml:space="preserve"> of the submission.</w:t>
      </w:r>
    </w:p>
    <w:p w14:paraId="3EC1858B" w14:textId="3152EAFA" w:rsidR="003E0201" w:rsidRPr="003E0201" w:rsidRDefault="003E0201" w:rsidP="003E0201">
      <w:pPr>
        <w:spacing w:after="120"/>
        <w:contextualSpacing/>
        <w:rPr>
          <w:rFonts w:ascii="Arial Narrow" w:hAnsi="Arial Narrow"/>
          <w:snapToGrid w:val="0"/>
          <w:sz w:val="18"/>
          <w:szCs w:val="22"/>
        </w:rPr>
      </w:pPr>
      <w:r>
        <w:rPr>
          <w:rFonts w:ascii="Arial Narrow" w:hAnsi="Arial Narrow"/>
          <w:snapToGrid w:val="0"/>
          <w:sz w:val="18"/>
          <w:szCs w:val="22"/>
        </w:rPr>
        <w:t>AEMP=</w:t>
      </w:r>
      <w:r w:rsidRPr="003E0201">
        <w:rPr>
          <w:rFonts w:ascii="Arial Narrow" w:hAnsi="Arial Narrow"/>
          <w:snapToGrid w:val="0"/>
          <w:sz w:val="18"/>
          <w:szCs w:val="22"/>
        </w:rPr>
        <w:t xml:space="preserve"> approved ex-manufacturer price</w:t>
      </w:r>
    </w:p>
    <w:p w14:paraId="472842D7" w14:textId="3A3470AD" w:rsidR="00C25D9C" w:rsidRPr="0002798F" w:rsidRDefault="00C25D9C" w:rsidP="00BB732D">
      <w:pPr>
        <w:pStyle w:val="4-SubsectionHeading"/>
      </w:pPr>
      <w:bookmarkStart w:id="41" w:name="_Toc93316688"/>
      <w:r w:rsidRPr="0002798F">
        <w:t>Drug</w:t>
      </w:r>
      <w:r w:rsidR="00C61A7F" w:rsidRPr="0002798F">
        <w:t xml:space="preserve"> </w:t>
      </w:r>
      <w:r w:rsidRPr="0002798F">
        <w:t>cost/patient/year</w:t>
      </w:r>
      <w:bookmarkEnd w:id="39"/>
      <w:bookmarkEnd w:id="41"/>
    </w:p>
    <w:p w14:paraId="1793E68A" w14:textId="6D90A83B" w:rsidR="007335BB" w:rsidRPr="008702A0" w:rsidRDefault="00712F06" w:rsidP="00713290">
      <w:pPr>
        <w:pStyle w:val="3-BodyText"/>
      </w:pPr>
      <w:r w:rsidRPr="008702A0">
        <w:t xml:space="preserve">The total cost per patient per year </w:t>
      </w:r>
      <w:r w:rsidR="008702A0" w:rsidRPr="008702A0">
        <w:t xml:space="preserve">based on </w:t>
      </w:r>
      <w:r w:rsidRPr="008702A0">
        <w:t>12.1</w:t>
      </w:r>
      <w:r w:rsidR="00A90DEE">
        <w:t>8</w:t>
      </w:r>
      <w:r w:rsidRPr="008702A0">
        <w:t xml:space="preserve"> scripts per year is </w:t>
      </w:r>
      <w:r w:rsidRPr="00CA74E2">
        <w:t>$9</w:t>
      </w:r>
      <w:r w:rsidR="00F50F1D" w:rsidRPr="00CA74E2">
        <w:t>90</w:t>
      </w:r>
      <w:r w:rsidRPr="00CA74E2">
        <w:t>.</w:t>
      </w:r>
      <w:r w:rsidR="00F50F1D" w:rsidRPr="00CA74E2">
        <w:t>20</w:t>
      </w:r>
      <w:r w:rsidR="008702A0" w:rsidRPr="008702A0">
        <w:t xml:space="preserve"> (calculated using DPMQ)</w:t>
      </w:r>
      <w:r w:rsidRPr="008702A0">
        <w:t>.</w:t>
      </w:r>
      <w:bookmarkStart w:id="42" w:name="_Toc22897647"/>
    </w:p>
    <w:p w14:paraId="268768EF" w14:textId="4B4015B0" w:rsidR="00B60939" w:rsidRPr="0002798F" w:rsidRDefault="00B60939" w:rsidP="00F53A11">
      <w:pPr>
        <w:pStyle w:val="4-SubsectionHeading"/>
      </w:pPr>
      <w:bookmarkStart w:id="43" w:name="_Toc93316689"/>
      <w:r w:rsidRPr="0002798F">
        <w:t>Estimated PBS usage &amp; financial implications</w:t>
      </w:r>
      <w:bookmarkEnd w:id="42"/>
      <w:bookmarkEnd w:id="43"/>
    </w:p>
    <w:p w14:paraId="12C057BB" w14:textId="1A28D431" w:rsidR="007335BB" w:rsidRDefault="00C25D9C" w:rsidP="002B05A1">
      <w:pPr>
        <w:pStyle w:val="3-BodyText"/>
        <w:rPr>
          <w:color w:val="0070C0"/>
        </w:rPr>
      </w:pPr>
      <w:r w:rsidRPr="0002798F">
        <w:t xml:space="preserve">This submission </w:t>
      </w:r>
      <w:r w:rsidR="0036519E">
        <w:t>was</w:t>
      </w:r>
      <w:r w:rsidR="0036519E" w:rsidRPr="0002798F">
        <w:t xml:space="preserve"> </w:t>
      </w:r>
      <w:r w:rsidRPr="0002798F">
        <w:t xml:space="preserve">not considered by </w:t>
      </w:r>
      <w:r w:rsidR="0036519E">
        <w:t xml:space="preserve">the </w:t>
      </w:r>
      <w:r w:rsidR="0036519E" w:rsidRPr="0002798F">
        <w:t>D</w:t>
      </w:r>
      <w:r w:rsidR="0036519E">
        <w:t>rug Utilisation Sub-Committee</w:t>
      </w:r>
      <w:r w:rsidRPr="0002798F">
        <w:rPr>
          <w:color w:val="0070C0"/>
        </w:rPr>
        <w:t>.</w:t>
      </w:r>
    </w:p>
    <w:p w14:paraId="77F25767" w14:textId="2B612741" w:rsidR="007335BB" w:rsidRDefault="00837FA8" w:rsidP="004B0474">
      <w:pPr>
        <w:pStyle w:val="3-BodyText"/>
      </w:pPr>
      <w:r w:rsidRPr="0002798F">
        <w:t>The submission used an epidemiological approach to estimate use</w:t>
      </w:r>
      <w:r w:rsidR="000520D4" w:rsidRPr="0002798F">
        <w:t>. The key inputs</w:t>
      </w:r>
      <w:r w:rsidRPr="0002798F">
        <w:t xml:space="preserve"> </w:t>
      </w:r>
      <w:r w:rsidR="0036519E">
        <w:t>we</w:t>
      </w:r>
      <w:r w:rsidR="000520D4" w:rsidRPr="0002798F">
        <w:t xml:space="preserve">re the same as </w:t>
      </w:r>
      <w:r w:rsidR="0076083F">
        <w:t>those</w:t>
      </w:r>
      <w:r w:rsidR="000520D4" w:rsidRPr="0002798F">
        <w:t xml:space="preserve"> </w:t>
      </w:r>
      <w:r w:rsidRPr="0002798F">
        <w:t>from the</w:t>
      </w:r>
      <w:r w:rsidR="000520D4" w:rsidRPr="0002798F">
        <w:t xml:space="preserve"> March 2021</w:t>
      </w:r>
      <w:r w:rsidRPr="0002798F">
        <w:t xml:space="preserve"> PSD for 0.1</w:t>
      </w:r>
      <w:r w:rsidR="007335BB">
        <w:t xml:space="preserve">% </w:t>
      </w:r>
      <w:proofErr w:type="spellStart"/>
      <w:r w:rsidR="007335BB">
        <w:t>C</w:t>
      </w:r>
      <w:r w:rsidRPr="0002798F">
        <w:t>sA</w:t>
      </w:r>
      <w:proofErr w:type="spellEnd"/>
      <w:r w:rsidR="000520D4" w:rsidRPr="0002798F">
        <w:t xml:space="preserve"> (see </w:t>
      </w:r>
      <w:r w:rsidR="003C46A5">
        <w:t xml:space="preserve">the </w:t>
      </w:r>
      <w:r w:rsidR="000520D4" w:rsidRPr="0002798F">
        <w:t>Table below)</w:t>
      </w:r>
      <w:r w:rsidRPr="0002798F">
        <w:t xml:space="preserve">. </w:t>
      </w:r>
      <w:r w:rsidR="000520D4" w:rsidRPr="0002798F">
        <w:t xml:space="preserve">The </w:t>
      </w:r>
      <w:r w:rsidR="0076083F">
        <w:t>submission</w:t>
      </w:r>
      <w:r w:rsidR="00F53A11" w:rsidRPr="0002798F">
        <w:t xml:space="preserve"> assumed that by year 6 of listing </w:t>
      </w:r>
      <w:r w:rsidR="00D31D0E" w:rsidRPr="0002798F">
        <w:t>0.09</w:t>
      </w:r>
      <w:r w:rsidR="007335BB">
        <w:t>% O</w:t>
      </w:r>
      <w:r w:rsidR="00D31D0E" w:rsidRPr="0002798F">
        <w:t>TX-101</w:t>
      </w:r>
      <w:r w:rsidR="00F53A11" w:rsidRPr="0002798F">
        <w:t xml:space="preserve"> would have 50% of the market</w:t>
      </w:r>
      <w:r w:rsidR="0036519E">
        <w:t xml:space="preserve"> share</w:t>
      </w:r>
      <w:r w:rsidR="00F53A11" w:rsidRPr="0002798F">
        <w:t>.</w:t>
      </w:r>
    </w:p>
    <w:p w14:paraId="71DAD1A0" w14:textId="75D51BAB" w:rsidR="001811EC" w:rsidRDefault="001811EC" w:rsidP="001811EC">
      <w:pPr>
        <w:pStyle w:val="TableFigureHeading"/>
      </w:pPr>
      <w:r>
        <w:lastRenderedPageBreak/>
        <w:t xml:space="preserve">Table </w:t>
      </w:r>
      <w:fldSimple w:instr=" SEQ Table \* ARABIC ">
        <w:r>
          <w:rPr>
            <w:noProof/>
          </w:rPr>
          <w:t>1</w:t>
        </w:r>
        <w:r w:rsidR="00E671C9">
          <w:rPr>
            <w:noProof/>
          </w:rPr>
          <w:t>3</w:t>
        </w:r>
      </w:fldSimple>
      <w:r w:rsidRPr="00004B8A">
        <w:t>: Key inputs for financial estimates</w:t>
      </w:r>
    </w:p>
    <w:tbl>
      <w:tblPr>
        <w:tblStyle w:val="TableGrid"/>
        <w:tblW w:w="5000" w:type="pct"/>
        <w:tblLook w:val="04A0" w:firstRow="1" w:lastRow="0" w:firstColumn="1" w:lastColumn="0" w:noHBand="0" w:noVBand="1"/>
        <w:tblCaption w:val="Table 12: Key inputs for financial estimates"/>
        <w:tblDescription w:val="Table 12: Key inputs for financial estimates"/>
      </w:tblPr>
      <w:tblGrid>
        <w:gridCol w:w="2734"/>
        <w:gridCol w:w="2213"/>
        <w:gridCol w:w="2350"/>
        <w:gridCol w:w="1720"/>
      </w:tblGrid>
      <w:tr w:rsidR="004D1C6C" w:rsidRPr="00325908" w14:paraId="6113F616" w14:textId="77777777" w:rsidTr="0052372A">
        <w:trPr>
          <w:tblHeader/>
        </w:trPr>
        <w:tc>
          <w:tcPr>
            <w:tcW w:w="1516" w:type="pct"/>
            <w:shd w:val="clear" w:color="auto" w:fill="auto"/>
            <w:vAlign w:val="center"/>
          </w:tcPr>
          <w:p w14:paraId="4ED08734" w14:textId="77777777" w:rsidR="004D1C6C" w:rsidRPr="00325908" w:rsidRDefault="004D1C6C" w:rsidP="0051425F">
            <w:pPr>
              <w:pStyle w:val="In-tableHeading"/>
              <w:rPr>
                <w:b w:val="0"/>
                <w:lang w:val="en-AU"/>
              </w:rPr>
            </w:pPr>
          </w:p>
        </w:tc>
        <w:tc>
          <w:tcPr>
            <w:tcW w:w="1227" w:type="pct"/>
            <w:shd w:val="clear" w:color="auto" w:fill="auto"/>
            <w:vAlign w:val="center"/>
          </w:tcPr>
          <w:p w14:paraId="30DFAB3C" w14:textId="77777777" w:rsidR="004D1C6C" w:rsidRPr="0052372A" w:rsidRDefault="004D1C6C" w:rsidP="0052372A">
            <w:pPr>
              <w:pStyle w:val="In-tableHeading"/>
            </w:pPr>
            <w:r w:rsidRPr="0052372A">
              <w:t>Value</w:t>
            </w:r>
          </w:p>
        </w:tc>
        <w:tc>
          <w:tcPr>
            <w:tcW w:w="1303" w:type="pct"/>
            <w:shd w:val="clear" w:color="auto" w:fill="auto"/>
            <w:vAlign w:val="center"/>
          </w:tcPr>
          <w:p w14:paraId="0FB8F25E" w14:textId="77777777" w:rsidR="004D1C6C" w:rsidRPr="0052372A" w:rsidRDefault="004D1C6C" w:rsidP="0052372A">
            <w:pPr>
              <w:pStyle w:val="In-tableHeading"/>
            </w:pPr>
            <w:r w:rsidRPr="0052372A">
              <w:t>Source</w:t>
            </w:r>
          </w:p>
        </w:tc>
        <w:tc>
          <w:tcPr>
            <w:tcW w:w="954" w:type="pct"/>
            <w:shd w:val="clear" w:color="auto" w:fill="auto"/>
          </w:tcPr>
          <w:p w14:paraId="4536C442" w14:textId="77777777" w:rsidR="004D1C6C" w:rsidRPr="0052372A" w:rsidRDefault="004D1C6C" w:rsidP="0052372A">
            <w:pPr>
              <w:pStyle w:val="In-tableHeading"/>
            </w:pPr>
            <w:r w:rsidRPr="0052372A">
              <w:t>Comments</w:t>
            </w:r>
          </w:p>
        </w:tc>
      </w:tr>
      <w:tr w:rsidR="00847057" w:rsidRPr="0002798F" w14:paraId="27BD183E" w14:textId="77777777" w:rsidTr="0052372A">
        <w:trPr>
          <w:trHeight w:val="238"/>
        </w:trPr>
        <w:tc>
          <w:tcPr>
            <w:tcW w:w="5000" w:type="pct"/>
            <w:gridSpan w:val="4"/>
            <w:shd w:val="clear" w:color="auto" w:fill="auto"/>
            <w:vAlign w:val="center"/>
          </w:tcPr>
          <w:p w14:paraId="55A14ABD" w14:textId="5CAB8C2A" w:rsidR="00847057" w:rsidRPr="0002798F" w:rsidRDefault="00847057" w:rsidP="0052372A">
            <w:pPr>
              <w:pStyle w:val="In-tableHeading"/>
              <w:rPr>
                <w:i/>
                <w:iCs/>
              </w:rPr>
            </w:pPr>
            <w:r w:rsidRPr="0002798F">
              <w:t>Epidemiology</w:t>
            </w:r>
          </w:p>
        </w:tc>
      </w:tr>
      <w:tr w:rsidR="004D1C6C" w:rsidRPr="00325908" w14:paraId="6094B359" w14:textId="77777777" w:rsidTr="0052372A">
        <w:trPr>
          <w:trHeight w:val="238"/>
        </w:trPr>
        <w:tc>
          <w:tcPr>
            <w:tcW w:w="1516" w:type="pct"/>
            <w:shd w:val="clear" w:color="auto" w:fill="auto"/>
            <w:vAlign w:val="center"/>
          </w:tcPr>
          <w:p w14:paraId="1C57C55D" w14:textId="77777777" w:rsidR="004D1C6C" w:rsidRPr="00325908" w:rsidRDefault="004D1C6C" w:rsidP="0051425F">
            <w:pPr>
              <w:pStyle w:val="Tabletext"/>
              <w:keepNext/>
              <w:rPr>
                <w:rFonts w:eastAsiaTheme="majorEastAsia"/>
              </w:rPr>
            </w:pPr>
            <w:r w:rsidRPr="00325908">
              <w:rPr>
                <w:rFonts w:eastAsiaTheme="majorEastAsia"/>
              </w:rPr>
              <w:t xml:space="preserve">Australian population aged 18-39 years </w:t>
            </w:r>
          </w:p>
        </w:tc>
        <w:tc>
          <w:tcPr>
            <w:tcW w:w="1227" w:type="pct"/>
            <w:shd w:val="clear" w:color="auto" w:fill="auto"/>
            <w:vAlign w:val="center"/>
          </w:tcPr>
          <w:p w14:paraId="6E3B3528" w14:textId="77777777" w:rsidR="004D1C6C" w:rsidRPr="00325908" w:rsidRDefault="004D1C6C" w:rsidP="0051425F">
            <w:pPr>
              <w:pStyle w:val="Tabletext"/>
              <w:keepNext/>
              <w:rPr>
                <w:rFonts w:eastAsiaTheme="majorEastAsia"/>
              </w:rPr>
            </w:pPr>
            <w:r w:rsidRPr="00325908">
              <w:rPr>
                <w:rFonts w:eastAsiaTheme="majorEastAsia"/>
              </w:rPr>
              <w:t>2022: 8,372,889</w:t>
            </w:r>
          </w:p>
          <w:p w14:paraId="70733E75" w14:textId="77777777" w:rsidR="004D1C6C" w:rsidRPr="00325908" w:rsidRDefault="004D1C6C" w:rsidP="0051425F">
            <w:pPr>
              <w:pStyle w:val="Tabletext"/>
              <w:keepNext/>
              <w:rPr>
                <w:rFonts w:eastAsiaTheme="majorEastAsia"/>
              </w:rPr>
            </w:pPr>
            <w:r w:rsidRPr="00325908">
              <w:rPr>
                <w:rFonts w:eastAsiaTheme="majorEastAsia"/>
              </w:rPr>
              <w:t>2023: 8,475,114</w:t>
            </w:r>
          </w:p>
          <w:p w14:paraId="10300352" w14:textId="77777777" w:rsidR="004D1C6C" w:rsidRPr="00325908" w:rsidRDefault="004D1C6C" w:rsidP="0051425F">
            <w:pPr>
              <w:pStyle w:val="Tabletext"/>
              <w:keepNext/>
              <w:rPr>
                <w:rFonts w:eastAsiaTheme="majorEastAsia"/>
              </w:rPr>
            </w:pPr>
            <w:r w:rsidRPr="00325908">
              <w:rPr>
                <w:rFonts w:eastAsiaTheme="majorEastAsia"/>
              </w:rPr>
              <w:t>2024: 8,579,615</w:t>
            </w:r>
          </w:p>
          <w:p w14:paraId="1CFC1B29" w14:textId="77777777" w:rsidR="004D1C6C" w:rsidRPr="00325908" w:rsidRDefault="004D1C6C" w:rsidP="0051425F">
            <w:pPr>
              <w:pStyle w:val="Tabletext"/>
              <w:keepNext/>
              <w:rPr>
                <w:rFonts w:eastAsiaTheme="majorEastAsia"/>
              </w:rPr>
            </w:pPr>
            <w:r w:rsidRPr="00325908">
              <w:rPr>
                <w:rFonts w:eastAsiaTheme="majorEastAsia"/>
              </w:rPr>
              <w:t>2025: 8,686,587</w:t>
            </w:r>
          </w:p>
          <w:p w14:paraId="0EAABA7B" w14:textId="77777777" w:rsidR="004D1C6C" w:rsidRPr="00325908" w:rsidRDefault="004D1C6C" w:rsidP="0051425F">
            <w:pPr>
              <w:pStyle w:val="Tabletext"/>
              <w:keepNext/>
              <w:rPr>
                <w:rFonts w:eastAsiaTheme="majorEastAsia"/>
              </w:rPr>
            </w:pPr>
            <w:r w:rsidRPr="00325908">
              <w:rPr>
                <w:rFonts w:eastAsiaTheme="majorEastAsia"/>
              </w:rPr>
              <w:t>2026: 8,785,822</w:t>
            </w:r>
          </w:p>
          <w:p w14:paraId="46C0B835" w14:textId="77777777" w:rsidR="004D1C6C" w:rsidRPr="00325908" w:rsidRDefault="004D1C6C" w:rsidP="0051425F">
            <w:pPr>
              <w:pStyle w:val="Tabletext"/>
              <w:keepNext/>
              <w:rPr>
                <w:rFonts w:eastAsiaTheme="majorEastAsia"/>
              </w:rPr>
            </w:pPr>
            <w:r w:rsidRPr="00325908">
              <w:rPr>
                <w:rFonts w:eastAsiaTheme="majorEastAsia"/>
              </w:rPr>
              <w:t>2027: 8,880,538</w:t>
            </w:r>
          </w:p>
        </w:tc>
        <w:tc>
          <w:tcPr>
            <w:tcW w:w="1303" w:type="pct"/>
            <w:shd w:val="clear" w:color="auto" w:fill="auto"/>
            <w:vAlign w:val="center"/>
          </w:tcPr>
          <w:p w14:paraId="6A679395" w14:textId="77777777" w:rsidR="004D1C6C" w:rsidRPr="00325908" w:rsidRDefault="004D1C6C" w:rsidP="0051425F">
            <w:pPr>
              <w:pStyle w:val="Tabletext"/>
              <w:keepNext/>
              <w:rPr>
                <w:rFonts w:eastAsiaTheme="majorEastAsia"/>
              </w:rPr>
            </w:pPr>
            <w:proofErr w:type="spellStart"/>
            <w:r w:rsidRPr="00325908">
              <w:rPr>
                <w:rFonts w:eastAsiaTheme="majorEastAsia"/>
              </w:rPr>
              <w:t>DoH</w:t>
            </w:r>
            <w:proofErr w:type="spellEnd"/>
            <w:r w:rsidRPr="00325908">
              <w:rPr>
                <w:rFonts w:eastAsiaTheme="majorEastAsia"/>
              </w:rPr>
              <w:t xml:space="preserve"> utilisation and cost model workbook</w:t>
            </w:r>
          </w:p>
        </w:tc>
        <w:tc>
          <w:tcPr>
            <w:tcW w:w="954" w:type="pct"/>
            <w:shd w:val="clear" w:color="auto" w:fill="auto"/>
            <w:vAlign w:val="center"/>
          </w:tcPr>
          <w:p w14:paraId="22959C2A" w14:textId="31002905" w:rsidR="004D1C6C" w:rsidRPr="00325908" w:rsidRDefault="00847057" w:rsidP="0051425F">
            <w:pPr>
              <w:pStyle w:val="Tabletext"/>
              <w:keepNext/>
              <w:jc w:val="center"/>
              <w:rPr>
                <w:rFonts w:eastAsiaTheme="majorEastAsia"/>
                <w:iCs/>
              </w:rPr>
            </w:pPr>
            <w:r w:rsidRPr="00325908">
              <w:rPr>
                <w:rFonts w:eastAsiaTheme="majorEastAsia"/>
                <w:iCs/>
              </w:rPr>
              <w:t>-</w:t>
            </w:r>
          </w:p>
        </w:tc>
      </w:tr>
      <w:tr w:rsidR="004D1C6C" w:rsidRPr="00325908" w14:paraId="775EC1A6" w14:textId="77777777" w:rsidTr="0052372A">
        <w:trPr>
          <w:trHeight w:val="238"/>
        </w:trPr>
        <w:tc>
          <w:tcPr>
            <w:tcW w:w="1516" w:type="pct"/>
            <w:shd w:val="clear" w:color="auto" w:fill="auto"/>
            <w:vAlign w:val="center"/>
          </w:tcPr>
          <w:p w14:paraId="43B15119" w14:textId="77777777" w:rsidR="004D1C6C" w:rsidRPr="00325908" w:rsidRDefault="004D1C6C" w:rsidP="0051425F">
            <w:pPr>
              <w:pStyle w:val="Tabletext"/>
              <w:keepNext/>
              <w:rPr>
                <w:rFonts w:eastAsiaTheme="majorEastAsia"/>
              </w:rPr>
            </w:pPr>
            <w:r w:rsidRPr="00325908">
              <w:rPr>
                <w:rFonts w:eastAsiaTheme="majorEastAsia"/>
              </w:rPr>
              <w:t>Australian population aged 40+ years</w:t>
            </w:r>
          </w:p>
        </w:tc>
        <w:tc>
          <w:tcPr>
            <w:tcW w:w="1227" w:type="pct"/>
            <w:shd w:val="clear" w:color="auto" w:fill="auto"/>
            <w:vAlign w:val="center"/>
          </w:tcPr>
          <w:p w14:paraId="0480F7EA" w14:textId="77777777" w:rsidR="004D1C6C" w:rsidRPr="00325908" w:rsidRDefault="004D1C6C" w:rsidP="0051425F">
            <w:pPr>
              <w:pStyle w:val="Tabletext"/>
              <w:keepNext/>
              <w:rPr>
                <w:rFonts w:eastAsiaTheme="majorEastAsia"/>
              </w:rPr>
            </w:pPr>
            <w:r w:rsidRPr="00325908">
              <w:rPr>
                <w:rFonts w:eastAsiaTheme="majorEastAsia"/>
              </w:rPr>
              <w:t>2022: 12,385,028</w:t>
            </w:r>
          </w:p>
          <w:p w14:paraId="62B37897" w14:textId="77777777" w:rsidR="004D1C6C" w:rsidRPr="00325908" w:rsidRDefault="004D1C6C" w:rsidP="0051425F">
            <w:pPr>
              <w:pStyle w:val="Tabletext"/>
              <w:keepNext/>
              <w:rPr>
                <w:rFonts w:eastAsiaTheme="majorEastAsia"/>
              </w:rPr>
            </w:pPr>
            <w:r w:rsidRPr="00325908">
              <w:rPr>
                <w:rFonts w:eastAsiaTheme="majorEastAsia"/>
              </w:rPr>
              <w:t>2023: 12,607,357</w:t>
            </w:r>
          </w:p>
          <w:p w14:paraId="1A26159F" w14:textId="77777777" w:rsidR="004D1C6C" w:rsidRPr="00325908" w:rsidRDefault="004D1C6C" w:rsidP="0051425F">
            <w:pPr>
              <w:pStyle w:val="Tabletext"/>
              <w:keepNext/>
              <w:rPr>
                <w:rFonts w:eastAsiaTheme="majorEastAsia"/>
              </w:rPr>
            </w:pPr>
            <w:r w:rsidRPr="00325908">
              <w:rPr>
                <w:rFonts w:eastAsiaTheme="majorEastAsia"/>
              </w:rPr>
              <w:t>2024: 12,832,237</w:t>
            </w:r>
          </w:p>
          <w:p w14:paraId="4218234B" w14:textId="77777777" w:rsidR="004D1C6C" w:rsidRPr="00325908" w:rsidRDefault="004D1C6C" w:rsidP="0051425F">
            <w:pPr>
              <w:pStyle w:val="Tabletext"/>
              <w:keepNext/>
              <w:rPr>
                <w:rFonts w:eastAsiaTheme="majorEastAsia"/>
              </w:rPr>
            </w:pPr>
            <w:r w:rsidRPr="00325908">
              <w:rPr>
                <w:rFonts w:eastAsiaTheme="majorEastAsia"/>
              </w:rPr>
              <w:t>2025: 13,057,915</w:t>
            </w:r>
          </w:p>
          <w:p w14:paraId="27100CA5" w14:textId="6A3A5ACA" w:rsidR="007335BB" w:rsidRPr="00325908" w:rsidRDefault="004D1C6C" w:rsidP="0051425F">
            <w:pPr>
              <w:pStyle w:val="Tabletext"/>
              <w:keepNext/>
              <w:rPr>
                <w:rFonts w:eastAsiaTheme="majorEastAsia"/>
              </w:rPr>
            </w:pPr>
            <w:r w:rsidRPr="00325908">
              <w:rPr>
                <w:rFonts w:eastAsiaTheme="majorEastAsia"/>
              </w:rPr>
              <w:t>2026: 13,287,398</w:t>
            </w:r>
          </w:p>
          <w:p w14:paraId="58DCE0FC" w14:textId="77777777" w:rsidR="004D1C6C" w:rsidRPr="00325908" w:rsidRDefault="004D1C6C" w:rsidP="0051425F">
            <w:pPr>
              <w:pStyle w:val="Tabletext"/>
              <w:keepNext/>
              <w:rPr>
                <w:rFonts w:eastAsiaTheme="majorEastAsia"/>
              </w:rPr>
            </w:pPr>
            <w:r w:rsidRPr="00325908">
              <w:rPr>
                <w:rFonts w:eastAsiaTheme="majorEastAsia"/>
              </w:rPr>
              <w:t>2027: 13,512,563</w:t>
            </w:r>
          </w:p>
        </w:tc>
        <w:tc>
          <w:tcPr>
            <w:tcW w:w="1303" w:type="pct"/>
            <w:shd w:val="clear" w:color="auto" w:fill="auto"/>
            <w:vAlign w:val="center"/>
          </w:tcPr>
          <w:p w14:paraId="2CAFFF69" w14:textId="77777777" w:rsidR="004D1C6C" w:rsidRPr="00325908" w:rsidRDefault="004D1C6C" w:rsidP="0051425F">
            <w:pPr>
              <w:pStyle w:val="Tabletext"/>
              <w:keepNext/>
              <w:rPr>
                <w:rFonts w:eastAsiaTheme="majorEastAsia"/>
              </w:rPr>
            </w:pPr>
            <w:proofErr w:type="spellStart"/>
            <w:r w:rsidRPr="00325908">
              <w:rPr>
                <w:rFonts w:eastAsiaTheme="majorEastAsia"/>
              </w:rPr>
              <w:t>DoH</w:t>
            </w:r>
            <w:proofErr w:type="spellEnd"/>
            <w:r w:rsidRPr="00325908">
              <w:rPr>
                <w:rFonts w:eastAsiaTheme="majorEastAsia"/>
              </w:rPr>
              <w:t xml:space="preserve"> utilisation and cost model workbook</w:t>
            </w:r>
          </w:p>
        </w:tc>
        <w:tc>
          <w:tcPr>
            <w:tcW w:w="954" w:type="pct"/>
            <w:shd w:val="clear" w:color="auto" w:fill="auto"/>
            <w:vAlign w:val="center"/>
          </w:tcPr>
          <w:p w14:paraId="76E62D24" w14:textId="72142B62" w:rsidR="004D1C6C" w:rsidRPr="00325908" w:rsidRDefault="00847057" w:rsidP="0051425F">
            <w:pPr>
              <w:pStyle w:val="Tabletext"/>
              <w:keepNext/>
              <w:jc w:val="center"/>
              <w:rPr>
                <w:rFonts w:eastAsiaTheme="majorEastAsia"/>
                <w:iCs/>
              </w:rPr>
            </w:pPr>
            <w:r w:rsidRPr="00325908">
              <w:rPr>
                <w:rFonts w:eastAsiaTheme="majorEastAsia"/>
                <w:iCs/>
              </w:rPr>
              <w:t>-</w:t>
            </w:r>
          </w:p>
        </w:tc>
      </w:tr>
      <w:tr w:rsidR="004D1C6C" w:rsidRPr="00325908" w14:paraId="335F9B8B" w14:textId="77777777" w:rsidTr="0052372A">
        <w:trPr>
          <w:trHeight w:val="238"/>
        </w:trPr>
        <w:tc>
          <w:tcPr>
            <w:tcW w:w="1516" w:type="pct"/>
            <w:shd w:val="clear" w:color="auto" w:fill="auto"/>
            <w:vAlign w:val="center"/>
          </w:tcPr>
          <w:p w14:paraId="0937FC03" w14:textId="77777777" w:rsidR="004D1C6C" w:rsidRPr="00325908" w:rsidRDefault="004D1C6C" w:rsidP="0051425F">
            <w:pPr>
              <w:pStyle w:val="Tabletext"/>
              <w:keepNext/>
              <w:rPr>
                <w:rFonts w:eastAsiaTheme="majorEastAsia"/>
              </w:rPr>
            </w:pPr>
            <w:r w:rsidRPr="00325908">
              <w:rPr>
                <w:rFonts w:eastAsiaTheme="majorEastAsia"/>
              </w:rPr>
              <w:t xml:space="preserve">Prevalence of patients with CFS=4 and OSDI </w:t>
            </w:r>
            <w:r w:rsidRPr="00325908">
              <w:rPr>
                <w:rFonts w:eastAsiaTheme="majorEastAsia"/>
                <w:u w:val="single"/>
              </w:rPr>
              <w:t xml:space="preserve">&gt; </w:t>
            </w:r>
            <w:r w:rsidRPr="00325908">
              <w:rPr>
                <w:rFonts w:eastAsiaTheme="majorEastAsia"/>
              </w:rPr>
              <w:t>23 and refractory on conventional care</w:t>
            </w:r>
          </w:p>
        </w:tc>
        <w:tc>
          <w:tcPr>
            <w:tcW w:w="1227" w:type="pct"/>
            <w:shd w:val="clear" w:color="auto" w:fill="auto"/>
            <w:vAlign w:val="center"/>
          </w:tcPr>
          <w:p w14:paraId="43CBB88F" w14:textId="77777777" w:rsidR="004D1C6C" w:rsidRPr="00325908" w:rsidRDefault="004D1C6C" w:rsidP="0051425F">
            <w:pPr>
              <w:pStyle w:val="Tabletext"/>
              <w:keepNext/>
              <w:rPr>
                <w:rFonts w:eastAsiaTheme="majorEastAsia"/>
              </w:rPr>
            </w:pPr>
            <w:r w:rsidRPr="00325908">
              <w:rPr>
                <w:rFonts w:eastAsiaTheme="majorEastAsia"/>
              </w:rPr>
              <w:t>Aged 18-39 years: 0.06%</w:t>
            </w:r>
          </w:p>
          <w:p w14:paraId="79742C00" w14:textId="77777777" w:rsidR="004D1C6C" w:rsidRPr="00325908" w:rsidRDefault="004D1C6C" w:rsidP="0051425F">
            <w:pPr>
              <w:pStyle w:val="Tabletext"/>
              <w:keepNext/>
              <w:rPr>
                <w:rFonts w:eastAsiaTheme="majorEastAsia"/>
              </w:rPr>
            </w:pPr>
            <w:r w:rsidRPr="00325908">
              <w:rPr>
                <w:rFonts w:eastAsiaTheme="majorEastAsia"/>
              </w:rPr>
              <w:t>Aged 40+ years: 0.75%</w:t>
            </w:r>
          </w:p>
        </w:tc>
        <w:tc>
          <w:tcPr>
            <w:tcW w:w="1303" w:type="pct"/>
            <w:shd w:val="clear" w:color="auto" w:fill="auto"/>
            <w:vAlign w:val="center"/>
          </w:tcPr>
          <w:p w14:paraId="78C8E4F9" w14:textId="77777777" w:rsidR="004D1C6C" w:rsidRPr="00325908" w:rsidRDefault="004D1C6C" w:rsidP="0051425F">
            <w:pPr>
              <w:pStyle w:val="Tabletext"/>
              <w:keepNext/>
              <w:rPr>
                <w:rFonts w:eastAsiaTheme="majorEastAsia"/>
              </w:rPr>
            </w:pPr>
            <w:r w:rsidRPr="00325908">
              <w:rPr>
                <w:rFonts w:eastAsiaTheme="majorEastAsia"/>
              </w:rPr>
              <w:t>ciclosporin PSD March 2021, Table 14 par. 6.47 p.23</w:t>
            </w:r>
          </w:p>
        </w:tc>
        <w:tc>
          <w:tcPr>
            <w:tcW w:w="954" w:type="pct"/>
            <w:shd w:val="clear" w:color="auto" w:fill="auto"/>
            <w:vAlign w:val="center"/>
          </w:tcPr>
          <w:p w14:paraId="4E0510BA" w14:textId="21332281" w:rsidR="004D1C6C" w:rsidRPr="00325908" w:rsidRDefault="004D1C6C" w:rsidP="0051425F">
            <w:pPr>
              <w:pStyle w:val="Tabletext"/>
              <w:keepNext/>
              <w:rPr>
                <w:rFonts w:eastAsiaTheme="majorEastAsia"/>
                <w:iCs/>
              </w:rPr>
            </w:pPr>
            <w:r w:rsidRPr="00325908">
              <w:rPr>
                <w:rFonts w:eastAsiaTheme="majorEastAsia"/>
                <w:iCs/>
              </w:rPr>
              <w:t>Previously</w:t>
            </w:r>
            <w:r w:rsidR="003B22E5" w:rsidRPr="00325908">
              <w:rPr>
                <w:rFonts w:eastAsiaTheme="majorEastAsia"/>
                <w:iCs/>
              </w:rPr>
              <w:t xml:space="preserve"> considered uncertain but</w:t>
            </w:r>
            <w:r w:rsidRPr="00325908">
              <w:rPr>
                <w:rFonts w:eastAsiaTheme="majorEastAsia"/>
                <w:iCs/>
              </w:rPr>
              <w:t xml:space="preserve"> accepted</w:t>
            </w:r>
            <w:r w:rsidR="00244066" w:rsidRPr="00325908">
              <w:rPr>
                <w:rFonts w:eastAsiaTheme="majorEastAsia"/>
                <w:iCs/>
              </w:rPr>
              <w:t xml:space="preserve"> by </w:t>
            </w:r>
            <w:r w:rsidR="0084554B" w:rsidRPr="00325908">
              <w:rPr>
                <w:rFonts w:eastAsiaTheme="majorEastAsia"/>
                <w:iCs/>
              </w:rPr>
              <w:t xml:space="preserve">the </w:t>
            </w:r>
            <w:r w:rsidR="00244066" w:rsidRPr="00325908">
              <w:rPr>
                <w:rFonts w:eastAsiaTheme="majorEastAsia"/>
                <w:iCs/>
              </w:rPr>
              <w:t>PBAC</w:t>
            </w:r>
            <w:r w:rsidR="003B22E5" w:rsidRPr="00325908">
              <w:rPr>
                <w:rFonts w:eastAsiaTheme="majorEastAsia"/>
                <w:iCs/>
              </w:rPr>
              <w:t xml:space="preserve"> subject to </w:t>
            </w:r>
            <w:r w:rsidR="000A326B" w:rsidRPr="00325908">
              <w:rPr>
                <w:rFonts w:eastAsiaTheme="majorEastAsia"/>
                <w:iCs/>
              </w:rPr>
              <w:t>an</w:t>
            </w:r>
            <w:r w:rsidR="003B22E5" w:rsidRPr="00325908">
              <w:rPr>
                <w:rFonts w:eastAsiaTheme="majorEastAsia"/>
                <w:iCs/>
              </w:rPr>
              <w:t xml:space="preserve"> RSA. </w:t>
            </w:r>
          </w:p>
        </w:tc>
      </w:tr>
      <w:tr w:rsidR="004D1C6C" w:rsidRPr="00325908" w14:paraId="0306F077" w14:textId="77777777" w:rsidTr="0052372A">
        <w:trPr>
          <w:trHeight w:val="238"/>
        </w:trPr>
        <w:tc>
          <w:tcPr>
            <w:tcW w:w="1516" w:type="pct"/>
            <w:shd w:val="clear" w:color="auto" w:fill="auto"/>
            <w:vAlign w:val="center"/>
          </w:tcPr>
          <w:p w14:paraId="75DEF384" w14:textId="77777777" w:rsidR="004D1C6C" w:rsidRPr="00325908" w:rsidRDefault="004D1C6C" w:rsidP="0051425F">
            <w:pPr>
              <w:pStyle w:val="Tabletext"/>
              <w:keepNext/>
              <w:rPr>
                <w:rFonts w:eastAsiaTheme="majorEastAsia"/>
              </w:rPr>
            </w:pPr>
            <w:r w:rsidRPr="00325908">
              <w:rPr>
                <w:rFonts w:eastAsiaTheme="majorEastAsia"/>
              </w:rPr>
              <w:t>% patients actively seeking medical care</w:t>
            </w:r>
          </w:p>
        </w:tc>
        <w:tc>
          <w:tcPr>
            <w:tcW w:w="1227" w:type="pct"/>
            <w:shd w:val="clear" w:color="auto" w:fill="auto"/>
            <w:vAlign w:val="center"/>
          </w:tcPr>
          <w:p w14:paraId="05310EDC" w14:textId="77777777" w:rsidR="004D1C6C" w:rsidRPr="00325908" w:rsidRDefault="004D1C6C" w:rsidP="0051425F">
            <w:pPr>
              <w:pStyle w:val="Tabletext"/>
              <w:keepNext/>
              <w:rPr>
                <w:rFonts w:eastAsiaTheme="majorEastAsia"/>
              </w:rPr>
            </w:pPr>
            <w:r w:rsidRPr="00325908">
              <w:rPr>
                <w:rFonts w:eastAsiaTheme="majorEastAsia"/>
              </w:rPr>
              <w:t>60%</w:t>
            </w:r>
          </w:p>
        </w:tc>
        <w:tc>
          <w:tcPr>
            <w:tcW w:w="1303" w:type="pct"/>
            <w:shd w:val="clear" w:color="auto" w:fill="auto"/>
            <w:vAlign w:val="center"/>
          </w:tcPr>
          <w:p w14:paraId="4613C3CC" w14:textId="77777777" w:rsidR="004D1C6C" w:rsidRPr="00325908" w:rsidRDefault="004D1C6C" w:rsidP="0051425F">
            <w:pPr>
              <w:pStyle w:val="Tabletext"/>
              <w:keepNext/>
              <w:rPr>
                <w:rFonts w:eastAsiaTheme="majorEastAsia"/>
              </w:rPr>
            </w:pPr>
            <w:r w:rsidRPr="00325908">
              <w:rPr>
                <w:rFonts w:eastAsiaTheme="majorEastAsia"/>
              </w:rPr>
              <w:t>ciclosporin PSD March 2021, Table 14 p.23</w:t>
            </w:r>
          </w:p>
        </w:tc>
        <w:tc>
          <w:tcPr>
            <w:tcW w:w="954" w:type="pct"/>
            <w:shd w:val="clear" w:color="auto" w:fill="auto"/>
            <w:vAlign w:val="center"/>
          </w:tcPr>
          <w:p w14:paraId="7F4B3396" w14:textId="77777777" w:rsidR="004D1C6C" w:rsidRPr="00325908" w:rsidRDefault="004D1C6C" w:rsidP="0051425F">
            <w:pPr>
              <w:pStyle w:val="Tabletext"/>
              <w:keepNext/>
              <w:rPr>
                <w:rFonts w:eastAsiaTheme="majorEastAsia"/>
                <w:iCs/>
              </w:rPr>
            </w:pPr>
            <w:r w:rsidRPr="00325908">
              <w:rPr>
                <w:rFonts w:eastAsiaTheme="majorEastAsia"/>
                <w:iCs/>
              </w:rPr>
              <w:t>Previously accepted</w:t>
            </w:r>
          </w:p>
        </w:tc>
      </w:tr>
      <w:tr w:rsidR="004D1C6C" w:rsidRPr="00325908" w14:paraId="6244F61D" w14:textId="77777777" w:rsidTr="0052372A">
        <w:trPr>
          <w:trHeight w:val="238"/>
        </w:trPr>
        <w:tc>
          <w:tcPr>
            <w:tcW w:w="1516" w:type="pct"/>
            <w:shd w:val="clear" w:color="auto" w:fill="auto"/>
            <w:vAlign w:val="center"/>
          </w:tcPr>
          <w:p w14:paraId="3C43B928" w14:textId="77777777" w:rsidR="004D1C6C" w:rsidRPr="00325908" w:rsidRDefault="004D1C6C" w:rsidP="0051425F">
            <w:pPr>
              <w:pStyle w:val="Tabletext"/>
              <w:keepNext/>
              <w:rPr>
                <w:rFonts w:eastAsiaTheme="majorEastAsia"/>
              </w:rPr>
            </w:pPr>
            <w:r w:rsidRPr="00325908">
              <w:rPr>
                <w:rFonts w:eastAsiaTheme="majorEastAsia"/>
              </w:rPr>
              <w:t>% patients responding to treatment at 6 months</w:t>
            </w:r>
          </w:p>
        </w:tc>
        <w:tc>
          <w:tcPr>
            <w:tcW w:w="1227" w:type="pct"/>
            <w:shd w:val="clear" w:color="auto" w:fill="auto"/>
            <w:vAlign w:val="center"/>
          </w:tcPr>
          <w:p w14:paraId="0D2308A8" w14:textId="77777777" w:rsidR="004D1C6C" w:rsidRPr="00325908" w:rsidRDefault="004D1C6C" w:rsidP="0051425F">
            <w:pPr>
              <w:pStyle w:val="Tabletext"/>
              <w:keepNext/>
              <w:rPr>
                <w:rFonts w:eastAsiaTheme="majorEastAsia"/>
              </w:rPr>
            </w:pPr>
            <w:r w:rsidRPr="00325908">
              <w:rPr>
                <w:rFonts w:eastAsiaTheme="majorEastAsia"/>
              </w:rPr>
              <w:t>17.60%</w:t>
            </w:r>
          </w:p>
        </w:tc>
        <w:tc>
          <w:tcPr>
            <w:tcW w:w="1303" w:type="pct"/>
            <w:shd w:val="clear" w:color="auto" w:fill="auto"/>
            <w:vAlign w:val="center"/>
          </w:tcPr>
          <w:p w14:paraId="140FC656" w14:textId="77777777" w:rsidR="004D1C6C" w:rsidRPr="00325908" w:rsidRDefault="004D1C6C" w:rsidP="0051425F">
            <w:pPr>
              <w:pStyle w:val="Tabletext"/>
              <w:keepNext/>
              <w:rPr>
                <w:rFonts w:eastAsiaTheme="majorEastAsia"/>
              </w:rPr>
            </w:pPr>
            <w:r w:rsidRPr="00325908">
              <w:rPr>
                <w:rFonts w:eastAsiaTheme="majorEastAsia"/>
              </w:rPr>
              <w:t>ciclosporin PSD March 2021, Table 14 p.23</w:t>
            </w:r>
          </w:p>
        </w:tc>
        <w:tc>
          <w:tcPr>
            <w:tcW w:w="954" w:type="pct"/>
            <w:shd w:val="clear" w:color="auto" w:fill="auto"/>
            <w:vAlign w:val="center"/>
          </w:tcPr>
          <w:p w14:paraId="3C3898A6" w14:textId="77777777" w:rsidR="004D1C6C" w:rsidRPr="00325908" w:rsidRDefault="004D1C6C" w:rsidP="0051425F">
            <w:pPr>
              <w:pStyle w:val="Tabletext"/>
              <w:keepNext/>
              <w:rPr>
                <w:rFonts w:eastAsiaTheme="majorEastAsia"/>
                <w:iCs/>
              </w:rPr>
            </w:pPr>
            <w:r w:rsidRPr="00325908">
              <w:rPr>
                <w:rFonts w:eastAsiaTheme="majorEastAsia"/>
                <w:iCs/>
              </w:rPr>
              <w:t>Previously accepted</w:t>
            </w:r>
          </w:p>
        </w:tc>
      </w:tr>
      <w:tr w:rsidR="004D1C6C" w:rsidRPr="00325908" w14:paraId="0DD1860C" w14:textId="77777777" w:rsidTr="0052372A">
        <w:trPr>
          <w:trHeight w:val="238"/>
        </w:trPr>
        <w:tc>
          <w:tcPr>
            <w:tcW w:w="1516" w:type="pct"/>
            <w:shd w:val="clear" w:color="auto" w:fill="auto"/>
            <w:vAlign w:val="center"/>
          </w:tcPr>
          <w:p w14:paraId="0AA2A043" w14:textId="77777777" w:rsidR="004D1C6C" w:rsidRPr="00325908" w:rsidRDefault="004D1C6C" w:rsidP="0051425F">
            <w:pPr>
              <w:pStyle w:val="Tabletext"/>
              <w:keepNext/>
              <w:rPr>
                <w:rFonts w:eastAsiaTheme="majorEastAsia"/>
              </w:rPr>
            </w:pPr>
            <w:r w:rsidRPr="00325908">
              <w:rPr>
                <w:rFonts w:eastAsiaTheme="majorEastAsia"/>
              </w:rPr>
              <w:t>% patients discontinuing treatment</w:t>
            </w:r>
          </w:p>
        </w:tc>
        <w:tc>
          <w:tcPr>
            <w:tcW w:w="1227" w:type="pct"/>
            <w:shd w:val="clear" w:color="auto" w:fill="auto"/>
            <w:vAlign w:val="center"/>
          </w:tcPr>
          <w:p w14:paraId="1BEAE922" w14:textId="77777777" w:rsidR="004D1C6C" w:rsidRPr="00325908" w:rsidRDefault="004D1C6C" w:rsidP="0051425F">
            <w:pPr>
              <w:pStyle w:val="Tabletext"/>
              <w:keepNext/>
              <w:rPr>
                <w:rFonts w:eastAsiaTheme="majorEastAsia"/>
              </w:rPr>
            </w:pPr>
            <w:r w:rsidRPr="00325908">
              <w:rPr>
                <w:rFonts w:eastAsiaTheme="majorEastAsia"/>
              </w:rPr>
              <w:t>Year 1: 11.19%</w:t>
            </w:r>
          </w:p>
          <w:p w14:paraId="1DFE7912" w14:textId="77777777" w:rsidR="004D1C6C" w:rsidRPr="00325908" w:rsidRDefault="004D1C6C" w:rsidP="0051425F">
            <w:pPr>
              <w:pStyle w:val="Tabletext"/>
              <w:keepNext/>
              <w:rPr>
                <w:rFonts w:eastAsiaTheme="majorEastAsia"/>
              </w:rPr>
            </w:pPr>
            <w:r w:rsidRPr="00325908">
              <w:rPr>
                <w:rFonts w:eastAsiaTheme="majorEastAsia"/>
              </w:rPr>
              <w:t>Year 2+: 21.13%</w:t>
            </w:r>
          </w:p>
        </w:tc>
        <w:tc>
          <w:tcPr>
            <w:tcW w:w="1303" w:type="pct"/>
            <w:shd w:val="clear" w:color="auto" w:fill="auto"/>
            <w:vAlign w:val="center"/>
          </w:tcPr>
          <w:p w14:paraId="46777876" w14:textId="77777777" w:rsidR="004D1C6C" w:rsidRPr="00325908" w:rsidRDefault="004D1C6C" w:rsidP="0051425F">
            <w:pPr>
              <w:pStyle w:val="Tabletext"/>
              <w:keepNext/>
              <w:rPr>
                <w:rFonts w:eastAsiaTheme="majorEastAsia"/>
              </w:rPr>
            </w:pPr>
            <w:r w:rsidRPr="00325908">
              <w:rPr>
                <w:rFonts w:eastAsiaTheme="majorEastAsia"/>
              </w:rPr>
              <w:t>ciclosporin PSD March 2021, Table 14 p.23</w:t>
            </w:r>
          </w:p>
        </w:tc>
        <w:tc>
          <w:tcPr>
            <w:tcW w:w="954" w:type="pct"/>
            <w:shd w:val="clear" w:color="auto" w:fill="auto"/>
            <w:vAlign w:val="center"/>
          </w:tcPr>
          <w:p w14:paraId="7055274C" w14:textId="77777777" w:rsidR="004D1C6C" w:rsidRPr="00325908" w:rsidRDefault="004D1C6C" w:rsidP="0051425F">
            <w:pPr>
              <w:pStyle w:val="Tabletext"/>
              <w:keepNext/>
              <w:rPr>
                <w:rFonts w:eastAsiaTheme="majorEastAsia"/>
                <w:iCs/>
              </w:rPr>
            </w:pPr>
            <w:r w:rsidRPr="00325908">
              <w:rPr>
                <w:rFonts w:eastAsiaTheme="majorEastAsia"/>
                <w:iCs/>
              </w:rPr>
              <w:t>Previously accepted</w:t>
            </w:r>
          </w:p>
        </w:tc>
      </w:tr>
      <w:tr w:rsidR="00847057" w:rsidRPr="0002798F" w14:paraId="22F3B1B9" w14:textId="77777777" w:rsidTr="0052372A">
        <w:tc>
          <w:tcPr>
            <w:tcW w:w="5000" w:type="pct"/>
            <w:gridSpan w:val="4"/>
            <w:shd w:val="clear" w:color="auto" w:fill="auto"/>
            <w:vAlign w:val="center"/>
          </w:tcPr>
          <w:p w14:paraId="1CD498B9" w14:textId="3A5282C1" w:rsidR="00847057" w:rsidRPr="0002798F" w:rsidRDefault="00847057" w:rsidP="0052372A">
            <w:pPr>
              <w:pStyle w:val="In-tableHeading"/>
              <w:rPr>
                <w:i/>
                <w:iCs/>
              </w:rPr>
            </w:pPr>
            <w:r w:rsidRPr="0002798F">
              <w:t xml:space="preserve">Changes in </w:t>
            </w:r>
            <w:r w:rsidR="0052372A">
              <w:t>utilization</w:t>
            </w:r>
          </w:p>
        </w:tc>
      </w:tr>
      <w:tr w:rsidR="004D1C6C" w:rsidRPr="00325908" w14:paraId="2795D2A1" w14:textId="77777777" w:rsidTr="0052372A">
        <w:trPr>
          <w:trHeight w:val="238"/>
        </w:trPr>
        <w:tc>
          <w:tcPr>
            <w:tcW w:w="1516" w:type="pct"/>
            <w:shd w:val="clear" w:color="auto" w:fill="auto"/>
            <w:vAlign w:val="center"/>
          </w:tcPr>
          <w:p w14:paraId="79F5C8BD" w14:textId="77777777" w:rsidR="004D1C6C" w:rsidRPr="00325908" w:rsidRDefault="004D1C6C" w:rsidP="00847057">
            <w:pPr>
              <w:pStyle w:val="Tabletext"/>
              <w:rPr>
                <w:rFonts w:eastAsiaTheme="majorEastAsia"/>
              </w:rPr>
            </w:pPr>
            <w:r w:rsidRPr="00325908">
              <w:rPr>
                <w:rFonts w:eastAsiaTheme="majorEastAsia"/>
              </w:rPr>
              <w:t xml:space="preserve">0.1% </w:t>
            </w:r>
            <w:proofErr w:type="spellStart"/>
            <w:r w:rsidRPr="00325908">
              <w:rPr>
                <w:rFonts w:eastAsiaTheme="majorEastAsia"/>
              </w:rPr>
              <w:t>CsA</w:t>
            </w:r>
            <w:proofErr w:type="spellEnd"/>
            <w:r w:rsidRPr="00325908">
              <w:rPr>
                <w:rFonts w:eastAsiaTheme="majorEastAsia"/>
              </w:rPr>
              <w:t xml:space="preserve"> CE annual uptake rate</w:t>
            </w:r>
          </w:p>
        </w:tc>
        <w:tc>
          <w:tcPr>
            <w:tcW w:w="1227" w:type="pct"/>
            <w:shd w:val="clear" w:color="auto" w:fill="auto"/>
            <w:vAlign w:val="center"/>
          </w:tcPr>
          <w:p w14:paraId="65230640" w14:textId="77777777" w:rsidR="004D1C6C" w:rsidRPr="00325908" w:rsidRDefault="004D1C6C" w:rsidP="00847057">
            <w:pPr>
              <w:pStyle w:val="Tabletext"/>
              <w:rPr>
                <w:rFonts w:eastAsiaTheme="majorEastAsia"/>
              </w:rPr>
            </w:pPr>
            <w:r w:rsidRPr="00325908">
              <w:rPr>
                <w:rFonts w:eastAsiaTheme="majorEastAsia"/>
              </w:rPr>
              <w:t>All years: 10%</w:t>
            </w:r>
          </w:p>
        </w:tc>
        <w:tc>
          <w:tcPr>
            <w:tcW w:w="1303" w:type="pct"/>
            <w:shd w:val="clear" w:color="auto" w:fill="auto"/>
            <w:vAlign w:val="center"/>
          </w:tcPr>
          <w:p w14:paraId="0BB3AE61" w14:textId="77777777" w:rsidR="004D1C6C" w:rsidRPr="00325908" w:rsidRDefault="004D1C6C" w:rsidP="00847057">
            <w:pPr>
              <w:pStyle w:val="Tabletext"/>
              <w:rPr>
                <w:rFonts w:eastAsiaTheme="majorEastAsia"/>
              </w:rPr>
            </w:pPr>
            <w:r w:rsidRPr="00325908">
              <w:rPr>
                <w:rFonts w:eastAsiaTheme="majorEastAsia"/>
              </w:rPr>
              <w:t>ciclosporin PSD March 2021, Table 14 p.23</w:t>
            </w:r>
          </w:p>
        </w:tc>
        <w:tc>
          <w:tcPr>
            <w:tcW w:w="954" w:type="pct"/>
            <w:shd w:val="clear" w:color="auto" w:fill="auto"/>
            <w:vAlign w:val="center"/>
          </w:tcPr>
          <w:p w14:paraId="07356CA6" w14:textId="77777777" w:rsidR="004D1C6C" w:rsidRPr="00325908" w:rsidRDefault="004D1C6C" w:rsidP="00847057">
            <w:pPr>
              <w:pStyle w:val="Tabletext"/>
              <w:rPr>
                <w:rFonts w:eastAsiaTheme="majorEastAsia"/>
                <w:iCs/>
              </w:rPr>
            </w:pPr>
            <w:r w:rsidRPr="00325908">
              <w:rPr>
                <w:rFonts w:eastAsiaTheme="majorEastAsia"/>
                <w:iCs/>
              </w:rPr>
              <w:t>Previously accepted</w:t>
            </w:r>
          </w:p>
        </w:tc>
      </w:tr>
      <w:tr w:rsidR="004D1C6C" w:rsidRPr="00325908" w14:paraId="6B84C550" w14:textId="77777777" w:rsidTr="0052372A">
        <w:trPr>
          <w:trHeight w:val="238"/>
        </w:trPr>
        <w:tc>
          <w:tcPr>
            <w:tcW w:w="1516" w:type="pct"/>
            <w:shd w:val="clear" w:color="auto" w:fill="auto"/>
            <w:vAlign w:val="center"/>
          </w:tcPr>
          <w:p w14:paraId="39BE386A" w14:textId="77777777" w:rsidR="004D1C6C" w:rsidRPr="00325908" w:rsidRDefault="004D1C6C" w:rsidP="00847057">
            <w:pPr>
              <w:pStyle w:val="Tabletext"/>
              <w:rPr>
                <w:rFonts w:eastAsiaTheme="majorEastAsia"/>
              </w:rPr>
            </w:pPr>
            <w:r w:rsidRPr="00325908">
              <w:rPr>
                <w:rFonts w:eastAsiaTheme="majorEastAsia"/>
              </w:rPr>
              <w:t>0.09% OTX-101 uptake rates</w:t>
            </w:r>
          </w:p>
        </w:tc>
        <w:tc>
          <w:tcPr>
            <w:tcW w:w="1227" w:type="pct"/>
            <w:shd w:val="clear" w:color="auto" w:fill="auto"/>
            <w:vAlign w:val="center"/>
          </w:tcPr>
          <w:p w14:paraId="518710C0" w14:textId="1755FE46" w:rsidR="004D1C6C" w:rsidRPr="00325908" w:rsidRDefault="004D1C6C" w:rsidP="00847057">
            <w:pPr>
              <w:pStyle w:val="Tabletext"/>
              <w:rPr>
                <w:rFonts w:eastAsiaTheme="majorEastAsia"/>
              </w:rPr>
            </w:pPr>
            <w:r w:rsidRPr="00325908">
              <w:rPr>
                <w:rFonts w:eastAsiaTheme="majorEastAsia"/>
              </w:rPr>
              <w:t xml:space="preserve">Year 1: </w:t>
            </w:r>
            <w:r w:rsidR="00843B93" w:rsidRPr="00843B93">
              <w:rPr>
                <w:rFonts w:eastAsiaTheme="majorEastAsia"/>
                <w:color w:val="000000"/>
                <w:spacing w:val="48"/>
                <w:shd w:val="solid" w:color="000000" w:fill="000000"/>
                <w:fitText w:val="315" w:id="-1506115072"/>
                <w14:textFill>
                  <w14:solidFill>
                    <w14:srgbClr w14:val="000000">
                      <w14:alpha w14:val="100000"/>
                    </w14:srgbClr>
                  </w14:solidFill>
                </w14:textFill>
              </w:rPr>
              <w:t>|||</w:t>
            </w:r>
            <w:r w:rsidR="00843B93" w:rsidRPr="00843B93">
              <w:rPr>
                <w:rFonts w:eastAsiaTheme="majorEastAsia"/>
                <w:color w:val="000000"/>
                <w:spacing w:val="1"/>
                <w:shd w:val="solid" w:color="000000" w:fill="000000"/>
                <w:fitText w:val="315" w:id="-1506115072"/>
                <w14:textFill>
                  <w14:solidFill>
                    <w14:srgbClr w14:val="000000">
                      <w14:alpha w14:val="100000"/>
                    </w14:srgbClr>
                  </w14:solidFill>
                </w14:textFill>
              </w:rPr>
              <w:t>|</w:t>
            </w:r>
            <w:r w:rsidRPr="00325908">
              <w:rPr>
                <w:rFonts w:eastAsiaTheme="majorEastAsia"/>
              </w:rPr>
              <w:t>%</w:t>
            </w:r>
          </w:p>
          <w:p w14:paraId="459A7236" w14:textId="2D0FABFF" w:rsidR="004D1C6C" w:rsidRPr="00325908" w:rsidRDefault="004D1C6C" w:rsidP="00847057">
            <w:pPr>
              <w:pStyle w:val="Tabletext"/>
              <w:rPr>
                <w:rFonts w:eastAsiaTheme="majorEastAsia"/>
              </w:rPr>
            </w:pPr>
            <w:r w:rsidRPr="00325908">
              <w:rPr>
                <w:rFonts w:eastAsiaTheme="majorEastAsia"/>
              </w:rPr>
              <w:t xml:space="preserve">Year 2: </w:t>
            </w:r>
            <w:r w:rsidR="00843B93" w:rsidRPr="00843B93">
              <w:rPr>
                <w:rFonts w:eastAsiaTheme="majorEastAsia"/>
                <w:color w:val="000000"/>
                <w:spacing w:val="48"/>
                <w:shd w:val="solid" w:color="000000" w:fill="000000"/>
                <w:fitText w:val="315" w:id="-1506115071"/>
                <w14:textFill>
                  <w14:solidFill>
                    <w14:srgbClr w14:val="000000">
                      <w14:alpha w14:val="100000"/>
                    </w14:srgbClr>
                  </w14:solidFill>
                </w14:textFill>
              </w:rPr>
              <w:t>|||</w:t>
            </w:r>
            <w:r w:rsidR="00843B93" w:rsidRPr="00843B93">
              <w:rPr>
                <w:rFonts w:eastAsiaTheme="majorEastAsia"/>
                <w:color w:val="000000"/>
                <w:spacing w:val="1"/>
                <w:shd w:val="solid" w:color="000000" w:fill="000000"/>
                <w:fitText w:val="315" w:id="-1506115071"/>
                <w14:textFill>
                  <w14:solidFill>
                    <w14:srgbClr w14:val="000000">
                      <w14:alpha w14:val="100000"/>
                    </w14:srgbClr>
                  </w14:solidFill>
                </w14:textFill>
              </w:rPr>
              <w:t>|</w:t>
            </w:r>
            <w:r w:rsidRPr="00325908">
              <w:rPr>
                <w:rFonts w:eastAsiaTheme="majorEastAsia"/>
              </w:rPr>
              <w:t>%</w:t>
            </w:r>
          </w:p>
          <w:p w14:paraId="511C6100" w14:textId="413DC5E2" w:rsidR="004D1C6C" w:rsidRPr="00325908" w:rsidRDefault="004D1C6C" w:rsidP="00847057">
            <w:pPr>
              <w:pStyle w:val="Tabletext"/>
              <w:rPr>
                <w:rFonts w:eastAsiaTheme="majorEastAsia"/>
              </w:rPr>
            </w:pPr>
            <w:r w:rsidRPr="00325908">
              <w:rPr>
                <w:rFonts w:eastAsiaTheme="majorEastAsia"/>
              </w:rPr>
              <w:t xml:space="preserve">Year 3: </w:t>
            </w:r>
            <w:r w:rsidR="00843B93" w:rsidRPr="00843B93">
              <w:rPr>
                <w:rFonts w:eastAsiaTheme="majorEastAsia"/>
                <w:color w:val="000000"/>
                <w:spacing w:val="48"/>
                <w:shd w:val="solid" w:color="000000" w:fill="000000"/>
                <w:fitText w:val="315" w:id="-1506115070"/>
                <w14:textFill>
                  <w14:solidFill>
                    <w14:srgbClr w14:val="000000">
                      <w14:alpha w14:val="100000"/>
                    </w14:srgbClr>
                  </w14:solidFill>
                </w14:textFill>
              </w:rPr>
              <w:t>|||</w:t>
            </w:r>
            <w:r w:rsidR="00843B93" w:rsidRPr="00843B93">
              <w:rPr>
                <w:rFonts w:eastAsiaTheme="majorEastAsia"/>
                <w:color w:val="000000"/>
                <w:spacing w:val="1"/>
                <w:shd w:val="solid" w:color="000000" w:fill="000000"/>
                <w:fitText w:val="315" w:id="-1506115070"/>
                <w14:textFill>
                  <w14:solidFill>
                    <w14:srgbClr w14:val="000000">
                      <w14:alpha w14:val="100000"/>
                    </w14:srgbClr>
                  </w14:solidFill>
                </w14:textFill>
              </w:rPr>
              <w:t>|</w:t>
            </w:r>
            <w:r w:rsidRPr="00325908">
              <w:rPr>
                <w:rFonts w:eastAsiaTheme="majorEastAsia"/>
              </w:rPr>
              <w:t>%</w:t>
            </w:r>
          </w:p>
          <w:p w14:paraId="48C21F9B" w14:textId="5ADAC53D" w:rsidR="004D1C6C" w:rsidRPr="00325908" w:rsidRDefault="004D1C6C" w:rsidP="00847057">
            <w:pPr>
              <w:pStyle w:val="Tabletext"/>
              <w:rPr>
                <w:rFonts w:eastAsiaTheme="majorEastAsia"/>
              </w:rPr>
            </w:pPr>
            <w:r w:rsidRPr="00325908">
              <w:rPr>
                <w:rFonts w:eastAsiaTheme="majorEastAsia"/>
              </w:rPr>
              <w:t xml:space="preserve">Year 4: </w:t>
            </w:r>
            <w:r w:rsidR="00843B93" w:rsidRPr="00843B93">
              <w:rPr>
                <w:rFonts w:eastAsiaTheme="majorEastAsia"/>
                <w:color w:val="000000"/>
                <w:spacing w:val="48"/>
                <w:shd w:val="solid" w:color="000000" w:fill="000000"/>
                <w:fitText w:val="315" w:id="-1506115069"/>
                <w14:textFill>
                  <w14:solidFill>
                    <w14:srgbClr w14:val="000000">
                      <w14:alpha w14:val="100000"/>
                    </w14:srgbClr>
                  </w14:solidFill>
                </w14:textFill>
              </w:rPr>
              <w:t>|||</w:t>
            </w:r>
            <w:r w:rsidR="00843B93" w:rsidRPr="00843B93">
              <w:rPr>
                <w:rFonts w:eastAsiaTheme="majorEastAsia"/>
                <w:color w:val="000000"/>
                <w:spacing w:val="1"/>
                <w:shd w:val="solid" w:color="000000" w:fill="000000"/>
                <w:fitText w:val="315" w:id="-1506115069"/>
                <w14:textFill>
                  <w14:solidFill>
                    <w14:srgbClr w14:val="000000">
                      <w14:alpha w14:val="100000"/>
                    </w14:srgbClr>
                  </w14:solidFill>
                </w14:textFill>
              </w:rPr>
              <w:t>|</w:t>
            </w:r>
            <w:r w:rsidRPr="00325908">
              <w:rPr>
                <w:rFonts w:eastAsiaTheme="majorEastAsia"/>
              </w:rPr>
              <w:t>%</w:t>
            </w:r>
          </w:p>
          <w:p w14:paraId="5A4358A5" w14:textId="2A00E35B" w:rsidR="004D1C6C" w:rsidRPr="00325908" w:rsidRDefault="004D1C6C" w:rsidP="00847057">
            <w:pPr>
              <w:pStyle w:val="Tabletext"/>
              <w:rPr>
                <w:rFonts w:eastAsiaTheme="majorEastAsia"/>
              </w:rPr>
            </w:pPr>
            <w:r w:rsidRPr="00325908">
              <w:rPr>
                <w:rFonts w:eastAsiaTheme="majorEastAsia"/>
              </w:rPr>
              <w:t xml:space="preserve">Year 5: </w:t>
            </w:r>
            <w:r w:rsidR="00843B93" w:rsidRPr="00843B93">
              <w:rPr>
                <w:rFonts w:eastAsiaTheme="majorEastAsia"/>
                <w:color w:val="000000"/>
                <w:spacing w:val="48"/>
                <w:shd w:val="solid" w:color="000000" w:fill="000000"/>
                <w:fitText w:val="315" w:id="-1506115068"/>
                <w14:textFill>
                  <w14:solidFill>
                    <w14:srgbClr w14:val="000000">
                      <w14:alpha w14:val="100000"/>
                    </w14:srgbClr>
                  </w14:solidFill>
                </w14:textFill>
              </w:rPr>
              <w:t>|||</w:t>
            </w:r>
            <w:r w:rsidR="00843B93" w:rsidRPr="00843B93">
              <w:rPr>
                <w:rFonts w:eastAsiaTheme="majorEastAsia"/>
                <w:color w:val="000000"/>
                <w:spacing w:val="1"/>
                <w:shd w:val="solid" w:color="000000" w:fill="000000"/>
                <w:fitText w:val="315" w:id="-1506115068"/>
                <w14:textFill>
                  <w14:solidFill>
                    <w14:srgbClr w14:val="000000">
                      <w14:alpha w14:val="100000"/>
                    </w14:srgbClr>
                  </w14:solidFill>
                </w14:textFill>
              </w:rPr>
              <w:t>|</w:t>
            </w:r>
            <w:r w:rsidRPr="00325908">
              <w:rPr>
                <w:rFonts w:eastAsiaTheme="majorEastAsia"/>
              </w:rPr>
              <w:t>%</w:t>
            </w:r>
          </w:p>
          <w:p w14:paraId="64AC9BE3" w14:textId="50F3C1DB" w:rsidR="004D1C6C" w:rsidRPr="00325908" w:rsidRDefault="004D1C6C" w:rsidP="00847057">
            <w:pPr>
              <w:pStyle w:val="Tabletext"/>
              <w:rPr>
                <w:rFonts w:eastAsiaTheme="majorEastAsia"/>
              </w:rPr>
            </w:pPr>
            <w:r w:rsidRPr="00325908">
              <w:rPr>
                <w:rFonts w:eastAsiaTheme="majorEastAsia"/>
              </w:rPr>
              <w:t xml:space="preserve">Year 6: </w:t>
            </w:r>
            <w:r w:rsidR="00843B93" w:rsidRPr="00843B93">
              <w:rPr>
                <w:rFonts w:eastAsiaTheme="majorEastAsia"/>
                <w:color w:val="000000"/>
                <w:spacing w:val="48"/>
                <w:shd w:val="solid" w:color="000000" w:fill="000000"/>
                <w:fitText w:val="315" w:id="-1506115067"/>
                <w14:textFill>
                  <w14:solidFill>
                    <w14:srgbClr w14:val="000000">
                      <w14:alpha w14:val="100000"/>
                    </w14:srgbClr>
                  </w14:solidFill>
                </w14:textFill>
              </w:rPr>
              <w:t>|||</w:t>
            </w:r>
            <w:r w:rsidR="00843B93" w:rsidRPr="00843B93">
              <w:rPr>
                <w:rFonts w:eastAsiaTheme="majorEastAsia"/>
                <w:color w:val="000000"/>
                <w:spacing w:val="1"/>
                <w:shd w:val="solid" w:color="000000" w:fill="000000"/>
                <w:fitText w:val="315" w:id="-1506115067"/>
                <w14:textFill>
                  <w14:solidFill>
                    <w14:srgbClr w14:val="000000">
                      <w14:alpha w14:val="100000"/>
                    </w14:srgbClr>
                  </w14:solidFill>
                </w14:textFill>
              </w:rPr>
              <w:t>|</w:t>
            </w:r>
            <w:r w:rsidRPr="00325908">
              <w:rPr>
                <w:rFonts w:eastAsiaTheme="majorEastAsia"/>
              </w:rPr>
              <w:t>%</w:t>
            </w:r>
          </w:p>
        </w:tc>
        <w:tc>
          <w:tcPr>
            <w:tcW w:w="1303" w:type="pct"/>
            <w:shd w:val="clear" w:color="auto" w:fill="auto"/>
            <w:vAlign w:val="center"/>
          </w:tcPr>
          <w:p w14:paraId="4CE54D86" w14:textId="77777777" w:rsidR="004D1C6C" w:rsidRPr="00325908" w:rsidRDefault="004D1C6C" w:rsidP="00847057">
            <w:pPr>
              <w:pStyle w:val="Tabletext"/>
              <w:rPr>
                <w:rFonts w:eastAsiaTheme="majorEastAsia"/>
              </w:rPr>
            </w:pPr>
            <w:r w:rsidRPr="00325908">
              <w:rPr>
                <w:rFonts w:eastAsiaTheme="majorEastAsia"/>
              </w:rPr>
              <w:t>Sun Pharma Assumption</w:t>
            </w:r>
          </w:p>
          <w:p w14:paraId="13DBE367" w14:textId="77777777" w:rsidR="004D1C6C" w:rsidRPr="00325908" w:rsidRDefault="004D1C6C" w:rsidP="00847057">
            <w:pPr>
              <w:pStyle w:val="Tabletext"/>
              <w:rPr>
                <w:rFonts w:eastAsiaTheme="majorEastAsia"/>
              </w:rPr>
            </w:pPr>
          </w:p>
        </w:tc>
        <w:tc>
          <w:tcPr>
            <w:tcW w:w="954" w:type="pct"/>
            <w:shd w:val="clear" w:color="auto" w:fill="auto"/>
            <w:vAlign w:val="center"/>
          </w:tcPr>
          <w:p w14:paraId="75AF9219" w14:textId="760297EF" w:rsidR="004D1C6C" w:rsidRPr="00325908" w:rsidRDefault="004D1C6C" w:rsidP="00847057">
            <w:pPr>
              <w:pStyle w:val="Tabletext"/>
              <w:rPr>
                <w:rFonts w:eastAsiaTheme="majorEastAsia"/>
                <w:iCs/>
              </w:rPr>
            </w:pPr>
            <w:r w:rsidRPr="00325908">
              <w:rPr>
                <w:rFonts w:eastAsiaTheme="majorEastAsia"/>
                <w:iCs/>
              </w:rPr>
              <w:t>Assumption - cannot be verified</w:t>
            </w:r>
          </w:p>
        </w:tc>
      </w:tr>
      <w:tr w:rsidR="00847057" w:rsidRPr="0002798F" w14:paraId="2DF44AEF" w14:textId="77777777" w:rsidTr="0052372A">
        <w:tc>
          <w:tcPr>
            <w:tcW w:w="5000" w:type="pct"/>
            <w:gridSpan w:val="4"/>
            <w:shd w:val="clear" w:color="auto" w:fill="auto"/>
            <w:vAlign w:val="center"/>
          </w:tcPr>
          <w:p w14:paraId="0F9A4FCE" w14:textId="63E2A175" w:rsidR="00847057" w:rsidRPr="0002798F" w:rsidRDefault="00847057" w:rsidP="0052372A">
            <w:pPr>
              <w:pStyle w:val="In-tableHeading"/>
              <w:rPr>
                <w:i/>
                <w:iCs/>
              </w:rPr>
            </w:pPr>
            <w:r w:rsidRPr="0002798F">
              <w:t>Cost of medicines</w:t>
            </w:r>
          </w:p>
        </w:tc>
      </w:tr>
      <w:tr w:rsidR="004D1C6C" w:rsidRPr="00325908" w14:paraId="6DBC7A0C" w14:textId="77777777" w:rsidTr="0052372A">
        <w:tc>
          <w:tcPr>
            <w:tcW w:w="1516" w:type="pct"/>
            <w:shd w:val="clear" w:color="auto" w:fill="auto"/>
            <w:vAlign w:val="center"/>
          </w:tcPr>
          <w:p w14:paraId="0FEB760A" w14:textId="77777777" w:rsidR="004D1C6C" w:rsidRPr="00325908" w:rsidRDefault="004D1C6C" w:rsidP="00847057">
            <w:pPr>
              <w:pStyle w:val="Tabletext"/>
              <w:rPr>
                <w:rFonts w:eastAsiaTheme="majorEastAsia"/>
              </w:rPr>
            </w:pPr>
            <w:r w:rsidRPr="00325908">
              <w:rPr>
                <w:rFonts w:eastAsiaTheme="majorEastAsia"/>
              </w:rPr>
              <w:t xml:space="preserve">0.1% </w:t>
            </w:r>
            <w:proofErr w:type="spellStart"/>
            <w:r w:rsidRPr="00325908">
              <w:rPr>
                <w:rFonts w:eastAsiaTheme="majorEastAsia"/>
              </w:rPr>
              <w:t>CsA</w:t>
            </w:r>
            <w:proofErr w:type="spellEnd"/>
            <w:r w:rsidRPr="00325908">
              <w:rPr>
                <w:rFonts w:eastAsiaTheme="majorEastAsia"/>
              </w:rPr>
              <w:t xml:space="preserve"> CE 30 x 0.3 mL</w:t>
            </w:r>
          </w:p>
        </w:tc>
        <w:tc>
          <w:tcPr>
            <w:tcW w:w="1227" w:type="pct"/>
            <w:shd w:val="clear" w:color="auto" w:fill="auto"/>
            <w:vAlign w:val="center"/>
          </w:tcPr>
          <w:p w14:paraId="571C0E7C" w14:textId="77777777" w:rsidR="004D1C6C" w:rsidRPr="00325908" w:rsidRDefault="004D1C6C" w:rsidP="00847057">
            <w:pPr>
              <w:pStyle w:val="Tabletext"/>
              <w:rPr>
                <w:rFonts w:eastAsiaTheme="majorEastAsia"/>
              </w:rPr>
            </w:pPr>
            <w:r w:rsidRPr="00325908">
              <w:rPr>
                <w:rFonts w:eastAsiaTheme="majorEastAsia"/>
              </w:rPr>
              <w:t>AEMP: $65.00</w:t>
            </w:r>
          </w:p>
        </w:tc>
        <w:tc>
          <w:tcPr>
            <w:tcW w:w="1303" w:type="pct"/>
            <w:shd w:val="clear" w:color="auto" w:fill="auto"/>
            <w:vAlign w:val="center"/>
          </w:tcPr>
          <w:p w14:paraId="6A64955E" w14:textId="77777777" w:rsidR="004D1C6C" w:rsidRPr="00325908" w:rsidRDefault="004D1C6C" w:rsidP="00847057">
            <w:pPr>
              <w:pStyle w:val="Tabletext"/>
              <w:rPr>
                <w:rFonts w:eastAsiaTheme="majorEastAsia"/>
              </w:rPr>
            </w:pPr>
            <w:r w:rsidRPr="00325908">
              <w:rPr>
                <w:rFonts w:eastAsiaTheme="majorEastAsia"/>
              </w:rPr>
              <w:t>Schedule of Pharmaceutical Benefits (item 12663L)</w:t>
            </w:r>
          </w:p>
        </w:tc>
        <w:tc>
          <w:tcPr>
            <w:tcW w:w="954" w:type="pct"/>
            <w:shd w:val="clear" w:color="auto" w:fill="auto"/>
            <w:vAlign w:val="center"/>
          </w:tcPr>
          <w:p w14:paraId="2FC32DB0" w14:textId="635B337D" w:rsidR="004D1C6C" w:rsidRPr="00325908" w:rsidRDefault="004D1C6C" w:rsidP="00847057">
            <w:pPr>
              <w:pStyle w:val="Tabletext"/>
              <w:jc w:val="center"/>
              <w:rPr>
                <w:rFonts w:eastAsiaTheme="majorEastAsia"/>
                <w:iCs/>
              </w:rPr>
            </w:pPr>
          </w:p>
        </w:tc>
      </w:tr>
      <w:tr w:rsidR="004D1C6C" w:rsidRPr="00325908" w14:paraId="557305DF" w14:textId="77777777" w:rsidTr="0052372A">
        <w:tc>
          <w:tcPr>
            <w:tcW w:w="1516" w:type="pct"/>
            <w:shd w:val="clear" w:color="auto" w:fill="auto"/>
            <w:vAlign w:val="center"/>
          </w:tcPr>
          <w:p w14:paraId="72A318A4" w14:textId="77777777" w:rsidR="004D1C6C" w:rsidRPr="00325908" w:rsidRDefault="004D1C6C" w:rsidP="00847057">
            <w:pPr>
              <w:pStyle w:val="Tabletext"/>
              <w:rPr>
                <w:rFonts w:eastAsiaTheme="majorEastAsia"/>
              </w:rPr>
            </w:pPr>
            <w:r w:rsidRPr="00325908">
              <w:rPr>
                <w:rFonts w:eastAsiaTheme="majorEastAsia"/>
              </w:rPr>
              <w:t>0.09% OTX-101 60 x 0.25 mL</w:t>
            </w:r>
          </w:p>
        </w:tc>
        <w:tc>
          <w:tcPr>
            <w:tcW w:w="1227" w:type="pct"/>
            <w:shd w:val="clear" w:color="auto" w:fill="auto"/>
            <w:vAlign w:val="center"/>
          </w:tcPr>
          <w:p w14:paraId="75F53633" w14:textId="77777777" w:rsidR="004D1C6C" w:rsidRPr="00325908" w:rsidRDefault="004D1C6C" w:rsidP="00847057">
            <w:pPr>
              <w:pStyle w:val="Tabletext"/>
              <w:rPr>
                <w:rFonts w:eastAsiaTheme="majorEastAsia"/>
              </w:rPr>
            </w:pPr>
            <w:r w:rsidRPr="00325908">
              <w:rPr>
                <w:rFonts w:eastAsiaTheme="majorEastAsia"/>
              </w:rPr>
              <w:t>AEMP: $65.00</w:t>
            </w:r>
          </w:p>
        </w:tc>
        <w:tc>
          <w:tcPr>
            <w:tcW w:w="1303" w:type="pct"/>
            <w:shd w:val="clear" w:color="auto" w:fill="auto"/>
            <w:vAlign w:val="center"/>
          </w:tcPr>
          <w:p w14:paraId="5B2D2EA6" w14:textId="77777777" w:rsidR="004D1C6C" w:rsidRPr="00325908" w:rsidRDefault="004D1C6C" w:rsidP="00847057">
            <w:pPr>
              <w:pStyle w:val="Tabletext"/>
              <w:rPr>
                <w:rFonts w:eastAsiaTheme="majorEastAsia"/>
              </w:rPr>
            </w:pPr>
            <w:r w:rsidRPr="00325908">
              <w:rPr>
                <w:rFonts w:eastAsiaTheme="majorEastAsia"/>
              </w:rPr>
              <w:t>SUN Pharma proposed</w:t>
            </w:r>
          </w:p>
        </w:tc>
        <w:tc>
          <w:tcPr>
            <w:tcW w:w="954" w:type="pct"/>
            <w:shd w:val="clear" w:color="auto" w:fill="auto"/>
            <w:vAlign w:val="center"/>
          </w:tcPr>
          <w:p w14:paraId="6F637456" w14:textId="77777777" w:rsidR="004D1C6C" w:rsidRPr="00325908" w:rsidRDefault="004D1C6C" w:rsidP="00847057">
            <w:pPr>
              <w:pStyle w:val="Tabletext"/>
              <w:jc w:val="center"/>
              <w:rPr>
                <w:rFonts w:eastAsiaTheme="majorEastAsia"/>
                <w:iCs/>
              </w:rPr>
            </w:pPr>
          </w:p>
        </w:tc>
      </w:tr>
      <w:tr w:rsidR="00847057" w:rsidRPr="0002798F" w14:paraId="717DB059" w14:textId="77777777" w:rsidTr="0052372A">
        <w:tc>
          <w:tcPr>
            <w:tcW w:w="5000" w:type="pct"/>
            <w:gridSpan w:val="4"/>
            <w:shd w:val="clear" w:color="auto" w:fill="auto"/>
            <w:vAlign w:val="center"/>
          </w:tcPr>
          <w:p w14:paraId="15F19F6C" w14:textId="083E4449" w:rsidR="00847057" w:rsidRPr="0002798F" w:rsidRDefault="00847057" w:rsidP="0052372A">
            <w:pPr>
              <w:pStyle w:val="In-tableHeading"/>
              <w:rPr>
                <w:i/>
                <w:iCs/>
              </w:rPr>
            </w:pPr>
            <w:r w:rsidRPr="0002798F">
              <w:t>Patient co-payments</w:t>
            </w:r>
          </w:p>
        </w:tc>
      </w:tr>
      <w:tr w:rsidR="004D1C6C" w:rsidRPr="00325908" w14:paraId="35131048" w14:textId="77777777" w:rsidTr="0052372A">
        <w:tc>
          <w:tcPr>
            <w:tcW w:w="1516" w:type="pct"/>
            <w:shd w:val="clear" w:color="auto" w:fill="auto"/>
            <w:vAlign w:val="center"/>
          </w:tcPr>
          <w:p w14:paraId="7DE3366C" w14:textId="77777777" w:rsidR="004D1C6C" w:rsidRPr="00325908" w:rsidRDefault="004D1C6C" w:rsidP="00847057">
            <w:pPr>
              <w:pStyle w:val="Tabletext"/>
              <w:rPr>
                <w:rFonts w:eastAsiaTheme="majorEastAsia"/>
              </w:rPr>
            </w:pPr>
            <w:r w:rsidRPr="00325908">
              <w:rPr>
                <w:rFonts w:eastAsiaTheme="majorEastAsia"/>
              </w:rPr>
              <w:t>Beneficiary type distribution</w:t>
            </w:r>
          </w:p>
        </w:tc>
        <w:tc>
          <w:tcPr>
            <w:tcW w:w="1227" w:type="pct"/>
            <w:shd w:val="clear" w:color="auto" w:fill="auto"/>
            <w:vAlign w:val="center"/>
          </w:tcPr>
          <w:p w14:paraId="10ABC340" w14:textId="77777777" w:rsidR="004D1C6C" w:rsidRPr="00325908" w:rsidRDefault="004D1C6C" w:rsidP="00847057">
            <w:pPr>
              <w:pStyle w:val="Tabletext"/>
              <w:rPr>
                <w:rFonts w:eastAsiaTheme="majorEastAsia"/>
              </w:rPr>
            </w:pPr>
            <w:r w:rsidRPr="00325908">
              <w:rPr>
                <w:rFonts w:eastAsiaTheme="majorEastAsia"/>
              </w:rPr>
              <w:t>General ordinary: 0.25%</w:t>
            </w:r>
          </w:p>
          <w:p w14:paraId="286E2506" w14:textId="77777777" w:rsidR="004D1C6C" w:rsidRPr="00325908" w:rsidRDefault="004D1C6C" w:rsidP="00847057">
            <w:pPr>
              <w:pStyle w:val="Tabletext"/>
              <w:rPr>
                <w:rFonts w:eastAsiaTheme="majorEastAsia"/>
              </w:rPr>
            </w:pPr>
            <w:r w:rsidRPr="00325908">
              <w:rPr>
                <w:rFonts w:eastAsiaTheme="majorEastAsia"/>
              </w:rPr>
              <w:t>General safety net: 0.95%</w:t>
            </w:r>
          </w:p>
          <w:p w14:paraId="248F288E" w14:textId="77777777" w:rsidR="004D1C6C" w:rsidRPr="00325908" w:rsidRDefault="004D1C6C" w:rsidP="00847057">
            <w:pPr>
              <w:pStyle w:val="Tabletext"/>
              <w:rPr>
                <w:rFonts w:eastAsiaTheme="majorEastAsia"/>
              </w:rPr>
            </w:pPr>
            <w:r w:rsidRPr="00325908">
              <w:rPr>
                <w:rFonts w:eastAsiaTheme="majorEastAsia"/>
              </w:rPr>
              <w:t>Concessional ordinary: 64.14%</w:t>
            </w:r>
          </w:p>
          <w:p w14:paraId="23138D1B" w14:textId="77777777" w:rsidR="004D1C6C" w:rsidRPr="00325908" w:rsidRDefault="004D1C6C" w:rsidP="00847057">
            <w:pPr>
              <w:pStyle w:val="Tabletext"/>
              <w:rPr>
                <w:rFonts w:eastAsiaTheme="majorEastAsia"/>
              </w:rPr>
            </w:pPr>
            <w:r w:rsidRPr="00325908">
              <w:rPr>
                <w:rFonts w:eastAsiaTheme="majorEastAsia"/>
              </w:rPr>
              <w:t>Concessional safety net: 34.66%</w:t>
            </w:r>
          </w:p>
          <w:p w14:paraId="4018FD28" w14:textId="77777777" w:rsidR="004D1C6C" w:rsidRPr="00325908" w:rsidRDefault="004D1C6C" w:rsidP="00847057">
            <w:pPr>
              <w:pStyle w:val="Tabletext"/>
              <w:rPr>
                <w:rFonts w:eastAsiaTheme="majorEastAsia"/>
              </w:rPr>
            </w:pPr>
            <w:r w:rsidRPr="00325908">
              <w:rPr>
                <w:rFonts w:eastAsiaTheme="majorEastAsia"/>
              </w:rPr>
              <w:t>RPBS ordinary: 60.52%</w:t>
            </w:r>
          </w:p>
          <w:p w14:paraId="19B4B1CA" w14:textId="77777777" w:rsidR="004D1C6C" w:rsidRPr="00325908" w:rsidRDefault="004D1C6C" w:rsidP="00847057">
            <w:pPr>
              <w:pStyle w:val="Tabletext"/>
              <w:rPr>
                <w:rFonts w:eastAsiaTheme="majorEastAsia"/>
              </w:rPr>
            </w:pPr>
            <w:r w:rsidRPr="00325908">
              <w:rPr>
                <w:rFonts w:eastAsiaTheme="majorEastAsia"/>
              </w:rPr>
              <w:t>RPBS safety net: 39.48%</w:t>
            </w:r>
          </w:p>
        </w:tc>
        <w:tc>
          <w:tcPr>
            <w:tcW w:w="1303" w:type="pct"/>
            <w:shd w:val="clear" w:color="auto" w:fill="auto"/>
            <w:vAlign w:val="center"/>
          </w:tcPr>
          <w:p w14:paraId="44154615" w14:textId="77777777" w:rsidR="004D1C6C" w:rsidRPr="00325908" w:rsidRDefault="004D1C6C" w:rsidP="00847057">
            <w:pPr>
              <w:pStyle w:val="Tabletext"/>
              <w:rPr>
                <w:rFonts w:eastAsiaTheme="majorEastAsia"/>
              </w:rPr>
            </w:pPr>
            <w:r w:rsidRPr="00325908">
              <w:rPr>
                <w:rFonts w:eastAsiaTheme="majorEastAsia"/>
              </w:rPr>
              <w:t>Services Australia: Pooled services processed for preservative free ocular lubricant over the 12-month period September 2020 to August 2021</w:t>
            </w:r>
          </w:p>
        </w:tc>
        <w:tc>
          <w:tcPr>
            <w:tcW w:w="954" w:type="pct"/>
            <w:shd w:val="clear" w:color="auto" w:fill="auto"/>
            <w:vAlign w:val="center"/>
          </w:tcPr>
          <w:p w14:paraId="7F2E7A34" w14:textId="77777777" w:rsidR="004D1C6C" w:rsidRPr="00325908" w:rsidRDefault="004D1C6C" w:rsidP="00847057">
            <w:pPr>
              <w:pStyle w:val="Tabletext"/>
              <w:jc w:val="center"/>
              <w:rPr>
                <w:rFonts w:eastAsiaTheme="majorEastAsia"/>
                <w:iCs/>
              </w:rPr>
            </w:pPr>
          </w:p>
        </w:tc>
      </w:tr>
      <w:tr w:rsidR="004D1C6C" w:rsidRPr="00325908" w14:paraId="2EE6D117" w14:textId="77777777" w:rsidTr="0052372A">
        <w:tc>
          <w:tcPr>
            <w:tcW w:w="1516" w:type="pct"/>
            <w:shd w:val="clear" w:color="auto" w:fill="auto"/>
            <w:vAlign w:val="center"/>
          </w:tcPr>
          <w:p w14:paraId="37646982" w14:textId="77777777" w:rsidR="004D1C6C" w:rsidRPr="00325908" w:rsidRDefault="004D1C6C" w:rsidP="00847057">
            <w:pPr>
              <w:pStyle w:val="Tabletext"/>
              <w:rPr>
                <w:rFonts w:eastAsiaTheme="majorEastAsia"/>
              </w:rPr>
            </w:pPr>
            <w:r w:rsidRPr="00325908">
              <w:rPr>
                <w:rFonts w:eastAsiaTheme="majorEastAsia"/>
              </w:rPr>
              <w:t>Co-payments by beneficiary type</w:t>
            </w:r>
          </w:p>
        </w:tc>
        <w:tc>
          <w:tcPr>
            <w:tcW w:w="1227" w:type="pct"/>
            <w:shd w:val="clear" w:color="auto" w:fill="auto"/>
            <w:vAlign w:val="center"/>
          </w:tcPr>
          <w:p w14:paraId="2230616B" w14:textId="77777777" w:rsidR="004D1C6C" w:rsidRPr="00325908" w:rsidRDefault="004D1C6C" w:rsidP="00847057">
            <w:pPr>
              <w:pStyle w:val="Tabletext"/>
              <w:rPr>
                <w:rFonts w:eastAsiaTheme="majorEastAsia"/>
              </w:rPr>
            </w:pPr>
            <w:r w:rsidRPr="00325908">
              <w:rPr>
                <w:rFonts w:eastAsiaTheme="majorEastAsia"/>
              </w:rPr>
              <w:t>General ordinary: $41.30</w:t>
            </w:r>
          </w:p>
          <w:p w14:paraId="3515FA66" w14:textId="77777777" w:rsidR="004D1C6C" w:rsidRPr="00325908" w:rsidRDefault="004D1C6C" w:rsidP="00847057">
            <w:pPr>
              <w:pStyle w:val="Tabletext"/>
              <w:rPr>
                <w:rFonts w:eastAsiaTheme="majorEastAsia"/>
              </w:rPr>
            </w:pPr>
            <w:r w:rsidRPr="00325908">
              <w:rPr>
                <w:rFonts w:eastAsiaTheme="majorEastAsia"/>
              </w:rPr>
              <w:t>General safety net: $6.60</w:t>
            </w:r>
          </w:p>
          <w:p w14:paraId="2733DB32" w14:textId="77777777" w:rsidR="004D1C6C" w:rsidRPr="00325908" w:rsidRDefault="004D1C6C" w:rsidP="00847057">
            <w:pPr>
              <w:pStyle w:val="Tabletext"/>
              <w:rPr>
                <w:rFonts w:eastAsiaTheme="majorEastAsia"/>
              </w:rPr>
            </w:pPr>
            <w:r w:rsidRPr="00325908">
              <w:rPr>
                <w:rFonts w:eastAsiaTheme="majorEastAsia"/>
              </w:rPr>
              <w:t>Concessional ordinary: $6.60</w:t>
            </w:r>
          </w:p>
          <w:p w14:paraId="0B6CD33A" w14:textId="77777777" w:rsidR="004D1C6C" w:rsidRPr="00325908" w:rsidRDefault="004D1C6C" w:rsidP="00847057">
            <w:pPr>
              <w:pStyle w:val="Tabletext"/>
              <w:rPr>
                <w:rFonts w:eastAsiaTheme="majorEastAsia"/>
              </w:rPr>
            </w:pPr>
            <w:r w:rsidRPr="00325908">
              <w:rPr>
                <w:rFonts w:eastAsiaTheme="majorEastAsia"/>
              </w:rPr>
              <w:t>RPBS ordinary: $6.60</w:t>
            </w:r>
          </w:p>
        </w:tc>
        <w:tc>
          <w:tcPr>
            <w:tcW w:w="1303" w:type="pct"/>
            <w:shd w:val="clear" w:color="auto" w:fill="auto"/>
            <w:vAlign w:val="center"/>
          </w:tcPr>
          <w:p w14:paraId="68F0052D" w14:textId="0C2D8A02" w:rsidR="004D1C6C" w:rsidRPr="00325908" w:rsidRDefault="000A326B" w:rsidP="00847057">
            <w:pPr>
              <w:pStyle w:val="Tabletext"/>
              <w:rPr>
                <w:rFonts w:eastAsiaTheme="majorEastAsia"/>
              </w:rPr>
            </w:pPr>
            <w:proofErr w:type="spellStart"/>
            <w:r w:rsidRPr="00325908">
              <w:rPr>
                <w:rFonts w:eastAsiaTheme="majorEastAsia"/>
              </w:rPr>
              <w:t>Do</w:t>
            </w:r>
            <w:r>
              <w:rPr>
                <w:rFonts w:eastAsiaTheme="majorEastAsia"/>
              </w:rPr>
              <w:t>H</w:t>
            </w:r>
            <w:proofErr w:type="spellEnd"/>
            <w:r w:rsidR="004D1C6C" w:rsidRPr="00325908">
              <w:rPr>
                <w:rFonts w:eastAsiaTheme="majorEastAsia"/>
              </w:rPr>
              <w:t xml:space="preserve"> utilisation and cost model workbook</w:t>
            </w:r>
          </w:p>
        </w:tc>
        <w:tc>
          <w:tcPr>
            <w:tcW w:w="954" w:type="pct"/>
            <w:shd w:val="clear" w:color="auto" w:fill="auto"/>
            <w:vAlign w:val="center"/>
          </w:tcPr>
          <w:p w14:paraId="5B037686" w14:textId="77777777" w:rsidR="004D1C6C" w:rsidRPr="00325908" w:rsidRDefault="004D1C6C" w:rsidP="00847057">
            <w:pPr>
              <w:pStyle w:val="Tabletext"/>
              <w:jc w:val="center"/>
              <w:rPr>
                <w:rFonts w:eastAsiaTheme="majorEastAsia"/>
                <w:iCs/>
              </w:rPr>
            </w:pPr>
          </w:p>
        </w:tc>
      </w:tr>
    </w:tbl>
    <w:p w14:paraId="67F03419" w14:textId="7DE701A2" w:rsidR="004D1C6C" w:rsidRPr="0002798F" w:rsidRDefault="004D1C6C" w:rsidP="004D1C6C">
      <w:pPr>
        <w:pStyle w:val="TableFigureFooter"/>
      </w:pPr>
      <w:r w:rsidRPr="0002798F">
        <w:t>Source; Table 4.1.1, p167 of the submission.</w:t>
      </w:r>
      <w:r w:rsidR="001418C1">
        <w:t xml:space="preserve"> RSA = risk sharing arrangement</w:t>
      </w:r>
    </w:p>
    <w:p w14:paraId="2DC1E418" w14:textId="61FC0B3F" w:rsidR="007335BB" w:rsidRDefault="004D1C6C" w:rsidP="00B505C8">
      <w:pPr>
        <w:pStyle w:val="3-BodyText"/>
      </w:pPr>
      <w:r w:rsidRPr="0002798F">
        <w:lastRenderedPageBreak/>
        <w:t>The estimated use and financial implications a</w:t>
      </w:r>
      <w:r w:rsidR="00C61A7F" w:rsidRPr="0002798F">
        <w:t xml:space="preserve">re shown below in Table </w:t>
      </w:r>
      <w:r w:rsidR="00804738" w:rsidRPr="0002798F">
        <w:t>1</w:t>
      </w:r>
      <w:r w:rsidR="00F200D4">
        <w:t>4</w:t>
      </w:r>
      <w:r w:rsidR="00C61A7F" w:rsidRPr="0002798F">
        <w:t>.</w:t>
      </w:r>
    </w:p>
    <w:p w14:paraId="42C29112" w14:textId="7C914717" w:rsidR="001811EC" w:rsidRDefault="001811EC" w:rsidP="001811EC">
      <w:pPr>
        <w:pStyle w:val="TableFigureHeading"/>
      </w:pPr>
      <w:r>
        <w:t xml:space="preserve">Table </w:t>
      </w:r>
      <w:fldSimple w:instr=" SEQ Table \* ARABIC ">
        <w:r>
          <w:rPr>
            <w:noProof/>
          </w:rPr>
          <w:t>1</w:t>
        </w:r>
        <w:r w:rsidR="00F200D4">
          <w:rPr>
            <w:noProof/>
          </w:rPr>
          <w:t>4</w:t>
        </w:r>
      </w:fldSimple>
      <w:r w:rsidRPr="008A35AC">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w:tblDescription w:val="Table 13: Estimated use and financial implications"/>
      </w:tblPr>
      <w:tblGrid>
        <w:gridCol w:w="1970"/>
        <w:gridCol w:w="1142"/>
        <w:gridCol w:w="1143"/>
        <w:gridCol w:w="1143"/>
        <w:gridCol w:w="1143"/>
        <w:gridCol w:w="1143"/>
        <w:gridCol w:w="1333"/>
      </w:tblGrid>
      <w:tr w:rsidR="00385A9D" w:rsidRPr="0002798F" w14:paraId="43A2A3A1" w14:textId="77777777" w:rsidTr="004B1838">
        <w:trPr>
          <w:tblHeader/>
        </w:trPr>
        <w:tc>
          <w:tcPr>
            <w:tcW w:w="1092" w:type="pct"/>
            <w:shd w:val="clear" w:color="auto" w:fill="auto"/>
            <w:vAlign w:val="center"/>
          </w:tcPr>
          <w:p w14:paraId="0A4E41E1" w14:textId="77777777" w:rsidR="00385A9D" w:rsidRPr="0002798F" w:rsidRDefault="00385A9D" w:rsidP="00606FBA">
            <w:pPr>
              <w:pStyle w:val="In-tableHeading"/>
              <w:jc w:val="center"/>
              <w:rPr>
                <w:lang w:val="en-AU"/>
              </w:rPr>
            </w:pPr>
          </w:p>
        </w:tc>
        <w:tc>
          <w:tcPr>
            <w:tcW w:w="633" w:type="pct"/>
            <w:shd w:val="clear" w:color="auto" w:fill="auto"/>
            <w:vAlign w:val="center"/>
          </w:tcPr>
          <w:p w14:paraId="77420B6F" w14:textId="77777777" w:rsidR="00385A9D" w:rsidRPr="0002798F" w:rsidRDefault="00385A9D" w:rsidP="00606FBA">
            <w:pPr>
              <w:pStyle w:val="In-tableHeading"/>
              <w:jc w:val="center"/>
              <w:rPr>
                <w:lang w:val="en-AU"/>
              </w:rPr>
            </w:pPr>
            <w:r w:rsidRPr="0002798F">
              <w:rPr>
                <w:lang w:val="en-AU"/>
              </w:rPr>
              <w:t>Year 1</w:t>
            </w:r>
          </w:p>
        </w:tc>
        <w:tc>
          <w:tcPr>
            <w:tcW w:w="634" w:type="pct"/>
            <w:shd w:val="clear" w:color="auto" w:fill="auto"/>
            <w:vAlign w:val="center"/>
          </w:tcPr>
          <w:p w14:paraId="3BBD9218" w14:textId="77777777" w:rsidR="00385A9D" w:rsidRPr="0002798F" w:rsidRDefault="00385A9D" w:rsidP="00606FBA">
            <w:pPr>
              <w:pStyle w:val="In-tableHeading"/>
              <w:jc w:val="center"/>
              <w:rPr>
                <w:lang w:val="en-AU"/>
              </w:rPr>
            </w:pPr>
            <w:r w:rsidRPr="0002798F">
              <w:rPr>
                <w:lang w:val="en-AU"/>
              </w:rPr>
              <w:t>Year 2</w:t>
            </w:r>
          </w:p>
        </w:tc>
        <w:tc>
          <w:tcPr>
            <w:tcW w:w="634" w:type="pct"/>
            <w:shd w:val="clear" w:color="auto" w:fill="auto"/>
            <w:vAlign w:val="center"/>
          </w:tcPr>
          <w:p w14:paraId="729A646E" w14:textId="77777777" w:rsidR="00385A9D" w:rsidRPr="0002798F" w:rsidRDefault="00385A9D" w:rsidP="00606FBA">
            <w:pPr>
              <w:pStyle w:val="In-tableHeading"/>
              <w:jc w:val="center"/>
              <w:rPr>
                <w:lang w:val="en-AU"/>
              </w:rPr>
            </w:pPr>
            <w:r w:rsidRPr="0002798F">
              <w:rPr>
                <w:lang w:val="en-AU"/>
              </w:rPr>
              <w:t>Year 3</w:t>
            </w:r>
          </w:p>
        </w:tc>
        <w:tc>
          <w:tcPr>
            <w:tcW w:w="634" w:type="pct"/>
            <w:shd w:val="clear" w:color="auto" w:fill="auto"/>
            <w:vAlign w:val="center"/>
          </w:tcPr>
          <w:p w14:paraId="280BB544" w14:textId="77777777" w:rsidR="00385A9D" w:rsidRPr="0002798F" w:rsidRDefault="00385A9D" w:rsidP="00606FBA">
            <w:pPr>
              <w:pStyle w:val="In-tableHeading"/>
              <w:jc w:val="center"/>
              <w:rPr>
                <w:lang w:val="en-AU"/>
              </w:rPr>
            </w:pPr>
            <w:r w:rsidRPr="0002798F">
              <w:rPr>
                <w:lang w:val="en-AU"/>
              </w:rPr>
              <w:t>Year 4</w:t>
            </w:r>
          </w:p>
        </w:tc>
        <w:tc>
          <w:tcPr>
            <w:tcW w:w="634" w:type="pct"/>
            <w:shd w:val="clear" w:color="auto" w:fill="auto"/>
            <w:vAlign w:val="center"/>
          </w:tcPr>
          <w:p w14:paraId="6435BB5B" w14:textId="77777777" w:rsidR="00385A9D" w:rsidRPr="0002798F" w:rsidRDefault="00385A9D" w:rsidP="00606FBA">
            <w:pPr>
              <w:pStyle w:val="In-tableHeading"/>
              <w:jc w:val="center"/>
              <w:rPr>
                <w:lang w:val="en-AU"/>
              </w:rPr>
            </w:pPr>
            <w:r w:rsidRPr="0002798F">
              <w:rPr>
                <w:lang w:val="en-AU"/>
              </w:rPr>
              <w:t>Year 5</w:t>
            </w:r>
          </w:p>
        </w:tc>
        <w:tc>
          <w:tcPr>
            <w:tcW w:w="739" w:type="pct"/>
          </w:tcPr>
          <w:p w14:paraId="7C618119" w14:textId="77777777" w:rsidR="00385A9D" w:rsidRPr="0002798F" w:rsidRDefault="00385A9D" w:rsidP="00606FBA">
            <w:pPr>
              <w:pStyle w:val="In-tableHeading"/>
              <w:jc w:val="center"/>
              <w:rPr>
                <w:lang w:val="en-AU"/>
              </w:rPr>
            </w:pPr>
            <w:r w:rsidRPr="0002798F">
              <w:rPr>
                <w:lang w:val="en-AU"/>
              </w:rPr>
              <w:t>Year 6</w:t>
            </w:r>
          </w:p>
        </w:tc>
      </w:tr>
      <w:tr w:rsidR="00385A9D" w:rsidRPr="0002798F" w14:paraId="3C519059" w14:textId="77777777" w:rsidTr="004B1838">
        <w:tc>
          <w:tcPr>
            <w:tcW w:w="5000" w:type="pct"/>
            <w:gridSpan w:val="7"/>
            <w:shd w:val="clear" w:color="auto" w:fill="auto"/>
            <w:vAlign w:val="center"/>
          </w:tcPr>
          <w:p w14:paraId="516C2197" w14:textId="77777777" w:rsidR="00385A9D" w:rsidRPr="0002798F" w:rsidRDefault="00385A9D" w:rsidP="00606FBA">
            <w:pPr>
              <w:pStyle w:val="In-tableHeading"/>
              <w:rPr>
                <w:bCs/>
                <w:color w:val="000000"/>
                <w:lang w:val="en-AU"/>
              </w:rPr>
            </w:pPr>
            <w:r w:rsidRPr="0002798F">
              <w:rPr>
                <w:bCs/>
                <w:color w:val="000000"/>
                <w:lang w:val="en-AU"/>
              </w:rPr>
              <w:t>Estimated extent of use</w:t>
            </w:r>
          </w:p>
        </w:tc>
      </w:tr>
      <w:tr w:rsidR="004B1838" w:rsidRPr="0002798F" w14:paraId="148A8EEF" w14:textId="77777777" w:rsidTr="004B1838">
        <w:tc>
          <w:tcPr>
            <w:tcW w:w="1092" w:type="pct"/>
            <w:shd w:val="clear" w:color="auto" w:fill="auto"/>
            <w:vAlign w:val="center"/>
          </w:tcPr>
          <w:p w14:paraId="201B6ECA" w14:textId="77777777" w:rsidR="004B1838" w:rsidRPr="0002798F" w:rsidRDefault="004B1838" w:rsidP="004B1838">
            <w:pPr>
              <w:pStyle w:val="TableText0"/>
              <w:rPr>
                <w:rFonts w:ascii="Times" w:hAnsi="Times"/>
              </w:rPr>
            </w:pPr>
            <w:r w:rsidRPr="0002798F">
              <w:t>Number of patients treated</w:t>
            </w:r>
          </w:p>
        </w:tc>
        <w:tc>
          <w:tcPr>
            <w:tcW w:w="633" w:type="pct"/>
            <w:shd w:val="clear" w:color="auto" w:fill="auto"/>
            <w:vAlign w:val="center"/>
          </w:tcPr>
          <w:p w14:paraId="577607A9" w14:textId="30304619" w:rsidR="004B1838" w:rsidRPr="00843B93" w:rsidRDefault="00843B93" w:rsidP="004B1838">
            <w:pPr>
              <w:pStyle w:val="TableText0"/>
              <w:jc w:val="center"/>
              <w:rPr>
                <w:color w:val="000000"/>
                <w:highlight w:val="yellow"/>
              </w:rPr>
            </w:pPr>
            <w:r w:rsidRPr="00843B93">
              <w:rPr>
                <w:rFonts w:asciiTheme="minorHAnsi" w:hAnsiTheme="minorHAnsi" w:cstheme="minorHAnsi"/>
                <w:color w:val="000000"/>
                <w:w w:val="89"/>
                <w:szCs w:val="20"/>
                <w:shd w:val="solid" w:color="000000" w:fill="000000"/>
                <w:fitText w:val="165" w:id="-1506115066"/>
                <w14:textFill>
                  <w14:solidFill>
                    <w14:srgbClr w14:val="000000">
                      <w14:alpha w14:val="100000"/>
                    </w14:srgbClr>
                  </w14:solidFill>
                </w14:textFill>
              </w:rPr>
              <w:t>|</w:t>
            </w:r>
            <w:r w:rsidRPr="00843B93">
              <w:rPr>
                <w:rFonts w:asciiTheme="minorHAnsi" w:hAnsiTheme="minorHAnsi" w:cstheme="minorHAnsi"/>
                <w:color w:val="000000"/>
                <w:spacing w:val="1"/>
                <w:w w:val="89"/>
                <w:szCs w:val="20"/>
                <w:shd w:val="solid" w:color="000000" w:fill="000000"/>
                <w:fitText w:val="165" w:id="-1506115066"/>
                <w14:textFill>
                  <w14:solidFill>
                    <w14:srgbClr w14:val="000000">
                      <w14:alpha w14:val="100000"/>
                    </w14:srgbClr>
                  </w14:solidFill>
                </w14:textFill>
              </w:rPr>
              <w:t>|</w:t>
            </w:r>
            <w:r w:rsidR="004232E7" w:rsidRPr="00721ADD">
              <w:rPr>
                <w:iCs/>
                <w:szCs w:val="18"/>
                <w:vertAlign w:val="superscript"/>
              </w:rPr>
              <w:t>1</w:t>
            </w:r>
          </w:p>
        </w:tc>
        <w:tc>
          <w:tcPr>
            <w:tcW w:w="634" w:type="pct"/>
            <w:shd w:val="clear" w:color="auto" w:fill="auto"/>
            <w:vAlign w:val="center"/>
          </w:tcPr>
          <w:p w14:paraId="6610B4C9" w14:textId="216BDCE7" w:rsidR="004B1838" w:rsidRPr="00843B93" w:rsidRDefault="00843B93" w:rsidP="004B1838">
            <w:pPr>
              <w:pStyle w:val="TableText0"/>
              <w:jc w:val="center"/>
              <w:rPr>
                <w:color w:val="000000"/>
                <w:highlight w:val="yellow"/>
              </w:rPr>
            </w:pPr>
            <w:r w:rsidRPr="00843B93">
              <w:rPr>
                <w:rFonts w:asciiTheme="minorHAnsi" w:hAnsiTheme="minorHAnsi" w:cstheme="minorHAnsi"/>
                <w:color w:val="000000"/>
                <w:w w:val="89"/>
                <w:szCs w:val="20"/>
                <w:shd w:val="solid" w:color="000000" w:fill="000000"/>
                <w:fitText w:val="165" w:id="-1506115065"/>
                <w14:textFill>
                  <w14:solidFill>
                    <w14:srgbClr w14:val="000000">
                      <w14:alpha w14:val="100000"/>
                    </w14:srgbClr>
                  </w14:solidFill>
                </w14:textFill>
              </w:rPr>
              <w:t>|</w:t>
            </w:r>
            <w:r w:rsidRPr="00843B93">
              <w:rPr>
                <w:rFonts w:asciiTheme="minorHAnsi" w:hAnsiTheme="minorHAnsi" w:cstheme="minorHAnsi"/>
                <w:color w:val="000000"/>
                <w:spacing w:val="1"/>
                <w:w w:val="89"/>
                <w:szCs w:val="20"/>
                <w:shd w:val="solid" w:color="000000" w:fill="000000"/>
                <w:fitText w:val="165" w:id="-1506115065"/>
                <w14:textFill>
                  <w14:solidFill>
                    <w14:srgbClr w14:val="000000">
                      <w14:alpha w14:val="100000"/>
                    </w14:srgbClr>
                  </w14:solidFill>
                </w14:textFill>
              </w:rPr>
              <w:t>|</w:t>
            </w:r>
            <w:r w:rsidR="004232E7" w:rsidRPr="00721ADD">
              <w:rPr>
                <w:iCs/>
                <w:szCs w:val="18"/>
                <w:vertAlign w:val="superscript"/>
              </w:rPr>
              <w:t>1</w:t>
            </w:r>
          </w:p>
        </w:tc>
        <w:tc>
          <w:tcPr>
            <w:tcW w:w="634" w:type="pct"/>
            <w:shd w:val="clear" w:color="auto" w:fill="auto"/>
            <w:vAlign w:val="center"/>
          </w:tcPr>
          <w:p w14:paraId="29F46D6B" w14:textId="3D4D51C3" w:rsidR="004B1838" w:rsidRPr="00843B93" w:rsidRDefault="00843B93" w:rsidP="004B1838">
            <w:pPr>
              <w:pStyle w:val="TableText0"/>
              <w:jc w:val="center"/>
              <w:rPr>
                <w:color w:val="000000"/>
                <w:highlight w:val="yellow"/>
              </w:rPr>
            </w:pPr>
            <w:r w:rsidRPr="00843B93">
              <w:rPr>
                <w:rFonts w:asciiTheme="minorHAnsi" w:hAnsiTheme="minorHAnsi" w:cstheme="minorHAnsi"/>
                <w:color w:val="000000"/>
                <w:szCs w:val="20"/>
                <w:shd w:val="solid" w:color="000000" w:fill="000000"/>
                <w:fitText w:val="375" w:id="-1506115064"/>
                <w14:textFill>
                  <w14:solidFill>
                    <w14:srgbClr w14:val="000000">
                      <w14:alpha w14:val="100000"/>
                    </w14:srgbClr>
                  </w14:solidFill>
                </w14:textFill>
              </w:rPr>
              <w:t>||||</w:t>
            </w:r>
            <w:r w:rsidR="004232E7" w:rsidRPr="00721ADD">
              <w:rPr>
                <w:iCs/>
                <w:szCs w:val="18"/>
                <w:vertAlign w:val="superscript"/>
              </w:rPr>
              <w:t>1</w:t>
            </w:r>
          </w:p>
        </w:tc>
        <w:tc>
          <w:tcPr>
            <w:tcW w:w="634" w:type="pct"/>
            <w:shd w:val="clear" w:color="auto" w:fill="auto"/>
            <w:vAlign w:val="center"/>
          </w:tcPr>
          <w:p w14:paraId="21167904" w14:textId="08B1B774" w:rsidR="004B1838" w:rsidRPr="00843B93" w:rsidRDefault="00843B93" w:rsidP="004B1838">
            <w:pPr>
              <w:pStyle w:val="TableText0"/>
              <w:jc w:val="center"/>
              <w:rPr>
                <w:color w:val="000000"/>
                <w:highlight w:val="yellow"/>
              </w:rPr>
            </w:pPr>
            <w:r w:rsidRPr="00843B93">
              <w:rPr>
                <w:rFonts w:asciiTheme="minorHAnsi" w:hAnsiTheme="minorHAnsi" w:cstheme="minorHAnsi"/>
                <w:color w:val="000000"/>
                <w:szCs w:val="20"/>
                <w:shd w:val="solid" w:color="000000" w:fill="000000"/>
                <w:fitText w:val="375" w:id="-1506115062"/>
                <w14:textFill>
                  <w14:solidFill>
                    <w14:srgbClr w14:val="000000">
                      <w14:alpha w14:val="100000"/>
                    </w14:srgbClr>
                  </w14:solidFill>
                </w14:textFill>
              </w:rPr>
              <w:t>||||</w:t>
            </w:r>
            <w:r w:rsidR="004232E7" w:rsidRPr="00721ADD">
              <w:rPr>
                <w:iCs/>
                <w:szCs w:val="18"/>
                <w:vertAlign w:val="superscript"/>
              </w:rPr>
              <w:t>1</w:t>
            </w:r>
          </w:p>
        </w:tc>
        <w:tc>
          <w:tcPr>
            <w:tcW w:w="634" w:type="pct"/>
            <w:shd w:val="clear" w:color="auto" w:fill="auto"/>
            <w:vAlign w:val="center"/>
          </w:tcPr>
          <w:p w14:paraId="762D4B71" w14:textId="5A98844B" w:rsidR="004B1838" w:rsidRPr="00843B93" w:rsidRDefault="00843B93" w:rsidP="004B1838">
            <w:pPr>
              <w:pStyle w:val="TableText0"/>
              <w:jc w:val="center"/>
              <w:rPr>
                <w:color w:val="000000"/>
                <w:highlight w:val="yellow"/>
              </w:rPr>
            </w:pPr>
            <w:r w:rsidRPr="00843B93">
              <w:rPr>
                <w:rFonts w:asciiTheme="minorHAnsi" w:hAnsiTheme="minorHAnsi" w:cstheme="minorHAnsi"/>
                <w:color w:val="000000"/>
                <w:w w:val="89"/>
                <w:szCs w:val="20"/>
                <w:shd w:val="solid" w:color="000000" w:fill="000000"/>
                <w:fitText w:val="165" w:id="-1506115060"/>
                <w14:textFill>
                  <w14:solidFill>
                    <w14:srgbClr w14:val="000000">
                      <w14:alpha w14:val="100000"/>
                    </w14:srgbClr>
                  </w14:solidFill>
                </w14:textFill>
              </w:rPr>
              <w:t>|</w:t>
            </w:r>
            <w:r w:rsidRPr="00843B93">
              <w:rPr>
                <w:rFonts w:asciiTheme="minorHAnsi" w:hAnsiTheme="minorHAnsi" w:cstheme="minorHAnsi"/>
                <w:color w:val="000000"/>
                <w:spacing w:val="1"/>
                <w:w w:val="89"/>
                <w:szCs w:val="20"/>
                <w:shd w:val="solid" w:color="000000" w:fill="000000"/>
                <w:fitText w:val="165" w:id="-1506115060"/>
                <w14:textFill>
                  <w14:solidFill>
                    <w14:srgbClr w14:val="000000">
                      <w14:alpha w14:val="100000"/>
                    </w14:srgbClr>
                  </w14:solidFill>
                </w14:textFill>
              </w:rPr>
              <w:t>|</w:t>
            </w:r>
            <w:r w:rsidR="004232E7" w:rsidRPr="00721ADD">
              <w:rPr>
                <w:iCs/>
                <w:szCs w:val="18"/>
                <w:vertAlign w:val="superscript"/>
              </w:rPr>
              <w:t>1</w:t>
            </w:r>
          </w:p>
        </w:tc>
        <w:tc>
          <w:tcPr>
            <w:tcW w:w="739" w:type="pct"/>
            <w:vAlign w:val="center"/>
          </w:tcPr>
          <w:p w14:paraId="42B428B5" w14:textId="4A86EA1C" w:rsidR="004B1838" w:rsidRPr="00843B93" w:rsidRDefault="00843B93" w:rsidP="004B1838">
            <w:pPr>
              <w:pStyle w:val="TableText0"/>
              <w:jc w:val="center"/>
              <w:rPr>
                <w:color w:val="000000"/>
                <w:highlight w:val="yellow"/>
              </w:rPr>
            </w:pPr>
            <w:r w:rsidRPr="00843B93">
              <w:rPr>
                <w:rFonts w:asciiTheme="minorHAnsi" w:hAnsiTheme="minorHAnsi" w:cstheme="minorHAnsi" w:hint="eastAsia"/>
                <w:color w:val="000000"/>
                <w:w w:val="18"/>
                <w:szCs w:val="20"/>
                <w:shd w:val="solid" w:color="000000" w:fill="000000"/>
                <w:fitText w:val="90" w:id="-1506115059"/>
                <w14:textFill>
                  <w14:solidFill>
                    <w14:srgbClr w14:val="000000">
                      <w14:alpha w14:val="100000"/>
                    </w14:srgbClr>
                  </w14:solidFill>
                </w14:textFill>
              </w:rPr>
              <w:t xml:space="preserve">　</w:t>
            </w:r>
            <w:r w:rsidRPr="00843B93">
              <w:rPr>
                <w:rFonts w:asciiTheme="minorHAnsi" w:hAnsiTheme="minorHAnsi" w:cstheme="minorHAnsi"/>
                <w:color w:val="000000"/>
                <w:w w:val="18"/>
                <w:szCs w:val="20"/>
                <w:shd w:val="solid" w:color="000000" w:fill="000000"/>
                <w:fitText w:val="90" w:id="-1506115059"/>
                <w14:textFill>
                  <w14:solidFill>
                    <w14:srgbClr w14:val="000000">
                      <w14:alpha w14:val="100000"/>
                    </w14:srgbClr>
                  </w14:solidFill>
                </w14:textFill>
              </w:rPr>
              <w:t>|</w:t>
            </w:r>
            <w:r w:rsidRPr="00843B93">
              <w:rPr>
                <w:rFonts w:asciiTheme="minorHAnsi" w:hAnsiTheme="minorHAnsi" w:cstheme="minorHAnsi" w:hint="eastAsia"/>
                <w:color w:val="000000"/>
                <w:spacing w:val="1"/>
                <w:w w:val="18"/>
                <w:szCs w:val="20"/>
                <w:shd w:val="solid" w:color="000000" w:fill="000000"/>
                <w:fitText w:val="90" w:id="-1506115059"/>
                <w14:textFill>
                  <w14:solidFill>
                    <w14:srgbClr w14:val="000000">
                      <w14:alpha w14:val="100000"/>
                    </w14:srgbClr>
                  </w14:solidFill>
                </w14:textFill>
              </w:rPr>
              <w:t xml:space="preserve">　</w:t>
            </w:r>
            <w:r w:rsidR="004232E7" w:rsidRPr="00721ADD">
              <w:rPr>
                <w:iCs/>
                <w:szCs w:val="18"/>
                <w:vertAlign w:val="superscript"/>
              </w:rPr>
              <w:t>1</w:t>
            </w:r>
          </w:p>
        </w:tc>
      </w:tr>
      <w:tr w:rsidR="004B1838" w:rsidRPr="0002798F" w14:paraId="1CEE4D09" w14:textId="77777777" w:rsidTr="004B1838">
        <w:tc>
          <w:tcPr>
            <w:tcW w:w="1092" w:type="pct"/>
            <w:shd w:val="clear" w:color="auto" w:fill="auto"/>
            <w:vAlign w:val="center"/>
          </w:tcPr>
          <w:p w14:paraId="229A1EDF" w14:textId="77777777" w:rsidR="004B1838" w:rsidRPr="0002798F" w:rsidRDefault="004B1838" w:rsidP="004B1838">
            <w:pPr>
              <w:pStyle w:val="TableText0"/>
              <w:rPr>
                <w:rFonts w:ascii="Times" w:hAnsi="Times"/>
              </w:rPr>
            </w:pPr>
            <w:r w:rsidRPr="0002798F">
              <w:t xml:space="preserve">Number of scripts </w:t>
            </w:r>
            <w:proofErr w:type="spellStart"/>
            <w:r w:rsidRPr="0002798F">
              <w:t>dispensed</w:t>
            </w:r>
            <w:r w:rsidRPr="0002798F">
              <w:rPr>
                <w:vertAlign w:val="superscript"/>
              </w:rPr>
              <w:t>a</w:t>
            </w:r>
            <w:proofErr w:type="spellEnd"/>
          </w:p>
        </w:tc>
        <w:tc>
          <w:tcPr>
            <w:tcW w:w="633" w:type="pct"/>
            <w:shd w:val="clear" w:color="auto" w:fill="auto"/>
            <w:vAlign w:val="center"/>
          </w:tcPr>
          <w:p w14:paraId="0D9F25C2" w14:textId="101FEAFC" w:rsidR="004B1838" w:rsidRPr="00843B93" w:rsidRDefault="00843B93" w:rsidP="004B1838">
            <w:pPr>
              <w:pStyle w:val="TableText0"/>
              <w:jc w:val="center"/>
              <w:rPr>
                <w:color w:val="000000"/>
                <w:highlight w:val="yellow"/>
              </w:rPr>
            </w:pPr>
            <w:r w:rsidRPr="00843B93">
              <w:rPr>
                <w:rFonts w:cs="Calibri" w:hint="eastAsia"/>
                <w:color w:val="000000"/>
                <w:w w:val="15"/>
                <w:szCs w:val="20"/>
                <w:shd w:val="solid" w:color="000000" w:fill="000000"/>
                <w:fitText w:val="30" w:id="-1506115058"/>
                <w14:textFill>
                  <w14:solidFill>
                    <w14:srgbClr w14:val="000000">
                      <w14:alpha w14:val="100000"/>
                    </w14:srgbClr>
                  </w14:solidFill>
                </w14:textFill>
              </w:rPr>
              <w:t xml:space="preserve">　</w:t>
            </w:r>
            <w:r w:rsidRPr="00843B93">
              <w:rPr>
                <w:rFonts w:cs="Calibri"/>
                <w:color w:val="000000"/>
                <w:w w:val="15"/>
                <w:szCs w:val="20"/>
                <w:shd w:val="solid" w:color="000000" w:fill="000000"/>
                <w:fitText w:val="30" w:id="-1506115058"/>
                <w14:textFill>
                  <w14:solidFill>
                    <w14:srgbClr w14:val="000000">
                      <w14:alpha w14:val="100000"/>
                    </w14:srgbClr>
                  </w14:solidFill>
                </w14:textFill>
              </w:rPr>
              <w:t>|</w:t>
            </w:r>
            <w:r w:rsidRPr="00843B93">
              <w:rPr>
                <w:rFonts w:cs="Calibri" w:hint="eastAsia"/>
                <w:color w:val="000000"/>
                <w:spacing w:val="-35"/>
                <w:w w:val="15"/>
                <w:szCs w:val="20"/>
                <w:shd w:val="solid" w:color="000000" w:fill="000000"/>
                <w:fitText w:val="30" w:id="-1506115058"/>
                <w14:textFill>
                  <w14:solidFill>
                    <w14:srgbClr w14:val="000000">
                      <w14:alpha w14:val="100000"/>
                    </w14:srgbClr>
                  </w14:solidFill>
                </w14:textFill>
              </w:rPr>
              <w:t xml:space="preserve">　</w:t>
            </w:r>
            <w:r w:rsidR="004232E7" w:rsidRPr="00721ADD">
              <w:rPr>
                <w:iCs/>
                <w:szCs w:val="18"/>
                <w:vertAlign w:val="superscript"/>
              </w:rPr>
              <w:t>1</w:t>
            </w:r>
          </w:p>
        </w:tc>
        <w:tc>
          <w:tcPr>
            <w:tcW w:w="634" w:type="pct"/>
            <w:shd w:val="clear" w:color="auto" w:fill="auto"/>
            <w:vAlign w:val="center"/>
          </w:tcPr>
          <w:p w14:paraId="2D7847AA" w14:textId="1A99D8AA" w:rsidR="004B1838" w:rsidRPr="00843B93" w:rsidRDefault="00843B93" w:rsidP="004B1838">
            <w:pPr>
              <w:pStyle w:val="TableText0"/>
              <w:jc w:val="center"/>
              <w:rPr>
                <w:color w:val="000000"/>
                <w:highlight w:val="yellow"/>
              </w:rPr>
            </w:pPr>
            <w:r w:rsidRPr="00843B93">
              <w:rPr>
                <w:rFonts w:cs="Calibri" w:hint="eastAsia"/>
                <w:color w:val="000000"/>
                <w:w w:val="15"/>
                <w:szCs w:val="20"/>
                <w:shd w:val="solid" w:color="000000" w:fill="000000"/>
                <w:fitText w:val="30" w:id="-1506115057"/>
                <w14:textFill>
                  <w14:solidFill>
                    <w14:srgbClr w14:val="000000">
                      <w14:alpha w14:val="100000"/>
                    </w14:srgbClr>
                  </w14:solidFill>
                </w14:textFill>
              </w:rPr>
              <w:t xml:space="preserve">　</w:t>
            </w:r>
            <w:r w:rsidRPr="00843B93">
              <w:rPr>
                <w:rFonts w:cs="Calibri"/>
                <w:color w:val="000000"/>
                <w:w w:val="15"/>
                <w:szCs w:val="20"/>
                <w:shd w:val="solid" w:color="000000" w:fill="000000"/>
                <w:fitText w:val="30" w:id="-1506115057"/>
                <w14:textFill>
                  <w14:solidFill>
                    <w14:srgbClr w14:val="000000">
                      <w14:alpha w14:val="100000"/>
                    </w14:srgbClr>
                  </w14:solidFill>
                </w14:textFill>
              </w:rPr>
              <w:t>|</w:t>
            </w:r>
            <w:r w:rsidRPr="00843B93">
              <w:rPr>
                <w:rFonts w:cs="Calibri" w:hint="eastAsia"/>
                <w:color w:val="000000"/>
                <w:spacing w:val="-35"/>
                <w:w w:val="15"/>
                <w:szCs w:val="20"/>
                <w:shd w:val="solid" w:color="000000" w:fill="000000"/>
                <w:fitText w:val="30" w:id="-1506115057"/>
                <w14:textFill>
                  <w14:solidFill>
                    <w14:srgbClr w14:val="000000">
                      <w14:alpha w14:val="100000"/>
                    </w14:srgbClr>
                  </w14:solidFill>
                </w14:textFill>
              </w:rPr>
              <w:t xml:space="preserve">　</w:t>
            </w:r>
            <w:r w:rsidR="004232E7" w:rsidRPr="00721ADD">
              <w:rPr>
                <w:iCs/>
                <w:sz w:val="18"/>
                <w:szCs w:val="18"/>
                <w:vertAlign w:val="superscript"/>
              </w:rPr>
              <w:t>3</w:t>
            </w:r>
          </w:p>
        </w:tc>
        <w:tc>
          <w:tcPr>
            <w:tcW w:w="634" w:type="pct"/>
            <w:shd w:val="clear" w:color="auto" w:fill="auto"/>
            <w:vAlign w:val="center"/>
          </w:tcPr>
          <w:p w14:paraId="7A620378" w14:textId="5A485193" w:rsidR="004B1838" w:rsidRPr="00843B93" w:rsidRDefault="00843B93" w:rsidP="004B1838">
            <w:pPr>
              <w:pStyle w:val="TableText0"/>
              <w:jc w:val="center"/>
              <w:rPr>
                <w:color w:val="000000"/>
                <w:highlight w:val="yellow"/>
              </w:rPr>
            </w:pPr>
            <w:r w:rsidRPr="00843B93">
              <w:rPr>
                <w:rFonts w:cs="Calibri" w:hint="eastAsia"/>
                <w:color w:val="000000"/>
                <w:w w:val="15"/>
                <w:szCs w:val="20"/>
                <w:shd w:val="solid" w:color="000000" w:fill="000000"/>
                <w:fitText w:val="30" w:id="-1506115056"/>
                <w14:textFill>
                  <w14:solidFill>
                    <w14:srgbClr w14:val="000000">
                      <w14:alpha w14:val="100000"/>
                    </w14:srgbClr>
                  </w14:solidFill>
                </w14:textFill>
              </w:rPr>
              <w:t xml:space="preserve">　</w:t>
            </w:r>
            <w:r w:rsidRPr="00843B93">
              <w:rPr>
                <w:rFonts w:cs="Calibri"/>
                <w:color w:val="000000"/>
                <w:w w:val="15"/>
                <w:szCs w:val="20"/>
                <w:shd w:val="solid" w:color="000000" w:fill="000000"/>
                <w:fitText w:val="30" w:id="-1506115056"/>
                <w14:textFill>
                  <w14:solidFill>
                    <w14:srgbClr w14:val="000000">
                      <w14:alpha w14:val="100000"/>
                    </w14:srgbClr>
                  </w14:solidFill>
                </w14:textFill>
              </w:rPr>
              <w:t>|</w:t>
            </w:r>
            <w:r w:rsidRPr="00843B93">
              <w:rPr>
                <w:rFonts w:cs="Calibri" w:hint="eastAsia"/>
                <w:color w:val="000000"/>
                <w:spacing w:val="-35"/>
                <w:w w:val="15"/>
                <w:szCs w:val="20"/>
                <w:shd w:val="solid" w:color="000000" w:fill="000000"/>
                <w:fitText w:val="30" w:id="-1506115056"/>
                <w14:textFill>
                  <w14:solidFill>
                    <w14:srgbClr w14:val="000000">
                      <w14:alpha w14:val="100000"/>
                    </w14:srgbClr>
                  </w14:solidFill>
                </w14:textFill>
              </w:rPr>
              <w:t xml:space="preserve">　</w:t>
            </w:r>
            <w:r w:rsidR="004232E7" w:rsidRPr="00721ADD">
              <w:rPr>
                <w:iCs/>
                <w:sz w:val="18"/>
                <w:szCs w:val="18"/>
                <w:vertAlign w:val="superscript"/>
              </w:rPr>
              <w:t>4</w:t>
            </w:r>
          </w:p>
        </w:tc>
        <w:tc>
          <w:tcPr>
            <w:tcW w:w="634" w:type="pct"/>
            <w:shd w:val="clear" w:color="auto" w:fill="auto"/>
            <w:vAlign w:val="center"/>
          </w:tcPr>
          <w:p w14:paraId="1D2C1413" w14:textId="7AEC5D16" w:rsidR="004B1838" w:rsidRPr="00843B93" w:rsidRDefault="00843B93" w:rsidP="004B1838">
            <w:pPr>
              <w:pStyle w:val="TableText0"/>
              <w:jc w:val="center"/>
              <w:rPr>
                <w:color w:val="000000"/>
                <w:highlight w:val="yellow"/>
              </w:rPr>
            </w:pPr>
            <w:r w:rsidRPr="00843B93">
              <w:rPr>
                <w:rFonts w:cs="Calibri" w:hint="eastAsia"/>
                <w:color w:val="000000"/>
                <w:w w:val="15"/>
                <w:szCs w:val="20"/>
                <w:shd w:val="solid" w:color="000000" w:fill="000000"/>
                <w:fitText w:val="30" w:id="-1506115072"/>
                <w14:textFill>
                  <w14:solidFill>
                    <w14:srgbClr w14:val="000000">
                      <w14:alpha w14:val="100000"/>
                    </w14:srgbClr>
                  </w14:solidFill>
                </w14:textFill>
              </w:rPr>
              <w:t xml:space="preserve">　</w:t>
            </w:r>
            <w:r w:rsidRPr="00843B93">
              <w:rPr>
                <w:rFonts w:cs="Calibri"/>
                <w:color w:val="000000"/>
                <w:w w:val="15"/>
                <w:szCs w:val="20"/>
                <w:shd w:val="solid" w:color="000000" w:fill="000000"/>
                <w:fitText w:val="30" w:id="-1506115072"/>
                <w14:textFill>
                  <w14:solidFill>
                    <w14:srgbClr w14:val="000000">
                      <w14:alpha w14:val="100000"/>
                    </w14:srgbClr>
                  </w14:solidFill>
                </w14:textFill>
              </w:rPr>
              <w:t>|</w:t>
            </w:r>
            <w:r w:rsidRPr="00843B93">
              <w:rPr>
                <w:rFonts w:cs="Calibri" w:hint="eastAsia"/>
                <w:color w:val="000000"/>
                <w:spacing w:val="-35"/>
                <w:w w:val="15"/>
                <w:szCs w:val="20"/>
                <w:shd w:val="solid" w:color="000000" w:fill="000000"/>
                <w:fitText w:val="30" w:id="-1506115072"/>
                <w14:textFill>
                  <w14:solidFill>
                    <w14:srgbClr w14:val="000000">
                      <w14:alpha w14:val="100000"/>
                    </w14:srgbClr>
                  </w14:solidFill>
                </w14:textFill>
              </w:rPr>
              <w:t xml:space="preserve">　</w:t>
            </w:r>
            <w:r w:rsidR="004232E7" w:rsidRPr="00721ADD">
              <w:rPr>
                <w:iCs/>
                <w:sz w:val="18"/>
                <w:szCs w:val="18"/>
                <w:vertAlign w:val="superscript"/>
              </w:rPr>
              <w:t>5</w:t>
            </w:r>
          </w:p>
        </w:tc>
        <w:tc>
          <w:tcPr>
            <w:tcW w:w="634" w:type="pct"/>
            <w:shd w:val="clear" w:color="auto" w:fill="auto"/>
            <w:vAlign w:val="center"/>
          </w:tcPr>
          <w:p w14:paraId="3F0ACB95" w14:textId="202C56AA" w:rsidR="004B1838" w:rsidRPr="00843B93" w:rsidRDefault="00843B93" w:rsidP="004B1838">
            <w:pPr>
              <w:pStyle w:val="TableText0"/>
              <w:jc w:val="center"/>
              <w:rPr>
                <w:color w:val="000000"/>
                <w:highlight w:val="yellow"/>
              </w:rPr>
            </w:pPr>
            <w:r w:rsidRPr="00843B93">
              <w:rPr>
                <w:rFonts w:cs="Calibri" w:hint="eastAsia"/>
                <w:color w:val="000000"/>
                <w:w w:val="15"/>
                <w:szCs w:val="20"/>
                <w:shd w:val="solid" w:color="000000" w:fill="000000"/>
                <w:fitText w:val="30" w:id="-1506115071"/>
                <w14:textFill>
                  <w14:solidFill>
                    <w14:srgbClr w14:val="000000">
                      <w14:alpha w14:val="100000"/>
                    </w14:srgbClr>
                  </w14:solidFill>
                </w14:textFill>
              </w:rPr>
              <w:t xml:space="preserve">　</w:t>
            </w:r>
            <w:r w:rsidRPr="00843B93">
              <w:rPr>
                <w:rFonts w:cs="Calibri"/>
                <w:color w:val="000000"/>
                <w:w w:val="15"/>
                <w:szCs w:val="20"/>
                <w:shd w:val="solid" w:color="000000" w:fill="000000"/>
                <w:fitText w:val="30" w:id="-1506115071"/>
                <w14:textFill>
                  <w14:solidFill>
                    <w14:srgbClr w14:val="000000">
                      <w14:alpha w14:val="100000"/>
                    </w14:srgbClr>
                  </w14:solidFill>
                </w14:textFill>
              </w:rPr>
              <w:t>|</w:t>
            </w:r>
            <w:r w:rsidRPr="00843B93">
              <w:rPr>
                <w:rFonts w:cs="Calibri" w:hint="eastAsia"/>
                <w:color w:val="000000"/>
                <w:spacing w:val="-35"/>
                <w:w w:val="15"/>
                <w:szCs w:val="20"/>
                <w:shd w:val="solid" w:color="000000" w:fill="000000"/>
                <w:fitText w:val="30" w:id="-1506115071"/>
                <w14:textFill>
                  <w14:solidFill>
                    <w14:srgbClr w14:val="000000">
                      <w14:alpha w14:val="100000"/>
                    </w14:srgbClr>
                  </w14:solidFill>
                </w14:textFill>
              </w:rPr>
              <w:t xml:space="preserve">　</w:t>
            </w:r>
            <w:r w:rsidR="004232E7" w:rsidRPr="00721ADD">
              <w:rPr>
                <w:iCs/>
                <w:sz w:val="18"/>
                <w:szCs w:val="18"/>
                <w:vertAlign w:val="superscript"/>
              </w:rPr>
              <w:t>5</w:t>
            </w:r>
          </w:p>
        </w:tc>
        <w:tc>
          <w:tcPr>
            <w:tcW w:w="739" w:type="pct"/>
            <w:vAlign w:val="center"/>
          </w:tcPr>
          <w:p w14:paraId="1C30F331" w14:textId="6F5C9962" w:rsidR="004B1838" w:rsidRPr="00843B93" w:rsidRDefault="00843B93" w:rsidP="004B1838">
            <w:pPr>
              <w:pStyle w:val="TableText0"/>
              <w:jc w:val="center"/>
              <w:rPr>
                <w:color w:val="000000"/>
                <w:highlight w:val="yellow"/>
              </w:rPr>
            </w:pPr>
            <w:r w:rsidRPr="00843B93">
              <w:rPr>
                <w:rFonts w:cs="Calibri"/>
                <w:color w:val="000000"/>
                <w:szCs w:val="20"/>
                <w:shd w:val="solid" w:color="000000" w:fill="000000"/>
                <w14:textFill>
                  <w14:solidFill>
                    <w14:srgbClr w14:val="000000">
                      <w14:alpha w14:val="100000"/>
                    </w14:srgbClr>
                  </w14:solidFill>
                </w14:textFill>
              </w:rPr>
              <w:t>|</w:t>
            </w:r>
            <w:r w:rsidR="004232E7" w:rsidRPr="00721ADD">
              <w:rPr>
                <w:iCs/>
                <w:sz w:val="18"/>
                <w:szCs w:val="18"/>
                <w:vertAlign w:val="superscript"/>
              </w:rPr>
              <w:t>6</w:t>
            </w:r>
          </w:p>
        </w:tc>
      </w:tr>
      <w:tr w:rsidR="004B1838" w:rsidRPr="0002798F" w14:paraId="1E699D47" w14:textId="77777777" w:rsidTr="004B1838">
        <w:tc>
          <w:tcPr>
            <w:tcW w:w="5000" w:type="pct"/>
            <w:gridSpan w:val="7"/>
            <w:shd w:val="clear" w:color="auto" w:fill="auto"/>
            <w:vAlign w:val="center"/>
          </w:tcPr>
          <w:p w14:paraId="7D0E0884" w14:textId="3CD33CEB" w:rsidR="004B1838" w:rsidRPr="0002798F" w:rsidRDefault="004B1838" w:rsidP="004B1838">
            <w:pPr>
              <w:pStyle w:val="In-tableHeading"/>
              <w:rPr>
                <w:lang w:val="en-AU"/>
              </w:rPr>
            </w:pPr>
            <w:r w:rsidRPr="0002798F">
              <w:rPr>
                <w:lang w:val="en-AU"/>
              </w:rPr>
              <w:t xml:space="preserve">Estimated financial implications of </w:t>
            </w:r>
            <w:r w:rsidR="00E6667D">
              <w:rPr>
                <w:lang w:val="en-AU"/>
              </w:rPr>
              <w:t>0.09% OTX-101</w:t>
            </w:r>
          </w:p>
        </w:tc>
      </w:tr>
      <w:tr w:rsidR="004B1838" w:rsidRPr="0002798F" w14:paraId="4B4ACF1A" w14:textId="77777777" w:rsidTr="004B1838">
        <w:tc>
          <w:tcPr>
            <w:tcW w:w="1092" w:type="pct"/>
            <w:shd w:val="clear" w:color="auto" w:fill="auto"/>
            <w:vAlign w:val="center"/>
          </w:tcPr>
          <w:p w14:paraId="467993BD" w14:textId="33ABC134" w:rsidR="004B1838" w:rsidRPr="0002798F" w:rsidRDefault="004B1838" w:rsidP="004B1838">
            <w:pPr>
              <w:pStyle w:val="TableText0"/>
              <w:rPr>
                <w:sz w:val="19"/>
                <w:szCs w:val="19"/>
              </w:rPr>
            </w:pPr>
            <w:r w:rsidRPr="0002798F">
              <w:rPr>
                <w:sz w:val="19"/>
                <w:szCs w:val="19"/>
              </w:rPr>
              <w:t xml:space="preserve">Cost to PBS/RPBS less </w:t>
            </w:r>
            <w:r w:rsidR="00814308" w:rsidRPr="0002798F">
              <w:rPr>
                <w:sz w:val="19"/>
                <w:szCs w:val="19"/>
              </w:rPr>
              <w:t>co-payments</w:t>
            </w:r>
          </w:p>
        </w:tc>
        <w:tc>
          <w:tcPr>
            <w:tcW w:w="633" w:type="pct"/>
            <w:shd w:val="clear" w:color="auto" w:fill="auto"/>
            <w:vAlign w:val="center"/>
          </w:tcPr>
          <w:p w14:paraId="4125A2B6" w14:textId="0DD6D531" w:rsidR="004B1838" w:rsidRPr="0002798F" w:rsidRDefault="004B1838" w:rsidP="004B1838">
            <w:pPr>
              <w:pStyle w:val="TableText0"/>
              <w:jc w:val="center"/>
            </w:pPr>
            <w:r w:rsidRPr="0002798F">
              <w:rPr>
                <w:rFonts w:cs="Calibri"/>
                <w:color w:val="000000"/>
                <w:szCs w:val="20"/>
              </w:rPr>
              <w:t>$</w:t>
            </w:r>
            <w:r w:rsidR="00843B93" w:rsidRPr="00843B93">
              <w:rPr>
                <w:rFonts w:cs="Calibri" w:hint="eastAsia"/>
                <w:color w:val="000000"/>
                <w:w w:val="16"/>
                <w:szCs w:val="20"/>
                <w:shd w:val="solid" w:color="000000" w:fill="000000"/>
                <w:fitText w:val="75" w:id="-1506115070"/>
                <w14:textFill>
                  <w14:solidFill>
                    <w14:srgbClr w14:val="000000">
                      <w14:alpha w14:val="100000"/>
                    </w14:srgbClr>
                  </w14:solidFill>
                </w14:textFill>
              </w:rPr>
              <w:t xml:space="preserve">　</w:t>
            </w:r>
            <w:r w:rsidR="00843B93" w:rsidRPr="00843B93">
              <w:rPr>
                <w:rFonts w:cs="Calibri"/>
                <w:color w:val="000000"/>
                <w:w w:val="16"/>
                <w:szCs w:val="20"/>
                <w:shd w:val="solid" w:color="000000" w:fill="000000"/>
                <w:fitText w:val="75" w:id="-1506115070"/>
                <w14:textFill>
                  <w14:solidFill>
                    <w14:srgbClr w14:val="000000">
                      <w14:alpha w14:val="100000"/>
                    </w14:srgbClr>
                  </w14:solidFill>
                </w14:textFill>
              </w:rPr>
              <w:t>|</w:t>
            </w:r>
            <w:r w:rsidR="00843B93" w:rsidRPr="00843B93">
              <w:rPr>
                <w:rFonts w:cs="Calibri" w:hint="eastAsia"/>
                <w:color w:val="000000"/>
                <w:spacing w:val="5"/>
                <w:w w:val="16"/>
                <w:szCs w:val="20"/>
                <w:shd w:val="solid" w:color="000000" w:fill="000000"/>
                <w:fitText w:val="75" w:id="-1506115070"/>
                <w14:textFill>
                  <w14:solidFill>
                    <w14:srgbClr w14:val="000000">
                      <w14:alpha w14:val="100000"/>
                    </w14:srgbClr>
                  </w14:solidFill>
                </w14:textFill>
              </w:rPr>
              <w:t xml:space="preserve">　</w:t>
            </w:r>
            <w:r w:rsidR="004232E7" w:rsidRPr="00721ADD">
              <w:rPr>
                <w:iCs/>
                <w:sz w:val="18"/>
                <w:szCs w:val="18"/>
                <w:vertAlign w:val="superscript"/>
              </w:rPr>
              <w:t>2</w:t>
            </w:r>
          </w:p>
        </w:tc>
        <w:tc>
          <w:tcPr>
            <w:tcW w:w="634" w:type="pct"/>
            <w:shd w:val="clear" w:color="auto" w:fill="auto"/>
            <w:vAlign w:val="center"/>
          </w:tcPr>
          <w:p w14:paraId="5BDFECEB" w14:textId="733A5527" w:rsidR="004B1838" w:rsidRPr="0002798F" w:rsidRDefault="004B1838" w:rsidP="004B1838">
            <w:pPr>
              <w:pStyle w:val="TableText0"/>
              <w:jc w:val="center"/>
            </w:pPr>
            <w:r w:rsidRPr="0002798F">
              <w:rPr>
                <w:rFonts w:cs="Calibri"/>
                <w:color w:val="000000"/>
                <w:szCs w:val="20"/>
              </w:rPr>
              <w:t>$</w:t>
            </w:r>
            <w:r w:rsidR="00843B93" w:rsidRPr="00843B93">
              <w:rPr>
                <w:rFonts w:cs="Calibri" w:hint="eastAsia"/>
                <w:color w:val="000000"/>
                <w:w w:val="16"/>
                <w:szCs w:val="20"/>
                <w:shd w:val="solid" w:color="000000" w:fill="000000"/>
                <w:fitText w:val="75" w:id="-1506115069"/>
                <w14:textFill>
                  <w14:solidFill>
                    <w14:srgbClr w14:val="000000">
                      <w14:alpha w14:val="100000"/>
                    </w14:srgbClr>
                  </w14:solidFill>
                </w14:textFill>
              </w:rPr>
              <w:t xml:space="preserve">　</w:t>
            </w:r>
            <w:r w:rsidR="00843B93" w:rsidRPr="00843B93">
              <w:rPr>
                <w:rFonts w:cs="Calibri"/>
                <w:color w:val="000000"/>
                <w:w w:val="16"/>
                <w:szCs w:val="20"/>
                <w:shd w:val="solid" w:color="000000" w:fill="000000"/>
                <w:fitText w:val="75" w:id="-1506115069"/>
                <w14:textFill>
                  <w14:solidFill>
                    <w14:srgbClr w14:val="000000">
                      <w14:alpha w14:val="100000"/>
                    </w14:srgbClr>
                  </w14:solidFill>
                </w14:textFill>
              </w:rPr>
              <w:t>|</w:t>
            </w:r>
            <w:r w:rsidR="00843B93" w:rsidRPr="00843B93">
              <w:rPr>
                <w:rFonts w:cs="Calibri" w:hint="eastAsia"/>
                <w:color w:val="000000"/>
                <w:spacing w:val="5"/>
                <w:w w:val="16"/>
                <w:szCs w:val="20"/>
                <w:shd w:val="solid" w:color="000000" w:fill="000000"/>
                <w:fitText w:val="75" w:id="-1506115069"/>
                <w14:textFill>
                  <w14:solidFill>
                    <w14:srgbClr w14:val="000000">
                      <w14:alpha w14:val="100000"/>
                    </w14:srgbClr>
                  </w14:solidFill>
                </w14:textFill>
              </w:rPr>
              <w:t xml:space="preserve">　</w:t>
            </w:r>
            <w:r w:rsidR="004232E7" w:rsidRPr="00721ADD">
              <w:rPr>
                <w:iCs/>
                <w:sz w:val="18"/>
                <w:szCs w:val="18"/>
                <w:vertAlign w:val="superscript"/>
              </w:rPr>
              <w:t>2</w:t>
            </w:r>
          </w:p>
        </w:tc>
        <w:tc>
          <w:tcPr>
            <w:tcW w:w="634" w:type="pct"/>
            <w:shd w:val="clear" w:color="auto" w:fill="auto"/>
            <w:vAlign w:val="center"/>
          </w:tcPr>
          <w:p w14:paraId="3890D42E" w14:textId="20E995D0" w:rsidR="004B1838" w:rsidRPr="0002798F" w:rsidRDefault="004B1838" w:rsidP="004B1838">
            <w:pPr>
              <w:pStyle w:val="TableText0"/>
              <w:jc w:val="center"/>
            </w:pPr>
            <w:r w:rsidRPr="0002798F">
              <w:rPr>
                <w:rFonts w:cs="Calibri"/>
                <w:color w:val="000000"/>
                <w:szCs w:val="20"/>
              </w:rPr>
              <w:t>$</w:t>
            </w:r>
            <w:r w:rsidR="00843B93" w:rsidRPr="00843B93">
              <w:rPr>
                <w:rFonts w:cs="Calibri" w:hint="eastAsia"/>
                <w:color w:val="000000"/>
                <w:w w:val="16"/>
                <w:szCs w:val="20"/>
                <w:shd w:val="solid" w:color="000000" w:fill="000000"/>
                <w:fitText w:val="75" w:id="-1506115068"/>
                <w14:textFill>
                  <w14:solidFill>
                    <w14:srgbClr w14:val="000000">
                      <w14:alpha w14:val="100000"/>
                    </w14:srgbClr>
                  </w14:solidFill>
                </w14:textFill>
              </w:rPr>
              <w:t xml:space="preserve">　</w:t>
            </w:r>
            <w:r w:rsidR="00843B93" w:rsidRPr="00843B93">
              <w:rPr>
                <w:rFonts w:cs="Calibri"/>
                <w:color w:val="000000"/>
                <w:w w:val="16"/>
                <w:szCs w:val="20"/>
                <w:shd w:val="solid" w:color="000000" w:fill="000000"/>
                <w:fitText w:val="75" w:id="-1506115068"/>
                <w14:textFill>
                  <w14:solidFill>
                    <w14:srgbClr w14:val="000000">
                      <w14:alpha w14:val="100000"/>
                    </w14:srgbClr>
                  </w14:solidFill>
                </w14:textFill>
              </w:rPr>
              <w:t>|</w:t>
            </w:r>
            <w:r w:rsidR="00843B93" w:rsidRPr="00843B93">
              <w:rPr>
                <w:rFonts w:cs="Calibri" w:hint="eastAsia"/>
                <w:color w:val="000000"/>
                <w:spacing w:val="5"/>
                <w:w w:val="16"/>
                <w:szCs w:val="20"/>
                <w:shd w:val="solid" w:color="000000" w:fill="000000"/>
                <w:fitText w:val="75" w:id="-1506115068"/>
                <w14:textFill>
                  <w14:solidFill>
                    <w14:srgbClr w14:val="000000">
                      <w14:alpha w14:val="100000"/>
                    </w14:srgbClr>
                  </w14:solidFill>
                </w14:textFill>
              </w:rPr>
              <w:t xml:space="preserve">　</w:t>
            </w:r>
            <w:r w:rsidR="004232E7" w:rsidRPr="00721ADD">
              <w:rPr>
                <w:iCs/>
                <w:sz w:val="18"/>
                <w:szCs w:val="18"/>
                <w:vertAlign w:val="superscript"/>
              </w:rPr>
              <w:t>2</w:t>
            </w:r>
          </w:p>
        </w:tc>
        <w:tc>
          <w:tcPr>
            <w:tcW w:w="634" w:type="pct"/>
            <w:shd w:val="clear" w:color="auto" w:fill="auto"/>
            <w:vAlign w:val="center"/>
          </w:tcPr>
          <w:p w14:paraId="2728B643" w14:textId="5F6B99F2" w:rsidR="004B1838" w:rsidRPr="0002798F" w:rsidRDefault="004B1838" w:rsidP="004B1838">
            <w:pPr>
              <w:pStyle w:val="TableText0"/>
              <w:jc w:val="center"/>
            </w:pPr>
            <w:r w:rsidRPr="0002798F">
              <w:rPr>
                <w:rFonts w:cs="Calibri"/>
                <w:color w:val="000000"/>
                <w:szCs w:val="20"/>
              </w:rPr>
              <w:t>$</w:t>
            </w:r>
            <w:r w:rsidR="00843B93" w:rsidRPr="00843B93">
              <w:rPr>
                <w:rFonts w:cs="Calibri" w:hint="eastAsia"/>
                <w:color w:val="000000"/>
                <w:w w:val="16"/>
                <w:szCs w:val="20"/>
                <w:shd w:val="solid" w:color="000000" w:fill="000000"/>
                <w:fitText w:val="75" w:id="-1506115067"/>
                <w14:textFill>
                  <w14:solidFill>
                    <w14:srgbClr w14:val="000000">
                      <w14:alpha w14:val="100000"/>
                    </w14:srgbClr>
                  </w14:solidFill>
                </w14:textFill>
              </w:rPr>
              <w:t xml:space="preserve">　</w:t>
            </w:r>
            <w:r w:rsidR="00843B93" w:rsidRPr="00843B93">
              <w:rPr>
                <w:rFonts w:cs="Calibri"/>
                <w:color w:val="000000"/>
                <w:w w:val="16"/>
                <w:szCs w:val="20"/>
                <w:shd w:val="solid" w:color="000000" w:fill="000000"/>
                <w:fitText w:val="75" w:id="-1506115067"/>
                <w14:textFill>
                  <w14:solidFill>
                    <w14:srgbClr w14:val="000000">
                      <w14:alpha w14:val="100000"/>
                    </w14:srgbClr>
                  </w14:solidFill>
                </w14:textFill>
              </w:rPr>
              <w:t>|</w:t>
            </w:r>
            <w:r w:rsidR="00843B93" w:rsidRPr="00843B93">
              <w:rPr>
                <w:rFonts w:cs="Calibri" w:hint="eastAsia"/>
                <w:color w:val="000000"/>
                <w:spacing w:val="5"/>
                <w:w w:val="16"/>
                <w:szCs w:val="20"/>
                <w:shd w:val="solid" w:color="000000" w:fill="000000"/>
                <w:fitText w:val="75" w:id="-1506115067"/>
                <w14:textFill>
                  <w14:solidFill>
                    <w14:srgbClr w14:val="000000">
                      <w14:alpha w14:val="100000"/>
                    </w14:srgbClr>
                  </w14:solidFill>
                </w14:textFill>
              </w:rPr>
              <w:t xml:space="preserve">　</w:t>
            </w:r>
            <w:r w:rsidR="004232E7" w:rsidRPr="00721ADD">
              <w:rPr>
                <w:iCs/>
                <w:sz w:val="18"/>
                <w:szCs w:val="18"/>
                <w:vertAlign w:val="superscript"/>
              </w:rPr>
              <w:t>2</w:t>
            </w:r>
          </w:p>
        </w:tc>
        <w:tc>
          <w:tcPr>
            <w:tcW w:w="634" w:type="pct"/>
            <w:shd w:val="clear" w:color="auto" w:fill="auto"/>
            <w:vAlign w:val="center"/>
          </w:tcPr>
          <w:p w14:paraId="5FE5021A" w14:textId="49870D7B" w:rsidR="004B1838" w:rsidRPr="0002798F" w:rsidRDefault="004B1838" w:rsidP="004B1838">
            <w:pPr>
              <w:pStyle w:val="TableText0"/>
              <w:jc w:val="center"/>
            </w:pPr>
            <w:r w:rsidRPr="0002798F">
              <w:rPr>
                <w:rFonts w:cs="Calibri"/>
                <w:color w:val="000000"/>
                <w:szCs w:val="20"/>
              </w:rPr>
              <w:t>$</w:t>
            </w:r>
            <w:r w:rsidR="00843B93" w:rsidRPr="00843B93">
              <w:rPr>
                <w:rFonts w:cs="Calibri" w:hint="eastAsia"/>
                <w:color w:val="000000"/>
                <w:w w:val="16"/>
                <w:szCs w:val="20"/>
                <w:shd w:val="solid" w:color="000000" w:fill="000000"/>
                <w:fitText w:val="75" w:id="-1506115066"/>
                <w14:textFill>
                  <w14:solidFill>
                    <w14:srgbClr w14:val="000000">
                      <w14:alpha w14:val="100000"/>
                    </w14:srgbClr>
                  </w14:solidFill>
                </w14:textFill>
              </w:rPr>
              <w:t xml:space="preserve">　</w:t>
            </w:r>
            <w:r w:rsidR="00843B93" w:rsidRPr="00843B93">
              <w:rPr>
                <w:rFonts w:cs="Calibri"/>
                <w:color w:val="000000"/>
                <w:w w:val="16"/>
                <w:szCs w:val="20"/>
                <w:shd w:val="solid" w:color="000000" w:fill="000000"/>
                <w:fitText w:val="75" w:id="-1506115066"/>
                <w14:textFill>
                  <w14:solidFill>
                    <w14:srgbClr w14:val="000000">
                      <w14:alpha w14:val="100000"/>
                    </w14:srgbClr>
                  </w14:solidFill>
                </w14:textFill>
              </w:rPr>
              <w:t>|</w:t>
            </w:r>
            <w:r w:rsidR="00843B93" w:rsidRPr="00843B93">
              <w:rPr>
                <w:rFonts w:cs="Calibri" w:hint="eastAsia"/>
                <w:color w:val="000000"/>
                <w:spacing w:val="5"/>
                <w:w w:val="16"/>
                <w:szCs w:val="20"/>
                <w:shd w:val="solid" w:color="000000" w:fill="000000"/>
                <w:fitText w:val="75" w:id="-1506115066"/>
                <w14:textFill>
                  <w14:solidFill>
                    <w14:srgbClr w14:val="000000">
                      <w14:alpha w14:val="100000"/>
                    </w14:srgbClr>
                  </w14:solidFill>
                </w14:textFill>
              </w:rPr>
              <w:t xml:space="preserve">　</w:t>
            </w:r>
            <w:r w:rsidR="004232E7" w:rsidRPr="00721ADD">
              <w:rPr>
                <w:iCs/>
                <w:sz w:val="18"/>
                <w:szCs w:val="18"/>
                <w:vertAlign w:val="superscript"/>
              </w:rPr>
              <w:t>2</w:t>
            </w:r>
          </w:p>
        </w:tc>
        <w:tc>
          <w:tcPr>
            <w:tcW w:w="739" w:type="pct"/>
            <w:vAlign w:val="center"/>
          </w:tcPr>
          <w:p w14:paraId="6F8E9082" w14:textId="7E3B0B9C" w:rsidR="004B1838" w:rsidRPr="0002798F" w:rsidRDefault="004B1838" w:rsidP="004B1838">
            <w:pPr>
              <w:pStyle w:val="TableText0"/>
              <w:jc w:val="center"/>
            </w:pPr>
            <w:r w:rsidRPr="0002798F">
              <w:rPr>
                <w:rFonts w:cs="Calibri"/>
                <w:color w:val="000000"/>
                <w:szCs w:val="20"/>
              </w:rPr>
              <w:t>$</w:t>
            </w:r>
            <w:r w:rsidR="00843B93" w:rsidRPr="00843B93">
              <w:rPr>
                <w:rFonts w:cs="Calibri"/>
                <w:color w:val="000000"/>
                <w:szCs w:val="20"/>
                <w:shd w:val="solid" w:color="000000" w:fill="000000"/>
                <w14:textFill>
                  <w14:solidFill>
                    <w14:srgbClr w14:val="000000">
                      <w14:alpha w14:val="100000"/>
                    </w14:srgbClr>
                  </w14:solidFill>
                </w14:textFill>
              </w:rPr>
              <w:t>|</w:t>
            </w:r>
            <w:r w:rsidR="004232E7" w:rsidRPr="00721ADD">
              <w:rPr>
                <w:iCs/>
                <w:sz w:val="18"/>
                <w:szCs w:val="18"/>
                <w:vertAlign w:val="superscript"/>
              </w:rPr>
              <w:t>2</w:t>
            </w:r>
          </w:p>
        </w:tc>
      </w:tr>
      <w:tr w:rsidR="004B1838" w:rsidRPr="0002798F" w14:paraId="344AC0E2" w14:textId="77777777" w:rsidTr="004B1838">
        <w:tc>
          <w:tcPr>
            <w:tcW w:w="5000" w:type="pct"/>
            <w:gridSpan w:val="7"/>
            <w:shd w:val="clear" w:color="auto" w:fill="auto"/>
            <w:vAlign w:val="center"/>
          </w:tcPr>
          <w:p w14:paraId="0FF7E64D" w14:textId="0F544532" w:rsidR="004B1838" w:rsidRPr="0002798F" w:rsidRDefault="004B1838" w:rsidP="0052372A">
            <w:pPr>
              <w:pStyle w:val="In-tableHeading"/>
            </w:pPr>
            <w:r w:rsidRPr="0002798F">
              <w:t xml:space="preserve">Estimated financial implications for </w:t>
            </w:r>
            <w:r w:rsidR="00E6667D">
              <w:t xml:space="preserve">0.1% </w:t>
            </w:r>
            <w:proofErr w:type="spellStart"/>
            <w:r w:rsidR="00E6667D">
              <w:t>CsA</w:t>
            </w:r>
            <w:proofErr w:type="spellEnd"/>
            <w:r w:rsidR="00E6667D">
              <w:t xml:space="preserve"> CE</w:t>
            </w:r>
          </w:p>
        </w:tc>
      </w:tr>
      <w:tr w:rsidR="004B1838" w:rsidRPr="0002798F" w14:paraId="0CE077D9" w14:textId="77777777" w:rsidTr="00713290">
        <w:tc>
          <w:tcPr>
            <w:tcW w:w="1092" w:type="pct"/>
            <w:shd w:val="clear" w:color="auto" w:fill="auto"/>
            <w:vAlign w:val="center"/>
          </w:tcPr>
          <w:p w14:paraId="40F6A2C5" w14:textId="3B331FF0" w:rsidR="004B1838" w:rsidRPr="0002798F" w:rsidRDefault="004B1838" w:rsidP="004B1838">
            <w:pPr>
              <w:pStyle w:val="TableText0"/>
              <w:rPr>
                <w:sz w:val="19"/>
                <w:szCs w:val="19"/>
              </w:rPr>
            </w:pPr>
            <w:r w:rsidRPr="0002798F">
              <w:rPr>
                <w:sz w:val="19"/>
                <w:szCs w:val="19"/>
              </w:rPr>
              <w:t xml:space="preserve">Cost to PBS/RPBS less </w:t>
            </w:r>
            <w:r w:rsidR="00814308" w:rsidRPr="0002798F">
              <w:rPr>
                <w:sz w:val="19"/>
                <w:szCs w:val="19"/>
              </w:rPr>
              <w:t>co-payments</w:t>
            </w:r>
          </w:p>
        </w:tc>
        <w:tc>
          <w:tcPr>
            <w:tcW w:w="633" w:type="pct"/>
            <w:shd w:val="clear" w:color="auto" w:fill="auto"/>
            <w:vAlign w:val="center"/>
          </w:tcPr>
          <w:p w14:paraId="50CF2446" w14:textId="1BB13287" w:rsidR="004B1838" w:rsidRPr="0002798F" w:rsidRDefault="004B1838" w:rsidP="004B1838">
            <w:pPr>
              <w:pStyle w:val="TableText0"/>
              <w:jc w:val="center"/>
            </w:pPr>
            <w:r w:rsidRPr="0002798F">
              <w:rPr>
                <w:rFonts w:cs="Calibri"/>
                <w:color w:val="000000"/>
                <w:szCs w:val="20"/>
              </w:rPr>
              <w:t>-$</w:t>
            </w:r>
            <w:r w:rsidR="00843B93" w:rsidRPr="00843B93">
              <w:rPr>
                <w:rFonts w:cs="Calibri" w:hint="eastAsia"/>
                <w:color w:val="000000"/>
                <w:w w:val="23"/>
                <w:szCs w:val="20"/>
                <w:shd w:val="solid" w:color="000000" w:fill="000000"/>
                <w:fitText w:val="105" w:id="-1506115065"/>
                <w14:textFill>
                  <w14:solidFill>
                    <w14:srgbClr w14:val="000000">
                      <w14:alpha w14:val="100000"/>
                    </w14:srgbClr>
                  </w14:solidFill>
                </w14:textFill>
              </w:rPr>
              <w:t xml:space="preserve">　</w:t>
            </w:r>
            <w:r w:rsidR="00843B93" w:rsidRPr="00843B93">
              <w:rPr>
                <w:rFonts w:cs="Calibri"/>
                <w:color w:val="000000"/>
                <w:w w:val="23"/>
                <w:szCs w:val="20"/>
                <w:shd w:val="solid" w:color="000000" w:fill="000000"/>
                <w:fitText w:val="105" w:id="-1506115065"/>
                <w14:textFill>
                  <w14:solidFill>
                    <w14:srgbClr w14:val="000000">
                      <w14:alpha w14:val="100000"/>
                    </w14:srgbClr>
                  </w14:solidFill>
                </w14:textFill>
              </w:rPr>
              <w:t>|</w:t>
            </w:r>
            <w:r w:rsidR="00843B93" w:rsidRPr="00843B93">
              <w:rPr>
                <w:rFonts w:cs="Calibri" w:hint="eastAsia"/>
                <w:color w:val="000000"/>
                <w:spacing w:val="4"/>
                <w:w w:val="23"/>
                <w:szCs w:val="20"/>
                <w:shd w:val="solid" w:color="000000" w:fill="000000"/>
                <w:fitText w:val="105" w:id="-1506115065"/>
                <w14:textFill>
                  <w14:solidFill>
                    <w14:srgbClr w14:val="000000">
                      <w14:alpha w14:val="100000"/>
                    </w14:srgbClr>
                  </w14:solidFill>
                </w14:textFill>
              </w:rPr>
              <w:t xml:space="preserve">　</w:t>
            </w:r>
            <w:r w:rsidR="004232E7" w:rsidRPr="00721ADD">
              <w:rPr>
                <w:iCs/>
                <w:sz w:val="18"/>
                <w:szCs w:val="18"/>
                <w:vertAlign w:val="superscript"/>
              </w:rPr>
              <w:t>2</w:t>
            </w:r>
          </w:p>
        </w:tc>
        <w:tc>
          <w:tcPr>
            <w:tcW w:w="634" w:type="pct"/>
            <w:shd w:val="clear" w:color="auto" w:fill="auto"/>
            <w:vAlign w:val="center"/>
          </w:tcPr>
          <w:p w14:paraId="35AF80ED" w14:textId="5D268FE6" w:rsidR="004B1838" w:rsidRPr="0002798F" w:rsidRDefault="004B1838" w:rsidP="004B1838">
            <w:pPr>
              <w:pStyle w:val="TableText0"/>
              <w:jc w:val="center"/>
            </w:pPr>
            <w:r w:rsidRPr="0002798F">
              <w:rPr>
                <w:rFonts w:cs="Calibri"/>
                <w:color w:val="000000"/>
                <w:szCs w:val="20"/>
              </w:rPr>
              <w:t>-$</w:t>
            </w:r>
            <w:r w:rsidR="00843B93" w:rsidRPr="00843B93">
              <w:rPr>
                <w:rFonts w:cs="Calibri" w:hint="eastAsia"/>
                <w:color w:val="000000"/>
                <w:w w:val="23"/>
                <w:szCs w:val="20"/>
                <w:shd w:val="solid" w:color="000000" w:fill="000000"/>
                <w:fitText w:val="105" w:id="-1506115064"/>
                <w14:textFill>
                  <w14:solidFill>
                    <w14:srgbClr w14:val="000000">
                      <w14:alpha w14:val="100000"/>
                    </w14:srgbClr>
                  </w14:solidFill>
                </w14:textFill>
              </w:rPr>
              <w:t xml:space="preserve">　</w:t>
            </w:r>
            <w:r w:rsidR="00843B93" w:rsidRPr="00843B93">
              <w:rPr>
                <w:rFonts w:cs="Calibri"/>
                <w:color w:val="000000"/>
                <w:w w:val="23"/>
                <w:szCs w:val="20"/>
                <w:shd w:val="solid" w:color="000000" w:fill="000000"/>
                <w:fitText w:val="105" w:id="-1506115064"/>
                <w14:textFill>
                  <w14:solidFill>
                    <w14:srgbClr w14:val="000000">
                      <w14:alpha w14:val="100000"/>
                    </w14:srgbClr>
                  </w14:solidFill>
                </w14:textFill>
              </w:rPr>
              <w:t>|</w:t>
            </w:r>
            <w:r w:rsidR="00843B93" w:rsidRPr="00843B93">
              <w:rPr>
                <w:rFonts w:cs="Calibri" w:hint="eastAsia"/>
                <w:color w:val="000000"/>
                <w:spacing w:val="4"/>
                <w:w w:val="23"/>
                <w:szCs w:val="20"/>
                <w:shd w:val="solid" w:color="000000" w:fill="000000"/>
                <w:fitText w:val="105" w:id="-1506115064"/>
                <w14:textFill>
                  <w14:solidFill>
                    <w14:srgbClr w14:val="000000">
                      <w14:alpha w14:val="100000"/>
                    </w14:srgbClr>
                  </w14:solidFill>
                </w14:textFill>
              </w:rPr>
              <w:t xml:space="preserve">　</w:t>
            </w:r>
            <w:r w:rsidR="004232E7" w:rsidRPr="00721ADD">
              <w:rPr>
                <w:iCs/>
                <w:sz w:val="18"/>
                <w:szCs w:val="18"/>
                <w:vertAlign w:val="superscript"/>
              </w:rPr>
              <w:t>2</w:t>
            </w:r>
          </w:p>
        </w:tc>
        <w:tc>
          <w:tcPr>
            <w:tcW w:w="634" w:type="pct"/>
            <w:shd w:val="clear" w:color="auto" w:fill="auto"/>
            <w:vAlign w:val="center"/>
          </w:tcPr>
          <w:p w14:paraId="28F1C25D" w14:textId="588D5654" w:rsidR="004B1838" w:rsidRPr="0002798F" w:rsidRDefault="004B1838" w:rsidP="004B1838">
            <w:pPr>
              <w:pStyle w:val="TableText0"/>
              <w:jc w:val="center"/>
            </w:pPr>
            <w:r w:rsidRPr="0002798F">
              <w:rPr>
                <w:rFonts w:cs="Calibri"/>
                <w:color w:val="000000"/>
                <w:szCs w:val="20"/>
              </w:rPr>
              <w:t>-$</w:t>
            </w:r>
            <w:r w:rsidR="00843B93" w:rsidRPr="00843B93">
              <w:rPr>
                <w:rFonts w:cs="Calibri" w:hint="eastAsia"/>
                <w:color w:val="000000"/>
                <w:w w:val="23"/>
                <w:szCs w:val="20"/>
                <w:shd w:val="solid" w:color="000000" w:fill="000000"/>
                <w:fitText w:val="105" w:id="-1506115063"/>
                <w14:textFill>
                  <w14:solidFill>
                    <w14:srgbClr w14:val="000000">
                      <w14:alpha w14:val="100000"/>
                    </w14:srgbClr>
                  </w14:solidFill>
                </w14:textFill>
              </w:rPr>
              <w:t xml:space="preserve">　</w:t>
            </w:r>
            <w:r w:rsidR="00843B93" w:rsidRPr="00843B93">
              <w:rPr>
                <w:rFonts w:cs="Calibri"/>
                <w:color w:val="000000"/>
                <w:w w:val="23"/>
                <w:szCs w:val="20"/>
                <w:shd w:val="solid" w:color="000000" w:fill="000000"/>
                <w:fitText w:val="105" w:id="-1506115063"/>
                <w14:textFill>
                  <w14:solidFill>
                    <w14:srgbClr w14:val="000000">
                      <w14:alpha w14:val="100000"/>
                    </w14:srgbClr>
                  </w14:solidFill>
                </w14:textFill>
              </w:rPr>
              <w:t>|</w:t>
            </w:r>
            <w:r w:rsidR="00843B93" w:rsidRPr="00843B93">
              <w:rPr>
                <w:rFonts w:cs="Calibri" w:hint="eastAsia"/>
                <w:color w:val="000000"/>
                <w:spacing w:val="4"/>
                <w:w w:val="23"/>
                <w:szCs w:val="20"/>
                <w:shd w:val="solid" w:color="000000" w:fill="000000"/>
                <w:fitText w:val="105" w:id="-1506115063"/>
                <w14:textFill>
                  <w14:solidFill>
                    <w14:srgbClr w14:val="000000">
                      <w14:alpha w14:val="100000"/>
                    </w14:srgbClr>
                  </w14:solidFill>
                </w14:textFill>
              </w:rPr>
              <w:t xml:space="preserve">　</w:t>
            </w:r>
            <w:r w:rsidR="004232E7" w:rsidRPr="00721ADD">
              <w:rPr>
                <w:iCs/>
                <w:sz w:val="18"/>
                <w:szCs w:val="18"/>
                <w:vertAlign w:val="superscript"/>
              </w:rPr>
              <w:t>2</w:t>
            </w:r>
          </w:p>
        </w:tc>
        <w:tc>
          <w:tcPr>
            <w:tcW w:w="634" w:type="pct"/>
            <w:shd w:val="clear" w:color="auto" w:fill="auto"/>
            <w:vAlign w:val="center"/>
          </w:tcPr>
          <w:p w14:paraId="5DBA4173" w14:textId="3C03F975" w:rsidR="004B1838" w:rsidRPr="0002798F" w:rsidRDefault="004B1838" w:rsidP="004B1838">
            <w:pPr>
              <w:pStyle w:val="TableText0"/>
              <w:jc w:val="center"/>
            </w:pPr>
            <w:r w:rsidRPr="0002798F">
              <w:rPr>
                <w:rFonts w:cs="Calibri"/>
                <w:color w:val="000000"/>
                <w:szCs w:val="20"/>
              </w:rPr>
              <w:t>-$</w:t>
            </w:r>
            <w:r w:rsidR="00843B93" w:rsidRPr="00843B93">
              <w:rPr>
                <w:rFonts w:cs="Calibri" w:hint="eastAsia"/>
                <w:color w:val="000000"/>
                <w:w w:val="23"/>
                <w:szCs w:val="20"/>
                <w:shd w:val="solid" w:color="000000" w:fill="000000"/>
                <w:fitText w:val="105" w:id="-1506115062"/>
                <w14:textFill>
                  <w14:solidFill>
                    <w14:srgbClr w14:val="000000">
                      <w14:alpha w14:val="100000"/>
                    </w14:srgbClr>
                  </w14:solidFill>
                </w14:textFill>
              </w:rPr>
              <w:t xml:space="preserve">　</w:t>
            </w:r>
            <w:r w:rsidR="00843B93" w:rsidRPr="00843B93">
              <w:rPr>
                <w:rFonts w:cs="Calibri"/>
                <w:color w:val="000000"/>
                <w:w w:val="23"/>
                <w:szCs w:val="20"/>
                <w:shd w:val="solid" w:color="000000" w:fill="000000"/>
                <w:fitText w:val="105" w:id="-1506115062"/>
                <w14:textFill>
                  <w14:solidFill>
                    <w14:srgbClr w14:val="000000">
                      <w14:alpha w14:val="100000"/>
                    </w14:srgbClr>
                  </w14:solidFill>
                </w14:textFill>
              </w:rPr>
              <w:t>|</w:t>
            </w:r>
            <w:r w:rsidR="00843B93" w:rsidRPr="00843B93">
              <w:rPr>
                <w:rFonts w:cs="Calibri" w:hint="eastAsia"/>
                <w:color w:val="000000"/>
                <w:spacing w:val="4"/>
                <w:w w:val="23"/>
                <w:szCs w:val="20"/>
                <w:shd w:val="solid" w:color="000000" w:fill="000000"/>
                <w:fitText w:val="105" w:id="-1506115062"/>
                <w14:textFill>
                  <w14:solidFill>
                    <w14:srgbClr w14:val="000000">
                      <w14:alpha w14:val="100000"/>
                    </w14:srgbClr>
                  </w14:solidFill>
                </w14:textFill>
              </w:rPr>
              <w:t xml:space="preserve">　</w:t>
            </w:r>
            <w:r w:rsidR="004232E7" w:rsidRPr="00721ADD">
              <w:rPr>
                <w:iCs/>
                <w:sz w:val="18"/>
                <w:szCs w:val="18"/>
                <w:vertAlign w:val="superscript"/>
              </w:rPr>
              <w:t>2</w:t>
            </w:r>
          </w:p>
        </w:tc>
        <w:tc>
          <w:tcPr>
            <w:tcW w:w="634" w:type="pct"/>
            <w:shd w:val="clear" w:color="auto" w:fill="auto"/>
            <w:vAlign w:val="center"/>
          </w:tcPr>
          <w:p w14:paraId="4D6DC68C" w14:textId="7463FE63" w:rsidR="004B1838" w:rsidRPr="0002798F" w:rsidRDefault="004B1838" w:rsidP="004B1838">
            <w:pPr>
              <w:pStyle w:val="TableText0"/>
              <w:jc w:val="center"/>
            </w:pPr>
            <w:r w:rsidRPr="0002798F">
              <w:rPr>
                <w:rFonts w:cs="Calibri"/>
                <w:color w:val="000000"/>
                <w:szCs w:val="20"/>
              </w:rPr>
              <w:t>-$</w:t>
            </w:r>
            <w:r w:rsidR="00843B93" w:rsidRPr="00843B93">
              <w:rPr>
                <w:rFonts w:cs="Calibri" w:hint="eastAsia"/>
                <w:color w:val="000000"/>
                <w:w w:val="23"/>
                <w:szCs w:val="20"/>
                <w:shd w:val="solid" w:color="000000" w:fill="000000"/>
                <w:fitText w:val="105" w:id="-1506115061"/>
                <w14:textFill>
                  <w14:solidFill>
                    <w14:srgbClr w14:val="000000">
                      <w14:alpha w14:val="100000"/>
                    </w14:srgbClr>
                  </w14:solidFill>
                </w14:textFill>
              </w:rPr>
              <w:t xml:space="preserve">　</w:t>
            </w:r>
            <w:r w:rsidR="00843B93" w:rsidRPr="00843B93">
              <w:rPr>
                <w:rFonts w:cs="Calibri"/>
                <w:color w:val="000000"/>
                <w:w w:val="23"/>
                <w:szCs w:val="20"/>
                <w:shd w:val="solid" w:color="000000" w:fill="000000"/>
                <w:fitText w:val="105" w:id="-1506115061"/>
                <w14:textFill>
                  <w14:solidFill>
                    <w14:srgbClr w14:val="000000">
                      <w14:alpha w14:val="100000"/>
                    </w14:srgbClr>
                  </w14:solidFill>
                </w14:textFill>
              </w:rPr>
              <w:t>|</w:t>
            </w:r>
            <w:r w:rsidR="00843B93" w:rsidRPr="00843B93">
              <w:rPr>
                <w:rFonts w:cs="Calibri" w:hint="eastAsia"/>
                <w:color w:val="000000"/>
                <w:spacing w:val="4"/>
                <w:w w:val="23"/>
                <w:szCs w:val="20"/>
                <w:shd w:val="solid" w:color="000000" w:fill="000000"/>
                <w:fitText w:val="105" w:id="-1506115061"/>
                <w14:textFill>
                  <w14:solidFill>
                    <w14:srgbClr w14:val="000000">
                      <w14:alpha w14:val="100000"/>
                    </w14:srgbClr>
                  </w14:solidFill>
                </w14:textFill>
              </w:rPr>
              <w:t xml:space="preserve">　</w:t>
            </w:r>
            <w:r w:rsidR="004232E7" w:rsidRPr="00721ADD">
              <w:rPr>
                <w:iCs/>
                <w:sz w:val="18"/>
                <w:szCs w:val="18"/>
                <w:vertAlign w:val="superscript"/>
              </w:rPr>
              <w:t>2</w:t>
            </w:r>
          </w:p>
        </w:tc>
        <w:tc>
          <w:tcPr>
            <w:tcW w:w="739" w:type="pct"/>
            <w:vAlign w:val="center"/>
          </w:tcPr>
          <w:p w14:paraId="0766C6AC" w14:textId="70705E65" w:rsidR="004B1838" w:rsidRPr="0002798F" w:rsidRDefault="004B1838" w:rsidP="004B1838">
            <w:pPr>
              <w:pStyle w:val="TableText0"/>
              <w:jc w:val="center"/>
            </w:pPr>
            <w:r w:rsidRPr="0002798F">
              <w:rPr>
                <w:rFonts w:cs="Calibri"/>
                <w:color w:val="000000"/>
                <w:szCs w:val="20"/>
              </w:rPr>
              <w:t>-$</w:t>
            </w:r>
            <w:r w:rsidR="00843B93" w:rsidRPr="001B403A">
              <w:rPr>
                <w:rFonts w:cs="Calibri" w:hint="eastAsia"/>
                <w:color w:val="000000"/>
                <w:w w:val="15"/>
                <w:szCs w:val="20"/>
                <w:shd w:val="solid" w:color="000000" w:fill="000000"/>
                <w:fitText w:val="15" w:id="-1506115060"/>
                <w14:textFill>
                  <w14:solidFill>
                    <w14:srgbClr w14:val="000000">
                      <w14:alpha w14:val="100000"/>
                    </w14:srgbClr>
                  </w14:solidFill>
                </w14:textFill>
              </w:rPr>
              <w:t xml:space="preserve">　</w:t>
            </w:r>
            <w:r w:rsidR="00843B93" w:rsidRPr="001B403A">
              <w:rPr>
                <w:rFonts w:cs="Calibri"/>
                <w:color w:val="000000"/>
                <w:w w:val="15"/>
                <w:szCs w:val="20"/>
                <w:shd w:val="solid" w:color="000000" w:fill="000000"/>
                <w:fitText w:val="15" w:id="-1506115060"/>
                <w14:textFill>
                  <w14:solidFill>
                    <w14:srgbClr w14:val="000000">
                      <w14:alpha w14:val="100000"/>
                    </w14:srgbClr>
                  </w14:solidFill>
                </w14:textFill>
              </w:rPr>
              <w:t>|</w:t>
            </w:r>
            <w:r w:rsidR="00843B93" w:rsidRPr="001B403A">
              <w:rPr>
                <w:rFonts w:cs="Calibri" w:hint="eastAsia"/>
                <w:color w:val="000000"/>
                <w:spacing w:val="-51"/>
                <w:w w:val="15"/>
                <w:szCs w:val="20"/>
                <w:shd w:val="solid" w:color="000000" w:fill="000000"/>
                <w:fitText w:val="15" w:id="-1506115060"/>
                <w14:textFill>
                  <w14:solidFill>
                    <w14:srgbClr w14:val="000000">
                      <w14:alpha w14:val="100000"/>
                    </w14:srgbClr>
                  </w14:solidFill>
                </w14:textFill>
              </w:rPr>
              <w:t xml:space="preserve">　</w:t>
            </w:r>
            <w:r w:rsidR="004232E7" w:rsidRPr="00721ADD">
              <w:rPr>
                <w:iCs/>
                <w:sz w:val="18"/>
                <w:szCs w:val="18"/>
                <w:vertAlign w:val="superscript"/>
              </w:rPr>
              <w:t>2</w:t>
            </w:r>
          </w:p>
        </w:tc>
      </w:tr>
      <w:tr w:rsidR="004B1838" w:rsidRPr="0002798F" w14:paraId="4FA07BD8" w14:textId="77777777" w:rsidTr="004B1838">
        <w:tc>
          <w:tcPr>
            <w:tcW w:w="5000" w:type="pct"/>
            <w:gridSpan w:val="7"/>
            <w:shd w:val="clear" w:color="auto" w:fill="auto"/>
            <w:vAlign w:val="center"/>
          </w:tcPr>
          <w:p w14:paraId="1A627EA0" w14:textId="7A331AB7" w:rsidR="004B1838" w:rsidRPr="0002798F" w:rsidRDefault="004B1838" w:rsidP="004B1838">
            <w:pPr>
              <w:pStyle w:val="In-tableHeading"/>
              <w:rPr>
                <w:lang w:val="en-AU"/>
              </w:rPr>
            </w:pPr>
            <w:r w:rsidRPr="0002798F">
              <w:rPr>
                <w:lang w:val="en-AU"/>
              </w:rPr>
              <w:t>Net financial implications</w:t>
            </w:r>
            <w:r w:rsidRPr="0002798F">
              <w:rPr>
                <w:color w:val="4BACC6" w:themeColor="accent5"/>
                <w:lang w:val="en-AU"/>
              </w:rPr>
              <w:t xml:space="preserve"> </w:t>
            </w:r>
          </w:p>
        </w:tc>
      </w:tr>
      <w:tr w:rsidR="004B1838" w:rsidRPr="0002798F" w14:paraId="3F33D4C6" w14:textId="77777777" w:rsidTr="00713290">
        <w:tc>
          <w:tcPr>
            <w:tcW w:w="1092" w:type="pct"/>
            <w:shd w:val="clear" w:color="auto" w:fill="auto"/>
            <w:vAlign w:val="center"/>
          </w:tcPr>
          <w:p w14:paraId="5ABBDE64" w14:textId="77777777" w:rsidR="004B1838" w:rsidRPr="0002798F" w:rsidRDefault="004B1838" w:rsidP="004B1838">
            <w:pPr>
              <w:pStyle w:val="TableText0"/>
              <w:rPr>
                <w:sz w:val="19"/>
                <w:szCs w:val="19"/>
              </w:rPr>
            </w:pPr>
            <w:r w:rsidRPr="0002798F">
              <w:rPr>
                <w:sz w:val="19"/>
                <w:szCs w:val="19"/>
              </w:rPr>
              <w:t>Net cost to PBS/RPBS</w:t>
            </w:r>
          </w:p>
        </w:tc>
        <w:tc>
          <w:tcPr>
            <w:tcW w:w="633" w:type="pct"/>
            <w:shd w:val="clear" w:color="auto" w:fill="auto"/>
            <w:vAlign w:val="center"/>
          </w:tcPr>
          <w:p w14:paraId="744F82C2" w14:textId="0748BFCA" w:rsidR="004B1838" w:rsidRPr="0002798F" w:rsidRDefault="004B1838" w:rsidP="004B1838">
            <w:pPr>
              <w:pStyle w:val="TableText0"/>
              <w:jc w:val="center"/>
            </w:pPr>
            <w:r w:rsidRPr="0002798F">
              <w:rPr>
                <w:rFonts w:cs="Calibri"/>
                <w:color w:val="000000"/>
                <w:szCs w:val="20"/>
              </w:rPr>
              <w:t>$0</w:t>
            </w:r>
          </w:p>
        </w:tc>
        <w:tc>
          <w:tcPr>
            <w:tcW w:w="634" w:type="pct"/>
            <w:shd w:val="clear" w:color="auto" w:fill="auto"/>
            <w:vAlign w:val="center"/>
          </w:tcPr>
          <w:p w14:paraId="295843EA" w14:textId="0CF26CA5" w:rsidR="004B1838" w:rsidRPr="0002798F" w:rsidRDefault="004B1838" w:rsidP="004B1838">
            <w:pPr>
              <w:pStyle w:val="TableText0"/>
              <w:jc w:val="center"/>
            </w:pPr>
            <w:r w:rsidRPr="0002798F">
              <w:rPr>
                <w:rFonts w:cs="Calibri"/>
                <w:color w:val="000000"/>
                <w:szCs w:val="20"/>
              </w:rPr>
              <w:t>$0</w:t>
            </w:r>
          </w:p>
        </w:tc>
        <w:tc>
          <w:tcPr>
            <w:tcW w:w="634" w:type="pct"/>
            <w:shd w:val="clear" w:color="auto" w:fill="auto"/>
            <w:vAlign w:val="center"/>
          </w:tcPr>
          <w:p w14:paraId="3A32302A" w14:textId="4B3EBBA0" w:rsidR="004B1838" w:rsidRPr="0002798F" w:rsidRDefault="004B1838" w:rsidP="004B1838">
            <w:pPr>
              <w:pStyle w:val="TableText0"/>
              <w:jc w:val="center"/>
            </w:pPr>
            <w:r w:rsidRPr="0002798F">
              <w:rPr>
                <w:rFonts w:cs="Calibri"/>
                <w:color w:val="000000"/>
                <w:szCs w:val="20"/>
              </w:rPr>
              <w:t>$0</w:t>
            </w:r>
          </w:p>
        </w:tc>
        <w:tc>
          <w:tcPr>
            <w:tcW w:w="634" w:type="pct"/>
            <w:shd w:val="clear" w:color="auto" w:fill="auto"/>
            <w:vAlign w:val="center"/>
          </w:tcPr>
          <w:p w14:paraId="326E9207" w14:textId="40B0C01E" w:rsidR="004B1838" w:rsidRPr="0002798F" w:rsidRDefault="004B1838" w:rsidP="004B1838">
            <w:pPr>
              <w:pStyle w:val="TableText0"/>
              <w:jc w:val="center"/>
            </w:pPr>
            <w:r w:rsidRPr="0002798F">
              <w:rPr>
                <w:rFonts w:cs="Calibri"/>
                <w:color w:val="000000"/>
                <w:szCs w:val="20"/>
              </w:rPr>
              <w:t>$0</w:t>
            </w:r>
          </w:p>
        </w:tc>
        <w:tc>
          <w:tcPr>
            <w:tcW w:w="634" w:type="pct"/>
            <w:shd w:val="clear" w:color="auto" w:fill="auto"/>
            <w:vAlign w:val="center"/>
          </w:tcPr>
          <w:p w14:paraId="56E4D70E" w14:textId="57C71451" w:rsidR="004B1838" w:rsidRPr="0002798F" w:rsidRDefault="004B1838" w:rsidP="004B1838">
            <w:pPr>
              <w:pStyle w:val="TableText0"/>
              <w:jc w:val="center"/>
            </w:pPr>
            <w:r w:rsidRPr="0002798F">
              <w:rPr>
                <w:rFonts w:cs="Calibri"/>
                <w:color w:val="000000"/>
                <w:szCs w:val="20"/>
              </w:rPr>
              <w:t>$0</w:t>
            </w:r>
          </w:p>
        </w:tc>
        <w:tc>
          <w:tcPr>
            <w:tcW w:w="739" w:type="pct"/>
            <w:vAlign w:val="center"/>
          </w:tcPr>
          <w:p w14:paraId="241B1CFD" w14:textId="0B6343F7" w:rsidR="004B1838" w:rsidRPr="0002798F" w:rsidRDefault="004B1838" w:rsidP="004B1838">
            <w:pPr>
              <w:pStyle w:val="TableText0"/>
              <w:jc w:val="center"/>
            </w:pPr>
            <w:r w:rsidRPr="0002798F">
              <w:rPr>
                <w:rFonts w:cs="Calibri"/>
                <w:color w:val="000000"/>
                <w:szCs w:val="20"/>
              </w:rPr>
              <w:t>$0</w:t>
            </w:r>
          </w:p>
        </w:tc>
      </w:tr>
    </w:tbl>
    <w:p w14:paraId="484CF5B6" w14:textId="4DBFAF16" w:rsidR="00620C25" w:rsidRPr="0002798F" w:rsidRDefault="00620C25" w:rsidP="00620C25">
      <w:pPr>
        <w:pStyle w:val="TableFigureFooter"/>
        <w:rPr>
          <w:rStyle w:val="CommentReference"/>
        </w:rPr>
      </w:pPr>
      <w:r w:rsidRPr="0002798F">
        <w:t>Source: Table</w:t>
      </w:r>
      <w:r w:rsidR="004B1838" w:rsidRPr="0002798F">
        <w:t>s 4.2.1</w:t>
      </w:r>
      <w:r w:rsidRPr="0002798F">
        <w:t>,</w:t>
      </w:r>
      <w:r w:rsidR="00653631" w:rsidRPr="0002798F">
        <w:t xml:space="preserve"> 4.2.2, 4.2.5, 4.3.4, 4.4.1;</w:t>
      </w:r>
      <w:r w:rsidRPr="0002798F">
        <w:t xml:space="preserve"> p</w:t>
      </w:r>
      <w:r w:rsidR="004B1838" w:rsidRPr="0002798F">
        <w:t>172</w:t>
      </w:r>
      <w:r w:rsidR="00653631" w:rsidRPr="0002798F">
        <w:t>-178.</w:t>
      </w:r>
    </w:p>
    <w:p w14:paraId="65E99FBE" w14:textId="1CF2E177" w:rsidR="00E466F3" w:rsidRDefault="00E466F3" w:rsidP="00606FBA">
      <w:pPr>
        <w:pStyle w:val="TableFigureFooter"/>
      </w:pPr>
      <w:proofErr w:type="spellStart"/>
      <w:proofErr w:type="gramStart"/>
      <w:r w:rsidRPr="0002798F">
        <w:rPr>
          <w:vertAlign w:val="superscript"/>
        </w:rPr>
        <w:t>a</w:t>
      </w:r>
      <w:proofErr w:type="spellEnd"/>
      <w:proofErr w:type="gramEnd"/>
      <w:r w:rsidR="00606FBA" w:rsidRPr="0002798F">
        <w:t xml:space="preserve"> </w:t>
      </w:r>
      <w:r w:rsidRPr="0002798F">
        <w:t xml:space="preserve">Assuming </w:t>
      </w:r>
      <w:r w:rsidR="00C61A7F" w:rsidRPr="0002798F">
        <w:t>12.18</w:t>
      </w:r>
      <w:r w:rsidRPr="0002798F">
        <w:t xml:space="preserve"> per year as estimated by the submission.</w:t>
      </w:r>
    </w:p>
    <w:p w14:paraId="08D32CBC" w14:textId="77777777" w:rsidR="0091076B" w:rsidRPr="00843B93" w:rsidRDefault="0091076B" w:rsidP="0091076B">
      <w:pPr>
        <w:pStyle w:val="TableFigureFooter"/>
        <w:keepNext/>
        <w:spacing w:after="0"/>
        <w:contextualSpacing w:val="0"/>
        <w:rPr>
          <w:iCs/>
        </w:rPr>
      </w:pPr>
      <w:r w:rsidRPr="00843B93">
        <w:rPr>
          <w:iCs/>
        </w:rPr>
        <w:t>The redacted values correspond to the following ranges:</w:t>
      </w:r>
    </w:p>
    <w:p w14:paraId="2867DD33" w14:textId="77777777" w:rsidR="0091076B" w:rsidRPr="0091076B" w:rsidRDefault="0091076B" w:rsidP="0091076B">
      <w:pPr>
        <w:pStyle w:val="TableFigureFooter"/>
        <w:keepNext/>
        <w:spacing w:after="0"/>
        <w:contextualSpacing w:val="0"/>
        <w:rPr>
          <w:iCs/>
        </w:rPr>
      </w:pPr>
      <w:r w:rsidRPr="00843B93">
        <w:rPr>
          <w:iCs/>
          <w:szCs w:val="18"/>
          <w:vertAlign w:val="superscript"/>
        </w:rPr>
        <w:t>1</w:t>
      </w:r>
      <w:r w:rsidRPr="00843B93">
        <w:rPr>
          <w:iCs/>
          <w:szCs w:val="18"/>
        </w:rPr>
        <w:t xml:space="preserve"> 500 &lt;5,000</w:t>
      </w:r>
    </w:p>
    <w:p w14:paraId="339DAA25" w14:textId="1AB2CA92" w:rsidR="0091076B" w:rsidRPr="00843B93" w:rsidRDefault="0091076B" w:rsidP="0091076B">
      <w:pPr>
        <w:rPr>
          <w:rFonts w:ascii="Arial Narrow" w:hAnsi="Arial Narrow"/>
          <w:iCs/>
          <w:sz w:val="18"/>
          <w:szCs w:val="18"/>
        </w:rPr>
      </w:pPr>
      <w:r w:rsidRPr="00843B93">
        <w:rPr>
          <w:rFonts w:ascii="Arial Narrow" w:hAnsi="Arial Narrow"/>
          <w:iCs/>
          <w:sz w:val="18"/>
          <w:szCs w:val="18"/>
          <w:vertAlign w:val="superscript"/>
        </w:rPr>
        <w:t>2</w:t>
      </w:r>
      <w:r w:rsidRPr="00843B93">
        <w:rPr>
          <w:rFonts w:ascii="Arial Narrow" w:hAnsi="Arial Narrow"/>
          <w:iCs/>
          <w:sz w:val="18"/>
          <w:szCs w:val="18"/>
        </w:rPr>
        <w:t xml:space="preserve"> </w:t>
      </w:r>
      <w:r w:rsidRPr="002975FE">
        <w:rPr>
          <w:rFonts w:ascii="Arial Narrow" w:hAnsi="Arial Narrow"/>
          <w:iCs/>
          <w:sz w:val="18"/>
          <w:szCs w:val="18"/>
        </w:rPr>
        <w:t>$0 to &lt;$10 million</w:t>
      </w:r>
    </w:p>
    <w:p w14:paraId="42952542" w14:textId="28DED424" w:rsidR="0091076B" w:rsidRPr="00843B93" w:rsidRDefault="0091076B" w:rsidP="0091076B">
      <w:pPr>
        <w:rPr>
          <w:rFonts w:ascii="Arial Narrow" w:hAnsi="Arial Narrow"/>
          <w:iCs/>
          <w:sz w:val="18"/>
          <w:szCs w:val="18"/>
        </w:rPr>
      </w:pPr>
      <w:r w:rsidRPr="00843B93">
        <w:rPr>
          <w:rFonts w:ascii="Arial Narrow" w:hAnsi="Arial Narrow"/>
          <w:iCs/>
          <w:sz w:val="18"/>
          <w:szCs w:val="18"/>
          <w:vertAlign w:val="superscript"/>
        </w:rPr>
        <w:t>3</w:t>
      </w:r>
      <w:r w:rsidRPr="00843B93">
        <w:rPr>
          <w:rFonts w:ascii="Arial Narrow" w:hAnsi="Arial Narrow"/>
          <w:iCs/>
          <w:sz w:val="18"/>
          <w:szCs w:val="18"/>
        </w:rPr>
        <w:t xml:space="preserve"> </w:t>
      </w:r>
      <w:r w:rsidR="004232E7" w:rsidRPr="00717568">
        <w:rPr>
          <w:rFonts w:ascii="Arial Narrow" w:hAnsi="Arial Narrow"/>
          <w:iCs/>
          <w:sz w:val="18"/>
          <w:szCs w:val="18"/>
        </w:rPr>
        <w:t>5,000 to &lt;10,000</w:t>
      </w:r>
    </w:p>
    <w:p w14:paraId="6EC32A51" w14:textId="74524A45" w:rsidR="0091076B" w:rsidRPr="00843B93" w:rsidRDefault="0091076B" w:rsidP="0091076B">
      <w:pPr>
        <w:rPr>
          <w:rFonts w:ascii="Arial Narrow" w:hAnsi="Arial Narrow"/>
          <w:iCs/>
          <w:sz w:val="18"/>
          <w:szCs w:val="18"/>
        </w:rPr>
      </w:pPr>
      <w:r w:rsidRPr="00843B93">
        <w:rPr>
          <w:rFonts w:ascii="Arial Narrow" w:hAnsi="Arial Narrow"/>
          <w:iCs/>
          <w:sz w:val="18"/>
          <w:szCs w:val="18"/>
          <w:vertAlign w:val="superscript"/>
        </w:rPr>
        <w:t xml:space="preserve">4 </w:t>
      </w:r>
      <w:r w:rsidR="004232E7" w:rsidRPr="003736CC">
        <w:rPr>
          <w:rFonts w:ascii="Arial Narrow" w:hAnsi="Arial Narrow"/>
          <w:iCs/>
          <w:sz w:val="18"/>
          <w:szCs w:val="18"/>
        </w:rPr>
        <w:t>10,000 to &lt;20,000</w:t>
      </w:r>
    </w:p>
    <w:p w14:paraId="503B615B" w14:textId="57E12B3F" w:rsidR="0091076B" w:rsidRPr="00843B93" w:rsidRDefault="0091076B" w:rsidP="0091076B">
      <w:pPr>
        <w:rPr>
          <w:rFonts w:ascii="Arial Narrow" w:hAnsi="Arial Narrow"/>
          <w:iCs/>
          <w:sz w:val="18"/>
          <w:szCs w:val="18"/>
        </w:rPr>
      </w:pPr>
      <w:r w:rsidRPr="00843B93">
        <w:rPr>
          <w:rFonts w:ascii="Arial Narrow" w:hAnsi="Arial Narrow"/>
          <w:iCs/>
          <w:sz w:val="18"/>
          <w:szCs w:val="18"/>
          <w:vertAlign w:val="superscript"/>
        </w:rPr>
        <w:t>5</w:t>
      </w:r>
      <w:r w:rsidRPr="00843B93">
        <w:rPr>
          <w:rFonts w:ascii="Arial Narrow" w:hAnsi="Arial Narrow"/>
          <w:iCs/>
          <w:sz w:val="18"/>
          <w:szCs w:val="18"/>
        </w:rPr>
        <w:t xml:space="preserve"> </w:t>
      </w:r>
      <w:r w:rsidR="004232E7" w:rsidRPr="003951A6">
        <w:rPr>
          <w:rFonts w:ascii="Arial Narrow" w:hAnsi="Arial Narrow"/>
          <w:iCs/>
          <w:sz w:val="18"/>
          <w:szCs w:val="18"/>
        </w:rPr>
        <w:t>20,000 to &lt;30,000</w:t>
      </w:r>
    </w:p>
    <w:p w14:paraId="2CC053F2" w14:textId="24D79484" w:rsidR="0091076B" w:rsidRPr="001B403A" w:rsidRDefault="0091076B" w:rsidP="001B403A">
      <w:pPr>
        <w:spacing w:after="120"/>
        <w:rPr>
          <w:rFonts w:ascii="Arial Narrow" w:hAnsi="Arial Narrow"/>
          <w:iCs/>
          <w:sz w:val="18"/>
          <w:szCs w:val="18"/>
        </w:rPr>
      </w:pPr>
      <w:r w:rsidRPr="00843B93">
        <w:rPr>
          <w:rFonts w:ascii="Arial Narrow" w:hAnsi="Arial Narrow"/>
          <w:iCs/>
          <w:sz w:val="18"/>
          <w:szCs w:val="18"/>
          <w:vertAlign w:val="superscript"/>
        </w:rPr>
        <w:t xml:space="preserve">6 </w:t>
      </w:r>
      <w:r w:rsidR="004232E7">
        <w:rPr>
          <w:rFonts w:ascii="Arial Narrow" w:hAnsi="Arial Narrow"/>
          <w:iCs/>
          <w:sz w:val="18"/>
          <w:szCs w:val="18"/>
        </w:rPr>
        <w:t>30.000 to &lt; 40.000</w:t>
      </w:r>
    </w:p>
    <w:p w14:paraId="02583182" w14:textId="08CBCBA3" w:rsidR="007335BB" w:rsidRDefault="000902D9" w:rsidP="00D244B6">
      <w:pPr>
        <w:pStyle w:val="3-BodyText"/>
        <w:rPr>
          <w:color w:val="3366FF"/>
        </w:rPr>
      </w:pPr>
      <w:r w:rsidRPr="0002798F">
        <w:t xml:space="preserve">The total cost to the PBS/RPBS of listing </w:t>
      </w:r>
      <w:r w:rsidR="00A33E2C">
        <w:t>0.09% OTX-101</w:t>
      </w:r>
      <w:r w:rsidRPr="0002798F">
        <w:t xml:space="preserve"> was estimated </w:t>
      </w:r>
      <w:r w:rsidR="00A05C32" w:rsidRPr="0002798F">
        <w:t>to be</w:t>
      </w:r>
      <w:r w:rsidRPr="0002798F">
        <w:t xml:space="preserve"> </w:t>
      </w:r>
      <w:r w:rsidR="00D2112D" w:rsidRPr="00D2112D">
        <w:t>$0 to &lt;$10 million</w:t>
      </w:r>
      <w:r w:rsidR="00D2112D">
        <w:t xml:space="preserve"> </w:t>
      </w:r>
      <w:r w:rsidRPr="0002798F">
        <w:t xml:space="preserve">in Year 6, and a total of </w:t>
      </w:r>
      <w:r w:rsidR="00D2112D" w:rsidRPr="00D2112D">
        <w:t>$0 to &lt;$10 million</w:t>
      </w:r>
      <w:r w:rsidR="00D2112D">
        <w:t xml:space="preserve"> </w:t>
      </w:r>
      <w:r w:rsidRPr="0002798F">
        <w:t>in the first 6 years of listing</w:t>
      </w:r>
      <w:r w:rsidRPr="0002798F">
        <w:rPr>
          <w:color w:val="3366FF"/>
        </w:rPr>
        <w:t>.</w:t>
      </w:r>
    </w:p>
    <w:p w14:paraId="0C6FF1F7" w14:textId="0E3C01FF" w:rsidR="007335BB" w:rsidRDefault="004D1C6C" w:rsidP="00606FBA">
      <w:pPr>
        <w:pStyle w:val="3-BodyText"/>
      </w:pPr>
      <w:r w:rsidRPr="00325908">
        <w:rPr>
          <w:iCs/>
        </w:rPr>
        <w:t xml:space="preserve">If </w:t>
      </w:r>
      <w:r w:rsidR="004A2823">
        <w:rPr>
          <w:iCs/>
        </w:rPr>
        <w:t xml:space="preserve">the assumption that </w:t>
      </w:r>
      <w:r w:rsidR="004A2823" w:rsidRPr="004A2823">
        <w:rPr>
          <w:iCs/>
        </w:rPr>
        <w:t xml:space="preserve">0.09% OTX-101 </w:t>
      </w:r>
      <w:r w:rsidRPr="00325908">
        <w:rPr>
          <w:iCs/>
        </w:rPr>
        <w:t>substitut</w:t>
      </w:r>
      <w:r w:rsidR="004A2823">
        <w:rPr>
          <w:iCs/>
        </w:rPr>
        <w:t>es</w:t>
      </w:r>
      <w:r w:rsidRPr="00325908">
        <w:rPr>
          <w:iCs/>
        </w:rPr>
        <w:t xml:space="preserve"> </w:t>
      </w:r>
      <w:r w:rsidR="004A2823">
        <w:rPr>
          <w:iCs/>
        </w:rPr>
        <w:t xml:space="preserve">only </w:t>
      </w:r>
      <w:r w:rsidRPr="00325908">
        <w:rPr>
          <w:iCs/>
        </w:rPr>
        <w:t xml:space="preserve">for </w:t>
      </w:r>
      <w:r w:rsidR="00A33E2C" w:rsidRPr="00325908">
        <w:rPr>
          <w:iCs/>
        </w:rPr>
        <w:t xml:space="preserve">0.1% </w:t>
      </w:r>
      <w:proofErr w:type="spellStart"/>
      <w:r w:rsidR="00A33E2C" w:rsidRPr="00325908">
        <w:rPr>
          <w:iCs/>
        </w:rPr>
        <w:t>CsA</w:t>
      </w:r>
      <w:proofErr w:type="spellEnd"/>
      <w:r w:rsidR="00A33E2C" w:rsidRPr="00325908">
        <w:rPr>
          <w:iCs/>
        </w:rPr>
        <w:t xml:space="preserve"> CE</w:t>
      </w:r>
      <w:r w:rsidRPr="00325908">
        <w:rPr>
          <w:iCs/>
        </w:rPr>
        <w:t xml:space="preserve"> </w:t>
      </w:r>
      <w:r w:rsidR="004A2823">
        <w:rPr>
          <w:iCs/>
        </w:rPr>
        <w:t xml:space="preserve">is </w:t>
      </w:r>
      <w:r w:rsidRPr="00325908">
        <w:rPr>
          <w:iCs/>
        </w:rPr>
        <w:t>correct, the</w:t>
      </w:r>
      <w:r w:rsidR="0076083F" w:rsidRPr="00325908">
        <w:rPr>
          <w:iCs/>
        </w:rPr>
        <w:t>re would be no</w:t>
      </w:r>
      <w:r w:rsidRPr="00325908">
        <w:rPr>
          <w:iCs/>
        </w:rPr>
        <w:t xml:space="preserve"> net cost to the PBS. The existing </w:t>
      </w:r>
      <w:r w:rsidR="001418C1">
        <w:rPr>
          <w:iCs/>
        </w:rPr>
        <w:t>risk sharing arrangement (</w:t>
      </w:r>
      <w:r w:rsidRPr="00325908">
        <w:rPr>
          <w:iCs/>
        </w:rPr>
        <w:t>RSA</w:t>
      </w:r>
      <w:r w:rsidR="001418C1">
        <w:rPr>
          <w:iCs/>
        </w:rPr>
        <w:t>)</w:t>
      </w:r>
      <w:r w:rsidRPr="00325908">
        <w:rPr>
          <w:iCs/>
        </w:rPr>
        <w:t xml:space="preserve"> </w:t>
      </w:r>
      <w:r w:rsidR="0076083F" w:rsidRPr="00325908">
        <w:rPr>
          <w:iCs/>
        </w:rPr>
        <w:t xml:space="preserve">would </w:t>
      </w:r>
      <w:r w:rsidRPr="00325908">
        <w:rPr>
          <w:iCs/>
        </w:rPr>
        <w:t>manage any potential risk of market expansion with a second product.</w:t>
      </w:r>
      <w:bookmarkStart w:id="44" w:name="_Toc22897648"/>
    </w:p>
    <w:p w14:paraId="6015A395" w14:textId="2EDB6A4E" w:rsidR="00576972" w:rsidRPr="0002798F" w:rsidRDefault="00576972" w:rsidP="00606FBA">
      <w:pPr>
        <w:pStyle w:val="4-SubsectionHeading"/>
      </w:pPr>
      <w:bookmarkStart w:id="45" w:name="_Toc22897649"/>
      <w:bookmarkStart w:id="46" w:name="_Toc93316691"/>
      <w:bookmarkEnd w:id="44"/>
      <w:r w:rsidRPr="0002798F">
        <w:t>Financial Management – Risk Sharing Arrangements</w:t>
      </w:r>
      <w:bookmarkEnd w:id="45"/>
      <w:bookmarkEnd w:id="46"/>
    </w:p>
    <w:p w14:paraId="048DF0CA" w14:textId="56D117AF" w:rsidR="00E55ED6" w:rsidRPr="00E55ED6" w:rsidRDefault="004200AE" w:rsidP="00166971">
      <w:pPr>
        <w:pStyle w:val="3-BodyText"/>
      </w:pPr>
      <w:r w:rsidRPr="0002798F">
        <w:t>The submission assume</w:t>
      </w:r>
      <w:r>
        <w:t>d</w:t>
      </w:r>
      <w:r w:rsidRPr="0002798F">
        <w:t xml:space="preserve"> a</w:t>
      </w:r>
      <w:r w:rsidR="00CD1F9C">
        <w:t>n</w:t>
      </w:r>
      <w:r w:rsidRPr="0002798F">
        <w:t xml:space="preserve"> </w:t>
      </w:r>
      <w:r>
        <w:t>RSA</w:t>
      </w:r>
      <w:r w:rsidRPr="0002798F">
        <w:t xml:space="preserve"> exists for 0.1% </w:t>
      </w:r>
      <w:proofErr w:type="spellStart"/>
      <w:r w:rsidRPr="0002798F">
        <w:t>CsA</w:t>
      </w:r>
      <w:proofErr w:type="spellEnd"/>
      <w:r w:rsidRPr="0002798F">
        <w:t xml:space="preserve"> CE </w:t>
      </w:r>
      <w:r>
        <w:t>with</w:t>
      </w:r>
      <w:r w:rsidRPr="0002798F">
        <w:t xml:space="preserve"> a </w:t>
      </w:r>
      <w:r w:rsidR="00843B93" w:rsidRPr="00843B93">
        <w:rPr>
          <w:color w:val="000000"/>
          <w:w w:val="61"/>
          <w:shd w:val="solid" w:color="000000" w:fill="000000"/>
          <w:fitText w:val="475" w:id="-1506115059"/>
          <w14:textFill>
            <w14:solidFill>
              <w14:srgbClr w14:val="000000">
                <w14:alpha w14:val="100000"/>
              </w14:srgbClr>
            </w14:solidFill>
          </w14:textFill>
        </w:rPr>
        <w:t>||</w:t>
      </w:r>
      <w:proofErr w:type="gramStart"/>
      <w:r w:rsidR="00843B93" w:rsidRPr="00843B93">
        <w:rPr>
          <w:color w:val="000000"/>
          <w:w w:val="61"/>
          <w:shd w:val="solid" w:color="000000" w:fill="000000"/>
          <w:fitText w:val="475" w:id="-1506115059"/>
          <w14:textFill>
            <w14:solidFill>
              <w14:srgbClr w14:val="000000">
                <w14:alpha w14:val="100000"/>
              </w14:srgbClr>
            </w14:solidFill>
          </w14:textFill>
        </w:rPr>
        <w:t>|  |</w:t>
      </w:r>
      <w:proofErr w:type="gramEnd"/>
      <w:r w:rsidR="00843B93" w:rsidRPr="00843B93">
        <w:rPr>
          <w:color w:val="000000"/>
          <w:w w:val="61"/>
          <w:shd w:val="solid" w:color="000000" w:fill="000000"/>
          <w:fitText w:val="475" w:id="-1506115059"/>
          <w14:textFill>
            <w14:solidFill>
              <w14:srgbClr w14:val="000000">
                <w14:alpha w14:val="100000"/>
              </w14:srgbClr>
            </w14:solidFill>
          </w14:textFill>
        </w:rPr>
        <w:t>|</w:t>
      </w:r>
      <w:r w:rsidR="00843B93" w:rsidRPr="00843B93">
        <w:rPr>
          <w:color w:val="000000"/>
          <w:spacing w:val="5"/>
          <w:w w:val="61"/>
          <w:shd w:val="solid" w:color="000000" w:fill="000000"/>
          <w:fitText w:val="475" w:id="-1506115059"/>
          <w14:textFill>
            <w14:solidFill>
              <w14:srgbClr w14:val="000000">
                <w14:alpha w14:val="100000"/>
              </w14:srgbClr>
            </w14:solidFill>
          </w14:textFill>
        </w:rPr>
        <w:t>|</w:t>
      </w:r>
      <w:r w:rsidRPr="0002798F">
        <w:t>% rebate for all use beyond the annual expenditure caps (based on the PBAC’s comments in the ciclosporin PSD March 2021 para</w:t>
      </w:r>
      <w:r>
        <w:t>graph</w:t>
      </w:r>
      <w:r w:rsidRPr="0002798F">
        <w:t xml:space="preserve"> 7.15)</w:t>
      </w:r>
      <w:r>
        <w:t xml:space="preserve">. </w:t>
      </w:r>
      <w:r w:rsidRPr="00E55ED6">
        <w:t xml:space="preserve">The submission assumed 0.09% OTX-101 will join the RSA for 0.1% </w:t>
      </w:r>
      <w:proofErr w:type="spellStart"/>
      <w:r w:rsidRPr="00E55ED6">
        <w:t>CsA</w:t>
      </w:r>
      <w:proofErr w:type="spellEnd"/>
      <w:r w:rsidRPr="00E55ED6">
        <w:t xml:space="preserve"> CE.</w:t>
      </w:r>
    </w:p>
    <w:p w14:paraId="66C5DDB6" w14:textId="763FB19E" w:rsidR="00E55ED6" w:rsidRPr="00E55ED6" w:rsidRDefault="00E55ED6" w:rsidP="00E55ED6">
      <w:pPr>
        <w:pStyle w:val="3-BodyText"/>
        <w:numPr>
          <w:ilvl w:val="0"/>
          <w:numId w:val="0"/>
        </w:numPr>
        <w:ind w:left="720"/>
        <w:rPr>
          <w:i/>
          <w:iCs/>
        </w:rPr>
      </w:pPr>
      <w:r w:rsidRPr="00E55ED6">
        <w:rPr>
          <w:i/>
          <w:iCs/>
        </w:rPr>
        <w:t>For more detail on PBAC’s view, see section 7 PBAC outcome.</w:t>
      </w:r>
    </w:p>
    <w:p w14:paraId="5A923DEA" w14:textId="33D85CED" w:rsidR="0063748C" w:rsidRDefault="00E55ED6" w:rsidP="00E55ED6">
      <w:pPr>
        <w:pStyle w:val="2-SectionHeading"/>
        <w:rPr>
          <w:rFonts w:eastAsia="Calibri"/>
        </w:rPr>
      </w:pPr>
      <w:bookmarkStart w:id="47" w:name="_Toc22897650"/>
      <w:r>
        <w:rPr>
          <w:rFonts w:eastAsia="Calibri"/>
        </w:rPr>
        <w:t>PBAC Outcome</w:t>
      </w:r>
    </w:p>
    <w:p w14:paraId="5B0A76DF" w14:textId="75967BC5" w:rsidR="000F3633" w:rsidRPr="009C2524" w:rsidRDefault="004200AE" w:rsidP="00864EE6">
      <w:pPr>
        <w:pStyle w:val="3-BodyText"/>
        <w:rPr>
          <w:rFonts w:ascii="Calibri" w:eastAsia="Times New Roman" w:hAnsi="Calibri" w:cs="Arial"/>
          <w:szCs w:val="24"/>
        </w:rPr>
      </w:pPr>
      <w:bookmarkStart w:id="48" w:name="_Hlk99291807"/>
      <w:r>
        <w:rPr>
          <w:snapToGrid w:val="0"/>
          <w:lang w:val="en-GB"/>
        </w:rPr>
        <w:t xml:space="preserve">The PBAC recommended the listing of </w:t>
      </w:r>
      <w:r w:rsidRPr="00460662">
        <w:t>0.09% OTX-101</w:t>
      </w:r>
      <w:r w:rsidR="00147166">
        <w:t xml:space="preserve"> (0.09% ciclosporin)</w:t>
      </w:r>
      <w:r>
        <w:t xml:space="preserve"> </w:t>
      </w:r>
      <w:r w:rsidR="00147166">
        <w:t>for the treatment of</w:t>
      </w:r>
      <w:r>
        <w:t xml:space="preserve"> </w:t>
      </w:r>
      <w:r w:rsidR="00E832D8">
        <w:t xml:space="preserve">chronic </w:t>
      </w:r>
      <w:r w:rsidR="00147166">
        <w:t>severe dry eye disease with keratitis.</w:t>
      </w:r>
      <w:r w:rsidR="00864EE6">
        <w:t xml:space="preserve"> The PBAC’s recommendation </w:t>
      </w:r>
      <w:r w:rsidR="00864EE6" w:rsidRPr="00864EE6">
        <w:rPr>
          <w:rFonts w:ascii="Calibri" w:eastAsia="Times New Roman" w:hAnsi="Calibri" w:cs="Arial"/>
          <w:szCs w:val="24"/>
        </w:rPr>
        <w:t xml:space="preserve">for listing was based on, among other matters, its assessment that the cost-effectiveness of </w:t>
      </w:r>
      <w:r w:rsidR="00864EE6">
        <w:rPr>
          <w:rFonts w:ascii="Calibri" w:eastAsia="Times New Roman" w:hAnsi="Calibri" w:cs="Arial"/>
          <w:szCs w:val="24"/>
        </w:rPr>
        <w:t>0.09% ciclosporin</w:t>
      </w:r>
      <w:r w:rsidR="00864EE6" w:rsidRPr="00864EE6">
        <w:rPr>
          <w:rFonts w:ascii="Calibri" w:eastAsia="Times New Roman" w:hAnsi="Calibri" w:cs="Arial"/>
          <w:szCs w:val="24"/>
        </w:rPr>
        <w:t xml:space="preserve"> would be acceptable if it were cost-minimised against </w:t>
      </w:r>
      <w:r w:rsidR="00864EE6">
        <w:rPr>
          <w:rFonts w:ascii="Calibri" w:eastAsia="Times New Roman" w:hAnsi="Calibri" w:cs="Arial"/>
          <w:szCs w:val="24"/>
        </w:rPr>
        <w:t>0.1% ciclosporin</w:t>
      </w:r>
      <w:r w:rsidR="00864EE6" w:rsidRPr="00864EE6">
        <w:rPr>
          <w:rFonts w:ascii="Calibri" w:eastAsia="Times New Roman" w:hAnsi="Calibri" w:cs="Arial"/>
          <w:szCs w:val="24"/>
        </w:rPr>
        <w:t>.</w:t>
      </w:r>
      <w:bookmarkEnd w:id="48"/>
    </w:p>
    <w:p w14:paraId="098EBF52" w14:textId="4428ECDB" w:rsidR="00A50288" w:rsidRDefault="005F1956" w:rsidP="009C2524">
      <w:pPr>
        <w:pStyle w:val="3-BodyText"/>
        <w:rPr>
          <w:rFonts w:ascii="Calibri" w:eastAsia="Times New Roman" w:hAnsi="Calibri" w:cs="Arial"/>
          <w:szCs w:val="24"/>
        </w:rPr>
      </w:pPr>
      <w:bookmarkStart w:id="49" w:name="_Hlk99292371"/>
      <w:r>
        <w:rPr>
          <w:rFonts w:ascii="Calibri" w:eastAsia="Times New Roman" w:hAnsi="Calibri" w:cs="Arial"/>
          <w:szCs w:val="24"/>
        </w:rPr>
        <w:t xml:space="preserve">The PBAC noted </w:t>
      </w:r>
      <w:r w:rsidR="00C063A1">
        <w:rPr>
          <w:rFonts w:ascii="Calibri" w:eastAsia="Times New Roman" w:hAnsi="Calibri" w:cs="Arial"/>
          <w:szCs w:val="24"/>
        </w:rPr>
        <w:t xml:space="preserve">that </w:t>
      </w:r>
      <w:r>
        <w:rPr>
          <w:rFonts w:ascii="Calibri" w:eastAsia="Times New Roman" w:hAnsi="Calibri" w:cs="Arial"/>
          <w:szCs w:val="24"/>
        </w:rPr>
        <w:t>the</w:t>
      </w:r>
      <w:r w:rsidR="004944C2">
        <w:rPr>
          <w:rFonts w:ascii="Calibri" w:eastAsia="Times New Roman" w:hAnsi="Calibri" w:cs="Arial"/>
          <w:szCs w:val="24"/>
        </w:rPr>
        <w:t xml:space="preserve"> sponsor hearing indicated there was considerable variation between patients in terms of tolerability to treatment and treatment effectiveness</w:t>
      </w:r>
      <w:r w:rsidR="00D358A0">
        <w:rPr>
          <w:rFonts w:ascii="Calibri" w:eastAsia="Times New Roman" w:hAnsi="Calibri" w:cs="Arial"/>
          <w:szCs w:val="24"/>
        </w:rPr>
        <w:t xml:space="preserve"> </w:t>
      </w:r>
      <w:r w:rsidR="00D358A0">
        <w:rPr>
          <w:rFonts w:ascii="Calibri" w:eastAsia="Times New Roman" w:hAnsi="Calibri" w:cs="Arial"/>
          <w:szCs w:val="24"/>
        </w:rPr>
        <w:lastRenderedPageBreak/>
        <w:t>between different ciclosporin eye drop formulations</w:t>
      </w:r>
      <w:r>
        <w:rPr>
          <w:rFonts w:ascii="Calibri" w:eastAsia="Times New Roman" w:hAnsi="Calibri" w:cs="Arial"/>
          <w:szCs w:val="24"/>
        </w:rPr>
        <w:t>.</w:t>
      </w:r>
      <w:r w:rsidR="004944C2">
        <w:rPr>
          <w:rFonts w:ascii="Calibri" w:eastAsia="Times New Roman" w:hAnsi="Calibri" w:cs="Arial"/>
          <w:szCs w:val="24"/>
        </w:rPr>
        <w:t xml:space="preserve"> </w:t>
      </w:r>
      <w:r w:rsidR="00A87196">
        <w:rPr>
          <w:rFonts w:ascii="Calibri" w:eastAsia="Times New Roman" w:hAnsi="Calibri" w:cs="Arial"/>
          <w:szCs w:val="24"/>
        </w:rPr>
        <w:t xml:space="preserve">The PBAC considered </w:t>
      </w:r>
      <w:r w:rsidR="00440927">
        <w:rPr>
          <w:rFonts w:ascii="Calibri" w:eastAsia="Times New Roman" w:hAnsi="Calibri" w:cs="Arial"/>
          <w:szCs w:val="24"/>
        </w:rPr>
        <w:t xml:space="preserve">it would be useful to have an </w:t>
      </w:r>
      <w:r w:rsidR="00113261">
        <w:rPr>
          <w:rFonts w:ascii="Calibri" w:eastAsia="Times New Roman" w:hAnsi="Calibri" w:cs="Arial"/>
          <w:szCs w:val="24"/>
        </w:rPr>
        <w:t xml:space="preserve">additional </w:t>
      </w:r>
      <w:r w:rsidR="00440927">
        <w:rPr>
          <w:rFonts w:ascii="Calibri" w:eastAsia="Times New Roman" w:hAnsi="Calibri" w:cs="Arial"/>
          <w:szCs w:val="24"/>
        </w:rPr>
        <w:t xml:space="preserve">formulation of ciclosporin eyedrops </w:t>
      </w:r>
      <w:r w:rsidR="00E65BC8">
        <w:rPr>
          <w:rFonts w:ascii="Calibri" w:eastAsia="Times New Roman" w:hAnsi="Calibri" w:cs="Arial"/>
          <w:szCs w:val="24"/>
        </w:rPr>
        <w:t xml:space="preserve">with a different vehicle (aqueous </w:t>
      </w:r>
      <w:proofErr w:type="spellStart"/>
      <w:r w:rsidR="00E65BC8">
        <w:rPr>
          <w:rFonts w:ascii="Calibri" w:eastAsia="Times New Roman" w:hAnsi="Calibri" w:cs="Arial"/>
          <w:szCs w:val="24"/>
        </w:rPr>
        <w:t>nanomicellar</w:t>
      </w:r>
      <w:proofErr w:type="spellEnd"/>
      <w:r w:rsidR="00E65BC8">
        <w:rPr>
          <w:rFonts w:ascii="Calibri" w:eastAsia="Times New Roman" w:hAnsi="Calibri" w:cs="Arial"/>
          <w:szCs w:val="24"/>
        </w:rPr>
        <w:t xml:space="preserve"> ophthalmic solution) to the currently listed 0.1%</w:t>
      </w:r>
      <w:r w:rsidR="004748F1">
        <w:rPr>
          <w:rFonts w:ascii="Calibri" w:eastAsia="Times New Roman" w:hAnsi="Calibri" w:cs="Arial"/>
          <w:szCs w:val="24"/>
        </w:rPr>
        <w:t xml:space="preserve"> </w:t>
      </w:r>
      <w:r w:rsidR="00E65BC8">
        <w:rPr>
          <w:rFonts w:ascii="Calibri" w:eastAsia="Times New Roman" w:hAnsi="Calibri" w:cs="Arial"/>
          <w:szCs w:val="24"/>
        </w:rPr>
        <w:t>ciclosporin eyedrops (cationic lipid</w:t>
      </w:r>
      <w:r w:rsidR="00136591">
        <w:rPr>
          <w:rFonts w:ascii="Calibri" w:eastAsia="Times New Roman" w:hAnsi="Calibri" w:cs="Arial"/>
          <w:szCs w:val="24"/>
        </w:rPr>
        <w:noBreakHyphen/>
      </w:r>
      <w:r w:rsidR="00E65BC8">
        <w:rPr>
          <w:rFonts w:ascii="Calibri" w:eastAsia="Times New Roman" w:hAnsi="Calibri" w:cs="Arial"/>
          <w:szCs w:val="24"/>
        </w:rPr>
        <w:t>based emulsion)</w:t>
      </w:r>
      <w:r w:rsidR="00113261">
        <w:rPr>
          <w:rFonts w:ascii="Calibri" w:eastAsia="Times New Roman" w:hAnsi="Calibri" w:cs="Arial"/>
          <w:szCs w:val="24"/>
        </w:rPr>
        <w:t xml:space="preserve"> which would provide an alternative for patients who may not tolerate 0.1% ciclosporin. </w:t>
      </w:r>
      <w:bookmarkEnd w:id="49"/>
      <w:r w:rsidR="00113261">
        <w:rPr>
          <w:rFonts w:ascii="Calibri" w:eastAsia="Times New Roman" w:hAnsi="Calibri" w:cs="Arial"/>
          <w:szCs w:val="24"/>
        </w:rPr>
        <w:t xml:space="preserve">The PBAC also </w:t>
      </w:r>
      <w:r w:rsidR="00497E94">
        <w:rPr>
          <w:rFonts w:ascii="Calibri" w:eastAsia="Times New Roman" w:hAnsi="Calibri" w:cs="Arial"/>
          <w:szCs w:val="24"/>
        </w:rPr>
        <w:t xml:space="preserve">considered that having a second supplier for ciclosporin eyedrops would be useful for managing any risks associated with a single supplier on the PBS. </w:t>
      </w:r>
    </w:p>
    <w:p w14:paraId="0C3836EE" w14:textId="3C5AC8F8" w:rsidR="009C2524" w:rsidRDefault="009C2524" w:rsidP="00A50288">
      <w:pPr>
        <w:pStyle w:val="3-BodyText"/>
        <w:rPr>
          <w:rFonts w:ascii="Calibri" w:eastAsia="Times New Roman" w:hAnsi="Calibri" w:cs="Arial"/>
          <w:szCs w:val="24"/>
        </w:rPr>
      </w:pPr>
      <w:r>
        <w:rPr>
          <w:rFonts w:ascii="Calibri" w:eastAsia="Times New Roman" w:hAnsi="Calibri" w:cs="Arial"/>
          <w:szCs w:val="24"/>
        </w:rPr>
        <w:t xml:space="preserve">The PBAC advised </w:t>
      </w:r>
      <w:r w:rsidR="008746CF">
        <w:rPr>
          <w:rFonts w:ascii="Calibri" w:eastAsia="Times New Roman" w:hAnsi="Calibri" w:cs="Arial"/>
          <w:szCs w:val="24"/>
        </w:rPr>
        <w:t>that the eq</w:t>
      </w:r>
      <w:r w:rsidR="00497E94">
        <w:rPr>
          <w:rFonts w:ascii="Calibri" w:eastAsia="Times New Roman" w:hAnsi="Calibri" w:cs="Arial"/>
          <w:szCs w:val="24"/>
        </w:rPr>
        <w:t>u</w:t>
      </w:r>
      <w:r w:rsidR="008746CF">
        <w:rPr>
          <w:rFonts w:ascii="Calibri" w:eastAsia="Times New Roman" w:hAnsi="Calibri" w:cs="Arial"/>
          <w:szCs w:val="24"/>
        </w:rPr>
        <w:t xml:space="preserve">i-effective doses are 0.09% ciclosporin one drop twice daily </w:t>
      </w:r>
      <w:r w:rsidR="00C063A1">
        <w:rPr>
          <w:rFonts w:ascii="Calibri" w:eastAsia="Times New Roman" w:hAnsi="Calibri" w:cs="Arial"/>
          <w:szCs w:val="24"/>
        </w:rPr>
        <w:t xml:space="preserve">and </w:t>
      </w:r>
      <w:r w:rsidR="008746CF">
        <w:rPr>
          <w:rFonts w:ascii="Calibri" w:eastAsia="Times New Roman" w:hAnsi="Calibri" w:cs="Arial"/>
          <w:szCs w:val="24"/>
        </w:rPr>
        <w:t>0.1% ciclosporin one drop once daily.</w:t>
      </w:r>
    </w:p>
    <w:p w14:paraId="212EAEF0" w14:textId="66CA4501" w:rsidR="00516F3D" w:rsidRDefault="00754096" w:rsidP="00A50288">
      <w:pPr>
        <w:pStyle w:val="3-BodyText"/>
        <w:rPr>
          <w:rFonts w:ascii="Calibri" w:eastAsia="Times New Roman" w:hAnsi="Calibri" w:cs="Arial"/>
          <w:szCs w:val="24"/>
        </w:rPr>
      </w:pPr>
      <w:r>
        <w:rPr>
          <w:rFonts w:ascii="Calibri" w:eastAsia="Times New Roman" w:hAnsi="Calibri" w:cs="Arial"/>
          <w:szCs w:val="24"/>
        </w:rPr>
        <w:t>The PBAC noted that the submission was based on</w:t>
      </w:r>
      <w:r w:rsidR="00951389">
        <w:rPr>
          <w:rFonts w:ascii="Calibri" w:eastAsia="Times New Roman" w:hAnsi="Calibri" w:cs="Arial"/>
          <w:szCs w:val="24"/>
        </w:rPr>
        <w:t xml:space="preserve"> </w:t>
      </w:r>
      <w:r w:rsidR="00857953">
        <w:rPr>
          <w:rFonts w:ascii="Calibri" w:eastAsia="Times New Roman" w:hAnsi="Calibri" w:cs="Arial"/>
          <w:szCs w:val="24"/>
        </w:rPr>
        <w:t>post hoc subgroup analyses of pooled results from</w:t>
      </w:r>
      <w:r w:rsidR="002F063A">
        <w:rPr>
          <w:rFonts w:ascii="Calibri" w:eastAsia="Times New Roman" w:hAnsi="Calibri" w:cs="Arial"/>
          <w:szCs w:val="24"/>
        </w:rPr>
        <w:t xml:space="preserve"> </w:t>
      </w:r>
      <w:r w:rsidR="00857953" w:rsidRPr="00857953">
        <w:rPr>
          <w:rFonts w:ascii="Calibri" w:eastAsia="Times New Roman" w:hAnsi="Calibri" w:cs="Arial"/>
          <w:szCs w:val="24"/>
        </w:rPr>
        <w:t xml:space="preserve">Study 2014 and Study 2016 comparing 0.09% </w:t>
      </w:r>
      <w:r w:rsidR="00835545">
        <w:rPr>
          <w:rFonts w:ascii="Calibri" w:eastAsia="Times New Roman" w:hAnsi="Calibri" w:cs="Arial"/>
          <w:szCs w:val="24"/>
        </w:rPr>
        <w:t>ciclosporin</w:t>
      </w:r>
      <w:r w:rsidR="00857953" w:rsidRPr="00857953">
        <w:rPr>
          <w:rFonts w:ascii="Calibri" w:eastAsia="Times New Roman" w:hAnsi="Calibri" w:cs="Arial"/>
          <w:szCs w:val="24"/>
        </w:rPr>
        <w:t xml:space="preserve"> to vehicle</w:t>
      </w:r>
      <w:r w:rsidR="00B50548">
        <w:rPr>
          <w:rFonts w:ascii="Calibri" w:eastAsia="Times New Roman" w:hAnsi="Calibri" w:cs="Arial"/>
          <w:szCs w:val="24"/>
        </w:rPr>
        <w:t>,</w:t>
      </w:r>
      <w:r w:rsidR="002F063A">
        <w:rPr>
          <w:rFonts w:ascii="Calibri" w:eastAsia="Times New Roman" w:hAnsi="Calibri" w:cs="Arial"/>
          <w:szCs w:val="24"/>
        </w:rPr>
        <w:t xml:space="preserve"> and </w:t>
      </w:r>
      <w:r w:rsidR="004748F1">
        <w:rPr>
          <w:rFonts w:ascii="Calibri" w:eastAsia="Times New Roman" w:hAnsi="Calibri" w:cs="Arial"/>
          <w:szCs w:val="24"/>
        </w:rPr>
        <w:t xml:space="preserve">pooled results from SANSIKA and SICCANOVE trials comparing 0.1% ciclosporin eyedrops to vehicle. </w:t>
      </w:r>
      <w:r w:rsidR="004E56B7">
        <w:rPr>
          <w:rFonts w:ascii="Calibri" w:eastAsia="Times New Roman" w:hAnsi="Calibri" w:cs="Arial"/>
          <w:szCs w:val="24"/>
        </w:rPr>
        <w:t xml:space="preserve">The PBAC noted that the subgroup analyses were presented to better align the population in the </w:t>
      </w:r>
      <w:r w:rsidR="0004261B">
        <w:rPr>
          <w:rFonts w:ascii="Calibri" w:eastAsia="Times New Roman" w:hAnsi="Calibri" w:cs="Arial"/>
          <w:szCs w:val="24"/>
        </w:rPr>
        <w:t>0.09% ciclosporin trials to the PBS-eligible population</w:t>
      </w:r>
      <w:r w:rsidR="00C378EC">
        <w:rPr>
          <w:rFonts w:ascii="Calibri" w:eastAsia="Times New Roman" w:hAnsi="Calibri" w:cs="Arial"/>
          <w:szCs w:val="24"/>
        </w:rPr>
        <w:t>,</w:t>
      </w:r>
      <w:r w:rsidR="0004261B">
        <w:rPr>
          <w:rFonts w:ascii="Calibri" w:eastAsia="Times New Roman" w:hAnsi="Calibri" w:cs="Arial"/>
          <w:szCs w:val="24"/>
        </w:rPr>
        <w:t xml:space="preserve"> </w:t>
      </w:r>
      <w:r w:rsidR="00695241">
        <w:rPr>
          <w:rFonts w:ascii="Calibri" w:eastAsia="Times New Roman" w:hAnsi="Calibri" w:cs="Arial"/>
          <w:szCs w:val="24"/>
        </w:rPr>
        <w:t>which w</w:t>
      </w:r>
      <w:r w:rsidR="00C378EC">
        <w:rPr>
          <w:rFonts w:ascii="Calibri" w:eastAsia="Times New Roman" w:hAnsi="Calibri" w:cs="Arial"/>
          <w:szCs w:val="24"/>
        </w:rPr>
        <w:t>as</w:t>
      </w:r>
      <w:r w:rsidR="00695241">
        <w:rPr>
          <w:rFonts w:ascii="Calibri" w:eastAsia="Times New Roman" w:hAnsi="Calibri" w:cs="Arial"/>
          <w:szCs w:val="24"/>
        </w:rPr>
        <w:t xml:space="preserve"> based on the 0.1% ciclosporin trials. </w:t>
      </w:r>
    </w:p>
    <w:p w14:paraId="71CA1279" w14:textId="0D6D347B" w:rsidR="00DD3773" w:rsidRPr="00903974" w:rsidRDefault="00526B44" w:rsidP="00C765D6">
      <w:pPr>
        <w:pStyle w:val="3-BodyText"/>
        <w:rPr>
          <w:iCs/>
        </w:rPr>
      </w:pPr>
      <w:r w:rsidRPr="00C063A1">
        <w:t>The PBAC</w:t>
      </w:r>
      <w:r w:rsidR="00FE3CD8" w:rsidRPr="00C063A1">
        <w:t xml:space="preserve"> </w:t>
      </w:r>
      <w:r w:rsidR="00632D46" w:rsidRPr="00C063A1">
        <w:t xml:space="preserve">considered it was difficult to interpret the results of the indirect comparison of the PBS-eligible subgroups noting the considerable </w:t>
      </w:r>
      <w:r w:rsidR="00977D10" w:rsidRPr="00C063A1">
        <w:t xml:space="preserve">differences between the 0.09% ciclosporin and 0.1% ciclosporin trials </w:t>
      </w:r>
      <w:r w:rsidR="00807B55" w:rsidRPr="00C063A1">
        <w:t>outlined in paragraph 6.25.</w:t>
      </w:r>
      <w:r w:rsidR="0098729F" w:rsidRPr="00C063A1">
        <w:t xml:space="preserve"> T</w:t>
      </w:r>
      <w:r w:rsidR="00377647" w:rsidRPr="00C063A1">
        <w:t>he PBAC considered that the 0.09% ciclosporin and 0.1% ciclosporin trials were not sufficiently transitive to support</w:t>
      </w:r>
      <w:r w:rsidR="00C063A1" w:rsidRPr="00C063A1">
        <w:t xml:space="preserve"> a</w:t>
      </w:r>
      <w:r w:rsidR="00377647" w:rsidRPr="00C063A1">
        <w:t xml:space="preserve"> </w:t>
      </w:r>
      <w:r w:rsidR="00CF09B2" w:rsidRPr="00C063A1">
        <w:t>formal statistical</w:t>
      </w:r>
      <w:r w:rsidR="00377647" w:rsidRPr="00C063A1">
        <w:t xml:space="preserve"> indirect comparison.</w:t>
      </w:r>
      <w:r w:rsidR="0098729F" w:rsidRPr="00C063A1">
        <w:t xml:space="preserve"> However</w:t>
      </w:r>
      <w:r w:rsidR="00DC44C8" w:rsidRPr="00C063A1">
        <w:t>,</w:t>
      </w:r>
      <w:r w:rsidR="003820CF" w:rsidRPr="00C063A1">
        <w:t xml:space="preserve"> </w:t>
      </w:r>
      <w:r w:rsidR="000A326B" w:rsidRPr="00C063A1">
        <w:t>based on</w:t>
      </w:r>
      <w:r w:rsidR="00CF2ED8" w:rsidRPr="00C063A1">
        <w:t xml:space="preserve"> a naïve </w:t>
      </w:r>
      <w:r w:rsidR="00745374" w:rsidRPr="00C063A1">
        <w:t xml:space="preserve">indirect </w:t>
      </w:r>
      <w:r w:rsidR="00CF2ED8" w:rsidRPr="00C063A1">
        <w:t>comparison, the PBAC</w:t>
      </w:r>
      <w:r w:rsidR="00745374" w:rsidRPr="00C063A1">
        <w:t xml:space="preserve"> accepted the submission’s claim of non-inferior effectiveness</w:t>
      </w:r>
      <w:r w:rsidR="007B5AAD" w:rsidRPr="00C063A1">
        <w:t>,</w:t>
      </w:r>
      <w:r w:rsidR="00E3311F" w:rsidRPr="00C063A1">
        <w:t xml:space="preserve"> noting that the proportion of patients who responded to treatment</w:t>
      </w:r>
      <w:r w:rsidR="00DC44C8" w:rsidRPr="00C063A1">
        <w:t xml:space="preserve"> (CFS ≤ 0.5 (NEI) and ≥ 30% SANDE) at 3 months</w:t>
      </w:r>
      <w:r w:rsidR="007B5AAD" w:rsidRPr="00C063A1">
        <w:t xml:space="preserve"> in the </w:t>
      </w:r>
      <w:r w:rsidR="00DC44C8" w:rsidRPr="00C063A1">
        <w:t xml:space="preserve">pooled 0.09% ciclosporin arm of Study 2014 and Study 2016 was </w:t>
      </w:r>
      <w:proofErr w:type="gramStart"/>
      <w:r w:rsidR="00DC44C8" w:rsidRPr="00C063A1">
        <w:t xml:space="preserve">similar </w:t>
      </w:r>
      <w:r w:rsidR="003F27B6" w:rsidRPr="00C063A1">
        <w:t>to</w:t>
      </w:r>
      <w:proofErr w:type="gramEnd"/>
      <w:r w:rsidR="003F27B6" w:rsidRPr="00C063A1">
        <w:t xml:space="preserve"> the proportion of patients who responded to treatment (CFS ≥ 3 grades (Oxford) and ≥ 30% OSDI) in the pooled 0.1% ciclosporin arm of SANSIKA and SICCANOVE.</w:t>
      </w:r>
    </w:p>
    <w:p w14:paraId="55BF8F19" w14:textId="1692C32F" w:rsidR="003F27B6" w:rsidRDefault="003F27B6" w:rsidP="009422F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In terms of safety</w:t>
      </w:r>
      <w:r w:rsidR="0016661B">
        <w:rPr>
          <w:rFonts w:asciiTheme="minorHAnsi" w:hAnsiTheme="minorHAnsi"/>
          <w:snapToGrid w:val="0"/>
          <w:lang w:val="en-GB"/>
        </w:rPr>
        <w:t xml:space="preserve">, the PBAC noted that the number of </w:t>
      </w:r>
      <w:r w:rsidR="0021460C">
        <w:rPr>
          <w:rFonts w:asciiTheme="minorHAnsi" w:hAnsiTheme="minorHAnsi"/>
          <w:snapToGrid w:val="0"/>
          <w:lang w:val="en-GB"/>
        </w:rPr>
        <w:t xml:space="preserve">treatment emergent </w:t>
      </w:r>
      <w:r w:rsidR="0016661B">
        <w:rPr>
          <w:rFonts w:asciiTheme="minorHAnsi" w:hAnsiTheme="minorHAnsi"/>
          <w:snapToGrid w:val="0"/>
          <w:lang w:val="en-GB"/>
        </w:rPr>
        <w:t xml:space="preserve">adverse events were similar </w:t>
      </w:r>
      <w:r w:rsidR="0021460C">
        <w:rPr>
          <w:rFonts w:asciiTheme="minorHAnsi" w:hAnsiTheme="minorHAnsi"/>
          <w:snapToGrid w:val="0"/>
          <w:lang w:val="en-GB"/>
        </w:rPr>
        <w:t>between</w:t>
      </w:r>
      <w:r w:rsidR="0016661B">
        <w:rPr>
          <w:rFonts w:asciiTheme="minorHAnsi" w:hAnsiTheme="minorHAnsi"/>
          <w:snapToGrid w:val="0"/>
          <w:lang w:val="en-GB"/>
        </w:rPr>
        <w:t xml:space="preserve"> the</w:t>
      </w:r>
      <w:r w:rsidR="0021460C">
        <w:rPr>
          <w:rFonts w:asciiTheme="minorHAnsi" w:hAnsiTheme="minorHAnsi"/>
          <w:snapToGrid w:val="0"/>
          <w:lang w:val="en-GB"/>
        </w:rPr>
        <w:t xml:space="preserve"> pooled</w:t>
      </w:r>
      <w:r w:rsidR="0016661B">
        <w:rPr>
          <w:rFonts w:asciiTheme="minorHAnsi" w:hAnsiTheme="minorHAnsi"/>
          <w:snapToGrid w:val="0"/>
          <w:lang w:val="en-GB"/>
        </w:rPr>
        <w:t xml:space="preserve"> 0.09% ciclosporin arm of Study 2014 and Study 2016 </w:t>
      </w:r>
      <w:r w:rsidR="0021460C">
        <w:rPr>
          <w:rFonts w:asciiTheme="minorHAnsi" w:hAnsiTheme="minorHAnsi"/>
          <w:snapToGrid w:val="0"/>
          <w:lang w:val="en-GB"/>
        </w:rPr>
        <w:t xml:space="preserve">and the pooled 0.1% ciclosporin arm of SANSIKA and SICCANOVE. The PBAC accepted the submission’s claim of non-inferior safety </w:t>
      </w:r>
      <w:r w:rsidR="000E55A5">
        <w:rPr>
          <w:rFonts w:asciiTheme="minorHAnsi" w:hAnsiTheme="minorHAnsi"/>
          <w:snapToGrid w:val="0"/>
          <w:lang w:val="en-GB"/>
        </w:rPr>
        <w:t xml:space="preserve">compared to 0.1% ciclosporin. </w:t>
      </w:r>
    </w:p>
    <w:p w14:paraId="7A1C6778" w14:textId="49D0162C" w:rsidR="00C0639F" w:rsidRPr="00D21A8B" w:rsidRDefault="00330381" w:rsidP="00D21A8B">
      <w:pPr>
        <w:widowControl w:val="0"/>
        <w:numPr>
          <w:ilvl w:val="1"/>
          <w:numId w:val="1"/>
        </w:numPr>
        <w:spacing w:after="120"/>
        <w:rPr>
          <w:rFonts w:asciiTheme="minorHAnsi" w:hAnsiTheme="minorHAnsi"/>
          <w:snapToGrid w:val="0"/>
          <w:lang w:val="en-GB"/>
        </w:rPr>
      </w:pPr>
      <w:r w:rsidRPr="00330381">
        <w:t xml:space="preserve">The PBAC noted that the submission estimated no financial implications with the listing of 0.09% </w:t>
      </w:r>
      <w:r w:rsidR="002C30C6">
        <w:t>ciclosporin</w:t>
      </w:r>
      <w:r w:rsidRPr="00330381">
        <w:t>.</w:t>
      </w:r>
      <w:r>
        <w:t xml:space="preserve"> </w:t>
      </w:r>
      <w:r w:rsidR="002C30C6">
        <w:t xml:space="preserve">The PBAC considered there was a risk of use outside the </w:t>
      </w:r>
      <w:r w:rsidR="0077292D">
        <w:t xml:space="preserve">requested PBS </w:t>
      </w:r>
      <w:r w:rsidR="00A2488E">
        <w:t>population</w:t>
      </w:r>
      <w:r w:rsidR="0077292D">
        <w:t xml:space="preserve"> noting that clinicians may use different scoring methods for DED in clinical practice. The PBAC considered it was appropriate for 0.09% ciclosporin to join the existing RSA</w:t>
      </w:r>
      <w:r w:rsidR="00A2488E">
        <w:t xml:space="preserve"> caps</w:t>
      </w:r>
      <w:r w:rsidR="00434876">
        <w:t xml:space="preserve"> currently</w:t>
      </w:r>
      <w:r w:rsidR="00A2488E">
        <w:t xml:space="preserve"> in place for 0.1% ciclosporin. The PBAC considered that the RSA would</w:t>
      </w:r>
      <w:r w:rsidR="00A2488E" w:rsidRPr="00D21A8B">
        <w:t xml:space="preserve"> </w:t>
      </w:r>
      <w:r w:rsidR="003A0F63">
        <w:t>be</w:t>
      </w:r>
      <w:r w:rsidR="003A0F63" w:rsidRPr="00A2488E">
        <w:t xml:space="preserve"> </w:t>
      </w:r>
      <w:r w:rsidR="00A2488E" w:rsidRPr="00A2488E">
        <w:t xml:space="preserve">appropriate to manage the risks of </w:t>
      </w:r>
      <w:r w:rsidR="00A2488E">
        <w:t xml:space="preserve">use outside the PBS population and </w:t>
      </w:r>
      <w:r w:rsidR="00A2488E" w:rsidRPr="00A2488E">
        <w:t>continued use in patients who do not meet the continuation criteria</w:t>
      </w:r>
      <w:r w:rsidR="00A2488E">
        <w:t xml:space="preserve">. </w:t>
      </w:r>
    </w:p>
    <w:p w14:paraId="37C27A89" w14:textId="5668CC88" w:rsidR="0093115D" w:rsidRPr="00913C37" w:rsidRDefault="00671320" w:rsidP="001F4319">
      <w:pPr>
        <w:pStyle w:val="3-BodyText"/>
        <w:rPr>
          <w:snapToGrid w:val="0"/>
          <w:lang w:val="en-GB"/>
        </w:rPr>
      </w:pPr>
      <w:r>
        <w:lastRenderedPageBreak/>
        <w:t xml:space="preserve">The PBAC advised that </w:t>
      </w:r>
      <w:r w:rsidR="00C7747D">
        <w:rPr>
          <w:rFonts w:ascii="Calibri" w:eastAsia="Times New Roman" w:hAnsi="Calibri" w:cs="Arial"/>
          <w:iCs/>
          <w:szCs w:val="24"/>
        </w:rPr>
        <w:t>0.09% ciclosporin</w:t>
      </w:r>
      <w:r>
        <w:rPr>
          <w:rFonts w:ascii="Calibri" w:eastAsia="Times New Roman" w:hAnsi="Calibri" w:cs="Arial"/>
          <w:iCs/>
          <w:szCs w:val="24"/>
        </w:rPr>
        <w:t xml:space="preserve"> should not be used concurrently with any other</w:t>
      </w:r>
      <w:r w:rsidRPr="00913C37">
        <w:rPr>
          <w:rFonts w:ascii="Calibri" w:eastAsia="Times New Roman" w:hAnsi="Calibri" w:cs="Arial"/>
          <w:iCs/>
          <w:szCs w:val="24"/>
        </w:rPr>
        <w:t xml:space="preserve"> PBS-subsidised therapy for this </w:t>
      </w:r>
      <w:r w:rsidR="00C0639F" w:rsidRPr="00913C37">
        <w:rPr>
          <w:rFonts w:ascii="Calibri" w:eastAsia="Times New Roman" w:hAnsi="Calibri" w:cs="Arial"/>
          <w:iCs/>
          <w:szCs w:val="24"/>
        </w:rPr>
        <w:t>condition</w:t>
      </w:r>
      <w:r w:rsidR="00C0639F">
        <w:rPr>
          <w:rFonts w:ascii="Calibri" w:eastAsia="Times New Roman" w:hAnsi="Calibri" w:cs="Arial"/>
          <w:iCs/>
          <w:szCs w:val="24"/>
        </w:rPr>
        <w:t xml:space="preserve"> and</w:t>
      </w:r>
      <w:r>
        <w:rPr>
          <w:rFonts w:ascii="Calibri" w:eastAsia="Times New Roman" w:hAnsi="Calibri" w:cs="Arial"/>
          <w:iCs/>
          <w:szCs w:val="24"/>
        </w:rPr>
        <w:t xml:space="preserve"> advised that this be reflected in the </w:t>
      </w:r>
      <w:r w:rsidRPr="00460662">
        <w:t xml:space="preserve">0.1% </w:t>
      </w:r>
      <w:proofErr w:type="spellStart"/>
      <w:r w:rsidRPr="00460662">
        <w:t>CsA</w:t>
      </w:r>
      <w:proofErr w:type="spellEnd"/>
      <w:r w:rsidRPr="00460662">
        <w:t xml:space="preserve"> CE</w:t>
      </w:r>
      <w:r>
        <w:t xml:space="preserve"> PBS restriction.</w:t>
      </w:r>
    </w:p>
    <w:p w14:paraId="7A8C913C" w14:textId="443ACE8E" w:rsidR="00464B1E" w:rsidRPr="004E10E7" w:rsidRDefault="00464B1E" w:rsidP="004E10E7">
      <w:pPr>
        <w:pStyle w:val="3-BodyText"/>
        <w:rPr>
          <w:bCs/>
          <w:lang w:val="en-GB"/>
        </w:rPr>
      </w:pPr>
      <w:r w:rsidRPr="00464B1E">
        <w:t xml:space="preserve">The PBAC noted that its recommendation was on a cost-minimisation basis and advised that, because </w:t>
      </w:r>
      <w:r w:rsidRPr="00460662">
        <w:t xml:space="preserve">0.09% </w:t>
      </w:r>
      <w:r w:rsidR="00B33B0E">
        <w:t>ciclosporin</w:t>
      </w:r>
      <w:r w:rsidRPr="00464B1E">
        <w:t xml:space="preserve"> is not expected to provide a substantial and clinically relevant improvement in efficacy, or reduction of toxicity, over </w:t>
      </w:r>
      <w:r w:rsidRPr="00460662">
        <w:t xml:space="preserve">0.1% </w:t>
      </w:r>
      <w:r w:rsidR="00B33B0E">
        <w:t>ciclosporin</w:t>
      </w:r>
      <w:r w:rsidRPr="00464B1E">
        <w:t xml:space="preserve">, or not expected to address a high and urgent unmet clinical need given the presence of an alternative therapy, the criteria prescribed by the </w:t>
      </w:r>
      <w:r w:rsidRPr="00B33B0E">
        <w:rPr>
          <w:i/>
          <w:iCs/>
        </w:rPr>
        <w:t>National Health (Pharmaceuticals and Vaccines – Cost Recovery) Regulations 2009</w:t>
      </w:r>
      <w:r w:rsidRPr="00464B1E">
        <w:t xml:space="preserve"> for Pricing Pathway A were not met.</w:t>
      </w:r>
    </w:p>
    <w:p w14:paraId="73A63A5A" w14:textId="3D1D12C5" w:rsidR="004E10E7" w:rsidRPr="004E10E7" w:rsidRDefault="004E10E7" w:rsidP="004E10E7">
      <w:pPr>
        <w:pStyle w:val="3-BodyText"/>
        <w:rPr>
          <w:lang w:eastAsia="en-US"/>
        </w:rPr>
      </w:pPr>
      <w:r>
        <w:rPr>
          <w:lang w:eastAsia="en-US"/>
        </w:rPr>
        <w:t>This submission does not</w:t>
      </w:r>
      <w:r w:rsidRPr="00460662">
        <w:rPr>
          <w:lang w:eastAsia="en-US"/>
        </w:rPr>
        <w:t xml:space="preserve"> meet the criteria for an Independent Review</w:t>
      </w:r>
      <w:r>
        <w:rPr>
          <w:lang w:eastAsia="en-US"/>
        </w:rPr>
        <w:t xml:space="preserve"> as it received a positive recommendation</w:t>
      </w:r>
      <w:r w:rsidRPr="00460662">
        <w:rPr>
          <w:lang w:eastAsia="en-US"/>
        </w:rPr>
        <w:t>.</w:t>
      </w:r>
    </w:p>
    <w:p w14:paraId="1DE0433D" w14:textId="240EFCF4" w:rsidR="009422F1" w:rsidRDefault="009422F1" w:rsidP="009422F1">
      <w:pPr>
        <w:pStyle w:val="3-BodyText"/>
        <w:numPr>
          <w:ilvl w:val="0"/>
          <w:numId w:val="0"/>
        </w:numPr>
      </w:pPr>
      <w:r w:rsidRPr="00086AD2">
        <w:rPr>
          <w:b/>
          <w:bCs/>
        </w:rPr>
        <w:t>Outcome:</w:t>
      </w:r>
      <w:r>
        <w:br/>
        <w:t>Recommended</w:t>
      </w:r>
    </w:p>
    <w:p w14:paraId="40BB52D3" w14:textId="764A37F2" w:rsidR="00E55ED6" w:rsidRDefault="009422F1" w:rsidP="00E55ED6">
      <w:pPr>
        <w:pStyle w:val="2-SectionHeading"/>
        <w:rPr>
          <w:rFonts w:eastAsia="Calibri"/>
        </w:rPr>
      </w:pPr>
      <w:r>
        <w:rPr>
          <w:rFonts w:eastAsia="Calibri"/>
        </w:rPr>
        <w:t>Recommended listing</w:t>
      </w:r>
    </w:p>
    <w:p w14:paraId="2036429B" w14:textId="6FB3795A" w:rsidR="009422F1" w:rsidRDefault="00185122" w:rsidP="00185122">
      <w:pPr>
        <w:pStyle w:val="3-BodyText"/>
        <w:rPr>
          <w:snapToGrid w:val="0"/>
        </w:rPr>
      </w:pPr>
      <w:r>
        <w:rPr>
          <w:snapToGrid w:val="0"/>
        </w:rPr>
        <w:t>Add new item: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709"/>
        <w:gridCol w:w="709"/>
        <w:gridCol w:w="1842"/>
      </w:tblGrid>
      <w:tr w:rsidR="00185122" w:rsidRPr="00185122" w14:paraId="364CC788" w14:textId="77777777" w:rsidTr="00166971">
        <w:trPr>
          <w:cantSplit/>
          <w:trHeight w:val="471"/>
        </w:trPr>
        <w:tc>
          <w:tcPr>
            <w:tcW w:w="3964" w:type="dxa"/>
          </w:tcPr>
          <w:p w14:paraId="7F7DDF20" w14:textId="77777777" w:rsidR="00185122" w:rsidRPr="00A2488E" w:rsidRDefault="00185122">
            <w:pPr>
              <w:keepNext/>
              <w:ind w:left="-57"/>
              <w:rPr>
                <w:rFonts w:ascii="Arial Narrow" w:hAnsi="Arial Narrow"/>
                <w:b/>
                <w:bCs/>
                <w:sz w:val="20"/>
                <w:szCs w:val="20"/>
                <w:lang w:eastAsia="en-US"/>
              </w:rPr>
            </w:pPr>
            <w:r w:rsidRPr="00A2488E">
              <w:rPr>
                <w:rFonts w:ascii="Arial Narrow" w:hAnsi="Arial Narrow"/>
                <w:b/>
                <w:bCs/>
                <w:sz w:val="20"/>
                <w:szCs w:val="20"/>
                <w:lang w:eastAsia="en-US"/>
              </w:rPr>
              <w:t>MEDICINAL PRODUCT</w:t>
            </w:r>
          </w:p>
          <w:p w14:paraId="1AE5C803" w14:textId="77777777" w:rsidR="00185122" w:rsidRPr="00A2488E" w:rsidRDefault="00185122">
            <w:pPr>
              <w:keepNext/>
              <w:ind w:left="-57"/>
              <w:rPr>
                <w:rFonts w:ascii="Arial Narrow" w:hAnsi="Arial Narrow"/>
                <w:b/>
                <w:sz w:val="20"/>
                <w:szCs w:val="20"/>
                <w:lang w:eastAsia="en-US"/>
              </w:rPr>
            </w:pPr>
            <w:r w:rsidRPr="00A2488E">
              <w:rPr>
                <w:rFonts w:ascii="Arial Narrow" w:hAnsi="Arial Narrow"/>
                <w:b/>
                <w:bCs/>
                <w:sz w:val="20"/>
                <w:szCs w:val="20"/>
                <w:lang w:eastAsia="en-US"/>
              </w:rPr>
              <w:t>medicinal product pack</w:t>
            </w:r>
          </w:p>
        </w:tc>
        <w:tc>
          <w:tcPr>
            <w:tcW w:w="993" w:type="dxa"/>
            <w:vAlign w:val="center"/>
          </w:tcPr>
          <w:p w14:paraId="7C36D874" w14:textId="77777777" w:rsidR="00185122" w:rsidRPr="00A2488E" w:rsidRDefault="00185122">
            <w:pPr>
              <w:keepNext/>
              <w:ind w:left="-108"/>
              <w:jc w:val="center"/>
              <w:rPr>
                <w:rFonts w:ascii="Arial Narrow" w:hAnsi="Arial Narrow"/>
                <w:b/>
                <w:sz w:val="20"/>
                <w:szCs w:val="20"/>
                <w:lang w:eastAsia="en-US"/>
              </w:rPr>
            </w:pPr>
            <w:r w:rsidRPr="00A2488E">
              <w:rPr>
                <w:rFonts w:ascii="Arial Narrow" w:hAnsi="Arial Narrow"/>
                <w:b/>
                <w:sz w:val="20"/>
                <w:szCs w:val="20"/>
                <w:lang w:eastAsia="en-US"/>
              </w:rPr>
              <w:t>PBS item code</w:t>
            </w:r>
          </w:p>
        </w:tc>
        <w:tc>
          <w:tcPr>
            <w:tcW w:w="850" w:type="dxa"/>
            <w:vAlign w:val="center"/>
          </w:tcPr>
          <w:p w14:paraId="5F1AD146" w14:textId="77777777" w:rsidR="00185122" w:rsidRPr="00A2488E" w:rsidRDefault="00185122">
            <w:pPr>
              <w:keepNext/>
              <w:ind w:left="-108"/>
              <w:jc w:val="center"/>
              <w:rPr>
                <w:rFonts w:ascii="Arial Narrow" w:hAnsi="Arial Narrow"/>
                <w:b/>
                <w:sz w:val="20"/>
                <w:szCs w:val="20"/>
                <w:lang w:eastAsia="en-US"/>
              </w:rPr>
            </w:pPr>
            <w:r w:rsidRPr="00A2488E">
              <w:rPr>
                <w:rFonts w:ascii="Arial Narrow" w:hAnsi="Arial Narrow"/>
                <w:b/>
                <w:sz w:val="20"/>
                <w:szCs w:val="20"/>
                <w:lang w:eastAsia="en-US"/>
              </w:rPr>
              <w:t>Max. qty packs</w:t>
            </w:r>
          </w:p>
        </w:tc>
        <w:tc>
          <w:tcPr>
            <w:tcW w:w="709" w:type="dxa"/>
            <w:vAlign w:val="center"/>
          </w:tcPr>
          <w:p w14:paraId="22DB6371" w14:textId="77777777" w:rsidR="00185122" w:rsidRPr="00A2488E" w:rsidRDefault="00185122">
            <w:pPr>
              <w:keepNext/>
              <w:ind w:left="-108"/>
              <w:jc w:val="center"/>
              <w:rPr>
                <w:rFonts w:ascii="Arial Narrow" w:hAnsi="Arial Narrow"/>
                <w:b/>
                <w:sz w:val="20"/>
                <w:szCs w:val="20"/>
                <w:lang w:eastAsia="en-US"/>
              </w:rPr>
            </w:pPr>
            <w:r w:rsidRPr="00A2488E">
              <w:rPr>
                <w:rFonts w:ascii="Arial Narrow" w:hAnsi="Arial Narrow"/>
                <w:b/>
                <w:sz w:val="20"/>
                <w:szCs w:val="20"/>
                <w:lang w:eastAsia="en-US"/>
              </w:rPr>
              <w:t>Max. qty units</w:t>
            </w:r>
          </w:p>
        </w:tc>
        <w:tc>
          <w:tcPr>
            <w:tcW w:w="709" w:type="dxa"/>
            <w:vAlign w:val="center"/>
          </w:tcPr>
          <w:p w14:paraId="5582A6F0" w14:textId="77777777" w:rsidR="00185122" w:rsidRPr="00A2488E" w:rsidRDefault="00185122">
            <w:pPr>
              <w:keepNext/>
              <w:ind w:left="-108"/>
              <w:jc w:val="center"/>
              <w:rPr>
                <w:rFonts w:ascii="Arial Narrow" w:hAnsi="Arial Narrow"/>
                <w:b/>
                <w:sz w:val="20"/>
                <w:szCs w:val="20"/>
                <w:lang w:eastAsia="en-US"/>
              </w:rPr>
            </w:pPr>
            <w:proofErr w:type="gramStart"/>
            <w:r w:rsidRPr="00A2488E">
              <w:rPr>
                <w:rFonts w:ascii="Arial Narrow" w:hAnsi="Arial Narrow"/>
                <w:b/>
                <w:sz w:val="20"/>
                <w:szCs w:val="20"/>
                <w:lang w:eastAsia="en-US"/>
              </w:rPr>
              <w:t>№.of</w:t>
            </w:r>
            <w:proofErr w:type="gramEnd"/>
          </w:p>
          <w:p w14:paraId="104B2A92" w14:textId="77777777" w:rsidR="00185122" w:rsidRPr="00A2488E" w:rsidRDefault="00185122">
            <w:pPr>
              <w:keepNext/>
              <w:ind w:left="-108"/>
              <w:jc w:val="center"/>
              <w:rPr>
                <w:rFonts w:ascii="Arial Narrow" w:hAnsi="Arial Narrow"/>
                <w:b/>
                <w:sz w:val="20"/>
                <w:szCs w:val="20"/>
                <w:lang w:eastAsia="en-US"/>
              </w:rPr>
            </w:pPr>
            <w:proofErr w:type="spellStart"/>
            <w:r w:rsidRPr="00A2488E">
              <w:rPr>
                <w:rFonts w:ascii="Arial Narrow" w:hAnsi="Arial Narrow"/>
                <w:b/>
                <w:sz w:val="20"/>
                <w:szCs w:val="20"/>
                <w:lang w:eastAsia="en-US"/>
              </w:rPr>
              <w:t>Rpts</w:t>
            </w:r>
            <w:proofErr w:type="spellEnd"/>
          </w:p>
        </w:tc>
        <w:tc>
          <w:tcPr>
            <w:tcW w:w="1842" w:type="dxa"/>
            <w:vAlign w:val="center"/>
          </w:tcPr>
          <w:p w14:paraId="2EACCD4D" w14:textId="77777777" w:rsidR="00185122" w:rsidRPr="00A2488E" w:rsidRDefault="00185122">
            <w:pPr>
              <w:keepNext/>
              <w:jc w:val="center"/>
              <w:rPr>
                <w:rFonts w:ascii="Arial Narrow" w:hAnsi="Arial Narrow"/>
                <w:b/>
                <w:sz w:val="20"/>
                <w:szCs w:val="20"/>
                <w:lang w:val="fr-FR" w:eastAsia="en-US"/>
              </w:rPr>
            </w:pPr>
            <w:r w:rsidRPr="00A2488E">
              <w:rPr>
                <w:rFonts w:ascii="Arial Narrow" w:hAnsi="Arial Narrow"/>
                <w:b/>
                <w:sz w:val="20"/>
                <w:szCs w:val="20"/>
                <w:lang w:eastAsia="en-US"/>
              </w:rPr>
              <w:t>Available brands</w:t>
            </w:r>
          </w:p>
        </w:tc>
      </w:tr>
      <w:tr w:rsidR="00185122" w:rsidRPr="00185122" w14:paraId="3046033D" w14:textId="77777777" w:rsidTr="00166971">
        <w:trPr>
          <w:cantSplit/>
          <w:trHeight w:val="224"/>
        </w:trPr>
        <w:tc>
          <w:tcPr>
            <w:tcW w:w="9067" w:type="dxa"/>
            <w:gridSpan w:val="6"/>
          </w:tcPr>
          <w:p w14:paraId="3A8F8DF7" w14:textId="77777777" w:rsidR="00185122" w:rsidRPr="00A2488E" w:rsidRDefault="00185122">
            <w:pPr>
              <w:keepNext/>
              <w:ind w:left="-57"/>
              <w:rPr>
                <w:rFonts w:ascii="Arial Narrow" w:hAnsi="Arial Narrow"/>
                <w:sz w:val="20"/>
                <w:szCs w:val="20"/>
                <w:lang w:eastAsia="en-US"/>
              </w:rPr>
            </w:pPr>
            <w:r w:rsidRPr="00A2488E">
              <w:rPr>
                <w:rFonts w:ascii="Arial Narrow" w:hAnsi="Arial Narrow"/>
                <w:sz w:val="20"/>
                <w:szCs w:val="20"/>
                <w:lang w:eastAsia="en-US"/>
              </w:rPr>
              <w:t>CICLOSPORIN</w:t>
            </w:r>
          </w:p>
        </w:tc>
      </w:tr>
      <w:tr w:rsidR="00185122" w:rsidRPr="00185122" w14:paraId="75DACF4B" w14:textId="77777777" w:rsidTr="00166971">
        <w:trPr>
          <w:cantSplit/>
          <w:trHeight w:val="553"/>
        </w:trPr>
        <w:tc>
          <w:tcPr>
            <w:tcW w:w="3964" w:type="dxa"/>
            <w:vAlign w:val="center"/>
          </w:tcPr>
          <w:p w14:paraId="08F71215" w14:textId="77777777" w:rsidR="00185122" w:rsidRPr="00A2488E" w:rsidRDefault="00185122">
            <w:pPr>
              <w:keepNext/>
              <w:ind w:left="-57"/>
              <w:rPr>
                <w:rFonts w:ascii="Arial Narrow" w:hAnsi="Arial Narrow"/>
                <w:sz w:val="20"/>
                <w:szCs w:val="20"/>
                <w:lang w:eastAsia="en-US"/>
              </w:rPr>
            </w:pPr>
            <w:r w:rsidRPr="00A2488E">
              <w:rPr>
                <w:rFonts w:ascii="Arial Narrow" w:hAnsi="Arial Narrow"/>
                <w:sz w:val="20"/>
                <w:szCs w:val="20"/>
                <w:lang w:eastAsia="en-US"/>
              </w:rPr>
              <w:t>ciclosporin 0.09% eye drops, 60 x 0.25 mL unit doses</w:t>
            </w:r>
          </w:p>
        </w:tc>
        <w:tc>
          <w:tcPr>
            <w:tcW w:w="993" w:type="dxa"/>
            <w:vAlign w:val="center"/>
          </w:tcPr>
          <w:p w14:paraId="097D57B8" w14:textId="77777777" w:rsidR="00185122" w:rsidRPr="00A2488E" w:rsidRDefault="00185122">
            <w:pPr>
              <w:keepNext/>
              <w:jc w:val="center"/>
              <w:rPr>
                <w:rFonts w:ascii="Arial Narrow" w:hAnsi="Arial Narrow"/>
                <w:sz w:val="20"/>
                <w:szCs w:val="20"/>
                <w:lang w:eastAsia="en-US"/>
              </w:rPr>
            </w:pPr>
            <w:r w:rsidRPr="00A2488E">
              <w:rPr>
                <w:rFonts w:ascii="Arial Narrow" w:hAnsi="Arial Narrow"/>
                <w:sz w:val="20"/>
                <w:szCs w:val="20"/>
                <w:lang w:eastAsia="en-US"/>
              </w:rPr>
              <w:t>NEW</w:t>
            </w:r>
          </w:p>
        </w:tc>
        <w:tc>
          <w:tcPr>
            <w:tcW w:w="850" w:type="dxa"/>
            <w:vAlign w:val="center"/>
          </w:tcPr>
          <w:p w14:paraId="289AE824" w14:textId="77777777" w:rsidR="00185122" w:rsidRPr="00A2488E" w:rsidRDefault="00185122">
            <w:pPr>
              <w:keepNext/>
              <w:jc w:val="center"/>
              <w:rPr>
                <w:rFonts w:ascii="Arial Narrow" w:hAnsi="Arial Narrow"/>
                <w:sz w:val="20"/>
                <w:szCs w:val="20"/>
                <w:lang w:eastAsia="en-US"/>
              </w:rPr>
            </w:pPr>
            <w:r w:rsidRPr="00A2488E">
              <w:rPr>
                <w:rFonts w:ascii="Arial Narrow" w:hAnsi="Arial Narrow"/>
                <w:sz w:val="20"/>
                <w:szCs w:val="20"/>
                <w:lang w:eastAsia="en-US"/>
              </w:rPr>
              <w:t>1</w:t>
            </w:r>
          </w:p>
        </w:tc>
        <w:tc>
          <w:tcPr>
            <w:tcW w:w="709" w:type="dxa"/>
            <w:vAlign w:val="center"/>
          </w:tcPr>
          <w:p w14:paraId="59C86CB1" w14:textId="77777777" w:rsidR="00185122" w:rsidRPr="00A2488E" w:rsidRDefault="00185122">
            <w:pPr>
              <w:keepNext/>
              <w:jc w:val="center"/>
              <w:rPr>
                <w:rFonts w:ascii="Arial Narrow" w:hAnsi="Arial Narrow"/>
                <w:sz w:val="20"/>
                <w:szCs w:val="20"/>
                <w:lang w:eastAsia="en-US"/>
              </w:rPr>
            </w:pPr>
            <w:r w:rsidRPr="00A2488E">
              <w:rPr>
                <w:rFonts w:ascii="Arial Narrow" w:hAnsi="Arial Narrow"/>
                <w:sz w:val="20"/>
                <w:szCs w:val="20"/>
                <w:lang w:eastAsia="en-US"/>
              </w:rPr>
              <w:t>60</w:t>
            </w:r>
          </w:p>
        </w:tc>
        <w:tc>
          <w:tcPr>
            <w:tcW w:w="709" w:type="dxa"/>
            <w:vAlign w:val="center"/>
          </w:tcPr>
          <w:p w14:paraId="78FEA44E" w14:textId="77777777" w:rsidR="00185122" w:rsidRPr="00A2488E" w:rsidRDefault="00185122">
            <w:pPr>
              <w:keepNext/>
              <w:jc w:val="center"/>
              <w:rPr>
                <w:rFonts w:ascii="Arial Narrow" w:hAnsi="Arial Narrow"/>
                <w:sz w:val="20"/>
                <w:szCs w:val="20"/>
                <w:lang w:eastAsia="en-US"/>
              </w:rPr>
            </w:pPr>
            <w:r w:rsidRPr="00A2488E">
              <w:rPr>
                <w:rFonts w:ascii="Arial Narrow" w:hAnsi="Arial Narrow"/>
                <w:sz w:val="20"/>
                <w:szCs w:val="20"/>
                <w:lang w:eastAsia="en-US"/>
              </w:rPr>
              <w:t>5</w:t>
            </w:r>
          </w:p>
        </w:tc>
        <w:tc>
          <w:tcPr>
            <w:tcW w:w="1842" w:type="dxa"/>
            <w:vAlign w:val="center"/>
          </w:tcPr>
          <w:p w14:paraId="5BF234A7" w14:textId="77777777" w:rsidR="00185122" w:rsidRPr="00A2488E" w:rsidRDefault="00185122">
            <w:pPr>
              <w:keepNext/>
              <w:jc w:val="center"/>
              <w:rPr>
                <w:rFonts w:ascii="Arial Narrow" w:hAnsi="Arial Narrow"/>
                <w:sz w:val="20"/>
                <w:szCs w:val="20"/>
                <w:lang w:eastAsia="en-US"/>
              </w:rPr>
            </w:pPr>
            <w:proofErr w:type="spellStart"/>
            <w:r w:rsidRPr="00A2488E">
              <w:rPr>
                <w:rFonts w:ascii="Arial Narrow" w:hAnsi="Arial Narrow"/>
                <w:sz w:val="20"/>
                <w:szCs w:val="20"/>
                <w:lang w:eastAsia="en-US"/>
              </w:rPr>
              <w:t>Cequa</w:t>
            </w:r>
            <w:proofErr w:type="spellEnd"/>
          </w:p>
        </w:tc>
      </w:tr>
      <w:tr w:rsidR="00185122" w:rsidRPr="00185122" w14:paraId="1046615A" w14:textId="77777777" w:rsidTr="00166971">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664F6E46" w14:textId="77777777" w:rsidR="00185122" w:rsidRPr="00A2488E" w:rsidRDefault="00185122">
            <w:pPr>
              <w:rPr>
                <w:rFonts w:ascii="Arial Narrow" w:hAnsi="Arial Narrow" w:cs="Times New Roman"/>
                <w:bCs/>
                <w:sz w:val="20"/>
                <w:szCs w:val="20"/>
                <w:lang w:eastAsia="en-US"/>
              </w:rPr>
            </w:pPr>
          </w:p>
        </w:tc>
      </w:tr>
      <w:tr w:rsidR="00185122" w:rsidRPr="00185122" w14:paraId="754503BF" w14:textId="77777777" w:rsidTr="00166971">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77117F13" w14:textId="0BCF020A" w:rsidR="00185122" w:rsidRPr="00A2488E" w:rsidRDefault="00185122">
            <w:pPr>
              <w:rPr>
                <w:rFonts w:ascii="Arial Narrow" w:hAnsi="Arial Narrow"/>
                <w:bCs/>
                <w:sz w:val="20"/>
                <w:szCs w:val="20"/>
                <w:lang w:eastAsia="en-US"/>
              </w:rPr>
            </w:pPr>
            <w:r w:rsidRPr="00A2488E">
              <w:rPr>
                <w:rFonts w:ascii="Arial Narrow" w:hAnsi="Arial Narrow" w:cs="Times New Roman"/>
                <w:bCs/>
                <w:sz w:val="20"/>
                <w:szCs w:val="20"/>
                <w:lang w:eastAsia="en-US"/>
              </w:rPr>
              <w:t xml:space="preserve">Restriction Summary / Treatment of Concept: </w:t>
            </w:r>
          </w:p>
        </w:tc>
      </w:tr>
      <w:tr w:rsidR="00185122" w:rsidRPr="00185122" w14:paraId="66547DDD" w14:textId="77777777" w:rsidTr="00166971">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73AD9C5C" w14:textId="218814D3" w:rsidR="00185122" w:rsidRPr="00A2488E" w:rsidRDefault="00185122">
            <w:pPr>
              <w:rPr>
                <w:rFonts w:ascii="Arial Narrow" w:hAnsi="Arial Narrow" w:cs="Times New Roman"/>
                <w:bCs/>
                <w:sz w:val="20"/>
                <w:szCs w:val="20"/>
                <w:lang w:eastAsia="en-US"/>
              </w:rPr>
            </w:pPr>
            <w:r w:rsidRPr="00A2488E">
              <w:rPr>
                <w:rFonts w:ascii="Arial Narrow" w:hAnsi="Arial Narrow" w:cs="Times New Roman"/>
                <w:bCs/>
                <w:sz w:val="20"/>
                <w:szCs w:val="20"/>
                <w:lang w:eastAsia="en-US"/>
              </w:rPr>
              <w:t xml:space="preserve">Restriction Summary / Treatment of Concept: </w:t>
            </w:r>
          </w:p>
        </w:tc>
      </w:tr>
    </w:tbl>
    <w:p w14:paraId="526D7EA5" w14:textId="77777777" w:rsidR="00185122" w:rsidRPr="00A2488E" w:rsidRDefault="00185122">
      <w:pPr>
        <w:rPr>
          <w:rFonts w:ascii="Arial Narrow" w:hAnsi="Arial Narrow" w:cs="Times New Roman"/>
          <w:bCs/>
          <w:lang w:eastAsia="en-US"/>
        </w:rPr>
      </w:pPr>
    </w:p>
    <w:tbl>
      <w:tblPr>
        <w:tblW w:w="5066"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64"/>
        <w:gridCol w:w="7272"/>
      </w:tblGrid>
      <w:tr w:rsidR="00185122" w:rsidRPr="00185122" w14:paraId="0704911E" w14:textId="77777777" w:rsidTr="00166971">
        <w:tc>
          <w:tcPr>
            <w:tcW w:w="1020" w:type="pct"/>
            <w:tcBorders>
              <w:top w:val="single" w:sz="4" w:space="0" w:color="auto"/>
              <w:left w:val="single" w:sz="4" w:space="0" w:color="auto"/>
              <w:bottom w:val="single" w:sz="4" w:space="0" w:color="auto"/>
              <w:right w:val="single" w:sz="4" w:space="0" w:color="auto"/>
            </w:tcBorders>
          </w:tcPr>
          <w:p w14:paraId="4DA06758" w14:textId="77777777" w:rsidR="00185122" w:rsidRPr="00A2488E" w:rsidRDefault="00185122">
            <w:pPr>
              <w:rPr>
                <w:rFonts w:ascii="Arial Narrow" w:hAnsi="Arial Narrow" w:cs="Times New Roman"/>
                <w:b/>
                <w:sz w:val="20"/>
                <w:szCs w:val="20"/>
                <w:lang w:eastAsia="en-US"/>
              </w:rPr>
            </w:pPr>
            <w:r w:rsidRPr="00A2488E">
              <w:rPr>
                <w:rFonts w:ascii="Arial Narrow" w:hAnsi="Arial Narrow" w:cs="Times New Roman"/>
                <w:b/>
                <w:sz w:val="20"/>
                <w:szCs w:val="20"/>
                <w:lang w:eastAsia="en-US"/>
              </w:rPr>
              <w:t>Administrative Advice</w:t>
            </w:r>
            <w:r w:rsidRPr="00A2488E">
              <w:rPr>
                <w:rFonts w:ascii="Arial Narrow" w:hAnsi="Arial Narrow" w:cs="Times New Roman"/>
                <w:b/>
                <w:sz w:val="20"/>
                <w:szCs w:val="20"/>
                <w:lang w:eastAsia="en-US"/>
              </w:rPr>
              <w:br/>
            </w:r>
          </w:p>
        </w:tc>
        <w:tc>
          <w:tcPr>
            <w:tcW w:w="0" w:type="auto"/>
            <w:tcBorders>
              <w:top w:val="single" w:sz="4" w:space="0" w:color="auto"/>
              <w:left w:val="single" w:sz="4" w:space="0" w:color="auto"/>
              <w:bottom w:val="single" w:sz="4" w:space="0" w:color="auto"/>
              <w:right w:val="single" w:sz="4" w:space="0" w:color="auto"/>
            </w:tcBorders>
          </w:tcPr>
          <w:p w14:paraId="1DA967EC" w14:textId="77777777" w:rsidR="00185122" w:rsidRPr="00A2488E" w:rsidRDefault="00185122">
            <w:pPr>
              <w:rPr>
                <w:rFonts w:ascii="Arial Narrow" w:hAnsi="Arial Narrow" w:cs="Times New Roman"/>
                <w:bCs/>
                <w:sz w:val="20"/>
                <w:szCs w:val="20"/>
                <w:lang w:eastAsia="en-US"/>
              </w:rPr>
            </w:pPr>
            <w:r w:rsidRPr="00A2488E">
              <w:rPr>
                <w:rFonts w:ascii="Arial Narrow" w:hAnsi="Arial Narrow" w:cs="Times New Roman"/>
                <w:bCs/>
                <w:sz w:val="20"/>
                <w:szCs w:val="20"/>
                <w:lang w:eastAsia="en-US"/>
              </w:rPr>
              <w:t>Applications for authorisation under this restriction may be made in real time using the Online PBS Authorities system (see www.servicesaustralia.gov.au/HPOS) or by telephone by contacting Services Australia on 1800 888 333.</w:t>
            </w:r>
          </w:p>
        </w:tc>
      </w:tr>
    </w:tbl>
    <w:p w14:paraId="553FF135" w14:textId="77777777" w:rsidR="00185122" w:rsidRPr="00A2488E" w:rsidRDefault="00185122">
      <w:pPr>
        <w:rPr>
          <w:rFonts w:ascii="Arial Narrow" w:hAnsi="Arial Narrow" w:cs="Times New Roman"/>
          <w:sz w:val="20"/>
          <w:szCs w:val="20"/>
          <w:lang w:eastAsia="en-US"/>
        </w:rPr>
      </w:pPr>
    </w:p>
    <w:tbl>
      <w:tblPr>
        <w:tblW w:w="506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7245"/>
      </w:tblGrid>
      <w:tr w:rsidR="00185122" w:rsidRPr="00185122" w14:paraId="140228BD" w14:textId="77777777" w:rsidTr="00166971">
        <w:tc>
          <w:tcPr>
            <w:tcW w:w="1033" w:type="pct"/>
          </w:tcPr>
          <w:p w14:paraId="111558C5"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Category / Program</w:t>
            </w:r>
          </w:p>
        </w:tc>
        <w:tc>
          <w:tcPr>
            <w:tcW w:w="0" w:type="auto"/>
          </w:tcPr>
          <w:p w14:paraId="7AFB4139"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GENERAL - General Schedule (Code GE)</w:t>
            </w:r>
          </w:p>
        </w:tc>
      </w:tr>
      <w:tr w:rsidR="00185122" w:rsidRPr="00185122" w14:paraId="3B45512A" w14:textId="77777777" w:rsidTr="00166971">
        <w:tc>
          <w:tcPr>
            <w:tcW w:w="1033" w:type="pct"/>
          </w:tcPr>
          <w:p w14:paraId="31E1860B"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Prescriber Type(s)</w:t>
            </w:r>
          </w:p>
        </w:tc>
        <w:tc>
          <w:tcPr>
            <w:tcW w:w="0" w:type="auto"/>
          </w:tcPr>
          <w:p w14:paraId="33E0345B"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Medical Practitioners, Optometrist</w:t>
            </w:r>
          </w:p>
        </w:tc>
      </w:tr>
      <w:tr w:rsidR="00185122" w:rsidRPr="00185122" w14:paraId="23340597" w14:textId="77777777" w:rsidTr="00166971">
        <w:tc>
          <w:tcPr>
            <w:tcW w:w="1033" w:type="pct"/>
          </w:tcPr>
          <w:p w14:paraId="6D478462"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PBS Indication</w:t>
            </w:r>
          </w:p>
        </w:tc>
        <w:tc>
          <w:tcPr>
            <w:tcW w:w="0" w:type="auto"/>
          </w:tcPr>
          <w:p w14:paraId="6BAE926B"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Chronic severe dry eye disease with keratitis</w:t>
            </w:r>
          </w:p>
        </w:tc>
      </w:tr>
      <w:tr w:rsidR="00185122" w:rsidRPr="00185122" w14:paraId="6E5F785D" w14:textId="77777777" w:rsidTr="00166971">
        <w:tc>
          <w:tcPr>
            <w:tcW w:w="1033" w:type="pct"/>
          </w:tcPr>
          <w:p w14:paraId="1DC728EE"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Treatment phase</w:t>
            </w:r>
          </w:p>
        </w:tc>
        <w:tc>
          <w:tcPr>
            <w:tcW w:w="0" w:type="auto"/>
          </w:tcPr>
          <w:p w14:paraId="7C79F957"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Initial treatment for up to the first 180 days of treatment</w:t>
            </w:r>
          </w:p>
        </w:tc>
      </w:tr>
      <w:tr w:rsidR="00185122" w:rsidRPr="00185122" w14:paraId="245FC5F8" w14:textId="77777777" w:rsidTr="00166971">
        <w:tc>
          <w:tcPr>
            <w:tcW w:w="1033" w:type="pct"/>
          </w:tcPr>
          <w:p w14:paraId="5F996811"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Restriction Level / Method</w:t>
            </w:r>
          </w:p>
        </w:tc>
        <w:tc>
          <w:tcPr>
            <w:tcW w:w="0" w:type="auto"/>
          </w:tcPr>
          <w:p w14:paraId="1B3A3DC1"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Authority required</w:t>
            </w:r>
          </w:p>
        </w:tc>
      </w:tr>
      <w:tr w:rsidR="00185122" w:rsidRPr="00185122" w14:paraId="3E99525B" w14:textId="77777777" w:rsidTr="00166971">
        <w:tc>
          <w:tcPr>
            <w:tcW w:w="1033" w:type="pct"/>
          </w:tcPr>
          <w:p w14:paraId="093A7F0F"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Treatment criteria</w:t>
            </w:r>
          </w:p>
        </w:tc>
        <w:tc>
          <w:tcPr>
            <w:tcW w:w="0" w:type="auto"/>
          </w:tcPr>
          <w:p w14:paraId="24290C43"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Patient must be undergoing simultaneous treatment with a preservative free artificial tears substitute</w:t>
            </w:r>
          </w:p>
          <w:p w14:paraId="55C82774"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AND</w:t>
            </w:r>
          </w:p>
          <w:p w14:paraId="7A9E610F"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Must be treated by an ophthalmologist or by an accredited ophthalmology registrar in consultation with an ophthalmologist; or</w:t>
            </w:r>
          </w:p>
          <w:p w14:paraId="28FE6713"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Must be treated by an optometrist in accordance with Optometry Board of Australia guidelines</w:t>
            </w:r>
          </w:p>
          <w:p w14:paraId="42C509A9"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AND</w:t>
            </w:r>
          </w:p>
          <w:p w14:paraId="1C10765B"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Patient must not be undergoing treatment with this drug under this treatment phase beyond day 180 of treatment</w:t>
            </w:r>
          </w:p>
        </w:tc>
      </w:tr>
      <w:tr w:rsidR="00185122" w:rsidRPr="00185122" w14:paraId="2B969B0A" w14:textId="77777777" w:rsidTr="00166971">
        <w:tc>
          <w:tcPr>
            <w:tcW w:w="1033" w:type="pct"/>
          </w:tcPr>
          <w:p w14:paraId="1AF949F9"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lastRenderedPageBreak/>
              <w:t>Clinical criteria</w:t>
            </w:r>
            <w:r w:rsidRPr="00A2488E">
              <w:rPr>
                <w:rFonts w:ascii="Arial Narrow" w:hAnsi="Arial Narrow" w:cs="Times New Roman"/>
                <w:sz w:val="20"/>
                <w:szCs w:val="20"/>
                <w:lang w:eastAsia="en-US"/>
              </w:rPr>
              <w:br/>
            </w:r>
          </w:p>
        </w:tc>
        <w:tc>
          <w:tcPr>
            <w:tcW w:w="0" w:type="auto"/>
          </w:tcPr>
          <w:p w14:paraId="689791EC"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Patient must have a corneal fluorescein staining (CFS) grade of 4 at treatment initiation, using at least one of: (</w:t>
            </w:r>
            <w:proofErr w:type="spellStart"/>
            <w:r w:rsidRPr="00A2488E">
              <w:rPr>
                <w:rFonts w:ascii="Arial Narrow" w:hAnsi="Arial Narrow" w:cs="Times New Roman"/>
                <w:sz w:val="20"/>
                <w:szCs w:val="20"/>
                <w:lang w:eastAsia="en-US"/>
              </w:rPr>
              <w:t>i</w:t>
            </w:r>
            <w:proofErr w:type="spellEnd"/>
            <w:r w:rsidRPr="00A2488E">
              <w:rPr>
                <w:rFonts w:ascii="Arial Narrow" w:hAnsi="Arial Narrow" w:cs="Times New Roman"/>
                <w:sz w:val="20"/>
                <w:szCs w:val="20"/>
                <w:lang w:eastAsia="en-US"/>
              </w:rPr>
              <w:t>) the Oxford scale, (ii) the modified Oxford scale, (iii) an equivalent scale to the Oxford scale as determined by the prescriber</w:t>
            </w:r>
          </w:p>
          <w:p w14:paraId="19C5FAFB"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AND</w:t>
            </w:r>
          </w:p>
          <w:p w14:paraId="5B3A2668"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Patient must have an ocular surface disease index (OSDI) score of at least 23 at treatment initiation</w:t>
            </w:r>
          </w:p>
          <w:p w14:paraId="60E03899"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AND</w:t>
            </w:r>
          </w:p>
          <w:p w14:paraId="07885A61" w14:textId="77777777" w:rsidR="00185122"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The condition must be inadequately controlled by monotherapy with a preservative free artificial tears substitute</w:t>
            </w:r>
          </w:p>
          <w:p w14:paraId="4DD19965" w14:textId="77777777" w:rsidR="00671320" w:rsidRPr="00671320" w:rsidRDefault="00671320" w:rsidP="00671320">
            <w:pPr>
              <w:rPr>
                <w:rFonts w:ascii="Arial Narrow" w:hAnsi="Arial Narrow" w:cs="Times New Roman"/>
                <w:sz w:val="20"/>
                <w:szCs w:val="20"/>
                <w:lang w:eastAsia="en-US"/>
              </w:rPr>
            </w:pPr>
            <w:r w:rsidRPr="00671320">
              <w:rPr>
                <w:rFonts w:ascii="Arial Narrow" w:hAnsi="Arial Narrow" w:cs="Times New Roman"/>
                <w:sz w:val="20"/>
                <w:szCs w:val="20"/>
                <w:lang w:eastAsia="en-US"/>
              </w:rPr>
              <w:t>AND</w:t>
            </w:r>
          </w:p>
          <w:p w14:paraId="14E8371A" w14:textId="7CF6A130" w:rsidR="00671320" w:rsidRPr="00A2488E" w:rsidRDefault="00671320" w:rsidP="00671320">
            <w:pPr>
              <w:rPr>
                <w:rFonts w:ascii="Arial Narrow" w:hAnsi="Arial Narrow" w:cs="Times New Roman"/>
                <w:sz w:val="20"/>
                <w:szCs w:val="20"/>
                <w:lang w:eastAsia="en-US"/>
              </w:rPr>
            </w:pPr>
            <w:r w:rsidRPr="00671320">
              <w:rPr>
                <w:rFonts w:ascii="Arial Narrow" w:hAnsi="Arial Narrow" w:cs="Times New Roman"/>
                <w:sz w:val="20"/>
                <w:szCs w:val="20"/>
                <w:lang w:eastAsia="en-US"/>
              </w:rPr>
              <w:t>The treatment must be the sole PBS-subsidised therapy for this condition.</w:t>
            </w:r>
          </w:p>
        </w:tc>
      </w:tr>
      <w:tr w:rsidR="00185122" w:rsidRPr="00185122" w14:paraId="0884427A" w14:textId="77777777" w:rsidTr="00166971">
        <w:tc>
          <w:tcPr>
            <w:tcW w:w="1033" w:type="pct"/>
          </w:tcPr>
          <w:p w14:paraId="4BC6AA1F"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Population criteria</w:t>
            </w:r>
          </w:p>
        </w:tc>
        <w:tc>
          <w:tcPr>
            <w:tcW w:w="0" w:type="auto"/>
          </w:tcPr>
          <w:p w14:paraId="1F7938C9"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Patient must be at least 18 years of age</w:t>
            </w:r>
          </w:p>
        </w:tc>
      </w:tr>
      <w:tr w:rsidR="00185122" w:rsidRPr="00185122" w14:paraId="052D9015" w14:textId="77777777" w:rsidTr="00A2488E">
        <w:trPr>
          <w:trHeight w:val="1834"/>
        </w:trPr>
        <w:tc>
          <w:tcPr>
            <w:tcW w:w="1033" w:type="pct"/>
          </w:tcPr>
          <w:p w14:paraId="54F6F26C"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Prescriber Instructions</w:t>
            </w:r>
          </w:p>
        </w:tc>
        <w:tc>
          <w:tcPr>
            <w:tcW w:w="0" w:type="auto"/>
          </w:tcPr>
          <w:p w14:paraId="20BF0A9A"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Prescribing instruction:</w:t>
            </w:r>
          </w:p>
          <w:p w14:paraId="5C0688F7"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State in the first authority application for this drug, for the purpose of having a baseline measurement to assess response to treatment under the Continuing treatment listing, each of:</w:t>
            </w:r>
          </w:p>
          <w:p w14:paraId="01C14F77" w14:textId="77777777" w:rsidR="00185122" w:rsidRPr="00A2488E" w:rsidRDefault="00185122" w:rsidP="001B403A">
            <w:pPr>
              <w:numPr>
                <w:ilvl w:val="0"/>
                <w:numId w:val="6"/>
              </w:numPr>
              <w:spacing w:after="200" w:line="276" w:lineRule="auto"/>
              <w:jc w:val="left"/>
              <w:rPr>
                <w:rFonts w:ascii="Arial Narrow" w:hAnsi="Arial Narrow" w:cs="Times New Roman"/>
                <w:sz w:val="20"/>
                <w:szCs w:val="20"/>
                <w:lang w:eastAsia="en-US"/>
              </w:rPr>
            </w:pPr>
            <w:r w:rsidRPr="00A2488E">
              <w:rPr>
                <w:rFonts w:ascii="Arial Narrow" w:hAnsi="Arial Narrow" w:cs="Times New Roman"/>
                <w:sz w:val="20"/>
                <w:szCs w:val="20"/>
                <w:lang w:eastAsia="en-US"/>
              </w:rPr>
              <w:t xml:space="preserve">the qualifying corneal fluorescein staining grade (a numerical value no less than 4), </w:t>
            </w:r>
          </w:p>
          <w:p w14:paraId="701232A3" w14:textId="77777777" w:rsidR="00185122" w:rsidRPr="00A2488E" w:rsidRDefault="00185122" w:rsidP="001B403A">
            <w:pPr>
              <w:numPr>
                <w:ilvl w:val="0"/>
                <w:numId w:val="6"/>
              </w:numPr>
              <w:spacing w:after="200" w:line="276" w:lineRule="auto"/>
              <w:jc w:val="left"/>
              <w:rPr>
                <w:rFonts w:ascii="Arial Narrow" w:hAnsi="Arial Narrow" w:cs="Times New Roman"/>
                <w:sz w:val="20"/>
                <w:szCs w:val="20"/>
                <w:lang w:eastAsia="en-US"/>
              </w:rPr>
            </w:pPr>
            <w:r w:rsidRPr="00A2488E">
              <w:rPr>
                <w:rFonts w:ascii="Arial Narrow" w:hAnsi="Arial Narrow" w:cs="Times New Roman"/>
                <w:sz w:val="20"/>
                <w:szCs w:val="20"/>
                <w:lang w:eastAsia="en-US"/>
              </w:rPr>
              <w:t xml:space="preserve"> the qualifying ocular surface disease index score (a numerical value no less than 23).</w:t>
            </w:r>
          </w:p>
        </w:tc>
      </w:tr>
      <w:tr w:rsidR="00185122" w:rsidRPr="00185122" w14:paraId="32692E3A" w14:textId="77777777" w:rsidTr="00166971">
        <w:tc>
          <w:tcPr>
            <w:tcW w:w="1033" w:type="pct"/>
          </w:tcPr>
          <w:p w14:paraId="3FFD1938"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Administrative Advice</w:t>
            </w:r>
            <w:r w:rsidRPr="00A2488E">
              <w:rPr>
                <w:rFonts w:ascii="Arial Narrow" w:hAnsi="Arial Narrow" w:cs="Times New Roman"/>
                <w:sz w:val="20"/>
                <w:szCs w:val="20"/>
                <w:lang w:eastAsia="en-US"/>
              </w:rPr>
              <w:br/>
            </w:r>
          </w:p>
        </w:tc>
        <w:tc>
          <w:tcPr>
            <w:tcW w:w="0" w:type="auto"/>
          </w:tcPr>
          <w:p w14:paraId="6BBD5DE5"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The Oxford scale, modified Oxford scale and Ocular Surface Disease Index (OSDI) were relied upon in the submission supporting initial PBS listing.</w:t>
            </w:r>
          </w:p>
          <w:p w14:paraId="5AC81140"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 xml:space="preserve">The Oxford scale uses a chart system consisting of a series of panels, labelled A to E in order of increasing severity. In each chart, staining is represented by dots. To grade staining, comparisons are made between the panels and the appearance of staining on the exposed interpalpebral conjunctiva and cornea of the patient. The details of the chart are presented in Figure 1 and, in a simplified form in Figure 4 (where the criteria, dot count and log columns are not displayed), in the following literature article: </w:t>
            </w:r>
            <w:proofErr w:type="spellStart"/>
            <w:r w:rsidRPr="00A2488E">
              <w:rPr>
                <w:rFonts w:ascii="Arial Narrow" w:hAnsi="Arial Narrow" w:cs="Times New Roman"/>
                <w:sz w:val="20"/>
                <w:szCs w:val="20"/>
                <w:lang w:eastAsia="en-US"/>
              </w:rPr>
              <w:t>Bron</w:t>
            </w:r>
            <w:proofErr w:type="spellEnd"/>
            <w:r w:rsidRPr="00A2488E">
              <w:rPr>
                <w:rFonts w:ascii="Arial Narrow" w:hAnsi="Arial Narrow" w:cs="Times New Roman"/>
                <w:sz w:val="20"/>
                <w:szCs w:val="20"/>
                <w:lang w:eastAsia="en-US"/>
              </w:rPr>
              <w:t xml:space="preserve"> A, Evans V, Smith, J. Grading of corneal and conjunctival staining in the context of other dry eye tests. Cornea. 2003;22(7):640-650.</w:t>
            </w:r>
          </w:p>
          <w:p w14:paraId="484AB637"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 xml:space="preserve">The modified Oxford scale is as above, but with the </w:t>
            </w:r>
            <w:proofErr w:type="gramStart"/>
            <w:r w:rsidRPr="00A2488E">
              <w:rPr>
                <w:rFonts w:ascii="Arial Narrow" w:hAnsi="Arial Narrow" w:cs="Times New Roman"/>
                <w:sz w:val="20"/>
                <w:szCs w:val="20"/>
                <w:lang w:eastAsia="en-US"/>
              </w:rPr>
              <w:t>first grade</w:t>
            </w:r>
            <w:proofErr w:type="gramEnd"/>
            <w:r w:rsidRPr="00A2488E">
              <w:rPr>
                <w:rFonts w:ascii="Arial Narrow" w:hAnsi="Arial Narrow" w:cs="Times New Roman"/>
                <w:sz w:val="20"/>
                <w:szCs w:val="20"/>
                <w:lang w:eastAsia="en-US"/>
              </w:rPr>
              <w:t xml:space="preserve"> depiction (Grade 0), termed 'Grade 0.5'.</w:t>
            </w:r>
          </w:p>
          <w:p w14:paraId="753D4062"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A list of equivalent scales to the Oxford scale is not provided. Prescribers should be satisfied that a scale other than the Oxford scale, if used, is equivalent to the Oxford scale.</w:t>
            </w:r>
          </w:p>
          <w:p w14:paraId="49DBD8BA"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The Ocular Surface Disease Index (OSDI) is a 12-item questionnaire created by the Outcomes Research Group at Allergan Inc, Irvine, CA, USA, to assess dry eye symptoms and the effects on vision-related function.</w:t>
            </w:r>
          </w:p>
          <w:p w14:paraId="12162B6B"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The questionnaire has 3 subscales: ocular symptoms, vision-related function, and environmental triggers. Patients rate their responses on a 0 to 4 scale with 0 corresponding to 'none of the time' and 4 corresponding to 'all of the time'. A final score is calculated which ranges from 0 to 100 with scores 0 to 12 representing normal, 13 to 22 representing mild dry eye disease, 23 to 32 representing moderate dry eye disease, and greater than 33 representing severe dry eye disease.</w:t>
            </w:r>
          </w:p>
          <w:p w14:paraId="778C6529"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The OSDI questionnaire asks the following:</w:t>
            </w:r>
          </w:p>
          <w:p w14:paraId="6011C610"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Presence of ocular symptoms - Have you experienced any of the following during the last week?</w:t>
            </w:r>
          </w:p>
          <w:p w14:paraId="24E82A82"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1. Eyes that are sensitive to light</w:t>
            </w:r>
          </w:p>
          <w:p w14:paraId="79B376C5"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2. Eyes that feel gritty</w:t>
            </w:r>
          </w:p>
          <w:p w14:paraId="74E05096"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3. Painful or sore eyes</w:t>
            </w:r>
          </w:p>
          <w:p w14:paraId="5C806F6B"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4. Blurred vision</w:t>
            </w:r>
          </w:p>
          <w:p w14:paraId="463F4F7C"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5. Poor vision</w:t>
            </w:r>
          </w:p>
          <w:p w14:paraId="05D92C4E"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Impact on daily activities - Have you had problems with your eyes limited you in performing any of the following during the last week?</w:t>
            </w:r>
          </w:p>
          <w:p w14:paraId="77856128"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1. Reading</w:t>
            </w:r>
          </w:p>
          <w:p w14:paraId="52ED3DE8"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2. Driving at night</w:t>
            </w:r>
          </w:p>
          <w:p w14:paraId="726CC937"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3. Working with a computer or bank machine (ATM)</w:t>
            </w:r>
          </w:p>
          <w:p w14:paraId="52703E50"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4. Watching TV</w:t>
            </w:r>
          </w:p>
          <w:p w14:paraId="37135C4E"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lastRenderedPageBreak/>
              <w:t>Environmental factors - Have your eyes felt uncomfortable in any of the following situations during the last week?</w:t>
            </w:r>
          </w:p>
          <w:p w14:paraId="7CC8DC9F"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1. Windy conditions</w:t>
            </w:r>
          </w:p>
          <w:p w14:paraId="40C4BA1F"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2. Places or areas with low humidity (very dry)</w:t>
            </w:r>
          </w:p>
          <w:p w14:paraId="56250290"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3. Areas that are airconditioned</w:t>
            </w:r>
          </w:p>
          <w:p w14:paraId="64E03D34"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 xml:space="preserve">Rate responses on a scale of 0 to 4; 0 = none of the time, 1 = some of the time, 2 = half of the time, 3 = most of the time, and 4 = </w:t>
            </w:r>
            <w:proofErr w:type="gramStart"/>
            <w:r w:rsidRPr="00A2488E">
              <w:rPr>
                <w:rFonts w:ascii="Arial Narrow" w:hAnsi="Arial Narrow" w:cs="Times New Roman"/>
                <w:sz w:val="20"/>
                <w:szCs w:val="20"/>
                <w:lang w:eastAsia="en-US"/>
              </w:rPr>
              <w:t>all of</w:t>
            </w:r>
            <w:proofErr w:type="gramEnd"/>
            <w:r w:rsidRPr="00A2488E">
              <w:rPr>
                <w:rFonts w:ascii="Arial Narrow" w:hAnsi="Arial Narrow" w:cs="Times New Roman"/>
                <w:sz w:val="20"/>
                <w:szCs w:val="20"/>
                <w:lang w:eastAsia="en-US"/>
              </w:rPr>
              <w:t xml:space="preserve"> the time.</w:t>
            </w:r>
          </w:p>
          <w:p w14:paraId="0998ED81"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 xml:space="preserve">Further information on this index is in the following literature article: Walt J, Rowe M, Stern K. Evaluating the functional impact of dry eye: </w:t>
            </w:r>
            <w:proofErr w:type="gramStart"/>
            <w:r w:rsidRPr="00A2488E">
              <w:rPr>
                <w:rFonts w:ascii="Arial Narrow" w:hAnsi="Arial Narrow" w:cs="Times New Roman"/>
                <w:sz w:val="20"/>
                <w:szCs w:val="20"/>
                <w:lang w:eastAsia="en-US"/>
              </w:rPr>
              <w:t>the</w:t>
            </w:r>
            <w:proofErr w:type="gramEnd"/>
            <w:r w:rsidRPr="00A2488E">
              <w:rPr>
                <w:rFonts w:ascii="Arial Narrow" w:hAnsi="Arial Narrow" w:cs="Times New Roman"/>
                <w:sz w:val="20"/>
                <w:szCs w:val="20"/>
                <w:lang w:eastAsia="en-US"/>
              </w:rPr>
              <w:t xml:space="preserve"> Ocular Surface Disease Index. Drug Information Journal. </w:t>
            </w:r>
            <w:proofErr w:type="gramStart"/>
            <w:r w:rsidRPr="00A2488E">
              <w:rPr>
                <w:rFonts w:ascii="Arial Narrow" w:hAnsi="Arial Narrow" w:cs="Times New Roman"/>
                <w:sz w:val="20"/>
                <w:szCs w:val="20"/>
                <w:lang w:eastAsia="en-US"/>
              </w:rPr>
              <w:t>1997;31:1436</w:t>
            </w:r>
            <w:proofErr w:type="gramEnd"/>
          </w:p>
          <w:p w14:paraId="4ADC19C5"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The 'Dry Eye OSDI 'Questionnaire' app developed by Allergan Inc is available to download for iPhone.</w:t>
            </w:r>
          </w:p>
          <w:p w14:paraId="78D58556"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If the maximum number of repeats stated in this listing is not requested in this application, further supplies can be obtained through this treatment phase listing to continue treatment for up to the first 180 days of treatment, but the OSDI score and CFS grade need not be re-stated. Alternatively, treatment may be continued under the 'Continuing treatment' phase listing, provided the patient meets all eligibility criteria specified in that treatment phase listing.</w:t>
            </w:r>
          </w:p>
        </w:tc>
      </w:tr>
      <w:tr w:rsidR="00185122" w:rsidRPr="00185122" w14:paraId="036C5100" w14:textId="77777777" w:rsidTr="0016697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035" w:type="pct"/>
            <w:tcBorders>
              <w:top w:val="single" w:sz="4" w:space="0" w:color="auto"/>
              <w:left w:val="single" w:sz="4" w:space="0" w:color="auto"/>
              <w:bottom w:val="single" w:sz="4" w:space="0" w:color="auto"/>
              <w:right w:val="single" w:sz="4" w:space="0" w:color="auto"/>
            </w:tcBorders>
          </w:tcPr>
          <w:p w14:paraId="081F35D3"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lastRenderedPageBreak/>
              <w:t>Administrative Advice</w:t>
            </w:r>
            <w:r w:rsidRPr="00A2488E">
              <w:rPr>
                <w:rFonts w:ascii="Arial Narrow" w:hAnsi="Arial Narrow" w:cs="Times New Roman"/>
                <w:sz w:val="20"/>
                <w:szCs w:val="20"/>
                <w:lang w:eastAsia="en-US"/>
              </w:rPr>
              <w:br/>
            </w:r>
          </w:p>
        </w:tc>
        <w:tc>
          <w:tcPr>
            <w:tcW w:w="3965" w:type="pct"/>
            <w:tcBorders>
              <w:top w:val="single" w:sz="4" w:space="0" w:color="auto"/>
              <w:left w:val="single" w:sz="4" w:space="0" w:color="auto"/>
              <w:bottom w:val="single" w:sz="4" w:space="0" w:color="auto"/>
              <w:right w:val="single" w:sz="4" w:space="0" w:color="auto"/>
            </w:tcBorders>
          </w:tcPr>
          <w:p w14:paraId="30608F75"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Applications for authorisation under this restriction may be made in real time using the Online PBS Authorities system (see www.servicesaustralia.gov.au/HPOS) or by telephone by contacting Services Australia on 1800 888 333.</w:t>
            </w:r>
          </w:p>
        </w:tc>
      </w:tr>
    </w:tbl>
    <w:p w14:paraId="6D6C2A24" w14:textId="77777777" w:rsidR="00185122" w:rsidRPr="00A2488E" w:rsidRDefault="00185122">
      <w:pPr>
        <w:rPr>
          <w:rFonts w:ascii="Arial Narrow" w:hAnsi="Arial Narrow" w:cs="Times New Roman"/>
          <w:sz w:val="20"/>
          <w:szCs w:val="20"/>
          <w:lang w:eastAsia="en-US"/>
        </w:rPr>
      </w:pPr>
    </w:p>
    <w:tbl>
      <w:tblPr>
        <w:tblW w:w="506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7289"/>
      </w:tblGrid>
      <w:tr w:rsidR="00185122" w:rsidRPr="00185122" w14:paraId="18AE7803" w14:textId="77777777" w:rsidTr="00166971">
        <w:tc>
          <w:tcPr>
            <w:tcW w:w="1011" w:type="pct"/>
          </w:tcPr>
          <w:p w14:paraId="6999894F"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Category / Program</w:t>
            </w:r>
            <w:r w:rsidRPr="00A2488E">
              <w:rPr>
                <w:rFonts w:ascii="Arial Narrow" w:hAnsi="Arial Narrow" w:cs="Times New Roman"/>
                <w:sz w:val="20"/>
                <w:szCs w:val="20"/>
                <w:lang w:eastAsia="en-US"/>
              </w:rPr>
              <w:br/>
            </w:r>
          </w:p>
        </w:tc>
        <w:tc>
          <w:tcPr>
            <w:tcW w:w="3989" w:type="pct"/>
          </w:tcPr>
          <w:p w14:paraId="42357AA2"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GENERAL - General Schedule (Code GE)</w:t>
            </w:r>
          </w:p>
        </w:tc>
      </w:tr>
      <w:tr w:rsidR="00185122" w:rsidRPr="00185122" w14:paraId="593CFF74" w14:textId="77777777" w:rsidTr="00166971">
        <w:tc>
          <w:tcPr>
            <w:tcW w:w="1011" w:type="pct"/>
          </w:tcPr>
          <w:p w14:paraId="783ED8CA"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Prescriber Type(s)</w:t>
            </w:r>
          </w:p>
        </w:tc>
        <w:tc>
          <w:tcPr>
            <w:tcW w:w="3989" w:type="pct"/>
          </w:tcPr>
          <w:p w14:paraId="1E0FA516"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Medical Practitioners, Optometrist</w:t>
            </w:r>
          </w:p>
        </w:tc>
      </w:tr>
      <w:tr w:rsidR="00185122" w:rsidRPr="00185122" w14:paraId="16C25680" w14:textId="77777777" w:rsidTr="00166971">
        <w:tc>
          <w:tcPr>
            <w:tcW w:w="1011" w:type="pct"/>
          </w:tcPr>
          <w:p w14:paraId="1420E367"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PBS Indication</w:t>
            </w:r>
          </w:p>
        </w:tc>
        <w:tc>
          <w:tcPr>
            <w:tcW w:w="3989" w:type="pct"/>
          </w:tcPr>
          <w:p w14:paraId="4CC0AD3A"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Chronic severe dry eye disease with keratitis</w:t>
            </w:r>
          </w:p>
        </w:tc>
      </w:tr>
      <w:tr w:rsidR="00185122" w:rsidRPr="00185122" w14:paraId="1CB622DC" w14:textId="77777777" w:rsidTr="00166971">
        <w:tc>
          <w:tcPr>
            <w:tcW w:w="1011" w:type="pct"/>
          </w:tcPr>
          <w:p w14:paraId="387D2A77"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Treatment phase</w:t>
            </w:r>
          </w:p>
        </w:tc>
        <w:tc>
          <w:tcPr>
            <w:tcW w:w="3989" w:type="pct"/>
          </w:tcPr>
          <w:p w14:paraId="34D2F963"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Continuing treatment</w:t>
            </w:r>
          </w:p>
        </w:tc>
      </w:tr>
      <w:tr w:rsidR="00185122" w:rsidRPr="00185122" w14:paraId="5A86BE5A" w14:textId="77777777" w:rsidTr="00166971">
        <w:tc>
          <w:tcPr>
            <w:tcW w:w="1011" w:type="pct"/>
          </w:tcPr>
          <w:p w14:paraId="126407E0"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Restriction Level / Method</w:t>
            </w:r>
          </w:p>
        </w:tc>
        <w:tc>
          <w:tcPr>
            <w:tcW w:w="3989" w:type="pct"/>
          </w:tcPr>
          <w:p w14:paraId="228EC776"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Authority required</w:t>
            </w:r>
          </w:p>
        </w:tc>
      </w:tr>
      <w:tr w:rsidR="00185122" w:rsidRPr="00185122" w14:paraId="2FA5344E" w14:textId="77777777" w:rsidTr="00166971">
        <w:tc>
          <w:tcPr>
            <w:tcW w:w="1011" w:type="pct"/>
          </w:tcPr>
          <w:p w14:paraId="7E415D48"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Treatment criteria</w:t>
            </w:r>
            <w:r w:rsidRPr="00A2488E">
              <w:rPr>
                <w:rFonts w:ascii="Arial Narrow" w:hAnsi="Arial Narrow" w:cs="Times New Roman"/>
                <w:sz w:val="20"/>
                <w:szCs w:val="20"/>
                <w:lang w:eastAsia="en-US"/>
              </w:rPr>
              <w:br/>
            </w:r>
          </w:p>
        </w:tc>
        <w:tc>
          <w:tcPr>
            <w:tcW w:w="3989" w:type="pct"/>
          </w:tcPr>
          <w:p w14:paraId="2CA48426"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Must be treated by an ophthalmologist or by an accredited ophthalmology registrar in consultation with an ophthalmologist; or</w:t>
            </w:r>
          </w:p>
          <w:p w14:paraId="3E6E7C59"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Must be treated by an optometrist in accordance with Optometry Board of Australia guidelines</w:t>
            </w:r>
          </w:p>
        </w:tc>
      </w:tr>
      <w:tr w:rsidR="00185122" w:rsidRPr="00185122" w14:paraId="18A1C418" w14:textId="77777777" w:rsidTr="00166971">
        <w:tc>
          <w:tcPr>
            <w:tcW w:w="1011" w:type="pct"/>
          </w:tcPr>
          <w:p w14:paraId="6FD4633C"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Clinical criteria</w:t>
            </w:r>
            <w:r w:rsidRPr="00A2488E">
              <w:rPr>
                <w:rFonts w:ascii="Arial Narrow" w:hAnsi="Arial Narrow" w:cs="Times New Roman"/>
                <w:sz w:val="20"/>
                <w:szCs w:val="20"/>
                <w:lang w:eastAsia="en-US"/>
              </w:rPr>
              <w:br/>
            </w:r>
          </w:p>
        </w:tc>
        <w:tc>
          <w:tcPr>
            <w:tcW w:w="3989" w:type="pct"/>
          </w:tcPr>
          <w:p w14:paraId="41EFD8E7"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Patient must have received PBS-subsidised treatment with this drug for this condition</w:t>
            </w:r>
          </w:p>
          <w:p w14:paraId="2960E32C"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AND</w:t>
            </w:r>
          </w:p>
          <w:p w14:paraId="04F7CCE1"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The condition must have improved to an extent that corneal fluorescein staining, using the same scale used at the time of the first authority application, shows an improvement (reduction) by at least 3 grades from baseline (the grade stated in the first authority application) - the improvement need only be demonstrated by staining once only with the first Continuing treatment authority application</w:t>
            </w:r>
          </w:p>
          <w:p w14:paraId="317B8890"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AND</w:t>
            </w:r>
          </w:p>
          <w:p w14:paraId="31B97FA3" w14:textId="77777777" w:rsidR="00185122"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The condition must have improved to an extent that the patient's ocular surface disease index score at the time of this authority application, has improved (reduced) by at least 30% compared to the value stated in the first authority application (</w:t>
            </w:r>
            <w:proofErr w:type="gramStart"/>
            <w:r w:rsidRPr="00A2488E">
              <w:rPr>
                <w:rFonts w:ascii="Arial Narrow" w:hAnsi="Arial Narrow" w:cs="Times New Roman"/>
                <w:sz w:val="20"/>
                <w:szCs w:val="20"/>
                <w:lang w:eastAsia="en-US"/>
              </w:rPr>
              <w:t>i.e.</w:t>
            </w:r>
            <w:proofErr w:type="gramEnd"/>
            <w:r w:rsidRPr="00A2488E">
              <w:rPr>
                <w:rFonts w:ascii="Arial Narrow" w:hAnsi="Arial Narrow" w:cs="Times New Roman"/>
                <w:sz w:val="20"/>
                <w:szCs w:val="20"/>
                <w:lang w:eastAsia="en-US"/>
              </w:rPr>
              <w:t xml:space="preserve"> baseline)</w:t>
            </w:r>
          </w:p>
          <w:p w14:paraId="3462560D" w14:textId="77777777" w:rsidR="00671320" w:rsidRPr="00671320" w:rsidRDefault="00671320" w:rsidP="00671320">
            <w:pPr>
              <w:rPr>
                <w:rFonts w:ascii="Arial Narrow" w:hAnsi="Arial Narrow" w:cs="Times New Roman"/>
                <w:sz w:val="20"/>
                <w:szCs w:val="20"/>
                <w:lang w:eastAsia="en-US"/>
              </w:rPr>
            </w:pPr>
            <w:r w:rsidRPr="00671320">
              <w:rPr>
                <w:rFonts w:ascii="Arial Narrow" w:hAnsi="Arial Narrow" w:cs="Times New Roman"/>
                <w:sz w:val="20"/>
                <w:szCs w:val="20"/>
                <w:lang w:eastAsia="en-US"/>
              </w:rPr>
              <w:t>AND</w:t>
            </w:r>
          </w:p>
          <w:p w14:paraId="6B32D852" w14:textId="3B8BEF4A" w:rsidR="00671320" w:rsidRPr="00A2488E" w:rsidRDefault="00671320" w:rsidP="00671320">
            <w:pPr>
              <w:rPr>
                <w:rFonts w:ascii="Arial Narrow" w:hAnsi="Arial Narrow" w:cs="Times New Roman"/>
                <w:sz w:val="20"/>
                <w:szCs w:val="20"/>
                <w:lang w:eastAsia="en-US"/>
              </w:rPr>
            </w:pPr>
            <w:r w:rsidRPr="00671320">
              <w:rPr>
                <w:rFonts w:ascii="Arial Narrow" w:hAnsi="Arial Narrow" w:cs="Times New Roman"/>
                <w:sz w:val="20"/>
                <w:szCs w:val="20"/>
                <w:lang w:eastAsia="en-US"/>
              </w:rPr>
              <w:t>The treatment must be the sole PBS-subsidised therapy for this condition.</w:t>
            </w:r>
          </w:p>
        </w:tc>
      </w:tr>
      <w:tr w:rsidR="00185122" w:rsidRPr="00185122" w14:paraId="27DE233F" w14:textId="77777777" w:rsidTr="00166971">
        <w:tc>
          <w:tcPr>
            <w:tcW w:w="1011" w:type="pct"/>
          </w:tcPr>
          <w:p w14:paraId="10EC7B67"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Prescriber Instructions</w:t>
            </w:r>
            <w:r w:rsidRPr="00A2488E">
              <w:rPr>
                <w:rFonts w:ascii="Arial Narrow" w:hAnsi="Arial Narrow" w:cs="Times New Roman"/>
                <w:sz w:val="20"/>
                <w:szCs w:val="20"/>
                <w:lang w:eastAsia="en-US"/>
              </w:rPr>
              <w:br/>
            </w:r>
          </w:p>
        </w:tc>
        <w:tc>
          <w:tcPr>
            <w:tcW w:w="3989" w:type="pct"/>
          </w:tcPr>
          <w:p w14:paraId="5B46D81D"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Prescribing instructions:</w:t>
            </w:r>
          </w:p>
          <w:p w14:paraId="47DDA521"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State in the first continuing treatment authority application for this drug:</w:t>
            </w:r>
          </w:p>
          <w:p w14:paraId="1D14BF9A"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 xml:space="preserve"> (</w:t>
            </w:r>
            <w:proofErr w:type="spellStart"/>
            <w:r w:rsidRPr="00A2488E">
              <w:rPr>
                <w:rFonts w:ascii="Arial Narrow" w:hAnsi="Arial Narrow" w:cs="Times New Roman"/>
                <w:sz w:val="20"/>
                <w:szCs w:val="20"/>
                <w:lang w:eastAsia="en-US"/>
              </w:rPr>
              <w:t>i</w:t>
            </w:r>
            <w:proofErr w:type="spellEnd"/>
            <w:r w:rsidRPr="00A2488E">
              <w:rPr>
                <w:rFonts w:ascii="Arial Narrow" w:hAnsi="Arial Narrow" w:cs="Times New Roman"/>
                <w:sz w:val="20"/>
                <w:szCs w:val="20"/>
                <w:lang w:eastAsia="en-US"/>
              </w:rPr>
              <w:t>) an improved corneal fluorescein staining grade (a numerical value that has improved by 3 grades from that provided in the first Initial 1 treatment authority application).</w:t>
            </w:r>
          </w:p>
          <w:p w14:paraId="40073DE7"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State in all continuing treatment authority applications:</w:t>
            </w:r>
          </w:p>
          <w:p w14:paraId="70DEA147" w14:textId="77777777" w:rsidR="00185122" w:rsidRPr="00A2488E"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 xml:space="preserve"> (ii) the ocular surface disease index score at the time of this authority application (a numerical value that is at least 30% lower than that stated in the first Initial 1 treatment authority application).</w:t>
            </w:r>
          </w:p>
        </w:tc>
      </w:tr>
      <w:tr w:rsidR="00185122" w:rsidRPr="00185122" w14:paraId="1EAFE88E" w14:textId="77777777" w:rsidTr="00166971">
        <w:tc>
          <w:tcPr>
            <w:tcW w:w="1011" w:type="pct"/>
          </w:tcPr>
          <w:p w14:paraId="0FFAE482" w14:textId="77777777" w:rsidR="00185122" w:rsidRPr="00A2488E" w:rsidRDefault="00185122">
            <w:pPr>
              <w:jc w:val="left"/>
              <w:rPr>
                <w:rFonts w:ascii="Arial Narrow" w:hAnsi="Arial Narrow" w:cs="Times New Roman"/>
                <w:sz w:val="20"/>
                <w:szCs w:val="20"/>
                <w:lang w:eastAsia="en-US"/>
              </w:rPr>
            </w:pPr>
            <w:r w:rsidRPr="00A2488E">
              <w:rPr>
                <w:rFonts w:ascii="Arial Narrow" w:hAnsi="Arial Narrow" w:cs="Times New Roman"/>
                <w:b/>
                <w:sz w:val="20"/>
                <w:szCs w:val="20"/>
                <w:lang w:eastAsia="en-US"/>
              </w:rPr>
              <w:t>Cautions</w:t>
            </w:r>
            <w:r w:rsidRPr="00A2488E">
              <w:rPr>
                <w:rFonts w:ascii="Arial Narrow" w:hAnsi="Arial Narrow" w:cs="Times New Roman"/>
                <w:sz w:val="20"/>
                <w:szCs w:val="20"/>
                <w:lang w:eastAsia="en-US"/>
              </w:rPr>
              <w:br/>
            </w:r>
          </w:p>
        </w:tc>
        <w:tc>
          <w:tcPr>
            <w:tcW w:w="3989" w:type="pct"/>
          </w:tcPr>
          <w:p w14:paraId="271D00AE" w14:textId="77777777" w:rsidR="00185122" w:rsidRPr="00185122" w:rsidRDefault="00185122">
            <w:pPr>
              <w:rPr>
                <w:rFonts w:ascii="Arial Narrow" w:hAnsi="Arial Narrow" w:cs="Times New Roman"/>
                <w:sz w:val="20"/>
                <w:szCs w:val="20"/>
                <w:lang w:eastAsia="en-US"/>
              </w:rPr>
            </w:pPr>
            <w:r w:rsidRPr="00A2488E">
              <w:rPr>
                <w:rFonts w:ascii="Arial Narrow" w:hAnsi="Arial Narrow" w:cs="Times New Roman"/>
                <w:sz w:val="20"/>
                <w:szCs w:val="20"/>
                <w:lang w:eastAsia="en-US"/>
              </w:rPr>
              <w:t>It is recommended that the potential for immunosuppression with long term use of this drug be clinically reviewed after at least 24 months of treatment, if not already reviewed.</w:t>
            </w:r>
          </w:p>
        </w:tc>
      </w:tr>
    </w:tbl>
    <w:p w14:paraId="5D796527" w14:textId="77777777" w:rsidR="00185122" w:rsidRPr="00185122" w:rsidRDefault="00185122" w:rsidP="00185122">
      <w:pPr>
        <w:rPr>
          <w:rFonts w:ascii="Arial Narrow" w:hAnsi="Arial Narrow" w:cs="Times New Roman"/>
          <w:lang w:eastAsia="en-US"/>
        </w:rPr>
      </w:pPr>
    </w:p>
    <w:p w14:paraId="2E05E5F8" w14:textId="484A8232" w:rsidR="00671320" w:rsidRDefault="00671320" w:rsidP="00A2488E">
      <w:pPr>
        <w:pStyle w:val="3-BodyText"/>
      </w:pPr>
      <w:bookmarkStart w:id="50" w:name="_Hlk99717754"/>
      <w:bookmarkStart w:id="51" w:name="_Hlk76377978"/>
      <w:r>
        <w:lastRenderedPageBreak/>
        <w:t xml:space="preserve">Flow on changes to </w:t>
      </w:r>
      <w:r w:rsidRPr="00460662">
        <w:t xml:space="preserve">0.1% </w:t>
      </w:r>
      <w:r w:rsidR="00394E95">
        <w:t>ciclosporin</w:t>
      </w:r>
      <w:r>
        <w:t xml:space="preserve"> restriction to include treatment criteria, “</w:t>
      </w:r>
      <w:r w:rsidRPr="00671320">
        <w:t>The treatment must be the sole PBS-subsidised therapy for this condition.</w:t>
      </w:r>
      <w:r>
        <w:t>”</w:t>
      </w:r>
    </w:p>
    <w:p w14:paraId="0F5D8CCC" w14:textId="7C93B1D9" w:rsidR="000D5D19" w:rsidRDefault="003E0201">
      <w:pPr>
        <w:rPr>
          <w:rFonts w:asciiTheme="minorHAnsi" w:hAnsiTheme="minorHAnsi" w:cstheme="minorHAnsi"/>
          <w:b/>
          <w:i/>
        </w:rPr>
      </w:pPr>
      <w:r w:rsidRPr="00A862C6">
        <w:rPr>
          <w:rFonts w:asciiTheme="minorHAnsi" w:hAnsiTheme="minorHAnsi" w:cstheme="minorHAnsi"/>
          <w:b/>
          <w:i/>
        </w:rPr>
        <w:t>This restriction may be subject to further review. Should there be any changes made to the restriction the Sponsor will be informed.</w:t>
      </w:r>
      <w:bookmarkEnd w:id="50"/>
      <w:bookmarkEnd w:id="51"/>
      <w:bookmarkEnd w:id="47"/>
    </w:p>
    <w:p w14:paraId="10C078C0" w14:textId="610FE67D" w:rsidR="000D5D19" w:rsidRDefault="000D5D19" w:rsidP="00843B93">
      <w:pPr>
        <w:pStyle w:val="2-SectionHeading"/>
        <w:rPr>
          <w:bCs/>
          <w:lang w:val="en-GB"/>
        </w:rPr>
      </w:pPr>
      <w:r w:rsidRPr="00C07617">
        <w:t>Context for Decision</w:t>
      </w:r>
    </w:p>
    <w:p w14:paraId="42E50B88" w14:textId="77777777" w:rsidR="000D5D19" w:rsidRPr="007129F2" w:rsidRDefault="000D5D19" w:rsidP="001B403A">
      <w:pPr>
        <w:pStyle w:val="3-BodyText"/>
        <w:numPr>
          <w:ilvl w:val="0"/>
          <w:numId w:val="0"/>
        </w:numPr>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7F83992" w14:textId="35F671E2" w:rsidR="000D5D19" w:rsidRPr="00C07617" w:rsidRDefault="000D5D19" w:rsidP="00843B93">
      <w:pPr>
        <w:pStyle w:val="2-SectionHeading"/>
      </w:pPr>
      <w:r>
        <w:t>Sponsor’s Comment</w:t>
      </w:r>
    </w:p>
    <w:p w14:paraId="0A421254" w14:textId="66428C6C" w:rsidR="000D5D19" w:rsidRPr="001179AC" w:rsidRDefault="000D5D19" w:rsidP="001B403A">
      <w:pPr>
        <w:pStyle w:val="3-BodyText"/>
        <w:numPr>
          <w:ilvl w:val="0"/>
          <w:numId w:val="0"/>
        </w:numPr>
        <w:ind w:left="720"/>
        <w:rPr>
          <w:bCs/>
        </w:rPr>
      </w:pPr>
      <w:r w:rsidRPr="00C07617">
        <w:rPr>
          <w:bCs/>
        </w:rPr>
        <w:t>The sponsor had no comment.</w:t>
      </w:r>
    </w:p>
    <w:p w14:paraId="7C3B79E6" w14:textId="77777777" w:rsidR="000D5D19" w:rsidRPr="000A326B" w:rsidRDefault="000D5D19">
      <w:pPr>
        <w:rPr>
          <w:rFonts w:asciiTheme="minorHAnsi" w:hAnsiTheme="minorHAnsi" w:cstheme="minorHAnsi"/>
          <w:b/>
          <w:i/>
        </w:rPr>
      </w:pPr>
    </w:p>
    <w:sectPr w:rsidR="000D5D19" w:rsidRPr="000A326B" w:rsidSect="0025100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34227" w14:textId="77777777" w:rsidR="00DB2588" w:rsidRDefault="00DB2588" w:rsidP="00124A51">
      <w:r>
        <w:separator/>
      </w:r>
    </w:p>
    <w:p w14:paraId="583DBBF7" w14:textId="77777777" w:rsidR="00DB2588" w:rsidRDefault="00DB2588"/>
  </w:endnote>
  <w:endnote w:type="continuationSeparator" w:id="0">
    <w:p w14:paraId="46522F28" w14:textId="77777777" w:rsidR="00DB2588" w:rsidRDefault="00DB2588" w:rsidP="00124A51">
      <w:r>
        <w:continuationSeparator/>
      </w:r>
    </w:p>
    <w:p w14:paraId="59E7E2D4" w14:textId="77777777" w:rsidR="00DB2588" w:rsidRDefault="00DB2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C46C2" w14:textId="77777777" w:rsidR="00843B93" w:rsidRDefault="00843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DEC01" w14:textId="37C737F7" w:rsidR="00DB2588" w:rsidRDefault="00DB2588">
    <w:pPr>
      <w:pStyle w:val="Footer"/>
    </w:pPr>
  </w:p>
  <w:p w14:paraId="70BAC8D5" w14:textId="5F980746" w:rsidR="00DB2588" w:rsidRPr="00121769" w:rsidRDefault="00DB2588" w:rsidP="00121769">
    <w:pPr>
      <w:pStyle w:val="Footer"/>
      <w:jc w:val="center"/>
      <w:rPr>
        <w:b/>
        <w:bCs/>
      </w:rPr>
    </w:pPr>
    <w:r w:rsidRPr="00121769">
      <w:rPr>
        <w:b/>
        <w:bCs/>
      </w:rPr>
      <w:fldChar w:fldCharType="begin"/>
    </w:r>
    <w:r w:rsidRPr="00121769">
      <w:rPr>
        <w:b/>
        <w:bCs/>
      </w:rPr>
      <w:instrText xml:space="preserve"> PAGE   \* MERGEFORMAT </w:instrText>
    </w:r>
    <w:r w:rsidRPr="00121769">
      <w:rPr>
        <w:b/>
        <w:bCs/>
      </w:rPr>
      <w:fldChar w:fldCharType="separate"/>
    </w:r>
    <w:r>
      <w:rPr>
        <w:b/>
        <w:bCs/>
        <w:noProof/>
      </w:rPr>
      <w:t>24</w:t>
    </w:r>
    <w:r w:rsidRPr="00121769">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4768E" w14:textId="77777777" w:rsidR="00843B93" w:rsidRDefault="0084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06E23" w14:textId="77777777" w:rsidR="00DB2588" w:rsidRDefault="00DB2588" w:rsidP="00124A51">
      <w:r>
        <w:separator/>
      </w:r>
    </w:p>
    <w:p w14:paraId="41DE1D64" w14:textId="77777777" w:rsidR="00DB2588" w:rsidRDefault="00DB2588"/>
  </w:footnote>
  <w:footnote w:type="continuationSeparator" w:id="0">
    <w:p w14:paraId="6A54B6B7" w14:textId="77777777" w:rsidR="00DB2588" w:rsidRDefault="00DB2588" w:rsidP="00124A51">
      <w:r>
        <w:continuationSeparator/>
      </w:r>
    </w:p>
    <w:p w14:paraId="4EF27C86" w14:textId="77777777" w:rsidR="00DB2588" w:rsidRDefault="00DB2588"/>
  </w:footnote>
  <w:footnote w:id="1">
    <w:p w14:paraId="3D227348" w14:textId="48E39CA6" w:rsidR="00DB2588" w:rsidRPr="001B479F" w:rsidRDefault="00DB2588" w:rsidP="001B479F">
      <w:pPr>
        <w:pStyle w:val="FootnoteText"/>
      </w:pPr>
      <w:r>
        <w:rPr>
          <w:rStyle w:val="FootnoteReference"/>
        </w:rPr>
        <w:footnoteRef/>
      </w:r>
      <w:r>
        <w:t xml:space="preserve"> </w:t>
      </w:r>
      <w:r w:rsidRPr="001B479F">
        <w:t>Craig JP, Nichols KK, Akpek EK</w:t>
      </w:r>
      <w:r>
        <w:t xml:space="preserve">, et al. </w:t>
      </w:r>
      <w:r w:rsidRPr="001B479F">
        <w:t>TFOS DEWS II Definition and Classification Report.</w:t>
      </w:r>
      <w:r>
        <w:t xml:space="preserve"> </w:t>
      </w:r>
      <w:r w:rsidRPr="001B479F">
        <w:rPr>
          <w:i/>
        </w:rPr>
        <w:t>Ocul Surf</w:t>
      </w:r>
      <w:r w:rsidRPr="001B479F">
        <w:t>. 2017;15(3):276. Epub 2017 Jul 20.</w:t>
      </w:r>
    </w:p>
    <w:p w14:paraId="5239AF25" w14:textId="61925BB7" w:rsidR="00DB2588" w:rsidRDefault="00DB258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FB7C6" w14:textId="77777777" w:rsidR="00843B93" w:rsidRDefault="00843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3BD6D" w14:textId="07C9740A" w:rsidR="00DB2588" w:rsidRPr="00121769" w:rsidRDefault="00DB2588" w:rsidP="00121769">
    <w:pPr>
      <w:pStyle w:val="Header"/>
      <w:rPr>
        <w:i/>
        <w:iCs/>
      </w:rPr>
    </w:pPr>
    <w:r>
      <w:rPr>
        <w:i/>
        <w:iCs/>
      </w:rPr>
      <w:t>Public Summary Document</w:t>
    </w:r>
    <w:r w:rsidRPr="00121769">
      <w:rPr>
        <w:i/>
        <w:iCs/>
      </w:rPr>
      <w:t xml:space="preserve"> – March 2022 PBAC Meeting</w:t>
    </w:r>
  </w:p>
  <w:p w14:paraId="1C31A658" w14:textId="77777777" w:rsidR="00DB2588" w:rsidRPr="00121769" w:rsidRDefault="00DB2588" w:rsidP="00121769">
    <w:pPr>
      <w:pStyle w:val="Head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6AB72" w14:textId="77777777" w:rsidR="00843B93" w:rsidRDefault="00843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89ABD2C"/>
    <w:lvl w:ilvl="0">
      <w:start w:val="1"/>
      <w:numFmt w:val="bullet"/>
      <w:pStyle w:val="ListBullet"/>
      <w:lvlText w:val=""/>
      <w:lvlJc w:val="left"/>
      <w:pPr>
        <w:tabs>
          <w:tab w:val="num" w:pos="785"/>
        </w:tabs>
        <w:ind w:left="720" w:hanging="363"/>
      </w:pPr>
      <w:rPr>
        <w:rFonts w:ascii="Symbol" w:hAnsi="Symbol" w:hint="default"/>
      </w:rPr>
    </w:lvl>
  </w:abstractNum>
  <w:abstractNum w:abstractNumId="1" w15:restartNumberingAfterBreak="0">
    <w:nsid w:val="1AFE4AF4"/>
    <w:multiLevelType w:val="hybridMultilevel"/>
    <w:tmpl w:val="E3FE06A6"/>
    <w:lvl w:ilvl="0" w:tplc="75943CDA">
      <w:start w:val="1"/>
      <w:numFmt w:val="bullet"/>
      <w:pStyle w:val="TableTextbullet"/>
      <w:lvlText w:val=""/>
      <w:lvlJc w:val="left"/>
      <w:pPr>
        <w:tabs>
          <w:tab w:val="num" w:pos="425"/>
        </w:tabs>
        <w:ind w:left="425" w:hanging="425"/>
      </w:pPr>
      <w:rPr>
        <w:rFonts w:ascii="Symbol" w:hAnsi="Symbol" w:hint="default"/>
        <w:sz w:val="18"/>
        <w:szCs w:val="18"/>
      </w:rPr>
    </w:lvl>
    <w:lvl w:ilvl="1" w:tplc="FFFFFFFF">
      <w:start w:val="1"/>
      <w:numFmt w:val="lowerLetter"/>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0346AD7"/>
    <w:multiLevelType w:val="hybridMultilevel"/>
    <w:tmpl w:val="4D60B55C"/>
    <w:lvl w:ilvl="0" w:tplc="A22E5F3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C3802DF"/>
    <w:multiLevelType w:val="hybridMultilevel"/>
    <w:tmpl w:val="1A244A82"/>
    <w:lvl w:ilvl="0" w:tplc="44E0A8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8A010B"/>
    <w:multiLevelType w:val="hybridMultilevel"/>
    <w:tmpl w:val="47BC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D033C"/>
    <w:multiLevelType w:val="multilevel"/>
    <w:tmpl w:val="9BEC4F7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i w:val="0"/>
        <w:iCs w:val="0"/>
        <w:caps w:val="0"/>
        <w:smallCaps w:val="0"/>
        <w:strike w:val="0"/>
        <w:dstrike w:val="0"/>
        <w:outline w:val="0"/>
        <w:shadow w:val="0"/>
        <w:emboss w:val="0"/>
        <w:imprint w:val="0"/>
        <w:noProof w:val="0"/>
        <w:vanish w:val="0"/>
        <w:color w:val="auto"/>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0"/>
  </w:num>
  <w:num w:numId="4">
    <w:abstractNumId w:val="5"/>
  </w:num>
  <w:num w:numId="5">
    <w:abstractNumId w:val="1"/>
  </w:num>
  <w:num w:numId="6">
    <w:abstractNumId w:val="3"/>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52D"/>
    <w:rsid w:val="00002C1F"/>
    <w:rsid w:val="00003499"/>
    <w:rsid w:val="000039B7"/>
    <w:rsid w:val="0000639A"/>
    <w:rsid w:val="000065E0"/>
    <w:rsid w:val="00013247"/>
    <w:rsid w:val="00015886"/>
    <w:rsid w:val="000162EF"/>
    <w:rsid w:val="0002046F"/>
    <w:rsid w:val="000207C9"/>
    <w:rsid w:val="00020EA1"/>
    <w:rsid w:val="00021715"/>
    <w:rsid w:val="00021B03"/>
    <w:rsid w:val="00021C6D"/>
    <w:rsid w:val="0002225F"/>
    <w:rsid w:val="00023763"/>
    <w:rsid w:val="00025631"/>
    <w:rsid w:val="000274B8"/>
    <w:rsid w:val="0002798F"/>
    <w:rsid w:val="00030425"/>
    <w:rsid w:val="00033863"/>
    <w:rsid w:val="00035D33"/>
    <w:rsid w:val="00035DC0"/>
    <w:rsid w:val="0003601B"/>
    <w:rsid w:val="00036829"/>
    <w:rsid w:val="00040895"/>
    <w:rsid w:val="0004261B"/>
    <w:rsid w:val="000435EE"/>
    <w:rsid w:val="00043C37"/>
    <w:rsid w:val="00045017"/>
    <w:rsid w:val="00045A2B"/>
    <w:rsid w:val="0004698F"/>
    <w:rsid w:val="00046F6D"/>
    <w:rsid w:val="000478D7"/>
    <w:rsid w:val="00047C0D"/>
    <w:rsid w:val="00051844"/>
    <w:rsid w:val="000520D4"/>
    <w:rsid w:val="00052AB0"/>
    <w:rsid w:val="000539D0"/>
    <w:rsid w:val="00054621"/>
    <w:rsid w:val="000546D7"/>
    <w:rsid w:val="000557F5"/>
    <w:rsid w:val="0005693B"/>
    <w:rsid w:val="00056ECF"/>
    <w:rsid w:val="00057FF9"/>
    <w:rsid w:val="000600B0"/>
    <w:rsid w:val="000604DF"/>
    <w:rsid w:val="000606FB"/>
    <w:rsid w:val="00061AF4"/>
    <w:rsid w:val="000653B5"/>
    <w:rsid w:val="00066360"/>
    <w:rsid w:val="00066AF8"/>
    <w:rsid w:val="0006734B"/>
    <w:rsid w:val="0007000B"/>
    <w:rsid w:val="00070E76"/>
    <w:rsid w:val="00071248"/>
    <w:rsid w:val="000720B9"/>
    <w:rsid w:val="00073439"/>
    <w:rsid w:val="000737F7"/>
    <w:rsid w:val="000738A6"/>
    <w:rsid w:val="00074BFB"/>
    <w:rsid w:val="0007672F"/>
    <w:rsid w:val="00076B54"/>
    <w:rsid w:val="00077024"/>
    <w:rsid w:val="000774F0"/>
    <w:rsid w:val="0008023A"/>
    <w:rsid w:val="00080909"/>
    <w:rsid w:val="000812CA"/>
    <w:rsid w:val="00081E63"/>
    <w:rsid w:val="0008258D"/>
    <w:rsid w:val="00083E99"/>
    <w:rsid w:val="00084F27"/>
    <w:rsid w:val="00084FA8"/>
    <w:rsid w:val="000856C5"/>
    <w:rsid w:val="00085C31"/>
    <w:rsid w:val="000864CE"/>
    <w:rsid w:val="00086F90"/>
    <w:rsid w:val="000902D9"/>
    <w:rsid w:val="000904CC"/>
    <w:rsid w:val="000909FD"/>
    <w:rsid w:val="00090C7E"/>
    <w:rsid w:val="00092600"/>
    <w:rsid w:val="0009262B"/>
    <w:rsid w:val="00093310"/>
    <w:rsid w:val="0009445C"/>
    <w:rsid w:val="00094FC4"/>
    <w:rsid w:val="00095200"/>
    <w:rsid w:val="00095FE5"/>
    <w:rsid w:val="00096284"/>
    <w:rsid w:val="000A1BC0"/>
    <w:rsid w:val="000A22B4"/>
    <w:rsid w:val="000A326B"/>
    <w:rsid w:val="000A3640"/>
    <w:rsid w:val="000A3A54"/>
    <w:rsid w:val="000A6039"/>
    <w:rsid w:val="000A7453"/>
    <w:rsid w:val="000A7D08"/>
    <w:rsid w:val="000A7DC9"/>
    <w:rsid w:val="000B0121"/>
    <w:rsid w:val="000B03E5"/>
    <w:rsid w:val="000B0670"/>
    <w:rsid w:val="000B0E75"/>
    <w:rsid w:val="000B1A3D"/>
    <w:rsid w:val="000B2DCB"/>
    <w:rsid w:val="000B3C26"/>
    <w:rsid w:val="000B3FC7"/>
    <w:rsid w:val="000B5277"/>
    <w:rsid w:val="000B5B58"/>
    <w:rsid w:val="000B5CE0"/>
    <w:rsid w:val="000B6CAC"/>
    <w:rsid w:val="000B7612"/>
    <w:rsid w:val="000B78AE"/>
    <w:rsid w:val="000B7DAB"/>
    <w:rsid w:val="000C0C67"/>
    <w:rsid w:val="000C34D6"/>
    <w:rsid w:val="000C3A23"/>
    <w:rsid w:val="000C3DF9"/>
    <w:rsid w:val="000C6713"/>
    <w:rsid w:val="000D00AB"/>
    <w:rsid w:val="000D1BFC"/>
    <w:rsid w:val="000D1D5D"/>
    <w:rsid w:val="000D281A"/>
    <w:rsid w:val="000D2848"/>
    <w:rsid w:val="000D326A"/>
    <w:rsid w:val="000D51FB"/>
    <w:rsid w:val="000D588A"/>
    <w:rsid w:val="000D5D19"/>
    <w:rsid w:val="000D7628"/>
    <w:rsid w:val="000E0640"/>
    <w:rsid w:val="000E135D"/>
    <w:rsid w:val="000E2057"/>
    <w:rsid w:val="000E3487"/>
    <w:rsid w:val="000E55A5"/>
    <w:rsid w:val="000E7116"/>
    <w:rsid w:val="000F00BA"/>
    <w:rsid w:val="000F0F29"/>
    <w:rsid w:val="000F316A"/>
    <w:rsid w:val="000F3633"/>
    <w:rsid w:val="000F3C74"/>
    <w:rsid w:val="000F4BB8"/>
    <w:rsid w:val="000F4FA9"/>
    <w:rsid w:val="000F53FB"/>
    <w:rsid w:val="000F5C42"/>
    <w:rsid w:val="000F7127"/>
    <w:rsid w:val="000F7B54"/>
    <w:rsid w:val="00100890"/>
    <w:rsid w:val="00100F8A"/>
    <w:rsid w:val="0010452E"/>
    <w:rsid w:val="0010518E"/>
    <w:rsid w:val="00105AE2"/>
    <w:rsid w:val="001060C6"/>
    <w:rsid w:val="00106B80"/>
    <w:rsid w:val="0011032E"/>
    <w:rsid w:val="00112891"/>
    <w:rsid w:val="00113261"/>
    <w:rsid w:val="0011348B"/>
    <w:rsid w:val="001147A2"/>
    <w:rsid w:val="00115982"/>
    <w:rsid w:val="00116C53"/>
    <w:rsid w:val="00121769"/>
    <w:rsid w:val="00121799"/>
    <w:rsid w:val="00121A3F"/>
    <w:rsid w:val="001222FC"/>
    <w:rsid w:val="00123161"/>
    <w:rsid w:val="00123830"/>
    <w:rsid w:val="00123902"/>
    <w:rsid w:val="00124A51"/>
    <w:rsid w:val="00125186"/>
    <w:rsid w:val="00126621"/>
    <w:rsid w:val="00126B1D"/>
    <w:rsid w:val="001301E9"/>
    <w:rsid w:val="00131D82"/>
    <w:rsid w:val="00132B22"/>
    <w:rsid w:val="00133D36"/>
    <w:rsid w:val="00134004"/>
    <w:rsid w:val="00135165"/>
    <w:rsid w:val="00136591"/>
    <w:rsid w:val="00137524"/>
    <w:rsid w:val="00137645"/>
    <w:rsid w:val="0014015A"/>
    <w:rsid w:val="00140E99"/>
    <w:rsid w:val="001418C1"/>
    <w:rsid w:val="00143F67"/>
    <w:rsid w:val="00143FBF"/>
    <w:rsid w:val="00145540"/>
    <w:rsid w:val="001456B0"/>
    <w:rsid w:val="00147166"/>
    <w:rsid w:val="001542C3"/>
    <w:rsid w:val="00154BC8"/>
    <w:rsid w:val="00155087"/>
    <w:rsid w:val="001550FA"/>
    <w:rsid w:val="00156F8F"/>
    <w:rsid w:val="00157130"/>
    <w:rsid w:val="001576B1"/>
    <w:rsid w:val="0016047B"/>
    <w:rsid w:val="00160A4C"/>
    <w:rsid w:val="00162913"/>
    <w:rsid w:val="00163944"/>
    <w:rsid w:val="00163EFF"/>
    <w:rsid w:val="00163F66"/>
    <w:rsid w:val="00165874"/>
    <w:rsid w:val="001661FB"/>
    <w:rsid w:val="0016661B"/>
    <w:rsid w:val="00166971"/>
    <w:rsid w:val="001671A0"/>
    <w:rsid w:val="0016767F"/>
    <w:rsid w:val="0017138F"/>
    <w:rsid w:val="00173565"/>
    <w:rsid w:val="00173B07"/>
    <w:rsid w:val="00174C47"/>
    <w:rsid w:val="001751FA"/>
    <w:rsid w:val="00176064"/>
    <w:rsid w:val="001811EC"/>
    <w:rsid w:val="00181D9C"/>
    <w:rsid w:val="00184B0E"/>
    <w:rsid w:val="00185122"/>
    <w:rsid w:val="0018752F"/>
    <w:rsid w:val="00191294"/>
    <w:rsid w:val="00193838"/>
    <w:rsid w:val="001942F1"/>
    <w:rsid w:val="00194AD8"/>
    <w:rsid w:val="00195222"/>
    <w:rsid w:val="001975D8"/>
    <w:rsid w:val="001A178E"/>
    <w:rsid w:val="001A34E9"/>
    <w:rsid w:val="001A43FA"/>
    <w:rsid w:val="001A47C5"/>
    <w:rsid w:val="001A489C"/>
    <w:rsid w:val="001A59FB"/>
    <w:rsid w:val="001A5E9E"/>
    <w:rsid w:val="001A6354"/>
    <w:rsid w:val="001A6366"/>
    <w:rsid w:val="001A69EC"/>
    <w:rsid w:val="001A7AE8"/>
    <w:rsid w:val="001B06F5"/>
    <w:rsid w:val="001B204E"/>
    <w:rsid w:val="001B2372"/>
    <w:rsid w:val="001B3443"/>
    <w:rsid w:val="001B403A"/>
    <w:rsid w:val="001B479F"/>
    <w:rsid w:val="001B4D20"/>
    <w:rsid w:val="001B5155"/>
    <w:rsid w:val="001B5B5E"/>
    <w:rsid w:val="001B6925"/>
    <w:rsid w:val="001C2A9B"/>
    <w:rsid w:val="001C4299"/>
    <w:rsid w:val="001C4874"/>
    <w:rsid w:val="001C5F94"/>
    <w:rsid w:val="001C6E66"/>
    <w:rsid w:val="001C7867"/>
    <w:rsid w:val="001D1100"/>
    <w:rsid w:val="001D1391"/>
    <w:rsid w:val="001D25D7"/>
    <w:rsid w:val="001D317A"/>
    <w:rsid w:val="001D50B2"/>
    <w:rsid w:val="001D629E"/>
    <w:rsid w:val="001D7645"/>
    <w:rsid w:val="001E1E86"/>
    <w:rsid w:val="001E1FC8"/>
    <w:rsid w:val="001E238E"/>
    <w:rsid w:val="001E2470"/>
    <w:rsid w:val="001E2483"/>
    <w:rsid w:val="001E2B1E"/>
    <w:rsid w:val="001E2CFF"/>
    <w:rsid w:val="001E2F24"/>
    <w:rsid w:val="001E30D4"/>
    <w:rsid w:val="001E34DF"/>
    <w:rsid w:val="001E4752"/>
    <w:rsid w:val="001E52EB"/>
    <w:rsid w:val="001E61D2"/>
    <w:rsid w:val="001E740C"/>
    <w:rsid w:val="001F11A4"/>
    <w:rsid w:val="001F1235"/>
    <w:rsid w:val="001F1CB3"/>
    <w:rsid w:val="001F2E0B"/>
    <w:rsid w:val="001F38B5"/>
    <w:rsid w:val="001F4081"/>
    <w:rsid w:val="001F4319"/>
    <w:rsid w:val="001F57AF"/>
    <w:rsid w:val="001F7361"/>
    <w:rsid w:val="002001F3"/>
    <w:rsid w:val="00200649"/>
    <w:rsid w:val="002011B0"/>
    <w:rsid w:val="00201878"/>
    <w:rsid w:val="00203181"/>
    <w:rsid w:val="00203783"/>
    <w:rsid w:val="0020385F"/>
    <w:rsid w:val="0020389D"/>
    <w:rsid w:val="00203F6F"/>
    <w:rsid w:val="002068A0"/>
    <w:rsid w:val="00206A61"/>
    <w:rsid w:val="00207021"/>
    <w:rsid w:val="0020732F"/>
    <w:rsid w:val="00207D00"/>
    <w:rsid w:val="002105C1"/>
    <w:rsid w:val="00212C3B"/>
    <w:rsid w:val="0021328C"/>
    <w:rsid w:val="002138D3"/>
    <w:rsid w:val="00213EF5"/>
    <w:rsid w:val="0021460C"/>
    <w:rsid w:val="00216BF5"/>
    <w:rsid w:val="00220D04"/>
    <w:rsid w:val="002233C8"/>
    <w:rsid w:val="00223B49"/>
    <w:rsid w:val="00223D5A"/>
    <w:rsid w:val="00224DD4"/>
    <w:rsid w:val="002267C9"/>
    <w:rsid w:val="002270FC"/>
    <w:rsid w:val="002278A0"/>
    <w:rsid w:val="00227CAC"/>
    <w:rsid w:val="002303D6"/>
    <w:rsid w:val="002309CC"/>
    <w:rsid w:val="0023209F"/>
    <w:rsid w:val="00233C01"/>
    <w:rsid w:val="0023413C"/>
    <w:rsid w:val="002346F0"/>
    <w:rsid w:val="0023629D"/>
    <w:rsid w:val="00237255"/>
    <w:rsid w:val="002424AF"/>
    <w:rsid w:val="002439DC"/>
    <w:rsid w:val="00244066"/>
    <w:rsid w:val="002441D2"/>
    <w:rsid w:val="00244DC8"/>
    <w:rsid w:val="002458BA"/>
    <w:rsid w:val="00245CE9"/>
    <w:rsid w:val="0024636C"/>
    <w:rsid w:val="00247925"/>
    <w:rsid w:val="002503CB"/>
    <w:rsid w:val="00251006"/>
    <w:rsid w:val="00251DE8"/>
    <w:rsid w:val="002524D5"/>
    <w:rsid w:val="00253B1D"/>
    <w:rsid w:val="00254DCF"/>
    <w:rsid w:val="0025534B"/>
    <w:rsid w:val="0025598F"/>
    <w:rsid w:val="00255BB7"/>
    <w:rsid w:val="00256600"/>
    <w:rsid w:val="0025708A"/>
    <w:rsid w:val="00257541"/>
    <w:rsid w:val="00257A39"/>
    <w:rsid w:val="00257AC4"/>
    <w:rsid w:val="00261EEF"/>
    <w:rsid w:val="00262A1A"/>
    <w:rsid w:val="00262A87"/>
    <w:rsid w:val="00264D26"/>
    <w:rsid w:val="00267293"/>
    <w:rsid w:val="00267642"/>
    <w:rsid w:val="00267AEA"/>
    <w:rsid w:val="002700E6"/>
    <w:rsid w:val="0027294B"/>
    <w:rsid w:val="00273EB4"/>
    <w:rsid w:val="00274682"/>
    <w:rsid w:val="00275C5A"/>
    <w:rsid w:val="00281014"/>
    <w:rsid w:val="00281EB9"/>
    <w:rsid w:val="00284E60"/>
    <w:rsid w:val="0028665D"/>
    <w:rsid w:val="00291537"/>
    <w:rsid w:val="00292635"/>
    <w:rsid w:val="00297A78"/>
    <w:rsid w:val="002A08DC"/>
    <w:rsid w:val="002A14AB"/>
    <w:rsid w:val="002A1E9C"/>
    <w:rsid w:val="002A2ADE"/>
    <w:rsid w:val="002A2F50"/>
    <w:rsid w:val="002A4E27"/>
    <w:rsid w:val="002A6B41"/>
    <w:rsid w:val="002A6CE7"/>
    <w:rsid w:val="002B05A1"/>
    <w:rsid w:val="002B09A4"/>
    <w:rsid w:val="002B1C1F"/>
    <w:rsid w:val="002B432F"/>
    <w:rsid w:val="002B62B3"/>
    <w:rsid w:val="002B6754"/>
    <w:rsid w:val="002B6767"/>
    <w:rsid w:val="002B6CCE"/>
    <w:rsid w:val="002C2510"/>
    <w:rsid w:val="002C2775"/>
    <w:rsid w:val="002C27C1"/>
    <w:rsid w:val="002C30C6"/>
    <w:rsid w:val="002C5099"/>
    <w:rsid w:val="002C5889"/>
    <w:rsid w:val="002C71CE"/>
    <w:rsid w:val="002C7A96"/>
    <w:rsid w:val="002D08F8"/>
    <w:rsid w:val="002D0C51"/>
    <w:rsid w:val="002D453C"/>
    <w:rsid w:val="002D577C"/>
    <w:rsid w:val="002D7A40"/>
    <w:rsid w:val="002E1071"/>
    <w:rsid w:val="002E15B9"/>
    <w:rsid w:val="002E2158"/>
    <w:rsid w:val="002E4F02"/>
    <w:rsid w:val="002E5188"/>
    <w:rsid w:val="002E7722"/>
    <w:rsid w:val="002F063A"/>
    <w:rsid w:val="002F07BA"/>
    <w:rsid w:val="002F0DA9"/>
    <w:rsid w:val="002F0FED"/>
    <w:rsid w:val="002F1014"/>
    <w:rsid w:val="002F643C"/>
    <w:rsid w:val="002F71C0"/>
    <w:rsid w:val="002F74F1"/>
    <w:rsid w:val="00301017"/>
    <w:rsid w:val="00301441"/>
    <w:rsid w:val="0030155F"/>
    <w:rsid w:val="00302067"/>
    <w:rsid w:val="003030ED"/>
    <w:rsid w:val="0030587B"/>
    <w:rsid w:val="00306D98"/>
    <w:rsid w:val="0030786C"/>
    <w:rsid w:val="0031031A"/>
    <w:rsid w:val="00310981"/>
    <w:rsid w:val="003124D9"/>
    <w:rsid w:val="00312594"/>
    <w:rsid w:val="00314FA3"/>
    <w:rsid w:val="00315265"/>
    <w:rsid w:val="00315498"/>
    <w:rsid w:val="00315A84"/>
    <w:rsid w:val="00316474"/>
    <w:rsid w:val="00316F5B"/>
    <w:rsid w:val="00320AE9"/>
    <w:rsid w:val="00321151"/>
    <w:rsid w:val="00322107"/>
    <w:rsid w:val="00322355"/>
    <w:rsid w:val="00322846"/>
    <w:rsid w:val="00325908"/>
    <w:rsid w:val="003259AB"/>
    <w:rsid w:val="00326DA7"/>
    <w:rsid w:val="003270E4"/>
    <w:rsid w:val="00330381"/>
    <w:rsid w:val="003307F8"/>
    <w:rsid w:val="00330DAA"/>
    <w:rsid w:val="00330F5C"/>
    <w:rsid w:val="003366C9"/>
    <w:rsid w:val="003371B0"/>
    <w:rsid w:val="003375E1"/>
    <w:rsid w:val="00340DF1"/>
    <w:rsid w:val="003443EC"/>
    <w:rsid w:val="00346303"/>
    <w:rsid w:val="003517F9"/>
    <w:rsid w:val="00351BA9"/>
    <w:rsid w:val="00354F64"/>
    <w:rsid w:val="00355E8F"/>
    <w:rsid w:val="0035620E"/>
    <w:rsid w:val="00360345"/>
    <w:rsid w:val="00361A05"/>
    <w:rsid w:val="003624C4"/>
    <w:rsid w:val="00363B00"/>
    <w:rsid w:val="00364F73"/>
    <w:rsid w:val="0036519E"/>
    <w:rsid w:val="003654AC"/>
    <w:rsid w:val="00370A07"/>
    <w:rsid w:val="003710CF"/>
    <w:rsid w:val="00372A46"/>
    <w:rsid w:val="0037358A"/>
    <w:rsid w:val="00373F77"/>
    <w:rsid w:val="003750F6"/>
    <w:rsid w:val="003760FC"/>
    <w:rsid w:val="00377647"/>
    <w:rsid w:val="003820CF"/>
    <w:rsid w:val="0038365C"/>
    <w:rsid w:val="0038369B"/>
    <w:rsid w:val="00383B78"/>
    <w:rsid w:val="003844D7"/>
    <w:rsid w:val="00384D7B"/>
    <w:rsid w:val="00385A9D"/>
    <w:rsid w:val="00386A41"/>
    <w:rsid w:val="003902B1"/>
    <w:rsid w:val="0039179C"/>
    <w:rsid w:val="00394E95"/>
    <w:rsid w:val="00396896"/>
    <w:rsid w:val="00396FD0"/>
    <w:rsid w:val="00397433"/>
    <w:rsid w:val="0039768E"/>
    <w:rsid w:val="0039796B"/>
    <w:rsid w:val="003A0F63"/>
    <w:rsid w:val="003A1A7A"/>
    <w:rsid w:val="003A22BF"/>
    <w:rsid w:val="003A2392"/>
    <w:rsid w:val="003A2831"/>
    <w:rsid w:val="003A3A9E"/>
    <w:rsid w:val="003A3CB6"/>
    <w:rsid w:val="003A3ED1"/>
    <w:rsid w:val="003A44DB"/>
    <w:rsid w:val="003A5782"/>
    <w:rsid w:val="003A7FB2"/>
    <w:rsid w:val="003B22E5"/>
    <w:rsid w:val="003B2E0D"/>
    <w:rsid w:val="003B3971"/>
    <w:rsid w:val="003B55B3"/>
    <w:rsid w:val="003B55D1"/>
    <w:rsid w:val="003B5B61"/>
    <w:rsid w:val="003C1609"/>
    <w:rsid w:val="003C1654"/>
    <w:rsid w:val="003C2F63"/>
    <w:rsid w:val="003C46A5"/>
    <w:rsid w:val="003C5542"/>
    <w:rsid w:val="003C5E7C"/>
    <w:rsid w:val="003C7CB0"/>
    <w:rsid w:val="003C7D19"/>
    <w:rsid w:val="003C7D2F"/>
    <w:rsid w:val="003D0A86"/>
    <w:rsid w:val="003D0CC5"/>
    <w:rsid w:val="003D1828"/>
    <w:rsid w:val="003D1DE4"/>
    <w:rsid w:val="003D1E9A"/>
    <w:rsid w:val="003D2422"/>
    <w:rsid w:val="003D39A1"/>
    <w:rsid w:val="003D3FBF"/>
    <w:rsid w:val="003D450B"/>
    <w:rsid w:val="003D4A30"/>
    <w:rsid w:val="003D6B58"/>
    <w:rsid w:val="003D7452"/>
    <w:rsid w:val="003D79BB"/>
    <w:rsid w:val="003D7C98"/>
    <w:rsid w:val="003D7D9D"/>
    <w:rsid w:val="003E0201"/>
    <w:rsid w:val="003E0543"/>
    <w:rsid w:val="003E6B73"/>
    <w:rsid w:val="003E749E"/>
    <w:rsid w:val="003E772C"/>
    <w:rsid w:val="003F12F4"/>
    <w:rsid w:val="003F27B6"/>
    <w:rsid w:val="003F346F"/>
    <w:rsid w:val="003F4156"/>
    <w:rsid w:val="003F5472"/>
    <w:rsid w:val="003F5ADF"/>
    <w:rsid w:val="003F7B5B"/>
    <w:rsid w:val="00400B29"/>
    <w:rsid w:val="00404259"/>
    <w:rsid w:val="0040504B"/>
    <w:rsid w:val="00405149"/>
    <w:rsid w:val="004059F4"/>
    <w:rsid w:val="00405F68"/>
    <w:rsid w:val="0040733F"/>
    <w:rsid w:val="00407FE5"/>
    <w:rsid w:val="004101B0"/>
    <w:rsid w:val="00410326"/>
    <w:rsid w:val="00410708"/>
    <w:rsid w:val="00410EC7"/>
    <w:rsid w:val="00411B39"/>
    <w:rsid w:val="004127A7"/>
    <w:rsid w:val="004130AE"/>
    <w:rsid w:val="00413A1E"/>
    <w:rsid w:val="00414427"/>
    <w:rsid w:val="00414476"/>
    <w:rsid w:val="00414C2E"/>
    <w:rsid w:val="004151CF"/>
    <w:rsid w:val="0041536F"/>
    <w:rsid w:val="00415D63"/>
    <w:rsid w:val="00416364"/>
    <w:rsid w:val="004200AE"/>
    <w:rsid w:val="0042047F"/>
    <w:rsid w:val="00420AA6"/>
    <w:rsid w:val="00420B9F"/>
    <w:rsid w:val="0042192C"/>
    <w:rsid w:val="00422068"/>
    <w:rsid w:val="00422260"/>
    <w:rsid w:val="004232E7"/>
    <w:rsid w:val="004239AA"/>
    <w:rsid w:val="0042413F"/>
    <w:rsid w:val="00426072"/>
    <w:rsid w:val="004276E1"/>
    <w:rsid w:val="00430156"/>
    <w:rsid w:val="004319F8"/>
    <w:rsid w:val="00431E55"/>
    <w:rsid w:val="004321F6"/>
    <w:rsid w:val="00433044"/>
    <w:rsid w:val="00434088"/>
    <w:rsid w:val="0043463D"/>
    <w:rsid w:val="00434876"/>
    <w:rsid w:val="00434F31"/>
    <w:rsid w:val="00437003"/>
    <w:rsid w:val="004375B9"/>
    <w:rsid w:val="00440927"/>
    <w:rsid w:val="004428D0"/>
    <w:rsid w:val="00444007"/>
    <w:rsid w:val="00444185"/>
    <w:rsid w:val="004443A7"/>
    <w:rsid w:val="0044442C"/>
    <w:rsid w:val="00445941"/>
    <w:rsid w:val="004464EB"/>
    <w:rsid w:val="00447D26"/>
    <w:rsid w:val="00447DFC"/>
    <w:rsid w:val="00455D45"/>
    <w:rsid w:val="00457BFC"/>
    <w:rsid w:val="00457ED5"/>
    <w:rsid w:val="00457EEF"/>
    <w:rsid w:val="00460B77"/>
    <w:rsid w:val="004613FF"/>
    <w:rsid w:val="004614D4"/>
    <w:rsid w:val="00464595"/>
    <w:rsid w:val="00464B1E"/>
    <w:rsid w:val="004658B5"/>
    <w:rsid w:val="00471EA5"/>
    <w:rsid w:val="00472A79"/>
    <w:rsid w:val="00473F19"/>
    <w:rsid w:val="0047458A"/>
    <w:rsid w:val="004748F1"/>
    <w:rsid w:val="00475E22"/>
    <w:rsid w:val="00476407"/>
    <w:rsid w:val="0047648C"/>
    <w:rsid w:val="0048088E"/>
    <w:rsid w:val="00480F2B"/>
    <w:rsid w:val="00482720"/>
    <w:rsid w:val="004829F7"/>
    <w:rsid w:val="004835E7"/>
    <w:rsid w:val="00483B16"/>
    <w:rsid w:val="004867E2"/>
    <w:rsid w:val="00490B17"/>
    <w:rsid w:val="00491B3A"/>
    <w:rsid w:val="00492CFD"/>
    <w:rsid w:val="00494207"/>
    <w:rsid w:val="004944C2"/>
    <w:rsid w:val="00494DD5"/>
    <w:rsid w:val="004962D2"/>
    <w:rsid w:val="00497E94"/>
    <w:rsid w:val="004A02EC"/>
    <w:rsid w:val="004A0DA1"/>
    <w:rsid w:val="004A10FE"/>
    <w:rsid w:val="004A13D6"/>
    <w:rsid w:val="004A2823"/>
    <w:rsid w:val="004A30E3"/>
    <w:rsid w:val="004A52E9"/>
    <w:rsid w:val="004A6040"/>
    <w:rsid w:val="004A6597"/>
    <w:rsid w:val="004A6B3E"/>
    <w:rsid w:val="004A7848"/>
    <w:rsid w:val="004B0474"/>
    <w:rsid w:val="004B1838"/>
    <w:rsid w:val="004B1CB4"/>
    <w:rsid w:val="004B2F18"/>
    <w:rsid w:val="004B3DDB"/>
    <w:rsid w:val="004B44FD"/>
    <w:rsid w:val="004B5179"/>
    <w:rsid w:val="004B5CFC"/>
    <w:rsid w:val="004B6F79"/>
    <w:rsid w:val="004B774D"/>
    <w:rsid w:val="004C338F"/>
    <w:rsid w:val="004C4AED"/>
    <w:rsid w:val="004C5E79"/>
    <w:rsid w:val="004C6D4A"/>
    <w:rsid w:val="004D1C6C"/>
    <w:rsid w:val="004D2C2D"/>
    <w:rsid w:val="004D5646"/>
    <w:rsid w:val="004D69B5"/>
    <w:rsid w:val="004D7227"/>
    <w:rsid w:val="004E0E7F"/>
    <w:rsid w:val="004E0EB8"/>
    <w:rsid w:val="004E10E7"/>
    <w:rsid w:val="004E18E9"/>
    <w:rsid w:val="004E2541"/>
    <w:rsid w:val="004E2ADC"/>
    <w:rsid w:val="004E3E03"/>
    <w:rsid w:val="004E43B2"/>
    <w:rsid w:val="004E56B7"/>
    <w:rsid w:val="004E6B4B"/>
    <w:rsid w:val="004E7B64"/>
    <w:rsid w:val="004F1D02"/>
    <w:rsid w:val="004F261F"/>
    <w:rsid w:val="004F2679"/>
    <w:rsid w:val="004F2F21"/>
    <w:rsid w:val="004F3DE5"/>
    <w:rsid w:val="004F6913"/>
    <w:rsid w:val="004F6A03"/>
    <w:rsid w:val="004F7865"/>
    <w:rsid w:val="0050174E"/>
    <w:rsid w:val="00501854"/>
    <w:rsid w:val="0050219B"/>
    <w:rsid w:val="00503CCC"/>
    <w:rsid w:val="00503F17"/>
    <w:rsid w:val="00505966"/>
    <w:rsid w:val="00506928"/>
    <w:rsid w:val="005077EF"/>
    <w:rsid w:val="00511AD5"/>
    <w:rsid w:val="00511DC7"/>
    <w:rsid w:val="00514095"/>
    <w:rsid w:val="0051425F"/>
    <w:rsid w:val="005142C5"/>
    <w:rsid w:val="0051501B"/>
    <w:rsid w:val="005152B5"/>
    <w:rsid w:val="00516F3D"/>
    <w:rsid w:val="005171CC"/>
    <w:rsid w:val="0052123C"/>
    <w:rsid w:val="00521319"/>
    <w:rsid w:val="0052204D"/>
    <w:rsid w:val="005222F5"/>
    <w:rsid w:val="0052269B"/>
    <w:rsid w:val="00522BC8"/>
    <w:rsid w:val="00522C94"/>
    <w:rsid w:val="0052372A"/>
    <w:rsid w:val="00523C28"/>
    <w:rsid w:val="00524886"/>
    <w:rsid w:val="00525B4A"/>
    <w:rsid w:val="00526B44"/>
    <w:rsid w:val="0053176B"/>
    <w:rsid w:val="00531C8C"/>
    <w:rsid w:val="00533A8C"/>
    <w:rsid w:val="00536F42"/>
    <w:rsid w:val="00537182"/>
    <w:rsid w:val="00541EDD"/>
    <w:rsid w:val="00542743"/>
    <w:rsid w:val="00542C2D"/>
    <w:rsid w:val="005478BD"/>
    <w:rsid w:val="005479E3"/>
    <w:rsid w:val="005503A3"/>
    <w:rsid w:val="00551985"/>
    <w:rsid w:val="00551FEF"/>
    <w:rsid w:val="00552BD3"/>
    <w:rsid w:val="005532A0"/>
    <w:rsid w:val="00555109"/>
    <w:rsid w:val="00556B35"/>
    <w:rsid w:val="0055741A"/>
    <w:rsid w:val="00561036"/>
    <w:rsid w:val="005611B7"/>
    <w:rsid w:val="005616FB"/>
    <w:rsid w:val="005618D4"/>
    <w:rsid w:val="00565847"/>
    <w:rsid w:val="00565BB3"/>
    <w:rsid w:val="00565DF0"/>
    <w:rsid w:val="0056696F"/>
    <w:rsid w:val="00567E84"/>
    <w:rsid w:val="00572269"/>
    <w:rsid w:val="0057244A"/>
    <w:rsid w:val="0057264B"/>
    <w:rsid w:val="00572F26"/>
    <w:rsid w:val="00574345"/>
    <w:rsid w:val="005750C5"/>
    <w:rsid w:val="005752DE"/>
    <w:rsid w:val="00575D8D"/>
    <w:rsid w:val="00576972"/>
    <w:rsid w:val="00581611"/>
    <w:rsid w:val="00581CD5"/>
    <w:rsid w:val="00583699"/>
    <w:rsid w:val="00584AD7"/>
    <w:rsid w:val="00585CDD"/>
    <w:rsid w:val="00587058"/>
    <w:rsid w:val="00590F7A"/>
    <w:rsid w:val="00591957"/>
    <w:rsid w:val="00591A2C"/>
    <w:rsid w:val="00597194"/>
    <w:rsid w:val="00597BF9"/>
    <w:rsid w:val="005A0B91"/>
    <w:rsid w:val="005A3009"/>
    <w:rsid w:val="005A309A"/>
    <w:rsid w:val="005A373D"/>
    <w:rsid w:val="005A5D27"/>
    <w:rsid w:val="005A5EB7"/>
    <w:rsid w:val="005A7F42"/>
    <w:rsid w:val="005B03D4"/>
    <w:rsid w:val="005B0B58"/>
    <w:rsid w:val="005B1E28"/>
    <w:rsid w:val="005B4E53"/>
    <w:rsid w:val="005B5857"/>
    <w:rsid w:val="005B6F97"/>
    <w:rsid w:val="005B79F9"/>
    <w:rsid w:val="005C19C4"/>
    <w:rsid w:val="005C1B83"/>
    <w:rsid w:val="005C25FF"/>
    <w:rsid w:val="005C2D55"/>
    <w:rsid w:val="005C346B"/>
    <w:rsid w:val="005D044D"/>
    <w:rsid w:val="005D0ABD"/>
    <w:rsid w:val="005D18AD"/>
    <w:rsid w:val="005D26B4"/>
    <w:rsid w:val="005D5398"/>
    <w:rsid w:val="005D5646"/>
    <w:rsid w:val="005E07BB"/>
    <w:rsid w:val="005E0A26"/>
    <w:rsid w:val="005E6CBC"/>
    <w:rsid w:val="005E72FF"/>
    <w:rsid w:val="005E73C0"/>
    <w:rsid w:val="005F0EC2"/>
    <w:rsid w:val="005F1956"/>
    <w:rsid w:val="005F2706"/>
    <w:rsid w:val="005F280A"/>
    <w:rsid w:val="005F3D58"/>
    <w:rsid w:val="005F54E8"/>
    <w:rsid w:val="005F6A8F"/>
    <w:rsid w:val="005F6BB7"/>
    <w:rsid w:val="005F7588"/>
    <w:rsid w:val="005F79DA"/>
    <w:rsid w:val="00603DB9"/>
    <w:rsid w:val="006057FD"/>
    <w:rsid w:val="00606FBA"/>
    <w:rsid w:val="00607669"/>
    <w:rsid w:val="006076F4"/>
    <w:rsid w:val="00607991"/>
    <w:rsid w:val="00607AFD"/>
    <w:rsid w:val="00611BF4"/>
    <w:rsid w:val="00612F97"/>
    <w:rsid w:val="0061345D"/>
    <w:rsid w:val="00613DE5"/>
    <w:rsid w:val="0061549B"/>
    <w:rsid w:val="00616802"/>
    <w:rsid w:val="00617E12"/>
    <w:rsid w:val="00620C25"/>
    <w:rsid w:val="00621477"/>
    <w:rsid w:val="00621ADA"/>
    <w:rsid w:val="00623F7B"/>
    <w:rsid w:val="00627E98"/>
    <w:rsid w:val="0063158F"/>
    <w:rsid w:val="00631B1D"/>
    <w:rsid w:val="00631D6B"/>
    <w:rsid w:val="00631FC1"/>
    <w:rsid w:val="00632183"/>
    <w:rsid w:val="00632D46"/>
    <w:rsid w:val="006330A1"/>
    <w:rsid w:val="0063479F"/>
    <w:rsid w:val="006353F0"/>
    <w:rsid w:val="006357B5"/>
    <w:rsid w:val="006364A1"/>
    <w:rsid w:val="0063678E"/>
    <w:rsid w:val="0063748C"/>
    <w:rsid w:val="00637BFD"/>
    <w:rsid w:val="00640255"/>
    <w:rsid w:val="006402F2"/>
    <w:rsid w:val="00641C4E"/>
    <w:rsid w:val="00641FB3"/>
    <w:rsid w:val="0064434C"/>
    <w:rsid w:val="006471CC"/>
    <w:rsid w:val="00647A29"/>
    <w:rsid w:val="0065079F"/>
    <w:rsid w:val="00650E67"/>
    <w:rsid w:val="006521C4"/>
    <w:rsid w:val="00652742"/>
    <w:rsid w:val="00652A28"/>
    <w:rsid w:val="00653631"/>
    <w:rsid w:val="0065379F"/>
    <w:rsid w:val="00656188"/>
    <w:rsid w:val="0065715A"/>
    <w:rsid w:val="006610F1"/>
    <w:rsid w:val="00661C6B"/>
    <w:rsid w:val="00663286"/>
    <w:rsid w:val="0066388C"/>
    <w:rsid w:val="006639FD"/>
    <w:rsid w:val="006644FD"/>
    <w:rsid w:val="00670A2D"/>
    <w:rsid w:val="00671004"/>
    <w:rsid w:val="00671320"/>
    <w:rsid w:val="00672646"/>
    <w:rsid w:val="00674490"/>
    <w:rsid w:val="00674A21"/>
    <w:rsid w:val="00674E42"/>
    <w:rsid w:val="006750FD"/>
    <w:rsid w:val="006813F8"/>
    <w:rsid w:val="00682112"/>
    <w:rsid w:val="00682BA6"/>
    <w:rsid w:val="00684C15"/>
    <w:rsid w:val="00684EA9"/>
    <w:rsid w:val="00685235"/>
    <w:rsid w:val="00685EC3"/>
    <w:rsid w:val="00686120"/>
    <w:rsid w:val="00686957"/>
    <w:rsid w:val="00687083"/>
    <w:rsid w:val="006872BA"/>
    <w:rsid w:val="00690795"/>
    <w:rsid w:val="00690AFC"/>
    <w:rsid w:val="00690FAC"/>
    <w:rsid w:val="00691274"/>
    <w:rsid w:val="00691648"/>
    <w:rsid w:val="006917D7"/>
    <w:rsid w:val="0069434C"/>
    <w:rsid w:val="00694F44"/>
    <w:rsid w:val="00695241"/>
    <w:rsid w:val="00696F51"/>
    <w:rsid w:val="006979A5"/>
    <w:rsid w:val="006A0076"/>
    <w:rsid w:val="006A4A63"/>
    <w:rsid w:val="006A5A4A"/>
    <w:rsid w:val="006A61F8"/>
    <w:rsid w:val="006A6B99"/>
    <w:rsid w:val="006A7E5F"/>
    <w:rsid w:val="006B261B"/>
    <w:rsid w:val="006B2C90"/>
    <w:rsid w:val="006B35E6"/>
    <w:rsid w:val="006B41FA"/>
    <w:rsid w:val="006B465A"/>
    <w:rsid w:val="006B6DD0"/>
    <w:rsid w:val="006C0399"/>
    <w:rsid w:val="006C17D7"/>
    <w:rsid w:val="006C2A8E"/>
    <w:rsid w:val="006C3255"/>
    <w:rsid w:val="006C3F26"/>
    <w:rsid w:val="006C6132"/>
    <w:rsid w:val="006C680E"/>
    <w:rsid w:val="006C6A5A"/>
    <w:rsid w:val="006C700E"/>
    <w:rsid w:val="006D0D17"/>
    <w:rsid w:val="006D2BB9"/>
    <w:rsid w:val="006D3C7D"/>
    <w:rsid w:val="006D4659"/>
    <w:rsid w:val="006D4EC4"/>
    <w:rsid w:val="006D571D"/>
    <w:rsid w:val="006D5D5F"/>
    <w:rsid w:val="006D68FB"/>
    <w:rsid w:val="006E0DDE"/>
    <w:rsid w:val="006E1C0A"/>
    <w:rsid w:val="006E2868"/>
    <w:rsid w:val="006E448C"/>
    <w:rsid w:val="006F20F7"/>
    <w:rsid w:val="006F2EC7"/>
    <w:rsid w:val="006F306C"/>
    <w:rsid w:val="006F3B26"/>
    <w:rsid w:val="006F63A5"/>
    <w:rsid w:val="006F6C22"/>
    <w:rsid w:val="0070127A"/>
    <w:rsid w:val="0070142B"/>
    <w:rsid w:val="00702370"/>
    <w:rsid w:val="0070276E"/>
    <w:rsid w:val="00702F8F"/>
    <w:rsid w:val="007044BD"/>
    <w:rsid w:val="007048CE"/>
    <w:rsid w:val="00706862"/>
    <w:rsid w:val="00706A17"/>
    <w:rsid w:val="007079FC"/>
    <w:rsid w:val="00710EB2"/>
    <w:rsid w:val="00711A36"/>
    <w:rsid w:val="00712DD1"/>
    <w:rsid w:val="00712F06"/>
    <w:rsid w:val="00713236"/>
    <w:rsid w:val="00713290"/>
    <w:rsid w:val="007133CF"/>
    <w:rsid w:val="00714C26"/>
    <w:rsid w:val="0071529C"/>
    <w:rsid w:val="007160B1"/>
    <w:rsid w:val="00716BED"/>
    <w:rsid w:val="00716F07"/>
    <w:rsid w:val="007170DA"/>
    <w:rsid w:val="007172AD"/>
    <w:rsid w:val="00720801"/>
    <w:rsid w:val="007210EA"/>
    <w:rsid w:val="00722B1B"/>
    <w:rsid w:val="00723877"/>
    <w:rsid w:val="00723FD4"/>
    <w:rsid w:val="0072416F"/>
    <w:rsid w:val="00726213"/>
    <w:rsid w:val="00727C94"/>
    <w:rsid w:val="00731B0A"/>
    <w:rsid w:val="00731EAE"/>
    <w:rsid w:val="00733073"/>
    <w:rsid w:val="007335BB"/>
    <w:rsid w:val="00735033"/>
    <w:rsid w:val="00735328"/>
    <w:rsid w:val="0073685B"/>
    <w:rsid w:val="00741646"/>
    <w:rsid w:val="00742DBB"/>
    <w:rsid w:val="00742E11"/>
    <w:rsid w:val="0074324F"/>
    <w:rsid w:val="007449BF"/>
    <w:rsid w:val="00745040"/>
    <w:rsid w:val="007452CA"/>
    <w:rsid w:val="00745374"/>
    <w:rsid w:val="00746BC0"/>
    <w:rsid w:val="00747FCD"/>
    <w:rsid w:val="00750EBA"/>
    <w:rsid w:val="007510B4"/>
    <w:rsid w:val="00752142"/>
    <w:rsid w:val="007523F9"/>
    <w:rsid w:val="00753065"/>
    <w:rsid w:val="0075357E"/>
    <w:rsid w:val="00754096"/>
    <w:rsid w:val="00754BCC"/>
    <w:rsid w:val="00755ED5"/>
    <w:rsid w:val="007573E8"/>
    <w:rsid w:val="00757808"/>
    <w:rsid w:val="0076083F"/>
    <w:rsid w:val="00760C4E"/>
    <w:rsid w:val="00760F9E"/>
    <w:rsid w:val="00761B63"/>
    <w:rsid w:val="007627BE"/>
    <w:rsid w:val="00764CCB"/>
    <w:rsid w:val="00764F03"/>
    <w:rsid w:val="00765B1A"/>
    <w:rsid w:val="007679F0"/>
    <w:rsid w:val="0077292D"/>
    <w:rsid w:val="0077571D"/>
    <w:rsid w:val="00777335"/>
    <w:rsid w:val="00780356"/>
    <w:rsid w:val="00780B1F"/>
    <w:rsid w:val="00782B99"/>
    <w:rsid w:val="007843F2"/>
    <w:rsid w:val="00785A9F"/>
    <w:rsid w:val="007925DF"/>
    <w:rsid w:val="00792B2B"/>
    <w:rsid w:val="00793811"/>
    <w:rsid w:val="00795DC2"/>
    <w:rsid w:val="007A08AA"/>
    <w:rsid w:val="007A0A12"/>
    <w:rsid w:val="007A132D"/>
    <w:rsid w:val="007A1345"/>
    <w:rsid w:val="007A2DDB"/>
    <w:rsid w:val="007A56F7"/>
    <w:rsid w:val="007A6302"/>
    <w:rsid w:val="007A70BA"/>
    <w:rsid w:val="007A75A3"/>
    <w:rsid w:val="007B0D68"/>
    <w:rsid w:val="007B2503"/>
    <w:rsid w:val="007B251D"/>
    <w:rsid w:val="007B2CF6"/>
    <w:rsid w:val="007B4F58"/>
    <w:rsid w:val="007B528D"/>
    <w:rsid w:val="007B5AAD"/>
    <w:rsid w:val="007B61A1"/>
    <w:rsid w:val="007B63CA"/>
    <w:rsid w:val="007B77D1"/>
    <w:rsid w:val="007B7A72"/>
    <w:rsid w:val="007C07C7"/>
    <w:rsid w:val="007C153F"/>
    <w:rsid w:val="007C18F4"/>
    <w:rsid w:val="007C1CA2"/>
    <w:rsid w:val="007C1CD9"/>
    <w:rsid w:val="007C32EF"/>
    <w:rsid w:val="007C361D"/>
    <w:rsid w:val="007C4B84"/>
    <w:rsid w:val="007C70FF"/>
    <w:rsid w:val="007C7C25"/>
    <w:rsid w:val="007D004F"/>
    <w:rsid w:val="007D04A3"/>
    <w:rsid w:val="007D0B38"/>
    <w:rsid w:val="007D19E6"/>
    <w:rsid w:val="007D5440"/>
    <w:rsid w:val="007D59A7"/>
    <w:rsid w:val="007D69EB"/>
    <w:rsid w:val="007E0076"/>
    <w:rsid w:val="007E128F"/>
    <w:rsid w:val="007F1017"/>
    <w:rsid w:val="007F4A3F"/>
    <w:rsid w:val="007F4A61"/>
    <w:rsid w:val="007F4BA4"/>
    <w:rsid w:val="007F4CA7"/>
    <w:rsid w:val="007F5255"/>
    <w:rsid w:val="007F56CC"/>
    <w:rsid w:val="007F601D"/>
    <w:rsid w:val="007F61C2"/>
    <w:rsid w:val="00802AC4"/>
    <w:rsid w:val="00804738"/>
    <w:rsid w:val="00804A0B"/>
    <w:rsid w:val="00805142"/>
    <w:rsid w:val="00805653"/>
    <w:rsid w:val="0080586F"/>
    <w:rsid w:val="00805978"/>
    <w:rsid w:val="00805CC3"/>
    <w:rsid w:val="00805FCE"/>
    <w:rsid w:val="00807A8B"/>
    <w:rsid w:val="00807B55"/>
    <w:rsid w:val="00811383"/>
    <w:rsid w:val="00812149"/>
    <w:rsid w:val="00812CAC"/>
    <w:rsid w:val="00814308"/>
    <w:rsid w:val="00816361"/>
    <w:rsid w:val="008166EF"/>
    <w:rsid w:val="00816FEF"/>
    <w:rsid w:val="00820A8C"/>
    <w:rsid w:val="008215FB"/>
    <w:rsid w:val="0082183E"/>
    <w:rsid w:val="00823174"/>
    <w:rsid w:val="00825751"/>
    <w:rsid w:val="008264EB"/>
    <w:rsid w:val="008332CA"/>
    <w:rsid w:val="00833B05"/>
    <w:rsid w:val="00835545"/>
    <w:rsid w:val="008362B4"/>
    <w:rsid w:val="00837FA8"/>
    <w:rsid w:val="00840CA2"/>
    <w:rsid w:val="00841A66"/>
    <w:rsid w:val="00842835"/>
    <w:rsid w:val="0084374F"/>
    <w:rsid w:val="00843B93"/>
    <w:rsid w:val="00844A22"/>
    <w:rsid w:val="0084554B"/>
    <w:rsid w:val="00847057"/>
    <w:rsid w:val="00847703"/>
    <w:rsid w:val="00847DF5"/>
    <w:rsid w:val="0085309D"/>
    <w:rsid w:val="008539A9"/>
    <w:rsid w:val="00855318"/>
    <w:rsid w:val="00856897"/>
    <w:rsid w:val="00856E9A"/>
    <w:rsid w:val="008570D5"/>
    <w:rsid w:val="00857953"/>
    <w:rsid w:val="0086075D"/>
    <w:rsid w:val="00862502"/>
    <w:rsid w:val="00862CC1"/>
    <w:rsid w:val="00864EE6"/>
    <w:rsid w:val="0086547A"/>
    <w:rsid w:val="008660D4"/>
    <w:rsid w:val="008702A0"/>
    <w:rsid w:val="00871FA9"/>
    <w:rsid w:val="008728E9"/>
    <w:rsid w:val="00873846"/>
    <w:rsid w:val="00874227"/>
    <w:rsid w:val="008746CF"/>
    <w:rsid w:val="00882874"/>
    <w:rsid w:val="00882E3C"/>
    <w:rsid w:val="00883787"/>
    <w:rsid w:val="008855E4"/>
    <w:rsid w:val="00886CD2"/>
    <w:rsid w:val="00891E6F"/>
    <w:rsid w:val="0089275D"/>
    <w:rsid w:val="00892A36"/>
    <w:rsid w:val="00893239"/>
    <w:rsid w:val="00894489"/>
    <w:rsid w:val="008948AD"/>
    <w:rsid w:val="00895350"/>
    <w:rsid w:val="00895BF0"/>
    <w:rsid w:val="008963A5"/>
    <w:rsid w:val="00896D5D"/>
    <w:rsid w:val="008A0EFF"/>
    <w:rsid w:val="008A1BE9"/>
    <w:rsid w:val="008A3363"/>
    <w:rsid w:val="008A3371"/>
    <w:rsid w:val="008A3C3E"/>
    <w:rsid w:val="008A5F82"/>
    <w:rsid w:val="008A79DE"/>
    <w:rsid w:val="008B129F"/>
    <w:rsid w:val="008B1757"/>
    <w:rsid w:val="008B3C95"/>
    <w:rsid w:val="008B5609"/>
    <w:rsid w:val="008B7992"/>
    <w:rsid w:val="008B7A15"/>
    <w:rsid w:val="008B7D7E"/>
    <w:rsid w:val="008C064C"/>
    <w:rsid w:val="008C0994"/>
    <w:rsid w:val="008C09EC"/>
    <w:rsid w:val="008C4162"/>
    <w:rsid w:val="008C41B5"/>
    <w:rsid w:val="008C5610"/>
    <w:rsid w:val="008C5739"/>
    <w:rsid w:val="008C5F73"/>
    <w:rsid w:val="008C7BB8"/>
    <w:rsid w:val="008C7ECB"/>
    <w:rsid w:val="008D0774"/>
    <w:rsid w:val="008D3B86"/>
    <w:rsid w:val="008D4755"/>
    <w:rsid w:val="008D4C3D"/>
    <w:rsid w:val="008D4CC5"/>
    <w:rsid w:val="008D6F94"/>
    <w:rsid w:val="008D743C"/>
    <w:rsid w:val="008E0D3C"/>
    <w:rsid w:val="008E17C6"/>
    <w:rsid w:val="008E1B9E"/>
    <w:rsid w:val="008E55AB"/>
    <w:rsid w:val="008E56C5"/>
    <w:rsid w:val="008F120A"/>
    <w:rsid w:val="008F27E0"/>
    <w:rsid w:val="008F48EB"/>
    <w:rsid w:val="008F4F0B"/>
    <w:rsid w:val="00901050"/>
    <w:rsid w:val="00903974"/>
    <w:rsid w:val="009046C4"/>
    <w:rsid w:val="009062A5"/>
    <w:rsid w:val="00907FC6"/>
    <w:rsid w:val="0091076B"/>
    <w:rsid w:val="00910FA7"/>
    <w:rsid w:val="00911272"/>
    <w:rsid w:val="009135D6"/>
    <w:rsid w:val="00913C37"/>
    <w:rsid w:val="00914C77"/>
    <w:rsid w:val="009152A5"/>
    <w:rsid w:val="0091709B"/>
    <w:rsid w:val="00921ACB"/>
    <w:rsid w:val="0092369B"/>
    <w:rsid w:val="00923AA7"/>
    <w:rsid w:val="00924E11"/>
    <w:rsid w:val="0093115D"/>
    <w:rsid w:val="00931BB7"/>
    <w:rsid w:val="00934988"/>
    <w:rsid w:val="00936F04"/>
    <w:rsid w:val="00937089"/>
    <w:rsid w:val="009422F1"/>
    <w:rsid w:val="00944F8A"/>
    <w:rsid w:val="009469AE"/>
    <w:rsid w:val="009510A2"/>
    <w:rsid w:val="00951389"/>
    <w:rsid w:val="009517E0"/>
    <w:rsid w:val="00953257"/>
    <w:rsid w:val="00954584"/>
    <w:rsid w:val="0095474C"/>
    <w:rsid w:val="009549FF"/>
    <w:rsid w:val="00962CB9"/>
    <w:rsid w:val="00963D9B"/>
    <w:rsid w:val="00964312"/>
    <w:rsid w:val="00965B8A"/>
    <w:rsid w:val="0097071F"/>
    <w:rsid w:val="009717AC"/>
    <w:rsid w:val="00973ED9"/>
    <w:rsid w:val="009751C1"/>
    <w:rsid w:val="00976B4E"/>
    <w:rsid w:val="0097701D"/>
    <w:rsid w:val="00977D10"/>
    <w:rsid w:val="00980659"/>
    <w:rsid w:val="00980C29"/>
    <w:rsid w:val="009811F1"/>
    <w:rsid w:val="00983ABD"/>
    <w:rsid w:val="00983E57"/>
    <w:rsid w:val="0098481D"/>
    <w:rsid w:val="0098506D"/>
    <w:rsid w:val="00985DE2"/>
    <w:rsid w:val="00985E4D"/>
    <w:rsid w:val="0098675D"/>
    <w:rsid w:val="0098729F"/>
    <w:rsid w:val="009926E0"/>
    <w:rsid w:val="0099451E"/>
    <w:rsid w:val="00996A99"/>
    <w:rsid w:val="00996B1A"/>
    <w:rsid w:val="009970D9"/>
    <w:rsid w:val="009A1839"/>
    <w:rsid w:val="009A2DCC"/>
    <w:rsid w:val="009A474F"/>
    <w:rsid w:val="009A5ABC"/>
    <w:rsid w:val="009A6FAD"/>
    <w:rsid w:val="009A7F10"/>
    <w:rsid w:val="009B1AE4"/>
    <w:rsid w:val="009B1B13"/>
    <w:rsid w:val="009B2264"/>
    <w:rsid w:val="009B3E26"/>
    <w:rsid w:val="009C2524"/>
    <w:rsid w:val="009C3706"/>
    <w:rsid w:val="009C3A3A"/>
    <w:rsid w:val="009C4A07"/>
    <w:rsid w:val="009C6CEA"/>
    <w:rsid w:val="009C7B85"/>
    <w:rsid w:val="009D0254"/>
    <w:rsid w:val="009D1A64"/>
    <w:rsid w:val="009D571A"/>
    <w:rsid w:val="009D5B91"/>
    <w:rsid w:val="009D6A3B"/>
    <w:rsid w:val="009D74D1"/>
    <w:rsid w:val="009D792E"/>
    <w:rsid w:val="009E0DFE"/>
    <w:rsid w:val="009E11CE"/>
    <w:rsid w:val="009E2486"/>
    <w:rsid w:val="009E2682"/>
    <w:rsid w:val="009E31F6"/>
    <w:rsid w:val="009E3247"/>
    <w:rsid w:val="009E484C"/>
    <w:rsid w:val="009E4C07"/>
    <w:rsid w:val="009E57D9"/>
    <w:rsid w:val="009E6333"/>
    <w:rsid w:val="009E6EA6"/>
    <w:rsid w:val="009E7799"/>
    <w:rsid w:val="009F0CFA"/>
    <w:rsid w:val="009F14AA"/>
    <w:rsid w:val="009F2698"/>
    <w:rsid w:val="009F2F14"/>
    <w:rsid w:val="00A01184"/>
    <w:rsid w:val="00A036FA"/>
    <w:rsid w:val="00A037C2"/>
    <w:rsid w:val="00A03D43"/>
    <w:rsid w:val="00A04380"/>
    <w:rsid w:val="00A05472"/>
    <w:rsid w:val="00A05C32"/>
    <w:rsid w:val="00A05E86"/>
    <w:rsid w:val="00A0653F"/>
    <w:rsid w:val="00A11CD0"/>
    <w:rsid w:val="00A11DB8"/>
    <w:rsid w:val="00A13948"/>
    <w:rsid w:val="00A14792"/>
    <w:rsid w:val="00A1555B"/>
    <w:rsid w:val="00A155C5"/>
    <w:rsid w:val="00A16AD8"/>
    <w:rsid w:val="00A207E7"/>
    <w:rsid w:val="00A21C95"/>
    <w:rsid w:val="00A21CF3"/>
    <w:rsid w:val="00A2213F"/>
    <w:rsid w:val="00A24813"/>
    <w:rsid w:val="00A2488E"/>
    <w:rsid w:val="00A27AEC"/>
    <w:rsid w:val="00A30936"/>
    <w:rsid w:val="00A31B65"/>
    <w:rsid w:val="00A320DB"/>
    <w:rsid w:val="00A3247F"/>
    <w:rsid w:val="00A33E2C"/>
    <w:rsid w:val="00A35D16"/>
    <w:rsid w:val="00A37BCD"/>
    <w:rsid w:val="00A37D4C"/>
    <w:rsid w:val="00A41689"/>
    <w:rsid w:val="00A420D1"/>
    <w:rsid w:val="00A42592"/>
    <w:rsid w:val="00A43C59"/>
    <w:rsid w:val="00A449C6"/>
    <w:rsid w:val="00A477F9"/>
    <w:rsid w:val="00A50288"/>
    <w:rsid w:val="00A50ECD"/>
    <w:rsid w:val="00A518F3"/>
    <w:rsid w:val="00A52729"/>
    <w:rsid w:val="00A53675"/>
    <w:rsid w:val="00A564D7"/>
    <w:rsid w:val="00A56B6A"/>
    <w:rsid w:val="00A578DC"/>
    <w:rsid w:val="00A640E2"/>
    <w:rsid w:val="00A64D65"/>
    <w:rsid w:val="00A6725B"/>
    <w:rsid w:val="00A70605"/>
    <w:rsid w:val="00A73134"/>
    <w:rsid w:val="00A7545E"/>
    <w:rsid w:val="00A76001"/>
    <w:rsid w:val="00A777B2"/>
    <w:rsid w:val="00A825D4"/>
    <w:rsid w:val="00A828F6"/>
    <w:rsid w:val="00A82B73"/>
    <w:rsid w:val="00A86E8B"/>
    <w:rsid w:val="00A87164"/>
    <w:rsid w:val="00A87196"/>
    <w:rsid w:val="00A90DEE"/>
    <w:rsid w:val="00A93072"/>
    <w:rsid w:val="00A938BD"/>
    <w:rsid w:val="00A93953"/>
    <w:rsid w:val="00A959D8"/>
    <w:rsid w:val="00A96B57"/>
    <w:rsid w:val="00AA113D"/>
    <w:rsid w:val="00AA20F6"/>
    <w:rsid w:val="00AA28B3"/>
    <w:rsid w:val="00AA4759"/>
    <w:rsid w:val="00AA6BD5"/>
    <w:rsid w:val="00AA6BD8"/>
    <w:rsid w:val="00AA6C7D"/>
    <w:rsid w:val="00AA6E04"/>
    <w:rsid w:val="00AA7212"/>
    <w:rsid w:val="00AA7FD6"/>
    <w:rsid w:val="00AB042A"/>
    <w:rsid w:val="00AB060B"/>
    <w:rsid w:val="00AB0A5C"/>
    <w:rsid w:val="00AB19EF"/>
    <w:rsid w:val="00AB2D34"/>
    <w:rsid w:val="00AB3430"/>
    <w:rsid w:val="00AB37B9"/>
    <w:rsid w:val="00AB49A9"/>
    <w:rsid w:val="00AB49AE"/>
    <w:rsid w:val="00AB4AD1"/>
    <w:rsid w:val="00AB5E07"/>
    <w:rsid w:val="00AB7620"/>
    <w:rsid w:val="00AB7CFA"/>
    <w:rsid w:val="00AC00B8"/>
    <w:rsid w:val="00AC1168"/>
    <w:rsid w:val="00AC1FF7"/>
    <w:rsid w:val="00AC5B48"/>
    <w:rsid w:val="00AD1450"/>
    <w:rsid w:val="00AD6502"/>
    <w:rsid w:val="00AD66FE"/>
    <w:rsid w:val="00AD7419"/>
    <w:rsid w:val="00AE0695"/>
    <w:rsid w:val="00AE3DA7"/>
    <w:rsid w:val="00AE3E7E"/>
    <w:rsid w:val="00AF0A23"/>
    <w:rsid w:val="00AF1315"/>
    <w:rsid w:val="00AF19BF"/>
    <w:rsid w:val="00AF2DC3"/>
    <w:rsid w:val="00AF38E3"/>
    <w:rsid w:val="00AF4B70"/>
    <w:rsid w:val="00AF6EA0"/>
    <w:rsid w:val="00B033E5"/>
    <w:rsid w:val="00B03A63"/>
    <w:rsid w:val="00B068C9"/>
    <w:rsid w:val="00B14290"/>
    <w:rsid w:val="00B14F8C"/>
    <w:rsid w:val="00B16D32"/>
    <w:rsid w:val="00B201A4"/>
    <w:rsid w:val="00B201D1"/>
    <w:rsid w:val="00B213A6"/>
    <w:rsid w:val="00B23582"/>
    <w:rsid w:val="00B235B0"/>
    <w:rsid w:val="00B24DF6"/>
    <w:rsid w:val="00B2763C"/>
    <w:rsid w:val="00B3000F"/>
    <w:rsid w:val="00B33B0E"/>
    <w:rsid w:val="00B34FE2"/>
    <w:rsid w:val="00B35166"/>
    <w:rsid w:val="00B357D8"/>
    <w:rsid w:val="00B360F4"/>
    <w:rsid w:val="00B36A00"/>
    <w:rsid w:val="00B37BFC"/>
    <w:rsid w:val="00B37FCA"/>
    <w:rsid w:val="00B40358"/>
    <w:rsid w:val="00B41614"/>
    <w:rsid w:val="00B41FFF"/>
    <w:rsid w:val="00B42851"/>
    <w:rsid w:val="00B42F80"/>
    <w:rsid w:val="00B435CB"/>
    <w:rsid w:val="00B50548"/>
    <w:rsid w:val="00B505C8"/>
    <w:rsid w:val="00B50DB8"/>
    <w:rsid w:val="00B5265D"/>
    <w:rsid w:val="00B53654"/>
    <w:rsid w:val="00B53905"/>
    <w:rsid w:val="00B5452F"/>
    <w:rsid w:val="00B54B5B"/>
    <w:rsid w:val="00B5531A"/>
    <w:rsid w:val="00B5562E"/>
    <w:rsid w:val="00B55862"/>
    <w:rsid w:val="00B55D65"/>
    <w:rsid w:val="00B568DF"/>
    <w:rsid w:val="00B57000"/>
    <w:rsid w:val="00B60939"/>
    <w:rsid w:val="00B60A68"/>
    <w:rsid w:val="00B60AFD"/>
    <w:rsid w:val="00B62715"/>
    <w:rsid w:val="00B65611"/>
    <w:rsid w:val="00B66D7D"/>
    <w:rsid w:val="00B70140"/>
    <w:rsid w:val="00B70E8E"/>
    <w:rsid w:val="00B753F0"/>
    <w:rsid w:val="00B76C92"/>
    <w:rsid w:val="00B80658"/>
    <w:rsid w:val="00B818A4"/>
    <w:rsid w:val="00B84117"/>
    <w:rsid w:val="00B858F0"/>
    <w:rsid w:val="00B85AA2"/>
    <w:rsid w:val="00B8649C"/>
    <w:rsid w:val="00B8695D"/>
    <w:rsid w:val="00B87F0A"/>
    <w:rsid w:val="00B908EA"/>
    <w:rsid w:val="00B91D1C"/>
    <w:rsid w:val="00B92D0B"/>
    <w:rsid w:val="00B94945"/>
    <w:rsid w:val="00B94DD6"/>
    <w:rsid w:val="00B96C04"/>
    <w:rsid w:val="00B96CF4"/>
    <w:rsid w:val="00BA322D"/>
    <w:rsid w:val="00BA389F"/>
    <w:rsid w:val="00BA42B3"/>
    <w:rsid w:val="00BA63FA"/>
    <w:rsid w:val="00BB00B3"/>
    <w:rsid w:val="00BB0BDD"/>
    <w:rsid w:val="00BB0E0A"/>
    <w:rsid w:val="00BB176C"/>
    <w:rsid w:val="00BB1B64"/>
    <w:rsid w:val="00BB23E8"/>
    <w:rsid w:val="00BB2A73"/>
    <w:rsid w:val="00BB3A45"/>
    <w:rsid w:val="00BB4ACC"/>
    <w:rsid w:val="00BB540F"/>
    <w:rsid w:val="00BB5A27"/>
    <w:rsid w:val="00BB703E"/>
    <w:rsid w:val="00BB732D"/>
    <w:rsid w:val="00BB7405"/>
    <w:rsid w:val="00BC0B7A"/>
    <w:rsid w:val="00BC3631"/>
    <w:rsid w:val="00BC591F"/>
    <w:rsid w:val="00BC7D6D"/>
    <w:rsid w:val="00BC7DD8"/>
    <w:rsid w:val="00BD2108"/>
    <w:rsid w:val="00BD46C0"/>
    <w:rsid w:val="00BD68A3"/>
    <w:rsid w:val="00BD6938"/>
    <w:rsid w:val="00BD6CF3"/>
    <w:rsid w:val="00BD6F9D"/>
    <w:rsid w:val="00BE0ECA"/>
    <w:rsid w:val="00BE2180"/>
    <w:rsid w:val="00BE21F2"/>
    <w:rsid w:val="00BE3FD0"/>
    <w:rsid w:val="00BE4275"/>
    <w:rsid w:val="00BE68AF"/>
    <w:rsid w:val="00BE78DF"/>
    <w:rsid w:val="00BF06AE"/>
    <w:rsid w:val="00BF0F95"/>
    <w:rsid w:val="00BF2433"/>
    <w:rsid w:val="00BF61C9"/>
    <w:rsid w:val="00BF6C94"/>
    <w:rsid w:val="00C00424"/>
    <w:rsid w:val="00C0639F"/>
    <w:rsid w:val="00C063A1"/>
    <w:rsid w:val="00C06BFD"/>
    <w:rsid w:val="00C10EBA"/>
    <w:rsid w:val="00C1175E"/>
    <w:rsid w:val="00C1179F"/>
    <w:rsid w:val="00C1280A"/>
    <w:rsid w:val="00C12C14"/>
    <w:rsid w:val="00C14D96"/>
    <w:rsid w:val="00C14DF3"/>
    <w:rsid w:val="00C15F04"/>
    <w:rsid w:val="00C16FF5"/>
    <w:rsid w:val="00C1703B"/>
    <w:rsid w:val="00C179B3"/>
    <w:rsid w:val="00C17E3F"/>
    <w:rsid w:val="00C200AA"/>
    <w:rsid w:val="00C21FFA"/>
    <w:rsid w:val="00C23324"/>
    <w:rsid w:val="00C237ED"/>
    <w:rsid w:val="00C2451C"/>
    <w:rsid w:val="00C24632"/>
    <w:rsid w:val="00C25418"/>
    <w:rsid w:val="00C25438"/>
    <w:rsid w:val="00C25D9C"/>
    <w:rsid w:val="00C2778B"/>
    <w:rsid w:val="00C30428"/>
    <w:rsid w:val="00C305C8"/>
    <w:rsid w:val="00C31649"/>
    <w:rsid w:val="00C325A1"/>
    <w:rsid w:val="00C3434C"/>
    <w:rsid w:val="00C367C7"/>
    <w:rsid w:val="00C3715E"/>
    <w:rsid w:val="00C378EC"/>
    <w:rsid w:val="00C40385"/>
    <w:rsid w:val="00C41768"/>
    <w:rsid w:val="00C475AA"/>
    <w:rsid w:val="00C50D5B"/>
    <w:rsid w:val="00C5148E"/>
    <w:rsid w:val="00C52742"/>
    <w:rsid w:val="00C52C7E"/>
    <w:rsid w:val="00C53C98"/>
    <w:rsid w:val="00C53E53"/>
    <w:rsid w:val="00C5473C"/>
    <w:rsid w:val="00C561F6"/>
    <w:rsid w:val="00C56FCF"/>
    <w:rsid w:val="00C57B6C"/>
    <w:rsid w:val="00C57B85"/>
    <w:rsid w:val="00C61A7F"/>
    <w:rsid w:val="00C628A6"/>
    <w:rsid w:val="00C64344"/>
    <w:rsid w:val="00C65108"/>
    <w:rsid w:val="00C65576"/>
    <w:rsid w:val="00C66165"/>
    <w:rsid w:val="00C7060A"/>
    <w:rsid w:val="00C7151A"/>
    <w:rsid w:val="00C717E3"/>
    <w:rsid w:val="00C71F60"/>
    <w:rsid w:val="00C72241"/>
    <w:rsid w:val="00C7384F"/>
    <w:rsid w:val="00C750C8"/>
    <w:rsid w:val="00C7560F"/>
    <w:rsid w:val="00C765D6"/>
    <w:rsid w:val="00C7747D"/>
    <w:rsid w:val="00C779C2"/>
    <w:rsid w:val="00C80416"/>
    <w:rsid w:val="00C80683"/>
    <w:rsid w:val="00C80A0E"/>
    <w:rsid w:val="00C81D66"/>
    <w:rsid w:val="00C8213F"/>
    <w:rsid w:val="00C8341D"/>
    <w:rsid w:val="00C847FB"/>
    <w:rsid w:val="00C84DC3"/>
    <w:rsid w:val="00C85154"/>
    <w:rsid w:val="00C85B06"/>
    <w:rsid w:val="00C8797A"/>
    <w:rsid w:val="00C87B73"/>
    <w:rsid w:val="00C900B8"/>
    <w:rsid w:val="00C90C71"/>
    <w:rsid w:val="00C91FD1"/>
    <w:rsid w:val="00C9303C"/>
    <w:rsid w:val="00C931CF"/>
    <w:rsid w:val="00C9320D"/>
    <w:rsid w:val="00C938CF"/>
    <w:rsid w:val="00C94053"/>
    <w:rsid w:val="00C9624D"/>
    <w:rsid w:val="00C969DA"/>
    <w:rsid w:val="00C97CB0"/>
    <w:rsid w:val="00CA0DCD"/>
    <w:rsid w:val="00CA29D2"/>
    <w:rsid w:val="00CA2C77"/>
    <w:rsid w:val="00CA31CD"/>
    <w:rsid w:val="00CA33C8"/>
    <w:rsid w:val="00CA3661"/>
    <w:rsid w:val="00CA444F"/>
    <w:rsid w:val="00CA5245"/>
    <w:rsid w:val="00CA5954"/>
    <w:rsid w:val="00CA71F4"/>
    <w:rsid w:val="00CA74E2"/>
    <w:rsid w:val="00CA7B09"/>
    <w:rsid w:val="00CB12A5"/>
    <w:rsid w:val="00CB1CAC"/>
    <w:rsid w:val="00CB2F2A"/>
    <w:rsid w:val="00CB4550"/>
    <w:rsid w:val="00CB5B1A"/>
    <w:rsid w:val="00CB64E2"/>
    <w:rsid w:val="00CB6B22"/>
    <w:rsid w:val="00CB7F5F"/>
    <w:rsid w:val="00CC0D0B"/>
    <w:rsid w:val="00CC1B39"/>
    <w:rsid w:val="00CC3182"/>
    <w:rsid w:val="00CC35EA"/>
    <w:rsid w:val="00CC3848"/>
    <w:rsid w:val="00CD0F6D"/>
    <w:rsid w:val="00CD1F9C"/>
    <w:rsid w:val="00CD3F77"/>
    <w:rsid w:val="00CD6ADC"/>
    <w:rsid w:val="00CD7193"/>
    <w:rsid w:val="00CD76D8"/>
    <w:rsid w:val="00CE273F"/>
    <w:rsid w:val="00CE38C8"/>
    <w:rsid w:val="00CE50D6"/>
    <w:rsid w:val="00CE6274"/>
    <w:rsid w:val="00CE77B6"/>
    <w:rsid w:val="00CF09B2"/>
    <w:rsid w:val="00CF2B8D"/>
    <w:rsid w:val="00CF2ED8"/>
    <w:rsid w:val="00CF40EC"/>
    <w:rsid w:val="00CF456B"/>
    <w:rsid w:val="00CF5A22"/>
    <w:rsid w:val="00CF67A4"/>
    <w:rsid w:val="00CF760F"/>
    <w:rsid w:val="00D0262E"/>
    <w:rsid w:val="00D03BE8"/>
    <w:rsid w:val="00D04092"/>
    <w:rsid w:val="00D05E3D"/>
    <w:rsid w:val="00D06139"/>
    <w:rsid w:val="00D06FB9"/>
    <w:rsid w:val="00D07DD9"/>
    <w:rsid w:val="00D110BD"/>
    <w:rsid w:val="00D13675"/>
    <w:rsid w:val="00D141E1"/>
    <w:rsid w:val="00D14D53"/>
    <w:rsid w:val="00D15314"/>
    <w:rsid w:val="00D16A8A"/>
    <w:rsid w:val="00D17D6C"/>
    <w:rsid w:val="00D2112D"/>
    <w:rsid w:val="00D2155B"/>
    <w:rsid w:val="00D21A8B"/>
    <w:rsid w:val="00D2243B"/>
    <w:rsid w:val="00D238DA"/>
    <w:rsid w:val="00D2391B"/>
    <w:rsid w:val="00D23D11"/>
    <w:rsid w:val="00D244B6"/>
    <w:rsid w:val="00D2754D"/>
    <w:rsid w:val="00D27B27"/>
    <w:rsid w:val="00D31D0E"/>
    <w:rsid w:val="00D33BE9"/>
    <w:rsid w:val="00D33F93"/>
    <w:rsid w:val="00D35187"/>
    <w:rsid w:val="00D351F3"/>
    <w:rsid w:val="00D357FF"/>
    <w:rsid w:val="00D358A0"/>
    <w:rsid w:val="00D424C7"/>
    <w:rsid w:val="00D43B2A"/>
    <w:rsid w:val="00D43D83"/>
    <w:rsid w:val="00D47575"/>
    <w:rsid w:val="00D47841"/>
    <w:rsid w:val="00D511E9"/>
    <w:rsid w:val="00D5243B"/>
    <w:rsid w:val="00D533EC"/>
    <w:rsid w:val="00D545DD"/>
    <w:rsid w:val="00D56A95"/>
    <w:rsid w:val="00D56DF6"/>
    <w:rsid w:val="00D70F16"/>
    <w:rsid w:val="00D72F57"/>
    <w:rsid w:val="00D76A44"/>
    <w:rsid w:val="00D815EF"/>
    <w:rsid w:val="00D81F26"/>
    <w:rsid w:val="00D86231"/>
    <w:rsid w:val="00D867A4"/>
    <w:rsid w:val="00D91923"/>
    <w:rsid w:val="00D93753"/>
    <w:rsid w:val="00D951B4"/>
    <w:rsid w:val="00D957B6"/>
    <w:rsid w:val="00D97862"/>
    <w:rsid w:val="00DA15A1"/>
    <w:rsid w:val="00DA2FF5"/>
    <w:rsid w:val="00DA3167"/>
    <w:rsid w:val="00DA32F5"/>
    <w:rsid w:val="00DA4DC3"/>
    <w:rsid w:val="00DA77A5"/>
    <w:rsid w:val="00DB043F"/>
    <w:rsid w:val="00DB2588"/>
    <w:rsid w:val="00DB37E0"/>
    <w:rsid w:val="00DB3DBF"/>
    <w:rsid w:val="00DB484F"/>
    <w:rsid w:val="00DC04F6"/>
    <w:rsid w:val="00DC0690"/>
    <w:rsid w:val="00DC1D65"/>
    <w:rsid w:val="00DC25CF"/>
    <w:rsid w:val="00DC3C57"/>
    <w:rsid w:val="00DC44C8"/>
    <w:rsid w:val="00DC5501"/>
    <w:rsid w:val="00DC7154"/>
    <w:rsid w:val="00DC7E8A"/>
    <w:rsid w:val="00DD0F78"/>
    <w:rsid w:val="00DD273C"/>
    <w:rsid w:val="00DD3307"/>
    <w:rsid w:val="00DD3773"/>
    <w:rsid w:val="00DD3F28"/>
    <w:rsid w:val="00DD4537"/>
    <w:rsid w:val="00DD4D82"/>
    <w:rsid w:val="00DD4E15"/>
    <w:rsid w:val="00DD7A40"/>
    <w:rsid w:val="00DE0B62"/>
    <w:rsid w:val="00DE2304"/>
    <w:rsid w:val="00DE2D6C"/>
    <w:rsid w:val="00DE3138"/>
    <w:rsid w:val="00DE37F8"/>
    <w:rsid w:val="00DE4544"/>
    <w:rsid w:val="00DE4FCB"/>
    <w:rsid w:val="00DE5D07"/>
    <w:rsid w:val="00DE66C9"/>
    <w:rsid w:val="00DE6CB8"/>
    <w:rsid w:val="00DE6D21"/>
    <w:rsid w:val="00DE72A7"/>
    <w:rsid w:val="00DE7832"/>
    <w:rsid w:val="00DF18FC"/>
    <w:rsid w:val="00DF2702"/>
    <w:rsid w:val="00DF5D2B"/>
    <w:rsid w:val="00DF7328"/>
    <w:rsid w:val="00DF7D46"/>
    <w:rsid w:val="00E00AA9"/>
    <w:rsid w:val="00E00E8E"/>
    <w:rsid w:val="00E05630"/>
    <w:rsid w:val="00E061F5"/>
    <w:rsid w:val="00E06DA8"/>
    <w:rsid w:val="00E06DBB"/>
    <w:rsid w:val="00E071C8"/>
    <w:rsid w:val="00E10149"/>
    <w:rsid w:val="00E11340"/>
    <w:rsid w:val="00E117AD"/>
    <w:rsid w:val="00E11F1C"/>
    <w:rsid w:val="00E122A1"/>
    <w:rsid w:val="00E15364"/>
    <w:rsid w:val="00E1600B"/>
    <w:rsid w:val="00E16122"/>
    <w:rsid w:val="00E16372"/>
    <w:rsid w:val="00E202CE"/>
    <w:rsid w:val="00E20E4D"/>
    <w:rsid w:val="00E20ED6"/>
    <w:rsid w:val="00E21358"/>
    <w:rsid w:val="00E2249B"/>
    <w:rsid w:val="00E22A0D"/>
    <w:rsid w:val="00E244F6"/>
    <w:rsid w:val="00E2771E"/>
    <w:rsid w:val="00E3085F"/>
    <w:rsid w:val="00E311EF"/>
    <w:rsid w:val="00E32180"/>
    <w:rsid w:val="00E3311F"/>
    <w:rsid w:val="00E340FA"/>
    <w:rsid w:val="00E34715"/>
    <w:rsid w:val="00E34948"/>
    <w:rsid w:val="00E36E48"/>
    <w:rsid w:val="00E37569"/>
    <w:rsid w:val="00E375B4"/>
    <w:rsid w:val="00E401B2"/>
    <w:rsid w:val="00E40354"/>
    <w:rsid w:val="00E40AD6"/>
    <w:rsid w:val="00E41E30"/>
    <w:rsid w:val="00E42F73"/>
    <w:rsid w:val="00E43CEC"/>
    <w:rsid w:val="00E43D70"/>
    <w:rsid w:val="00E43E2F"/>
    <w:rsid w:val="00E466F3"/>
    <w:rsid w:val="00E47710"/>
    <w:rsid w:val="00E47B2C"/>
    <w:rsid w:val="00E50114"/>
    <w:rsid w:val="00E51560"/>
    <w:rsid w:val="00E53FC8"/>
    <w:rsid w:val="00E54347"/>
    <w:rsid w:val="00E55301"/>
    <w:rsid w:val="00E55424"/>
    <w:rsid w:val="00E55915"/>
    <w:rsid w:val="00E55BB5"/>
    <w:rsid w:val="00E55ED6"/>
    <w:rsid w:val="00E56151"/>
    <w:rsid w:val="00E62A87"/>
    <w:rsid w:val="00E64B4F"/>
    <w:rsid w:val="00E65BC8"/>
    <w:rsid w:val="00E65E79"/>
    <w:rsid w:val="00E6667D"/>
    <w:rsid w:val="00E66BA2"/>
    <w:rsid w:val="00E671C9"/>
    <w:rsid w:val="00E67416"/>
    <w:rsid w:val="00E6796E"/>
    <w:rsid w:val="00E7000B"/>
    <w:rsid w:val="00E70446"/>
    <w:rsid w:val="00E718B6"/>
    <w:rsid w:val="00E723BA"/>
    <w:rsid w:val="00E7334C"/>
    <w:rsid w:val="00E7350E"/>
    <w:rsid w:val="00E73581"/>
    <w:rsid w:val="00E762A2"/>
    <w:rsid w:val="00E766B2"/>
    <w:rsid w:val="00E81CC1"/>
    <w:rsid w:val="00E832A3"/>
    <w:rsid w:val="00E832D8"/>
    <w:rsid w:val="00E833F7"/>
    <w:rsid w:val="00E83BDF"/>
    <w:rsid w:val="00E872ED"/>
    <w:rsid w:val="00E87A1D"/>
    <w:rsid w:val="00E87FC0"/>
    <w:rsid w:val="00E9094A"/>
    <w:rsid w:val="00E90A35"/>
    <w:rsid w:val="00E91473"/>
    <w:rsid w:val="00E91D35"/>
    <w:rsid w:val="00E91FB4"/>
    <w:rsid w:val="00E926A5"/>
    <w:rsid w:val="00EA17C3"/>
    <w:rsid w:val="00EA2CAA"/>
    <w:rsid w:val="00EA3864"/>
    <w:rsid w:val="00EA4A0C"/>
    <w:rsid w:val="00EA4E48"/>
    <w:rsid w:val="00EA4E8F"/>
    <w:rsid w:val="00EA59A8"/>
    <w:rsid w:val="00EA6C7A"/>
    <w:rsid w:val="00EA7F1C"/>
    <w:rsid w:val="00EB13AF"/>
    <w:rsid w:val="00EB15B6"/>
    <w:rsid w:val="00EB3D06"/>
    <w:rsid w:val="00EB4916"/>
    <w:rsid w:val="00EC00C9"/>
    <w:rsid w:val="00EC0DD9"/>
    <w:rsid w:val="00EC2649"/>
    <w:rsid w:val="00EC31ED"/>
    <w:rsid w:val="00EC5836"/>
    <w:rsid w:val="00EC688C"/>
    <w:rsid w:val="00ED42AB"/>
    <w:rsid w:val="00ED4A85"/>
    <w:rsid w:val="00ED57EA"/>
    <w:rsid w:val="00ED5BD4"/>
    <w:rsid w:val="00EE07D3"/>
    <w:rsid w:val="00EE1996"/>
    <w:rsid w:val="00EE1C01"/>
    <w:rsid w:val="00EE22AF"/>
    <w:rsid w:val="00EE313A"/>
    <w:rsid w:val="00EF0171"/>
    <w:rsid w:val="00EF1B25"/>
    <w:rsid w:val="00EF1DA0"/>
    <w:rsid w:val="00EF4747"/>
    <w:rsid w:val="00EF4BF8"/>
    <w:rsid w:val="00EF5C8B"/>
    <w:rsid w:val="00EF704E"/>
    <w:rsid w:val="00F02253"/>
    <w:rsid w:val="00F02DED"/>
    <w:rsid w:val="00F02ED7"/>
    <w:rsid w:val="00F03C2E"/>
    <w:rsid w:val="00F04A66"/>
    <w:rsid w:val="00F04B4B"/>
    <w:rsid w:val="00F0516C"/>
    <w:rsid w:val="00F052C4"/>
    <w:rsid w:val="00F06293"/>
    <w:rsid w:val="00F067A2"/>
    <w:rsid w:val="00F06CDB"/>
    <w:rsid w:val="00F06F4C"/>
    <w:rsid w:val="00F07B9E"/>
    <w:rsid w:val="00F101BA"/>
    <w:rsid w:val="00F10C3A"/>
    <w:rsid w:val="00F1116F"/>
    <w:rsid w:val="00F1263A"/>
    <w:rsid w:val="00F12F0F"/>
    <w:rsid w:val="00F15B77"/>
    <w:rsid w:val="00F17EF1"/>
    <w:rsid w:val="00F200D4"/>
    <w:rsid w:val="00F24837"/>
    <w:rsid w:val="00F25371"/>
    <w:rsid w:val="00F2575F"/>
    <w:rsid w:val="00F26D52"/>
    <w:rsid w:val="00F2705C"/>
    <w:rsid w:val="00F27565"/>
    <w:rsid w:val="00F310D4"/>
    <w:rsid w:val="00F31D5A"/>
    <w:rsid w:val="00F33975"/>
    <w:rsid w:val="00F33DE9"/>
    <w:rsid w:val="00F35E6D"/>
    <w:rsid w:val="00F3619A"/>
    <w:rsid w:val="00F36E23"/>
    <w:rsid w:val="00F40AAA"/>
    <w:rsid w:val="00F40BA7"/>
    <w:rsid w:val="00F40F9D"/>
    <w:rsid w:val="00F41ACD"/>
    <w:rsid w:val="00F42E65"/>
    <w:rsid w:val="00F4338D"/>
    <w:rsid w:val="00F43D08"/>
    <w:rsid w:val="00F46CB6"/>
    <w:rsid w:val="00F4756D"/>
    <w:rsid w:val="00F47DE8"/>
    <w:rsid w:val="00F47DFC"/>
    <w:rsid w:val="00F50F1D"/>
    <w:rsid w:val="00F51F65"/>
    <w:rsid w:val="00F53914"/>
    <w:rsid w:val="00F53A11"/>
    <w:rsid w:val="00F542C1"/>
    <w:rsid w:val="00F55E73"/>
    <w:rsid w:val="00F55EDA"/>
    <w:rsid w:val="00F56C80"/>
    <w:rsid w:val="00F60092"/>
    <w:rsid w:val="00F60DF4"/>
    <w:rsid w:val="00F61C18"/>
    <w:rsid w:val="00F62F98"/>
    <w:rsid w:val="00F65F4B"/>
    <w:rsid w:val="00F67A69"/>
    <w:rsid w:val="00F70BFF"/>
    <w:rsid w:val="00F70C9D"/>
    <w:rsid w:val="00F7326E"/>
    <w:rsid w:val="00F74CD9"/>
    <w:rsid w:val="00F7670C"/>
    <w:rsid w:val="00F80A7B"/>
    <w:rsid w:val="00F80E5D"/>
    <w:rsid w:val="00F819A0"/>
    <w:rsid w:val="00F81E78"/>
    <w:rsid w:val="00F84600"/>
    <w:rsid w:val="00F851CE"/>
    <w:rsid w:val="00F91219"/>
    <w:rsid w:val="00F92444"/>
    <w:rsid w:val="00F9393E"/>
    <w:rsid w:val="00F96FD0"/>
    <w:rsid w:val="00F97A78"/>
    <w:rsid w:val="00FA0B20"/>
    <w:rsid w:val="00FA24E7"/>
    <w:rsid w:val="00FA5EE6"/>
    <w:rsid w:val="00FA7311"/>
    <w:rsid w:val="00FA7956"/>
    <w:rsid w:val="00FB2FCB"/>
    <w:rsid w:val="00FB6B94"/>
    <w:rsid w:val="00FB7C55"/>
    <w:rsid w:val="00FC074A"/>
    <w:rsid w:val="00FC1074"/>
    <w:rsid w:val="00FC1884"/>
    <w:rsid w:val="00FC371D"/>
    <w:rsid w:val="00FC4F0F"/>
    <w:rsid w:val="00FC5AAE"/>
    <w:rsid w:val="00FC5F0B"/>
    <w:rsid w:val="00FD1713"/>
    <w:rsid w:val="00FD208E"/>
    <w:rsid w:val="00FD2100"/>
    <w:rsid w:val="00FD436C"/>
    <w:rsid w:val="00FD446D"/>
    <w:rsid w:val="00FD4F2C"/>
    <w:rsid w:val="00FD6394"/>
    <w:rsid w:val="00FE0A58"/>
    <w:rsid w:val="00FE0E6C"/>
    <w:rsid w:val="00FE1CDC"/>
    <w:rsid w:val="00FE2964"/>
    <w:rsid w:val="00FE2D43"/>
    <w:rsid w:val="00FE3CD8"/>
    <w:rsid w:val="00FE3ECB"/>
    <w:rsid w:val="00FE4A30"/>
    <w:rsid w:val="00FE5885"/>
    <w:rsid w:val="00FE70C3"/>
    <w:rsid w:val="00FF2AD9"/>
    <w:rsid w:val="00FF30E3"/>
    <w:rsid w:val="00FF359F"/>
    <w:rsid w:val="00FF3DCF"/>
    <w:rsid w:val="00FF492C"/>
    <w:rsid w:val="00FF4A21"/>
    <w:rsid w:val="00FF5830"/>
    <w:rsid w:val="00FF5AA3"/>
    <w:rsid w:val="00FF5AD8"/>
    <w:rsid w:val="00FF752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0201"/>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34"/>
    <w:qFormat/>
    <w:rsid w:val="00AC1168"/>
    <w:pPr>
      <w:numPr>
        <w:numId w:val="7"/>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AC1168"/>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AC1168"/>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AC1168"/>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CC0D0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AC1168"/>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AC116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AC1168"/>
    <w:pPr>
      <w:keepNext/>
    </w:pPr>
    <w:rPr>
      <w:rFonts w:ascii="Arial Narrow" w:eastAsiaTheme="majorEastAsia" w:hAnsi="Arial Narrow"/>
      <w:b/>
      <w:szCs w:val="24"/>
      <w:lang w:val="en-US"/>
    </w:rPr>
  </w:style>
  <w:style w:type="paragraph" w:customStyle="1" w:styleId="2-SectionHeading">
    <w:name w:val="2-Section Heading"/>
    <w:qFormat/>
    <w:rsid w:val="00AC1168"/>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AC116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AC116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AC116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AC1168"/>
    <w:rPr>
      <w:rFonts w:ascii="Arial Narrow" w:eastAsiaTheme="majorEastAsia" w:hAnsi="Arial Narrow" w:cstheme="majorBidi"/>
      <w:b/>
      <w:bCs/>
      <w:szCs w:val="24"/>
    </w:rPr>
  </w:style>
  <w:style w:type="paragraph" w:customStyle="1" w:styleId="3-BodyText">
    <w:name w:val="3-Body Text"/>
    <w:link w:val="3-BodyTextChar"/>
    <w:qFormat/>
    <w:rsid w:val="00AC1168"/>
    <w:pPr>
      <w:numPr>
        <w:ilvl w:val="1"/>
        <w:numId w:val="8"/>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AC116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AC1168"/>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C1168"/>
    <w:rPr>
      <w:rFonts w:ascii="Calibri" w:hAnsi="Calibri" w:cs="Arial"/>
      <w:b/>
      <w:sz w:val="24"/>
      <w:szCs w:val="24"/>
    </w:rPr>
  </w:style>
  <w:style w:type="paragraph" w:customStyle="1" w:styleId="TableFigureFooter">
    <w:name w:val="Table/Figure Footer"/>
    <w:basedOn w:val="Normal"/>
    <w:link w:val="TableFigureFooterChar"/>
    <w:qFormat/>
    <w:rsid w:val="00AC1168"/>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AC116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AC1168"/>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AC1168"/>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AC1168"/>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AC1168"/>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AC1168"/>
    <w:rPr>
      <w:rFonts w:ascii="Arial Narrow" w:eastAsiaTheme="majorEastAsia" w:hAnsi="Arial Narrow" w:cstheme="majorBidi"/>
      <w:bCs/>
      <w:szCs w:val="24"/>
    </w:rPr>
  </w:style>
  <w:style w:type="paragraph" w:customStyle="1" w:styleId="Summboxtext">
    <w:name w:val="Summ box text"/>
    <w:basedOn w:val="Normal"/>
    <w:rsid w:val="009E57D9"/>
    <w:pPr>
      <w:spacing w:line="360" w:lineRule="auto"/>
    </w:pPr>
    <w:rPr>
      <w:rFonts w:eastAsiaTheme="minorHAnsi" w:cstheme="minorBidi"/>
      <w:sz w:val="20"/>
      <w:szCs w:val="20"/>
      <w:lang w:eastAsia="en-US"/>
    </w:rPr>
  </w:style>
  <w:style w:type="paragraph" w:customStyle="1" w:styleId="PBACtext">
    <w:name w:val="PBAC text"/>
    <w:basedOn w:val="Tabletext"/>
    <w:rsid w:val="007452CA"/>
    <w:pPr>
      <w:jc w:val="both"/>
    </w:pPr>
    <w:rPr>
      <w:rFonts w:eastAsiaTheme="minorHAnsi" w:cstheme="minorBidi"/>
      <w:snapToGrid/>
      <w:sz w:val="18"/>
      <w:szCs w:val="18"/>
      <w:lang w:eastAsia="en-US"/>
    </w:rPr>
  </w:style>
  <w:style w:type="paragraph" w:customStyle="1" w:styleId="PBACheading">
    <w:name w:val="PBAC heading"/>
    <w:basedOn w:val="Normal"/>
    <w:rsid w:val="00750EBA"/>
    <w:pPr>
      <w:jc w:val="center"/>
    </w:pPr>
    <w:rPr>
      <w:rFonts w:ascii="Arial Narrow" w:eastAsiaTheme="minorHAnsi" w:hAnsi="Arial Narrow" w:cstheme="minorBidi"/>
      <w:b/>
      <w:sz w:val="18"/>
      <w:szCs w:val="18"/>
      <w:lang w:eastAsia="en-US"/>
    </w:rPr>
  </w:style>
  <w:style w:type="paragraph" w:customStyle="1" w:styleId="PBACcentre">
    <w:name w:val="PBAC centre"/>
    <w:basedOn w:val="PBACtext"/>
    <w:rsid w:val="00750EBA"/>
    <w:pPr>
      <w:jc w:val="center"/>
    </w:pPr>
  </w:style>
  <w:style w:type="paragraph" w:customStyle="1" w:styleId="PBACbold">
    <w:name w:val="PBAC bold"/>
    <w:basedOn w:val="Normal"/>
    <w:rsid w:val="00750EBA"/>
    <w:pPr>
      <w:jc w:val="left"/>
    </w:pPr>
    <w:rPr>
      <w:rFonts w:ascii="Arial Narrow" w:eastAsiaTheme="minorHAnsi" w:hAnsi="Arial Narrow"/>
      <w:b/>
      <w:sz w:val="18"/>
      <w:szCs w:val="18"/>
      <w:lang w:eastAsia="en-US"/>
    </w:rPr>
  </w:style>
  <w:style w:type="paragraph" w:styleId="FootnoteText">
    <w:name w:val="footnote text"/>
    <w:basedOn w:val="Normal"/>
    <w:link w:val="FootnoteTextChar"/>
    <w:uiPriority w:val="99"/>
    <w:semiHidden/>
    <w:unhideWhenUsed/>
    <w:rsid w:val="00855318"/>
    <w:rPr>
      <w:sz w:val="20"/>
      <w:szCs w:val="20"/>
    </w:rPr>
  </w:style>
  <w:style w:type="character" w:customStyle="1" w:styleId="FootnoteTextChar">
    <w:name w:val="Footnote Text Char"/>
    <w:basedOn w:val="DefaultParagraphFont"/>
    <w:link w:val="FootnoteText"/>
    <w:uiPriority w:val="99"/>
    <w:semiHidden/>
    <w:rsid w:val="00855318"/>
    <w:rPr>
      <w:rFonts w:ascii="Calibri" w:hAnsi="Calibri" w:cs="Arial"/>
    </w:rPr>
  </w:style>
  <w:style w:type="character" w:styleId="FootnoteReference">
    <w:name w:val="footnote reference"/>
    <w:basedOn w:val="DefaultParagraphFont"/>
    <w:uiPriority w:val="99"/>
    <w:semiHidden/>
    <w:unhideWhenUsed/>
    <w:rsid w:val="00855318"/>
    <w:rPr>
      <w:vertAlign w:val="superscript"/>
    </w:rPr>
  </w:style>
  <w:style w:type="paragraph" w:customStyle="1" w:styleId="Default">
    <w:name w:val="Default"/>
    <w:rsid w:val="003D450B"/>
    <w:pPr>
      <w:autoSpaceDE w:val="0"/>
      <w:autoSpaceDN w:val="0"/>
      <w:adjustRightInd w:val="0"/>
    </w:pPr>
    <w:rPr>
      <w:rFonts w:ascii="Calibri" w:eastAsiaTheme="minorHAnsi" w:hAnsi="Calibri" w:cs="Calibri"/>
      <w:color w:val="000000"/>
      <w:sz w:val="24"/>
      <w:szCs w:val="24"/>
      <w:lang w:eastAsia="en-US"/>
    </w:rPr>
  </w:style>
  <w:style w:type="character" w:customStyle="1" w:styleId="UnresolvedMention1">
    <w:name w:val="Unresolved Mention1"/>
    <w:basedOn w:val="DefaultParagraphFont"/>
    <w:uiPriority w:val="99"/>
    <w:semiHidden/>
    <w:unhideWhenUsed/>
    <w:rsid w:val="00CD76D8"/>
    <w:rPr>
      <w:color w:val="605E5C"/>
      <w:shd w:val="clear" w:color="auto" w:fill="E1DFDD"/>
    </w:rPr>
  </w:style>
  <w:style w:type="paragraph" w:customStyle="1" w:styleId="TableFootnotetext">
    <w:name w:val="Table Footnote text"/>
    <w:basedOn w:val="Normal"/>
    <w:rsid w:val="00DB043F"/>
    <w:pPr>
      <w:jc w:val="left"/>
    </w:pPr>
    <w:rPr>
      <w:rFonts w:cs="Times New Roman"/>
      <w:sz w:val="16"/>
      <w:szCs w:val="20"/>
      <w:lang w:eastAsia="en-US"/>
    </w:rPr>
  </w:style>
  <w:style w:type="paragraph" w:customStyle="1" w:styleId="SyneviNormal">
    <w:name w:val="Synevi Normal"/>
    <w:basedOn w:val="Normal"/>
    <w:link w:val="SyneviNormalChar"/>
    <w:rsid w:val="00895350"/>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895350"/>
    <w:rPr>
      <w:rFonts w:asciiTheme="minorHAnsi" w:hAnsiTheme="minorHAnsi"/>
      <w:sz w:val="22"/>
      <w:lang w:val="en-US" w:eastAsia="en-US"/>
    </w:rPr>
  </w:style>
  <w:style w:type="paragraph" w:customStyle="1" w:styleId="Sources">
    <w:name w:val="Sources"/>
    <w:basedOn w:val="Normal"/>
    <w:rsid w:val="00895350"/>
    <w:rPr>
      <w:rFonts w:eastAsiaTheme="minorHAnsi" w:cstheme="minorBidi"/>
      <w:sz w:val="18"/>
      <w:szCs w:val="22"/>
      <w:lang w:eastAsia="en-US"/>
    </w:rPr>
  </w:style>
  <w:style w:type="paragraph" w:customStyle="1" w:styleId="TableTextcentred">
    <w:name w:val="Table Text centred"/>
    <w:basedOn w:val="Normal"/>
    <w:link w:val="TableTextcentredChar"/>
    <w:rsid w:val="00C61A7F"/>
    <w:pPr>
      <w:jc w:val="center"/>
    </w:pPr>
    <w:rPr>
      <w:rFonts w:cs="Times New Roman"/>
      <w:sz w:val="18"/>
      <w:szCs w:val="18"/>
      <w:lang w:eastAsia="en-US"/>
    </w:rPr>
  </w:style>
  <w:style w:type="character" w:customStyle="1" w:styleId="TableTextcentredChar">
    <w:name w:val="Table Text centred Char"/>
    <w:basedOn w:val="DefaultParagraphFont"/>
    <w:link w:val="TableTextcentred"/>
    <w:rsid w:val="00C61A7F"/>
    <w:rPr>
      <w:rFonts w:ascii="Calibri" w:hAnsi="Calibri"/>
      <w:sz w:val="18"/>
      <w:szCs w:val="18"/>
      <w:lang w:eastAsia="en-US"/>
    </w:rPr>
  </w:style>
  <w:style w:type="paragraph" w:customStyle="1" w:styleId="TableTextleftalign">
    <w:name w:val="Table Text left align"/>
    <w:basedOn w:val="Normal"/>
    <w:link w:val="TableTextleftalignChar"/>
    <w:rsid w:val="002303D6"/>
    <w:pPr>
      <w:jc w:val="left"/>
    </w:pPr>
    <w:rPr>
      <w:rFonts w:cs="Times New Roman"/>
      <w:sz w:val="18"/>
      <w:szCs w:val="18"/>
      <w:lang w:eastAsia="en-US"/>
    </w:rPr>
  </w:style>
  <w:style w:type="character" w:customStyle="1" w:styleId="TableTextleftalignChar">
    <w:name w:val="Table Text left align Char"/>
    <w:basedOn w:val="DefaultParagraphFont"/>
    <w:link w:val="TableTextleftalign"/>
    <w:rsid w:val="002303D6"/>
    <w:rPr>
      <w:rFonts w:ascii="Calibri" w:hAnsi="Calibri"/>
      <w:sz w:val="18"/>
      <w:szCs w:val="18"/>
      <w:lang w:eastAsia="en-US"/>
    </w:rPr>
  </w:style>
  <w:style w:type="paragraph" w:customStyle="1" w:styleId="TableTitlecentred">
    <w:name w:val="Table Title centred"/>
    <w:basedOn w:val="Normal"/>
    <w:rsid w:val="002303D6"/>
    <w:pPr>
      <w:jc w:val="center"/>
    </w:pPr>
    <w:rPr>
      <w:rFonts w:cs="Times New Roman"/>
      <w:b/>
      <w:sz w:val="18"/>
      <w:szCs w:val="20"/>
      <w:lang w:eastAsia="en-US"/>
    </w:rPr>
  </w:style>
  <w:style w:type="paragraph" w:customStyle="1" w:styleId="TableTextbullet">
    <w:name w:val="Table Text bullet"/>
    <w:basedOn w:val="Normal"/>
    <w:autoRedefine/>
    <w:rsid w:val="002303D6"/>
    <w:pPr>
      <w:numPr>
        <w:numId w:val="5"/>
      </w:numPr>
      <w:tabs>
        <w:tab w:val="clear" w:pos="425"/>
        <w:tab w:val="num" w:pos="318"/>
      </w:tabs>
      <w:ind w:left="284" w:hanging="284"/>
      <w:jc w:val="left"/>
    </w:pPr>
    <w:rPr>
      <w:rFonts w:cs="Times New Roman"/>
      <w:sz w:val="18"/>
      <w:szCs w:val="20"/>
      <w:lang w:val="en-US" w:eastAsia="en-US"/>
    </w:rPr>
  </w:style>
  <w:style w:type="table" w:customStyle="1" w:styleId="TableGridbeth1">
    <w:name w:val="Table Gridbeth1"/>
    <w:basedOn w:val="TableNormal"/>
    <w:next w:val="TableGrid"/>
    <w:uiPriority w:val="59"/>
    <w:rsid w:val="003E02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1078869292">
      <w:bodyDiv w:val="1"/>
      <w:marLeft w:val="0"/>
      <w:marRight w:val="0"/>
      <w:marTop w:val="0"/>
      <w:marBottom w:val="0"/>
      <w:divBdr>
        <w:top w:val="none" w:sz="0" w:space="0" w:color="auto"/>
        <w:left w:val="none" w:sz="0" w:space="0" w:color="auto"/>
        <w:bottom w:val="none" w:sz="0" w:space="0" w:color="auto"/>
        <w:right w:val="none" w:sz="0" w:space="0" w:color="auto"/>
      </w:divBdr>
    </w:div>
    <w:div w:id="108337719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1829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4A892-7AF0-4EF0-96B5-17C90549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8947</Words>
  <Characters>51002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2022-04-28T06:45:00Z</dcterms:created>
  <dcterms:modified xsi:type="dcterms:W3CDTF">2022-06-24T02:34:00Z</dcterms:modified>
</cp:coreProperties>
</file>