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B08B7C" w14:textId="2D3B89AB" w:rsidR="00F97782" w:rsidRPr="00F04A75" w:rsidRDefault="00C85B3F" w:rsidP="00394E34">
      <w:pPr>
        <w:ind w:left="1276" w:hanging="1276"/>
        <w:jc w:val="left"/>
        <w:rPr>
          <w:rFonts w:asciiTheme="minorHAnsi" w:eastAsiaTheme="majorEastAsia" w:hAnsiTheme="minorHAnsi" w:cstheme="majorBidi"/>
          <w:b/>
          <w:spacing w:val="5"/>
          <w:kern w:val="28"/>
          <w:sz w:val="36"/>
          <w:szCs w:val="36"/>
        </w:rPr>
      </w:pPr>
      <w:bookmarkStart w:id="0" w:name="_Toc90455913"/>
      <w:bookmarkStart w:id="1" w:name="_Toc380679747"/>
      <w:bookmarkStart w:id="2" w:name="_Toc380742604"/>
      <w:bookmarkStart w:id="3" w:name="_Toc380746171"/>
      <w:bookmarkStart w:id="4" w:name="_Toc380746294"/>
      <w:bookmarkStart w:id="5" w:name="_Toc380746578"/>
      <w:r w:rsidRPr="00F04A75">
        <w:rPr>
          <w:b/>
          <w:sz w:val="36"/>
          <w:szCs w:val="36"/>
        </w:rPr>
        <w:t>7.03</w:t>
      </w:r>
      <w:r w:rsidR="00F97782" w:rsidRPr="00F04A75">
        <w:rPr>
          <w:b/>
          <w:sz w:val="36"/>
          <w:szCs w:val="36"/>
        </w:rPr>
        <w:tab/>
        <w:t>CARFILZOMIB</w:t>
      </w:r>
      <w:r w:rsidR="00394E34" w:rsidRPr="00F04A75">
        <w:rPr>
          <w:b/>
          <w:sz w:val="36"/>
          <w:szCs w:val="36"/>
        </w:rPr>
        <w:t>,</w:t>
      </w:r>
      <w:r w:rsidR="00394E34" w:rsidRPr="00F04A75">
        <w:rPr>
          <w:b/>
          <w:sz w:val="36"/>
          <w:szCs w:val="36"/>
        </w:rPr>
        <w:br/>
      </w:r>
      <w:r w:rsidR="00394E34" w:rsidRPr="00F04A75">
        <w:rPr>
          <w:rFonts w:asciiTheme="minorHAnsi" w:eastAsiaTheme="majorEastAsia" w:hAnsiTheme="minorHAnsi" w:cstheme="majorBidi"/>
          <w:b/>
          <w:spacing w:val="5"/>
          <w:kern w:val="28"/>
          <w:sz w:val="36"/>
          <w:szCs w:val="36"/>
        </w:rPr>
        <w:t>Powder for injection 10 mg</w:t>
      </w:r>
      <w:r w:rsidR="00AE75A9" w:rsidRPr="00F04A75">
        <w:rPr>
          <w:rFonts w:asciiTheme="minorHAnsi" w:eastAsiaTheme="majorEastAsia" w:hAnsiTheme="minorHAnsi" w:cstheme="majorBidi"/>
          <w:b/>
          <w:spacing w:val="5"/>
          <w:kern w:val="28"/>
          <w:sz w:val="36"/>
          <w:szCs w:val="36"/>
        </w:rPr>
        <w:t>,</w:t>
      </w:r>
      <w:r w:rsidR="00A05E89" w:rsidRPr="00F04A75">
        <w:rPr>
          <w:rFonts w:asciiTheme="minorHAnsi" w:eastAsiaTheme="majorEastAsia" w:hAnsiTheme="minorHAnsi" w:cstheme="majorBidi"/>
          <w:b/>
          <w:spacing w:val="5"/>
          <w:kern w:val="28"/>
          <w:sz w:val="36"/>
          <w:szCs w:val="36"/>
        </w:rPr>
        <w:t xml:space="preserve"> </w:t>
      </w:r>
      <w:r w:rsidR="00394E34" w:rsidRPr="00F04A75">
        <w:rPr>
          <w:rFonts w:asciiTheme="minorHAnsi" w:eastAsiaTheme="majorEastAsia" w:hAnsiTheme="minorHAnsi" w:cstheme="majorBidi"/>
          <w:b/>
          <w:spacing w:val="5"/>
          <w:kern w:val="28"/>
          <w:sz w:val="36"/>
          <w:szCs w:val="36"/>
        </w:rPr>
        <w:t>Powder for injection 30 mg</w:t>
      </w:r>
      <w:r w:rsidR="00AE75A9" w:rsidRPr="00F04A75">
        <w:rPr>
          <w:rFonts w:asciiTheme="minorHAnsi" w:eastAsiaTheme="majorEastAsia" w:hAnsiTheme="minorHAnsi" w:cstheme="majorBidi"/>
          <w:b/>
          <w:spacing w:val="5"/>
          <w:kern w:val="28"/>
          <w:sz w:val="36"/>
          <w:szCs w:val="36"/>
        </w:rPr>
        <w:t>,</w:t>
      </w:r>
      <w:r w:rsidR="00A05E89" w:rsidRPr="00F04A75">
        <w:rPr>
          <w:rFonts w:asciiTheme="minorHAnsi" w:eastAsiaTheme="majorEastAsia" w:hAnsiTheme="minorHAnsi" w:cstheme="majorBidi"/>
          <w:b/>
          <w:spacing w:val="5"/>
          <w:kern w:val="28"/>
          <w:sz w:val="36"/>
          <w:szCs w:val="36"/>
        </w:rPr>
        <w:t xml:space="preserve"> </w:t>
      </w:r>
      <w:r w:rsidR="00394E34" w:rsidRPr="00F04A75">
        <w:rPr>
          <w:rFonts w:asciiTheme="minorHAnsi" w:eastAsiaTheme="majorEastAsia" w:hAnsiTheme="minorHAnsi" w:cstheme="majorBidi"/>
          <w:b/>
          <w:spacing w:val="5"/>
          <w:kern w:val="28"/>
          <w:sz w:val="36"/>
          <w:szCs w:val="36"/>
        </w:rPr>
        <w:t>Powder for injection 60 mg</w:t>
      </w:r>
      <w:r w:rsidR="00AE75A9" w:rsidRPr="00F04A75">
        <w:rPr>
          <w:rFonts w:asciiTheme="minorHAnsi" w:eastAsiaTheme="majorEastAsia" w:hAnsiTheme="minorHAnsi" w:cstheme="majorBidi"/>
          <w:b/>
          <w:spacing w:val="5"/>
          <w:kern w:val="28"/>
          <w:sz w:val="36"/>
          <w:szCs w:val="36"/>
        </w:rPr>
        <w:t>,</w:t>
      </w:r>
      <w:r w:rsidR="00394E34" w:rsidRPr="00F04A75">
        <w:rPr>
          <w:rFonts w:asciiTheme="minorHAnsi" w:eastAsiaTheme="majorEastAsia" w:hAnsiTheme="minorHAnsi" w:cstheme="majorBidi"/>
          <w:b/>
          <w:spacing w:val="5"/>
          <w:kern w:val="28"/>
          <w:sz w:val="36"/>
          <w:szCs w:val="36"/>
        </w:rPr>
        <w:br/>
      </w:r>
      <w:proofErr w:type="spellStart"/>
      <w:r w:rsidR="00F97782" w:rsidRPr="00F04A75">
        <w:rPr>
          <w:rFonts w:asciiTheme="minorHAnsi" w:eastAsiaTheme="majorEastAsia" w:hAnsiTheme="minorHAnsi" w:cstheme="majorBidi"/>
          <w:b/>
          <w:spacing w:val="5"/>
          <w:kern w:val="28"/>
          <w:sz w:val="36"/>
          <w:szCs w:val="36"/>
        </w:rPr>
        <w:t>K</w:t>
      </w:r>
      <w:r w:rsidR="00C63A5F" w:rsidRPr="00F04A75">
        <w:rPr>
          <w:rFonts w:asciiTheme="minorHAnsi" w:eastAsiaTheme="majorEastAsia" w:hAnsiTheme="minorHAnsi" w:cstheme="majorBidi"/>
          <w:b/>
          <w:spacing w:val="5"/>
          <w:kern w:val="28"/>
          <w:sz w:val="36"/>
          <w:szCs w:val="36"/>
        </w:rPr>
        <w:t>yprolis</w:t>
      </w:r>
      <w:proofErr w:type="spellEnd"/>
      <w:r w:rsidR="00F97782" w:rsidRPr="00F04A75">
        <w:rPr>
          <w:rFonts w:asciiTheme="minorHAnsi" w:eastAsiaTheme="majorEastAsia" w:hAnsiTheme="minorHAnsi" w:cstheme="majorBidi"/>
          <w:b/>
          <w:spacing w:val="5"/>
          <w:kern w:val="28"/>
          <w:sz w:val="36"/>
          <w:szCs w:val="36"/>
        </w:rPr>
        <w:t>®,</w:t>
      </w:r>
      <w:bookmarkEnd w:id="0"/>
      <w:r w:rsidR="00F97782" w:rsidRPr="00F04A75">
        <w:rPr>
          <w:rFonts w:asciiTheme="minorHAnsi" w:eastAsiaTheme="majorEastAsia" w:hAnsiTheme="minorHAnsi" w:cstheme="majorBidi"/>
          <w:b/>
          <w:spacing w:val="5"/>
          <w:kern w:val="28"/>
          <w:sz w:val="36"/>
          <w:szCs w:val="36"/>
        </w:rPr>
        <w:t xml:space="preserve"> </w:t>
      </w:r>
      <w:bookmarkStart w:id="6" w:name="_Toc90455914"/>
      <w:r w:rsidR="00394E34" w:rsidRPr="00F04A75">
        <w:rPr>
          <w:rFonts w:asciiTheme="minorHAnsi" w:eastAsiaTheme="majorEastAsia" w:hAnsiTheme="minorHAnsi" w:cstheme="majorBidi"/>
          <w:b/>
          <w:spacing w:val="5"/>
          <w:kern w:val="28"/>
          <w:sz w:val="36"/>
          <w:szCs w:val="36"/>
        </w:rPr>
        <w:br/>
        <w:t>Amgen Australia Pty Limited</w:t>
      </w:r>
      <w:r w:rsidR="00F97782" w:rsidRPr="00F04A75">
        <w:rPr>
          <w:rFonts w:asciiTheme="minorHAnsi" w:eastAsiaTheme="majorEastAsia" w:hAnsiTheme="minorHAnsi" w:cstheme="majorBidi"/>
          <w:b/>
          <w:spacing w:val="5"/>
          <w:kern w:val="28"/>
          <w:sz w:val="36"/>
          <w:szCs w:val="36"/>
        </w:rPr>
        <w:t>.</w:t>
      </w:r>
      <w:bookmarkEnd w:id="6"/>
    </w:p>
    <w:p w14:paraId="5FE3C832" w14:textId="3887644A" w:rsidR="00ED0B92" w:rsidRPr="00F04A75" w:rsidRDefault="00ED0B92" w:rsidP="00394E34"/>
    <w:p w14:paraId="64EBEF69" w14:textId="77777777" w:rsidR="00F97782" w:rsidRPr="00F04A75" w:rsidRDefault="00F97782" w:rsidP="000E4A22">
      <w:pPr>
        <w:pStyle w:val="2-SectionHeading"/>
      </w:pPr>
      <w:bookmarkStart w:id="7" w:name="_Toc90455916"/>
      <w:bookmarkStart w:id="8" w:name="_Toc93412420"/>
      <w:r w:rsidRPr="00F04A75">
        <w:t>Purpose of submission</w:t>
      </w:r>
      <w:bookmarkEnd w:id="7"/>
      <w:bookmarkEnd w:id="8"/>
    </w:p>
    <w:p w14:paraId="4A4C6A42" w14:textId="75A89FB8" w:rsidR="00F97782" w:rsidRPr="00F04A75" w:rsidRDefault="00F97782" w:rsidP="0016658B">
      <w:pPr>
        <w:pStyle w:val="3-BodyText"/>
      </w:pPr>
      <w:r w:rsidRPr="00F04A75">
        <w:t xml:space="preserve">The </w:t>
      </w:r>
      <w:r w:rsidR="00DB420E" w:rsidRPr="00F04A75">
        <w:t>Standard Re-Entry re</w:t>
      </w:r>
      <w:r w:rsidRPr="00F04A75">
        <w:t>submission requested a Section 100 (Efficient Funding of Chemotherapy), Authority Required (Streamlined) listing for carfilzomib in combination with lenalidomide and dexamethasone (</w:t>
      </w:r>
      <w:proofErr w:type="spellStart"/>
      <w:r w:rsidRPr="00F04A75">
        <w:t>CLd</w:t>
      </w:r>
      <w:proofErr w:type="spellEnd"/>
      <w:r w:rsidRPr="00F04A75">
        <w:t>) for the treatment of relapsed or refractory multiple myeloma (RRMM)</w:t>
      </w:r>
      <w:r w:rsidR="002F65A3" w:rsidRPr="00F04A75">
        <w:t>.</w:t>
      </w:r>
    </w:p>
    <w:p w14:paraId="70953B04" w14:textId="57D42DE7" w:rsidR="00F97782" w:rsidRPr="00F04A75" w:rsidRDefault="00F97782" w:rsidP="0016658B">
      <w:pPr>
        <w:pStyle w:val="3-BodyText"/>
      </w:pPr>
      <w:r w:rsidRPr="00F04A75">
        <w:t xml:space="preserve">Listing was requested </w:t>
      </w:r>
      <w:proofErr w:type="gramStart"/>
      <w:r w:rsidRPr="00F04A75">
        <w:t>on the basis of</w:t>
      </w:r>
      <w:proofErr w:type="gramEnd"/>
      <w:r w:rsidRPr="00F04A75">
        <w:t xml:space="preserve"> a cost-minimisation </w:t>
      </w:r>
      <w:r w:rsidR="008975CE" w:rsidRPr="00F04A75">
        <w:t>approach</w:t>
      </w:r>
      <w:r w:rsidRPr="00F04A75">
        <w:t xml:space="preserve"> (CMA) versus carfilzomib in combination with dexamethasone (Cd). The key components of the clinical issues addressed by the submission are provided in</w:t>
      </w:r>
      <w:r w:rsidR="00C63BE2" w:rsidRPr="00F04A75">
        <w:rPr>
          <w:rFonts w:cstheme="minorHAnsi"/>
          <w:b/>
          <w:bCs/>
        </w:rPr>
        <w:t xml:space="preserve"> </w:t>
      </w:r>
      <w:r w:rsidR="00C63BE2" w:rsidRPr="00F04A75">
        <w:rPr>
          <w:rFonts w:cstheme="minorHAnsi"/>
        </w:rPr>
        <w:t>Table 1</w:t>
      </w:r>
      <w:r w:rsidRPr="00F04A75">
        <w:rPr>
          <w:rFonts w:cstheme="minorHAnsi"/>
        </w:rPr>
        <w:t xml:space="preserve">. </w:t>
      </w:r>
    </w:p>
    <w:p w14:paraId="28060EE0" w14:textId="1D17E09B" w:rsidR="00F97782" w:rsidRPr="00F04A75" w:rsidRDefault="00F97782" w:rsidP="002D3077">
      <w:pPr>
        <w:pStyle w:val="Caption"/>
        <w:keepNext/>
        <w:spacing w:after="0"/>
        <w:jc w:val="left"/>
        <w:rPr>
          <w:rStyle w:val="CommentReference"/>
          <w:b/>
          <w:szCs w:val="20"/>
        </w:rPr>
      </w:pPr>
      <w:r w:rsidRPr="00F04A75">
        <w:rPr>
          <w:rFonts w:ascii="Arial Narrow" w:hAnsi="Arial Narrow"/>
          <w:color w:val="auto"/>
          <w:sz w:val="20"/>
          <w:szCs w:val="20"/>
        </w:rPr>
        <w:t xml:space="preserve">Table </w:t>
      </w:r>
      <w:r w:rsidRPr="00F04A75">
        <w:rPr>
          <w:rFonts w:ascii="Arial Narrow" w:hAnsi="Arial Narrow"/>
          <w:color w:val="auto"/>
          <w:sz w:val="20"/>
          <w:szCs w:val="20"/>
        </w:rPr>
        <w:fldChar w:fldCharType="begin"/>
      </w:r>
      <w:r w:rsidRPr="00F04A75">
        <w:rPr>
          <w:rFonts w:ascii="Arial Narrow" w:hAnsi="Arial Narrow"/>
          <w:color w:val="auto"/>
          <w:sz w:val="20"/>
          <w:szCs w:val="20"/>
        </w:rPr>
        <w:instrText xml:space="preserve"> SEQ Table \* ARABIC </w:instrText>
      </w:r>
      <w:r w:rsidRPr="00F04A75">
        <w:rPr>
          <w:rFonts w:ascii="Arial Narrow" w:hAnsi="Arial Narrow"/>
          <w:color w:val="auto"/>
          <w:sz w:val="20"/>
          <w:szCs w:val="20"/>
        </w:rPr>
        <w:fldChar w:fldCharType="separate"/>
      </w:r>
      <w:r w:rsidR="00443BC9">
        <w:rPr>
          <w:rFonts w:ascii="Arial Narrow" w:hAnsi="Arial Narrow"/>
          <w:noProof/>
          <w:color w:val="auto"/>
          <w:sz w:val="20"/>
          <w:szCs w:val="20"/>
        </w:rPr>
        <w:t>1</w:t>
      </w:r>
      <w:r w:rsidRPr="00F04A75">
        <w:rPr>
          <w:rFonts w:ascii="Arial Narrow" w:hAnsi="Arial Narrow"/>
          <w:color w:val="auto"/>
          <w:sz w:val="20"/>
          <w:szCs w:val="20"/>
        </w:rPr>
        <w:fldChar w:fldCharType="end"/>
      </w:r>
      <w:r w:rsidRPr="00F04A75">
        <w:rPr>
          <w:rFonts w:ascii="Arial Narrow" w:hAnsi="Arial Narrow"/>
          <w:b w:val="0"/>
          <w:color w:val="auto"/>
          <w:sz w:val="20"/>
          <w:szCs w:val="20"/>
        </w:rPr>
        <w:t xml:space="preserve">: </w:t>
      </w:r>
      <w:r w:rsidRPr="00F04A75">
        <w:rPr>
          <w:rStyle w:val="CommentReference"/>
          <w:b/>
          <w:bCs w:val="0"/>
          <w:color w:val="auto"/>
          <w:szCs w:val="20"/>
        </w:rPr>
        <w:t>Key components of the clinical issue addressed by the submission (as stated in the resubmission)</w:t>
      </w:r>
    </w:p>
    <w:tbl>
      <w:tblPr>
        <w:tblStyle w:val="TableGridLigh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7745"/>
      </w:tblGrid>
      <w:tr w:rsidR="00F97782" w:rsidRPr="00F04A75" w14:paraId="45D17B7E" w14:textId="77777777" w:rsidTr="002D3077">
        <w:trPr>
          <w:cnfStyle w:val="100000000000" w:firstRow="1" w:lastRow="0" w:firstColumn="0" w:lastColumn="0" w:oddVBand="0" w:evenVBand="0" w:oddHBand="0" w:evenHBand="0" w:firstRowFirstColumn="0" w:firstRowLastColumn="0" w:lastRowFirstColumn="0" w:lastRowLastColumn="0"/>
          <w:tblHeader/>
        </w:trPr>
        <w:tc>
          <w:tcPr>
            <w:tcW w:w="1271" w:type="dxa"/>
            <w:shd w:val="clear" w:color="auto" w:fill="auto"/>
          </w:tcPr>
          <w:p w14:paraId="0B757C1F" w14:textId="77777777" w:rsidR="00F97782" w:rsidRPr="00F04A75" w:rsidRDefault="00F97782" w:rsidP="002D3077">
            <w:pPr>
              <w:keepNext/>
              <w:rPr>
                <w:rFonts w:ascii="Arial Narrow" w:hAnsi="Arial Narrow"/>
                <w:b/>
                <w:sz w:val="20"/>
                <w:szCs w:val="20"/>
                <w:lang w:val="en-AU"/>
              </w:rPr>
            </w:pPr>
            <w:r w:rsidRPr="00F04A75">
              <w:rPr>
                <w:rFonts w:ascii="Arial Narrow" w:hAnsi="Arial Narrow"/>
                <w:b/>
                <w:sz w:val="20"/>
                <w:szCs w:val="20"/>
                <w:lang w:val="en-AU"/>
              </w:rPr>
              <w:t xml:space="preserve">Component </w:t>
            </w:r>
          </w:p>
        </w:tc>
        <w:tc>
          <w:tcPr>
            <w:tcW w:w="7745" w:type="dxa"/>
            <w:shd w:val="clear" w:color="auto" w:fill="auto"/>
          </w:tcPr>
          <w:p w14:paraId="35277573" w14:textId="77777777" w:rsidR="00F97782" w:rsidRPr="00F04A75" w:rsidRDefault="00F97782" w:rsidP="002D3077">
            <w:pPr>
              <w:keepNext/>
              <w:rPr>
                <w:rFonts w:ascii="Arial Narrow" w:hAnsi="Arial Narrow"/>
                <w:b/>
                <w:sz w:val="20"/>
                <w:szCs w:val="20"/>
                <w:lang w:val="en-AU"/>
              </w:rPr>
            </w:pPr>
            <w:r w:rsidRPr="00F04A75">
              <w:rPr>
                <w:rFonts w:ascii="Arial Narrow" w:hAnsi="Arial Narrow"/>
                <w:b/>
                <w:sz w:val="20"/>
                <w:szCs w:val="20"/>
                <w:lang w:val="en-AU"/>
              </w:rPr>
              <w:t>Description</w:t>
            </w:r>
          </w:p>
        </w:tc>
      </w:tr>
      <w:tr w:rsidR="00F97782" w:rsidRPr="00F04A75" w14:paraId="53413349" w14:textId="77777777" w:rsidTr="00C45DBB">
        <w:tc>
          <w:tcPr>
            <w:tcW w:w="1271" w:type="dxa"/>
            <w:shd w:val="clear" w:color="auto" w:fill="B8CCE4" w:themeFill="accent1" w:themeFillTint="66"/>
          </w:tcPr>
          <w:p w14:paraId="107B6BE4" w14:textId="77777777" w:rsidR="00F97782" w:rsidRPr="00F04A75" w:rsidRDefault="00F97782" w:rsidP="002D3077">
            <w:pPr>
              <w:keepNext/>
              <w:rPr>
                <w:rFonts w:ascii="Arial Narrow" w:hAnsi="Arial Narrow"/>
                <w:sz w:val="20"/>
                <w:szCs w:val="20"/>
                <w:lang w:val="en-AU"/>
              </w:rPr>
            </w:pPr>
            <w:r w:rsidRPr="00F04A75">
              <w:rPr>
                <w:rFonts w:ascii="Arial Narrow" w:hAnsi="Arial Narrow"/>
                <w:sz w:val="20"/>
                <w:szCs w:val="20"/>
                <w:lang w:val="en-AU"/>
              </w:rPr>
              <w:t>Population</w:t>
            </w:r>
          </w:p>
        </w:tc>
        <w:tc>
          <w:tcPr>
            <w:tcW w:w="7745" w:type="dxa"/>
            <w:shd w:val="clear" w:color="auto" w:fill="B8CCE4" w:themeFill="accent1" w:themeFillTint="66"/>
          </w:tcPr>
          <w:p w14:paraId="69E6B882" w14:textId="77777777" w:rsidR="00F97782" w:rsidRPr="00F04A75" w:rsidRDefault="00F97782" w:rsidP="002D3077">
            <w:pPr>
              <w:keepNext/>
              <w:rPr>
                <w:rFonts w:ascii="Arial Narrow" w:hAnsi="Arial Narrow"/>
                <w:sz w:val="20"/>
                <w:szCs w:val="20"/>
                <w:lang w:val="en-AU"/>
              </w:rPr>
            </w:pPr>
            <w:r w:rsidRPr="00F04A75">
              <w:rPr>
                <w:rFonts w:ascii="Arial Narrow" w:hAnsi="Arial Narrow"/>
                <w:sz w:val="20"/>
                <w:szCs w:val="20"/>
                <w:lang w:val="en-AU"/>
              </w:rPr>
              <w:t>Treatment of RRMM after at least one prior therapy.</w:t>
            </w:r>
          </w:p>
        </w:tc>
      </w:tr>
      <w:tr w:rsidR="00F97782" w:rsidRPr="00F04A75" w14:paraId="6815F555" w14:textId="77777777" w:rsidTr="00C45DBB">
        <w:tc>
          <w:tcPr>
            <w:tcW w:w="1271" w:type="dxa"/>
            <w:shd w:val="clear" w:color="auto" w:fill="B8CCE4" w:themeFill="accent1" w:themeFillTint="66"/>
          </w:tcPr>
          <w:p w14:paraId="07594C1E" w14:textId="77777777" w:rsidR="00F97782" w:rsidRPr="00F04A75" w:rsidRDefault="00F97782" w:rsidP="002D3077">
            <w:pPr>
              <w:keepNext/>
              <w:rPr>
                <w:rFonts w:ascii="Arial Narrow" w:hAnsi="Arial Narrow"/>
                <w:sz w:val="20"/>
                <w:szCs w:val="20"/>
                <w:lang w:val="en-AU"/>
              </w:rPr>
            </w:pPr>
            <w:r w:rsidRPr="00F04A75">
              <w:rPr>
                <w:rFonts w:ascii="Arial Narrow" w:hAnsi="Arial Narrow"/>
                <w:sz w:val="20"/>
                <w:szCs w:val="20"/>
                <w:lang w:val="en-AU"/>
              </w:rPr>
              <w:t xml:space="preserve">Intervention </w:t>
            </w:r>
          </w:p>
        </w:tc>
        <w:tc>
          <w:tcPr>
            <w:tcW w:w="7745" w:type="dxa"/>
            <w:shd w:val="clear" w:color="auto" w:fill="B8CCE4" w:themeFill="accent1" w:themeFillTint="66"/>
          </w:tcPr>
          <w:p w14:paraId="07C9D126" w14:textId="3F12D8E3" w:rsidR="00F97782" w:rsidRPr="00F04A75" w:rsidRDefault="00F97782" w:rsidP="002D3077">
            <w:pPr>
              <w:keepNext/>
              <w:rPr>
                <w:rFonts w:ascii="Arial Narrow" w:hAnsi="Arial Narrow"/>
                <w:b/>
                <w:sz w:val="20"/>
                <w:szCs w:val="20"/>
                <w:lang w:val="en-AU"/>
              </w:rPr>
            </w:pPr>
            <w:r w:rsidRPr="00F04A75">
              <w:rPr>
                <w:rFonts w:ascii="Arial Narrow" w:hAnsi="Arial Narrow"/>
                <w:b/>
                <w:sz w:val="20"/>
                <w:szCs w:val="20"/>
                <w:lang w:val="en-AU"/>
              </w:rPr>
              <w:t>Carfilzomib in combination with lenalidomide and dexamethasone (</w:t>
            </w:r>
            <w:proofErr w:type="spellStart"/>
            <w:r w:rsidRPr="00F04A75">
              <w:rPr>
                <w:rFonts w:ascii="Arial Narrow" w:hAnsi="Arial Narrow"/>
                <w:b/>
                <w:sz w:val="20"/>
                <w:szCs w:val="20"/>
                <w:lang w:val="en-AU"/>
              </w:rPr>
              <w:t>CLd</w:t>
            </w:r>
            <w:proofErr w:type="spellEnd"/>
            <w:r w:rsidRPr="00F04A75">
              <w:rPr>
                <w:rFonts w:ascii="Arial Narrow" w:hAnsi="Arial Narrow"/>
                <w:b/>
                <w:sz w:val="20"/>
                <w:szCs w:val="20"/>
                <w:lang w:val="en-AU"/>
              </w:rPr>
              <w:t xml:space="preserve">) </w:t>
            </w:r>
          </w:p>
          <w:p w14:paraId="51175D0C" w14:textId="5755E770" w:rsidR="00C26732" w:rsidRPr="00F04A75" w:rsidRDefault="00C26732" w:rsidP="002D3077">
            <w:pPr>
              <w:keepNext/>
              <w:rPr>
                <w:rFonts w:ascii="Arial Narrow" w:hAnsi="Arial Narrow"/>
                <w:bCs/>
                <w:sz w:val="20"/>
                <w:szCs w:val="20"/>
                <w:u w:val="single"/>
                <w:lang w:val="en-AU"/>
              </w:rPr>
            </w:pPr>
            <w:r w:rsidRPr="00F04A75">
              <w:rPr>
                <w:rFonts w:ascii="Arial Narrow" w:hAnsi="Arial Narrow"/>
                <w:bCs/>
                <w:sz w:val="20"/>
                <w:szCs w:val="20"/>
                <w:u w:val="single"/>
                <w:lang w:val="en-AU"/>
              </w:rPr>
              <w:t>28-day cycles:</w:t>
            </w:r>
          </w:p>
          <w:p w14:paraId="646965C3" w14:textId="4AF90AD7" w:rsidR="00F97782" w:rsidRPr="00F04A75" w:rsidRDefault="00F97782" w:rsidP="002D3077">
            <w:pPr>
              <w:keepNext/>
              <w:rPr>
                <w:rFonts w:ascii="Arial Narrow" w:hAnsi="Arial Narrow"/>
                <w:sz w:val="20"/>
                <w:szCs w:val="20"/>
                <w:lang w:val="en-AU"/>
              </w:rPr>
            </w:pPr>
            <w:r w:rsidRPr="00F04A75">
              <w:rPr>
                <w:rFonts w:ascii="Arial Narrow" w:hAnsi="Arial Narrow"/>
                <w:i/>
                <w:sz w:val="20"/>
                <w:szCs w:val="20"/>
                <w:lang w:val="en-AU"/>
              </w:rPr>
              <w:t xml:space="preserve">Carfilzomib: </w:t>
            </w:r>
            <w:r w:rsidRPr="00F04A75">
              <w:rPr>
                <w:rFonts w:ascii="Arial Narrow" w:hAnsi="Arial Narrow"/>
                <w:sz w:val="20"/>
                <w:szCs w:val="20"/>
                <w:lang w:val="en-AU"/>
              </w:rPr>
              <w:t>Cycle 1:</w:t>
            </w:r>
            <w:r w:rsidRPr="00F04A75">
              <w:rPr>
                <w:rFonts w:ascii="Arial Narrow" w:hAnsi="Arial Narrow"/>
                <w:i/>
                <w:sz w:val="20"/>
                <w:szCs w:val="20"/>
                <w:lang w:val="en-AU"/>
              </w:rPr>
              <w:t xml:space="preserve"> </w:t>
            </w:r>
            <w:r w:rsidRPr="00F04A75">
              <w:rPr>
                <w:rFonts w:ascii="Arial Narrow" w:hAnsi="Arial Narrow"/>
                <w:sz w:val="20"/>
                <w:szCs w:val="20"/>
                <w:lang w:val="en-AU"/>
              </w:rPr>
              <w:t>20 mg/m</w:t>
            </w:r>
            <w:r w:rsidRPr="00F04A75">
              <w:rPr>
                <w:rFonts w:ascii="Arial Narrow" w:hAnsi="Arial Narrow"/>
                <w:sz w:val="20"/>
                <w:szCs w:val="20"/>
                <w:vertAlign w:val="superscript"/>
                <w:lang w:val="en-AU"/>
              </w:rPr>
              <w:t>2</w:t>
            </w:r>
            <w:r w:rsidRPr="00F04A75">
              <w:rPr>
                <w:rFonts w:ascii="Arial Narrow" w:hAnsi="Arial Narrow"/>
                <w:sz w:val="20"/>
                <w:szCs w:val="20"/>
                <w:lang w:val="en-AU"/>
              </w:rPr>
              <w:t xml:space="preserve"> IV on </w:t>
            </w:r>
            <w:r w:rsidR="00C866A8" w:rsidRPr="00F04A75">
              <w:rPr>
                <w:rFonts w:ascii="Arial Narrow" w:hAnsi="Arial Narrow"/>
                <w:sz w:val="20"/>
                <w:szCs w:val="20"/>
                <w:lang w:val="en-AU"/>
              </w:rPr>
              <w:t>D</w:t>
            </w:r>
            <w:r w:rsidRPr="00F04A75">
              <w:rPr>
                <w:rFonts w:ascii="Arial Narrow" w:hAnsi="Arial Narrow"/>
                <w:sz w:val="20"/>
                <w:szCs w:val="20"/>
                <w:lang w:val="en-AU"/>
              </w:rPr>
              <w:t>ays 1 and 2, 27 mg/m</w:t>
            </w:r>
            <w:r w:rsidRPr="00F04A75">
              <w:rPr>
                <w:rFonts w:ascii="Arial Narrow" w:hAnsi="Arial Narrow"/>
                <w:sz w:val="20"/>
                <w:szCs w:val="20"/>
                <w:vertAlign w:val="superscript"/>
                <w:lang w:val="en-AU"/>
              </w:rPr>
              <w:t>2</w:t>
            </w:r>
            <w:r w:rsidRPr="00F04A75">
              <w:rPr>
                <w:rFonts w:ascii="Arial Narrow" w:hAnsi="Arial Narrow"/>
                <w:sz w:val="20"/>
                <w:szCs w:val="20"/>
                <w:lang w:val="en-AU"/>
              </w:rPr>
              <w:t xml:space="preserve"> on </w:t>
            </w:r>
            <w:r w:rsidR="00C866A8" w:rsidRPr="00F04A75">
              <w:rPr>
                <w:rFonts w:ascii="Arial Narrow" w:hAnsi="Arial Narrow"/>
                <w:sz w:val="20"/>
                <w:szCs w:val="20"/>
                <w:lang w:val="en-AU"/>
              </w:rPr>
              <w:t>D</w:t>
            </w:r>
            <w:r w:rsidRPr="00F04A75">
              <w:rPr>
                <w:rFonts w:ascii="Arial Narrow" w:hAnsi="Arial Narrow"/>
                <w:sz w:val="20"/>
                <w:szCs w:val="20"/>
                <w:lang w:val="en-AU"/>
              </w:rPr>
              <w:t>ay 8 of 28</w:t>
            </w:r>
            <w:r w:rsidR="00C866A8" w:rsidRPr="00F04A75">
              <w:rPr>
                <w:rFonts w:ascii="Arial Narrow" w:hAnsi="Arial Narrow"/>
                <w:sz w:val="20"/>
                <w:szCs w:val="20"/>
                <w:lang w:val="en-AU"/>
              </w:rPr>
              <w:t>-</w:t>
            </w:r>
            <w:r w:rsidRPr="00F04A75">
              <w:rPr>
                <w:rFonts w:ascii="Arial Narrow" w:hAnsi="Arial Narrow"/>
                <w:sz w:val="20"/>
                <w:szCs w:val="20"/>
                <w:lang w:val="en-AU"/>
              </w:rPr>
              <w:t>day cycles.</w:t>
            </w:r>
          </w:p>
          <w:p w14:paraId="3A71C434" w14:textId="4871F71B" w:rsidR="00F97782" w:rsidRPr="00F04A75" w:rsidRDefault="00C26732" w:rsidP="002D3077">
            <w:pPr>
              <w:keepNext/>
              <w:rPr>
                <w:rFonts w:ascii="Arial Narrow" w:hAnsi="Arial Narrow"/>
                <w:sz w:val="20"/>
                <w:szCs w:val="20"/>
                <w:lang w:val="en-AU"/>
              </w:rPr>
            </w:pPr>
            <w:r w:rsidRPr="00F04A75">
              <w:rPr>
                <w:rFonts w:ascii="Arial Narrow" w:hAnsi="Arial Narrow"/>
                <w:sz w:val="20"/>
                <w:szCs w:val="20"/>
                <w:lang w:val="en-AU"/>
              </w:rPr>
              <w:t xml:space="preserve">                    </w:t>
            </w:r>
            <w:r w:rsidR="00F97782" w:rsidRPr="00F04A75">
              <w:rPr>
                <w:rFonts w:ascii="Arial Narrow" w:hAnsi="Arial Narrow"/>
                <w:sz w:val="20"/>
                <w:szCs w:val="20"/>
                <w:lang w:val="en-AU"/>
              </w:rPr>
              <w:t>Cycle 2</w:t>
            </w:r>
            <w:r w:rsidRPr="00F04A75">
              <w:rPr>
                <w:rFonts w:ascii="Arial Narrow" w:hAnsi="Arial Narrow"/>
                <w:sz w:val="20"/>
                <w:szCs w:val="20"/>
                <w:lang w:val="en-AU"/>
              </w:rPr>
              <w:t>-</w:t>
            </w:r>
            <w:r w:rsidR="00F97782" w:rsidRPr="00F04A75">
              <w:rPr>
                <w:rFonts w:ascii="Arial Narrow" w:hAnsi="Arial Narrow"/>
                <w:sz w:val="20"/>
                <w:szCs w:val="20"/>
                <w:lang w:val="en-AU"/>
              </w:rPr>
              <w:t>12:  27 mg/m</w:t>
            </w:r>
            <w:r w:rsidR="00F97782" w:rsidRPr="00F04A75">
              <w:rPr>
                <w:rFonts w:ascii="Arial Narrow" w:hAnsi="Arial Narrow"/>
                <w:sz w:val="20"/>
                <w:szCs w:val="20"/>
                <w:vertAlign w:val="superscript"/>
                <w:lang w:val="en-AU"/>
              </w:rPr>
              <w:t>2</w:t>
            </w:r>
            <w:r w:rsidR="00F97782" w:rsidRPr="00F04A75">
              <w:rPr>
                <w:rFonts w:ascii="Arial Narrow" w:hAnsi="Arial Narrow"/>
                <w:sz w:val="20"/>
                <w:szCs w:val="20"/>
                <w:lang w:val="en-AU"/>
              </w:rPr>
              <w:t xml:space="preserve"> IV on </w:t>
            </w:r>
            <w:r w:rsidR="00C866A8" w:rsidRPr="00F04A75">
              <w:rPr>
                <w:rFonts w:ascii="Arial Narrow" w:hAnsi="Arial Narrow"/>
                <w:sz w:val="20"/>
                <w:szCs w:val="20"/>
                <w:lang w:val="en-AU"/>
              </w:rPr>
              <w:t>D</w:t>
            </w:r>
            <w:r w:rsidR="00F97782" w:rsidRPr="00F04A75">
              <w:rPr>
                <w:rFonts w:ascii="Arial Narrow" w:hAnsi="Arial Narrow"/>
                <w:sz w:val="20"/>
                <w:szCs w:val="20"/>
                <w:lang w:val="en-AU"/>
              </w:rPr>
              <w:t xml:space="preserve">ays 1, 2, 8, 9, 15 and 16.  </w:t>
            </w:r>
          </w:p>
          <w:p w14:paraId="3980DAFA" w14:textId="3D5AB5DC" w:rsidR="00F97782" w:rsidRPr="00F04A75" w:rsidRDefault="00C26732" w:rsidP="002D3077">
            <w:pPr>
              <w:keepNext/>
              <w:rPr>
                <w:rFonts w:ascii="Arial Narrow" w:hAnsi="Arial Narrow"/>
                <w:sz w:val="20"/>
                <w:szCs w:val="20"/>
                <w:lang w:val="en-AU"/>
              </w:rPr>
            </w:pPr>
            <w:r w:rsidRPr="00F04A75">
              <w:rPr>
                <w:rFonts w:ascii="Arial Narrow" w:hAnsi="Arial Narrow"/>
                <w:sz w:val="20"/>
                <w:szCs w:val="20"/>
                <w:lang w:val="en-AU"/>
              </w:rPr>
              <w:t xml:space="preserve">                    </w:t>
            </w:r>
            <w:r w:rsidR="00F97782" w:rsidRPr="00F04A75">
              <w:rPr>
                <w:rFonts w:ascii="Arial Narrow" w:hAnsi="Arial Narrow"/>
                <w:sz w:val="20"/>
                <w:szCs w:val="20"/>
                <w:lang w:val="en-AU"/>
              </w:rPr>
              <w:t>Cycle 13</w:t>
            </w:r>
            <w:r w:rsidRPr="00F04A75">
              <w:rPr>
                <w:rFonts w:ascii="Arial Narrow" w:hAnsi="Arial Narrow"/>
                <w:sz w:val="20"/>
                <w:szCs w:val="20"/>
                <w:lang w:val="en-AU"/>
              </w:rPr>
              <w:t>+</w:t>
            </w:r>
            <w:r w:rsidR="00F97782" w:rsidRPr="00F04A75">
              <w:rPr>
                <w:rFonts w:ascii="Arial Narrow" w:hAnsi="Arial Narrow"/>
                <w:sz w:val="20"/>
                <w:szCs w:val="20"/>
                <w:lang w:val="en-AU"/>
              </w:rPr>
              <w:t>:  27 mg/m</w:t>
            </w:r>
            <w:r w:rsidR="00F97782" w:rsidRPr="00F04A75">
              <w:rPr>
                <w:rFonts w:ascii="Arial Narrow" w:hAnsi="Arial Narrow"/>
                <w:sz w:val="20"/>
                <w:szCs w:val="20"/>
                <w:vertAlign w:val="superscript"/>
                <w:lang w:val="en-AU"/>
              </w:rPr>
              <w:t>2</w:t>
            </w:r>
            <w:r w:rsidR="00F97782" w:rsidRPr="00F04A75">
              <w:rPr>
                <w:rFonts w:ascii="Arial Narrow" w:hAnsi="Arial Narrow"/>
                <w:sz w:val="20"/>
                <w:szCs w:val="20"/>
                <w:lang w:val="en-AU"/>
              </w:rPr>
              <w:t xml:space="preserve"> IV on </w:t>
            </w:r>
            <w:r w:rsidR="00C866A8" w:rsidRPr="00F04A75">
              <w:rPr>
                <w:rFonts w:ascii="Arial Narrow" w:hAnsi="Arial Narrow"/>
                <w:sz w:val="20"/>
                <w:szCs w:val="20"/>
                <w:lang w:val="en-AU"/>
              </w:rPr>
              <w:t>D</w:t>
            </w:r>
            <w:r w:rsidR="00F97782" w:rsidRPr="00F04A75">
              <w:rPr>
                <w:rFonts w:ascii="Arial Narrow" w:hAnsi="Arial Narrow"/>
                <w:sz w:val="20"/>
                <w:szCs w:val="20"/>
                <w:lang w:val="en-AU"/>
              </w:rPr>
              <w:t xml:space="preserve">ays 1, 2, 15 and 16. Carfilzomib is omitted on </w:t>
            </w:r>
            <w:r w:rsidR="00C866A8" w:rsidRPr="00F04A75">
              <w:rPr>
                <w:rFonts w:ascii="Arial Narrow" w:hAnsi="Arial Narrow"/>
                <w:sz w:val="20"/>
                <w:szCs w:val="20"/>
                <w:lang w:val="en-AU"/>
              </w:rPr>
              <w:t>D</w:t>
            </w:r>
            <w:r w:rsidR="00F97782" w:rsidRPr="00F04A75">
              <w:rPr>
                <w:rFonts w:ascii="Arial Narrow" w:hAnsi="Arial Narrow"/>
                <w:sz w:val="20"/>
                <w:szCs w:val="20"/>
                <w:lang w:val="en-AU"/>
              </w:rPr>
              <w:t>ays 8 and 9.</w:t>
            </w:r>
          </w:p>
          <w:p w14:paraId="1F5D8BBA" w14:textId="58550F7B" w:rsidR="00F97782" w:rsidRPr="00F04A75" w:rsidRDefault="00F97782" w:rsidP="002D3077">
            <w:pPr>
              <w:keepNext/>
              <w:rPr>
                <w:rFonts w:ascii="Arial Narrow" w:hAnsi="Arial Narrow"/>
                <w:sz w:val="20"/>
                <w:szCs w:val="20"/>
                <w:lang w:val="en-AU"/>
              </w:rPr>
            </w:pPr>
            <w:r w:rsidRPr="00F04A75">
              <w:rPr>
                <w:rFonts w:ascii="Arial Narrow" w:hAnsi="Arial Narrow"/>
                <w:i/>
                <w:sz w:val="20"/>
                <w:szCs w:val="20"/>
                <w:lang w:val="en-AU"/>
              </w:rPr>
              <w:t>Lenalidomide</w:t>
            </w:r>
            <w:r w:rsidR="00C26732" w:rsidRPr="00F04A75">
              <w:rPr>
                <w:rFonts w:ascii="Arial Narrow" w:hAnsi="Arial Narrow"/>
                <w:i/>
                <w:sz w:val="20"/>
                <w:szCs w:val="20"/>
                <w:lang w:val="en-AU"/>
              </w:rPr>
              <w:t>:</w:t>
            </w:r>
            <w:r w:rsidRPr="00F04A75">
              <w:rPr>
                <w:rFonts w:ascii="Arial Narrow" w:hAnsi="Arial Narrow"/>
                <w:sz w:val="20"/>
                <w:szCs w:val="20"/>
                <w:lang w:val="en-AU"/>
              </w:rPr>
              <w:t xml:space="preserve"> 25 mg orally on </w:t>
            </w:r>
            <w:r w:rsidR="00C866A8" w:rsidRPr="00F04A75">
              <w:rPr>
                <w:rFonts w:ascii="Arial Narrow" w:hAnsi="Arial Narrow"/>
                <w:sz w:val="20"/>
                <w:szCs w:val="20"/>
                <w:lang w:val="en-AU"/>
              </w:rPr>
              <w:t>D</w:t>
            </w:r>
            <w:r w:rsidRPr="00F04A75">
              <w:rPr>
                <w:rFonts w:ascii="Arial Narrow" w:hAnsi="Arial Narrow"/>
                <w:sz w:val="20"/>
                <w:szCs w:val="20"/>
                <w:lang w:val="en-AU"/>
              </w:rPr>
              <w:t>ays 1</w:t>
            </w:r>
            <w:r w:rsidR="00C26732" w:rsidRPr="00F04A75">
              <w:rPr>
                <w:rFonts w:ascii="Arial Narrow" w:hAnsi="Arial Narrow"/>
                <w:sz w:val="20"/>
                <w:szCs w:val="20"/>
                <w:lang w:val="en-AU"/>
              </w:rPr>
              <w:t>-</w:t>
            </w:r>
            <w:r w:rsidRPr="00F04A75">
              <w:rPr>
                <w:rFonts w:ascii="Arial Narrow" w:hAnsi="Arial Narrow"/>
                <w:sz w:val="20"/>
                <w:szCs w:val="20"/>
                <w:lang w:val="en-AU"/>
              </w:rPr>
              <w:t xml:space="preserve">21 </w:t>
            </w:r>
          </w:p>
          <w:p w14:paraId="62C62F6B" w14:textId="523FCA6F" w:rsidR="00F97782" w:rsidRPr="00F04A75" w:rsidRDefault="00F97782" w:rsidP="002D3077">
            <w:pPr>
              <w:keepNext/>
              <w:rPr>
                <w:rFonts w:ascii="Arial Narrow" w:hAnsi="Arial Narrow"/>
                <w:sz w:val="20"/>
                <w:szCs w:val="20"/>
                <w:lang w:val="en-AU"/>
              </w:rPr>
            </w:pPr>
            <w:r w:rsidRPr="00F04A75">
              <w:rPr>
                <w:rFonts w:ascii="Arial Narrow" w:hAnsi="Arial Narrow"/>
                <w:i/>
                <w:sz w:val="20"/>
                <w:szCs w:val="20"/>
                <w:lang w:val="en-AU"/>
              </w:rPr>
              <w:t>Dexamethasone</w:t>
            </w:r>
            <w:r w:rsidR="00C26732" w:rsidRPr="00F04A75">
              <w:rPr>
                <w:rFonts w:ascii="Arial Narrow" w:hAnsi="Arial Narrow"/>
                <w:i/>
                <w:sz w:val="20"/>
                <w:szCs w:val="20"/>
                <w:lang w:val="en-AU"/>
              </w:rPr>
              <w:t>:</w:t>
            </w:r>
            <w:r w:rsidRPr="00F04A75">
              <w:rPr>
                <w:rFonts w:ascii="Arial Narrow" w:hAnsi="Arial Narrow"/>
                <w:sz w:val="20"/>
                <w:szCs w:val="20"/>
                <w:lang w:val="en-AU"/>
              </w:rPr>
              <w:t xml:space="preserve"> 40 mg orally or IV on </w:t>
            </w:r>
            <w:r w:rsidR="00C866A8" w:rsidRPr="00F04A75">
              <w:rPr>
                <w:rFonts w:ascii="Arial Narrow" w:hAnsi="Arial Narrow"/>
                <w:sz w:val="20"/>
                <w:szCs w:val="20"/>
                <w:lang w:val="en-AU"/>
              </w:rPr>
              <w:t>D</w:t>
            </w:r>
            <w:r w:rsidRPr="00F04A75">
              <w:rPr>
                <w:rFonts w:ascii="Arial Narrow" w:hAnsi="Arial Narrow"/>
                <w:sz w:val="20"/>
                <w:szCs w:val="20"/>
                <w:lang w:val="en-AU"/>
              </w:rPr>
              <w:t xml:space="preserve">ays 1, 8, 15 and 22 </w:t>
            </w:r>
          </w:p>
        </w:tc>
      </w:tr>
      <w:tr w:rsidR="00F97782" w:rsidRPr="00F04A75" w14:paraId="1F27C774" w14:textId="77777777" w:rsidTr="0016658B">
        <w:tc>
          <w:tcPr>
            <w:tcW w:w="1271" w:type="dxa"/>
            <w:vMerge w:val="restart"/>
          </w:tcPr>
          <w:p w14:paraId="2D71B970" w14:textId="77777777" w:rsidR="00F97782" w:rsidRPr="00F04A75" w:rsidRDefault="00F97782" w:rsidP="002D3077">
            <w:pPr>
              <w:keepNext/>
              <w:rPr>
                <w:rFonts w:ascii="Arial Narrow" w:hAnsi="Arial Narrow"/>
                <w:sz w:val="20"/>
                <w:szCs w:val="20"/>
                <w:lang w:val="en-AU"/>
              </w:rPr>
            </w:pPr>
            <w:r w:rsidRPr="00F04A75">
              <w:rPr>
                <w:rFonts w:ascii="Arial Narrow" w:hAnsi="Arial Narrow"/>
                <w:sz w:val="20"/>
                <w:szCs w:val="20"/>
                <w:lang w:val="en-AU"/>
              </w:rPr>
              <w:t xml:space="preserve">Comparators </w:t>
            </w:r>
          </w:p>
          <w:p w14:paraId="7EE3C551" w14:textId="77777777" w:rsidR="00F97782" w:rsidRPr="00F04A75" w:rsidRDefault="00F97782" w:rsidP="002D3077">
            <w:pPr>
              <w:keepNext/>
              <w:rPr>
                <w:rFonts w:ascii="Arial Narrow" w:hAnsi="Arial Narrow"/>
                <w:sz w:val="20"/>
                <w:szCs w:val="20"/>
                <w:lang w:val="en-AU"/>
              </w:rPr>
            </w:pPr>
          </w:p>
        </w:tc>
        <w:tc>
          <w:tcPr>
            <w:tcW w:w="7745" w:type="dxa"/>
          </w:tcPr>
          <w:p w14:paraId="0315A725" w14:textId="77777777" w:rsidR="00F97782" w:rsidRPr="00F04A75" w:rsidRDefault="00F97782" w:rsidP="002D3077">
            <w:pPr>
              <w:keepNext/>
              <w:framePr w:hSpace="180" w:wrap="around" w:vAnchor="page" w:hAnchor="margin" w:y="2011"/>
              <w:ind w:left="31"/>
              <w:rPr>
                <w:rFonts w:ascii="Arial Narrow" w:hAnsi="Arial Narrow" w:cstheme="minorHAnsi"/>
                <w:b/>
                <w:sz w:val="20"/>
                <w:szCs w:val="20"/>
                <w:lang w:val="en-AU"/>
              </w:rPr>
            </w:pPr>
            <w:r w:rsidRPr="00F04A75">
              <w:rPr>
                <w:rFonts w:ascii="Arial Narrow" w:hAnsi="Arial Narrow" w:cstheme="minorHAnsi"/>
                <w:b/>
                <w:sz w:val="20"/>
                <w:szCs w:val="20"/>
                <w:u w:val="single"/>
                <w:lang w:val="en-AU"/>
              </w:rPr>
              <w:t>Main</w:t>
            </w:r>
            <w:r w:rsidRPr="00F04A75">
              <w:rPr>
                <w:rFonts w:ascii="Arial Narrow" w:hAnsi="Arial Narrow" w:cstheme="minorHAnsi"/>
                <w:b/>
                <w:sz w:val="20"/>
                <w:szCs w:val="20"/>
                <w:lang w:val="en-AU"/>
              </w:rPr>
              <w:t xml:space="preserve">: </w:t>
            </w:r>
          </w:p>
          <w:p w14:paraId="70B9ED83" w14:textId="7445DB9D" w:rsidR="00F97782" w:rsidRPr="00F04A75" w:rsidRDefault="00F97782" w:rsidP="002D3077">
            <w:pPr>
              <w:keepNext/>
              <w:framePr w:hSpace="180" w:wrap="around" w:vAnchor="page" w:hAnchor="margin" w:y="2011"/>
              <w:ind w:left="31"/>
              <w:rPr>
                <w:rFonts w:ascii="Arial Narrow" w:hAnsi="Arial Narrow" w:cstheme="minorHAnsi"/>
                <w:b/>
                <w:sz w:val="20"/>
                <w:szCs w:val="20"/>
                <w:lang w:val="en-AU"/>
              </w:rPr>
            </w:pPr>
            <w:r w:rsidRPr="00F04A75">
              <w:rPr>
                <w:rFonts w:ascii="Arial Narrow" w:hAnsi="Arial Narrow" w:cstheme="minorHAnsi"/>
                <w:b/>
                <w:sz w:val="20"/>
                <w:szCs w:val="20"/>
                <w:lang w:val="en-AU"/>
              </w:rPr>
              <w:t>Carfilzomib in combination with dexamethasone (Cd)</w:t>
            </w:r>
          </w:p>
          <w:p w14:paraId="27D9A7D7" w14:textId="4D9ECA58" w:rsidR="00F97782" w:rsidRPr="00F04A75" w:rsidRDefault="00F97782" w:rsidP="002D3077">
            <w:pPr>
              <w:keepNext/>
              <w:framePr w:hSpace="180" w:wrap="around" w:vAnchor="page" w:hAnchor="margin" w:y="2011"/>
              <w:ind w:left="31"/>
              <w:rPr>
                <w:rFonts w:ascii="Arial Narrow" w:hAnsi="Arial Narrow" w:cstheme="minorHAnsi"/>
                <w:sz w:val="20"/>
                <w:szCs w:val="20"/>
                <w:lang w:val="en-AU"/>
              </w:rPr>
            </w:pPr>
            <w:r w:rsidRPr="00F04A75">
              <w:rPr>
                <w:rFonts w:ascii="Arial Narrow" w:hAnsi="Arial Narrow" w:cstheme="minorHAnsi"/>
                <w:sz w:val="20"/>
                <w:szCs w:val="20"/>
                <w:u w:val="single"/>
                <w:lang w:val="en-AU"/>
              </w:rPr>
              <w:t>28</w:t>
            </w:r>
            <w:r w:rsidR="00C866A8" w:rsidRPr="00F04A75">
              <w:rPr>
                <w:rFonts w:ascii="Arial Narrow" w:hAnsi="Arial Narrow" w:cstheme="minorHAnsi"/>
                <w:sz w:val="20"/>
                <w:szCs w:val="20"/>
                <w:u w:val="single"/>
                <w:lang w:val="en-AU"/>
              </w:rPr>
              <w:t>-</w:t>
            </w:r>
            <w:r w:rsidRPr="00F04A75">
              <w:rPr>
                <w:rFonts w:ascii="Arial Narrow" w:hAnsi="Arial Narrow" w:cstheme="minorHAnsi"/>
                <w:sz w:val="20"/>
                <w:szCs w:val="20"/>
                <w:u w:val="single"/>
                <w:lang w:val="en-AU"/>
              </w:rPr>
              <w:t>day cycles</w:t>
            </w:r>
            <w:r w:rsidRPr="00F04A75">
              <w:rPr>
                <w:rFonts w:ascii="Arial Narrow" w:hAnsi="Arial Narrow" w:cstheme="minorHAnsi"/>
                <w:sz w:val="20"/>
                <w:szCs w:val="20"/>
                <w:lang w:val="en-AU"/>
              </w:rPr>
              <w:t>:</w:t>
            </w:r>
          </w:p>
          <w:p w14:paraId="6408A737" w14:textId="77777777" w:rsidR="00F97782" w:rsidRPr="00F04A75" w:rsidRDefault="00F97782" w:rsidP="002D3077">
            <w:pPr>
              <w:keepNext/>
              <w:rPr>
                <w:rFonts w:ascii="Arial Narrow" w:hAnsi="Arial Narrow"/>
                <w:sz w:val="20"/>
                <w:szCs w:val="20"/>
                <w:u w:val="single"/>
                <w:lang w:val="en-AU"/>
              </w:rPr>
            </w:pPr>
            <w:r w:rsidRPr="00F04A75">
              <w:rPr>
                <w:rFonts w:ascii="Arial Narrow" w:hAnsi="Arial Narrow"/>
                <w:sz w:val="20"/>
                <w:szCs w:val="20"/>
                <w:u w:val="single"/>
                <w:lang w:val="en-AU"/>
              </w:rPr>
              <w:t>Cd twice weekly (Cd56 BIW)</w:t>
            </w:r>
          </w:p>
          <w:p w14:paraId="3B03C717" w14:textId="4D4B84B3" w:rsidR="00F97782" w:rsidRPr="00F04A75" w:rsidRDefault="00F97782" w:rsidP="002D3077">
            <w:pPr>
              <w:keepNext/>
              <w:rPr>
                <w:rFonts w:ascii="Arial Narrow" w:hAnsi="Arial Narrow"/>
                <w:sz w:val="20"/>
                <w:szCs w:val="20"/>
                <w:lang w:val="en-AU"/>
              </w:rPr>
            </w:pPr>
            <w:r w:rsidRPr="00F04A75">
              <w:rPr>
                <w:rFonts w:ascii="Arial Narrow" w:hAnsi="Arial Narrow"/>
                <w:i/>
                <w:sz w:val="20"/>
                <w:szCs w:val="20"/>
                <w:lang w:val="en-AU"/>
              </w:rPr>
              <w:t xml:space="preserve">Carfilzomib: </w:t>
            </w:r>
            <w:r w:rsidRPr="00F04A75">
              <w:rPr>
                <w:rFonts w:ascii="Arial Narrow" w:hAnsi="Arial Narrow"/>
                <w:sz w:val="20"/>
                <w:szCs w:val="20"/>
                <w:lang w:val="en-AU"/>
              </w:rPr>
              <w:t>Cycle 1: 20 mg/m</w:t>
            </w:r>
            <w:r w:rsidRPr="00F04A75">
              <w:rPr>
                <w:rFonts w:ascii="Arial Narrow" w:hAnsi="Arial Narrow"/>
                <w:sz w:val="20"/>
                <w:szCs w:val="20"/>
                <w:vertAlign w:val="superscript"/>
                <w:lang w:val="en-AU"/>
              </w:rPr>
              <w:t>2</w:t>
            </w:r>
            <w:r w:rsidRPr="00F04A75">
              <w:rPr>
                <w:rFonts w:ascii="Arial Narrow" w:hAnsi="Arial Narrow"/>
                <w:sz w:val="20"/>
                <w:szCs w:val="20"/>
                <w:lang w:val="en-AU"/>
              </w:rPr>
              <w:t xml:space="preserve"> </w:t>
            </w:r>
            <w:r w:rsidR="00C866A8" w:rsidRPr="00F04A75">
              <w:rPr>
                <w:rFonts w:ascii="Arial Narrow" w:hAnsi="Arial Narrow"/>
                <w:sz w:val="20"/>
                <w:szCs w:val="20"/>
                <w:lang w:val="en-AU"/>
              </w:rPr>
              <w:t>on D</w:t>
            </w:r>
            <w:r w:rsidRPr="00F04A75">
              <w:rPr>
                <w:rFonts w:ascii="Arial Narrow" w:hAnsi="Arial Narrow"/>
                <w:sz w:val="20"/>
                <w:szCs w:val="20"/>
                <w:lang w:val="en-AU"/>
              </w:rPr>
              <w:t>ays 1 and 2, 56 mg/m</w:t>
            </w:r>
            <w:r w:rsidRPr="00F04A75">
              <w:rPr>
                <w:rFonts w:ascii="Arial Narrow" w:hAnsi="Arial Narrow"/>
                <w:sz w:val="20"/>
                <w:szCs w:val="20"/>
                <w:vertAlign w:val="superscript"/>
                <w:lang w:val="en-AU"/>
              </w:rPr>
              <w:t>2</w:t>
            </w:r>
            <w:r w:rsidRPr="00F04A75">
              <w:rPr>
                <w:rFonts w:ascii="Arial Narrow" w:hAnsi="Arial Narrow"/>
                <w:sz w:val="20"/>
                <w:szCs w:val="20"/>
                <w:lang w:val="en-AU"/>
              </w:rPr>
              <w:t xml:space="preserve"> on </w:t>
            </w:r>
            <w:r w:rsidR="00C866A8" w:rsidRPr="00F04A75">
              <w:rPr>
                <w:rFonts w:ascii="Arial Narrow" w:hAnsi="Arial Narrow"/>
                <w:sz w:val="20"/>
                <w:szCs w:val="20"/>
                <w:lang w:val="en-AU"/>
              </w:rPr>
              <w:t>D</w:t>
            </w:r>
            <w:r w:rsidRPr="00F04A75">
              <w:rPr>
                <w:rFonts w:ascii="Arial Narrow" w:hAnsi="Arial Narrow"/>
                <w:sz w:val="20"/>
                <w:szCs w:val="20"/>
                <w:lang w:val="en-AU"/>
              </w:rPr>
              <w:t>ays 8, 9, 15 and 16</w:t>
            </w:r>
          </w:p>
          <w:p w14:paraId="1AF99C98" w14:textId="49272E59" w:rsidR="00F97782" w:rsidRPr="00F04A75" w:rsidRDefault="00C26732" w:rsidP="002D3077">
            <w:pPr>
              <w:keepNext/>
              <w:rPr>
                <w:rFonts w:ascii="Arial Narrow" w:hAnsi="Arial Narrow"/>
                <w:sz w:val="20"/>
                <w:szCs w:val="20"/>
                <w:lang w:val="en-AU"/>
              </w:rPr>
            </w:pPr>
            <w:r w:rsidRPr="00F04A75">
              <w:rPr>
                <w:rFonts w:ascii="Arial Narrow" w:hAnsi="Arial Narrow"/>
                <w:sz w:val="20"/>
                <w:szCs w:val="20"/>
                <w:lang w:val="en-AU"/>
              </w:rPr>
              <w:t xml:space="preserve">                    </w:t>
            </w:r>
            <w:r w:rsidR="00F97782" w:rsidRPr="00F04A75">
              <w:rPr>
                <w:rFonts w:ascii="Arial Narrow" w:hAnsi="Arial Narrow"/>
                <w:sz w:val="20"/>
                <w:szCs w:val="20"/>
                <w:lang w:val="en-AU"/>
              </w:rPr>
              <w:t>Cycle 2</w:t>
            </w:r>
            <w:r w:rsidRPr="00F04A75">
              <w:rPr>
                <w:rFonts w:ascii="Arial Narrow" w:hAnsi="Arial Narrow"/>
                <w:sz w:val="20"/>
                <w:szCs w:val="20"/>
                <w:lang w:val="en-AU"/>
              </w:rPr>
              <w:t>+</w:t>
            </w:r>
            <w:r w:rsidR="00F97782" w:rsidRPr="00F04A75">
              <w:rPr>
                <w:rFonts w:ascii="Arial Narrow" w:hAnsi="Arial Narrow"/>
                <w:sz w:val="20"/>
                <w:szCs w:val="20"/>
                <w:lang w:val="en-AU"/>
              </w:rPr>
              <w:t>: 56 mg/m</w:t>
            </w:r>
            <w:r w:rsidR="00F97782" w:rsidRPr="00F04A75">
              <w:rPr>
                <w:rFonts w:ascii="Arial Narrow" w:hAnsi="Arial Narrow"/>
                <w:sz w:val="20"/>
                <w:szCs w:val="20"/>
                <w:vertAlign w:val="superscript"/>
                <w:lang w:val="en-AU"/>
              </w:rPr>
              <w:t>2</w:t>
            </w:r>
            <w:r w:rsidR="00F97782" w:rsidRPr="00F04A75">
              <w:rPr>
                <w:rFonts w:ascii="Arial Narrow" w:hAnsi="Arial Narrow"/>
                <w:sz w:val="20"/>
                <w:szCs w:val="20"/>
                <w:lang w:val="en-AU"/>
              </w:rPr>
              <w:t xml:space="preserve"> IV on </w:t>
            </w:r>
            <w:r w:rsidR="00C866A8" w:rsidRPr="00F04A75">
              <w:rPr>
                <w:rFonts w:ascii="Arial Narrow" w:hAnsi="Arial Narrow"/>
                <w:sz w:val="20"/>
                <w:szCs w:val="20"/>
                <w:lang w:val="en-AU"/>
              </w:rPr>
              <w:t>D</w:t>
            </w:r>
            <w:r w:rsidR="00F97782" w:rsidRPr="00F04A75">
              <w:rPr>
                <w:rFonts w:ascii="Arial Narrow" w:hAnsi="Arial Narrow"/>
                <w:sz w:val="20"/>
                <w:szCs w:val="20"/>
                <w:lang w:val="en-AU"/>
              </w:rPr>
              <w:t xml:space="preserve">ays 1, 2, 8, 9, 15 and 16 </w:t>
            </w:r>
          </w:p>
          <w:p w14:paraId="74F92186" w14:textId="7F29F2FB" w:rsidR="00F97782" w:rsidRPr="00F04A75" w:rsidRDefault="00F97782" w:rsidP="002D3077">
            <w:pPr>
              <w:keepNext/>
              <w:rPr>
                <w:rFonts w:ascii="Arial Narrow" w:hAnsi="Arial Narrow"/>
                <w:sz w:val="20"/>
                <w:szCs w:val="20"/>
                <w:lang w:val="en-AU"/>
              </w:rPr>
            </w:pPr>
            <w:r w:rsidRPr="00F04A75">
              <w:rPr>
                <w:rFonts w:ascii="Arial Narrow" w:hAnsi="Arial Narrow"/>
                <w:i/>
                <w:sz w:val="20"/>
                <w:szCs w:val="20"/>
                <w:lang w:val="en-AU"/>
              </w:rPr>
              <w:t>Dexamethasone</w:t>
            </w:r>
            <w:r w:rsidR="00C26732" w:rsidRPr="00F04A75">
              <w:rPr>
                <w:rFonts w:ascii="Arial Narrow" w:hAnsi="Arial Narrow"/>
                <w:i/>
                <w:sz w:val="20"/>
                <w:szCs w:val="20"/>
                <w:lang w:val="en-AU"/>
              </w:rPr>
              <w:t>:</w:t>
            </w:r>
            <w:r w:rsidRPr="00F04A75">
              <w:rPr>
                <w:rFonts w:ascii="Arial Narrow" w:hAnsi="Arial Narrow"/>
                <w:sz w:val="20"/>
                <w:szCs w:val="20"/>
                <w:lang w:val="en-AU"/>
              </w:rPr>
              <w:t xml:space="preserve"> 20 mg orally or IV on </w:t>
            </w:r>
            <w:r w:rsidR="00C866A8" w:rsidRPr="00F04A75">
              <w:rPr>
                <w:rFonts w:ascii="Arial Narrow" w:hAnsi="Arial Narrow"/>
                <w:sz w:val="20"/>
                <w:szCs w:val="20"/>
                <w:lang w:val="en-AU"/>
              </w:rPr>
              <w:t>D</w:t>
            </w:r>
            <w:r w:rsidRPr="00F04A75">
              <w:rPr>
                <w:rFonts w:ascii="Arial Narrow" w:hAnsi="Arial Narrow"/>
                <w:sz w:val="20"/>
                <w:szCs w:val="20"/>
                <w:lang w:val="en-AU"/>
              </w:rPr>
              <w:t xml:space="preserve">ays 1, 2, 8, 9, 15, 16, 22 and 23 </w:t>
            </w:r>
          </w:p>
          <w:p w14:paraId="1487F543" w14:textId="77777777" w:rsidR="00F97782" w:rsidRPr="00F04A75" w:rsidRDefault="00F97782" w:rsidP="002D3077">
            <w:pPr>
              <w:keepNext/>
              <w:rPr>
                <w:rFonts w:ascii="Arial Narrow" w:hAnsi="Arial Narrow"/>
                <w:i/>
                <w:sz w:val="20"/>
                <w:szCs w:val="20"/>
                <w:u w:val="single"/>
                <w:lang w:val="en-AU"/>
              </w:rPr>
            </w:pPr>
            <w:r w:rsidRPr="00F04A75">
              <w:rPr>
                <w:rFonts w:ascii="Arial Narrow" w:hAnsi="Arial Narrow"/>
                <w:sz w:val="20"/>
                <w:szCs w:val="20"/>
                <w:u w:val="single"/>
                <w:lang w:val="en-AU"/>
              </w:rPr>
              <w:t>Cd weekly (Cd70 QW)</w:t>
            </w:r>
          </w:p>
          <w:p w14:paraId="3ED8CE40" w14:textId="79958680" w:rsidR="00F97782" w:rsidRPr="00F04A75" w:rsidRDefault="00F97782" w:rsidP="002D3077">
            <w:pPr>
              <w:keepNext/>
              <w:rPr>
                <w:rFonts w:ascii="Arial Narrow" w:hAnsi="Arial Narrow"/>
                <w:sz w:val="20"/>
                <w:szCs w:val="20"/>
                <w:lang w:val="en-AU"/>
              </w:rPr>
            </w:pPr>
            <w:r w:rsidRPr="00F04A75">
              <w:rPr>
                <w:rFonts w:ascii="Arial Narrow" w:hAnsi="Arial Narrow"/>
                <w:i/>
                <w:sz w:val="20"/>
                <w:szCs w:val="20"/>
                <w:lang w:val="en-AU"/>
              </w:rPr>
              <w:t xml:space="preserve">Carfilzomib: </w:t>
            </w:r>
            <w:r w:rsidRPr="00F04A75">
              <w:rPr>
                <w:rFonts w:ascii="Arial Narrow" w:hAnsi="Arial Narrow"/>
                <w:sz w:val="20"/>
                <w:szCs w:val="20"/>
                <w:lang w:val="en-AU"/>
              </w:rPr>
              <w:t>Cycle 1:</w:t>
            </w:r>
            <w:r w:rsidRPr="00F04A75">
              <w:rPr>
                <w:rFonts w:ascii="Arial Narrow" w:hAnsi="Arial Narrow"/>
                <w:i/>
                <w:sz w:val="20"/>
                <w:szCs w:val="20"/>
                <w:lang w:val="en-AU"/>
              </w:rPr>
              <w:t xml:space="preserve"> </w:t>
            </w:r>
            <w:r w:rsidRPr="00F04A75">
              <w:rPr>
                <w:rFonts w:ascii="Arial Narrow" w:hAnsi="Arial Narrow"/>
                <w:sz w:val="20"/>
                <w:szCs w:val="20"/>
                <w:lang w:val="en-AU"/>
              </w:rPr>
              <w:t>20 mg/m</w:t>
            </w:r>
            <w:r w:rsidRPr="00F04A75">
              <w:rPr>
                <w:rFonts w:ascii="Arial Narrow" w:hAnsi="Arial Narrow"/>
                <w:sz w:val="20"/>
                <w:szCs w:val="20"/>
                <w:vertAlign w:val="superscript"/>
                <w:lang w:val="en-AU"/>
              </w:rPr>
              <w:t>2</w:t>
            </w:r>
            <w:r w:rsidRPr="00F04A75">
              <w:rPr>
                <w:rFonts w:ascii="Arial Narrow" w:hAnsi="Arial Narrow"/>
                <w:sz w:val="20"/>
                <w:szCs w:val="20"/>
                <w:lang w:val="en-AU"/>
              </w:rPr>
              <w:t xml:space="preserve"> </w:t>
            </w:r>
            <w:r w:rsidR="00C866A8" w:rsidRPr="00F04A75">
              <w:rPr>
                <w:rFonts w:ascii="Arial Narrow" w:hAnsi="Arial Narrow"/>
                <w:sz w:val="20"/>
                <w:szCs w:val="20"/>
                <w:lang w:val="en-AU"/>
              </w:rPr>
              <w:t>on D</w:t>
            </w:r>
            <w:r w:rsidRPr="00F04A75">
              <w:rPr>
                <w:rFonts w:ascii="Arial Narrow" w:hAnsi="Arial Narrow"/>
                <w:sz w:val="20"/>
                <w:szCs w:val="20"/>
                <w:lang w:val="en-AU"/>
              </w:rPr>
              <w:t>ay 1, 70 mg/m</w:t>
            </w:r>
            <w:r w:rsidRPr="00F04A75">
              <w:rPr>
                <w:rFonts w:ascii="Arial Narrow" w:hAnsi="Arial Narrow"/>
                <w:sz w:val="20"/>
                <w:szCs w:val="20"/>
                <w:vertAlign w:val="superscript"/>
                <w:lang w:val="en-AU"/>
              </w:rPr>
              <w:t>2</w:t>
            </w:r>
            <w:r w:rsidRPr="00F04A75">
              <w:rPr>
                <w:rFonts w:ascii="Arial Narrow" w:hAnsi="Arial Narrow"/>
                <w:sz w:val="20"/>
                <w:szCs w:val="20"/>
                <w:lang w:val="en-AU"/>
              </w:rPr>
              <w:t xml:space="preserve"> </w:t>
            </w:r>
            <w:r w:rsidR="00C866A8" w:rsidRPr="00F04A75">
              <w:rPr>
                <w:rFonts w:ascii="Arial Narrow" w:hAnsi="Arial Narrow"/>
                <w:sz w:val="20"/>
                <w:szCs w:val="20"/>
                <w:lang w:val="en-AU"/>
              </w:rPr>
              <w:t>on D</w:t>
            </w:r>
            <w:r w:rsidRPr="00F04A75">
              <w:rPr>
                <w:rFonts w:ascii="Arial Narrow" w:hAnsi="Arial Narrow"/>
                <w:sz w:val="20"/>
                <w:szCs w:val="20"/>
                <w:lang w:val="en-AU"/>
              </w:rPr>
              <w:t>ay</w:t>
            </w:r>
            <w:r w:rsidR="00C866A8" w:rsidRPr="00F04A75">
              <w:rPr>
                <w:rFonts w:ascii="Arial Narrow" w:hAnsi="Arial Narrow"/>
                <w:sz w:val="20"/>
                <w:szCs w:val="20"/>
                <w:lang w:val="en-AU"/>
              </w:rPr>
              <w:t>s</w:t>
            </w:r>
            <w:r w:rsidRPr="00F04A75">
              <w:rPr>
                <w:rFonts w:ascii="Arial Narrow" w:hAnsi="Arial Narrow"/>
                <w:sz w:val="20"/>
                <w:szCs w:val="20"/>
                <w:lang w:val="en-AU"/>
              </w:rPr>
              <w:t xml:space="preserve"> 8 and 15</w:t>
            </w:r>
          </w:p>
          <w:p w14:paraId="1E6D4EF5" w14:textId="438B41B2" w:rsidR="00F97782" w:rsidRPr="00F04A75" w:rsidRDefault="00C26732" w:rsidP="002D3077">
            <w:pPr>
              <w:keepNext/>
              <w:rPr>
                <w:rFonts w:ascii="Arial Narrow" w:hAnsi="Arial Narrow"/>
                <w:sz w:val="20"/>
                <w:szCs w:val="20"/>
                <w:lang w:val="en-AU"/>
              </w:rPr>
            </w:pPr>
            <w:r w:rsidRPr="00F04A75">
              <w:rPr>
                <w:rFonts w:ascii="Arial Narrow" w:hAnsi="Arial Narrow"/>
                <w:sz w:val="20"/>
                <w:szCs w:val="20"/>
                <w:lang w:val="en-AU"/>
              </w:rPr>
              <w:t xml:space="preserve">                    </w:t>
            </w:r>
            <w:r w:rsidR="00F97782" w:rsidRPr="00F04A75">
              <w:rPr>
                <w:rFonts w:ascii="Arial Narrow" w:hAnsi="Arial Narrow"/>
                <w:sz w:val="20"/>
                <w:szCs w:val="20"/>
                <w:lang w:val="en-AU"/>
              </w:rPr>
              <w:t>Cycle 2</w:t>
            </w:r>
            <w:r w:rsidRPr="00F04A75">
              <w:rPr>
                <w:rFonts w:ascii="Arial Narrow" w:hAnsi="Arial Narrow"/>
                <w:sz w:val="20"/>
                <w:szCs w:val="20"/>
                <w:lang w:val="en-AU"/>
              </w:rPr>
              <w:t>+</w:t>
            </w:r>
            <w:r w:rsidR="00F97782" w:rsidRPr="00F04A75">
              <w:rPr>
                <w:rFonts w:ascii="Arial Narrow" w:hAnsi="Arial Narrow"/>
                <w:sz w:val="20"/>
                <w:szCs w:val="20"/>
                <w:lang w:val="en-AU"/>
              </w:rPr>
              <w:t>: 70 mg/m</w:t>
            </w:r>
            <w:r w:rsidR="00F97782" w:rsidRPr="00F04A75">
              <w:rPr>
                <w:rFonts w:ascii="Arial Narrow" w:hAnsi="Arial Narrow"/>
                <w:sz w:val="20"/>
                <w:szCs w:val="20"/>
                <w:vertAlign w:val="superscript"/>
                <w:lang w:val="en-AU"/>
              </w:rPr>
              <w:t>2</w:t>
            </w:r>
            <w:r w:rsidR="00F97782" w:rsidRPr="00F04A75">
              <w:rPr>
                <w:rFonts w:ascii="Arial Narrow" w:hAnsi="Arial Narrow"/>
                <w:sz w:val="20"/>
                <w:szCs w:val="20"/>
                <w:lang w:val="en-AU"/>
              </w:rPr>
              <w:t xml:space="preserve"> IV </w:t>
            </w:r>
            <w:r w:rsidR="00C866A8" w:rsidRPr="00F04A75">
              <w:rPr>
                <w:rFonts w:ascii="Arial Narrow" w:hAnsi="Arial Narrow"/>
                <w:sz w:val="20"/>
                <w:szCs w:val="20"/>
                <w:lang w:val="en-AU"/>
              </w:rPr>
              <w:t>on D</w:t>
            </w:r>
            <w:r w:rsidR="00F97782" w:rsidRPr="00F04A75">
              <w:rPr>
                <w:rFonts w:ascii="Arial Narrow" w:hAnsi="Arial Narrow"/>
                <w:sz w:val="20"/>
                <w:szCs w:val="20"/>
                <w:lang w:val="en-AU"/>
              </w:rPr>
              <w:t>ays 1, 8 and 15.</w:t>
            </w:r>
          </w:p>
          <w:p w14:paraId="36FD4465" w14:textId="56F45508" w:rsidR="00C26732" w:rsidRPr="00F04A75" w:rsidRDefault="00F97782" w:rsidP="002D3077">
            <w:pPr>
              <w:keepNext/>
              <w:rPr>
                <w:rFonts w:ascii="Arial Narrow" w:hAnsi="Arial Narrow"/>
                <w:sz w:val="20"/>
                <w:szCs w:val="20"/>
                <w:lang w:val="en-AU"/>
              </w:rPr>
            </w:pPr>
            <w:r w:rsidRPr="00F04A75">
              <w:rPr>
                <w:rFonts w:ascii="Arial Narrow" w:hAnsi="Arial Narrow"/>
                <w:i/>
                <w:sz w:val="20"/>
                <w:szCs w:val="20"/>
                <w:lang w:val="en-AU"/>
              </w:rPr>
              <w:t>Dexamethasone</w:t>
            </w:r>
            <w:r w:rsidR="00C26732" w:rsidRPr="00F04A75">
              <w:rPr>
                <w:rFonts w:ascii="Arial Narrow" w:hAnsi="Arial Narrow"/>
                <w:i/>
                <w:sz w:val="20"/>
                <w:szCs w:val="20"/>
                <w:lang w:val="en-AU"/>
              </w:rPr>
              <w:t>:</w:t>
            </w:r>
            <w:r w:rsidRPr="00F04A75">
              <w:rPr>
                <w:rFonts w:ascii="Arial Narrow" w:hAnsi="Arial Narrow"/>
                <w:sz w:val="20"/>
                <w:szCs w:val="20"/>
                <w:lang w:val="en-AU"/>
              </w:rPr>
              <w:t xml:space="preserve"> </w:t>
            </w:r>
            <w:r w:rsidR="00C866A8" w:rsidRPr="00F04A75">
              <w:rPr>
                <w:rFonts w:ascii="Arial Narrow" w:hAnsi="Arial Narrow"/>
                <w:sz w:val="20"/>
                <w:szCs w:val="20"/>
                <w:lang w:val="en-AU"/>
              </w:rPr>
              <w:t>Cycles 1</w:t>
            </w:r>
            <w:r w:rsidR="00C26732" w:rsidRPr="00F04A75">
              <w:rPr>
                <w:rFonts w:ascii="Arial Narrow" w:hAnsi="Arial Narrow"/>
                <w:sz w:val="20"/>
                <w:szCs w:val="20"/>
                <w:lang w:val="en-AU"/>
              </w:rPr>
              <w:t>-</w:t>
            </w:r>
            <w:r w:rsidR="00C866A8" w:rsidRPr="00F04A75">
              <w:rPr>
                <w:rFonts w:ascii="Arial Narrow" w:hAnsi="Arial Narrow"/>
                <w:sz w:val="20"/>
                <w:szCs w:val="20"/>
                <w:lang w:val="en-AU"/>
              </w:rPr>
              <w:t>9</w:t>
            </w:r>
            <w:r w:rsidR="00C26732" w:rsidRPr="00F04A75">
              <w:rPr>
                <w:rFonts w:ascii="Arial Narrow" w:hAnsi="Arial Narrow"/>
                <w:sz w:val="20"/>
                <w:szCs w:val="20"/>
                <w:lang w:val="en-AU"/>
              </w:rPr>
              <w:t>:</w:t>
            </w:r>
            <w:r w:rsidR="00C866A8" w:rsidRPr="00F04A75">
              <w:rPr>
                <w:rFonts w:ascii="Arial Narrow" w:hAnsi="Arial Narrow"/>
                <w:sz w:val="20"/>
                <w:szCs w:val="20"/>
                <w:lang w:val="en-AU"/>
              </w:rPr>
              <w:t xml:space="preserve"> </w:t>
            </w:r>
            <w:r w:rsidRPr="00F04A75">
              <w:rPr>
                <w:rFonts w:ascii="Arial Narrow" w:hAnsi="Arial Narrow"/>
                <w:sz w:val="20"/>
                <w:szCs w:val="20"/>
                <w:lang w:val="en-AU"/>
              </w:rPr>
              <w:t xml:space="preserve">40 mg orally or IV on </w:t>
            </w:r>
            <w:r w:rsidR="00C866A8" w:rsidRPr="00F04A75">
              <w:rPr>
                <w:rFonts w:ascii="Arial Narrow" w:hAnsi="Arial Narrow"/>
                <w:sz w:val="20"/>
                <w:szCs w:val="20"/>
                <w:lang w:val="en-AU"/>
              </w:rPr>
              <w:t>D</w:t>
            </w:r>
            <w:r w:rsidRPr="00F04A75">
              <w:rPr>
                <w:rFonts w:ascii="Arial Narrow" w:hAnsi="Arial Narrow"/>
                <w:sz w:val="20"/>
                <w:szCs w:val="20"/>
                <w:lang w:val="en-AU"/>
              </w:rPr>
              <w:t xml:space="preserve">ays 1, 8, 15 and 22 </w:t>
            </w:r>
          </w:p>
          <w:p w14:paraId="627AE172" w14:textId="1EE1C94D" w:rsidR="00F97782" w:rsidRPr="00F04A75" w:rsidRDefault="00C26732" w:rsidP="002D3077">
            <w:pPr>
              <w:keepNext/>
              <w:rPr>
                <w:rFonts w:ascii="Arial Narrow" w:hAnsi="Arial Narrow"/>
                <w:sz w:val="20"/>
                <w:szCs w:val="20"/>
                <w:lang w:val="en-AU"/>
              </w:rPr>
            </w:pPr>
            <w:r w:rsidRPr="00F04A75">
              <w:rPr>
                <w:rFonts w:ascii="Arial Narrow" w:hAnsi="Arial Narrow"/>
                <w:sz w:val="20"/>
                <w:szCs w:val="20"/>
                <w:lang w:val="en-AU"/>
              </w:rPr>
              <w:t xml:space="preserve">                            </w:t>
            </w:r>
            <w:r w:rsidR="00C866A8" w:rsidRPr="00F04A75">
              <w:rPr>
                <w:rFonts w:ascii="Arial Narrow" w:hAnsi="Arial Narrow"/>
                <w:sz w:val="20"/>
                <w:szCs w:val="20"/>
                <w:lang w:val="en-AU"/>
              </w:rPr>
              <w:t>C</w:t>
            </w:r>
            <w:r w:rsidR="00F97782" w:rsidRPr="00F04A75">
              <w:rPr>
                <w:rFonts w:ascii="Arial Narrow" w:hAnsi="Arial Narrow"/>
                <w:sz w:val="20"/>
                <w:szCs w:val="20"/>
                <w:lang w:val="en-AU"/>
              </w:rPr>
              <w:t>ycles 9</w:t>
            </w:r>
            <w:r w:rsidRPr="00F04A75">
              <w:rPr>
                <w:rFonts w:ascii="Arial Narrow" w:hAnsi="Arial Narrow"/>
                <w:sz w:val="20"/>
                <w:szCs w:val="20"/>
                <w:lang w:val="en-AU"/>
              </w:rPr>
              <w:t xml:space="preserve">+: </w:t>
            </w:r>
            <w:r w:rsidR="00F97782" w:rsidRPr="00F04A75">
              <w:rPr>
                <w:rFonts w:ascii="Arial Narrow" w:hAnsi="Arial Narrow"/>
                <w:sz w:val="20"/>
                <w:szCs w:val="20"/>
                <w:lang w:val="en-AU"/>
              </w:rPr>
              <w:t xml:space="preserve"> </w:t>
            </w:r>
            <w:r w:rsidRPr="00F04A75">
              <w:rPr>
                <w:rFonts w:ascii="Arial Narrow" w:hAnsi="Arial Narrow"/>
                <w:sz w:val="20"/>
                <w:szCs w:val="20"/>
                <w:lang w:val="en-AU"/>
              </w:rPr>
              <w:t xml:space="preserve">40 mg orally or IV on Days 1, 8 and 15 </w:t>
            </w:r>
            <w:r w:rsidR="00F97782" w:rsidRPr="00F04A75">
              <w:rPr>
                <w:rFonts w:ascii="Arial Narrow" w:hAnsi="Arial Narrow"/>
                <w:sz w:val="20"/>
                <w:szCs w:val="20"/>
                <w:lang w:val="en-AU"/>
              </w:rPr>
              <w:t xml:space="preserve"> </w:t>
            </w:r>
          </w:p>
        </w:tc>
      </w:tr>
      <w:tr w:rsidR="00F97782" w:rsidRPr="00F04A75" w14:paraId="2F2810E0" w14:textId="77777777" w:rsidTr="0016658B">
        <w:tc>
          <w:tcPr>
            <w:tcW w:w="1271" w:type="dxa"/>
            <w:vMerge/>
          </w:tcPr>
          <w:p w14:paraId="541B7C57" w14:textId="77777777" w:rsidR="00F97782" w:rsidRPr="00F04A75" w:rsidRDefault="00F97782" w:rsidP="002D3077">
            <w:pPr>
              <w:rPr>
                <w:rFonts w:ascii="Arial Narrow" w:hAnsi="Arial Narrow"/>
                <w:sz w:val="20"/>
                <w:szCs w:val="20"/>
                <w:lang w:val="en-AU"/>
              </w:rPr>
            </w:pPr>
          </w:p>
        </w:tc>
        <w:tc>
          <w:tcPr>
            <w:tcW w:w="7745" w:type="dxa"/>
          </w:tcPr>
          <w:p w14:paraId="3D7DEF38" w14:textId="77777777" w:rsidR="00F97782" w:rsidRPr="00F04A75" w:rsidRDefault="00F97782" w:rsidP="002D3077">
            <w:pPr>
              <w:shd w:val="clear" w:color="auto" w:fill="B8CCE4" w:themeFill="accent1" w:themeFillTint="66"/>
              <w:rPr>
                <w:rFonts w:ascii="Arial Narrow" w:hAnsi="Arial Narrow"/>
                <w:b/>
                <w:sz w:val="20"/>
                <w:szCs w:val="20"/>
                <w:u w:val="single"/>
                <w:vertAlign w:val="superscript"/>
                <w:lang w:val="en-AU"/>
              </w:rPr>
            </w:pPr>
            <w:r w:rsidRPr="00F04A75">
              <w:rPr>
                <w:rFonts w:ascii="Arial Narrow" w:hAnsi="Arial Narrow"/>
                <w:b/>
                <w:sz w:val="20"/>
                <w:szCs w:val="20"/>
                <w:u w:val="single"/>
                <w:lang w:val="en-AU"/>
              </w:rPr>
              <w:t xml:space="preserve">Secondary </w:t>
            </w:r>
          </w:p>
          <w:p w14:paraId="234F1A7A" w14:textId="77777777" w:rsidR="00F97782" w:rsidRPr="00F04A75" w:rsidRDefault="00F97782" w:rsidP="002D3077">
            <w:pPr>
              <w:shd w:val="clear" w:color="auto" w:fill="B8CCE4" w:themeFill="accent1" w:themeFillTint="66"/>
              <w:rPr>
                <w:rFonts w:ascii="Arial Narrow" w:hAnsi="Arial Narrow"/>
                <w:b/>
                <w:sz w:val="20"/>
                <w:szCs w:val="20"/>
                <w:vertAlign w:val="superscript"/>
                <w:lang w:val="en-AU"/>
              </w:rPr>
            </w:pPr>
            <w:proofErr w:type="spellStart"/>
            <w:r w:rsidRPr="00F04A75">
              <w:rPr>
                <w:rFonts w:ascii="Arial Narrow" w:hAnsi="Arial Narrow"/>
                <w:b/>
                <w:sz w:val="20"/>
                <w:szCs w:val="20"/>
                <w:lang w:val="en-AU"/>
              </w:rPr>
              <w:t>Elotuzumab</w:t>
            </w:r>
            <w:proofErr w:type="spellEnd"/>
            <w:r w:rsidRPr="00F04A75">
              <w:rPr>
                <w:rFonts w:ascii="Arial Narrow" w:hAnsi="Arial Narrow"/>
                <w:b/>
                <w:sz w:val="20"/>
                <w:szCs w:val="20"/>
                <w:lang w:val="en-AU"/>
              </w:rPr>
              <w:t xml:space="preserve"> in combination with lenalidomide and dexamethasone (</w:t>
            </w:r>
            <w:proofErr w:type="spellStart"/>
            <w:r w:rsidRPr="00F04A75">
              <w:rPr>
                <w:rFonts w:ascii="Arial Narrow" w:hAnsi="Arial Narrow"/>
                <w:b/>
                <w:sz w:val="20"/>
                <w:szCs w:val="20"/>
                <w:lang w:val="en-AU"/>
              </w:rPr>
              <w:t>ELd</w:t>
            </w:r>
            <w:proofErr w:type="spellEnd"/>
            <w:r w:rsidRPr="00F04A75">
              <w:rPr>
                <w:rFonts w:ascii="Arial Narrow" w:hAnsi="Arial Narrow"/>
                <w:b/>
                <w:sz w:val="20"/>
                <w:szCs w:val="20"/>
                <w:lang w:val="en-AU"/>
              </w:rPr>
              <w:t>)</w:t>
            </w:r>
            <w:r w:rsidRPr="00F04A75">
              <w:rPr>
                <w:rFonts w:ascii="Arial Narrow" w:hAnsi="Arial Narrow"/>
                <w:b/>
                <w:sz w:val="20"/>
                <w:szCs w:val="20"/>
                <w:vertAlign w:val="superscript"/>
                <w:lang w:val="en-AU"/>
              </w:rPr>
              <w:t>a</w:t>
            </w:r>
          </w:p>
          <w:p w14:paraId="2CB779B6" w14:textId="766EE760" w:rsidR="00F97782" w:rsidRPr="00F04A75" w:rsidRDefault="00F97782" w:rsidP="002D3077">
            <w:pPr>
              <w:shd w:val="clear" w:color="auto" w:fill="B8CCE4" w:themeFill="accent1" w:themeFillTint="66"/>
              <w:rPr>
                <w:rFonts w:ascii="Arial Narrow" w:hAnsi="Arial Narrow"/>
                <w:sz w:val="20"/>
                <w:szCs w:val="20"/>
                <w:u w:val="single"/>
                <w:lang w:val="en-AU"/>
              </w:rPr>
            </w:pPr>
            <w:r w:rsidRPr="00F04A75" w:rsidDel="006144FC">
              <w:rPr>
                <w:rFonts w:ascii="Arial Narrow" w:hAnsi="Arial Narrow"/>
                <w:sz w:val="20"/>
                <w:szCs w:val="20"/>
                <w:u w:val="single"/>
                <w:lang w:val="en-AU"/>
              </w:rPr>
              <w:t>28</w:t>
            </w:r>
            <w:r w:rsidRPr="00F04A75">
              <w:rPr>
                <w:rFonts w:ascii="Arial Narrow" w:hAnsi="Arial Narrow"/>
                <w:sz w:val="20"/>
                <w:szCs w:val="20"/>
                <w:u w:val="single"/>
                <w:lang w:val="en-AU"/>
              </w:rPr>
              <w:t>-day cycles</w:t>
            </w:r>
            <w:r w:rsidR="00C26732" w:rsidRPr="00F04A75">
              <w:rPr>
                <w:rFonts w:ascii="Arial Narrow" w:hAnsi="Arial Narrow"/>
                <w:sz w:val="20"/>
                <w:szCs w:val="20"/>
                <w:u w:val="single"/>
                <w:lang w:val="en-AU"/>
              </w:rPr>
              <w:t>:</w:t>
            </w:r>
          </w:p>
          <w:p w14:paraId="751A40E2" w14:textId="77777777" w:rsidR="00C26732" w:rsidRPr="00F04A75" w:rsidRDefault="00F97782" w:rsidP="002D3077">
            <w:pPr>
              <w:shd w:val="clear" w:color="auto" w:fill="B8CCE4" w:themeFill="accent1" w:themeFillTint="66"/>
              <w:rPr>
                <w:rFonts w:ascii="Arial Narrow" w:hAnsi="Arial Narrow"/>
                <w:sz w:val="20"/>
                <w:szCs w:val="20"/>
                <w:lang w:val="en-AU"/>
              </w:rPr>
            </w:pPr>
            <w:proofErr w:type="spellStart"/>
            <w:r w:rsidRPr="00F04A75">
              <w:rPr>
                <w:rFonts w:ascii="Arial Narrow" w:hAnsi="Arial Narrow"/>
                <w:i/>
                <w:sz w:val="20"/>
                <w:szCs w:val="20"/>
                <w:lang w:val="en-AU"/>
              </w:rPr>
              <w:t>Elotuzumab</w:t>
            </w:r>
            <w:proofErr w:type="spellEnd"/>
            <w:r w:rsidR="00C26732" w:rsidRPr="00F04A75">
              <w:rPr>
                <w:rFonts w:ascii="Arial Narrow" w:hAnsi="Arial Narrow"/>
                <w:i/>
                <w:sz w:val="20"/>
                <w:szCs w:val="20"/>
                <w:lang w:val="en-AU"/>
              </w:rPr>
              <w:t>:</w:t>
            </w:r>
            <w:r w:rsidRPr="00F04A75">
              <w:rPr>
                <w:rFonts w:ascii="Arial Narrow" w:hAnsi="Arial Narrow"/>
                <w:sz w:val="20"/>
                <w:szCs w:val="20"/>
                <w:lang w:val="en-AU"/>
              </w:rPr>
              <w:t xml:space="preserve"> </w:t>
            </w:r>
            <w:r w:rsidR="00C26732" w:rsidRPr="00F04A75">
              <w:rPr>
                <w:rFonts w:ascii="Arial Narrow" w:hAnsi="Arial Narrow"/>
                <w:sz w:val="20"/>
                <w:szCs w:val="20"/>
                <w:lang w:val="en-AU"/>
              </w:rPr>
              <w:t xml:space="preserve">Cycles 1-2: </w:t>
            </w:r>
            <w:r w:rsidRPr="00F04A75">
              <w:rPr>
                <w:rFonts w:ascii="Arial Narrow" w:hAnsi="Arial Narrow"/>
                <w:sz w:val="20"/>
                <w:szCs w:val="20"/>
                <w:lang w:val="en-AU"/>
              </w:rPr>
              <w:t xml:space="preserve">10 mg/kg IV </w:t>
            </w:r>
            <w:r w:rsidR="00C866A8" w:rsidRPr="00F04A75">
              <w:rPr>
                <w:rFonts w:ascii="Arial Narrow" w:hAnsi="Arial Narrow"/>
                <w:sz w:val="20"/>
                <w:szCs w:val="20"/>
                <w:lang w:val="en-AU"/>
              </w:rPr>
              <w:t>on D</w:t>
            </w:r>
            <w:r w:rsidRPr="00F04A75">
              <w:rPr>
                <w:rFonts w:ascii="Arial Narrow" w:hAnsi="Arial Narrow"/>
                <w:sz w:val="20"/>
                <w:szCs w:val="20"/>
                <w:lang w:val="en-AU"/>
              </w:rPr>
              <w:t>ays 1, 8, 15, and 22</w:t>
            </w:r>
          </w:p>
          <w:p w14:paraId="15C50839" w14:textId="754B1189" w:rsidR="00F97782" w:rsidRPr="00F04A75" w:rsidRDefault="00C26732" w:rsidP="002D3077">
            <w:pPr>
              <w:shd w:val="clear" w:color="auto" w:fill="B8CCE4" w:themeFill="accent1" w:themeFillTint="66"/>
              <w:rPr>
                <w:rFonts w:ascii="Arial Narrow" w:hAnsi="Arial Narrow"/>
                <w:sz w:val="20"/>
                <w:szCs w:val="20"/>
                <w:lang w:val="en-AU"/>
              </w:rPr>
            </w:pPr>
            <w:r w:rsidRPr="00F04A75">
              <w:rPr>
                <w:rFonts w:ascii="Arial Narrow" w:hAnsi="Arial Narrow"/>
                <w:sz w:val="20"/>
                <w:szCs w:val="20"/>
                <w:lang w:val="en-AU"/>
              </w:rPr>
              <w:t xml:space="preserve">                     Cycles 2+: 10 mg/kg IV</w:t>
            </w:r>
            <w:r w:rsidR="00F97782" w:rsidRPr="00F04A75">
              <w:rPr>
                <w:rFonts w:ascii="Arial Narrow" w:hAnsi="Arial Narrow"/>
                <w:sz w:val="20"/>
                <w:szCs w:val="20"/>
                <w:lang w:val="en-AU"/>
              </w:rPr>
              <w:t xml:space="preserve"> on </w:t>
            </w:r>
            <w:r w:rsidR="00C866A8" w:rsidRPr="00F04A75">
              <w:rPr>
                <w:rFonts w:ascii="Arial Narrow" w:hAnsi="Arial Narrow"/>
                <w:sz w:val="20"/>
                <w:szCs w:val="20"/>
                <w:lang w:val="en-AU"/>
              </w:rPr>
              <w:t>D</w:t>
            </w:r>
            <w:r w:rsidR="00F97782" w:rsidRPr="00F04A75">
              <w:rPr>
                <w:rFonts w:ascii="Arial Narrow" w:hAnsi="Arial Narrow"/>
                <w:sz w:val="20"/>
                <w:szCs w:val="20"/>
                <w:lang w:val="en-AU"/>
              </w:rPr>
              <w:t xml:space="preserve">ays 1 and 15 </w:t>
            </w:r>
          </w:p>
          <w:p w14:paraId="42D922A9" w14:textId="21271A61" w:rsidR="00F97782" w:rsidRPr="00F04A75" w:rsidRDefault="00F97782" w:rsidP="002D3077">
            <w:pPr>
              <w:shd w:val="clear" w:color="auto" w:fill="B8CCE4" w:themeFill="accent1" w:themeFillTint="66"/>
              <w:rPr>
                <w:rFonts w:ascii="Arial Narrow" w:hAnsi="Arial Narrow"/>
                <w:sz w:val="20"/>
                <w:szCs w:val="20"/>
                <w:lang w:val="en-AU"/>
              </w:rPr>
            </w:pPr>
            <w:r w:rsidRPr="00F04A75">
              <w:rPr>
                <w:rFonts w:ascii="Arial Narrow" w:hAnsi="Arial Narrow"/>
                <w:i/>
                <w:sz w:val="20"/>
                <w:szCs w:val="20"/>
                <w:lang w:val="en-AU"/>
              </w:rPr>
              <w:t>Lenalidomid</w:t>
            </w:r>
            <w:r w:rsidRPr="00F04A75">
              <w:rPr>
                <w:rFonts w:ascii="Arial Narrow" w:hAnsi="Arial Narrow"/>
                <w:sz w:val="20"/>
                <w:szCs w:val="20"/>
                <w:lang w:val="en-AU"/>
              </w:rPr>
              <w:t>e</w:t>
            </w:r>
            <w:r w:rsidR="00C26732" w:rsidRPr="00F04A75">
              <w:rPr>
                <w:rFonts w:ascii="Arial Narrow" w:hAnsi="Arial Narrow"/>
                <w:sz w:val="20"/>
                <w:szCs w:val="20"/>
                <w:lang w:val="en-AU"/>
              </w:rPr>
              <w:t>:</w:t>
            </w:r>
            <w:r w:rsidRPr="00F04A75">
              <w:rPr>
                <w:rFonts w:ascii="Arial Narrow" w:hAnsi="Arial Narrow"/>
                <w:sz w:val="20"/>
                <w:szCs w:val="20"/>
                <w:lang w:val="en-AU"/>
              </w:rPr>
              <w:t xml:space="preserve"> 25 mg orally on </w:t>
            </w:r>
            <w:r w:rsidR="00C866A8" w:rsidRPr="00F04A75">
              <w:rPr>
                <w:rFonts w:ascii="Arial Narrow" w:hAnsi="Arial Narrow"/>
                <w:sz w:val="20"/>
                <w:szCs w:val="20"/>
                <w:lang w:val="en-AU"/>
              </w:rPr>
              <w:t>D</w:t>
            </w:r>
            <w:r w:rsidRPr="00F04A75">
              <w:rPr>
                <w:rFonts w:ascii="Arial Narrow" w:hAnsi="Arial Narrow"/>
                <w:sz w:val="20"/>
                <w:szCs w:val="20"/>
                <w:lang w:val="en-AU"/>
              </w:rPr>
              <w:t xml:space="preserve">ays 1-21 </w:t>
            </w:r>
          </w:p>
          <w:p w14:paraId="0C91B607" w14:textId="77777777" w:rsidR="00C26732" w:rsidRPr="00F04A75" w:rsidRDefault="00F97782" w:rsidP="002D3077">
            <w:pPr>
              <w:shd w:val="clear" w:color="auto" w:fill="B8CCE4" w:themeFill="accent1" w:themeFillTint="66"/>
              <w:rPr>
                <w:rFonts w:ascii="Arial Narrow" w:hAnsi="Arial Narrow"/>
                <w:sz w:val="20"/>
                <w:szCs w:val="20"/>
                <w:lang w:val="en-AU"/>
              </w:rPr>
            </w:pPr>
            <w:r w:rsidRPr="00F04A75">
              <w:rPr>
                <w:rFonts w:ascii="Arial Narrow" w:hAnsi="Arial Narrow"/>
                <w:i/>
                <w:sz w:val="20"/>
                <w:szCs w:val="20"/>
                <w:lang w:val="en-AU"/>
              </w:rPr>
              <w:t>Dexamethasone</w:t>
            </w:r>
            <w:r w:rsidR="00C26732" w:rsidRPr="00F04A75">
              <w:rPr>
                <w:rFonts w:ascii="Arial Narrow" w:hAnsi="Arial Narrow"/>
                <w:i/>
                <w:sz w:val="20"/>
                <w:szCs w:val="20"/>
                <w:lang w:val="en-AU"/>
              </w:rPr>
              <w:t>:</w:t>
            </w:r>
            <w:r w:rsidRPr="00F04A75">
              <w:rPr>
                <w:rFonts w:ascii="Arial Narrow" w:hAnsi="Arial Narrow"/>
                <w:sz w:val="20"/>
                <w:szCs w:val="20"/>
                <w:lang w:val="en-AU"/>
              </w:rPr>
              <w:t xml:space="preserve"> </w:t>
            </w:r>
            <w:r w:rsidR="00C26732" w:rsidRPr="00F04A75">
              <w:rPr>
                <w:rFonts w:ascii="Arial Narrow" w:hAnsi="Arial Narrow"/>
                <w:sz w:val="20"/>
                <w:szCs w:val="20"/>
                <w:lang w:val="en-AU"/>
              </w:rPr>
              <w:t xml:space="preserve">Cycles 1-2: </w:t>
            </w:r>
            <w:r w:rsidRPr="00F04A75">
              <w:rPr>
                <w:rFonts w:ascii="Arial Narrow" w:hAnsi="Arial Narrow"/>
                <w:sz w:val="20"/>
                <w:szCs w:val="20"/>
                <w:lang w:val="en-AU"/>
              </w:rPr>
              <w:t xml:space="preserve">28 mg orally on </w:t>
            </w:r>
            <w:r w:rsidR="00C866A8" w:rsidRPr="00F04A75">
              <w:rPr>
                <w:rFonts w:ascii="Arial Narrow" w:hAnsi="Arial Narrow"/>
                <w:sz w:val="20"/>
                <w:szCs w:val="20"/>
                <w:lang w:val="en-AU"/>
              </w:rPr>
              <w:t>D</w:t>
            </w:r>
            <w:r w:rsidRPr="00F04A75">
              <w:rPr>
                <w:rFonts w:ascii="Arial Narrow" w:hAnsi="Arial Narrow"/>
                <w:sz w:val="20"/>
                <w:szCs w:val="20"/>
                <w:lang w:val="en-AU"/>
              </w:rPr>
              <w:t>ays 1, 8, 15 and 22</w:t>
            </w:r>
          </w:p>
          <w:p w14:paraId="1F1390D4" w14:textId="16CE1463" w:rsidR="00F97782" w:rsidRPr="00F04A75" w:rsidRDefault="00C26732" w:rsidP="002D3077">
            <w:pPr>
              <w:shd w:val="clear" w:color="auto" w:fill="B8CCE4" w:themeFill="accent1" w:themeFillTint="66"/>
              <w:rPr>
                <w:rFonts w:ascii="Arial Narrow" w:hAnsi="Arial Narrow"/>
                <w:sz w:val="20"/>
                <w:szCs w:val="20"/>
                <w:lang w:val="en-AU"/>
              </w:rPr>
            </w:pPr>
            <w:r w:rsidRPr="00F04A75">
              <w:rPr>
                <w:rFonts w:ascii="Arial Narrow" w:hAnsi="Arial Narrow"/>
                <w:sz w:val="20"/>
                <w:szCs w:val="20"/>
                <w:lang w:val="en-AU"/>
              </w:rPr>
              <w:lastRenderedPageBreak/>
              <w:t xml:space="preserve">                            Cycles 3+: </w:t>
            </w:r>
            <w:r w:rsidR="00F97782" w:rsidRPr="00F04A75">
              <w:rPr>
                <w:rFonts w:ascii="Arial Narrow" w:hAnsi="Arial Narrow"/>
                <w:sz w:val="20"/>
                <w:szCs w:val="20"/>
                <w:lang w:val="en-AU"/>
              </w:rPr>
              <w:t xml:space="preserve">40 mg on </w:t>
            </w:r>
            <w:r w:rsidR="00C866A8" w:rsidRPr="00F04A75">
              <w:rPr>
                <w:rFonts w:ascii="Arial Narrow" w:hAnsi="Arial Narrow"/>
                <w:sz w:val="20"/>
                <w:szCs w:val="20"/>
                <w:lang w:val="en-AU"/>
              </w:rPr>
              <w:t>D</w:t>
            </w:r>
            <w:r w:rsidR="00F97782" w:rsidRPr="00F04A75">
              <w:rPr>
                <w:rFonts w:ascii="Arial Narrow" w:hAnsi="Arial Narrow"/>
                <w:sz w:val="20"/>
                <w:szCs w:val="20"/>
                <w:lang w:val="en-AU"/>
              </w:rPr>
              <w:t>ays 8 and 22</w:t>
            </w:r>
          </w:p>
          <w:p w14:paraId="4CA7C9EA" w14:textId="77777777" w:rsidR="00F97782" w:rsidRPr="00F04A75" w:rsidRDefault="00F97782" w:rsidP="002D3077">
            <w:pPr>
              <w:rPr>
                <w:rFonts w:ascii="Arial Narrow" w:hAnsi="Arial Narrow"/>
                <w:b/>
                <w:sz w:val="20"/>
                <w:szCs w:val="20"/>
                <w:lang w:val="en-AU"/>
              </w:rPr>
            </w:pPr>
            <w:r w:rsidRPr="00F04A75">
              <w:rPr>
                <w:rFonts w:ascii="Arial Narrow" w:hAnsi="Arial Narrow"/>
                <w:b/>
                <w:sz w:val="20"/>
                <w:szCs w:val="20"/>
                <w:lang w:val="en-AU"/>
              </w:rPr>
              <w:t>Pomalidomide in combination with bortezomib and dexamethasone (</w:t>
            </w:r>
            <w:proofErr w:type="spellStart"/>
            <w:r w:rsidRPr="00F04A75">
              <w:rPr>
                <w:rFonts w:ascii="Arial Narrow" w:hAnsi="Arial Narrow"/>
                <w:b/>
                <w:sz w:val="20"/>
                <w:szCs w:val="20"/>
                <w:lang w:val="en-AU"/>
              </w:rPr>
              <w:t>PBd</w:t>
            </w:r>
            <w:proofErr w:type="spellEnd"/>
            <w:r w:rsidRPr="00F04A75">
              <w:rPr>
                <w:rFonts w:ascii="Arial Narrow" w:hAnsi="Arial Narrow"/>
                <w:b/>
                <w:sz w:val="20"/>
                <w:szCs w:val="20"/>
                <w:lang w:val="en-AU"/>
              </w:rPr>
              <w:t xml:space="preserve">) </w:t>
            </w:r>
          </w:p>
          <w:p w14:paraId="5BF9F8FD" w14:textId="26E84C55" w:rsidR="00F97782" w:rsidRPr="00F04A75" w:rsidRDefault="00F97782" w:rsidP="002D3077">
            <w:pPr>
              <w:rPr>
                <w:rFonts w:ascii="Arial Narrow" w:hAnsi="Arial Narrow"/>
                <w:sz w:val="20"/>
                <w:szCs w:val="20"/>
                <w:u w:val="single"/>
                <w:lang w:val="en-AU"/>
              </w:rPr>
            </w:pPr>
            <w:r w:rsidRPr="00F04A75">
              <w:rPr>
                <w:rFonts w:ascii="Arial Narrow" w:hAnsi="Arial Narrow"/>
                <w:sz w:val="20"/>
                <w:szCs w:val="20"/>
                <w:u w:val="single"/>
                <w:lang w:val="en-AU"/>
              </w:rPr>
              <w:t>21</w:t>
            </w:r>
            <w:r w:rsidR="00C866A8" w:rsidRPr="00F04A75">
              <w:rPr>
                <w:rFonts w:ascii="Arial Narrow" w:hAnsi="Arial Narrow"/>
                <w:sz w:val="20"/>
                <w:szCs w:val="20"/>
                <w:u w:val="single"/>
                <w:lang w:val="en-AU"/>
              </w:rPr>
              <w:t>-</w:t>
            </w:r>
            <w:r w:rsidRPr="00F04A75">
              <w:rPr>
                <w:rFonts w:ascii="Arial Narrow" w:hAnsi="Arial Narrow"/>
                <w:sz w:val="20"/>
                <w:szCs w:val="20"/>
                <w:u w:val="single"/>
                <w:lang w:val="en-AU"/>
              </w:rPr>
              <w:t>day cycles</w:t>
            </w:r>
          </w:p>
          <w:p w14:paraId="1FD1D9BA" w14:textId="7AF0E56A" w:rsidR="00F97782" w:rsidRPr="00F04A75" w:rsidRDefault="00F97782" w:rsidP="002D3077">
            <w:pPr>
              <w:rPr>
                <w:rFonts w:ascii="Arial Narrow" w:hAnsi="Arial Narrow"/>
                <w:sz w:val="20"/>
                <w:szCs w:val="20"/>
                <w:lang w:val="en-AU"/>
              </w:rPr>
            </w:pPr>
            <w:r w:rsidRPr="00F04A75">
              <w:rPr>
                <w:rFonts w:ascii="Arial Narrow" w:hAnsi="Arial Narrow"/>
                <w:i/>
                <w:sz w:val="20"/>
                <w:szCs w:val="20"/>
                <w:lang w:val="en-AU"/>
              </w:rPr>
              <w:t>Pomalidomide</w:t>
            </w:r>
            <w:r w:rsidR="00C26732" w:rsidRPr="00F04A75">
              <w:rPr>
                <w:rFonts w:ascii="Arial Narrow" w:hAnsi="Arial Narrow"/>
                <w:i/>
                <w:sz w:val="20"/>
                <w:szCs w:val="20"/>
                <w:lang w:val="en-AU"/>
              </w:rPr>
              <w:t>:</w:t>
            </w:r>
            <w:r w:rsidRPr="00F04A75">
              <w:rPr>
                <w:rFonts w:ascii="Arial Narrow" w:hAnsi="Arial Narrow"/>
                <w:sz w:val="20"/>
                <w:szCs w:val="20"/>
                <w:lang w:val="en-AU"/>
              </w:rPr>
              <w:t xml:space="preserve"> 4 mg orally on </w:t>
            </w:r>
            <w:r w:rsidR="00C866A8" w:rsidRPr="00F04A75">
              <w:rPr>
                <w:rFonts w:ascii="Arial Narrow" w:hAnsi="Arial Narrow"/>
                <w:sz w:val="20"/>
                <w:szCs w:val="20"/>
                <w:lang w:val="en-AU"/>
              </w:rPr>
              <w:t>D</w:t>
            </w:r>
            <w:r w:rsidRPr="00F04A75">
              <w:rPr>
                <w:rFonts w:ascii="Arial Narrow" w:hAnsi="Arial Narrow"/>
                <w:sz w:val="20"/>
                <w:szCs w:val="20"/>
                <w:lang w:val="en-AU"/>
              </w:rPr>
              <w:t xml:space="preserve">ays 1-14 </w:t>
            </w:r>
          </w:p>
          <w:p w14:paraId="7D552828" w14:textId="78E5A4C1" w:rsidR="00C866A8" w:rsidRPr="00F04A75" w:rsidRDefault="00F97782" w:rsidP="002D3077">
            <w:pPr>
              <w:rPr>
                <w:rFonts w:ascii="Arial Narrow" w:hAnsi="Arial Narrow"/>
                <w:sz w:val="20"/>
                <w:szCs w:val="20"/>
                <w:lang w:val="en-AU"/>
              </w:rPr>
            </w:pPr>
            <w:r w:rsidRPr="00F04A75">
              <w:rPr>
                <w:rFonts w:ascii="Arial Narrow" w:hAnsi="Arial Narrow"/>
                <w:i/>
                <w:sz w:val="20"/>
                <w:szCs w:val="20"/>
                <w:lang w:val="en-AU"/>
              </w:rPr>
              <w:t>Bortezomib</w:t>
            </w:r>
            <w:r w:rsidR="00C26732" w:rsidRPr="00F04A75">
              <w:rPr>
                <w:rFonts w:ascii="Arial Narrow" w:hAnsi="Arial Narrow"/>
                <w:i/>
                <w:sz w:val="20"/>
                <w:szCs w:val="20"/>
                <w:lang w:val="en-AU"/>
              </w:rPr>
              <w:t>:</w:t>
            </w:r>
            <w:r w:rsidRPr="00F04A75">
              <w:rPr>
                <w:rFonts w:ascii="Arial Narrow" w:hAnsi="Arial Narrow"/>
                <w:sz w:val="20"/>
                <w:szCs w:val="20"/>
                <w:lang w:val="en-AU"/>
              </w:rPr>
              <w:t xml:space="preserve"> Cycle</w:t>
            </w:r>
            <w:r w:rsidR="00C26732" w:rsidRPr="00F04A75">
              <w:rPr>
                <w:rFonts w:ascii="Arial Narrow" w:hAnsi="Arial Narrow"/>
                <w:sz w:val="20"/>
                <w:szCs w:val="20"/>
                <w:lang w:val="en-AU"/>
              </w:rPr>
              <w:t>s</w:t>
            </w:r>
            <w:r w:rsidRPr="00F04A75">
              <w:rPr>
                <w:rFonts w:ascii="Arial Narrow" w:hAnsi="Arial Narrow"/>
                <w:sz w:val="20"/>
                <w:szCs w:val="20"/>
                <w:lang w:val="en-AU"/>
              </w:rPr>
              <w:t xml:space="preserve"> 1-8: 1.3 mg/m</w:t>
            </w:r>
            <w:r w:rsidRPr="00F04A75">
              <w:rPr>
                <w:rFonts w:ascii="Arial Narrow" w:hAnsi="Arial Narrow"/>
                <w:sz w:val="20"/>
                <w:szCs w:val="20"/>
                <w:vertAlign w:val="superscript"/>
                <w:lang w:val="en-AU"/>
              </w:rPr>
              <w:t xml:space="preserve">2 </w:t>
            </w:r>
            <w:r w:rsidRPr="00F04A75">
              <w:rPr>
                <w:rFonts w:ascii="Arial Narrow" w:hAnsi="Arial Narrow"/>
                <w:sz w:val="20"/>
                <w:szCs w:val="20"/>
                <w:lang w:val="en-AU"/>
              </w:rPr>
              <w:t xml:space="preserve">on </w:t>
            </w:r>
            <w:r w:rsidR="00C866A8" w:rsidRPr="00F04A75">
              <w:rPr>
                <w:rFonts w:ascii="Arial Narrow" w:hAnsi="Arial Narrow"/>
                <w:sz w:val="20"/>
                <w:szCs w:val="20"/>
                <w:lang w:val="en-AU"/>
              </w:rPr>
              <w:t>D</w:t>
            </w:r>
            <w:r w:rsidRPr="00F04A75">
              <w:rPr>
                <w:rFonts w:ascii="Arial Narrow" w:hAnsi="Arial Narrow"/>
                <w:sz w:val="20"/>
                <w:szCs w:val="20"/>
                <w:lang w:val="en-AU"/>
              </w:rPr>
              <w:t>ays 1, 4, 8 and 11</w:t>
            </w:r>
          </w:p>
          <w:p w14:paraId="509A89EA" w14:textId="7D8BA457" w:rsidR="00F97782" w:rsidRPr="00F04A75" w:rsidRDefault="00C26732" w:rsidP="002D3077">
            <w:pPr>
              <w:rPr>
                <w:rFonts w:ascii="Arial Narrow" w:hAnsi="Arial Narrow"/>
                <w:sz w:val="20"/>
                <w:szCs w:val="20"/>
                <w:lang w:val="en-AU"/>
              </w:rPr>
            </w:pPr>
            <w:r w:rsidRPr="00F04A75">
              <w:rPr>
                <w:rFonts w:ascii="Arial Narrow" w:hAnsi="Arial Narrow"/>
                <w:sz w:val="20"/>
                <w:szCs w:val="20"/>
                <w:lang w:val="en-AU"/>
              </w:rPr>
              <w:t xml:space="preserve">                    </w:t>
            </w:r>
            <w:r w:rsidR="00F97782" w:rsidRPr="00F04A75">
              <w:rPr>
                <w:rFonts w:ascii="Arial Narrow" w:hAnsi="Arial Narrow"/>
                <w:sz w:val="20"/>
                <w:szCs w:val="20"/>
                <w:lang w:val="en-AU"/>
              </w:rPr>
              <w:t>Cycle 9</w:t>
            </w:r>
            <w:r w:rsidRPr="00F04A75">
              <w:rPr>
                <w:rFonts w:ascii="Arial Narrow" w:hAnsi="Arial Narrow"/>
                <w:sz w:val="20"/>
                <w:szCs w:val="20"/>
                <w:lang w:val="en-AU"/>
              </w:rPr>
              <w:t>+: 10 mg/kg IV+</w:t>
            </w:r>
            <w:r w:rsidR="00F97782" w:rsidRPr="00F04A75">
              <w:rPr>
                <w:rFonts w:ascii="Arial Narrow" w:hAnsi="Arial Narrow"/>
                <w:sz w:val="20"/>
                <w:szCs w:val="20"/>
                <w:lang w:val="en-AU"/>
              </w:rPr>
              <w:t>: 1.3 mg/m</w:t>
            </w:r>
            <w:r w:rsidR="00F97782" w:rsidRPr="00F04A75">
              <w:rPr>
                <w:rFonts w:ascii="Arial Narrow" w:hAnsi="Arial Narrow"/>
                <w:sz w:val="20"/>
                <w:szCs w:val="20"/>
                <w:vertAlign w:val="superscript"/>
                <w:lang w:val="en-AU"/>
              </w:rPr>
              <w:t xml:space="preserve">2 </w:t>
            </w:r>
            <w:r w:rsidR="00F97782" w:rsidRPr="00F04A75">
              <w:rPr>
                <w:rFonts w:ascii="Arial Narrow" w:hAnsi="Arial Narrow"/>
                <w:sz w:val="20"/>
                <w:szCs w:val="20"/>
                <w:lang w:val="en-AU"/>
              </w:rPr>
              <w:t xml:space="preserve">on </w:t>
            </w:r>
            <w:r w:rsidR="00C866A8" w:rsidRPr="00F04A75">
              <w:rPr>
                <w:rFonts w:ascii="Arial Narrow" w:hAnsi="Arial Narrow"/>
                <w:sz w:val="20"/>
                <w:szCs w:val="20"/>
                <w:lang w:val="en-AU"/>
              </w:rPr>
              <w:t>D</w:t>
            </w:r>
            <w:r w:rsidR="00F97782" w:rsidRPr="00F04A75">
              <w:rPr>
                <w:rFonts w:ascii="Arial Narrow" w:hAnsi="Arial Narrow"/>
                <w:sz w:val="20"/>
                <w:szCs w:val="20"/>
                <w:lang w:val="en-AU"/>
              </w:rPr>
              <w:t xml:space="preserve">ays 1 and 8. </w:t>
            </w:r>
          </w:p>
          <w:p w14:paraId="7F960166" w14:textId="77777777" w:rsidR="00C26732" w:rsidRPr="00F04A75" w:rsidRDefault="00F97782" w:rsidP="002D3077">
            <w:pPr>
              <w:rPr>
                <w:rFonts w:ascii="Arial Narrow" w:hAnsi="Arial Narrow"/>
                <w:sz w:val="20"/>
                <w:szCs w:val="20"/>
                <w:lang w:val="en-AU"/>
              </w:rPr>
            </w:pPr>
            <w:r w:rsidRPr="00F04A75">
              <w:rPr>
                <w:rFonts w:ascii="Arial Narrow" w:hAnsi="Arial Narrow"/>
                <w:i/>
                <w:sz w:val="20"/>
                <w:szCs w:val="20"/>
                <w:lang w:val="en-AU"/>
              </w:rPr>
              <w:t>Dexamethasone</w:t>
            </w:r>
            <w:r w:rsidR="00C26732" w:rsidRPr="00F04A75">
              <w:rPr>
                <w:rFonts w:ascii="Arial Narrow" w:hAnsi="Arial Narrow"/>
                <w:i/>
                <w:sz w:val="20"/>
                <w:szCs w:val="20"/>
                <w:lang w:val="en-AU"/>
              </w:rPr>
              <w:t>:</w:t>
            </w:r>
            <w:r w:rsidRPr="00F04A75">
              <w:rPr>
                <w:rFonts w:ascii="Arial Narrow" w:hAnsi="Arial Narrow"/>
                <w:sz w:val="20"/>
                <w:szCs w:val="20"/>
                <w:lang w:val="en-AU"/>
              </w:rPr>
              <w:t xml:space="preserve"> Cycles 1-8: 20 mg orally on days 1, 2, 4, 5, 8, 9, 11 and 12, </w:t>
            </w:r>
          </w:p>
          <w:p w14:paraId="53A9AB93" w14:textId="3E94C407" w:rsidR="00F97782" w:rsidRPr="00F04A75" w:rsidRDefault="00C26732" w:rsidP="002D3077">
            <w:pPr>
              <w:rPr>
                <w:rFonts w:ascii="Arial Narrow" w:hAnsi="Arial Narrow"/>
                <w:sz w:val="20"/>
                <w:szCs w:val="20"/>
                <w:lang w:val="en-AU"/>
              </w:rPr>
            </w:pPr>
            <w:r w:rsidRPr="00F04A75">
              <w:rPr>
                <w:rFonts w:ascii="Arial Narrow" w:hAnsi="Arial Narrow"/>
                <w:sz w:val="20"/>
                <w:szCs w:val="20"/>
                <w:lang w:val="en-AU"/>
              </w:rPr>
              <w:t xml:space="preserve">                            </w:t>
            </w:r>
            <w:r w:rsidR="00F97782" w:rsidRPr="00F04A75">
              <w:rPr>
                <w:rFonts w:ascii="Arial Narrow" w:hAnsi="Arial Narrow"/>
                <w:sz w:val="20"/>
                <w:szCs w:val="20"/>
                <w:lang w:val="en-AU"/>
              </w:rPr>
              <w:t>Cycle 9</w:t>
            </w:r>
            <w:r w:rsidRPr="00F04A75">
              <w:rPr>
                <w:rFonts w:ascii="Arial Narrow" w:hAnsi="Arial Narrow"/>
                <w:sz w:val="20"/>
                <w:szCs w:val="20"/>
                <w:lang w:val="en-AU"/>
              </w:rPr>
              <w:t>+</w:t>
            </w:r>
            <w:r w:rsidR="00F97782" w:rsidRPr="00F04A75">
              <w:rPr>
                <w:rFonts w:ascii="Arial Narrow" w:hAnsi="Arial Narrow"/>
                <w:sz w:val="20"/>
                <w:szCs w:val="20"/>
                <w:lang w:val="en-AU"/>
              </w:rPr>
              <w:t>: 20 mg on Days 1, 2, 8 and 9</w:t>
            </w:r>
          </w:p>
        </w:tc>
      </w:tr>
      <w:tr w:rsidR="00F97782" w:rsidRPr="00F04A75" w14:paraId="70A487E7" w14:textId="77777777" w:rsidTr="0016658B">
        <w:tc>
          <w:tcPr>
            <w:tcW w:w="1271" w:type="dxa"/>
          </w:tcPr>
          <w:p w14:paraId="2F1C3F7C" w14:textId="77777777" w:rsidR="00F97782" w:rsidRPr="00F04A75" w:rsidRDefault="00F97782" w:rsidP="002D3077">
            <w:pPr>
              <w:rPr>
                <w:rFonts w:ascii="Arial Narrow" w:hAnsi="Arial Narrow"/>
                <w:sz w:val="20"/>
                <w:szCs w:val="20"/>
                <w:lang w:val="en-AU"/>
              </w:rPr>
            </w:pPr>
            <w:r w:rsidRPr="00F04A75">
              <w:rPr>
                <w:rFonts w:ascii="Arial Narrow" w:hAnsi="Arial Narrow"/>
                <w:sz w:val="20"/>
                <w:szCs w:val="20"/>
                <w:lang w:val="en-AU"/>
              </w:rPr>
              <w:lastRenderedPageBreak/>
              <w:t>Outcomes</w:t>
            </w:r>
          </w:p>
        </w:tc>
        <w:tc>
          <w:tcPr>
            <w:tcW w:w="7745" w:type="dxa"/>
          </w:tcPr>
          <w:p w14:paraId="69BC5747" w14:textId="77777777" w:rsidR="00F97782" w:rsidRPr="00F04A75" w:rsidRDefault="00F97782" w:rsidP="002D3077">
            <w:pPr>
              <w:rPr>
                <w:rFonts w:ascii="Arial Narrow" w:hAnsi="Arial Narrow"/>
                <w:sz w:val="20"/>
                <w:szCs w:val="20"/>
                <w:lang w:val="en-AU"/>
              </w:rPr>
            </w:pPr>
            <w:r w:rsidRPr="00F04A75">
              <w:rPr>
                <w:rFonts w:ascii="Arial Narrow" w:hAnsi="Arial Narrow"/>
                <w:sz w:val="20"/>
                <w:szCs w:val="20"/>
                <w:lang w:val="en-AU"/>
              </w:rPr>
              <w:t xml:space="preserve">Main outcomes assessed are PFS, OS and safety for each of the following comparisons: </w:t>
            </w:r>
          </w:p>
          <w:p w14:paraId="796D39D2" w14:textId="77777777" w:rsidR="00F97782" w:rsidRPr="00F04A75" w:rsidRDefault="00F97782" w:rsidP="002D3077">
            <w:pPr>
              <w:rPr>
                <w:rFonts w:ascii="Arial Narrow" w:hAnsi="Arial Narrow"/>
                <w:sz w:val="20"/>
                <w:szCs w:val="20"/>
                <w:lang w:val="en-AU"/>
              </w:rPr>
            </w:pPr>
            <w:r w:rsidRPr="00F04A75">
              <w:rPr>
                <w:rFonts w:ascii="Arial Narrow" w:hAnsi="Arial Narrow"/>
                <w:sz w:val="20"/>
                <w:szCs w:val="20"/>
                <w:lang w:val="en-AU"/>
              </w:rPr>
              <w:t xml:space="preserve">Indirect treatment comparison of </w:t>
            </w:r>
            <w:proofErr w:type="spellStart"/>
            <w:r w:rsidRPr="00F04A75">
              <w:rPr>
                <w:rFonts w:ascii="Arial Narrow" w:hAnsi="Arial Narrow"/>
                <w:sz w:val="20"/>
                <w:szCs w:val="20"/>
                <w:lang w:val="en-AU"/>
              </w:rPr>
              <w:t>CLd</w:t>
            </w:r>
            <w:proofErr w:type="spellEnd"/>
            <w:r w:rsidRPr="00F04A75">
              <w:rPr>
                <w:rFonts w:ascii="Arial Narrow" w:hAnsi="Arial Narrow"/>
                <w:sz w:val="20"/>
                <w:szCs w:val="20"/>
                <w:lang w:val="en-AU"/>
              </w:rPr>
              <w:t xml:space="preserve"> vs </w:t>
            </w:r>
            <w:proofErr w:type="spellStart"/>
            <w:r w:rsidRPr="00F04A75">
              <w:rPr>
                <w:rFonts w:ascii="Arial Narrow" w:hAnsi="Arial Narrow"/>
                <w:sz w:val="20"/>
                <w:szCs w:val="20"/>
                <w:lang w:val="en-AU"/>
              </w:rPr>
              <w:t>Ld</w:t>
            </w:r>
            <w:proofErr w:type="spellEnd"/>
            <w:r w:rsidRPr="00F04A75">
              <w:rPr>
                <w:rFonts w:ascii="Arial Narrow" w:hAnsi="Arial Narrow"/>
                <w:sz w:val="20"/>
                <w:szCs w:val="20"/>
                <w:lang w:val="en-AU"/>
              </w:rPr>
              <w:t xml:space="preserve"> (ASPIRE) vs:</w:t>
            </w:r>
          </w:p>
          <w:p w14:paraId="6E50373B" w14:textId="77777777" w:rsidR="00F97782" w:rsidRPr="00F04A75" w:rsidRDefault="00F97782" w:rsidP="002D3077">
            <w:pPr>
              <w:rPr>
                <w:rFonts w:ascii="Arial Narrow" w:hAnsi="Arial Narrow"/>
                <w:sz w:val="20"/>
                <w:szCs w:val="20"/>
                <w:lang w:val="en-AU"/>
              </w:rPr>
            </w:pPr>
            <w:r w:rsidRPr="00F04A75">
              <w:rPr>
                <w:rFonts w:ascii="Arial Narrow" w:hAnsi="Arial Narrow"/>
                <w:sz w:val="20"/>
                <w:szCs w:val="20"/>
                <w:lang w:val="en-AU"/>
              </w:rPr>
              <w:t>Main comparator:</w:t>
            </w:r>
          </w:p>
          <w:p w14:paraId="1663BBB6" w14:textId="77777777" w:rsidR="00F97782" w:rsidRPr="00F04A75" w:rsidRDefault="00F97782" w:rsidP="002D3077">
            <w:pPr>
              <w:numPr>
                <w:ilvl w:val="0"/>
                <w:numId w:val="5"/>
              </w:numPr>
              <w:rPr>
                <w:rFonts w:ascii="Arial Narrow" w:hAnsi="Arial Narrow"/>
                <w:sz w:val="20"/>
                <w:szCs w:val="20"/>
                <w:lang w:val="en-AU"/>
              </w:rPr>
            </w:pPr>
            <w:r w:rsidRPr="00F04A75">
              <w:rPr>
                <w:rFonts w:ascii="Arial Narrow" w:hAnsi="Arial Narrow"/>
                <w:sz w:val="20"/>
                <w:szCs w:val="20"/>
                <w:lang w:val="en-AU"/>
              </w:rPr>
              <w:t>Cd (ENDEAVOR – Cd56 BIW vs Bd)</w:t>
            </w:r>
          </w:p>
          <w:p w14:paraId="0B24F08A" w14:textId="77777777" w:rsidR="00F97782" w:rsidRPr="00F04A75" w:rsidRDefault="00F97782" w:rsidP="002D3077">
            <w:pPr>
              <w:numPr>
                <w:ilvl w:val="0"/>
                <w:numId w:val="5"/>
              </w:numPr>
              <w:rPr>
                <w:rFonts w:ascii="Arial Narrow" w:hAnsi="Arial Narrow"/>
                <w:sz w:val="20"/>
                <w:szCs w:val="20"/>
                <w:lang w:val="en-AU"/>
              </w:rPr>
            </w:pPr>
            <w:r w:rsidRPr="00F04A75">
              <w:rPr>
                <w:rFonts w:ascii="Arial Narrow" w:hAnsi="Arial Narrow"/>
                <w:sz w:val="20"/>
                <w:szCs w:val="20"/>
                <w:lang w:val="en-AU"/>
              </w:rPr>
              <w:t xml:space="preserve">Cd (ARROW – Cd70 QW vs Cd27 BIW) </w:t>
            </w:r>
          </w:p>
          <w:p w14:paraId="232C932F" w14:textId="77777777" w:rsidR="00F97782" w:rsidRPr="00F04A75" w:rsidRDefault="00F97782" w:rsidP="002D3077">
            <w:pPr>
              <w:rPr>
                <w:rFonts w:ascii="Arial Narrow" w:hAnsi="Arial Narrow"/>
                <w:sz w:val="20"/>
                <w:szCs w:val="20"/>
                <w:lang w:val="en-AU"/>
              </w:rPr>
            </w:pPr>
            <w:r w:rsidRPr="00F04A75">
              <w:rPr>
                <w:rFonts w:ascii="Arial Narrow" w:hAnsi="Arial Narrow"/>
                <w:sz w:val="20"/>
                <w:szCs w:val="20"/>
                <w:lang w:val="en-AU"/>
              </w:rPr>
              <w:t>Secondary comparators:</w:t>
            </w:r>
          </w:p>
          <w:p w14:paraId="00173CA2" w14:textId="77777777" w:rsidR="00F97782" w:rsidRPr="00F04A75" w:rsidRDefault="00F97782" w:rsidP="002D3077">
            <w:pPr>
              <w:numPr>
                <w:ilvl w:val="0"/>
                <w:numId w:val="6"/>
              </w:numPr>
              <w:shd w:val="clear" w:color="auto" w:fill="B8CCE4" w:themeFill="accent1" w:themeFillTint="66"/>
              <w:rPr>
                <w:rFonts w:ascii="Arial Narrow" w:hAnsi="Arial Narrow"/>
                <w:sz w:val="20"/>
                <w:szCs w:val="20"/>
                <w:lang w:val="en-AU"/>
              </w:rPr>
            </w:pPr>
            <w:proofErr w:type="spellStart"/>
            <w:r w:rsidRPr="00F04A75">
              <w:rPr>
                <w:rFonts w:ascii="Arial Narrow" w:hAnsi="Arial Narrow"/>
                <w:sz w:val="20"/>
                <w:szCs w:val="20"/>
                <w:lang w:val="en-AU"/>
              </w:rPr>
              <w:t>ELd</w:t>
            </w:r>
            <w:proofErr w:type="spellEnd"/>
            <w:r w:rsidRPr="00F04A75">
              <w:rPr>
                <w:rFonts w:ascii="Arial Narrow" w:hAnsi="Arial Narrow"/>
                <w:sz w:val="20"/>
                <w:szCs w:val="20"/>
                <w:lang w:val="en-AU"/>
              </w:rPr>
              <w:t xml:space="preserve"> (ELOQUENT-2 – </w:t>
            </w:r>
            <w:proofErr w:type="spellStart"/>
            <w:r w:rsidRPr="00F04A75">
              <w:rPr>
                <w:rFonts w:ascii="Arial Narrow" w:hAnsi="Arial Narrow"/>
                <w:sz w:val="20"/>
                <w:szCs w:val="20"/>
                <w:lang w:val="en-AU"/>
              </w:rPr>
              <w:t>ELd</w:t>
            </w:r>
            <w:proofErr w:type="spellEnd"/>
            <w:r w:rsidRPr="00F04A75">
              <w:rPr>
                <w:rFonts w:ascii="Arial Narrow" w:hAnsi="Arial Narrow"/>
                <w:sz w:val="20"/>
                <w:szCs w:val="20"/>
                <w:lang w:val="en-AU"/>
              </w:rPr>
              <w:t xml:space="preserve"> vs </w:t>
            </w:r>
            <w:proofErr w:type="spellStart"/>
            <w:r w:rsidRPr="00F04A75">
              <w:rPr>
                <w:rFonts w:ascii="Arial Narrow" w:hAnsi="Arial Narrow"/>
                <w:sz w:val="20"/>
                <w:szCs w:val="20"/>
                <w:lang w:val="en-AU"/>
              </w:rPr>
              <w:t>Ld</w:t>
            </w:r>
            <w:proofErr w:type="spellEnd"/>
            <w:r w:rsidRPr="00F04A75">
              <w:rPr>
                <w:rFonts w:ascii="Arial Narrow" w:hAnsi="Arial Narrow"/>
                <w:sz w:val="20"/>
                <w:szCs w:val="20"/>
                <w:lang w:val="en-AU"/>
              </w:rPr>
              <w:t>)</w:t>
            </w:r>
          </w:p>
          <w:p w14:paraId="167DBC11" w14:textId="77777777" w:rsidR="00F97782" w:rsidRPr="00F04A75" w:rsidRDefault="00F97782" w:rsidP="002D3077">
            <w:pPr>
              <w:numPr>
                <w:ilvl w:val="0"/>
                <w:numId w:val="6"/>
              </w:numPr>
              <w:rPr>
                <w:rFonts w:ascii="Arial Narrow" w:hAnsi="Arial Narrow"/>
                <w:sz w:val="20"/>
                <w:szCs w:val="20"/>
                <w:lang w:val="en-AU"/>
              </w:rPr>
            </w:pPr>
            <w:proofErr w:type="spellStart"/>
            <w:r w:rsidRPr="00F04A75">
              <w:rPr>
                <w:rFonts w:ascii="Arial Narrow" w:hAnsi="Arial Narrow"/>
                <w:sz w:val="20"/>
                <w:szCs w:val="20"/>
                <w:lang w:val="en-AU"/>
              </w:rPr>
              <w:t>PBd</w:t>
            </w:r>
            <w:proofErr w:type="spellEnd"/>
            <w:r w:rsidRPr="00F04A75">
              <w:rPr>
                <w:rFonts w:ascii="Arial Narrow" w:hAnsi="Arial Narrow"/>
                <w:sz w:val="20"/>
                <w:szCs w:val="20"/>
                <w:lang w:val="en-AU"/>
              </w:rPr>
              <w:t xml:space="preserve"> (OPTIMISMM – </w:t>
            </w:r>
            <w:proofErr w:type="spellStart"/>
            <w:r w:rsidRPr="00F04A75">
              <w:rPr>
                <w:rFonts w:ascii="Arial Narrow" w:hAnsi="Arial Narrow"/>
                <w:sz w:val="20"/>
                <w:szCs w:val="20"/>
                <w:lang w:val="en-AU"/>
              </w:rPr>
              <w:t>PBd</w:t>
            </w:r>
            <w:proofErr w:type="spellEnd"/>
            <w:r w:rsidRPr="00F04A75">
              <w:rPr>
                <w:rFonts w:ascii="Arial Narrow" w:hAnsi="Arial Narrow"/>
                <w:sz w:val="20"/>
                <w:szCs w:val="20"/>
                <w:lang w:val="en-AU"/>
              </w:rPr>
              <w:t xml:space="preserve"> vs Bd)</w:t>
            </w:r>
          </w:p>
        </w:tc>
      </w:tr>
      <w:tr w:rsidR="00F97782" w:rsidRPr="00F04A75" w14:paraId="3B9C3AD5" w14:textId="77777777" w:rsidTr="0016658B">
        <w:tc>
          <w:tcPr>
            <w:tcW w:w="1271" w:type="dxa"/>
          </w:tcPr>
          <w:p w14:paraId="72FEAB76" w14:textId="77777777" w:rsidR="00F97782" w:rsidRPr="00F04A75" w:rsidRDefault="00F97782" w:rsidP="002D3077">
            <w:pPr>
              <w:rPr>
                <w:rFonts w:ascii="Arial Narrow" w:hAnsi="Arial Narrow"/>
                <w:sz w:val="20"/>
                <w:szCs w:val="20"/>
                <w:lang w:val="en-AU"/>
              </w:rPr>
            </w:pPr>
            <w:r w:rsidRPr="00F04A75">
              <w:rPr>
                <w:rFonts w:ascii="Arial Narrow" w:hAnsi="Arial Narrow"/>
                <w:sz w:val="20"/>
                <w:szCs w:val="20"/>
                <w:lang w:val="en-AU"/>
              </w:rPr>
              <w:t>Clinical claim</w:t>
            </w:r>
          </w:p>
        </w:tc>
        <w:tc>
          <w:tcPr>
            <w:tcW w:w="7745" w:type="dxa"/>
          </w:tcPr>
          <w:p w14:paraId="2F04AFF3" w14:textId="77777777" w:rsidR="00F97782" w:rsidRPr="00F04A75" w:rsidRDefault="00F97782" w:rsidP="002D3077">
            <w:pPr>
              <w:rPr>
                <w:rFonts w:ascii="Arial Narrow" w:hAnsi="Arial Narrow"/>
                <w:sz w:val="20"/>
                <w:szCs w:val="20"/>
                <w:lang w:val="en-AU"/>
              </w:rPr>
            </w:pPr>
            <w:proofErr w:type="spellStart"/>
            <w:r w:rsidRPr="00F04A75">
              <w:rPr>
                <w:rFonts w:ascii="Arial Narrow" w:hAnsi="Arial Narrow"/>
                <w:sz w:val="20"/>
                <w:szCs w:val="20"/>
                <w:lang w:val="en-AU"/>
              </w:rPr>
              <w:t>CLd</w:t>
            </w:r>
            <w:proofErr w:type="spellEnd"/>
            <w:r w:rsidRPr="00F04A75">
              <w:rPr>
                <w:rFonts w:ascii="Arial Narrow" w:hAnsi="Arial Narrow"/>
                <w:sz w:val="20"/>
                <w:szCs w:val="20"/>
                <w:lang w:val="en-AU"/>
              </w:rPr>
              <w:t xml:space="preserve"> is non-inferior in terms of efficacy compared to Cd, </w:t>
            </w:r>
            <w:proofErr w:type="spellStart"/>
            <w:r w:rsidRPr="00F04A75">
              <w:rPr>
                <w:rFonts w:ascii="Arial Narrow" w:hAnsi="Arial Narrow"/>
                <w:sz w:val="20"/>
                <w:szCs w:val="20"/>
                <w:lang w:val="en-AU"/>
              </w:rPr>
              <w:t>ELd</w:t>
            </w:r>
            <w:proofErr w:type="spellEnd"/>
            <w:r w:rsidRPr="00F04A75">
              <w:rPr>
                <w:rFonts w:ascii="Arial Narrow" w:hAnsi="Arial Narrow"/>
                <w:sz w:val="20"/>
                <w:szCs w:val="20"/>
                <w:lang w:val="en-AU"/>
              </w:rPr>
              <w:t xml:space="preserve"> and </w:t>
            </w:r>
            <w:proofErr w:type="spellStart"/>
            <w:proofErr w:type="gramStart"/>
            <w:r w:rsidRPr="00F04A75">
              <w:rPr>
                <w:rFonts w:ascii="Arial Narrow" w:hAnsi="Arial Narrow"/>
                <w:sz w:val="20"/>
                <w:szCs w:val="20"/>
                <w:lang w:val="en-AU"/>
              </w:rPr>
              <w:t>PBd</w:t>
            </w:r>
            <w:proofErr w:type="spellEnd"/>
            <w:r w:rsidRPr="00F04A75">
              <w:rPr>
                <w:rFonts w:ascii="Arial Narrow" w:hAnsi="Arial Narrow"/>
                <w:sz w:val="20"/>
                <w:szCs w:val="20"/>
                <w:lang w:val="en-AU"/>
              </w:rPr>
              <w:t>;</w:t>
            </w:r>
            <w:proofErr w:type="gramEnd"/>
            <w:r w:rsidRPr="00F04A75">
              <w:rPr>
                <w:rFonts w:ascii="Arial Narrow" w:hAnsi="Arial Narrow"/>
                <w:sz w:val="20"/>
                <w:szCs w:val="20"/>
                <w:lang w:val="en-AU"/>
              </w:rPr>
              <w:t>  </w:t>
            </w:r>
          </w:p>
          <w:p w14:paraId="61DECE46" w14:textId="77777777" w:rsidR="00F97782" w:rsidRPr="00F04A75" w:rsidRDefault="00F97782" w:rsidP="002D3077">
            <w:pPr>
              <w:rPr>
                <w:rFonts w:ascii="Arial Narrow" w:hAnsi="Arial Narrow"/>
                <w:sz w:val="20"/>
                <w:szCs w:val="20"/>
                <w:highlight w:val="yellow"/>
                <w:lang w:val="en-AU"/>
              </w:rPr>
            </w:pPr>
            <w:proofErr w:type="spellStart"/>
            <w:r w:rsidRPr="00F04A75">
              <w:rPr>
                <w:rFonts w:ascii="Arial Narrow" w:hAnsi="Arial Narrow"/>
                <w:sz w:val="20"/>
                <w:szCs w:val="20"/>
                <w:lang w:val="en-AU"/>
              </w:rPr>
              <w:t>CLd</w:t>
            </w:r>
            <w:proofErr w:type="spellEnd"/>
            <w:r w:rsidRPr="00F04A75">
              <w:rPr>
                <w:rFonts w:ascii="Arial Narrow" w:hAnsi="Arial Narrow"/>
                <w:sz w:val="20"/>
                <w:szCs w:val="20"/>
                <w:lang w:val="en-AU"/>
              </w:rPr>
              <w:t xml:space="preserve"> is non-inferior in terms of safety compared to Cd, </w:t>
            </w:r>
            <w:proofErr w:type="spellStart"/>
            <w:r w:rsidRPr="00F04A75">
              <w:rPr>
                <w:rFonts w:ascii="Arial Narrow" w:hAnsi="Arial Narrow"/>
                <w:sz w:val="20"/>
                <w:szCs w:val="20"/>
                <w:lang w:val="en-AU"/>
              </w:rPr>
              <w:t>ELd</w:t>
            </w:r>
            <w:proofErr w:type="spellEnd"/>
            <w:r w:rsidRPr="00F04A75">
              <w:rPr>
                <w:rFonts w:ascii="Arial Narrow" w:hAnsi="Arial Narrow"/>
                <w:sz w:val="20"/>
                <w:szCs w:val="20"/>
                <w:lang w:val="en-AU"/>
              </w:rPr>
              <w:t xml:space="preserve"> and </w:t>
            </w:r>
            <w:proofErr w:type="spellStart"/>
            <w:r w:rsidRPr="00F04A75">
              <w:rPr>
                <w:rFonts w:ascii="Arial Narrow" w:hAnsi="Arial Narrow"/>
                <w:sz w:val="20"/>
                <w:szCs w:val="20"/>
                <w:lang w:val="en-AU"/>
              </w:rPr>
              <w:t>PBd</w:t>
            </w:r>
            <w:proofErr w:type="spellEnd"/>
            <w:r w:rsidRPr="00F04A75">
              <w:rPr>
                <w:rFonts w:ascii="Arial Narrow" w:hAnsi="Arial Narrow"/>
                <w:sz w:val="20"/>
                <w:szCs w:val="20"/>
                <w:lang w:val="en-AU"/>
              </w:rPr>
              <w:t xml:space="preserve"> with different side-effect profiles</w:t>
            </w:r>
          </w:p>
        </w:tc>
      </w:tr>
    </w:tbl>
    <w:p w14:paraId="7389CA54" w14:textId="77777777" w:rsidR="00F97782" w:rsidRPr="00F04A75" w:rsidRDefault="00F97782" w:rsidP="0016658B">
      <w:pPr>
        <w:pStyle w:val="TableFigureFooter"/>
      </w:pPr>
      <w:r w:rsidRPr="00F04A75">
        <w:t xml:space="preserve">Source: Table 1.1-2 p8 of the resubmission. </w:t>
      </w:r>
    </w:p>
    <w:p w14:paraId="0823E743" w14:textId="05B78F2C" w:rsidR="00F97782" w:rsidRPr="00F04A75" w:rsidRDefault="00BA537D" w:rsidP="0016658B">
      <w:pPr>
        <w:pStyle w:val="TableFigureFooter"/>
      </w:pPr>
      <w:r w:rsidRPr="00F04A75">
        <w:t>Bd = bortezomib and dexamethasone; Cd = carfilzomib and dexamethasone; Cd27 BIW = carfilzomib 27 mg/m</w:t>
      </w:r>
      <w:r w:rsidRPr="00F04A75">
        <w:rPr>
          <w:vertAlign w:val="superscript"/>
        </w:rPr>
        <w:t xml:space="preserve">2 </w:t>
      </w:r>
      <w:r w:rsidRPr="00F04A75">
        <w:t xml:space="preserve">twice weekly and dexamethasone; </w:t>
      </w:r>
      <w:r w:rsidR="00F97782" w:rsidRPr="00F04A75">
        <w:t>Cd56 BIW = carfilzomib 56 mg/m</w:t>
      </w:r>
      <w:r w:rsidR="00F97782" w:rsidRPr="00F04A75">
        <w:rPr>
          <w:vertAlign w:val="superscript"/>
        </w:rPr>
        <w:t xml:space="preserve">2 </w:t>
      </w:r>
      <w:r w:rsidR="00F97782" w:rsidRPr="00F04A75">
        <w:t>twice weekly and dexamethasone; Cd70 = carfilzomib 70 mg/m</w:t>
      </w:r>
      <w:r w:rsidR="00F97782" w:rsidRPr="00F04A75">
        <w:rPr>
          <w:vertAlign w:val="superscript"/>
        </w:rPr>
        <w:t>2</w:t>
      </w:r>
      <w:r w:rsidR="00F97782" w:rsidRPr="00F04A75">
        <w:t xml:space="preserve"> weekly and dexamethasone; </w:t>
      </w:r>
      <w:proofErr w:type="spellStart"/>
      <w:r w:rsidR="00C26732" w:rsidRPr="00F04A75">
        <w:t>CLd</w:t>
      </w:r>
      <w:proofErr w:type="spellEnd"/>
      <w:r w:rsidR="00C26732" w:rsidRPr="00F04A75">
        <w:t xml:space="preserve"> = </w:t>
      </w:r>
      <w:r w:rsidRPr="00F04A75">
        <w:t xml:space="preserve">carfilzomib, lenalidomide and dexamethasone; </w:t>
      </w:r>
      <w:r w:rsidR="00F97782" w:rsidRPr="00F04A75">
        <w:t xml:space="preserve">IV = intravenous, </w:t>
      </w:r>
      <w:proofErr w:type="spellStart"/>
      <w:r w:rsidR="00F97782" w:rsidRPr="00F04A75">
        <w:t>Ld</w:t>
      </w:r>
      <w:proofErr w:type="spellEnd"/>
      <w:r w:rsidR="00F97782" w:rsidRPr="00F04A75">
        <w:t xml:space="preserve"> = lenalidomide and dexamethasone</w:t>
      </w:r>
      <w:r w:rsidRPr="00F04A75">
        <w:t>;</w:t>
      </w:r>
      <w:r w:rsidR="00F97782" w:rsidRPr="00F04A75">
        <w:t xml:space="preserve"> </w:t>
      </w:r>
      <w:proofErr w:type="spellStart"/>
      <w:r w:rsidR="00F97782" w:rsidRPr="00F04A75">
        <w:t>ELd</w:t>
      </w:r>
      <w:proofErr w:type="spellEnd"/>
      <w:r w:rsidR="00F97782" w:rsidRPr="00F04A75">
        <w:t xml:space="preserve"> = </w:t>
      </w:r>
      <w:proofErr w:type="spellStart"/>
      <w:r w:rsidR="00F97782" w:rsidRPr="00F04A75">
        <w:t>elotuzumab</w:t>
      </w:r>
      <w:proofErr w:type="spellEnd"/>
      <w:r w:rsidR="00F97782" w:rsidRPr="00F04A75">
        <w:t xml:space="preserve">, lenalidomide and dexamethasone; </w:t>
      </w:r>
      <w:r w:rsidR="00C26732" w:rsidRPr="00F04A75">
        <w:t xml:space="preserve">OS = overall survival; </w:t>
      </w:r>
      <w:proofErr w:type="spellStart"/>
      <w:r w:rsidR="00F97782" w:rsidRPr="00F04A75">
        <w:t>PBd</w:t>
      </w:r>
      <w:proofErr w:type="spellEnd"/>
      <w:r w:rsidR="00F97782" w:rsidRPr="00F04A75">
        <w:t xml:space="preserve"> = pomalidomide, bortezomib and dexamethasone; </w:t>
      </w:r>
      <w:r w:rsidR="00C26732" w:rsidRPr="00F04A75">
        <w:t xml:space="preserve">PFS = progression free survival; </w:t>
      </w:r>
      <w:r w:rsidR="00F97782" w:rsidRPr="00F04A75">
        <w:t>QW= once weekly</w:t>
      </w:r>
      <w:r w:rsidR="00C866A8" w:rsidRPr="00F04A75">
        <w:t>; RR</w:t>
      </w:r>
      <w:r w:rsidR="00F04A75">
        <w:t>M</w:t>
      </w:r>
      <w:r w:rsidR="00C866A8" w:rsidRPr="00F04A75">
        <w:t>M = relapsed and/or refractory multiple myeloma</w:t>
      </w:r>
    </w:p>
    <w:p w14:paraId="646BBACC" w14:textId="0A4E7514" w:rsidR="00F97782" w:rsidRPr="00F04A75" w:rsidRDefault="00F97782" w:rsidP="0016658B">
      <w:pPr>
        <w:pStyle w:val="TableFigureFooter"/>
      </w:pPr>
      <w:r w:rsidRPr="00F04A75">
        <w:t xml:space="preserve">Blue shading represents information presented in carfilzomib November 2016 submission </w:t>
      </w:r>
    </w:p>
    <w:p w14:paraId="13EA0C90" w14:textId="2A6CB959" w:rsidR="00F97782" w:rsidRPr="00F04A75" w:rsidRDefault="00BA537D" w:rsidP="00BA537D">
      <w:pPr>
        <w:pStyle w:val="TableFigureFooter"/>
      </w:pPr>
      <w:r w:rsidRPr="00F04A75">
        <w:t xml:space="preserve">a. </w:t>
      </w:r>
      <w:r w:rsidR="00F97782" w:rsidRPr="00F04A75">
        <w:t xml:space="preserve">The original carfilzomib (November 2016) submission also included an indirect comparison of </w:t>
      </w:r>
      <w:proofErr w:type="spellStart"/>
      <w:r w:rsidR="00F97782" w:rsidRPr="00F04A75">
        <w:t>CLd</w:t>
      </w:r>
      <w:proofErr w:type="spellEnd"/>
      <w:r w:rsidR="00F97782" w:rsidRPr="00F04A75">
        <w:t xml:space="preserve"> versus </w:t>
      </w:r>
      <w:proofErr w:type="spellStart"/>
      <w:r w:rsidR="00F97782" w:rsidRPr="00F04A75">
        <w:t>ELd</w:t>
      </w:r>
      <w:proofErr w:type="spellEnd"/>
      <w:r w:rsidR="00F97782" w:rsidRPr="00F04A75">
        <w:t xml:space="preserve">. However, these results were not discussed at the ESC or PBAC meetings because </w:t>
      </w:r>
      <w:proofErr w:type="spellStart"/>
      <w:r w:rsidR="00F97782" w:rsidRPr="00F04A75">
        <w:t>elotuzumab</w:t>
      </w:r>
      <w:proofErr w:type="spellEnd"/>
      <w:r w:rsidR="00F97782" w:rsidRPr="00F04A75">
        <w:t xml:space="preserve"> was not TGA-registered, PBS-listed, or being considered at the November 2016 PBAC meeting</w:t>
      </w:r>
    </w:p>
    <w:p w14:paraId="14F0ABBC" w14:textId="77777777" w:rsidR="00F97782" w:rsidRPr="00F04A75" w:rsidRDefault="00F97782" w:rsidP="000E4A22">
      <w:pPr>
        <w:pStyle w:val="2-SectionHeading"/>
      </w:pPr>
      <w:bookmarkStart w:id="9" w:name="_Toc90455917"/>
      <w:bookmarkStart w:id="10" w:name="_Toc93412421"/>
      <w:r w:rsidRPr="00F04A75">
        <w:t>Background</w:t>
      </w:r>
      <w:bookmarkEnd w:id="9"/>
      <w:bookmarkEnd w:id="10"/>
    </w:p>
    <w:p w14:paraId="6FF90058" w14:textId="77777777" w:rsidR="00F97782" w:rsidRPr="00F04A75" w:rsidRDefault="00F97782" w:rsidP="0016658B">
      <w:pPr>
        <w:pStyle w:val="4-SubsectionHeading"/>
      </w:pPr>
      <w:bookmarkStart w:id="11" w:name="_Toc90455918"/>
      <w:bookmarkStart w:id="12" w:name="_Toc93412422"/>
      <w:r w:rsidRPr="00F04A75">
        <w:t>Registration status</w:t>
      </w:r>
      <w:bookmarkEnd w:id="11"/>
      <w:bookmarkEnd w:id="12"/>
    </w:p>
    <w:p w14:paraId="3E8F20E3" w14:textId="4842DEA0" w:rsidR="00F97782" w:rsidRPr="00F04A75" w:rsidRDefault="008975CE" w:rsidP="0016658B">
      <w:pPr>
        <w:pStyle w:val="3-BodyText"/>
      </w:pPr>
      <w:proofErr w:type="spellStart"/>
      <w:r w:rsidRPr="00F04A75">
        <w:rPr>
          <w:color w:val="000000" w:themeColor="text1"/>
        </w:rPr>
        <w:t>CLd</w:t>
      </w:r>
      <w:proofErr w:type="spellEnd"/>
      <w:r w:rsidR="00F97782" w:rsidRPr="00F04A75">
        <w:rPr>
          <w:color w:val="000000" w:themeColor="text1"/>
        </w:rPr>
        <w:t xml:space="preserve"> </w:t>
      </w:r>
      <w:r w:rsidR="00F97782" w:rsidRPr="00F04A75">
        <w:t>was TGA registered on 19 December 2016 for the treatment of patients with multiple myeloma who have received at least one prior therapy. The product information, the TGA Delegate’s Overview and the Clinical Evaluation Report were provided in the resubmission</w:t>
      </w:r>
      <w:r w:rsidR="00F97782" w:rsidRPr="00F04A75">
        <w:rPr>
          <w:color w:val="0066FF"/>
        </w:rPr>
        <w:t>.</w:t>
      </w:r>
    </w:p>
    <w:p w14:paraId="13ED741E" w14:textId="77777777" w:rsidR="00F97782" w:rsidRPr="00F04A75" w:rsidRDefault="00F97782" w:rsidP="0016658B">
      <w:pPr>
        <w:pStyle w:val="4-SubsectionHeading"/>
      </w:pPr>
      <w:bookmarkStart w:id="13" w:name="_Toc90455919"/>
      <w:bookmarkStart w:id="14" w:name="_Toc93412423"/>
      <w:r w:rsidRPr="00F04A75">
        <w:t>Previous PBAC consideration</w:t>
      </w:r>
      <w:bookmarkEnd w:id="13"/>
      <w:bookmarkEnd w:id="14"/>
    </w:p>
    <w:p w14:paraId="178C5999" w14:textId="776EF029" w:rsidR="00030EFF" w:rsidRPr="00F04A75" w:rsidRDefault="00F97782" w:rsidP="0016658B">
      <w:pPr>
        <w:pStyle w:val="3-BodyText"/>
        <w:rPr>
          <w:rFonts w:cstheme="minorHAnsi"/>
        </w:rPr>
      </w:pPr>
      <w:proofErr w:type="spellStart"/>
      <w:r w:rsidRPr="00F04A75">
        <w:t>CLd</w:t>
      </w:r>
      <w:proofErr w:type="spellEnd"/>
      <w:r w:rsidRPr="00F04A75">
        <w:t xml:space="preserve"> </w:t>
      </w:r>
      <w:r w:rsidR="00BA39C4">
        <w:t xml:space="preserve">was </w:t>
      </w:r>
      <w:r w:rsidRPr="00F04A75">
        <w:t>previously considered by the PBAC</w:t>
      </w:r>
      <w:r w:rsidR="00BA39C4">
        <w:t xml:space="preserve"> in</w:t>
      </w:r>
      <w:r w:rsidRPr="00F04A75">
        <w:t xml:space="preserve"> November 2016 based on a cost-utility analysis (CUA) versus lenalidomide plus dexamethasone (</w:t>
      </w:r>
      <w:proofErr w:type="spellStart"/>
      <w:r w:rsidRPr="00F04A75">
        <w:t>Ld</w:t>
      </w:r>
      <w:proofErr w:type="spellEnd"/>
      <w:r w:rsidRPr="00F04A75">
        <w:t>)</w:t>
      </w:r>
      <w:r w:rsidR="002D3077">
        <w:t>. It was not recommended</w:t>
      </w:r>
      <w:r w:rsidRPr="00F04A75">
        <w:t xml:space="preserve"> </w:t>
      </w:r>
      <w:r w:rsidR="00BA39C4">
        <w:t>due</w:t>
      </w:r>
      <w:r w:rsidR="00BA39C4" w:rsidRPr="00F04A75">
        <w:t xml:space="preserve"> </w:t>
      </w:r>
      <w:r w:rsidRPr="00F04A75">
        <w:t xml:space="preserve">to a high and uncertain cost-effectiveness ratio (paragraph 7.1, carfilzomib </w:t>
      </w:r>
      <w:r w:rsidR="00665B89">
        <w:t>public summary document (</w:t>
      </w:r>
      <w:r w:rsidRPr="00F04A75">
        <w:t>PSD</w:t>
      </w:r>
      <w:r w:rsidR="00665B89">
        <w:t>)</w:t>
      </w:r>
      <w:r w:rsidRPr="00F04A75">
        <w:t xml:space="preserve">, November 2016). </w:t>
      </w:r>
    </w:p>
    <w:p w14:paraId="7E560CFB" w14:textId="1BE97B1A" w:rsidR="00030EFF" w:rsidRPr="00F04A75" w:rsidRDefault="00F97782" w:rsidP="0016658B">
      <w:pPr>
        <w:pStyle w:val="3-BodyText"/>
        <w:rPr>
          <w:rFonts w:cstheme="minorHAnsi"/>
        </w:rPr>
      </w:pPr>
      <w:r w:rsidRPr="00F04A75">
        <w:t xml:space="preserve">The </w:t>
      </w:r>
      <w:r w:rsidR="002D3077">
        <w:t xml:space="preserve">resubmission stated that the </w:t>
      </w:r>
      <w:r w:rsidRPr="00F04A75">
        <w:t>approach proposed in this submission</w:t>
      </w:r>
      <w:r w:rsidR="00030EFF" w:rsidRPr="00F04A75">
        <w:t xml:space="preserve"> (</w:t>
      </w:r>
      <w:proofErr w:type="gramStart"/>
      <w:r w:rsidR="00030EFF" w:rsidRPr="00F04A75">
        <w:t>i.e.</w:t>
      </w:r>
      <w:proofErr w:type="gramEnd"/>
      <w:r w:rsidR="00030EFF" w:rsidRPr="00F04A75">
        <w:t xml:space="preserve"> a CMA compared to Cd)</w:t>
      </w:r>
      <w:r w:rsidRPr="00F04A75">
        <w:t xml:space="preserve"> </w:t>
      </w:r>
      <w:r w:rsidR="00030EFF" w:rsidRPr="00F04A75">
        <w:t xml:space="preserve">was </w:t>
      </w:r>
      <w:r w:rsidR="00276ACA" w:rsidRPr="00F04A75">
        <w:t xml:space="preserve">based </w:t>
      </w:r>
      <w:r w:rsidR="00985949" w:rsidRPr="00F04A75">
        <w:t>on</w:t>
      </w:r>
      <w:r w:rsidR="0092454C" w:rsidRPr="00F04A75">
        <w:t xml:space="preserve"> the fact that Cd has been a comparator for most triplet</w:t>
      </w:r>
      <w:r w:rsidR="00030EFF" w:rsidRPr="00F04A75">
        <w:t xml:space="preserve"> therapy submissions</w:t>
      </w:r>
      <w:r w:rsidR="00D43ACB" w:rsidRPr="00F04A75">
        <w:t xml:space="preserve"> </w:t>
      </w:r>
      <w:r w:rsidR="0092454C" w:rsidRPr="00F04A75">
        <w:t>considered by the PBAC regardless of the backbone therapy (</w:t>
      </w:r>
      <w:r w:rsidR="008975CE" w:rsidRPr="00F04A75">
        <w:t>bortezomib plus dexamethasone (</w:t>
      </w:r>
      <w:r w:rsidR="0092454C" w:rsidRPr="00F04A75">
        <w:t>Bd</w:t>
      </w:r>
      <w:r w:rsidR="008975CE" w:rsidRPr="00F04A75">
        <w:t>)</w:t>
      </w:r>
      <w:r w:rsidR="0092454C" w:rsidRPr="00F04A75">
        <w:t xml:space="preserve"> or </w:t>
      </w:r>
      <w:proofErr w:type="spellStart"/>
      <w:r w:rsidR="0092454C" w:rsidRPr="00F04A75">
        <w:t>Ld</w:t>
      </w:r>
      <w:proofErr w:type="spellEnd"/>
      <w:r w:rsidR="008975CE" w:rsidRPr="00F04A75">
        <w:t>)</w:t>
      </w:r>
      <w:r w:rsidR="0092454C" w:rsidRPr="00F04A75">
        <w:t xml:space="preserve">. </w:t>
      </w:r>
      <w:r w:rsidR="00751380">
        <w:t xml:space="preserve">The resubmission further suggested </w:t>
      </w:r>
      <w:r w:rsidR="0092454C" w:rsidRPr="00F04A75">
        <w:t xml:space="preserve">Cd </w:t>
      </w:r>
      <w:r w:rsidR="0092454C" w:rsidRPr="00F04A75">
        <w:lastRenderedPageBreak/>
        <w:t xml:space="preserve">as a comparator for </w:t>
      </w:r>
      <w:proofErr w:type="spellStart"/>
      <w:r w:rsidR="0092454C" w:rsidRPr="00F04A75">
        <w:t>CLd</w:t>
      </w:r>
      <w:proofErr w:type="spellEnd"/>
      <w:r w:rsidR="0092454C" w:rsidRPr="00F04A75">
        <w:t xml:space="preserve"> allows the PBAC to have a consistent frame of reference for decision-making </w:t>
      </w:r>
      <w:r w:rsidR="00030EFF" w:rsidRPr="00F04A75">
        <w:t xml:space="preserve">for </w:t>
      </w:r>
      <w:r w:rsidR="0092454C" w:rsidRPr="00F04A75">
        <w:t xml:space="preserve">treatments for RRMM. </w:t>
      </w:r>
    </w:p>
    <w:p w14:paraId="463D078C" w14:textId="706D9D6F" w:rsidR="00F97782" w:rsidRPr="00F04A75" w:rsidRDefault="00F97782" w:rsidP="00B80B76">
      <w:pPr>
        <w:pStyle w:val="3-BodyText"/>
        <w:rPr>
          <w:rFonts w:cstheme="minorHAnsi"/>
        </w:rPr>
      </w:pPr>
      <w:r w:rsidRPr="00F04A75">
        <w:t xml:space="preserve">The resubmission presented an indirect treatment comparison (ITC) to support the therapeutic claim </w:t>
      </w:r>
      <w:r w:rsidR="009E0D2E" w:rsidRPr="00F04A75">
        <w:t xml:space="preserve">of </w:t>
      </w:r>
      <w:r w:rsidR="003B0DC8" w:rsidRPr="00F04A75">
        <w:t xml:space="preserve">non-inferior effectiveness and </w:t>
      </w:r>
      <w:r w:rsidR="00030EFF" w:rsidRPr="00F04A75">
        <w:t xml:space="preserve">a </w:t>
      </w:r>
      <w:r w:rsidR="009E33CF" w:rsidRPr="00F04A75">
        <w:t>non-inferior</w:t>
      </w:r>
      <w:r w:rsidR="00030EFF" w:rsidRPr="00F04A75">
        <w:t>,</w:t>
      </w:r>
      <w:r w:rsidR="009E33CF" w:rsidRPr="00F04A75">
        <w:t xml:space="preserve"> yet different</w:t>
      </w:r>
      <w:r w:rsidR="00030EFF" w:rsidRPr="00F04A75">
        <w:t>,</w:t>
      </w:r>
      <w:r w:rsidR="009E33CF" w:rsidRPr="00F04A75">
        <w:t xml:space="preserve"> safety profile compared </w:t>
      </w:r>
      <w:r w:rsidR="00D31FD0" w:rsidRPr="00F04A75">
        <w:t>to</w:t>
      </w:r>
      <w:r w:rsidR="009E33CF" w:rsidRPr="00F04A75">
        <w:t xml:space="preserve"> Cd</w:t>
      </w:r>
      <w:r w:rsidR="009E0D2E" w:rsidRPr="00F04A75">
        <w:t xml:space="preserve"> </w:t>
      </w:r>
      <w:r w:rsidRPr="00F04A75">
        <w:t xml:space="preserve">and </w:t>
      </w:r>
      <w:r w:rsidR="00E00203" w:rsidRPr="00F04A75">
        <w:t xml:space="preserve">a </w:t>
      </w:r>
      <w:r w:rsidRPr="00F04A75">
        <w:t xml:space="preserve">CMA of </w:t>
      </w:r>
      <w:proofErr w:type="spellStart"/>
      <w:r w:rsidRPr="00F04A75">
        <w:t>CLd</w:t>
      </w:r>
      <w:proofErr w:type="spellEnd"/>
      <w:r w:rsidRPr="00F04A75">
        <w:t xml:space="preserve"> v</w:t>
      </w:r>
      <w:r w:rsidR="008975CE" w:rsidRPr="00F04A75">
        <w:t>ersu</w:t>
      </w:r>
      <w:r w:rsidRPr="00F04A75">
        <w:t>s Cd</w:t>
      </w:r>
      <w:r w:rsidR="00D43ACB" w:rsidRPr="00F04A75">
        <w:t xml:space="preserve"> accordingly</w:t>
      </w:r>
      <w:r w:rsidRPr="00F04A75">
        <w:t xml:space="preserve">. A comparison </w:t>
      </w:r>
      <w:r w:rsidR="00030EFF" w:rsidRPr="00F04A75">
        <w:t xml:space="preserve">with the </w:t>
      </w:r>
      <w:r w:rsidRPr="00F04A75">
        <w:t xml:space="preserve">previous submission is </w:t>
      </w:r>
      <w:r w:rsidRPr="00F04A75">
        <w:rPr>
          <w:rFonts w:cstheme="minorHAnsi"/>
        </w:rPr>
        <w:t xml:space="preserve">provided in </w:t>
      </w:r>
      <w:r w:rsidR="00C63BE2" w:rsidRPr="00F04A75">
        <w:rPr>
          <w:rFonts w:cstheme="minorHAnsi"/>
        </w:rPr>
        <w:t>Table 2</w:t>
      </w:r>
      <w:r w:rsidR="00030EFF" w:rsidRPr="00F04A75">
        <w:rPr>
          <w:rFonts w:cstheme="minorHAnsi"/>
        </w:rPr>
        <w:t xml:space="preserve">. </w:t>
      </w:r>
      <w:r w:rsidRPr="00F04A75">
        <w:rPr>
          <w:rFonts w:cstheme="minorHAnsi"/>
        </w:rPr>
        <w:t xml:space="preserve"> </w:t>
      </w:r>
    </w:p>
    <w:p w14:paraId="2E576432" w14:textId="0EB0AD10" w:rsidR="00F97782" w:rsidRPr="00F04A75" w:rsidRDefault="00F97782" w:rsidP="0016658B">
      <w:pPr>
        <w:pStyle w:val="Caption"/>
        <w:keepNext/>
        <w:spacing w:after="0"/>
        <w:jc w:val="left"/>
        <w:rPr>
          <w:rStyle w:val="CommentReference"/>
          <w:b/>
          <w:szCs w:val="20"/>
        </w:rPr>
      </w:pPr>
      <w:bookmarkStart w:id="15" w:name="_Ref95411386"/>
      <w:r w:rsidRPr="00F04A75">
        <w:rPr>
          <w:rFonts w:ascii="Arial Narrow" w:hAnsi="Arial Narrow"/>
          <w:color w:val="auto"/>
          <w:sz w:val="20"/>
          <w:szCs w:val="20"/>
        </w:rPr>
        <w:lastRenderedPageBreak/>
        <w:t xml:space="preserve">Table </w:t>
      </w:r>
      <w:r w:rsidRPr="00F04A75">
        <w:rPr>
          <w:rFonts w:ascii="Arial Narrow" w:hAnsi="Arial Narrow"/>
          <w:color w:val="auto"/>
          <w:sz w:val="20"/>
          <w:szCs w:val="20"/>
        </w:rPr>
        <w:fldChar w:fldCharType="begin"/>
      </w:r>
      <w:r w:rsidRPr="00F04A75">
        <w:rPr>
          <w:rFonts w:ascii="Arial Narrow" w:hAnsi="Arial Narrow"/>
          <w:color w:val="auto"/>
          <w:sz w:val="20"/>
          <w:szCs w:val="20"/>
        </w:rPr>
        <w:instrText xml:space="preserve"> SEQ Table \* ARABIC </w:instrText>
      </w:r>
      <w:r w:rsidRPr="00F04A75">
        <w:rPr>
          <w:rFonts w:ascii="Arial Narrow" w:hAnsi="Arial Narrow"/>
          <w:color w:val="auto"/>
          <w:sz w:val="20"/>
          <w:szCs w:val="20"/>
        </w:rPr>
        <w:fldChar w:fldCharType="separate"/>
      </w:r>
      <w:r w:rsidR="00443BC9">
        <w:rPr>
          <w:rFonts w:ascii="Arial Narrow" w:hAnsi="Arial Narrow"/>
          <w:noProof/>
          <w:color w:val="auto"/>
          <w:sz w:val="20"/>
          <w:szCs w:val="20"/>
        </w:rPr>
        <w:t>2</w:t>
      </w:r>
      <w:r w:rsidRPr="00F04A75">
        <w:rPr>
          <w:rFonts w:ascii="Arial Narrow" w:hAnsi="Arial Narrow"/>
          <w:color w:val="auto"/>
          <w:sz w:val="20"/>
          <w:szCs w:val="20"/>
        </w:rPr>
        <w:fldChar w:fldCharType="end"/>
      </w:r>
      <w:bookmarkEnd w:id="15"/>
      <w:r w:rsidRPr="00F04A75">
        <w:rPr>
          <w:rFonts w:ascii="Arial Narrow" w:hAnsi="Arial Narrow"/>
          <w:color w:val="auto"/>
          <w:sz w:val="20"/>
          <w:szCs w:val="20"/>
        </w:rPr>
        <w:t>: Key differences between submissions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697"/>
        <w:gridCol w:w="3544"/>
        <w:gridCol w:w="3776"/>
      </w:tblGrid>
      <w:tr w:rsidR="00F97782" w:rsidRPr="00F04A75" w14:paraId="42BCEEF9" w14:textId="77777777" w:rsidTr="0016658B">
        <w:trPr>
          <w:tblHeader/>
        </w:trPr>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14:paraId="69AB9FF0" w14:textId="77777777" w:rsidR="00F97782" w:rsidRPr="00F04A75" w:rsidRDefault="00F97782" w:rsidP="009E0D2E">
            <w:pPr>
              <w:pStyle w:val="TableFigureNote"/>
              <w:keepNext/>
              <w:spacing w:before="0"/>
              <w:jc w:val="left"/>
              <w:rPr>
                <w:rFonts w:ascii="Arial Narrow" w:hAnsi="Arial Narrow"/>
                <w:b/>
                <w:bCs/>
                <w:sz w:val="20"/>
                <w:szCs w:val="20"/>
                <w:lang w:val="en-AU"/>
              </w:rPr>
            </w:pPr>
            <w:r w:rsidRPr="00F04A75">
              <w:rPr>
                <w:rFonts w:ascii="Arial Narrow" w:hAnsi="Arial Narrow"/>
                <w:b/>
                <w:bCs/>
                <w:sz w:val="20"/>
                <w:szCs w:val="20"/>
                <w:lang w:val="en-AU"/>
              </w:rPr>
              <w:t>PBAC Meeting </w:t>
            </w:r>
          </w:p>
        </w:tc>
        <w:tc>
          <w:tcPr>
            <w:tcW w:w="1965"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823A8DA" w14:textId="77777777" w:rsidR="00F97782" w:rsidRPr="00F04A75" w:rsidRDefault="00F97782" w:rsidP="009E0D2E">
            <w:pPr>
              <w:pStyle w:val="TableFigureNote"/>
              <w:keepNext/>
              <w:spacing w:before="0"/>
              <w:jc w:val="left"/>
              <w:rPr>
                <w:rFonts w:ascii="Arial Narrow" w:hAnsi="Arial Narrow"/>
                <w:b/>
                <w:bCs/>
                <w:sz w:val="20"/>
                <w:szCs w:val="20"/>
                <w:lang w:val="en-AU" w:eastAsia="en-AU"/>
              </w:rPr>
            </w:pPr>
            <w:r w:rsidRPr="00F04A75">
              <w:rPr>
                <w:rFonts w:ascii="Arial Narrow" w:hAnsi="Arial Narrow"/>
                <w:b/>
                <w:bCs/>
                <w:sz w:val="20"/>
                <w:szCs w:val="20"/>
                <w:lang w:val="en-AU" w:eastAsia="en-AU"/>
              </w:rPr>
              <w:t>November 2016 PBAC submission</w:t>
            </w:r>
          </w:p>
        </w:tc>
        <w:tc>
          <w:tcPr>
            <w:tcW w:w="2094" w:type="pct"/>
            <w:tcBorders>
              <w:top w:val="single" w:sz="4" w:space="0" w:color="auto"/>
              <w:left w:val="single" w:sz="4" w:space="0" w:color="auto"/>
              <w:bottom w:val="single" w:sz="4" w:space="0" w:color="auto"/>
              <w:right w:val="single" w:sz="4" w:space="0" w:color="auto"/>
            </w:tcBorders>
            <w:shd w:val="clear" w:color="auto" w:fill="auto"/>
            <w:vAlign w:val="center"/>
          </w:tcPr>
          <w:p w14:paraId="0B11BE44" w14:textId="77777777" w:rsidR="00F97782" w:rsidRPr="00F04A75" w:rsidRDefault="00F97782" w:rsidP="009E0D2E">
            <w:pPr>
              <w:pStyle w:val="TableFigureNote"/>
              <w:keepNext/>
              <w:spacing w:before="0"/>
              <w:jc w:val="left"/>
              <w:rPr>
                <w:rFonts w:ascii="Arial Narrow" w:hAnsi="Arial Narrow"/>
                <w:b/>
                <w:bCs/>
                <w:sz w:val="20"/>
                <w:szCs w:val="20"/>
                <w:lang w:val="en-AU" w:eastAsia="en-AU"/>
              </w:rPr>
            </w:pPr>
            <w:r w:rsidRPr="00F04A75">
              <w:rPr>
                <w:rFonts w:ascii="Arial Narrow" w:hAnsi="Arial Narrow"/>
                <w:b/>
                <w:bCs/>
                <w:sz w:val="20"/>
                <w:szCs w:val="20"/>
                <w:lang w:val="en-AU" w:eastAsia="en-AU"/>
              </w:rPr>
              <w:t>March 2022 PBAC re-submission </w:t>
            </w:r>
          </w:p>
        </w:tc>
      </w:tr>
      <w:tr w:rsidR="00F97782" w:rsidRPr="00F04A75" w14:paraId="73BDD7DE" w14:textId="77777777" w:rsidTr="0016658B">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14:paraId="6528B01B" w14:textId="77777777" w:rsidR="00F97782" w:rsidRPr="00F04A75" w:rsidRDefault="00F97782" w:rsidP="009E0D2E">
            <w:pPr>
              <w:pStyle w:val="TableFigureNote"/>
              <w:keepNext/>
              <w:spacing w:before="0"/>
              <w:jc w:val="left"/>
              <w:rPr>
                <w:rFonts w:ascii="Arial Narrow" w:hAnsi="Arial Narrow"/>
                <w:sz w:val="20"/>
                <w:szCs w:val="20"/>
                <w:lang w:val="en-AU"/>
              </w:rPr>
            </w:pPr>
            <w:r w:rsidRPr="00F04A75">
              <w:rPr>
                <w:rFonts w:ascii="Arial Narrow" w:hAnsi="Arial Narrow"/>
                <w:sz w:val="20"/>
                <w:szCs w:val="20"/>
                <w:lang w:val="en-AU"/>
              </w:rPr>
              <w:t>Authority level </w:t>
            </w:r>
          </w:p>
        </w:tc>
        <w:tc>
          <w:tcPr>
            <w:tcW w:w="1965"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4F8D9FE" w14:textId="77777777" w:rsidR="00F97782" w:rsidRPr="00F04A75" w:rsidRDefault="00F97782" w:rsidP="009E0D2E">
            <w:pPr>
              <w:pStyle w:val="TableFigureNote"/>
              <w:keepNext/>
              <w:spacing w:before="0"/>
              <w:jc w:val="left"/>
              <w:rPr>
                <w:rFonts w:ascii="Arial Narrow" w:hAnsi="Arial Narrow"/>
                <w:sz w:val="20"/>
                <w:szCs w:val="20"/>
                <w:lang w:val="en-AU" w:eastAsia="en-AU"/>
              </w:rPr>
            </w:pPr>
            <w:r w:rsidRPr="00F04A75">
              <w:rPr>
                <w:rFonts w:ascii="Arial Narrow" w:hAnsi="Arial Narrow"/>
                <w:sz w:val="20"/>
                <w:szCs w:val="20"/>
                <w:lang w:val="en-AU" w:eastAsia="en-AU"/>
              </w:rPr>
              <w:t>Written and telephone Authority</w:t>
            </w:r>
          </w:p>
        </w:tc>
        <w:tc>
          <w:tcPr>
            <w:tcW w:w="2094" w:type="pct"/>
            <w:tcBorders>
              <w:top w:val="single" w:sz="4" w:space="0" w:color="auto"/>
              <w:left w:val="single" w:sz="4" w:space="0" w:color="auto"/>
              <w:bottom w:val="single" w:sz="4" w:space="0" w:color="auto"/>
              <w:right w:val="single" w:sz="4" w:space="0" w:color="auto"/>
            </w:tcBorders>
            <w:shd w:val="clear" w:color="auto" w:fill="auto"/>
            <w:vAlign w:val="center"/>
          </w:tcPr>
          <w:p w14:paraId="39CFCB7A" w14:textId="77777777" w:rsidR="00F97782" w:rsidRPr="00F04A75" w:rsidRDefault="00F97782" w:rsidP="009E0D2E">
            <w:pPr>
              <w:pStyle w:val="TableFigureNote"/>
              <w:keepNext/>
              <w:spacing w:before="0"/>
              <w:jc w:val="left"/>
              <w:rPr>
                <w:rFonts w:ascii="Arial Narrow" w:hAnsi="Arial Narrow"/>
                <w:sz w:val="20"/>
                <w:szCs w:val="20"/>
                <w:lang w:val="en-AU" w:eastAsia="en-AU"/>
              </w:rPr>
            </w:pPr>
            <w:r w:rsidRPr="00F04A75">
              <w:rPr>
                <w:rFonts w:ascii="Arial Narrow" w:hAnsi="Arial Narrow"/>
                <w:sz w:val="20"/>
                <w:szCs w:val="20"/>
                <w:lang w:val="en-AU" w:eastAsia="en-AU"/>
              </w:rPr>
              <w:t>Streamlined (consistent with current Cd listing) </w:t>
            </w:r>
          </w:p>
        </w:tc>
      </w:tr>
      <w:tr w:rsidR="00F97782" w:rsidRPr="00F04A75" w14:paraId="3C352232" w14:textId="77777777" w:rsidTr="0016658B">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14:paraId="550F439A" w14:textId="77777777" w:rsidR="00F97782" w:rsidRPr="00F04A75" w:rsidRDefault="00F97782" w:rsidP="009E0D2E">
            <w:pPr>
              <w:pStyle w:val="TableFigureNote"/>
              <w:keepNext/>
              <w:spacing w:before="0"/>
              <w:jc w:val="left"/>
              <w:rPr>
                <w:rFonts w:ascii="Arial Narrow" w:hAnsi="Arial Narrow"/>
                <w:sz w:val="20"/>
                <w:szCs w:val="20"/>
                <w:lang w:val="en-AU"/>
              </w:rPr>
            </w:pPr>
            <w:r w:rsidRPr="00F04A75">
              <w:rPr>
                <w:rFonts w:ascii="Arial Narrow" w:hAnsi="Arial Narrow"/>
                <w:sz w:val="20"/>
                <w:szCs w:val="20"/>
                <w:lang w:val="en-AU"/>
              </w:rPr>
              <w:t>Patient population  </w:t>
            </w:r>
          </w:p>
        </w:tc>
        <w:tc>
          <w:tcPr>
            <w:tcW w:w="1965"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5A150C6" w14:textId="77777777" w:rsidR="00F97782" w:rsidRPr="00F04A75" w:rsidRDefault="00F97782" w:rsidP="009E0D2E">
            <w:pPr>
              <w:pStyle w:val="TableFigureNote"/>
              <w:keepNext/>
              <w:spacing w:before="0"/>
              <w:jc w:val="left"/>
              <w:rPr>
                <w:rFonts w:ascii="Arial Narrow" w:hAnsi="Arial Narrow"/>
                <w:sz w:val="20"/>
                <w:szCs w:val="20"/>
                <w:lang w:val="en-AU" w:eastAsia="en-AU"/>
              </w:rPr>
            </w:pPr>
            <w:r w:rsidRPr="00F04A75">
              <w:rPr>
                <w:rFonts w:ascii="Arial Narrow" w:hAnsi="Arial Narrow"/>
                <w:sz w:val="20"/>
                <w:szCs w:val="20"/>
                <w:lang w:val="en-AU" w:eastAsia="en-AU"/>
              </w:rPr>
              <w:t>RRMM after one prior therapy</w:t>
            </w:r>
          </w:p>
        </w:tc>
        <w:tc>
          <w:tcPr>
            <w:tcW w:w="2094" w:type="pct"/>
            <w:tcBorders>
              <w:top w:val="single" w:sz="4" w:space="0" w:color="auto"/>
              <w:left w:val="single" w:sz="4" w:space="0" w:color="auto"/>
              <w:bottom w:val="single" w:sz="4" w:space="0" w:color="auto"/>
              <w:right w:val="single" w:sz="4" w:space="0" w:color="auto"/>
            </w:tcBorders>
            <w:shd w:val="clear" w:color="auto" w:fill="auto"/>
            <w:vAlign w:val="center"/>
          </w:tcPr>
          <w:p w14:paraId="58A49000" w14:textId="77777777" w:rsidR="00F97782" w:rsidRPr="00F04A75" w:rsidRDefault="00F97782" w:rsidP="009E0D2E">
            <w:pPr>
              <w:pStyle w:val="TableFigureNote"/>
              <w:keepNext/>
              <w:spacing w:before="0"/>
              <w:jc w:val="left"/>
              <w:rPr>
                <w:rFonts w:ascii="Arial Narrow" w:hAnsi="Arial Narrow"/>
                <w:sz w:val="20"/>
                <w:szCs w:val="20"/>
                <w:lang w:val="en-AU" w:eastAsia="en-AU"/>
              </w:rPr>
            </w:pPr>
            <w:r w:rsidRPr="00F04A75">
              <w:rPr>
                <w:rFonts w:ascii="Arial Narrow" w:hAnsi="Arial Narrow"/>
                <w:sz w:val="20"/>
                <w:szCs w:val="20"/>
                <w:lang w:val="en-AU" w:eastAsia="en-AU"/>
              </w:rPr>
              <w:t>RRMM after one prior therapy  </w:t>
            </w:r>
          </w:p>
        </w:tc>
      </w:tr>
      <w:tr w:rsidR="00F97782" w:rsidRPr="00F04A75" w14:paraId="45713E7D" w14:textId="77777777" w:rsidTr="0016658B">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14:paraId="5D6DBBF8" w14:textId="77777777" w:rsidR="00F97782" w:rsidRPr="00F04A75" w:rsidRDefault="00F97782" w:rsidP="009E0D2E">
            <w:pPr>
              <w:pStyle w:val="TableFigureNote"/>
              <w:keepNext/>
              <w:spacing w:before="0"/>
              <w:jc w:val="left"/>
              <w:rPr>
                <w:rFonts w:ascii="Arial Narrow" w:hAnsi="Arial Narrow"/>
                <w:sz w:val="20"/>
                <w:szCs w:val="20"/>
                <w:lang w:val="en-AU"/>
              </w:rPr>
            </w:pPr>
            <w:r w:rsidRPr="00F04A75">
              <w:rPr>
                <w:rFonts w:ascii="Arial Narrow" w:hAnsi="Arial Narrow"/>
                <w:sz w:val="20"/>
                <w:szCs w:val="20"/>
                <w:lang w:val="en-AU"/>
              </w:rPr>
              <w:t>PBS item codes  </w:t>
            </w:r>
          </w:p>
        </w:tc>
        <w:tc>
          <w:tcPr>
            <w:tcW w:w="1965"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5D0F0D5" w14:textId="77777777" w:rsidR="00F97782" w:rsidRPr="00F04A75" w:rsidRDefault="00F97782" w:rsidP="009E0D2E">
            <w:pPr>
              <w:pStyle w:val="TableFigureNote"/>
              <w:keepNext/>
              <w:spacing w:before="0"/>
              <w:jc w:val="left"/>
              <w:rPr>
                <w:rFonts w:ascii="Arial Narrow" w:hAnsi="Arial Narrow"/>
                <w:sz w:val="20"/>
                <w:szCs w:val="20"/>
                <w:lang w:val="en-AU" w:eastAsia="en-AU"/>
              </w:rPr>
            </w:pPr>
            <w:r w:rsidRPr="00F04A75">
              <w:rPr>
                <w:rFonts w:ascii="Arial Narrow" w:hAnsi="Arial Narrow"/>
                <w:sz w:val="20"/>
                <w:szCs w:val="20"/>
                <w:lang w:val="en-AU" w:eastAsia="en-AU"/>
              </w:rPr>
              <w:t>New PBS codes (public and private Hospital)</w:t>
            </w:r>
          </w:p>
        </w:tc>
        <w:tc>
          <w:tcPr>
            <w:tcW w:w="2094" w:type="pct"/>
            <w:tcBorders>
              <w:top w:val="single" w:sz="4" w:space="0" w:color="auto"/>
              <w:left w:val="single" w:sz="4" w:space="0" w:color="auto"/>
              <w:bottom w:val="single" w:sz="4" w:space="0" w:color="auto"/>
              <w:right w:val="single" w:sz="4" w:space="0" w:color="auto"/>
            </w:tcBorders>
            <w:shd w:val="clear" w:color="auto" w:fill="auto"/>
            <w:vAlign w:val="center"/>
          </w:tcPr>
          <w:p w14:paraId="4BB4101E" w14:textId="77777777" w:rsidR="00F97782" w:rsidRPr="00F04A75" w:rsidRDefault="00F97782" w:rsidP="009E0D2E">
            <w:pPr>
              <w:pStyle w:val="TableFigureNote"/>
              <w:keepNext/>
              <w:spacing w:before="0"/>
              <w:jc w:val="left"/>
              <w:rPr>
                <w:rFonts w:ascii="Arial Narrow" w:hAnsi="Arial Narrow"/>
                <w:sz w:val="20"/>
                <w:szCs w:val="20"/>
                <w:lang w:val="en-AU" w:eastAsia="en-AU"/>
              </w:rPr>
            </w:pPr>
            <w:r w:rsidRPr="00F04A75">
              <w:rPr>
                <w:rFonts w:ascii="Arial Narrow" w:hAnsi="Arial Narrow"/>
                <w:sz w:val="20"/>
                <w:szCs w:val="20"/>
                <w:lang w:val="en-AU" w:eastAsia="en-AU"/>
              </w:rPr>
              <w:t>Cd is PBS listed for twice weekly and weekly use</w:t>
            </w:r>
          </w:p>
          <w:p w14:paraId="55DB2896" w14:textId="77777777" w:rsidR="00F97782" w:rsidRPr="00F04A75" w:rsidRDefault="00F97782" w:rsidP="009E0D2E">
            <w:pPr>
              <w:pStyle w:val="TableFigureNote"/>
              <w:keepNext/>
              <w:spacing w:before="0"/>
              <w:jc w:val="left"/>
              <w:rPr>
                <w:rFonts w:ascii="Arial Narrow" w:hAnsi="Arial Narrow"/>
                <w:sz w:val="20"/>
                <w:szCs w:val="20"/>
                <w:lang w:val="en-AU" w:eastAsia="en-AU"/>
              </w:rPr>
            </w:pPr>
            <w:r w:rsidRPr="00F04A75">
              <w:rPr>
                <w:rFonts w:ascii="Arial Narrow" w:hAnsi="Arial Narrow"/>
                <w:sz w:val="20"/>
                <w:szCs w:val="20"/>
                <w:lang w:val="en-AU" w:eastAsia="en-AU"/>
              </w:rPr>
              <w:t xml:space="preserve">New </w:t>
            </w:r>
            <w:proofErr w:type="spellStart"/>
            <w:r w:rsidRPr="00F04A75">
              <w:rPr>
                <w:rFonts w:ascii="Arial Narrow" w:hAnsi="Arial Narrow"/>
                <w:sz w:val="20"/>
                <w:szCs w:val="20"/>
                <w:lang w:val="en-AU" w:eastAsia="en-AU"/>
              </w:rPr>
              <w:t>CLd</w:t>
            </w:r>
            <w:proofErr w:type="spellEnd"/>
            <w:r w:rsidRPr="00F04A75">
              <w:rPr>
                <w:rFonts w:ascii="Arial Narrow" w:hAnsi="Arial Narrow"/>
                <w:sz w:val="20"/>
                <w:szCs w:val="20"/>
                <w:lang w:val="en-AU" w:eastAsia="en-AU"/>
              </w:rPr>
              <w:t xml:space="preserve"> PBS codes (Public and Private Hospital): </w:t>
            </w:r>
          </w:p>
          <w:p w14:paraId="53B0EC97" w14:textId="1EF01F1E" w:rsidR="00F97782" w:rsidRPr="00F04A75" w:rsidRDefault="00F97782" w:rsidP="009E0D2E">
            <w:pPr>
              <w:pStyle w:val="TableFigureNote"/>
              <w:keepNext/>
              <w:spacing w:before="0"/>
              <w:jc w:val="left"/>
              <w:rPr>
                <w:rFonts w:ascii="Arial Narrow" w:hAnsi="Arial Narrow"/>
                <w:sz w:val="20"/>
                <w:szCs w:val="20"/>
                <w:lang w:val="en-AU" w:eastAsia="en-AU"/>
              </w:rPr>
            </w:pPr>
            <w:r w:rsidRPr="00F04A75">
              <w:rPr>
                <w:rFonts w:ascii="Arial Narrow" w:hAnsi="Arial Narrow"/>
                <w:sz w:val="20"/>
                <w:szCs w:val="20"/>
                <w:lang w:val="en-AU" w:eastAsia="en-AU"/>
              </w:rPr>
              <w:t xml:space="preserve">Separate codes for </w:t>
            </w:r>
            <w:r w:rsidR="00BA537D" w:rsidRPr="00F04A75">
              <w:rPr>
                <w:rFonts w:ascii="Arial Narrow" w:hAnsi="Arial Narrow"/>
                <w:sz w:val="20"/>
                <w:szCs w:val="20"/>
                <w:lang w:val="en-AU" w:eastAsia="en-AU"/>
              </w:rPr>
              <w:t>C</w:t>
            </w:r>
            <w:r w:rsidRPr="00F04A75">
              <w:rPr>
                <w:rFonts w:ascii="Arial Narrow" w:hAnsi="Arial Narrow"/>
                <w:sz w:val="20"/>
                <w:szCs w:val="20"/>
                <w:lang w:val="en-AU" w:eastAsia="en-AU"/>
              </w:rPr>
              <w:t xml:space="preserve">ycles 1 – 12 (17 repeats) and </w:t>
            </w:r>
            <w:r w:rsidR="00BA537D" w:rsidRPr="00F04A75">
              <w:rPr>
                <w:rFonts w:ascii="Arial Narrow" w:hAnsi="Arial Narrow"/>
                <w:sz w:val="20"/>
                <w:szCs w:val="20"/>
                <w:lang w:val="en-AU" w:eastAsia="en-AU"/>
              </w:rPr>
              <w:t>C</w:t>
            </w:r>
            <w:r w:rsidRPr="00F04A75">
              <w:rPr>
                <w:rFonts w:ascii="Arial Narrow" w:hAnsi="Arial Narrow"/>
                <w:sz w:val="20"/>
                <w:szCs w:val="20"/>
                <w:lang w:val="en-AU" w:eastAsia="en-AU"/>
              </w:rPr>
              <w:t>ycles 13</w:t>
            </w:r>
            <w:r w:rsidR="00BA537D" w:rsidRPr="00F04A75">
              <w:rPr>
                <w:rFonts w:ascii="Arial Narrow" w:hAnsi="Arial Narrow"/>
                <w:sz w:val="20"/>
                <w:szCs w:val="20"/>
                <w:lang w:val="en-AU" w:eastAsia="en-AU"/>
              </w:rPr>
              <w:t>+</w:t>
            </w:r>
            <w:r w:rsidRPr="00F04A75">
              <w:rPr>
                <w:rFonts w:ascii="Arial Narrow" w:hAnsi="Arial Narrow"/>
                <w:sz w:val="20"/>
                <w:szCs w:val="20"/>
                <w:lang w:val="en-AU" w:eastAsia="en-AU"/>
              </w:rPr>
              <w:t xml:space="preserve"> (11 repeats) </w:t>
            </w:r>
          </w:p>
        </w:tc>
      </w:tr>
      <w:tr w:rsidR="00F97782" w:rsidRPr="00F04A75" w14:paraId="557E97C0" w14:textId="77777777" w:rsidTr="0016658B">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14:paraId="24770EE3" w14:textId="77777777" w:rsidR="00F97782" w:rsidRPr="00F04A75" w:rsidRDefault="00F97782" w:rsidP="009E0D2E">
            <w:pPr>
              <w:pStyle w:val="TableFigureNote"/>
              <w:keepNext/>
              <w:spacing w:before="0"/>
              <w:jc w:val="left"/>
              <w:rPr>
                <w:rFonts w:ascii="Arial Narrow" w:hAnsi="Arial Narrow"/>
                <w:sz w:val="20"/>
                <w:szCs w:val="20"/>
                <w:lang w:val="en-AU"/>
              </w:rPr>
            </w:pPr>
            <w:r w:rsidRPr="00F04A75">
              <w:rPr>
                <w:rFonts w:ascii="Arial Narrow" w:hAnsi="Arial Narrow"/>
                <w:sz w:val="20"/>
                <w:szCs w:val="20"/>
                <w:lang w:val="en-AU"/>
              </w:rPr>
              <w:t>Comparator  </w:t>
            </w:r>
          </w:p>
        </w:tc>
        <w:tc>
          <w:tcPr>
            <w:tcW w:w="1965"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682ED44" w14:textId="77777777" w:rsidR="00F97782" w:rsidRPr="00F04A75" w:rsidRDefault="00F97782" w:rsidP="009E0D2E">
            <w:pPr>
              <w:pStyle w:val="TableFigureNote"/>
              <w:keepNext/>
              <w:spacing w:before="0"/>
              <w:jc w:val="left"/>
              <w:rPr>
                <w:rFonts w:ascii="Arial Narrow" w:hAnsi="Arial Narrow"/>
                <w:sz w:val="20"/>
                <w:szCs w:val="20"/>
                <w:lang w:val="en-AU" w:eastAsia="en-AU"/>
              </w:rPr>
            </w:pPr>
            <w:r w:rsidRPr="00F04A75">
              <w:rPr>
                <w:rFonts w:ascii="Arial Narrow" w:hAnsi="Arial Narrow"/>
                <w:sz w:val="20"/>
                <w:szCs w:val="20"/>
                <w:lang w:val="en-AU" w:eastAsia="en-AU"/>
              </w:rPr>
              <w:t xml:space="preserve">Main comparator: </w:t>
            </w:r>
            <w:proofErr w:type="spellStart"/>
            <w:r w:rsidRPr="00F04A75">
              <w:rPr>
                <w:rFonts w:ascii="Arial Narrow" w:hAnsi="Arial Narrow"/>
                <w:sz w:val="20"/>
                <w:szCs w:val="20"/>
                <w:lang w:val="en-AU" w:eastAsia="en-AU"/>
              </w:rPr>
              <w:t>Ld</w:t>
            </w:r>
            <w:proofErr w:type="spellEnd"/>
          </w:p>
          <w:p w14:paraId="67D4F22A" w14:textId="77777777" w:rsidR="00F97782" w:rsidRPr="00F04A75" w:rsidRDefault="00F97782" w:rsidP="009E0D2E">
            <w:pPr>
              <w:pStyle w:val="TableFigureNote"/>
              <w:keepNext/>
              <w:jc w:val="left"/>
              <w:rPr>
                <w:rFonts w:ascii="Arial Narrow" w:hAnsi="Arial Narrow"/>
                <w:sz w:val="20"/>
                <w:szCs w:val="20"/>
                <w:lang w:val="en-AU" w:eastAsia="en-AU"/>
              </w:rPr>
            </w:pPr>
            <w:r w:rsidRPr="00F04A75">
              <w:rPr>
                <w:rFonts w:ascii="Arial Narrow" w:hAnsi="Arial Narrow"/>
                <w:sz w:val="20"/>
                <w:szCs w:val="20"/>
                <w:lang w:val="en-AU" w:eastAsia="en-AU"/>
              </w:rPr>
              <w:t xml:space="preserve">Near term comparator: </w:t>
            </w:r>
            <w:proofErr w:type="spellStart"/>
            <w:r w:rsidRPr="00F04A75">
              <w:rPr>
                <w:rFonts w:ascii="Arial Narrow" w:hAnsi="Arial Narrow"/>
                <w:sz w:val="20"/>
                <w:szCs w:val="20"/>
                <w:lang w:val="en-AU" w:eastAsia="en-AU"/>
              </w:rPr>
              <w:t>ELd</w:t>
            </w:r>
            <w:proofErr w:type="spellEnd"/>
            <w:r w:rsidRPr="00F04A75">
              <w:rPr>
                <w:rFonts w:ascii="Arial Narrow" w:hAnsi="Arial Narrow"/>
                <w:sz w:val="20"/>
                <w:szCs w:val="20"/>
                <w:lang w:val="en-AU" w:eastAsia="en-AU"/>
              </w:rPr>
              <w:t xml:space="preserve"> and </w:t>
            </w:r>
            <w:proofErr w:type="spellStart"/>
            <w:r w:rsidRPr="00F04A75">
              <w:rPr>
                <w:rFonts w:ascii="Arial Narrow" w:hAnsi="Arial Narrow"/>
                <w:sz w:val="20"/>
                <w:szCs w:val="20"/>
                <w:lang w:val="en-AU" w:eastAsia="en-AU"/>
              </w:rPr>
              <w:t>ILd</w:t>
            </w:r>
            <w:proofErr w:type="spellEnd"/>
            <w:r w:rsidRPr="00F04A75">
              <w:rPr>
                <w:rFonts w:ascii="Arial Narrow" w:hAnsi="Arial Narrow"/>
                <w:sz w:val="20"/>
                <w:szCs w:val="20"/>
                <w:lang w:val="en-AU" w:eastAsia="en-AU"/>
              </w:rPr>
              <w:t>- indirect treatment comparison (ITC)</w:t>
            </w:r>
          </w:p>
        </w:tc>
        <w:tc>
          <w:tcPr>
            <w:tcW w:w="2094" w:type="pct"/>
            <w:tcBorders>
              <w:top w:val="single" w:sz="4" w:space="0" w:color="auto"/>
              <w:left w:val="single" w:sz="4" w:space="0" w:color="auto"/>
              <w:bottom w:val="single" w:sz="4" w:space="0" w:color="auto"/>
              <w:right w:val="single" w:sz="4" w:space="0" w:color="auto"/>
            </w:tcBorders>
            <w:shd w:val="clear" w:color="auto" w:fill="auto"/>
            <w:vAlign w:val="center"/>
          </w:tcPr>
          <w:p w14:paraId="6F5B1264" w14:textId="77777777" w:rsidR="00F97782" w:rsidRPr="00F04A75" w:rsidRDefault="00F97782" w:rsidP="009E0D2E">
            <w:pPr>
              <w:pStyle w:val="TableFigureNote"/>
              <w:keepNext/>
              <w:spacing w:before="0"/>
              <w:jc w:val="left"/>
              <w:rPr>
                <w:rFonts w:ascii="Arial Narrow" w:hAnsi="Arial Narrow"/>
                <w:sz w:val="20"/>
                <w:szCs w:val="20"/>
                <w:lang w:val="en-AU" w:eastAsia="en-AU"/>
              </w:rPr>
            </w:pPr>
            <w:r w:rsidRPr="00F04A75">
              <w:rPr>
                <w:rFonts w:ascii="Arial Narrow" w:hAnsi="Arial Narrow"/>
                <w:sz w:val="20"/>
                <w:szCs w:val="20"/>
                <w:lang w:val="en-AU" w:eastAsia="en-AU"/>
              </w:rPr>
              <w:t>Main: Cd – (ITC) for clinical and economic claim</w:t>
            </w:r>
          </w:p>
          <w:p w14:paraId="13DD7E11" w14:textId="77777777" w:rsidR="00F97782" w:rsidRPr="00F04A75" w:rsidRDefault="00F97782" w:rsidP="009E0D2E">
            <w:pPr>
              <w:pStyle w:val="TableFigureNote"/>
              <w:keepNext/>
              <w:spacing w:before="0"/>
              <w:jc w:val="left"/>
              <w:rPr>
                <w:rFonts w:ascii="Arial Narrow" w:hAnsi="Arial Narrow"/>
                <w:sz w:val="20"/>
                <w:szCs w:val="20"/>
                <w:lang w:val="en-AU" w:eastAsia="en-AU"/>
              </w:rPr>
            </w:pPr>
            <w:r w:rsidRPr="00F04A75">
              <w:rPr>
                <w:rFonts w:ascii="Arial Narrow" w:hAnsi="Arial Narrow"/>
                <w:sz w:val="20"/>
                <w:szCs w:val="20"/>
                <w:lang w:val="en-AU" w:eastAsia="en-AU"/>
              </w:rPr>
              <w:t xml:space="preserve">Secondary: </w:t>
            </w:r>
            <w:proofErr w:type="spellStart"/>
            <w:r w:rsidRPr="00F04A75">
              <w:rPr>
                <w:rFonts w:ascii="Arial Narrow" w:hAnsi="Arial Narrow"/>
                <w:sz w:val="20"/>
                <w:szCs w:val="20"/>
                <w:lang w:val="en-AU" w:eastAsia="en-AU"/>
              </w:rPr>
              <w:t>ELd</w:t>
            </w:r>
            <w:proofErr w:type="spellEnd"/>
            <w:r w:rsidRPr="00F04A75">
              <w:rPr>
                <w:rFonts w:ascii="Arial Narrow" w:hAnsi="Arial Narrow"/>
                <w:sz w:val="20"/>
                <w:szCs w:val="20"/>
                <w:lang w:val="en-AU" w:eastAsia="en-AU"/>
              </w:rPr>
              <w:t xml:space="preserve"> and </w:t>
            </w:r>
            <w:proofErr w:type="spellStart"/>
            <w:r w:rsidRPr="00F04A75">
              <w:rPr>
                <w:rFonts w:ascii="Arial Narrow" w:hAnsi="Arial Narrow"/>
                <w:sz w:val="20"/>
                <w:szCs w:val="20"/>
                <w:lang w:val="en-AU" w:eastAsia="en-AU"/>
              </w:rPr>
              <w:t>PBd</w:t>
            </w:r>
            <w:proofErr w:type="spellEnd"/>
            <w:r w:rsidRPr="00F04A75">
              <w:rPr>
                <w:rFonts w:ascii="Arial Narrow" w:hAnsi="Arial Narrow"/>
                <w:sz w:val="20"/>
                <w:szCs w:val="20"/>
                <w:lang w:val="en-AU" w:eastAsia="en-AU"/>
              </w:rPr>
              <w:t xml:space="preserve"> (ITC)</w:t>
            </w:r>
          </w:p>
          <w:p w14:paraId="333A0FD8" w14:textId="77777777" w:rsidR="00F97782" w:rsidRPr="00F04A75" w:rsidRDefault="00F97782" w:rsidP="009E0D2E">
            <w:pPr>
              <w:pStyle w:val="TableFigureNote"/>
              <w:keepNext/>
              <w:spacing w:before="0"/>
              <w:jc w:val="left"/>
              <w:rPr>
                <w:rFonts w:ascii="Arial Narrow" w:hAnsi="Arial Narrow"/>
                <w:sz w:val="20"/>
                <w:szCs w:val="20"/>
                <w:lang w:val="en-AU" w:eastAsia="en-AU"/>
              </w:rPr>
            </w:pPr>
            <w:r w:rsidRPr="00F04A75">
              <w:rPr>
                <w:rFonts w:ascii="Arial Narrow" w:hAnsi="Arial Narrow"/>
                <w:sz w:val="20"/>
                <w:szCs w:val="20"/>
                <w:lang w:val="en-AU" w:eastAsia="en-AU"/>
              </w:rPr>
              <w:t xml:space="preserve">Main comparators for estimation of expenditure caps: Cd, </w:t>
            </w:r>
            <w:proofErr w:type="spellStart"/>
            <w:r w:rsidRPr="00F04A75">
              <w:rPr>
                <w:rFonts w:ascii="Arial Narrow" w:hAnsi="Arial Narrow"/>
                <w:sz w:val="20"/>
                <w:szCs w:val="20"/>
                <w:lang w:val="en-AU" w:eastAsia="en-AU"/>
              </w:rPr>
              <w:t>PBd</w:t>
            </w:r>
            <w:proofErr w:type="spellEnd"/>
            <w:r w:rsidRPr="00F04A75">
              <w:rPr>
                <w:rFonts w:ascii="Arial Narrow" w:hAnsi="Arial Narrow"/>
                <w:sz w:val="20"/>
                <w:szCs w:val="20"/>
                <w:lang w:val="en-AU" w:eastAsia="en-AU"/>
              </w:rPr>
              <w:t xml:space="preserve"> and </w:t>
            </w:r>
            <w:proofErr w:type="spellStart"/>
            <w:r w:rsidRPr="00F04A75">
              <w:rPr>
                <w:rFonts w:ascii="Arial Narrow" w:hAnsi="Arial Narrow"/>
                <w:sz w:val="20"/>
                <w:szCs w:val="20"/>
                <w:lang w:val="en-AU" w:eastAsia="en-AU"/>
              </w:rPr>
              <w:t>ELd</w:t>
            </w:r>
            <w:proofErr w:type="spellEnd"/>
          </w:p>
        </w:tc>
      </w:tr>
      <w:tr w:rsidR="00F97782" w:rsidRPr="00F04A75" w14:paraId="7B36EE27" w14:textId="77777777" w:rsidTr="0016658B">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14:paraId="7490891F" w14:textId="77777777" w:rsidR="00F97782" w:rsidRPr="00F04A75" w:rsidRDefault="00F97782" w:rsidP="009E0D2E">
            <w:pPr>
              <w:pStyle w:val="TableFigureNote"/>
              <w:keepNext/>
              <w:spacing w:before="0"/>
              <w:jc w:val="left"/>
              <w:rPr>
                <w:rFonts w:ascii="Arial Narrow" w:hAnsi="Arial Narrow"/>
                <w:sz w:val="20"/>
                <w:szCs w:val="20"/>
                <w:lang w:val="en-AU"/>
              </w:rPr>
            </w:pPr>
            <w:r w:rsidRPr="00F04A75">
              <w:rPr>
                <w:rFonts w:ascii="Arial Narrow" w:hAnsi="Arial Narrow"/>
                <w:sz w:val="20"/>
                <w:szCs w:val="20"/>
                <w:lang w:val="en-AU"/>
              </w:rPr>
              <w:t>Price </w:t>
            </w:r>
          </w:p>
        </w:tc>
        <w:tc>
          <w:tcPr>
            <w:tcW w:w="1965"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7E96B70" w14:textId="346BC9BA" w:rsidR="00F97782" w:rsidRPr="00F04A75" w:rsidRDefault="00F97782" w:rsidP="009E0D2E">
            <w:pPr>
              <w:pStyle w:val="TableFigureNote"/>
              <w:keepNext/>
              <w:spacing w:before="0"/>
              <w:jc w:val="left"/>
              <w:rPr>
                <w:rFonts w:ascii="Arial Narrow" w:hAnsi="Arial Narrow"/>
                <w:sz w:val="20"/>
                <w:szCs w:val="20"/>
                <w:lang w:val="en-AU" w:eastAsia="en-AU"/>
              </w:rPr>
            </w:pPr>
            <w:r w:rsidRPr="00F04A75">
              <w:rPr>
                <w:rFonts w:ascii="Arial Narrow" w:hAnsi="Arial Narrow"/>
                <w:sz w:val="20"/>
                <w:szCs w:val="20"/>
                <w:lang w:val="en-AU" w:eastAsia="en-AU"/>
              </w:rPr>
              <w:t>AEMP list price = $21.49</w:t>
            </w:r>
            <w:r w:rsidR="00BA537D" w:rsidRPr="00F04A75">
              <w:rPr>
                <w:rFonts w:ascii="Arial Narrow" w:hAnsi="Arial Narrow"/>
                <w:sz w:val="20"/>
                <w:szCs w:val="20"/>
                <w:lang w:val="en-AU" w:eastAsia="en-AU"/>
              </w:rPr>
              <w:t>/</w:t>
            </w:r>
            <w:r w:rsidRPr="00F04A75">
              <w:rPr>
                <w:rFonts w:ascii="Arial Narrow" w:hAnsi="Arial Narrow"/>
                <w:sz w:val="20"/>
                <w:szCs w:val="20"/>
                <w:lang w:val="en-AU" w:eastAsia="en-AU"/>
              </w:rPr>
              <w:t>mg</w:t>
            </w:r>
          </w:p>
          <w:p w14:paraId="00CB873A" w14:textId="121DEA6B" w:rsidR="00F97782" w:rsidRPr="00F04A75" w:rsidRDefault="00F97782" w:rsidP="009E0D2E">
            <w:pPr>
              <w:pStyle w:val="TableFigureNote"/>
              <w:keepNext/>
              <w:spacing w:before="0"/>
              <w:jc w:val="left"/>
              <w:rPr>
                <w:rFonts w:ascii="Arial Narrow" w:hAnsi="Arial Narrow"/>
                <w:sz w:val="20"/>
                <w:szCs w:val="20"/>
                <w:lang w:val="en-AU" w:eastAsia="en-AU"/>
              </w:rPr>
            </w:pPr>
            <w:r w:rsidRPr="00F04A75">
              <w:rPr>
                <w:rFonts w:ascii="Arial Narrow" w:hAnsi="Arial Narrow"/>
                <w:sz w:val="20"/>
                <w:szCs w:val="20"/>
                <w:lang w:val="en-AU" w:eastAsia="en-AU"/>
              </w:rPr>
              <w:t>Net price: $</w:t>
            </w:r>
            <w:r w:rsidR="000960C3" w:rsidRPr="000960C3">
              <w:rPr>
                <w:rFonts w:ascii="Arial Narrow" w:hAnsi="Arial Narrow"/>
                <w:color w:val="000000"/>
                <w:spacing w:val="45"/>
                <w:sz w:val="20"/>
                <w:szCs w:val="20"/>
                <w:shd w:val="solid" w:color="000000" w:fill="000000"/>
                <w:fitText w:val="330" w:id="-1506043904"/>
                <w:lang w:val="en-AU" w:eastAsia="en-AU"/>
                <w14:textFill>
                  <w14:solidFill>
                    <w14:srgbClr w14:val="000000">
                      <w14:alpha w14:val="100000"/>
                    </w14:srgbClr>
                  </w14:solidFill>
                </w14:textFill>
              </w:rPr>
              <w:t>|||</w:t>
            </w:r>
            <w:r w:rsidR="000960C3" w:rsidRPr="000960C3">
              <w:rPr>
                <w:rFonts w:ascii="Arial Narrow" w:hAnsi="Arial Narrow"/>
                <w:color w:val="000000"/>
                <w:spacing w:val="15"/>
                <w:sz w:val="20"/>
                <w:szCs w:val="20"/>
                <w:shd w:val="solid" w:color="000000" w:fill="000000"/>
                <w:fitText w:val="330" w:id="-1506043904"/>
                <w:lang w:val="en-AU" w:eastAsia="en-AU"/>
                <w14:textFill>
                  <w14:solidFill>
                    <w14:srgbClr w14:val="000000">
                      <w14:alpha w14:val="100000"/>
                    </w14:srgbClr>
                  </w14:solidFill>
                </w14:textFill>
              </w:rPr>
              <w:t>|</w:t>
            </w:r>
            <w:r w:rsidRPr="00A35E54">
              <w:rPr>
                <w:rFonts w:ascii="Arial Narrow" w:hAnsi="Arial Narrow"/>
                <w:sz w:val="20"/>
                <w:szCs w:val="20"/>
                <w:lang w:val="en-AU" w:eastAsia="en-AU"/>
              </w:rPr>
              <w:t>/mg</w:t>
            </w:r>
            <w:r w:rsidRPr="00F04A75">
              <w:rPr>
                <w:rFonts w:ascii="Arial Narrow" w:hAnsi="Arial Narrow"/>
                <w:sz w:val="20"/>
                <w:szCs w:val="20"/>
                <w:lang w:val="en-AU" w:eastAsia="en-AU"/>
              </w:rPr>
              <w:t>.</w:t>
            </w:r>
          </w:p>
          <w:p w14:paraId="1B0F5FE3" w14:textId="3E150BDF" w:rsidR="00F97782" w:rsidRPr="00F04A75" w:rsidRDefault="00F97782" w:rsidP="009E0D2E">
            <w:pPr>
              <w:pStyle w:val="TableFigureNote"/>
              <w:keepNext/>
              <w:spacing w:before="0"/>
              <w:jc w:val="left"/>
              <w:rPr>
                <w:rFonts w:ascii="Arial Narrow" w:hAnsi="Arial Narrow"/>
                <w:sz w:val="20"/>
                <w:szCs w:val="20"/>
                <w:lang w:val="en-AU" w:eastAsia="en-AU"/>
              </w:rPr>
            </w:pPr>
            <w:r w:rsidRPr="00F04A75">
              <w:rPr>
                <w:rFonts w:ascii="Arial Narrow" w:hAnsi="Arial Narrow"/>
                <w:sz w:val="20"/>
                <w:szCs w:val="20"/>
                <w:lang w:val="en-AU" w:eastAsia="en-AU"/>
              </w:rPr>
              <w:t>SPA</w:t>
            </w:r>
            <w:r w:rsidR="00BA537D" w:rsidRPr="00F04A75">
              <w:rPr>
                <w:rFonts w:ascii="Arial Narrow" w:hAnsi="Arial Narrow"/>
                <w:sz w:val="20"/>
                <w:szCs w:val="20"/>
                <w:lang w:val="en-AU" w:eastAsia="en-AU"/>
              </w:rPr>
              <w:t xml:space="preserve"> </w:t>
            </w:r>
            <w:r w:rsidRPr="00F04A75">
              <w:rPr>
                <w:rFonts w:ascii="Arial Narrow" w:hAnsi="Arial Narrow"/>
                <w:sz w:val="20"/>
                <w:szCs w:val="20"/>
                <w:lang w:val="en-AU" w:eastAsia="en-AU"/>
              </w:rPr>
              <w:t>requested</w:t>
            </w:r>
          </w:p>
        </w:tc>
        <w:tc>
          <w:tcPr>
            <w:tcW w:w="2094" w:type="pct"/>
            <w:tcBorders>
              <w:top w:val="single" w:sz="4" w:space="0" w:color="auto"/>
              <w:left w:val="single" w:sz="4" w:space="0" w:color="auto"/>
              <w:bottom w:val="single" w:sz="4" w:space="0" w:color="auto"/>
              <w:right w:val="single" w:sz="4" w:space="0" w:color="auto"/>
            </w:tcBorders>
            <w:shd w:val="clear" w:color="auto" w:fill="auto"/>
            <w:vAlign w:val="center"/>
          </w:tcPr>
          <w:p w14:paraId="37DE5A90" w14:textId="77777777" w:rsidR="00F97782" w:rsidRPr="00F04A75" w:rsidRDefault="00F97782" w:rsidP="009E0D2E">
            <w:pPr>
              <w:pStyle w:val="TableFigureNote"/>
              <w:keepNext/>
              <w:spacing w:before="0"/>
              <w:jc w:val="left"/>
              <w:rPr>
                <w:rFonts w:ascii="Arial Narrow" w:hAnsi="Arial Narrow"/>
                <w:sz w:val="20"/>
                <w:szCs w:val="20"/>
                <w:lang w:val="en-AU" w:eastAsia="en-AU"/>
              </w:rPr>
            </w:pPr>
            <w:r w:rsidRPr="00F04A75">
              <w:rPr>
                <w:rFonts w:ascii="Arial Narrow" w:hAnsi="Arial Narrow"/>
                <w:sz w:val="20"/>
                <w:szCs w:val="20"/>
                <w:lang w:val="en-AU" w:eastAsia="en-AU"/>
              </w:rPr>
              <w:t>AEMP list price = $21.49 per mg</w:t>
            </w:r>
          </w:p>
          <w:p w14:paraId="68451625" w14:textId="26F2E2E5" w:rsidR="00F97782" w:rsidRPr="00F04A75" w:rsidRDefault="00F97782" w:rsidP="009E0D2E">
            <w:pPr>
              <w:pStyle w:val="TableFigureNote"/>
              <w:keepNext/>
              <w:spacing w:before="0"/>
              <w:jc w:val="left"/>
              <w:rPr>
                <w:rFonts w:ascii="Arial Narrow" w:hAnsi="Arial Narrow"/>
                <w:sz w:val="20"/>
                <w:szCs w:val="20"/>
                <w:lang w:val="en-AU" w:eastAsia="en-AU"/>
              </w:rPr>
            </w:pPr>
            <w:r w:rsidRPr="00F04A75">
              <w:rPr>
                <w:rFonts w:ascii="Arial Narrow" w:hAnsi="Arial Narrow"/>
                <w:sz w:val="20"/>
                <w:szCs w:val="20"/>
                <w:lang w:val="en-AU" w:eastAsia="en-AU"/>
              </w:rPr>
              <w:t xml:space="preserve">Current Cd rebate is </w:t>
            </w:r>
            <w:r w:rsidR="000960C3" w:rsidRPr="000960C3">
              <w:rPr>
                <w:rFonts w:ascii="Arial Narrow" w:hAnsi="Arial Narrow"/>
                <w:color w:val="000000"/>
                <w:spacing w:val="45"/>
                <w:sz w:val="20"/>
                <w:szCs w:val="20"/>
                <w:shd w:val="solid" w:color="000000" w:fill="000000"/>
                <w:fitText w:val="330" w:id="-1506043903"/>
                <w:lang w:val="en-AU" w:eastAsia="en-AU"/>
                <w14:textFill>
                  <w14:solidFill>
                    <w14:srgbClr w14:val="000000">
                      <w14:alpha w14:val="100000"/>
                    </w14:srgbClr>
                  </w14:solidFill>
                </w14:textFill>
              </w:rPr>
              <w:t>|||</w:t>
            </w:r>
            <w:r w:rsidR="000960C3" w:rsidRPr="000960C3">
              <w:rPr>
                <w:rFonts w:ascii="Arial Narrow" w:hAnsi="Arial Narrow"/>
                <w:color w:val="000000"/>
                <w:spacing w:val="15"/>
                <w:sz w:val="20"/>
                <w:szCs w:val="20"/>
                <w:shd w:val="solid" w:color="000000" w:fill="000000"/>
                <w:fitText w:val="330" w:id="-1506043903"/>
                <w:lang w:val="en-AU" w:eastAsia="en-AU"/>
                <w14:textFill>
                  <w14:solidFill>
                    <w14:srgbClr w14:val="000000">
                      <w14:alpha w14:val="100000"/>
                    </w14:srgbClr>
                  </w14:solidFill>
                </w14:textFill>
              </w:rPr>
              <w:t>|</w:t>
            </w:r>
            <w:r w:rsidRPr="00F04A75">
              <w:rPr>
                <w:rFonts w:ascii="Arial Narrow" w:hAnsi="Arial Narrow"/>
                <w:sz w:val="20"/>
                <w:szCs w:val="20"/>
                <w:lang w:val="en-AU" w:eastAsia="en-AU"/>
              </w:rPr>
              <w:t>%</w:t>
            </w:r>
            <w:r w:rsidR="00CB0A27">
              <w:rPr>
                <w:rFonts w:ascii="Arial Narrow" w:hAnsi="Arial Narrow"/>
                <w:sz w:val="20"/>
                <w:szCs w:val="20"/>
                <w:lang w:val="en-AU" w:eastAsia="en-AU"/>
              </w:rPr>
              <w:t>, resulting in a net price of $</w:t>
            </w:r>
            <w:r w:rsidR="000960C3" w:rsidRPr="000960C3">
              <w:rPr>
                <w:rFonts w:ascii="Arial Narrow" w:hAnsi="Arial Narrow"/>
                <w:color w:val="000000"/>
                <w:spacing w:val="48"/>
                <w:sz w:val="20"/>
                <w:szCs w:val="20"/>
                <w:shd w:val="solid" w:color="000000" w:fill="000000"/>
                <w:fitText w:val="315" w:id="-1506043902"/>
                <w:lang w:val="en-AU" w:eastAsia="en-AU"/>
                <w14:textFill>
                  <w14:solidFill>
                    <w14:srgbClr w14:val="000000">
                      <w14:alpha w14:val="100000"/>
                    </w14:srgbClr>
                  </w14:solidFill>
                </w14:textFill>
              </w:rPr>
              <w:t>|||</w:t>
            </w:r>
            <w:r w:rsidR="000960C3" w:rsidRPr="000960C3">
              <w:rPr>
                <w:rFonts w:ascii="Arial Narrow" w:hAnsi="Arial Narrow"/>
                <w:color w:val="000000"/>
                <w:spacing w:val="1"/>
                <w:sz w:val="20"/>
                <w:szCs w:val="20"/>
                <w:shd w:val="solid" w:color="000000" w:fill="000000"/>
                <w:fitText w:val="315" w:id="-1506043902"/>
                <w:lang w:val="en-AU" w:eastAsia="en-AU"/>
                <w14:textFill>
                  <w14:solidFill>
                    <w14:srgbClr w14:val="000000">
                      <w14:alpha w14:val="100000"/>
                    </w14:srgbClr>
                  </w14:solidFill>
                </w14:textFill>
              </w:rPr>
              <w:t>|</w:t>
            </w:r>
            <w:r w:rsidR="00CB0A27">
              <w:rPr>
                <w:rFonts w:ascii="Arial Narrow" w:hAnsi="Arial Narrow"/>
                <w:sz w:val="20"/>
                <w:szCs w:val="20"/>
                <w:lang w:val="en-AU" w:eastAsia="en-AU"/>
              </w:rPr>
              <w:t>/mg</w:t>
            </w:r>
          </w:p>
          <w:p w14:paraId="3D6F8B11" w14:textId="3EDB2478" w:rsidR="00F97782" w:rsidRPr="00F04A75" w:rsidRDefault="00F97782" w:rsidP="009E0D2E">
            <w:pPr>
              <w:pStyle w:val="TableFigureNote"/>
              <w:keepNext/>
              <w:spacing w:before="0"/>
              <w:jc w:val="left"/>
              <w:rPr>
                <w:rFonts w:ascii="Arial Narrow" w:hAnsi="Arial Narrow"/>
                <w:sz w:val="20"/>
                <w:szCs w:val="20"/>
                <w:lang w:val="en-AU" w:eastAsia="en-AU"/>
              </w:rPr>
            </w:pPr>
            <w:r w:rsidRPr="00F04A75">
              <w:rPr>
                <w:rFonts w:ascii="Arial Narrow" w:hAnsi="Arial Narrow"/>
                <w:sz w:val="20"/>
                <w:szCs w:val="20"/>
                <w:lang w:val="en-AU" w:eastAsia="en-AU"/>
              </w:rPr>
              <w:t xml:space="preserve">An SPA is requested. The specific effective price not known until lenalidomide price is revealed </w:t>
            </w:r>
          </w:p>
        </w:tc>
      </w:tr>
      <w:tr w:rsidR="00F97782" w:rsidRPr="00F04A75" w14:paraId="101BF0F4" w14:textId="77777777" w:rsidTr="0016658B">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14:paraId="055B4C5A" w14:textId="77777777" w:rsidR="00F97782" w:rsidRPr="00F04A75" w:rsidRDefault="00F97782" w:rsidP="009E0D2E">
            <w:pPr>
              <w:pStyle w:val="TableFigureNote"/>
              <w:keepNext/>
              <w:spacing w:before="0"/>
              <w:jc w:val="left"/>
              <w:rPr>
                <w:rFonts w:ascii="Arial Narrow" w:hAnsi="Arial Narrow"/>
                <w:sz w:val="20"/>
                <w:szCs w:val="20"/>
                <w:lang w:val="en-AU"/>
              </w:rPr>
            </w:pPr>
            <w:r w:rsidRPr="00F04A75">
              <w:rPr>
                <w:rFonts w:ascii="Arial Narrow" w:hAnsi="Arial Narrow"/>
                <w:sz w:val="20"/>
                <w:szCs w:val="20"/>
                <w:lang w:val="en-AU"/>
              </w:rPr>
              <w:t>Pivotal clinical evidence </w:t>
            </w:r>
          </w:p>
        </w:tc>
        <w:tc>
          <w:tcPr>
            <w:tcW w:w="1965"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A8CC7AE" w14:textId="77777777" w:rsidR="00F97782" w:rsidRPr="00F04A75" w:rsidRDefault="00F97782" w:rsidP="009E0D2E">
            <w:pPr>
              <w:pStyle w:val="TableFigureNote"/>
              <w:keepNext/>
              <w:spacing w:before="0"/>
              <w:jc w:val="left"/>
              <w:rPr>
                <w:rFonts w:ascii="Arial Narrow" w:hAnsi="Arial Narrow"/>
                <w:sz w:val="20"/>
                <w:szCs w:val="20"/>
                <w:lang w:val="en-AU" w:eastAsia="en-AU"/>
              </w:rPr>
            </w:pPr>
            <w:r w:rsidRPr="00F04A75">
              <w:rPr>
                <w:rFonts w:ascii="Arial Narrow" w:hAnsi="Arial Narrow"/>
                <w:sz w:val="20"/>
                <w:szCs w:val="20"/>
                <w:lang w:val="en-AU" w:eastAsia="en-AU"/>
              </w:rPr>
              <w:t>Main comparison: ASPIRE (</w:t>
            </w:r>
            <w:proofErr w:type="spellStart"/>
            <w:r w:rsidRPr="00F04A75">
              <w:rPr>
                <w:rFonts w:ascii="Arial Narrow" w:hAnsi="Arial Narrow"/>
                <w:sz w:val="20"/>
                <w:szCs w:val="20"/>
                <w:lang w:val="en-AU" w:eastAsia="en-AU"/>
              </w:rPr>
              <w:t>CLd</w:t>
            </w:r>
            <w:proofErr w:type="spellEnd"/>
            <w:r w:rsidRPr="00F04A75">
              <w:rPr>
                <w:rFonts w:ascii="Arial Narrow" w:hAnsi="Arial Narrow"/>
                <w:sz w:val="20"/>
                <w:szCs w:val="20"/>
                <w:lang w:val="en-AU" w:eastAsia="en-AU"/>
              </w:rPr>
              <w:t xml:space="preserve"> vs </w:t>
            </w:r>
            <w:proofErr w:type="spellStart"/>
            <w:r w:rsidRPr="00F04A75">
              <w:rPr>
                <w:rFonts w:ascii="Arial Narrow" w:hAnsi="Arial Narrow"/>
                <w:sz w:val="20"/>
                <w:szCs w:val="20"/>
                <w:lang w:val="en-AU" w:eastAsia="en-AU"/>
              </w:rPr>
              <w:t>Ld</w:t>
            </w:r>
            <w:proofErr w:type="spellEnd"/>
            <w:r w:rsidRPr="00F04A75">
              <w:rPr>
                <w:rFonts w:ascii="Arial Narrow" w:hAnsi="Arial Narrow"/>
                <w:sz w:val="20"/>
                <w:szCs w:val="20"/>
                <w:lang w:val="en-AU" w:eastAsia="en-AU"/>
              </w:rPr>
              <w:t>)</w:t>
            </w:r>
          </w:p>
          <w:p w14:paraId="25D50D6B" w14:textId="77777777" w:rsidR="00F97782" w:rsidRPr="00F04A75" w:rsidRDefault="00F97782" w:rsidP="009E0D2E">
            <w:pPr>
              <w:pStyle w:val="TableFigureNote"/>
              <w:keepNext/>
              <w:spacing w:before="0"/>
              <w:jc w:val="left"/>
              <w:rPr>
                <w:rFonts w:ascii="Arial Narrow" w:hAnsi="Arial Narrow"/>
                <w:sz w:val="20"/>
                <w:szCs w:val="20"/>
                <w:lang w:val="en-AU" w:eastAsia="en-AU"/>
              </w:rPr>
            </w:pPr>
            <w:r w:rsidRPr="00F04A75">
              <w:rPr>
                <w:rFonts w:ascii="Arial Narrow" w:hAnsi="Arial Narrow"/>
                <w:sz w:val="20"/>
                <w:szCs w:val="20"/>
                <w:lang w:val="en-AU" w:eastAsia="en-AU"/>
              </w:rPr>
              <w:t xml:space="preserve">Secondary </w:t>
            </w:r>
            <w:proofErr w:type="spellStart"/>
            <w:r w:rsidRPr="00F04A75">
              <w:rPr>
                <w:rFonts w:ascii="Arial Narrow" w:hAnsi="Arial Narrow"/>
                <w:sz w:val="20"/>
                <w:szCs w:val="20"/>
                <w:lang w:val="en-AU" w:eastAsia="en-AU"/>
              </w:rPr>
              <w:t>comparison</w:t>
            </w:r>
            <w:r w:rsidR="00EB5D42" w:rsidRPr="00F04A75">
              <w:rPr>
                <w:rFonts w:ascii="Arial Narrow" w:hAnsi="Arial Narrow"/>
                <w:sz w:val="20"/>
                <w:szCs w:val="20"/>
                <w:vertAlign w:val="superscript"/>
                <w:lang w:val="en-AU" w:eastAsia="en-AU"/>
              </w:rPr>
              <w:t>a</w:t>
            </w:r>
            <w:proofErr w:type="spellEnd"/>
            <w:r w:rsidRPr="00F04A75">
              <w:rPr>
                <w:rFonts w:ascii="Arial Narrow" w:hAnsi="Arial Narrow"/>
                <w:sz w:val="20"/>
                <w:szCs w:val="20"/>
                <w:lang w:val="en-AU" w:eastAsia="en-AU"/>
              </w:rPr>
              <w:t xml:space="preserve"> (ITC):</w:t>
            </w:r>
          </w:p>
          <w:p w14:paraId="797085FA" w14:textId="77777777" w:rsidR="00F97782" w:rsidRPr="00F04A75" w:rsidRDefault="00F97782" w:rsidP="009E0D2E">
            <w:pPr>
              <w:pStyle w:val="TableFigureNote"/>
              <w:keepNext/>
              <w:spacing w:before="0"/>
              <w:jc w:val="left"/>
              <w:rPr>
                <w:rFonts w:ascii="Arial Narrow" w:hAnsi="Arial Narrow"/>
                <w:sz w:val="20"/>
                <w:szCs w:val="20"/>
                <w:lang w:val="en-AU" w:eastAsia="en-AU"/>
              </w:rPr>
            </w:pPr>
            <w:proofErr w:type="spellStart"/>
            <w:r w:rsidRPr="00F04A75">
              <w:rPr>
                <w:rFonts w:ascii="Arial Narrow" w:hAnsi="Arial Narrow"/>
                <w:sz w:val="20"/>
                <w:szCs w:val="20"/>
                <w:lang w:val="en-AU" w:eastAsia="en-AU"/>
              </w:rPr>
              <w:t>ELd</w:t>
            </w:r>
            <w:proofErr w:type="spellEnd"/>
            <w:r w:rsidRPr="00F04A75">
              <w:rPr>
                <w:rFonts w:ascii="Arial Narrow" w:hAnsi="Arial Narrow"/>
                <w:sz w:val="20"/>
                <w:szCs w:val="20"/>
                <w:lang w:val="en-AU" w:eastAsia="en-AU"/>
              </w:rPr>
              <w:t xml:space="preserve"> (ELOQUENT-2 –</w:t>
            </w:r>
            <w:proofErr w:type="spellStart"/>
            <w:r w:rsidRPr="00F04A75">
              <w:rPr>
                <w:rFonts w:ascii="Arial Narrow" w:hAnsi="Arial Narrow"/>
                <w:sz w:val="20"/>
                <w:szCs w:val="20"/>
                <w:lang w:val="en-AU" w:eastAsia="en-AU"/>
              </w:rPr>
              <w:t>ELd</w:t>
            </w:r>
            <w:proofErr w:type="spellEnd"/>
            <w:r w:rsidRPr="00F04A75">
              <w:rPr>
                <w:rFonts w:ascii="Arial Narrow" w:hAnsi="Arial Narrow"/>
                <w:sz w:val="20"/>
                <w:szCs w:val="20"/>
                <w:lang w:val="en-AU" w:eastAsia="en-AU"/>
              </w:rPr>
              <w:t xml:space="preserve"> vs </w:t>
            </w:r>
            <w:proofErr w:type="spellStart"/>
            <w:r w:rsidRPr="00F04A75">
              <w:rPr>
                <w:rFonts w:ascii="Arial Narrow" w:hAnsi="Arial Narrow"/>
                <w:sz w:val="20"/>
                <w:szCs w:val="20"/>
                <w:lang w:val="en-AU" w:eastAsia="en-AU"/>
              </w:rPr>
              <w:t>Ld</w:t>
            </w:r>
            <w:proofErr w:type="spellEnd"/>
            <w:r w:rsidRPr="00F04A75">
              <w:rPr>
                <w:rFonts w:ascii="Arial Narrow" w:hAnsi="Arial Narrow"/>
                <w:sz w:val="20"/>
                <w:szCs w:val="20"/>
                <w:lang w:val="en-AU" w:eastAsia="en-AU"/>
              </w:rPr>
              <w:t>)</w:t>
            </w:r>
          </w:p>
          <w:p w14:paraId="6CD0CC4B" w14:textId="77777777" w:rsidR="00F97782" w:rsidRPr="00F04A75" w:rsidRDefault="00F97782" w:rsidP="009E0D2E">
            <w:pPr>
              <w:pStyle w:val="TableFigureNote"/>
              <w:keepNext/>
              <w:spacing w:before="0"/>
              <w:jc w:val="left"/>
              <w:rPr>
                <w:rFonts w:ascii="Arial Narrow" w:hAnsi="Arial Narrow"/>
                <w:sz w:val="20"/>
                <w:szCs w:val="20"/>
                <w:lang w:val="en-AU" w:eastAsia="en-AU"/>
              </w:rPr>
            </w:pPr>
            <w:proofErr w:type="spellStart"/>
            <w:r w:rsidRPr="00F04A75">
              <w:rPr>
                <w:rFonts w:ascii="Arial Narrow" w:hAnsi="Arial Narrow"/>
                <w:sz w:val="20"/>
                <w:szCs w:val="20"/>
                <w:lang w:val="en-AU" w:eastAsia="en-AU"/>
              </w:rPr>
              <w:t>ILd</w:t>
            </w:r>
            <w:proofErr w:type="spellEnd"/>
            <w:r w:rsidRPr="00F04A75">
              <w:rPr>
                <w:rFonts w:ascii="Arial Narrow" w:hAnsi="Arial Narrow"/>
                <w:sz w:val="20"/>
                <w:szCs w:val="20"/>
                <w:lang w:val="en-AU" w:eastAsia="en-AU"/>
              </w:rPr>
              <w:t> (TOURMALINE MM-1 - </w:t>
            </w:r>
            <w:proofErr w:type="spellStart"/>
            <w:r w:rsidRPr="00F04A75">
              <w:rPr>
                <w:rFonts w:ascii="Arial Narrow" w:hAnsi="Arial Narrow"/>
                <w:sz w:val="20"/>
                <w:szCs w:val="20"/>
                <w:lang w:val="en-AU" w:eastAsia="en-AU"/>
              </w:rPr>
              <w:t>ILd</w:t>
            </w:r>
            <w:proofErr w:type="spellEnd"/>
            <w:r w:rsidRPr="00F04A75">
              <w:rPr>
                <w:rFonts w:ascii="Arial Narrow" w:hAnsi="Arial Narrow"/>
                <w:sz w:val="20"/>
                <w:szCs w:val="20"/>
                <w:lang w:val="en-AU" w:eastAsia="en-AU"/>
              </w:rPr>
              <w:t> vs </w:t>
            </w:r>
            <w:proofErr w:type="spellStart"/>
            <w:r w:rsidRPr="00F04A75">
              <w:rPr>
                <w:rFonts w:ascii="Arial Narrow" w:hAnsi="Arial Narrow"/>
                <w:sz w:val="20"/>
                <w:szCs w:val="20"/>
                <w:lang w:val="en-AU" w:eastAsia="en-AU"/>
              </w:rPr>
              <w:t>Ld</w:t>
            </w:r>
            <w:proofErr w:type="spellEnd"/>
            <w:r w:rsidRPr="00F04A75">
              <w:rPr>
                <w:rFonts w:ascii="Arial Narrow" w:hAnsi="Arial Narrow"/>
                <w:sz w:val="20"/>
                <w:szCs w:val="20"/>
                <w:lang w:val="en-AU" w:eastAsia="en-AU"/>
              </w:rPr>
              <w:t>)</w:t>
            </w:r>
          </w:p>
        </w:tc>
        <w:tc>
          <w:tcPr>
            <w:tcW w:w="2094" w:type="pct"/>
            <w:tcBorders>
              <w:top w:val="single" w:sz="4" w:space="0" w:color="auto"/>
              <w:left w:val="single" w:sz="4" w:space="0" w:color="auto"/>
              <w:bottom w:val="single" w:sz="4" w:space="0" w:color="auto"/>
              <w:right w:val="single" w:sz="4" w:space="0" w:color="auto"/>
            </w:tcBorders>
            <w:shd w:val="clear" w:color="auto" w:fill="auto"/>
            <w:vAlign w:val="center"/>
          </w:tcPr>
          <w:p w14:paraId="213A387B" w14:textId="77777777" w:rsidR="00F97782" w:rsidRPr="00F04A75" w:rsidRDefault="00F97782" w:rsidP="009E0D2E">
            <w:pPr>
              <w:pStyle w:val="TableFigureNote"/>
              <w:keepNext/>
              <w:spacing w:before="0"/>
              <w:jc w:val="left"/>
              <w:rPr>
                <w:rFonts w:ascii="Arial Narrow" w:hAnsi="Arial Narrow"/>
                <w:sz w:val="20"/>
                <w:szCs w:val="20"/>
                <w:lang w:val="en-AU" w:eastAsia="en-AU"/>
              </w:rPr>
            </w:pPr>
            <w:r w:rsidRPr="00F04A75">
              <w:rPr>
                <w:rFonts w:ascii="Arial Narrow" w:hAnsi="Arial Narrow"/>
                <w:sz w:val="20"/>
                <w:szCs w:val="20"/>
                <w:lang w:val="en-AU" w:eastAsia="en-AU"/>
              </w:rPr>
              <w:t xml:space="preserve">Main comparison: </w:t>
            </w:r>
            <w:r w:rsidR="00EB5D42" w:rsidRPr="00F04A75">
              <w:rPr>
                <w:rFonts w:ascii="Arial Narrow" w:hAnsi="Arial Narrow"/>
                <w:sz w:val="20"/>
                <w:szCs w:val="20"/>
                <w:lang w:val="en-AU" w:eastAsia="en-AU"/>
              </w:rPr>
              <w:t xml:space="preserve">ITC </w:t>
            </w:r>
            <w:proofErr w:type="spellStart"/>
            <w:r w:rsidRPr="00F04A75">
              <w:rPr>
                <w:rFonts w:ascii="Arial Narrow" w:hAnsi="Arial Narrow"/>
                <w:sz w:val="20"/>
                <w:szCs w:val="20"/>
                <w:lang w:val="en-AU" w:eastAsia="en-AU"/>
              </w:rPr>
              <w:t>CLd</w:t>
            </w:r>
            <w:proofErr w:type="spellEnd"/>
            <w:r w:rsidRPr="00F04A75">
              <w:rPr>
                <w:rFonts w:ascii="Arial Narrow" w:hAnsi="Arial Narrow"/>
                <w:sz w:val="20"/>
                <w:szCs w:val="20"/>
                <w:lang w:val="en-AU" w:eastAsia="en-AU"/>
              </w:rPr>
              <w:t xml:space="preserve"> vs Cd: </w:t>
            </w:r>
          </w:p>
          <w:p w14:paraId="51959B6D" w14:textId="77777777" w:rsidR="00F97782" w:rsidRPr="00F04A75" w:rsidRDefault="00F97782" w:rsidP="009E0D2E">
            <w:pPr>
              <w:pStyle w:val="TableFigureNote"/>
              <w:keepNext/>
              <w:spacing w:before="0"/>
              <w:jc w:val="left"/>
              <w:rPr>
                <w:rFonts w:ascii="Arial Narrow" w:hAnsi="Arial Narrow"/>
                <w:sz w:val="20"/>
                <w:szCs w:val="20"/>
                <w:lang w:val="en-AU" w:eastAsia="en-AU"/>
              </w:rPr>
            </w:pPr>
            <w:r w:rsidRPr="00F04A75">
              <w:rPr>
                <w:rFonts w:ascii="Arial Narrow" w:hAnsi="Arial Narrow"/>
                <w:sz w:val="20"/>
                <w:szCs w:val="20"/>
                <w:lang w:val="en-AU" w:eastAsia="en-AU"/>
              </w:rPr>
              <w:t>ASPIRE (</w:t>
            </w:r>
            <w:proofErr w:type="spellStart"/>
            <w:r w:rsidRPr="00F04A75">
              <w:rPr>
                <w:rFonts w:ascii="Arial Narrow" w:hAnsi="Arial Narrow"/>
                <w:sz w:val="20"/>
                <w:szCs w:val="20"/>
                <w:lang w:val="en-AU" w:eastAsia="en-AU"/>
              </w:rPr>
              <w:t>CLd</w:t>
            </w:r>
            <w:proofErr w:type="spellEnd"/>
            <w:r w:rsidRPr="00F04A75">
              <w:rPr>
                <w:rFonts w:ascii="Arial Narrow" w:hAnsi="Arial Narrow"/>
                <w:sz w:val="20"/>
                <w:szCs w:val="20"/>
                <w:lang w:val="en-AU" w:eastAsia="en-AU"/>
              </w:rPr>
              <w:t xml:space="preserve"> vs </w:t>
            </w:r>
            <w:proofErr w:type="spellStart"/>
            <w:r w:rsidRPr="00F04A75">
              <w:rPr>
                <w:rFonts w:ascii="Arial Narrow" w:hAnsi="Arial Narrow"/>
                <w:sz w:val="20"/>
                <w:szCs w:val="20"/>
                <w:lang w:val="en-AU" w:eastAsia="en-AU"/>
              </w:rPr>
              <w:t>Ld</w:t>
            </w:r>
            <w:proofErr w:type="spellEnd"/>
            <w:r w:rsidRPr="00F04A75">
              <w:rPr>
                <w:rFonts w:ascii="Arial Narrow" w:hAnsi="Arial Narrow"/>
                <w:sz w:val="20"/>
                <w:szCs w:val="20"/>
                <w:lang w:val="en-AU" w:eastAsia="en-AU"/>
              </w:rPr>
              <w:t>) vs ENDEAVOR (Cd vs Bd)</w:t>
            </w:r>
          </w:p>
          <w:p w14:paraId="73788F25" w14:textId="77777777" w:rsidR="00F97782" w:rsidRPr="00F04A75" w:rsidRDefault="00F97782" w:rsidP="009E0D2E">
            <w:pPr>
              <w:pStyle w:val="TableFigureNote"/>
              <w:keepNext/>
              <w:spacing w:before="0"/>
              <w:jc w:val="left"/>
              <w:rPr>
                <w:rFonts w:ascii="Arial Narrow" w:hAnsi="Arial Narrow"/>
                <w:sz w:val="20"/>
                <w:szCs w:val="20"/>
                <w:lang w:val="en-AU" w:eastAsia="en-AU"/>
              </w:rPr>
            </w:pPr>
            <w:r w:rsidRPr="00F04A75">
              <w:rPr>
                <w:rFonts w:ascii="Arial Narrow" w:hAnsi="Arial Narrow"/>
                <w:sz w:val="20"/>
                <w:szCs w:val="20"/>
                <w:lang w:val="en-AU" w:eastAsia="en-AU"/>
              </w:rPr>
              <w:t xml:space="preserve">Secondary comparisons: ITC of </w:t>
            </w:r>
            <w:proofErr w:type="spellStart"/>
            <w:r w:rsidRPr="00F04A75">
              <w:rPr>
                <w:rFonts w:ascii="Arial Narrow" w:hAnsi="Arial Narrow"/>
                <w:sz w:val="20"/>
                <w:szCs w:val="20"/>
                <w:lang w:val="en-AU" w:eastAsia="en-AU"/>
              </w:rPr>
              <w:t>CLd</w:t>
            </w:r>
            <w:proofErr w:type="spellEnd"/>
            <w:r w:rsidRPr="00F04A75">
              <w:rPr>
                <w:rFonts w:ascii="Arial Narrow" w:hAnsi="Arial Narrow"/>
                <w:sz w:val="20"/>
                <w:szCs w:val="20"/>
                <w:lang w:val="en-AU" w:eastAsia="en-AU"/>
              </w:rPr>
              <w:t xml:space="preserve"> (ASPIRE) vs:</w:t>
            </w:r>
          </w:p>
          <w:p w14:paraId="73186384" w14:textId="77777777" w:rsidR="00F97782" w:rsidRPr="00F04A75" w:rsidRDefault="00F97782" w:rsidP="009E0D2E">
            <w:pPr>
              <w:pStyle w:val="TableFigureNote"/>
              <w:keepNext/>
              <w:spacing w:before="0"/>
              <w:jc w:val="left"/>
              <w:rPr>
                <w:rFonts w:ascii="Arial Narrow" w:hAnsi="Arial Narrow"/>
                <w:sz w:val="20"/>
                <w:szCs w:val="20"/>
                <w:lang w:val="en-AU" w:eastAsia="en-AU"/>
              </w:rPr>
            </w:pPr>
            <w:proofErr w:type="spellStart"/>
            <w:r w:rsidRPr="00F04A75">
              <w:rPr>
                <w:rFonts w:ascii="Arial Narrow" w:hAnsi="Arial Narrow"/>
                <w:sz w:val="20"/>
                <w:szCs w:val="20"/>
                <w:lang w:val="en-AU" w:eastAsia="en-AU"/>
              </w:rPr>
              <w:t>ELd</w:t>
            </w:r>
            <w:proofErr w:type="spellEnd"/>
            <w:r w:rsidRPr="00F04A75">
              <w:rPr>
                <w:rFonts w:ascii="Arial Narrow" w:hAnsi="Arial Narrow"/>
                <w:sz w:val="20"/>
                <w:szCs w:val="20"/>
                <w:lang w:val="en-AU" w:eastAsia="en-AU"/>
              </w:rPr>
              <w:t xml:space="preserve"> (ELOQUENT-2 - </w:t>
            </w:r>
            <w:proofErr w:type="spellStart"/>
            <w:r w:rsidRPr="00F04A75">
              <w:rPr>
                <w:rFonts w:ascii="Arial Narrow" w:hAnsi="Arial Narrow"/>
                <w:sz w:val="20"/>
                <w:szCs w:val="20"/>
                <w:lang w:val="en-AU" w:eastAsia="en-AU"/>
              </w:rPr>
              <w:t>ELd</w:t>
            </w:r>
            <w:proofErr w:type="spellEnd"/>
            <w:r w:rsidRPr="00F04A75">
              <w:rPr>
                <w:rFonts w:ascii="Arial Narrow" w:hAnsi="Arial Narrow"/>
                <w:sz w:val="20"/>
                <w:szCs w:val="20"/>
                <w:lang w:val="en-AU" w:eastAsia="en-AU"/>
              </w:rPr>
              <w:t xml:space="preserve"> vs </w:t>
            </w:r>
            <w:proofErr w:type="spellStart"/>
            <w:r w:rsidRPr="00F04A75">
              <w:rPr>
                <w:rFonts w:ascii="Arial Narrow" w:hAnsi="Arial Narrow"/>
                <w:sz w:val="20"/>
                <w:szCs w:val="20"/>
                <w:lang w:val="en-AU" w:eastAsia="en-AU"/>
              </w:rPr>
              <w:t>Ld</w:t>
            </w:r>
            <w:proofErr w:type="spellEnd"/>
            <w:r w:rsidRPr="00F04A75">
              <w:rPr>
                <w:rFonts w:ascii="Arial Narrow" w:hAnsi="Arial Narrow"/>
                <w:sz w:val="20"/>
                <w:szCs w:val="20"/>
                <w:lang w:val="en-AU" w:eastAsia="en-AU"/>
              </w:rPr>
              <w:t>)</w:t>
            </w:r>
          </w:p>
          <w:p w14:paraId="09AEC082" w14:textId="77777777" w:rsidR="00F97782" w:rsidRPr="00F04A75" w:rsidRDefault="00F97782" w:rsidP="009E0D2E">
            <w:pPr>
              <w:pStyle w:val="TableFigureNote"/>
              <w:keepNext/>
              <w:spacing w:before="0"/>
              <w:jc w:val="left"/>
              <w:rPr>
                <w:rFonts w:ascii="Arial Narrow" w:hAnsi="Arial Narrow"/>
                <w:sz w:val="20"/>
                <w:szCs w:val="20"/>
                <w:lang w:val="en-AU" w:eastAsia="en-AU"/>
              </w:rPr>
            </w:pPr>
            <w:proofErr w:type="spellStart"/>
            <w:r w:rsidRPr="00F04A75">
              <w:rPr>
                <w:rFonts w:ascii="Arial Narrow" w:hAnsi="Arial Narrow"/>
                <w:sz w:val="20"/>
                <w:szCs w:val="20"/>
                <w:lang w:val="en-AU" w:eastAsia="en-AU"/>
              </w:rPr>
              <w:t>PBd</w:t>
            </w:r>
            <w:proofErr w:type="spellEnd"/>
            <w:r w:rsidRPr="00F04A75">
              <w:rPr>
                <w:rFonts w:ascii="Arial Narrow" w:hAnsi="Arial Narrow"/>
                <w:sz w:val="20"/>
                <w:szCs w:val="20"/>
                <w:lang w:val="en-AU" w:eastAsia="en-AU"/>
              </w:rPr>
              <w:t xml:space="preserve"> (OPTIMISMM - </w:t>
            </w:r>
            <w:proofErr w:type="spellStart"/>
            <w:r w:rsidRPr="00F04A75">
              <w:rPr>
                <w:rFonts w:ascii="Arial Narrow" w:hAnsi="Arial Narrow"/>
                <w:sz w:val="20"/>
                <w:szCs w:val="20"/>
                <w:lang w:val="en-AU" w:eastAsia="en-AU"/>
              </w:rPr>
              <w:t>PBd</w:t>
            </w:r>
            <w:proofErr w:type="spellEnd"/>
            <w:r w:rsidRPr="00F04A75">
              <w:rPr>
                <w:rFonts w:ascii="Arial Narrow" w:hAnsi="Arial Narrow"/>
                <w:sz w:val="20"/>
                <w:szCs w:val="20"/>
                <w:lang w:val="en-AU" w:eastAsia="en-AU"/>
              </w:rPr>
              <w:t xml:space="preserve"> vs Bd)</w:t>
            </w:r>
          </w:p>
        </w:tc>
      </w:tr>
      <w:tr w:rsidR="00F97782" w:rsidRPr="00F04A75" w14:paraId="38D7F8D7" w14:textId="77777777" w:rsidTr="0016658B">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14:paraId="1AF77D2F" w14:textId="77777777" w:rsidR="00F97782" w:rsidRPr="00F04A75" w:rsidRDefault="00F97782" w:rsidP="009E0D2E">
            <w:pPr>
              <w:pStyle w:val="TableFigureNote"/>
              <w:keepNext/>
              <w:spacing w:before="0"/>
              <w:jc w:val="left"/>
              <w:rPr>
                <w:rFonts w:ascii="Arial Narrow" w:hAnsi="Arial Narrow"/>
                <w:sz w:val="20"/>
                <w:szCs w:val="20"/>
                <w:lang w:val="en-AU"/>
              </w:rPr>
            </w:pPr>
            <w:r w:rsidRPr="00F04A75">
              <w:rPr>
                <w:rFonts w:ascii="Arial Narrow" w:hAnsi="Arial Narrow"/>
                <w:sz w:val="20"/>
                <w:szCs w:val="20"/>
                <w:lang w:val="en-AU"/>
              </w:rPr>
              <w:t>Clinical Claim  </w:t>
            </w:r>
          </w:p>
        </w:tc>
        <w:tc>
          <w:tcPr>
            <w:tcW w:w="1965"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38A44ED" w14:textId="77777777" w:rsidR="00F97782" w:rsidRPr="00F04A75" w:rsidRDefault="00F97782" w:rsidP="009E0D2E">
            <w:pPr>
              <w:pStyle w:val="TableFigureNote"/>
              <w:keepNext/>
              <w:spacing w:before="0"/>
              <w:jc w:val="left"/>
              <w:rPr>
                <w:rFonts w:ascii="Arial Narrow" w:hAnsi="Arial Narrow"/>
                <w:sz w:val="20"/>
                <w:szCs w:val="20"/>
                <w:lang w:val="en-AU" w:eastAsia="en-AU"/>
              </w:rPr>
            </w:pPr>
            <w:proofErr w:type="spellStart"/>
            <w:r w:rsidRPr="00F04A75">
              <w:rPr>
                <w:rFonts w:ascii="Arial Narrow" w:hAnsi="Arial Narrow"/>
                <w:sz w:val="20"/>
                <w:szCs w:val="20"/>
                <w:lang w:val="en-AU" w:eastAsia="en-AU"/>
              </w:rPr>
              <w:t>CLd</w:t>
            </w:r>
            <w:proofErr w:type="spellEnd"/>
            <w:r w:rsidRPr="00F04A75">
              <w:rPr>
                <w:rFonts w:ascii="Arial Narrow" w:hAnsi="Arial Narrow"/>
                <w:sz w:val="20"/>
                <w:szCs w:val="20"/>
                <w:lang w:val="en-AU" w:eastAsia="en-AU"/>
              </w:rPr>
              <w:t xml:space="preserve"> has superior efficacy and inferior safety compared to </w:t>
            </w:r>
            <w:proofErr w:type="spellStart"/>
            <w:r w:rsidRPr="00F04A75">
              <w:rPr>
                <w:rFonts w:ascii="Arial Narrow" w:hAnsi="Arial Narrow"/>
                <w:sz w:val="20"/>
                <w:szCs w:val="20"/>
                <w:lang w:val="en-AU" w:eastAsia="en-AU"/>
              </w:rPr>
              <w:t>Ld</w:t>
            </w:r>
            <w:proofErr w:type="spellEnd"/>
          </w:p>
        </w:tc>
        <w:tc>
          <w:tcPr>
            <w:tcW w:w="2094" w:type="pct"/>
            <w:tcBorders>
              <w:top w:val="single" w:sz="4" w:space="0" w:color="auto"/>
              <w:left w:val="single" w:sz="4" w:space="0" w:color="auto"/>
              <w:bottom w:val="single" w:sz="4" w:space="0" w:color="auto"/>
              <w:right w:val="single" w:sz="4" w:space="0" w:color="auto"/>
            </w:tcBorders>
            <w:shd w:val="clear" w:color="auto" w:fill="auto"/>
            <w:vAlign w:val="center"/>
          </w:tcPr>
          <w:p w14:paraId="0A82EB34" w14:textId="78581DAF" w:rsidR="00F97782" w:rsidRPr="00F04A75" w:rsidRDefault="00F97782" w:rsidP="009E0D2E">
            <w:pPr>
              <w:pStyle w:val="TableFigureNote"/>
              <w:keepNext/>
              <w:spacing w:before="0"/>
              <w:jc w:val="left"/>
              <w:rPr>
                <w:rFonts w:ascii="Arial Narrow" w:hAnsi="Arial Narrow"/>
                <w:sz w:val="20"/>
                <w:szCs w:val="20"/>
                <w:lang w:val="en-AU" w:eastAsia="en-AU"/>
              </w:rPr>
            </w:pPr>
            <w:proofErr w:type="spellStart"/>
            <w:r w:rsidRPr="00F04A75">
              <w:rPr>
                <w:rFonts w:ascii="Arial Narrow" w:hAnsi="Arial Narrow"/>
                <w:sz w:val="20"/>
                <w:szCs w:val="20"/>
                <w:lang w:val="en-AU" w:eastAsia="en-AU"/>
              </w:rPr>
              <w:t>CLd</w:t>
            </w:r>
            <w:proofErr w:type="spellEnd"/>
            <w:r w:rsidRPr="00F04A75">
              <w:rPr>
                <w:rFonts w:ascii="Arial Narrow" w:hAnsi="Arial Narrow"/>
                <w:sz w:val="20"/>
                <w:szCs w:val="20"/>
                <w:lang w:val="en-AU" w:eastAsia="en-AU"/>
              </w:rPr>
              <w:t xml:space="preserve"> is non-inferior in terms of efficacy compared to Cd, </w:t>
            </w:r>
            <w:proofErr w:type="spellStart"/>
            <w:r w:rsidRPr="00F04A75">
              <w:rPr>
                <w:rFonts w:ascii="Arial Narrow" w:hAnsi="Arial Narrow"/>
                <w:sz w:val="20"/>
                <w:szCs w:val="20"/>
                <w:lang w:val="en-AU" w:eastAsia="en-AU"/>
              </w:rPr>
              <w:t>ELd</w:t>
            </w:r>
            <w:proofErr w:type="spellEnd"/>
            <w:r w:rsidRPr="00F04A75">
              <w:rPr>
                <w:rFonts w:ascii="Arial Narrow" w:hAnsi="Arial Narrow"/>
                <w:sz w:val="20"/>
                <w:szCs w:val="20"/>
                <w:lang w:val="en-AU" w:eastAsia="en-AU"/>
              </w:rPr>
              <w:t xml:space="preserve"> and </w:t>
            </w:r>
            <w:proofErr w:type="spellStart"/>
            <w:r w:rsidRPr="00F04A75">
              <w:rPr>
                <w:rFonts w:ascii="Arial Narrow" w:hAnsi="Arial Narrow"/>
                <w:sz w:val="20"/>
                <w:szCs w:val="20"/>
                <w:lang w:val="en-AU" w:eastAsia="en-AU"/>
              </w:rPr>
              <w:t>PBd</w:t>
            </w:r>
            <w:proofErr w:type="spellEnd"/>
            <w:r w:rsidRPr="00F04A75">
              <w:rPr>
                <w:rFonts w:ascii="Arial Narrow" w:hAnsi="Arial Narrow"/>
                <w:sz w:val="20"/>
                <w:szCs w:val="20"/>
                <w:lang w:val="en-AU" w:eastAsia="en-AU"/>
              </w:rPr>
              <w:t>  </w:t>
            </w:r>
          </w:p>
          <w:p w14:paraId="5B85D8B8" w14:textId="77777777" w:rsidR="00F97782" w:rsidRPr="00F04A75" w:rsidRDefault="00F97782" w:rsidP="009E0D2E">
            <w:pPr>
              <w:pStyle w:val="TableFigureNote"/>
              <w:keepNext/>
              <w:spacing w:before="0"/>
              <w:jc w:val="left"/>
              <w:rPr>
                <w:rFonts w:ascii="Arial Narrow" w:hAnsi="Arial Narrow"/>
                <w:sz w:val="20"/>
                <w:szCs w:val="20"/>
                <w:lang w:val="en-AU" w:eastAsia="en-AU"/>
              </w:rPr>
            </w:pPr>
            <w:proofErr w:type="spellStart"/>
            <w:r w:rsidRPr="00F04A75">
              <w:rPr>
                <w:rFonts w:ascii="Arial Narrow" w:hAnsi="Arial Narrow"/>
                <w:sz w:val="20"/>
                <w:szCs w:val="20"/>
                <w:lang w:val="en-AU" w:eastAsia="en-AU"/>
              </w:rPr>
              <w:t>CLd</w:t>
            </w:r>
            <w:proofErr w:type="spellEnd"/>
            <w:r w:rsidRPr="00F04A75">
              <w:rPr>
                <w:rFonts w:ascii="Arial Narrow" w:hAnsi="Arial Narrow"/>
                <w:sz w:val="20"/>
                <w:szCs w:val="20"/>
                <w:lang w:val="en-AU" w:eastAsia="en-AU"/>
              </w:rPr>
              <w:t xml:space="preserve"> is non-inferior in terms of safety compared to </w:t>
            </w:r>
            <w:proofErr w:type="spellStart"/>
            <w:r w:rsidRPr="00F04A75">
              <w:rPr>
                <w:rFonts w:ascii="Arial Narrow" w:hAnsi="Arial Narrow"/>
                <w:sz w:val="20"/>
                <w:szCs w:val="20"/>
                <w:lang w:val="en-AU" w:eastAsia="en-AU"/>
              </w:rPr>
              <w:t>ELd</w:t>
            </w:r>
            <w:proofErr w:type="spellEnd"/>
            <w:r w:rsidRPr="00F04A75">
              <w:rPr>
                <w:rFonts w:ascii="Arial Narrow" w:hAnsi="Arial Narrow"/>
                <w:sz w:val="20"/>
                <w:szCs w:val="20"/>
                <w:lang w:val="en-AU" w:eastAsia="en-AU"/>
              </w:rPr>
              <w:t xml:space="preserve"> and </w:t>
            </w:r>
            <w:proofErr w:type="spellStart"/>
            <w:r w:rsidRPr="00F04A75">
              <w:rPr>
                <w:rFonts w:ascii="Arial Narrow" w:hAnsi="Arial Narrow"/>
                <w:sz w:val="20"/>
                <w:szCs w:val="20"/>
                <w:lang w:val="en-AU" w:eastAsia="en-AU"/>
              </w:rPr>
              <w:t>PBd</w:t>
            </w:r>
            <w:proofErr w:type="spellEnd"/>
            <w:r w:rsidRPr="00F04A75">
              <w:rPr>
                <w:rFonts w:ascii="Arial Narrow" w:hAnsi="Arial Narrow"/>
                <w:sz w:val="20"/>
                <w:szCs w:val="20"/>
                <w:lang w:val="en-AU" w:eastAsia="en-AU"/>
              </w:rPr>
              <w:t xml:space="preserve"> and Cd with a different side-effect profile compared to Cd</w:t>
            </w:r>
          </w:p>
        </w:tc>
      </w:tr>
      <w:tr w:rsidR="00F97782" w:rsidRPr="00F04A75" w14:paraId="31FAB8D4" w14:textId="77777777" w:rsidTr="0016658B">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14:paraId="50721C75" w14:textId="77777777" w:rsidR="00F97782" w:rsidRPr="00F04A75" w:rsidRDefault="00F97782" w:rsidP="009E0D2E">
            <w:pPr>
              <w:pStyle w:val="TableFigureNote"/>
              <w:keepNext/>
              <w:spacing w:before="0"/>
              <w:jc w:val="left"/>
              <w:rPr>
                <w:rFonts w:ascii="Arial Narrow" w:hAnsi="Arial Narrow"/>
                <w:sz w:val="20"/>
                <w:szCs w:val="20"/>
                <w:lang w:val="en-AU"/>
              </w:rPr>
            </w:pPr>
            <w:r w:rsidRPr="00F04A75">
              <w:rPr>
                <w:rFonts w:ascii="Arial Narrow" w:hAnsi="Arial Narrow"/>
                <w:sz w:val="20"/>
                <w:szCs w:val="20"/>
                <w:lang w:val="en-AU"/>
              </w:rPr>
              <w:t>Economic evaluation</w:t>
            </w:r>
          </w:p>
        </w:tc>
        <w:tc>
          <w:tcPr>
            <w:tcW w:w="1965"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4BA91DD" w14:textId="5194E4EC" w:rsidR="00F97782" w:rsidRPr="00F04A75" w:rsidRDefault="00F97782" w:rsidP="009E0D2E">
            <w:pPr>
              <w:pStyle w:val="TableFigureNote"/>
              <w:keepNext/>
              <w:spacing w:before="0"/>
              <w:jc w:val="left"/>
              <w:rPr>
                <w:rFonts w:ascii="Arial Narrow" w:hAnsi="Arial Narrow"/>
                <w:sz w:val="20"/>
                <w:szCs w:val="20"/>
                <w:lang w:val="en-AU" w:eastAsia="en-AU"/>
              </w:rPr>
            </w:pPr>
            <w:r w:rsidRPr="00F04A75">
              <w:rPr>
                <w:rFonts w:ascii="Arial Narrow" w:hAnsi="Arial Narrow"/>
                <w:sz w:val="20"/>
                <w:szCs w:val="20"/>
                <w:lang w:val="en-AU" w:eastAsia="en-AU"/>
              </w:rPr>
              <w:t xml:space="preserve">CUA vs Ld. </w:t>
            </w:r>
            <w:r w:rsidR="00BA537D" w:rsidRPr="00F04A75">
              <w:rPr>
                <w:rFonts w:ascii="Arial Narrow" w:hAnsi="Arial Narrow"/>
                <w:sz w:val="20"/>
                <w:szCs w:val="20"/>
                <w:lang w:val="en-AU" w:eastAsia="en-AU"/>
              </w:rPr>
              <w:br/>
            </w:r>
            <w:r w:rsidRPr="00F04A75">
              <w:rPr>
                <w:rFonts w:ascii="Arial Narrow" w:hAnsi="Arial Narrow"/>
                <w:sz w:val="20"/>
                <w:szCs w:val="20"/>
                <w:lang w:val="en-AU" w:eastAsia="en-AU"/>
              </w:rPr>
              <w:t xml:space="preserve">ICER was </w:t>
            </w:r>
            <w:proofErr w:type="gramStart"/>
            <w:r w:rsidRPr="00F04A75">
              <w:rPr>
                <w:rFonts w:ascii="Arial Narrow" w:hAnsi="Arial Narrow"/>
                <w:sz w:val="20"/>
                <w:szCs w:val="20"/>
                <w:lang w:val="en-AU" w:eastAsia="en-AU"/>
              </w:rPr>
              <w:t>in excess of</w:t>
            </w:r>
            <w:proofErr w:type="gramEnd"/>
            <w:r w:rsidRPr="00F04A75">
              <w:rPr>
                <w:rFonts w:ascii="Arial Narrow" w:hAnsi="Arial Narrow"/>
                <w:sz w:val="20"/>
                <w:szCs w:val="20"/>
                <w:lang w:val="en-AU" w:eastAsia="en-AU"/>
              </w:rPr>
              <w:t xml:space="preserve"> $</w:t>
            </w:r>
            <w:r w:rsidR="000960C3" w:rsidRPr="000960C3">
              <w:rPr>
                <w:rFonts w:ascii="Arial Narrow" w:hAnsi="Arial Narrow"/>
                <w:color w:val="000000"/>
                <w:spacing w:val="45"/>
                <w:sz w:val="20"/>
                <w:szCs w:val="20"/>
                <w:shd w:val="solid" w:color="000000" w:fill="000000"/>
                <w:fitText w:val="330" w:id="-1506043901"/>
                <w:lang w:val="en-AU" w:eastAsia="en-AU"/>
                <w14:textFill>
                  <w14:solidFill>
                    <w14:srgbClr w14:val="000000">
                      <w14:alpha w14:val="100000"/>
                    </w14:srgbClr>
                  </w14:solidFill>
                </w14:textFill>
              </w:rPr>
              <w:t>|||</w:t>
            </w:r>
            <w:r w:rsidR="000960C3" w:rsidRPr="000960C3">
              <w:rPr>
                <w:rFonts w:ascii="Arial Narrow" w:hAnsi="Arial Narrow"/>
                <w:color w:val="000000"/>
                <w:spacing w:val="15"/>
                <w:sz w:val="20"/>
                <w:szCs w:val="20"/>
                <w:shd w:val="solid" w:color="000000" w:fill="000000"/>
                <w:fitText w:val="330" w:id="-1506043901"/>
                <w:lang w:val="en-AU" w:eastAsia="en-AU"/>
                <w14:textFill>
                  <w14:solidFill>
                    <w14:srgbClr w14:val="000000">
                      <w14:alpha w14:val="100000"/>
                    </w14:srgbClr>
                  </w14:solidFill>
                </w14:textFill>
              </w:rPr>
              <w:t>|</w:t>
            </w:r>
            <w:r w:rsidR="00665B89">
              <w:rPr>
                <w:rFonts w:ascii="Arial Narrow" w:hAnsi="Arial Narrow"/>
                <w:sz w:val="20"/>
                <w:szCs w:val="20"/>
                <w:vertAlign w:val="superscript"/>
                <w:lang w:val="en-AU" w:eastAsia="en-AU"/>
              </w:rPr>
              <w:t>1</w:t>
            </w:r>
            <w:r w:rsidRPr="00F04A75">
              <w:rPr>
                <w:rFonts w:ascii="Arial Narrow" w:hAnsi="Arial Narrow"/>
                <w:sz w:val="20"/>
                <w:szCs w:val="20"/>
                <w:lang w:val="en-AU" w:eastAsia="en-AU"/>
              </w:rPr>
              <w:t>/QALY</w:t>
            </w:r>
          </w:p>
        </w:tc>
        <w:tc>
          <w:tcPr>
            <w:tcW w:w="2094" w:type="pct"/>
            <w:tcBorders>
              <w:top w:val="single" w:sz="4" w:space="0" w:color="auto"/>
              <w:left w:val="single" w:sz="4" w:space="0" w:color="auto"/>
              <w:bottom w:val="single" w:sz="4" w:space="0" w:color="auto"/>
              <w:right w:val="single" w:sz="4" w:space="0" w:color="auto"/>
            </w:tcBorders>
            <w:shd w:val="clear" w:color="auto" w:fill="auto"/>
            <w:vAlign w:val="center"/>
          </w:tcPr>
          <w:p w14:paraId="447AB190" w14:textId="447D0D9D" w:rsidR="00F97782" w:rsidRPr="00F04A75" w:rsidRDefault="00F97782" w:rsidP="009E0D2E">
            <w:pPr>
              <w:pStyle w:val="TableFigureNote"/>
              <w:keepNext/>
              <w:spacing w:before="0"/>
              <w:jc w:val="left"/>
              <w:rPr>
                <w:rFonts w:ascii="Arial Narrow" w:hAnsi="Arial Narrow"/>
                <w:sz w:val="20"/>
                <w:szCs w:val="20"/>
                <w:lang w:val="en-AU" w:eastAsia="en-AU"/>
              </w:rPr>
            </w:pPr>
            <w:r w:rsidRPr="00F04A75">
              <w:rPr>
                <w:rFonts w:ascii="Arial Narrow" w:hAnsi="Arial Narrow"/>
                <w:sz w:val="20"/>
                <w:szCs w:val="20"/>
                <w:lang w:val="en-AU" w:eastAsia="en-AU"/>
              </w:rPr>
              <w:t>CMA vs Cd </w:t>
            </w:r>
          </w:p>
        </w:tc>
      </w:tr>
      <w:tr w:rsidR="00F97782" w:rsidRPr="00F04A75" w14:paraId="50FE7331" w14:textId="77777777" w:rsidTr="0016658B">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14:paraId="7A917CD8" w14:textId="77777777" w:rsidR="00F97782" w:rsidRPr="00F04A75" w:rsidRDefault="00F97782" w:rsidP="009E0D2E">
            <w:pPr>
              <w:pStyle w:val="TableFigureNote"/>
              <w:keepNext/>
              <w:spacing w:before="0"/>
              <w:jc w:val="left"/>
              <w:rPr>
                <w:rFonts w:ascii="Arial Narrow" w:hAnsi="Arial Narrow"/>
                <w:sz w:val="20"/>
                <w:szCs w:val="20"/>
                <w:lang w:val="en-AU"/>
              </w:rPr>
            </w:pPr>
            <w:r w:rsidRPr="00F04A75">
              <w:rPr>
                <w:rFonts w:ascii="Arial Narrow" w:hAnsi="Arial Narrow"/>
                <w:sz w:val="20"/>
                <w:szCs w:val="20"/>
                <w:lang w:val="en-AU"/>
              </w:rPr>
              <w:t>Budget impact  </w:t>
            </w:r>
          </w:p>
        </w:tc>
        <w:tc>
          <w:tcPr>
            <w:tcW w:w="1965"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1E8E245" w14:textId="565CECEC" w:rsidR="00F43B0F" w:rsidRPr="00F04A75" w:rsidRDefault="00F43B0F" w:rsidP="009E0D2E">
            <w:pPr>
              <w:pStyle w:val="TableFigureNote"/>
              <w:keepNext/>
              <w:spacing w:before="0"/>
              <w:jc w:val="left"/>
              <w:rPr>
                <w:rFonts w:ascii="Arial Narrow" w:hAnsi="Arial Narrow"/>
                <w:sz w:val="20"/>
                <w:szCs w:val="20"/>
                <w:lang w:val="en-AU" w:eastAsia="en-AU"/>
              </w:rPr>
            </w:pPr>
            <w:r w:rsidRPr="00F04A75">
              <w:rPr>
                <w:rFonts w:ascii="Arial Narrow" w:hAnsi="Arial Narrow"/>
                <w:sz w:val="20"/>
                <w:szCs w:val="20"/>
                <w:lang w:val="en-AU" w:eastAsia="en-AU"/>
              </w:rPr>
              <w:t xml:space="preserve">Submission presented combined estimates for both Cd and </w:t>
            </w:r>
            <w:proofErr w:type="spellStart"/>
            <w:r w:rsidRPr="00F04A75">
              <w:rPr>
                <w:rFonts w:ascii="Arial Narrow" w:hAnsi="Arial Narrow"/>
                <w:sz w:val="20"/>
                <w:szCs w:val="20"/>
                <w:lang w:val="en-AU" w:eastAsia="en-AU"/>
              </w:rPr>
              <w:t>CLd.</w:t>
            </w:r>
            <w:proofErr w:type="spellEnd"/>
            <w:r w:rsidRPr="00F04A75">
              <w:rPr>
                <w:rFonts w:ascii="Arial Narrow" w:hAnsi="Arial Narrow"/>
                <w:sz w:val="20"/>
                <w:szCs w:val="20"/>
                <w:lang w:val="en-AU" w:eastAsia="en-AU"/>
              </w:rPr>
              <w:t xml:space="preserve"> The submission assumed 20% of patients would use Cd and 80% would use </w:t>
            </w:r>
            <w:proofErr w:type="spellStart"/>
            <w:r w:rsidRPr="00F04A75">
              <w:rPr>
                <w:rFonts w:ascii="Arial Narrow" w:hAnsi="Arial Narrow"/>
                <w:sz w:val="20"/>
                <w:szCs w:val="20"/>
                <w:lang w:val="en-AU" w:eastAsia="en-AU"/>
              </w:rPr>
              <w:t>CLd</w:t>
            </w:r>
            <w:proofErr w:type="spellEnd"/>
          </w:p>
          <w:p w14:paraId="45F9F2D3" w14:textId="7C9E4A06" w:rsidR="00F43B0F" w:rsidRPr="00F04A75" w:rsidRDefault="00F43B0F" w:rsidP="009E0D2E">
            <w:pPr>
              <w:pStyle w:val="TableFigureNote"/>
              <w:keepNext/>
              <w:spacing w:before="0"/>
              <w:jc w:val="left"/>
              <w:rPr>
                <w:rFonts w:ascii="Arial Narrow" w:hAnsi="Arial Narrow"/>
                <w:sz w:val="20"/>
                <w:szCs w:val="20"/>
                <w:lang w:val="en-AU" w:eastAsia="en-AU"/>
              </w:rPr>
            </w:pPr>
            <w:r w:rsidRPr="00F04A75">
              <w:rPr>
                <w:rFonts w:ascii="Arial Narrow" w:hAnsi="Arial Narrow"/>
                <w:sz w:val="20"/>
                <w:szCs w:val="20"/>
                <w:lang w:val="en-AU" w:eastAsia="en-AU"/>
              </w:rPr>
              <w:t>Estimated net cost to PBS/RPBS:</w:t>
            </w:r>
          </w:p>
          <w:p w14:paraId="5F8AC276" w14:textId="07E45743" w:rsidR="00F43B0F" w:rsidRPr="00F04A75" w:rsidRDefault="00F43B0F" w:rsidP="009A5B4B">
            <w:pPr>
              <w:pStyle w:val="TableFigureNote"/>
              <w:keepNext/>
              <w:numPr>
                <w:ilvl w:val="0"/>
                <w:numId w:val="24"/>
              </w:numPr>
              <w:spacing w:before="0"/>
              <w:jc w:val="left"/>
              <w:rPr>
                <w:rFonts w:ascii="Arial Narrow" w:hAnsi="Arial Narrow"/>
                <w:sz w:val="20"/>
                <w:szCs w:val="20"/>
                <w:lang w:val="en-AU" w:eastAsia="en-AU"/>
              </w:rPr>
            </w:pPr>
            <w:r w:rsidRPr="00F04A75">
              <w:rPr>
                <w:rFonts w:ascii="Arial Narrow" w:hAnsi="Arial Narrow"/>
                <w:sz w:val="20"/>
                <w:szCs w:val="20"/>
                <w:lang w:val="en-AU" w:eastAsia="en-AU"/>
              </w:rPr>
              <w:t>Year 1: $</w:t>
            </w:r>
            <w:r w:rsidR="000960C3" w:rsidRPr="000960C3">
              <w:rPr>
                <w:rFonts w:ascii="Arial Narrow" w:hAnsi="Arial Narrow"/>
                <w:color w:val="000000"/>
                <w:spacing w:val="45"/>
                <w:sz w:val="20"/>
                <w:szCs w:val="20"/>
                <w:shd w:val="solid" w:color="000000" w:fill="000000"/>
                <w:fitText w:val="330" w:id="-1506043900"/>
                <w:lang w:val="en-AU" w:eastAsia="en-AU"/>
                <w14:textFill>
                  <w14:solidFill>
                    <w14:srgbClr w14:val="000000">
                      <w14:alpha w14:val="100000"/>
                    </w14:srgbClr>
                  </w14:solidFill>
                </w14:textFill>
              </w:rPr>
              <w:t>|||</w:t>
            </w:r>
            <w:r w:rsidR="000960C3" w:rsidRPr="000960C3">
              <w:rPr>
                <w:rFonts w:ascii="Arial Narrow" w:hAnsi="Arial Narrow"/>
                <w:color w:val="000000"/>
                <w:spacing w:val="15"/>
                <w:sz w:val="20"/>
                <w:szCs w:val="20"/>
                <w:shd w:val="solid" w:color="000000" w:fill="000000"/>
                <w:fitText w:val="330" w:id="-1506043900"/>
                <w:lang w:val="en-AU" w:eastAsia="en-AU"/>
                <w14:textFill>
                  <w14:solidFill>
                    <w14:srgbClr w14:val="000000">
                      <w14:alpha w14:val="100000"/>
                    </w14:srgbClr>
                  </w14:solidFill>
                </w14:textFill>
              </w:rPr>
              <w:t>|</w:t>
            </w:r>
            <w:r w:rsidR="00C0051B">
              <w:rPr>
                <w:rFonts w:ascii="Arial Narrow" w:hAnsi="Arial Narrow"/>
                <w:sz w:val="20"/>
                <w:szCs w:val="20"/>
                <w:vertAlign w:val="superscript"/>
                <w:lang w:val="en-AU" w:eastAsia="en-AU"/>
              </w:rPr>
              <w:t>2</w:t>
            </w:r>
          </w:p>
          <w:p w14:paraId="48BDAE9A" w14:textId="1A3EF6E8" w:rsidR="00F43B0F" w:rsidRPr="00F04A75" w:rsidRDefault="00F43B0F" w:rsidP="009A5B4B">
            <w:pPr>
              <w:pStyle w:val="TableFigureNote"/>
              <w:keepNext/>
              <w:numPr>
                <w:ilvl w:val="0"/>
                <w:numId w:val="24"/>
              </w:numPr>
              <w:spacing w:before="0"/>
              <w:jc w:val="left"/>
              <w:rPr>
                <w:rFonts w:ascii="Arial Narrow" w:hAnsi="Arial Narrow"/>
                <w:sz w:val="20"/>
                <w:szCs w:val="20"/>
                <w:lang w:val="en-AU" w:eastAsia="en-AU"/>
              </w:rPr>
            </w:pPr>
            <w:r w:rsidRPr="00F04A75">
              <w:rPr>
                <w:rFonts w:ascii="Arial Narrow" w:hAnsi="Arial Narrow"/>
                <w:sz w:val="20"/>
                <w:szCs w:val="20"/>
                <w:lang w:val="en-AU" w:eastAsia="en-AU"/>
              </w:rPr>
              <w:t>Year 2: $</w:t>
            </w:r>
            <w:r w:rsidR="000960C3" w:rsidRPr="000960C3">
              <w:rPr>
                <w:rFonts w:ascii="Arial Narrow" w:hAnsi="Arial Narrow"/>
                <w:color w:val="000000"/>
                <w:spacing w:val="45"/>
                <w:sz w:val="20"/>
                <w:szCs w:val="20"/>
                <w:shd w:val="solid" w:color="000000" w:fill="000000"/>
                <w:fitText w:val="330" w:id="-1506043899"/>
                <w:lang w:val="en-AU" w:eastAsia="en-AU"/>
                <w14:textFill>
                  <w14:solidFill>
                    <w14:srgbClr w14:val="000000">
                      <w14:alpha w14:val="100000"/>
                    </w14:srgbClr>
                  </w14:solidFill>
                </w14:textFill>
              </w:rPr>
              <w:t>|||</w:t>
            </w:r>
            <w:r w:rsidR="000960C3" w:rsidRPr="000960C3">
              <w:rPr>
                <w:rFonts w:ascii="Arial Narrow" w:hAnsi="Arial Narrow"/>
                <w:color w:val="000000"/>
                <w:spacing w:val="15"/>
                <w:sz w:val="20"/>
                <w:szCs w:val="20"/>
                <w:shd w:val="solid" w:color="000000" w:fill="000000"/>
                <w:fitText w:val="330" w:id="-1506043899"/>
                <w:lang w:val="en-AU" w:eastAsia="en-AU"/>
                <w14:textFill>
                  <w14:solidFill>
                    <w14:srgbClr w14:val="000000">
                      <w14:alpha w14:val="100000"/>
                    </w14:srgbClr>
                  </w14:solidFill>
                </w14:textFill>
              </w:rPr>
              <w:t>|</w:t>
            </w:r>
            <w:r w:rsidR="00C0051B">
              <w:rPr>
                <w:rFonts w:ascii="Arial Narrow" w:hAnsi="Arial Narrow"/>
                <w:sz w:val="20"/>
                <w:szCs w:val="20"/>
                <w:vertAlign w:val="superscript"/>
                <w:lang w:val="en-AU" w:eastAsia="en-AU"/>
              </w:rPr>
              <w:t>3</w:t>
            </w:r>
          </w:p>
          <w:p w14:paraId="57A14054" w14:textId="78C6097E" w:rsidR="00F43B0F" w:rsidRPr="00F04A75" w:rsidRDefault="00F43B0F" w:rsidP="009A5B4B">
            <w:pPr>
              <w:pStyle w:val="TableFigureNote"/>
              <w:keepNext/>
              <w:numPr>
                <w:ilvl w:val="0"/>
                <w:numId w:val="24"/>
              </w:numPr>
              <w:spacing w:before="0"/>
              <w:jc w:val="left"/>
              <w:rPr>
                <w:rFonts w:ascii="Arial Narrow" w:hAnsi="Arial Narrow"/>
                <w:sz w:val="20"/>
                <w:szCs w:val="20"/>
                <w:lang w:val="en-AU" w:eastAsia="en-AU"/>
              </w:rPr>
            </w:pPr>
            <w:r w:rsidRPr="00F04A75">
              <w:rPr>
                <w:rFonts w:ascii="Arial Narrow" w:hAnsi="Arial Narrow"/>
                <w:sz w:val="20"/>
                <w:szCs w:val="20"/>
                <w:lang w:val="en-AU" w:eastAsia="en-AU"/>
              </w:rPr>
              <w:t>Year 3: $</w:t>
            </w:r>
            <w:r w:rsidR="000960C3" w:rsidRPr="000960C3">
              <w:rPr>
                <w:rFonts w:ascii="Arial Narrow" w:hAnsi="Arial Narrow"/>
                <w:color w:val="000000"/>
                <w:spacing w:val="45"/>
                <w:sz w:val="20"/>
                <w:szCs w:val="20"/>
                <w:shd w:val="solid" w:color="000000" w:fill="000000"/>
                <w:fitText w:val="330" w:id="-1506043898"/>
                <w:lang w:val="en-AU" w:eastAsia="en-AU"/>
                <w14:textFill>
                  <w14:solidFill>
                    <w14:srgbClr w14:val="000000">
                      <w14:alpha w14:val="100000"/>
                    </w14:srgbClr>
                  </w14:solidFill>
                </w14:textFill>
              </w:rPr>
              <w:t>|||</w:t>
            </w:r>
            <w:r w:rsidR="000960C3" w:rsidRPr="000960C3">
              <w:rPr>
                <w:rFonts w:ascii="Arial Narrow" w:hAnsi="Arial Narrow"/>
                <w:color w:val="000000"/>
                <w:spacing w:val="15"/>
                <w:sz w:val="20"/>
                <w:szCs w:val="20"/>
                <w:shd w:val="solid" w:color="000000" w:fill="000000"/>
                <w:fitText w:val="330" w:id="-1506043898"/>
                <w:lang w:val="en-AU" w:eastAsia="en-AU"/>
                <w14:textFill>
                  <w14:solidFill>
                    <w14:srgbClr w14:val="000000">
                      <w14:alpha w14:val="100000"/>
                    </w14:srgbClr>
                  </w14:solidFill>
                </w14:textFill>
              </w:rPr>
              <w:t>|</w:t>
            </w:r>
            <w:r w:rsidR="00C0051B">
              <w:rPr>
                <w:rFonts w:ascii="Arial Narrow" w:hAnsi="Arial Narrow"/>
                <w:sz w:val="20"/>
                <w:szCs w:val="20"/>
                <w:vertAlign w:val="superscript"/>
                <w:lang w:val="en-AU" w:eastAsia="en-AU"/>
              </w:rPr>
              <w:t>2</w:t>
            </w:r>
          </w:p>
          <w:p w14:paraId="766A7A3A" w14:textId="4BC0D91C" w:rsidR="00F43B0F" w:rsidRPr="00F04A75" w:rsidRDefault="00F43B0F" w:rsidP="009A5B4B">
            <w:pPr>
              <w:pStyle w:val="TableFigureNote"/>
              <w:keepNext/>
              <w:numPr>
                <w:ilvl w:val="0"/>
                <w:numId w:val="24"/>
              </w:numPr>
              <w:spacing w:before="0"/>
              <w:jc w:val="left"/>
              <w:rPr>
                <w:rFonts w:ascii="Arial Narrow" w:hAnsi="Arial Narrow"/>
                <w:sz w:val="20"/>
                <w:szCs w:val="20"/>
                <w:lang w:val="en-AU" w:eastAsia="en-AU"/>
              </w:rPr>
            </w:pPr>
            <w:r w:rsidRPr="00F04A75">
              <w:rPr>
                <w:rFonts w:ascii="Arial Narrow" w:hAnsi="Arial Narrow"/>
                <w:sz w:val="20"/>
                <w:szCs w:val="20"/>
                <w:lang w:val="en-AU" w:eastAsia="en-AU"/>
              </w:rPr>
              <w:t>Year 4: $</w:t>
            </w:r>
            <w:r w:rsidR="000960C3" w:rsidRPr="000960C3">
              <w:rPr>
                <w:rFonts w:ascii="Arial Narrow" w:hAnsi="Arial Narrow"/>
                <w:color w:val="000000"/>
                <w:spacing w:val="45"/>
                <w:sz w:val="20"/>
                <w:szCs w:val="20"/>
                <w:shd w:val="solid" w:color="000000" w:fill="000000"/>
                <w:fitText w:val="330" w:id="-1506043897"/>
                <w:lang w:val="en-AU" w:eastAsia="en-AU"/>
                <w14:textFill>
                  <w14:solidFill>
                    <w14:srgbClr w14:val="000000">
                      <w14:alpha w14:val="100000"/>
                    </w14:srgbClr>
                  </w14:solidFill>
                </w14:textFill>
              </w:rPr>
              <w:t>|||</w:t>
            </w:r>
            <w:r w:rsidR="000960C3" w:rsidRPr="000960C3">
              <w:rPr>
                <w:rFonts w:ascii="Arial Narrow" w:hAnsi="Arial Narrow"/>
                <w:color w:val="000000"/>
                <w:spacing w:val="15"/>
                <w:sz w:val="20"/>
                <w:szCs w:val="20"/>
                <w:shd w:val="solid" w:color="000000" w:fill="000000"/>
                <w:fitText w:val="330" w:id="-1506043897"/>
                <w:lang w:val="en-AU" w:eastAsia="en-AU"/>
                <w14:textFill>
                  <w14:solidFill>
                    <w14:srgbClr w14:val="000000">
                      <w14:alpha w14:val="100000"/>
                    </w14:srgbClr>
                  </w14:solidFill>
                </w14:textFill>
              </w:rPr>
              <w:t>|</w:t>
            </w:r>
            <w:r w:rsidR="00C0051B">
              <w:rPr>
                <w:rFonts w:ascii="Arial Narrow" w:hAnsi="Arial Narrow"/>
                <w:sz w:val="20"/>
                <w:szCs w:val="20"/>
                <w:vertAlign w:val="superscript"/>
                <w:lang w:val="en-AU" w:eastAsia="en-AU"/>
              </w:rPr>
              <w:t>4</w:t>
            </w:r>
          </w:p>
          <w:p w14:paraId="0B85EA76" w14:textId="1B24C751" w:rsidR="00F43B0F" w:rsidRPr="00F04A75" w:rsidRDefault="00F43B0F" w:rsidP="009A5B4B">
            <w:pPr>
              <w:pStyle w:val="TableFigureNote"/>
              <w:keepNext/>
              <w:numPr>
                <w:ilvl w:val="0"/>
                <w:numId w:val="24"/>
              </w:numPr>
              <w:spacing w:before="0"/>
              <w:jc w:val="left"/>
              <w:rPr>
                <w:rFonts w:ascii="Arial Narrow" w:hAnsi="Arial Narrow"/>
                <w:sz w:val="20"/>
                <w:szCs w:val="20"/>
                <w:lang w:val="en-AU" w:eastAsia="en-AU"/>
              </w:rPr>
            </w:pPr>
            <w:r w:rsidRPr="00F04A75">
              <w:rPr>
                <w:rFonts w:ascii="Arial Narrow" w:hAnsi="Arial Narrow"/>
                <w:sz w:val="20"/>
                <w:szCs w:val="20"/>
                <w:lang w:val="en-AU" w:eastAsia="en-AU"/>
              </w:rPr>
              <w:t>Year 5: $</w:t>
            </w:r>
            <w:r w:rsidR="000960C3" w:rsidRPr="000960C3">
              <w:rPr>
                <w:rFonts w:ascii="Arial Narrow" w:hAnsi="Arial Narrow"/>
                <w:color w:val="000000"/>
                <w:spacing w:val="45"/>
                <w:sz w:val="20"/>
                <w:szCs w:val="20"/>
                <w:shd w:val="solid" w:color="000000" w:fill="000000"/>
                <w:fitText w:val="330" w:id="-1506043896"/>
                <w:lang w:val="en-AU" w:eastAsia="en-AU"/>
                <w14:textFill>
                  <w14:solidFill>
                    <w14:srgbClr w14:val="000000">
                      <w14:alpha w14:val="100000"/>
                    </w14:srgbClr>
                  </w14:solidFill>
                </w14:textFill>
              </w:rPr>
              <w:t>|||</w:t>
            </w:r>
            <w:r w:rsidR="000960C3" w:rsidRPr="000960C3">
              <w:rPr>
                <w:rFonts w:ascii="Arial Narrow" w:hAnsi="Arial Narrow"/>
                <w:color w:val="000000"/>
                <w:spacing w:val="15"/>
                <w:sz w:val="20"/>
                <w:szCs w:val="20"/>
                <w:shd w:val="solid" w:color="000000" w:fill="000000"/>
                <w:fitText w:val="330" w:id="-1506043896"/>
                <w:lang w:val="en-AU" w:eastAsia="en-AU"/>
                <w14:textFill>
                  <w14:solidFill>
                    <w14:srgbClr w14:val="000000">
                      <w14:alpha w14:val="100000"/>
                    </w14:srgbClr>
                  </w14:solidFill>
                </w14:textFill>
              </w:rPr>
              <w:t>|</w:t>
            </w:r>
            <w:r w:rsidR="00C0051B">
              <w:rPr>
                <w:rFonts w:ascii="Arial Narrow" w:hAnsi="Arial Narrow"/>
                <w:sz w:val="20"/>
                <w:szCs w:val="20"/>
                <w:vertAlign w:val="superscript"/>
                <w:lang w:val="en-AU" w:eastAsia="en-AU"/>
              </w:rPr>
              <w:t>4</w:t>
            </w:r>
          </w:p>
          <w:p w14:paraId="51BF1208" w14:textId="77777777" w:rsidR="00F97782" w:rsidRPr="00F04A75" w:rsidRDefault="00F97782" w:rsidP="00F43B0F">
            <w:pPr>
              <w:pStyle w:val="TableFigureNote"/>
              <w:keepNext/>
              <w:spacing w:before="0"/>
              <w:jc w:val="left"/>
              <w:rPr>
                <w:rFonts w:ascii="Arial Narrow" w:hAnsi="Arial Narrow"/>
                <w:sz w:val="20"/>
                <w:szCs w:val="20"/>
                <w:lang w:val="en-AU" w:eastAsia="en-AU"/>
              </w:rPr>
            </w:pPr>
          </w:p>
        </w:tc>
        <w:tc>
          <w:tcPr>
            <w:tcW w:w="2094" w:type="pct"/>
            <w:tcBorders>
              <w:top w:val="single" w:sz="4" w:space="0" w:color="auto"/>
              <w:left w:val="single" w:sz="4" w:space="0" w:color="auto"/>
              <w:bottom w:val="single" w:sz="4" w:space="0" w:color="auto"/>
              <w:right w:val="single" w:sz="4" w:space="0" w:color="auto"/>
            </w:tcBorders>
            <w:shd w:val="clear" w:color="auto" w:fill="auto"/>
            <w:vAlign w:val="center"/>
          </w:tcPr>
          <w:p w14:paraId="2A239C4B" w14:textId="15D698E5" w:rsidR="00F97782" w:rsidRPr="00F04A75" w:rsidRDefault="00F97782" w:rsidP="009E0D2E">
            <w:pPr>
              <w:pStyle w:val="TableFigureNote"/>
              <w:keepNext/>
              <w:spacing w:before="0"/>
              <w:jc w:val="left"/>
              <w:rPr>
                <w:rFonts w:ascii="Arial Narrow" w:hAnsi="Arial Narrow"/>
                <w:sz w:val="20"/>
                <w:szCs w:val="20"/>
                <w:lang w:val="en-AU" w:eastAsia="en-AU"/>
              </w:rPr>
            </w:pPr>
            <w:r w:rsidRPr="00F04A75">
              <w:rPr>
                <w:rFonts w:ascii="Arial Narrow" w:hAnsi="Arial Narrow"/>
                <w:sz w:val="20"/>
                <w:szCs w:val="20"/>
                <w:lang w:val="en-AU" w:eastAsia="en-AU"/>
              </w:rPr>
              <w:t xml:space="preserve">The resubmission requested a revision to the carfilzomib </w:t>
            </w:r>
            <w:r w:rsidR="00BA537D" w:rsidRPr="00F04A75">
              <w:rPr>
                <w:rFonts w:ascii="Arial Narrow" w:hAnsi="Arial Narrow"/>
                <w:sz w:val="20"/>
                <w:szCs w:val="20"/>
                <w:lang w:val="en-AU" w:eastAsia="en-AU"/>
              </w:rPr>
              <w:t xml:space="preserve">RSA </w:t>
            </w:r>
            <w:r w:rsidRPr="00F04A75">
              <w:rPr>
                <w:rFonts w:ascii="Arial Narrow" w:hAnsi="Arial Narrow"/>
                <w:sz w:val="20"/>
                <w:szCs w:val="20"/>
                <w:lang w:val="en-AU" w:eastAsia="en-AU"/>
              </w:rPr>
              <w:t xml:space="preserve">expenditure caps to allow for other regimens which have been cost-minimised to Cd to share these caps based on a precedent set with </w:t>
            </w:r>
            <w:proofErr w:type="spellStart"/>
            <w:r w:rsidRPr="00F04A75">
              <w:rPr>
                <w:rFonts w:ascii="Arial Narrow" w:hAnsi="Arial Narrow"/>
                <w:sz w:val="20"/>
                <w:szCs w:val="20"/>
                <w:lang w:val="en-AU" w:eastAsia="en-AU"/>
              </w:rPr>
              <w:t>PBd</w:t>
            </w:r>
            <w:proofErr w:type="spellEnd"/>
            <w:r w:rsidRPr="00F04A75">
              <w:rPr>
                <w:rFonts w:ascii="Arial Narrow" w:hAnsi="Arial Narrow"/>
                <w:sz w:val="20"/>
                <w:szCs w:val="20"/>
                <w:lang w:val="en-AU" w:eastAsia="en-AU"/>
              </w:rPr>
              <w:t xml:space="preserve">. </w:t>
            </w:r>
          </w:p>
          <w:p w14:paraId="332FA57D" w14:textId="77777777" w:rsidR="00F97782" w:rsidRPr="00F04A75" w:rsidRDefault="00F97782" w:rsidP="009E0D2E">
            <w:pPr>
              <w:pStyle w:val="TableText0"/>
              <w:rPr>
                <w:rFonts w:cstheme="minorHAnsi"/>
                <w:szCs w:val="20"/>
              </w:rPr>
            </w:pPr>
            <w:r w:rsidRPr="00F04A75">
              <w:rPr>
                <w:szCs w:val="20"/>
              </w:rPr>
              <w:t>The resubmission stated that the</w:t>
            </w:r>
            <w:r w:rsidRPr="00F04A75">
              <w:rPr>
                <w:rFonts w:cstheme="minorHAnsi"/>
                <w:szCs w:val="20"/>
              </w:rPr>
              <w:t xml:space="preserve"> proposed expenditure caps will not result in an increase overall PBS/RPBS cost to the RRMM market.</w:t>
            </w:r>
            <w:r w:rsidRPr="00F04A75">
              <w:rPr>
                <w:rFonts w:cstheme="minorHAnsi"/>
                <w:szCs w:val="20"/>
                <w:u w:val="single"/>
              </w:rPr>
              <w:t xml:space="preserve"> </w:t>
            </w:r>
          </w:p>
          <w:p w14:paraId="45EC87BF" w14:textId="77777777" w:rsidR="00F97782" w:rsidRPr="00F04A75" w:rsidRDefault="00F97782" w:rsidP="009E0D2E">
            <w:pPr>
              <w:pStyle w:val="TableFigureNote"/>
              <w:keepNext/>
              <w:spacing w:before="0"/>
              <w:jc w:val="left"/>
              <w:rPr>
                <w:rFonts w:ascii="Arial Narrow" w:hAnsi="Arial Narrow"/>
                <w:sz w:val="20"/>
                <w:szCs w:val="20"/>
                <w:lang w:val="en-AU"/>
              </w:rPr>
            </w:pPr>
            <w:r w:rsidRPr="00F04A75">
              <w:rPr>
                <w:rFonts w:ascii="Arial Narrow" w:hAnsi="Arial Narrow"/>
                <w:sz w:val="20"/>
                <w:szCs w:val="20"/>
                <w:lang w:val="en-AU"/>
              </w:rPr>
              <w:t xml:space="preserve">However, the financial estimates presented by the resubmission resulted in a positive net cost. The resubmission presented the financial estimates for the base case scenario with </w:t>
            </w:r>
            <w:r w:rsidRPr="00F04A75">
              <w:rPr>
                <w:rFonts w:ascii="Arial Narrow" w:eastAsiaTheme="minorEastAsia" w:hAnsi="Arial Narrow"/>
                <w:sz w:val="20"/>
                <w:szCs w:val="20"/>
                <w:lang w:val="en-AU" w:eastAsia="en-AU"/>
              </w:rPr>
              <w:t>Cd</w:t>
            </w:r>
            <w:r w:rsidRPr="00F04A75">
              <w:rPr>
                <w:rFonts w:ascii="Arial Narrow" w:eastAsiaTheme="minorEastAsia" w:hAnsi="Arial Narrow" w:cstheme="minorHAnsi"/>
                <w:sz w:val="20"/>
                <w:szCs w:val="20"/>
                <w:lang w:val="en-AU" w:eastAsia="en-AU"/>
              </w:rPr>
              <w:t xml:space="preserve"> + </w:t>
            </w:r>
            <w:proofErr w:type="spellStart"/>
            <w:r w:rsidRPr="00F04A75">
              <w:rPr>
                <w:rFonts w:ascii="Arial Narrow" w:eastAsiaTheme="minorEastAsia" w:hAnsi="Arial Narrow" w:cstheme="minorHAnsi"/>
                <w:sz w:val="20"/>
                <w:szCs w:val="20"/>
                <w:lang w:val="en-AU" w:eastAsia="en-AU"/>
              </w:rPr>
              <w:t>PBd</w:t>
            </w:r>
            <w:proofErr w:type="spellEnd"/>
            <w:r w:rsidRPr="00F04A75">
              <w:rPr>
                <w:rFonts w:ascii="Arial Narrow" w:eastAsiaTheme="minorEastAsia" w:hAnsi="Arial Narrow" w:cstheme="minorHAnsi"/>
                <w:sz w:val="20"/>
                <w:szCs w:val="20"/>
                <w:lang w:val="en-AU" w:eastAsia="en-AU"/>
              </w:rPr>
              <w:t xml:space="preserve"> + </w:t>
            </w:r>
            <w:proofErr w:type="spellStart"/>
            <w:r w:rsidRPr="00F04A75">
              <w:rPr>
                <w:rFonts w:ascii="Arial Narrow" w:eastAsiaTheme="minorEastAsia" w:hAnsi="Arial Narrow" w:cstheme="minorHAnsi"/>
                <w:sz w:val="20"/>
                <w:szCs w:val="20"/>
                <w:lang w:val="en-AU" w:eastAsia="en-AU"/>
              </w:rPr>
              <w:t>ELd</w:t>
            </w:r>
            <w:proofErr w:type="spellEnd"/>
            <w:r w:rsidRPr="00F04A75">
              <w:rPr>
                <w:rFonts w:ascii="Arial Narrow" w:eastAsiaTheme="minorEastAsia" w:hAnsi="Arial Narrow" w:cstheme="minorHAnsi"/>
                <w:sz w:val="20"/>
                <w:szCs w:val="20"/>
                <w:lang w:val="en-AU" w:eastAsia="en-AU"/>
              </w:rPr>
              <w:t xml:space="preserve"> + </w:t>
            </w:r>
            <w:proofErr w:type="spellStart"/>
            <w:r w:rsidRPr="00F04A75">
              <w:rPr>
                <w:rFonts w:ascii="Arial Narrow" w:eastAsiaTheme="minorEastAsia" w:hAnsi="Arial Narrow" w:cstheme="minorHAnsi"/>
                <w:sz w:val="20"/>
                <w:szCs w:val="20"/>
                <w:lang w:val="en-AU" w:eastAsia="en-AU"/>
              </w:rPr>
              <w:t>CLd</w:t>
            </w:r>
            <w:proofErr w:type="spellEnd"/>
            <w:r w:rsidRPr="00F04A75">
              <w:rPr>
                <w:rFonts w:ascii="Arial Narrow" w:eastAsiaTheme="minorEastAsia" w:hAnsi="Arial Narrow" w:cstheme="minorHAnsi"/>
                <w:sz w:val="20"/>
                <w:szCs w:val="20"/>
                <w:lang w:val="en-AU" w:eastAsia="en-AU"/>
              </w:rPr>
              <w:t xml:space="preserve">: </w:t>
            </w:r>
          </w:p>
          <w:p w14:paraId="1E209456" w14:textId="473D8893" w:rsidR="00F97782" w:rsidRPr="00F04A75" w:rsidRDefault="00F97782" w:rsidP="00D9233D">
            <w:pPr>
              <w:pStyle w:val="TableText0"/>
              <w:numPr>
                <w:ilvl w:val="0"/>
                <w:numId w:val="13"/>
              </w:numPr>
              <w:rPr>
                <w:szCs w:val="20"/>
              </w:rPr>
            </w:pPr>
            <w:r w:rsidRPr="00F04A75">
              <w:rPr>
                <w:szCs w:val="20"/>
              </w:rPr>
              <w:t xml:space="preserve">2022: </w:t>
            </w:r>
            <w:r w:rsidRPr="00F04A75">
              <w:rPr>
                <w:rFonts w:cstheme="minorHAnsi"/>
                <w:color w:val="000000"/>
                <w:szCs w:val="20"/>
              </w:rPr>
              <w:t>$</w:t>
            </w:r>
            <w:r w:rsidR="000960C3" w:rsidRPr="000960C3">
              <w:rPr>
                <w:rFonts w:cstheme="minorHAnsi"/>
                <w:color w:val="000000"/>
                <w:spacing w:val="45"/>
                <w:szCs w:val="20"/>
                <w:shd w:val="solid" w:color="000000" w:fill="000000"/>
                <w:fitText w:val="330" w:id="-1506043895"/>
                <w14:textFill>
                  <w14:solidFill>
                    <w14:srgbClr w14:val="000000">
                      <w14:alpha w14:val="100000"/>
                    </w14:srgbClr>
                  </w14:solidFill>
                </w14:textFill>
              </w:rPr>
              <w:t>|||</w:t>
            </w:r>
            <w:r w:rsidR="000960C3" w:rsidRPr="000960C3">
              <w:rPr>
                <w:rFonts w:cstheme="minorHAnsi"/>
                <w:color w:val="000000"/>
                <w:spacing w:val="15"/>
                <w:szCs w:val="20"/>
                <w:shd w:val="solid" w:color="000000" w:fill="000000"/>
                <w:fitText w:val="330" w:id="-1506043895"/>
                <w14:textFill>
                  <w14:solidFill>
                    <w14:srgbClr w14:val="000000">
                      <w14:alpha w14:val="100000"/>
                    </w14:srgbClr>
                  </w14:solidFill>
                </w14:textFill>
              </w:rPr>
              <w:t>|</w:t>
            </w:r>
            <w:r w:rsidR="00C0051B">
              <w:rPr>
                <w:rFonts w:cstheme="minorHAnsi"/>
                <w:color w:val="000000"/>
                <w:szCs w:val="20"/>
                <w:vertAlign w:val="superscript"/>
              </w:rPr>
              <w:t>5</w:t>
            </w:r>
          </w:p>
          <w:p w14:paraId="62E77AEF" w14:textId="5E0BF595" w:rsidR="00F97782" w:rsidRPr="00F04A75" w:rsidRDefault="00F97782" w:rsidP="00D9233D">
            <w:pPr>
              <w:pStyle w:val="TableText0"/>
              <w:numPr>
                <w:ilvl w:val="0"/>
                <w:numId w:val="13"/>
              </w:numPr>
              <w:rPr>
                <w:szCs w:val="20"/>
              </w:rPr>
            </w:pPr>
            <w:r w:rsidRPr="00F04A75">
              <w:rPr>
                <w:szCs w:val="20"/>
              </w:rPr>
              <w:t>2023:</w:t>
            </w:r>
            <w:r w:rsidRPr="00F04A75">
              <w:rPr>
                <w:rFonts w:cstheme="minorHAnsi"/>
                <w:color w:val="000000"/>
                <w:szCs w:val="20"/>
              </w:rPr>
              <w:t xml:space="preserve"> $</w:t>
            </w:r>
            <w:r w:rsidR="000960C3" w:rsidRPr="000960C3">
              <w:rPr>
                <w:rFonts w:cstheme="minorHAnsi"/>
                <w:color w:val="000000"/>
                <w:spacing w:val="45"/>
                <w:szCs w:val="20"/>
                <w:shd w:val="solid" w:color="000000" w:fill="000000"/>
                <w:fitText w:val="330" w:id="-1506043894"/>
                <w14:textFill>
                  <w14:solidFill>
                    <w14:srgbClr w14:val="000000">
                      <w14:alpha w14:val="100000"/>
                    </w14:srgbClr>
                  </w14:solidFill>
                </w14:textFill>
              </w:rPr>
              <w:t>|||</w:t>
            </w:r>
            <w:r w:rsidR="000960C3" w:rsidRPr="000960C3">
              <w:rPr>
                <w:rFonts w:cstheme="minorHAnsi"/>
                <w:color w:val="000000"/>
                <w:spacing w:val="15"/>
                <w:szCs w:val="20"/>
                <w:shd w:val="solid" w:color="000000" w:fill="000000"/>
                <w:fitText w:val="330" w:id="-1506043894"/>
                <w14:textFill>
                  <w14:solidFill>
                    <w14:srgbClr w14:val="000000">
                      <w14:alpha w14:val="100000"/>
                    </w14:srgbClr>
                  </w14:solidFill>
                </w14:textFill>
              </w:rPr>
              <w:t>|</w:t>
            </w:r>
            <w:r w:rsidR="00C0051B">
              <w:rPr>
                <w:rFonts w:cstheme="minorHAnsi"/>
                <w:color w:val="000000"/>
                <w:szCs w:val="20"/>
                <w:vertAlign w:val="superscript"/>
              </w:rPr>
              <w:t>6</w:t>
            </w:r>
          </w:p>
          <w:p w14:paraId="65641EE7" w14:textId="48A69836" w:rsidR="00F97782" w:rsidRPr="00F04A75" w:rsidRDefault="00F97782" w:rsidP="00D9233D">
            <w:pPr>
              <w:pStyle w:val="TableText0"/>
              <w:numPr>
                <w:ilvl w:val="0"/>
                <w:numId w:val="13"/>
              </w:numPr>
              <w:rPr>
                <w:szCs w:val="20"/>
              </w:rPr>
            </w:pPr>
            <w:r w:rsidRPr="00F04A75">
              <w:rPr>
                <w:szCs w:val="20"/>
              </w:rPr>
              <w:t>2024:</w:t>
            </w:r>
            <w:r w:rsidRPr="00F04A75">
              <w:rPr>
                <w:rFonts w:cstheme="minorHAnsi"/>
                <w:color w:val="000000"/>
                <w:szCs w:val="20"/>
              </w:rPr>
              <w:t xml:space="preserve"> $</w:t>
            </w:r>
            <w:r w:rsidR="000960C3" w:rsidRPr="000960C3">
              <w:rPr>
                <w:rFonts w:cstheme="minorHAnsi"/>
                <w:color w:val="000000"/>
                <w:spacing w:val="45"/>
                <w:szCs w:val="20"/>
                <w:shd w:val="solid" w:color="000000" w:fill="000000"/>
                <w:fitText w:val="330" w:id="-1506043893"/>
                <w14:textFill>
                  <w14:solidFill>
                    <w14:srgbClr w14:val="000000">
                      <w14:alpha w14:val="100000"/>
                    </w14:srgbClr>
                  </w14:solidFill>
                </w14:textFill>
              </w:rPr>
              <w:t>|||</w:t>
            </w:r>
            <w:r w:rsidR="000960C3" w:rsidRPr="000960C3">
              <w:rPr>
                <w:rFonts w:cstheme="minorHAnsi"/>
                <w:color w:val="000000"/>
                <w:spacing w:val="15"/>
                <w:szCs w:val="20"/>
                <w:shd w:val="solid" w:color="000000" w:fill="000000"/>
                <w:fitText w:val="330" w:id="-1506043893"/>
                <w14:textFill>
                  <w14:solidFill>
                    <w14:srgbClr w14:val="000000">
                      <w14:alpha w14:val="100000"/>
                    </w14:srgbClr>
                  </w14:solidFill>
                </w14:textFill>
              </w:rPr>
              <w:t>|</w:t>
            </w:r>
            <w:r w:rsidR="00C0051B">
              <w:rPr>
                <w:rFonts w:cstheme="minorHAnsi"/>
                <w:color w:val="000000"/>
                <w:szCs w:val="20"/>
                <w:vertAlign w:val="superscript"/>
              </w:rPr>
              <w:t>6</w:t>
            </w:r>
          </w:p>
          <w:p w14:paraId="4D027C54" w14:textId="46829C1C" w:rsidR="00F97782" w:rsidRPr="00F04A75" w:rsidRDefault="00F97782" w:rsidP="00D9233D">
            <w:pPr>
              <w:pStyle w:val="TableText0"/>
              <w:numPr>
                <w:ilvl w:val="0"/>
                <w:numId w:val="13"/>
              </w:numPr>
              <w:rPr>
                <w:szCs w:val="20"/>
              </w:rPr>
            </w:pPr>
            <w:r w:rsidRPr="00F04A75">
              <w:rPr>
                <w:szCs w:val="20"/>
              </w:rPr>
              <w:t>2026:</w:t>
            </w:r>
            <w:r w:rsidRPr="00F04A75">
              <w:rPr>
                <w:rFonts w:cstheme="minorHAnsi"/>
                <w:color w:val="000000"/>
                <w:szCs w:val="20"/>
              </w:rPr>
              <w:t xml:space="preserve"> $</w:t>
            </w:r>
            <w:r w:rsidR="000960C3" w:rsidRPr="000960C3">
              <w:rPr>
                <w:rFonts w:cstheme="minorHAnsi"/>
                <w:color w:val="000000"/>
                <w:spacing w:val="45"/>
                <w:szCs w:val="20"/>
                <w:shd w:val="solid" w:color="000000" w:fill="000000"/>
                <w:fitText w:val="330" w:id="-1506043892"/>
                <w14:textFill>
                  <w14:solidFill>
                    <w14:srgbClr w14:val="000000">
                      <w14:alpha w14:val="100000"/>
                    </w14:srgbClr>
                  </w14:solidFill>
                </w14:textFill>
              </w:rPr>
              <w:t>|||</w:t>
            </w:r>
            <w:r w:rsidR="000960C3" w:rsidRPr="000960C3">
              <w:rPr>
                <w:rFonts w:cstheme="minorHAnsi"/>
                <w:color w:val="000000"/>
                <w:spacing w:val="15"/>
                <w:szCs w:val="20"/>
                <w:shd w:val="solid" w:color="000000" w:fill="000000"/>
                <w:fitText w:val="330" w:id="-1506043892"/>
                <w14:textFill>
                  <w14:solidFill>
                    <w14:srgbClr w14:val="000000">
                      <w14:alpha w14:val="100000"/>
                    </w14:srgbClr>
                  </w14:solidFill>
                </w14:textFill>
              </w:rPr>
              <w:t>|</w:t>
            </w:r>
            <w:r w:rsidR="00C0051B">
              <w:rPr>
                <w:rFonts w:cstheme="minorHAnsi"/>
                <w:color w:val="000000"/>
                <w:szCs w:val="20"/>
                <w:vertAlign w:val="superscript"/>
              </w:rPr>
              <w:t>6</w:t>
            </w:r>
          </w:p>
          <w:p w14:paraId="73687861" w14:textId="0BEA9811" w:rsidR="00F97782" w:rsidRPr="00F04A75" w:rsidRDefault="00F97782" w:rsidP="00D9233D">
            <w:pPr>
              <w:pStyle w:val="TableText0"/>
              <w:numPr>
                <w:ilvl w:val="0"/>
                <w:numId w:val="13"/>
              </w:numPr>
              <w:rPr>
                <w:szCs w:val="20"/>
              </w:rPr>
            </w:pPr>
            <w:r w:rsidRPr="00F04A75">
              <w:rPr>
                <w:szCs w:val="20"/>
              </w:rPr>
              <w:t xml:space="preserve">2026: </w:t>
            </w:r>
            <w:r w:rsidRPr="00F04A75">
              <w:rPr>
                <w:rFonts w:cstheme="minorHAnsi"/>
                <w:color w:val="000000"/>
                <w:szCs w:val="20"/>
              </w:rPr>
              <w:t>$</w:t>
            </w:r>
            <w:r w:rsidR="000960C3" w:rsidRPr="000960C3">
              <w:rPr>
                <w:rFonts w:cstheme="minorHAnsi"/>
                <w:color w:val="000000"/>
                <w:spacing w:val="45"/>
                <w:szCs w:val="20"/>
                <w:shd w:val="solid" w:color="000000" w:fill="000000"/>
                <w:fitText w:val="330" w:id="-1506043891"/>
                <w14:textFill>
                  <w14:solidFill>
                    <w14:srgbClr w14:val="000000">
                      <w14:alpha w14:val="100000"/>
                    </w14:srgbClr>
                  </w14:solidFill>
                </w14:textFill>
              </w:rPr>
              <w:t>|||</w:t>
            </w:r>
            <w:r w:rsidR="000960C3" w:rsidRPr="000960C3">
              <w:rPr>
                <w:rFonts w:cstheme="minorHAnsi"/>
                <w:color w:val="000000"/>
                <w:spacing w:val="15"/>
                <w:szCs w:val="20"/>
                <w:shd w:val="solid" w:color="000000" w:fill="000000"/>
                <w:fitText w:val="330" w:id="-1506043891"/>
                <w14:textFill>
                  <w14:solidFill>
                    <w14:srgbClr w14:val="000000">
                      <w14:alpha w14:val="100000"/>
                    </w14:srgbClr>
                  </w14:solidFill>
                </w14:textFill>
              </w:rPr>
              <w:t>|</w:t>
            </w:r>
            <w:r w:rsidR="00C0051B">
              <w:rPr>
                <w:rFonts w:cstheme="minorHAnsi"/>
                <w:color w:val="000000"/>
                <w:szCs w:val="20"/>
                <w:vertAlign w:val="superscript"/>
              </w:rPr>
              <w:t>6</w:t>
            </w:r>
          </w:p>
          <w:p w14:paraId="09DF2797" w14:textId="50B2EB70" w:rsidR="00F97782" w:rsidRPr="00F04A75" w:rsidRDefault="00F97782" w:rsidP="00D9233D">
            <w:pPr>
              <w:pStyle w:val="TableText0"/>
              <w:numPr>
                <w:ilvl w:val="0"/>
                <w:numId w:val="13"/>
              </w:numPr>
              <w:rPr>
                <w:szCs w:val="20"/>
              </w:rPr>
            </w:pPr>
            <w:r w:rsidRPr="00F04A75">
              <w:rPr>
                <w:szCs w:val="20"/>
              </w:rPr>
              <w:t xml:space="preserve">2027: </w:t>
            </w:r>
            <w:r w:rsidRPr="00F04A75">
              <w:rPr>
                <w:rFonts w:cstheme="minorHAnsi"/>
                <w:color w:val="000000"/>
                <w:szCs w:val="20"/>
              </w:rPr>
              <w:t>$</w:t>
            </w:r>
            <w:r w:rsidR="000960C3" w:rsidRPr="000960C3">
              <w:rPr>
                <w:rFonts w:cstheme="minorHAnsi"/>
                <w:color w:val="000000"/>
                <w:spacing w:val="45"/>
                <w:szCs w:val="20"/>
                <w:shd w:val="solid" w:color="000000" w:fill="000000"/>
                <w:fitText w:val="330" w:id="-1506043890"/>
                <w14:textFill>
                  <w14:solidFill>
                    <w14:srgbClr w14:val="000000">
                      <w14:alpha w14:val="100000"/>
                    </w14:srgbClr>
                  </w14:solidFill>
                </w14:textFill>
              </w:rPr>
              <w:t>|||</w:t>
            </w:r>
            <w:r w:rsidR="000960C3" w:rsidRPr="000960C3">
              <w:rPr>
                <w:rFonts w:cstheme="minorHAnsi"/>
                <w:color w:val="000000"/>
                <w:spacing w:val="15"/>
                <w:szCs w:val="20"/>
                <w:shd w:val="solid" w:color="000000" w:fill="000000"/>
                <w:fitText w:val="330" w:id="-1506043890"/>
                <w14:textFill>
                  <w14:solidFill>
                    <w14:srgbClr w14:val="000000">
                      <w14:alpha w14:val="100000"/>
                    </w14:srgbClr>
                  </w14:solidFill>
                </w14:textFill>
              </w:rPr>
              <w:t>|</w:t>
            </w:r>
            <w:r w:rsidR="00C0051B">
              <w:rPr>
                <w:rFonts w:cstheme="minorHAnsi"/>
                <w:color w:val="000000"/>
                <w:szCs w:val="20"/>
                <w:vertAlign w:val="superscript"/>
              </w:rPr>
              <w:t>6</w:t>
            </w:r>
          </w:p>
        </w:tc>
      </w:tr>
      <w:tr w:rsidR="00F97782" w:rsidRPr="00F04A75" w14:paraId="00AD2C52" w14:textId="77777777" w:rsidTr="0016658B">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14:paraId="4C960680" w14:textId="77777777" w:rsidR="00F97782" w:rsidRPr="00F04A75" w:rsidRDefault="00F97782" w:rsidP="009E0D2E">
            <w:pPr>
              <w:pStyle w:val="TableFigureNote"/>
              <w:keepNext/>
              <w:spacing w:before="0"/>
              <w:jc w:val="left"/>
              <w:rPr>
                <w:rFonts w:ascii="Arial Narrow" w:hAnsi="Arial Narrow"/>
                <w:sz w:val="20"/>
                <w:szCs w:val="20"/>
                <w:lang w:val="en-AU"/>
              </w:rPr>
            </w:pPr>
            <w:r w:rsidRPr="00F04A75">
              <w:rPr>
                <w:rFonts w:ascii="Arial Narrow" w:hAnsi="Arial Narrow"/>
                <w:sz w:val="20"/>
                <w:szCs w:val="20"/>
                <w:lang w:val="en-AU"/>
              </w:rPr>
              <w:t>Reason for rejection </w:t>
            </w:r>
          </w:p>
        </w:tc>
        <w:tc>
          <w:tcPr>
            <w:tcW w:w="1965"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2844553" w14:textId="68BB0062" w:rsidR="00F97782" w:rsidRPr="00F04A75" w:rsidRDefault="00F97782" w:rsidP="009E0D2E">
            <w:pPr>
              <w:pStyle w:val="TableFigureNote"/>
              <w:keepNext/>
              <w:spacing w:before="0"/>
              <w:jc w:val="left"/>
              <w:rPr>
                <w:rFonts w:ascii="Arial Narrow" w:hAnsi="Arial Narrow"/>
                <w:sz w:val="20"/>
                <w:szCs w:val="20"/>
                <w:lang w:val="en-AU" w:eastAsia="en-AU"/>
              </w:rPr>
            </w:pPr>
            <w:r w:rsidRPr="00F04A75">
              <w:rPr>
                <w:rFonts w:ascii="Arial Narrow" w:hAnsi="Arial Narrow"/>
                <w:sz w:val="20"/>
                <w:szCs w:val="20"/>
                <w:lang w:val="en-AU" w:eastAsia="en-AU"/>
              </w:rPr>
              <w:t>High and uncertain</w:t>
            </w:r>
            <w:r w:rsidR="00BA537D" w:rsidRPr="00F04A75">
              <w:rPr>
                <w:rFonts w:ascii="Arial Narrow" w:hAnsi="Arial Narrow"/>
                <w:sz w:val="20"/>
                <w:szCs w:val="20"/>
                <w:lang w:val="en-AU" w:eastAsia="en-AU"/>
              </w:rPr>
              <w:t xml:space="preserve"> </w:t>
            </w:r>
            <w:r w:rsidRPr="00F04A75">
              <w:rPr>
                <w:rFonts w:ascii="Arial Narrow" w:hAnsi="Arial Narrow"/>
                <w:sz w:val="20"/>
                <w:szCs w:val="20"/>
                <w:lang w:val="en-AU" w:eastAsia="en-AU"/>
              </w:rPr>
              <w:t>ICERs.</w:t>
            </w:r>
          </w:p>
        </w:tc>
        <w:tc>
          <w:tcPr>
            <w:tcW w:w="2094" w:type="pct"/>
            <w:tcBorders>
              <w:top w:val="single" w:sz="4" w:space="0" w:color="auto"/>
              <w:left w:val="single" w:sz="4" w:space="0" w:color="auto"/>
              <w:bottom w:val="single" w:sz="4" w:space="0" w:color="auto"/>
              <w:right w:val="single" w:sz="4" w:space="0" w:color="auto"/>
            </w:tcBorders>
            <w:shd w:val="clear" w:color="auto" w:fill="auto"/>
            <w:vAlign w:val="center"/>
          </w:tcPr>
          <w:p w14:paraId="17645F6A" w14:textId="16B5A8D2" w:rsidR="00F97782" w:rsidRPr="00F04A75" w:rsidRDefault="00F97782" w:rsidP="009E0D2E">
            <w:pPr>
              <w:pStyle w:val="TableFigureNote"/>
              <w:keepNext/>
              <w:spacing w:before="0"/>
              <w:jc w:val="left"/>
              <w:rPr>
                <w:rFonts w:ascii="Arial Narrow" w:hAnsi="Arial Narrow"/>
                <w:sz w:val="20"/>
                <w:szCs w:val="20"/>
                <w:lang w:val="en-AU" w:eastAsia="en-AU"/>
              </w:rPr>
            </w:pPr>
            <w:r w:rsidRPr="00F04A75">
              <w:rPr>
                <w:rFonts w:ascii="Arial Narrow" w:hAnsi="Arial Narrow"/>
                <w:sz w:val="20"/>
                <w:szCs w:val="20"/>
                <w:lang w:val="en-AU" w:eastAsia="en-AU"/>
              </w:rPr>
              <w:t> </w:t>
            </w:r>
            <w:r w:rsidR="00BA537D" w:rsidRPr="00F04A75">
              <w:rPr>
                <w:rFonts w:ascii="Arial Narrow" w:hAnsi="Arial Narrow"/>
                <w:sz w:val="20"/>
                <w:szCs w:val="20"/>
                <w:lang w:val="en-AU" w:eastAsia="en-AU"/>
              </w:rPr>
              <w:t>-</w:t>
            </w:r>
          </w:p>
        </w:tc>
      </w:tr>
    </w:tbl>
    <w:p w14:paraId="0E89EBDB" w14:textId="77777777" w:rsidR="00F97782" w:rsidRPr="00F04A75" w:rsidRDefault="00F97782" w:rsidP="0016658B">
      <w:pPr>
        <w:pStyle w:val="TableFigureFooter"/>
      </w:pPr>
      <w:r w:rsidRPr="00F04A75">
        <w:t>Source: Table 1.1.1 p3-4 of the resubmission, carfilzomib PSD November 2016</w:t>
      </w:r>
    </w:p>
    <w:p w14:paraId="5C29EE86" w14:textId="52073A76" w:rsidR="00EB5D42" w:rsidRPr="00F04A75" w:rsidRDefault="00F97782" w:rsidP="00EB5D42">
      <w:pPr>
        <w:pStyle w:val="TableFigureFooter"/>
      </w:pPr>
      <w:r w:rsidRPr="00F04A75">
        <w:t>AEMP</w:t>
      </w:r>
      <w:r w:rsidR="00BA537D" w:rsidRPr="00F04A75">
        <w:t xml:space="preserve"> </w:t>
      </w:r>
      <w:r w:rsidRPr="00F04A75">
        <w:t>=</w:t>
      </w:r>
      <w:r w:rsidR="00BA537D" w:rsidRPr="00F04A75">
        <w:t xml:space="preserve"> </w:t>
      </w:r>
      <w:r w:rsidRPr="00F04A75">
        <w:t xml:space="preserve">approved ex-manufacturer price; </w:t>
      </w:r>
      <w:r w:rsidR="00BA537D" w:rsidRPr="00F04A75">
        <w:t xml:space="preserve">Bd = bortezomib and dexamethasone; </w:t>
      </w:r>
      <w:r w:rsidRPr="00F04A75">
        <w:t>Cd</w:t>
      </w:r>
      <w:r w:rsidR="00BA537D" w:rsidRPr="00F04A75">
        <w:t xml:space="preserve"> </w:t>
      </w:r>
      <w:r w:rsidRPr="00F04A75">
        <w:t xml:space="preserve">= </w:t>
      </w:r>
      <w:r w:rsidR="00BA537D" w:rsidRPr="00F04A75">
        <w:t>c</w:t>
      </w:r>
      <w:r w:rsidRPr="00F04A75">
        <w:t xml:space="preserve">arfilzomib and dexamethasone; </w:t>
      </w:r>
      <w:proofErr w:type="spellStart"/>
      <w:r w:rsidRPr="00F04A75">
        <w:t>CLd</w:t>
      </w:r>
      <w:proofErr w:type="spellEnd"/>
      <w:r w:rsidR="00BA537D" w:rsidRPr="00F04A75">
        <w:t xml:space="preserve"> </w:t>
      </w:r>
      <w:r w:rsidRPr="00F04A75">
        <w:t>= carfilzomib and lenalidomide and dexamethasone; CMA</w:t>
      </w:r>
      <w:r w:rsidR="00BA537D" w:rsidRPr="00F04A75">
        <w:t xml:space="preserve"> </w:t>
      </w:r>
      <w:r w:rsidRPr="00F04A75">
        <w:t>=</w:t>
      </w:r>
      <w:r w:rsidR="00BA537D" w:rsidRPr="00F04A75">
        <w:t xml:space="preserve"> </w:t>
      </w:r>
      <w:r w:rsidRPr="00F04A75">
        <w:t xml:space="preserve">cost-minimisation </w:t>
      </w:r>
      <w:r w:rsidR="00BA537D" w:rsidRPr="00F04A75">
        <w:t>approach</w:t>
      </w:r>
      <w:r w:rsidRPr="00F04A75">
        <w:t>; CUA</w:t>
      </w:r>
      <w:r w:rsidR="00BA537D" w:rsidRPr="00F04A75">
        <w:t xml:space="preserve"> </w:t>
      </w:r>
      <w:r w:rsidRPr="00F04A75">
        <w:t xml:space="preserve">= cost-utility analysis; </w:t>
      </w:r>
      <w:proofErr w:type="spellStart"/>
      <w:r w:rsidRPr="00F04A75">
        <w:t>ELd</w:t>
      </w:r>
      <w:proofErr w:type="spellEnd"/>
      <w:r w:rsidR="00BA537D" w:rsidRPr="00F04A75">
        <w:t xml:space="preserve"> </w:t>
      </w:r>
      <w:r w:rsidRPr="00F04A75">
        <w:t>=</w:t>
      </w:r>
      <w:r w:rsidR="00BA537D" w:rsidRPr="00F04A75">
        <w:t xml:space="preserve"> </w:t>
      </w:r>
      <w:proofErr w:type="spellStart"/>
      <w:r w:rsidRPr="00F04A75">
        <w:t>elotuzumab</w:t>
      </w:r>
      <w:proofErr w:type="spellEnd"/>
      <w:r w:rsidR="00BA537D" w:rsidRPr="00F04A75">
        <w:t xml:space="preserve">, </w:t>
      </w:r>
      <w:r w:rsidRPr="00F04A75">
        <w:t>lenalidomide and dexamethasone; ICER</w:t>
      </w:r>
      <w:r w:rsidR="00BA537D" w:rsidRPr="00F04A75">
        <w:t xml:space="preserve"> </w:t>
      </w:r>
      <w:r w:rsidRPr="00F04A75">
        <w:t>=</w:t>
      </w:r>
      <w:r w:rsidR="00BA537D" w:rsidRPr="00F04A75">
        <w:t xml:space="preserve"> </w:t>
      </w:r>
      <w:r w:rsidRPr="00F04A75">
        <w:t xml:space="preserve">incremental cost-effectiveness ratio; </w:t>
      </w:r>
      <w:proofErr w:type="spellStart"/>
      <w:r w:rsidR="00BA537D" w:rsidRPr="00F04A75">
        <w:t>ILd</w:t>
      </w:r>
      <w:proofErr w:type="spellEnd"/>
      <w:r w:rsidR="00BA537D" w:rsidRPr="00F04A75">
        <w:t xml:space="preserve"> = </w:t>
      </w:r>
      <w:proofErr w:type="spellStart"/>
      <w:r w:rsidR="00BA537D" w:rsidRPr="00F04A75">
        <w:t>ixazomib</w:t>
      </w:r>
      <w:proofErr w:type="spellEnd"/>
      <w:r w:rsidR="00BA537D" w:rsidRPr="00F04A75">
        <w:t xml:space="preserve">, lenalidomide and dexamethasone; </w:t>
      </w:r>
      <w:r w:rsidRPr="00F04A75">
        <w:t>ITC</w:t>
      </w:r>
      <w:r w:rsidR="00BA537D" w:rsidRPr="00F04A75">
        <w:t xml:space="preserve"> </w:t>
      </w:r>
      <w:r w:rsidRPr="00F04A75">
        <w:t>=</w:t>
      </w:r>
      <w:r w:rsidR="00BA537D" w:rsidRPr="00F04A75">
        <w:t xml:space="preserve"> </w:t>
      </w:r>
      <w:r w:rsidRPr="00F04A75">
        <w:t xml:space="preserve">indirect treatment comparison; </w:t>
      </w:r>
      <w:proofErr w:type="spellStart"/>
      <w:r w:rsidR="00BA537D" w:rsidRPr="00F04A75">
        <w:t>Ld</w:t>
      </w:r>
      <w:proofErr w:type="spellEnd"/>
      <w:r w:rsidR="00BA537D" w:rsidRPr="00F04A75">
        <w:t xml:space="preserve"> = lenalidomide and dexamethasone; </w:t>
      </w:r>
      <w:r w:rsidRPr="00F04A75">
        <w:t>PBS</w:t>
      </w:r>
      <w:r w:rsidR="00BA537D" w:rsidRPr="00F04A75">
        <w:t xml:space="preserve"> </w:t>
      </w:r>
      <w:r w:rsidRPr="00F04A75">
        <w:t>=</w:t>
      </w:r>
      <w:r w:rsidR="00BA537D" w:rsidRPr="00F04A75">
        <w:t xml:space="preserve"> </w:t>
      </w:r>
      <w:r w:rsidR="00DB420E" w:rsidRPr="00F04A75">
        <w:t>Pharmaceutical</w:t>
      </w:r>
      <w:r w:rsidRPr="00F04A75">
        <w:t xml:space="preserve"> Benefits Scheme; </w:t>
      </w:r>
      <w:proofErr w:type="spellStart"/>
      <w:r w:rsidRPr="00F04A75">
        <w:t>PBd</w:t>
      </w:r>
      <w:proofErr w:type="spellEnd"/>
      <w:r w:rsidR="00BA537D" w:rsidRPr="00F04A75">
        <w:t xml:space="preserve"> </w:t>
      </w:r>
      <w:r w:rsidRPr="00F04A75">
        <w:t>= pomalidomide</w:t>
      </w:r>
      <w:r w:rsidR="00BA537D" w:rsidRPr="00F04A75">
        <w:t xml:space="preserve">, </w:t>
      </w:r>
      <w:r w:rsidRPr="00F04A75">
        <w:t xml:space="preserve">lenalidomide </w:t>
      </w:r>
      <w:r w:rsidRPr="00F04A75">
        <w:lastRenderedPageBreak/>
        <w:t xml:space="preserve">and dexamethasone; </w:t>
      </w:r>
      <w:r w:rsidR="00EB5D42" w:rsidRPr="00F04A75">
        <w:t>QALY</w:t>
      </w:r>
      <w:r w:rsidR="00BA537D" w:rsidRPr="00F04A75">
        <w:t xml:space="preserve"> </w:t>
      </w:r>
      <w:r w:rsidR="00EB5D42" w:rsidRPr="00F04A75">
        <w:t>=</w:t>
      </w:r>
      <w:r w:rsidR="00BA537D" w:rsidRPr="00F04A75">
        <w:t xml:space="preserve"> </w:t>
      </w:r>
      <w:r w:rsidR="00EB5D42" w:rsidRPr="00F04A75">
        <w:t xml:space="preserve">quality adjusted life year; </w:t>
      </w:r>
      <w:r w:rsidR="00BA537D" w:rsidRPr="00F04A75">
        <w:t xml:space="preserve">RPBS = Repatriation Pharmaceutical Benefits Scheme; </w:t>
      </w:r>
      <w:r w:rsidRPr="00F04A75">
        <w:t>RRMM</w:t>
      </w:r>
      <w:r w:rsidR="00BA537D" w:rsidRPr="00F04A75">
        <w:t xml:space="preserve"> </w:t>
      </w:r>
      <w:r w:rsidRPr="00F04A75">
        <w:t>=</w:t>
      </w:r>
      <w:r w:rsidR="00BA537D" w:rsidRPr="00F04A75">
        <w:t xml:space="preserve"> </w:t>
      </w:r>
      <w:r w:rsidRPr="00F04A75">
        <w:t xml:space="preserve">relapsed </w:t>
      </w:r>
      <w:r w:rsidR="00BA537D" w:rsidRPr="00F04A75">
        <w:t>and/</w:t>
      </w:r>
      <w:r w:rsidRPr="00F04A75">
        <w:t xml:space="preserve">or refractory multiple myeloma; </w:t>
      </w:r>
      <w:r w:rsidR="00BA537D" w:rsidRPr="00F04A75">
        <w:t xml:space="preserve">RSA = risk sharing arrangement; </w:t>
      </w:r>
      <w:r w:rsidR="00EB5D42" w:rsidRPr="00F04A75">
        <w:t>SPA</w:t>
      </w:r>
      <w:r w:rsidR="00BA537D" w:rsidRPr="00F04A75">
        <w:t xml:space="preserve"> </w:t>
      </w:r>
      <w:r w:rsidR="00EB5D42" w:rsidRPr="00F04A75">
        <w:t>=</w:t>
      </w:r>
      <w:r w:rsidR="00BA537D" w:rsidRPr="00F04A75">
        <w:t xml:space="preserve"> </w:t>
      </w:r>
      <w:r w:rsidR="00EB5D42" w:rsidRPr="00F04A75">
        <w:t xml:space="preserve">special pricing arrangement </w:t>
      </w:r>
    </w:p>
    <w:p w14:paraId="4FB07856" w14:textId="1ECDC031" w:rsidR="00EB5D42" w:rsidRPr="00F04A75" w:rsidRDefault="00EB5D42" w:rsidP="00EB5D42">
      <w:pPr>
        <w:pStyle w:val="TableFigureFooter"/>
      </w:pPr>
      <w:r w:rsidRPr="00F04A75">
        <w:t>Blue shading</w:t>
      </w:r>
      <w:r w:rsidR="00BA537D" w:rsidRPr="00F04A75">
        <w:t xml:space="preserve"> </w:t>
      </w:r>
      <w:proofErr w:type="spellStart"/>
      <w:r w:rsidR="00DF5512">
        <w:t>representes</w:t>
      </w:r>
      <w:proofErr w:type="spellEnd"/>
      <w:r w:rsidR="00DF5512">
        <w:t xml:space="preserve"> </w:t>
      </w:r>
      <w:r w:rsidRPr="00F04A75">
        <w:t xml:space="preserve">information presented in carfilzomib November 2016 submission. </w:t>
      </w:r>
    </w:p>
    <w:p w14:paraId="39FBC2E3" w14:textId="03E1E7DF" w:rsidR="006A2A22" w:rsidRDefault="00BA537D" w:rsidP="0016658B">
      <w:pPr>
        <w:pStyle w:val="TableFigureFooter"/>
      </w:pPr>
      <w:r w:rsidRPr="00F04A75">
        <w:t xml:space="preserve">a. </w:t>
      </w:r>
      <w:r w:rsidR="00EB5D42" w:rsidRPr="00F04A75">
        <w:t xml:space="preserve">The ITC was presented in the initial submission but not considered by the ESC or PBAC. </w:t>
      </w:r>
    </w:p>
    <w:p w14:paraId="30407BDB" w14:textId="77777777" w:rsidR="00665B89" w:rsidRDefault="00665B89" w:rsidP="00665B89">
      <w:pPr>
        <w:pStyle w:val="TableFigureFooter"/>
        <w:spacing w:after="0"/>
        <w:contextualSpacing w:val="0"/>
      </w:pPr>
      <w:r>
        <w:rPr>
          <w:i/>
          <w:color w:val="FF0000"/>
        </w:rPr>
        <w:t>The redacted values correspond to the following ranges</w:t>
      </w:r>
    </w:p>
    <w:p w14:paraId="3387B883" w14:textId="77777777" w:rsidR="00C0051B" w:rsidRPr="00C0051B" w:rsidRDefault="00665B89" w:rsidP="00C0051B">
      <w:pPr>
        <w:ind w:right="147"/>
        <w:rPr>
          <w:rFonts w:ascii="Arial Narrow" w:hAnsi="Arial Narrow"/>
          <w:i/>
          <w:snapToGrid w:val="0"/>
          <w:color w:val="FF0000"/>
          <w:sz w:val="18"/>
          <w:szCs w:val="22"/>
        </w:rPr>
      </w:pPr>
      <w:r w:rsidRPr="00C0051B">
        <w:rPr>
          <w:rFonts w:ascii="Arial Narrow" w:hAnsi="Arial Narrow"/>
          <w:i/>
          <w:snapToGrid w:val="0"/>
          <w:color w:val="FF0000"/>
          <w:sz w:val="18"/>
          <w:szCs w:val="22"/>
          <w:vertAlign w:val="superscript"/>
        </w:rPr>
        <w:t>1</w:t>
      </w:r>
      <w:r w:rsidR="00C0051B" w:rsidRPr="00C0051B">
        <w:rPr>
          <w:rFonts w:ascii="Arial Narrow" w:hAnsi="Arial Narrow"/>
          <w:i/>
          <w:snapToGrid w:val="0"/>
          <w:color w:val="FF0000"/>
          <w:sz w:val="18"/>
          <w:szCs w:val="22"/>
        </w:rPr>
        <w:t>$135,000 to &lt; $155,000</w:t>
      </w:r>
    </w:p>
    <w:p w14:paraId="47D9BCE5" w14:textId="77777777" w:rsidR="00C0051B" w:rsidRPr="00C0051B" w:rsidRDefault="00C0051B" w:rsidP="00C0051B">
      <w:pPr>
        <w:ind w:right="147"/>
        <w:rPr>
          <w:rFonts w:ascii="Arial Narrow" w:hAnsi="Arial Narrow"/>
          <w:i/>
          <w:snapToGrid w:val="0"/>
          <w:color w:val="FF0000"/>
          <w:sz w:val="18"/>
          <w:szCs w:val="22"/>
          <w:vertAlign w:val="superscript"/>
        </w:rPr>
      </w:pPr>
      <w:r w:rsidRPr="00C0051B">
        <w:rPr>
          <w:rFonts w:ascii="Arial Narrow" w:hAnsi="Arial Narrow"/>
          <w:i/>
          <w:snapToGrid w:val="0"/>
          <w:color w:val="FF0000"/>
          <w:sz w:val="18"/>
          <w:szCs w:val="22"/>
          <w:vertAlign w:val="superscript"/>
        </w:rPr>
        <w:t>2</w:t>
      </w:r>
      <w:r w:rsidRPr="00C0051B">
        <w:rPr>
          <w:rFonts w:ascii="Arial Narrow" w:hAnsi="Arial Narrow"/>
          <w:i/>
          <w:snapToGrid w:val="0"/>
          <w:color w:val="FF0000"/>
          <w:sz w:val="18"/>
          <w:szCs w:val="22"/>
        </w:rPr>
        <w:t>$30 million to &lt; $40 million</w:t>
      </w:r>
    </w:p>
    <w:p w14:paraId="6B7EF05A" w14:textId="77777777" w:rsidR="00C0051B" w:rsidRPr="00C0051B" w:rsidRDefault="00C0051B" w:rsidP="00C0051B">
      <w:pPr>
        <w:ind w:right="147"/>
        <w:rPr>
          <w:rFonts w:ascii="Arial Narrow" w:hAnsi="Arial Narrow"/>
          <w:i/>
          <w:snapToGrid w:val="0"/>
          <w:color w:val="FF0000"/>
          <w:sz w:val="18"/>
          <w:szCs w:val="22"/>
          <w:vertAlign w:val="superscript"/>
        </w:rPr>
      </w:pPr>
      <w:r w:rsidRPr="00C0051B">
        <w:rPr>
          <w:rFonts w:ascii="Arial Narrow" w:hAnsi="Arial Narrow"/>
          <w:i/>
          <w:snapToGrid w:val="0"/>
          <w:color w:val="FF0000"/>
          <w:sz w:val="18"/>
          <w:szCs w:val="22"/>
          <w:vertAlign w:val="superscript"/>
        </w:rPr>
        <w:t>3</w:t>
      </w:r>
      <w:r w:rsidRPr="00C0051B">
        <w:rPr>
          <w:rFonts w:ascii="Arial Narrow" w:hAnsi="Arial Narrow"/>
          <w:i/>
          <w:snapToGrid w:val="0"/>
          <w:color w:val="FF0000"/>
          <w:sz w:val="18"/>
          <w:szCs w:val="22"/>
        </w:rPr>
        <w:t>$20 million to &lt; $30 million</w:t>
      </w:r>
    </w:p>
    <w:p w14:paraId="7E1919FB" w14:textId="77777777" w:rsidR="00C0051B" w:rsidRPr="00C0051B" w:rsidRDefault="00C0051B" w:rsidP="00C0051B">
      <w:pPr>
        <w:ind w:right="147"/>
        <w:rPr>
          <w:rFonts w:ascii="Arial Narrow" w:hAnsi="Arial Narrow"/>
          <w:i/>
          <w:snapToGrid w:val="0"/>
          <w:color w:val="FF0000"/>
          <w:sz w:val="18"/>
          <w:szCs w:val="22"/>
          <w:vertAlign w:val="superscript"/>
        </w:rPr>
      </w:pPr>
      <w:r w:rsidRPr="00C0051B">
        <w:rPr>
          <w:rFonts w:ascii="Arial Narrow" w:hAnsi="Arial Narrow"/>
          <w:i/>
          <w:snapToGrid w:val="0"/>
          <w:color w:val="FF0000"/>
          <w:sz w:val="18"/>
          <w:szCs w:val="22"/>
          <w:vertAlign w:val="superscript"/>
        </w:rPr>
        <w:t>4</w:t>
      </w:r>
      <w:r w:rsidRPr="00C0051B">
        <w:rPr>
          <w:rFonts w:ascii="Arial Narrow" w:hAnsi="Arial Narrow"/>
          <w:i/>
          <w:snapToGrid w:val="0"/>
          <w:color w:val="FF0000"/>
          <w:sz w:val="18"/>
          <w:szCs w:val="22"/>
        </w:rPr>
        <w:t>$40 million to &lt; $50 million</w:t>
      </w:r>
    </w:p>
    <w:p w14:paraId="383C8B5F" w14:textId="0C38E572" w:rsidR="00C0051B" w:rsidRDefault="00C0051B" w:rsidP="00C0051B">
      <w:pPr>
        <w:ind w:right="150"/>
        <w:rPr>
          <w:rFonts w:ascii="Arial" w:hAnsi="Arial"/>
          <w:color w:val="333333"/>
          <w:sz w:val="21"/>
          <w:szCs w:val="21"/>
        </w:rPr>
      </w:pPr>
      <w:r w:rsidRPr="00C0051B">
        <w:rPr>
          <w:rFonts w:ascii="Arial Narrow" w:hAnsi="Arial Narrow"/>
          <w:i/>
          <w:iCs/>
          <w:sz w:val="18"/>
          <w:szCs w:val="18"/>
          <w:vertAlign w:val="superscript"/>
        </w:rPr>
        <w:t>5</w:t>
      </w:r>
      <w:r w:rsidRPr="00C0051B">
        <w:rPr>
          <w:rFonts w:ascii="Arial Narrow" w:hAnsi="Arial Narrow"/>
          <w:i/>
          <w:snapToGrid w:val="0"/>
          <w:color w:val="FF0000"/>
          <w:sz w:val="18"/>
          <w:szCs w:val="22"/>
        </w:rPr>
        <w:t>$60 million to &lt; $70 million</w:t>
      </w:r>
    </w:p>
    <w:p w14:paraId="5137460F" w14:textId="77777777" w:rsidR="00C0051B" w:rsidRDefault="00C0051B" w:rsidP="00C0051B">
      <w:pPr>
        <w:ind w:right="150"/>
        <w:rPr>
          <w:rFonts w:ascii="Arial" w:hAnsi="Arial"/>
          <w:color w:val="333333"/>
          <w:sz w:val="21"/>
          <w:szCs w:val="21"/>
        </w:rPr>
      </w:pPr>
      <w:r w:rsidRPr="00C0051B">
        <w:rPr>
          <w:rFonts w:ascii="Arial Narrow" w:hAnsi="Arial Narrow"/>
          <w:sz w:val="18"/>
          <w:szCs w:val="18"/>
          <w:vertAlign w:val="superscript"/>
        </w:rPr>
        <w:t>6</w:t>
      </w:r>
      <w:r w:rsidRPr="00C0051B">
        <w:rPr>
          <w:rFonts w:ascii="Arial Narrow" w:hAnsi="Arial Narrow"/>
          <w:i/>
          <w:snapToGrid w:val="0"/>
          <w:color w:val="FF0000"/>
          <w:sz w:val="18"/>
          <w:szCs w:val="22"/>
        </w:rPr>
        <w:t>$80 million to &lt; $90 million</w:t>
      </w:r>
    </w:p>
    <w:p w14:paraId="7F774C56" w14:textId="50879D51" w:rsidR="00C0051B" w:rsidRPr="00C0051B" w:rsidRDefault="00C0051B" w:rsidP="0016658B">
      <w:pPr>
        <w:pStyle w:val="TableFigureFooter"/>
        <w:rPr>
          <w:vertAlign w:val="superscript"/>
        </w:rPr>
      </w:pPr>
    </w:p>
    <w:p w14:paraId="2F7EF97A" w14:textId="6D0437BD" w:rsidR="00A05E89" w:rsidRPr="00F04A75" w:rsidRDefault="00A05E89" w:rsidP="00A05E89">
      <w:pPr>
        <w:pStyle w:val="Normalbeforebullet"/>
        <w:spacing w:before="240"/>
        <w:rPr>
          <w:i/>
          <w:iCs/>
          <w:sz w:val="24"/>
        </w:rPr>
      </w:pPr>
      <w:r w:rsidRPr="00F04A75">
        <w:rPr>
          <w:i/>
          <w:iCs/>
          <w:sz w:val="24"/>
        </w:rPr>
        <w:tab/>
        <w:t>For more detail on PBAC’s view, see section 7 PBAC outcome.</w:t>
      </w:r>
    </w:p>
    <w:p w14:paraId="0A703F48" w14:textId="77777777" w:rsidR="00F97782" w:rsidRPr="00F04A75" w:rsidRDefault="00F97782" w:rsidP="000E4A22">
      <w:pPr>
        <w:pStyle w:val="2-SectionHeading"/>
      </w:pPr>
      <w:bookmarkStart w:id="16" w:name="_Toc90455920"/>
      <w:bookmarkStart w:id="17" w:name="_Toc93412424"/>
      <w:r w:rsidRPr="00F04A75">
        <w:t>Requested listing</w:t>
      </w:r>
      <w:bookmarkEnd w:id="16"/>
      <w:bookmarkEnd w:id="17"/>
    </w:p>
    <w:p w14:paraId="4CAAF628" w14:textId="5965C323" w:rsidR="00BD6129" w:rsidRPr="00F04A75" w:rsidRDefault="00BD6129" w:rsidP="00A425B1">
      <w:pPr>
        <w:pStyle w:val="ListParagraph"/>
        <w:keepNext/>
        <w:numPr>
          <w:ilvl w:val="1"/>
          <w:numId w:val="1"/>
        </w:numPr>
        <w:rPr>
          <w:rFonts w:cstheme="minorHAnsi"/>
        </w:rPr>
      </w:pPr>
      <w:r w:rsidRPr="00F04A75">
        <w:rPr>
          <w:rFonts w:cstheme="minorHAnsi"/>
          <w:iCs/>
        </w:rPr>
        <w:t>Suggestions and additions proposed by the Secretariat are added in italics and suggested deletions are crossed out with strikethrough.</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7"/>
        <w:gridCol w:w="2124"/>
        <w:gridCol w:w="1275"/>
        <w:gridCol w:w="1133"/>
        <w:gridCol w:w="1133"/>
        <w:gridCol w:w="1558"/>
      </w:tblGrid>
      <w:tr w:rsidR="00BD6129" w:rsidRPr="00F04A75" w14:paraId="52594762" w14:textId="77777777" w:rsidTr="00BD6129">
        <w:trPr>
          <w:cantSplit/>
          <w:trHeight w:val="471"/>
        </w:trPr>
        <w:tc>
          <w:tcPr>
            <w:tcW w:w="1837" w:type="dxa"/>
            <w:tcBorders>
              <w:top w:val="single" w:sz="4" w:space="0" w:color="auto"/>
              <w:left w:val="single" w:sz="4" w:space="0" w:color="auto"/>
              <w:bottom w:val="single" w:sz="4" w:space="0" w:color="auto"/>
              <w:right w:val="single" w:sz="4" w:space="0" w:color="auto"/>
            </w:tcBorders>
            <w:hideMark/>
          </w:tcPr>
          <w:p w14:paraId="55B22D61" w14:textId="77777777" w:rsidR="00BD6129" w:rsidRPr="00F04A75" w:rsidRDefault="00BD6129" w:rsidP="000C5072">
            <w:pPr>
              <w:keepNext/>
              <w:spacing w:line="256" w:lineRule="auto"/>
              <w:ind w:left="-108"/>
              <w:rPr>
                <w:rFonts w:ascii="Arial Narrow" w:eastAsiaTheme="minorHAnsi" w:hAnsi="Arial Narrow"/>
                <w:b/>
                <w:sz w:val="18"/>
                <w:szCs w:val="18"/>
                <w:lang w:eastAsia="en-US"/>
              </w:rPr>
            </w:pPr>
            <w:r w:rsidRPr="00F04A75">
              <w:rPr>
                <w:rFonts w:ascii="Arial Narrow" w:eastAsiaTheme="minorHAnsi" w:hAnsi="Arial Narrow"/>
                <w:b/>
                <w:sz w:val="18"/>
                <w:szCs w:val="18"/>
                <w:lang w:eastAsia="en-US"/>
              </w:rPr>
              <w:t>MEDICINAL PRODUCT</w:t>
            </w:r>
          </w:p>
          <w:p w14:paraId="2F83BBB4" w14:textId="77777777" w:rsidR="00BD6129" w:rsidRPr="00F04A75" w:rsidRDefault="00BD6129" w:rsidP="000C5072">
            <w:pPr>
              <w:keepNext/>
              <w:spacing w:line="256" w:lineRule="auto"/>
              <w:ind w:left="-108"/>
              <w:rPr>
                <w:rFonts w:ascii="Arial Narrow" w:eastAsiaTheme="minorHAnsi" w:hAnsi="Arial Narrow"/>
                <w:b/>
                <w:sz w:val="18"/>
                <w:szCs w:val="18"/>
                <w:lang w:eastAsia="en-US"/>
              </w:rPr>
            </w:pPr>
            <w:r w:rsidRPr="00F04A75">
              <w:rPr>
                <w:rFonts w:ascii="Arial Narrow" w:eastAsiaTheme="minorHAnsi" w:hAnsi="Arial Narrow"/>
                <w:b/>
                <w:sz w:val="18"/>
                <w:szCs w:val="18"/>
                <w:lang w:eastAsia="en-US"/>
              </w:rPr>
              <w:t>Medicinal product pack</w:t>
            </w:r>
          </w:p>
        </w:tc>
        <w:tc>
          <w:tcPr>
            <w:tcW w:w="2124" w:type="dxa"/>
            <w:tcBorders>
              <w:top w:val="single" w:sz="4" w:space="0" w:color="auto"/>
              <w:left w:val="single" w:sz="4" w:space="0" w:color="auto"/>
              <w:bottom w:val="single" w:sz="4" w:space="0" w:color="auto"/>
              <w:right w:val="single" w:sz="4" w:space="0" w:color="auto"/>
            </w:tcBorders>
            <w:hideMark/>
          </w:tcPr>
          <w:p w14:paraId="6BC4BD95" w14:textId="77777777" w:rsidR="00BD6129" w:rsidRPr="00F04A75" w:rsidRDefault="00BD6129" w:rsidP="000C5072">
            <w:pPr>
              <w:keepNext/>
              <w:spacing w:line="256" w:lineRule="auto"/>
              <w:ind w:left="-108"/>
              <w:jc w:val="center"/>
              <w:rPr>
                <w:rFonts w:ascii="Arial Narrow" w:eastAsiaTheme="minorHAnsi" w:hAnsi="Arial Narrow"/>
                <w:b/>
                <w:sz w:val="18"/>
                <w:szCs w:val="18"/>
                <w:lang w:eastAsia="en-US"/>
              </w:rPr>
            </w:pPr>
            <w:r w:rsidRPr="00F04A75">
              <w:rPr>
                <w:rFonts w:ascii="Arial Narrow" w:eastAsiaTheme="minorHAnsi" w:hAnsi="Arial Narrow"/>
                <w:b/>
                <w:sz w:val="18"/>
                <w:szCs w:val="18"/>
                <w:lang w:eastAsia="en-US"/>
              </w:rPr>
              <w:t>Dispensed price for Max. Amount</w:t>
            </w:r>
          </w:p>
        </w:tc>
        <w:tc>
          <w:tcPr>
            <w:tcW w:w="1275" w:type="dxa"/>
            <w:tcBorders>
              <w:top w:val="single" w:sz="4" w:space="0" w:color="auto"/>
              <w:left w:val="single" w:sz="4" w:space="0" w:color="auto"/>
              <w:bottom w:val="single" w:sz="4" w:space="0" w:color="auto"/>
              <w:right w:val="single" w:sz="4" w:space="0" w:color="auto"/>
            </w:tcBorders>
            <w:hideMark/>
          </w:tcPr>
          <w:p w14:paraId="75A9EB1F" w14:textId="77777777" w:rsidR="00BD6129" w:rsidRPr="00F04A75" w:rsidRDefault="00BD6129" w:rsidP="000C5072">
            <w:pPr>
              <w:keepNext/>
              <w:spacing w:line="256" w:lineRule="auto"/>
              <w:ind w:left="-108"/>
              <w:jc w:val="center"/>
              <w:rPr>
                <w:rFonts w:ascii="Arial Narrow" w:eastAsiaTheme="minorHAnsi" w:hAnsi="Arial Narrow"/>
                <w:b/>
                <w:sz w:val="18"/>
                <w:szCs w:val="18"/>
                <w:lang w:eastAsia="en-US"/>
              </w:rPr>
            </w:pPr>
            <w:r w:rsidRPr="00F04A75">
              <w:rPr>
                <w:rFonts w:ascii="Arial Narrow" w:eastAsiaTheme="minorHAnsi" w:hAnsi="Arial Narrow"/>
                <w:b/>
                <w:sz w:val="18"/>
                <w:szCs w:val="18"/>
                <w:lang w:eastAsia="en-US"/>
              </w:rPr>
              <w:t>PBS item code</w:t>
            </w:r>
          </w:p>
        </w:tc>
        <w:tc>
          <w:tcPr>
            <w:tcW w:w="1133" w:type="dxa"/>
            <w:tcBorders>
              <w:top w:val="single" w:sz="4" w:space="0" w:color="auto"/>
              <w:left w:val="single" w:sz="4" w:space="0" w:color="auto"/>
              <w:bottom w:val="single" w:sz="4" w:space="0" w:color="auto"/>
              <w:right w:val="single" w:sz="4" w:space="0" w:color="auto"/>
            </w:tcBorders>
            <w:hideMark/>
          </w:tcPr>
          <w:p w14:paraId="12ADF6FB" w14:textId="77777777" w:rsidR="00BD6129" w:rsidRPr="00F04A75" w:rsidRDefault="00BD6129" w:rsidP="000C5072">
            <w:pPr>
              <w:keepNext/>
              <w:spacing w:line="256" w:lineRule="auto"/>
              <w:ind w:left="-108"/>
              <w:jc w:val="center"/>
              <w:rPr>
                <w:rFonts w:ascii="Arial Narrow" w:eastAsiaTheme="minorHAnsi" w:hAnsi="Arial Narrow"/>
                <w:b/>
                <w:sz w:val="18"/>
                <w:szCs w:val="18"/>
                <w:lang w:eastAsia="en-US"/>
              </w:rPr>
            </w:pPr>
            <w:r w:rsidRPr="00F04A75">
              <w:rPr>
                <w:rFonts w:ascii="Arial Narrow" w:eastAsiaTheme="minorHAnsi" w:hAnsi="Arial Narrow"/>
                <w:b/>
                <w:sz w:val="18"/>
                <w:szCs w:val="18"/>
                <w:lang w:eastAsia="en-US"/>
              </w:rPr>
              <w:t>Max.</w:t>
            </w:r>
          </w:p>
          <w:p w14:paraId="36E8B242" w14:textId="77777777" w:rsidR="00BD6129" w:rsidRPr="00F04A75" w:rsidRDefault="00BD6129" w:rsidP="000C5072">
            <w:pPr>
              <w:keepNext/>
              <w:spacing w:line="256" w:lineRule="auto"/>
              <w:ind w:left="-108"/>
              <w:jc w:val="center"/>
              <w:rPr>
                <w:rFonts w:ascii="Arial Narrow" w:eastAsiaTheme="minorHAnsi" w:hAnsi="Arial Narrow"/>
                <w:b/>
                <w:sz w:val="18"/>
                <w:szCs w:val="18"/>
                <w:lang w:eastAsia="en-US"/>
              </w:rPr>
            </w:pPr>
            <w:r w:rsidRPr="00F04A75">
              <w:rPr>
                <w:rFonts w:ascii="Arial Narrow" w:eastAsiaTheme="minorHAnsi" w:hAnsi="Arial Narrow"/>
                <w:b/>
                <w:sz w:val="18"/>
                <w:szCs w:val="18"/>
                <w:lang w:eastAsia="en-US"/>
              </w:rPr>
              <w:t>Amount</w:t>
            </w:r>
          </w:p>
        </w:tc>
        <w:tc>
          <w:tcPr>
            <w:tcW w:w="1133" w:type="dxa"/>
            <w:tcBorders>
              <w:top w:val="single" w:sz="4" w:space="0" w:color="auto"/>
              <w:left w:val="single" w:sz="4" w:space="0" w:color="auto"/>
              <w:bottom w:val="single" w:sz="4" w:space="0" w:color="auto"/>
              <w:right w:val="single" w:sz="4" w:space="0" w:color="auto"/>
            </w:tcBorders>
            <w:hideMark/>
          </w:tcPr>
          <w:p w14:paraId="180B54DD" w14:textId="77777777" w:rsidR="00BD6129" w:rsidRPr="00F04A75" w:rsidRDefault="00BD6129" w:rsidP="000C5072">
            <w:pPr>
              <w:keepNext/>
              <w:spacing w:line="256" w:lineRule="auto"/>
              <w:ind w:left="-108"/>
              <w:jc w:val="center"/>
              <w:rPr>
                <w:rFonts w:ascii="Arial Narrow" w:eastAsiaTheme="minorHAnsi" w:hAnsi="Arial Narrow"/>
                <w:b/>
                <w:sz w:val="18"/>
                <w:szCs w:val="18"/>
                <w:lang w:eastAsia="en-US"/>
              </w:rPr>
            </w:pPr>
            <w:proofErr w:type="gramStart"/>
            <w:r w:rsidRPr="00F04A75">
              <w:rPr>
                <w:rFonts w:ascii="Arial Narrow" w:eastAsiaTheme="minorHAnsi" w:hAnsi="Arial Narrow"/>
                <w:b/>
                <w:sz w:val="18"/>
                <w:szCs w:val="18"/>
                <w:lang w:eastAsia="en-US"/>
              </w:rPr>
              <w:t>№.of</w:t>
            </w:r>
            <w:proofErr w:type="gramEnd"/>
          </w:p>
          <w:p w14:paraId="05C34F52" w14:textId="77777777" w:rsidR="00BD6129" w:rsidRPr="00F04A75" w:rsidRDefault="00BD6129" w:rsidP="000C5072">
            <w:pPr>
              <w:keepNext/>
              <w:spacing w:line="256" w:lineRule="auto"/>
              <w:ind w:left="-108"/>
              <w:jc w:val="center"/>
              <w:rPr>
                <w:rFonts w:ascii="Arial Narrow" w:eastAsiaTheme="minorHAnsi" w:hAnsi="Arial Narrow"/>
                <w:b/>
                <w:sz w:val="18"/>
                <w:szCs w:val="18"/>
                <w:lang w:eastAsia="en-US"/>
              </w:rPr>
            </w:pPr>
            <w:proofErr w:type="spellStart"/>
            <w:r w:rsidRPr="00F04A75">
              <w:rPr>
                <w:rFonts w:ascii="Arial Narrow" w:eastAsiaTheme="minorHAnsi" w:hAnsi="Arial Narrow"/>
                <w:b/>
                <w:sz w:val="18"/>
                <w:szCs w:val="18"/>
                <w:lang w:eastAsia="en-US"/>
              </w:rPr>
              <w:t>Rpts</w:t>
            </w:r>
            <w:proofErr w:type="spellEnd"/>
          </w:p>
        </w:tc>
        <w:tc>
          <w:tcPr>
            <w:tcW w:w="1558" w:type="dxa"/>
            <w:tcBorders>
              <w:top w:val="single" w:sz="4" w:space="0" w:color="auto"/>
              <w:left w:val="single" w:sz="4" w:space="0" w:color="auto"/>
              <w:bottom w:val="single" w:sz="4" w:space="0" w:color="auto"/>
              <w:right w:val="single" w:sz="4" w:space="0" w:color="auto"/>
            </w:tcBorders>
            <w:hideMark/>
          </w:tcPr>
          <w:p w14:paraId="30C6B6A3" w14:textId="77777777" w:rsidR="00BD6129" w:rsidRPr="00F04A75" w:rsidRDefault="00BD6129" w:rsidP="000C5072">
            <w:pPr>
              <w:keepNext/>
              <w:spacing w:line="256" w:lineRule="auto"/>
              <w:rPr>
                <w:rFonts w:ascii="Arial Narrow" w:eastAsiaTheme="minorHAnsi" w:hAnsi="Arial Narrow"/>
                <w:b/>
                <w:sz w:val="18"/>
                <w:szCs w:val="18"/>
                <w:lang w:eastAsia="en-US"/>
              </w:rPr>
            </w:pPr>
            <w:r w:rsidRPr="00F04A75">
              <w:rPr>
                <w:rFonts w:ascii="Arial Narrow" w:eastAsiaTheme="minorHAnsi" w:hAnsi="Arial Narrow"/>
                <w:b/>
                <w:sz w:val="18"/>
                <w:szCs w:val="18"/>
                <w:lang w:eastAsia="en-US"/>
              </w:rPr>
              <w:t>Manufacturer</w:t>
            </w:r>
          </w:p>
        </w:tc>
      </w:tr>
      <w:tr w:rsidR="00BD6129" w:rsidRPr="00F04A75" w14:paraId="67322D6D" w14:textId="77777777" w:rsidTr="00BD6129">
        <w:trPr>
          <w:cantSplit/>
          <w:trHeight w:val="577"/>
        </w:trPr>
        <w:tc>
          <w:tcPr>
            <w:tcW w:w="1837" w:type="dxa"/>
            <w:tcBorders>
              <w:top w:val="single" w:sz="4" w:space="0" w:color="auto"/>
              <w:left w:val="single" w:sz="4" w:space="0" w:color="auto"/>
              <w:bottom w:val="single" w:sz="4" w:space="0" w:color="auto"/>
              <w:right w:val="single" w:sz="4" w:space="0" w:color="auto"/>
            </w:tcBorders>
            <w:hideMark/>
          </w:tcPr>
          <w:p w14:paraId="46144EF9" w14:textId="77777777" w:rsidR="00BD6129" w:rsidRPr="00F04A75" w:rsidRDefault="00BD6129" w:rsidP="000C5072">
            <w:pPr>
              <w:keepNext/>
              <w:spacing w:line="256" w:lineRule="auto"/>
              <w:ind w:left="-108"/>
              <w:rPr>
                <w:rFonts w:ascii="Arial Narrow" w:eastAsiaTheme="minorHAnsi" w:hAnsi="Arial Narrow"/>
                <w:sz w:val="18"/>
                <w:szCs w:val="18"/>
                <w:lang w:eastAsia="en-US"/>
              </w:rPr>
            </w:pPr>
            <w:r w:rsidRPr="00F04A75">
              <w:rPr>
                <w:rFonts w:ascii="Arial Narrow" w:eastAsiaTheme="minorHAnsi" w:hAnsi="Arial Narrow"/>
                <w:sz w:val="18"/>
                <w:szCs w:val="18"/>
                <w:lang w:eastAsia="en-US"/>
              </w:rPr>
              <w:t>CARFILZOMIB injection</w:t>
            </w:r>
            <w:r w:rsidRPr="00F04A75">
              <w:rPr>
                <w:rFonts w:ascii="Arial Narrow" w:eastAsiaTheme="minorHAnsi" w:hAnsi="Arial Narrow" w:cs="Arial Narrow"/>
                <w:sz w:val="20"/>
                <w:lang w:eastAsia="en-US"/>
              </w:rPr>
              <w:t xml:space="preserve"> </w:t>
            </w:r>
          </w:p>
        </w:tc>
        <w:tc>
          <w:tcPr>
            <w:tcW w:w="2124" w:type="dxa"/>
            <w:tcBorders>
              <w:top w:val="single" w:sz="4" w:space="0" w:color="auto"/>
              <w:left w:val="single" w:sz="4" w:space="0" w:color="auto"/>
              <w:bottom w:val="single" w:sz="4" w:space="0" w:color="auto"/>
              <w:right w:val="single" w:sz="4" w:space="0" w:color="auto"/>
            </w:tcBorders>
            <w:hideMark/>
          </w:tcPr>
          <w:p w14:paraId="634554BD" w14:textId="0C67810C" w:rsidR="00BD6129" w:rsidRPr="00F04A75" w:rsidRDefault="00BD6129" w:rsidP="000C5072">
            <w:pPr>
              <w:keepNext/>
              <w:spacing w:line="256" w:lineRule="auto"/>
              <w:ind w:left="-108"/>
              <w:jc w:val="center"/>
              <w:rPr>
                <w:rFonts w:ascii="Arial Narrow" w:hAnsi="Arial Narrow"/>
                <w:color w:val="000000"/>
                <w:sz w:val="20"/>
                <w:szCs w:val="18"/>
                <w:lang w:eastAsia="en-US"/>
              </w:rPr>
            </w:pPr>
            <w:r w:rsidRPr="00F04A75">
              <w:rPr>
                <w:rFonts w:ascii="Arial Narrow" w:hAnsi="Arial Narrow"/>
                <w:color w:val="000000"/>
                <w:sz w:val="20"/>
                <w:szCs w:val="18"/>
                <w:u w:val="single"/>
                <w:lang w:eastAsia="en-US"/>
              </w:rPr>
              <w:t>Published:</w:t>
            </w:r>
            <w:r w:rsidRPr="00F04A75">
              <w:rPr>
                <w:rFonts w:ascii="Arial Narrow" w:hAnsi="Arial Narrow"/>
                <w:color w:val="000000"/>
                <w:sz w:val="20"/>
                <w:szCs w:val="18"/>
                <w:u w:val="single"/>
                <w:lang w:eastAsia="en-US"/>
              </w:rPr>
              <w:br/>
            </w:r>
            <w:r w:rsidRPr="00F04A75">
              <w:rPr>
                <w:rFonts w:ascii="Arial Narrow" w:hAnsi="Arial Narrow"/>
                <w:color w:val="000000"/>
                <w:sz w:val="20"/>
                <w:szCs w:val="18"/>
                <w:lang w:eastAsia="en-US"/>
              </w:rPr>
              <w:t>Public: $1,355.22</w:t>
            </w:r>
            <w:r w:rsidRPr="00F04A75">
              <w:rPr>
                <w:rFonts w:ascii="Arial Narrow" w:hAnsi="Arial Narrow"/>
                <w:color w:val="000000"/>
                <w:sz w:val="20"/>
                <w:szCs w:val="18"/>
                <w:lang w:eastAsia="en-US"/>
              </w:rPr>
              <w:br/>
              <w:t>Private: $1,414.02</w:t>
            </w:r>
          </w:p>
          <w:p w14:paraId="7B7DBC92" w14:textId="77777777" w:rsidR="00BD6129" w:rsidRPr="00F04A75" w:rsidRDefault="00BD6129" w:rsidP="00BD6129">
            <w:pPr>
              <w:pStyle w:val="Tabletext"/>
              <w:jc w:val="center"/>
              <w:rPr>
                <w:u w:val="single"/>
              </w:rPr>
            </w:pPr>
          </w:p>
          <w:p w14:paraId="0E96D132" w14:textId="47073B60" w:rsidR="00BD6129" w:rsidRPr="007E3BB7" w:rsidRDefault="00BD6129" w:rsidP="00BD6129">
            <w:pPr>
              <w:pStyle w:val="Tabletext"/>
              <w:jc w:val="center"/>
              <w:rPr>
                <w:u w:val="single"/>
                <w:vertAlign w:val="superscript"/>
              </w:rPr>
            </w:pPr>
            <w:r w:rsidRPr="007E3BB7">
              <w:rPr>
                <w:u w:val="single"/>
              </w:rPr>
              <w:t>Effective</w:t>
            </w:r>
            <w:r w:rsidRPr="007E3BB7">
              <w:rPr>
                <w:u w:val="single"/>
                <w:vertAlign w:val="superscript"/>
              </w:rPr>
              <w:t>1</w:t>
            </w:r>
          </w:p>
          <w:p w14:paraId="4AE42D40" w14:textId="5BBF9A09" w:rsidR="00BD6129" w:rsidRPr="007E3BB7" w:rsidRDefault="00BD6129" w:rsidP="00BD6129">
            <w:pPr>
              <w:pStyle w:val="Tabletext"/>
              <w:jc w:val="center"/>
            </w:pPr>
            <w:r w:rsidRPr="007E3BB7">
              <w:t>Public $</w:t>
            </w:r>
            <w:r w:rsidR="000960C3" w:rsidRPr="000960C3">
              <w:rPr>
                <w:color w:val="000000"/>
                <w:shd w:val="solid" w:color="000000" w:fill="000000"/>
                <w14:textFill>
                  <w14:solidFill>
                    <w14:srgbClr w14:val="000000">
                      <w14:alpha w14:val="100000"/>
                    </w14:srgbClr>
                  </w14:solidFill>
                </w14:textFill>
              </w:rPr>
              <w:t>|</w:t>
            </w:r>
          </w:p>
          <w:p w14:paraId="14266E2B" w14:textId="0D807229" w:rsidR="00BD6129" w:rsidRPr="00F04A75" w:rsidRDefault="00BD6129" w:rsidP="00BD6129">
            <w:pPr>
              <w:keepNext/>
              <w:spacing w:line="256" w:lineRule="auto"/>
              <w:ind w:left="-108"/>
              <w:jc w:val="center"/>
              <w:rPr>
                <w:rFonts w:ascii="Arial Narrow" w:eastAsiaTheme="minorHAnsi" w:hAnsi="Arial Narrow"/>
                <w:sz w:val="18"/>
                <w:szCs w:val="18"/>
                <w:lang w:eastAsia="en-US"/>
              </w:rPr>
            </w:pPr>
            <w:r w:rsidRPr="007E3BB7">
              <w:rPr>
                <w:rFonts w:ascii="Arial Narrow" w:hAnsi="Arial Narrow" w:cs="Times New Roman"/>
                <w:snapToGrid w:val="0"/>
                <w:sz w:val="20"/>
              </w:rPr>
              <w:t>Private $</w:t>
            </w:r>
            <w:r w:rsidR="000960C3" w:rsidRPr="000960C3">
              <w:rPr>
                <w:rFonts w:ascii="Arial Narrow" w:hAnsi="Arial Narrow" w:cs="Times New Roman"/>
                <w:snapToGrid w:val="0"/>
                <w:color w:val="000000"/>
                <w:sz w:val="20"/>
                <w:shd w:val="solid" w:color="000000" w:fill="000000"/>
                <w14:textFill>
                  <w14:solidFill>
                    <w14:srgbClr w14:val="000000">
                      <w14:alpha w14:val="100000"/>
                    </w14:srgbClr>
                  </w14:solidFill>
                </w14:textFill>
              </w:rPr>
              <w:t>|</w:t>
            </w:r>
          </w:p>
        </w:tc>
        <w:tc>
          <w:tcPr>
            <w:tcW w:w="1275" w:type="dxa"/>
            <w:tcBorders>
              <w:top w:val="single" w:sz="4" w:space="0" w:color="auto"/>
              <w:left w:val="single" w:sz="4" w:space="0" w:color="auto"/>
              <w:bottom w:val="single" w:sz="4" w:space="0" w:color="auto"/>
              <w:right w:val="single" w:sz="4" w:space="0" w:color="auto"/>
            </w:tcBorders>
          </w:tcPr>
          <w:p w14:paraId="215D1495" w14:textId="77777777" w:rsidR="00BD6129" w:rsidRPr="00F04A75" w:rsidRDefault="00BD6129" w:rsidP="000C5072">
            <w:pPr>
              <w:keepNext/>
              <w:spacing w:line="256" w:lineRule="auto"/>
              <w:ind w:left="-108"/>
              <w:jc w:val="center"/>
              <w:rPr>
                <w:rFonts w:ascii="Arial Narrow" w:eastAsiaTheme="minorHAnsi" w:hAnsi="Arial Narrow"/>
                <w:sz w:val="18"/>
                <w:szCs w:val="18"/>
                <w:lang w:eastAsia="en-US"/>
              </w:rPr>
            </w:pPr>
          </w:p>
          <w:p w14:paraId="0AEB4B02" w14:textId="77777777" w:rsidR="00BD6129" w:rsidRPr="00F04A75" w:rsidRDefault="00BD6129" w:rsidP="000C5072">
            <w:pPr>
              <w:keepNext/>
              <w:spacing w:line="256" w:lineRule="auto"/>
              <w:ind w:left="-108"/>
              <w:jc w:val="center"/>
              <w:rPr>
                <w:rFonts w:ascii="Arial Narrow" w:eastAsiaTheme="minorHAnsi" w:hAnsi="Arial Narrow"/>
                <w:sz w:val="18"/>
                <w:szCs w:val="18"/>
                <w:lang w:eastAsia="en-US"/>
              </w:rPr>
            </w:pPr>
            <w:r w:rsidRPr="00F04A75">
              <w:rPr>
                <w:rFonts w:ascii="Arial Narrow" w:eastAsiaTheme="minorHAnsi" w:hAnsi="Arial Narrow"/>
                <w:sz w:val="18"/>
                <w:szCs w:val="18"/>
                <w:lang w:eastAsia="en-US"/>
              </w:rPr>
              <w:t>NEW (Public)</w:t>
            </w:r>
          </w:p>
          <w:p w14:paraId="7FA94C03" w14:textId="77777777" w:rsidR="00BD6129" w:rsidRPr="00F04A75" w:rsidRDefault="00BD6129" w:rsidP="000C5072">
            <w:pPr>
              <w:keepNext/>
              <w:spacing w:line="256" w:lineRule="auto"/>
              <w:ind w:left="-108"/>
              <w:jc w:val="center"/>
              <w:rPr>
                <w:rFonts w:ascii="Arial Narrow" w:eastAsiaTheme="minorHAnsi" w:hAnsi="Arial Narrow"/>
                <w:sz w:val="18"/>
                <w:szCs w:val="18"/>
                <w:lang w:eastAsia="en-US"/>
              </w:rPr>
            </w:pPr>
            <w:r w:rsidRPr="00F04A75">
              <w:rPr>
                <w:rFonts w:ascii="Arial Narrow" w:eastAsiaTheme="minorHAnsi" w:hAnsi="Arial Narrow"/>
                <w:sz w:val="18"/>
                <w:szCs w:val="18"/>
                <w:lang w:eastAsia="en-US"/>
              </w:rPr>
              <w:t>NEW (Private)</w:t>
            </w:r>
          </w:p>
        </w:tc>
        <w:tc>
          <w:tcPr>
            <w:tcW w:w="1133" w:type="dxa"/>
            <w:tcBorders>
              <w:top w:val="single" w:sz="4" w:space="0" w:color="auto"/>
              <w:left w:val="single" w:sz="4" w:space="0" w:color="auto"/>
              <w:bottom w:val="single" w:sz="4" w:space="0" w:color="auto"/>
              <w:right w:val="single" w:sz="4" w:space="0" w:color="auto"/>
            </w:tcBorders>
          </w:tcPr>
          <w:p w14:paraId="1CD60973" w14:textId="77777777" w:rsidR="00BD6129" w:rsidRPr="00F04A75" w:rsidRDefault="00BD6129" w:rsidP="000C5072">
            <w:pPr>
              <w:keepNext/>
              <w:spacing w:line="256" w:lineRule="auto"/>
              <w:ind w:left="-108"/>
              <w:jc w:val="center"/>
              <w:rPr>
                <w:rFonts w:ascii="Arial Narrow" w:eastAsiaTheme="minorHAnsi" w:hAnsi="Arial Narrow"/>
                <w:sz w:val="18"/>
                <w:szCs w:val="18"/>
                <w:lang w:eastAsia="en-US"/>
              </w:rPr>
            </w:pPr>
          </w:p>
          <w:p w14:paraId="5A354C14" w14:textId="77777777" w:rsidR="00BD6129" w:rsidRPr="00F04A75" w:rsidRDefault="00BD6129" w:rsidP="000C5072">
            <w:pPr>
              <w:keepNext/>
              <w:spacing w:line="256" w:lineRule="auto"/>
              <w:ind w:left="-108"/>
              <w:jc w:val="center"/>
              <w:rPr>
                <w:rFonts w:ascii="Arial Narrow" w:eastAsiaTheme="minorHAnsi" w:hAnsi="Arial Narrow"/>
                <w:sz w:val="18"/>
                <w:szCs w:val="18"/>
                <w:lang w:eastAsia="en-US"/>
              </w:rPr>
            </w:pPr>
            <w:r w:rsidRPr="00F04A75">
              <w:rPr>
                <w:rFonts w:ascii="Arial Narrow" w:eastAsiaTheme="minorHAnsi" w:hAnsi="Arial Narrow"/>
                <w:sz w:val="18"/>
                <w:szCs w:val="18"/>
                <w:lang w:eastAsia="en-US"/>
              </w:rPr>
              <w:t>60 mg</w:t>
            </w:r>
          </w:p>
        </w:tc>
        <w:tc>
          <w:tcPr>
            <w:tcW w:w="1133" w:type="dxa"/>
            <w:tcBorders>
              <w:top w:val="single" w:sz="4" w:space="0" w:color="auto"/>
              <w:left w:val="single" w:sz="4" w:space="0" w:color="auto"/>
              <w:bottom w:val="single" w:sz="4" w:space="0" w:color="auto"/>
              <w:right w:val="single" w:sz="4" w:space="0" w:color="auto"/>
            </w:tcBorders>
          </w:tcPr>
          <w:p w14:paraId="49B48A29" w14:textId="77777777" w:rsidR="00BD6129" w:rsidRPr="00F04A75" w:rsidRDefault="00BD6129" w:rsidP="000C5072">
            <w:pPr>
              <w:keepNext/>
              <w:spacing w:line="256" w:lineRule="auto"/>
              <w:ind w:left="-108"/>
              <w:jc w:val="center"/>
              <w:rPr>
                <w:rFonts w:ascii="Arial Narrow" w:eastAsiaTheme="minorHAnsi" w:hAnsi="Arial Narrow"/>
                <w:i/>
                <w:sz w:val="18"/>
                <w:szCs w:val="18"/>
                <w:lang w:eastAsia="en-US"/>
              </w:rPr>
            </w:pPr>
          </w:p>
          <w:p w14:paraId="2E251A24" w14:textId="77777777" w:rsidR="00BD6129" w:rsidRPr="00F04A75" w:rsidRDefault="00BD6129" w:rsidP="000C5072">
            <w:pPr>
              <w:keepNext/>
              <w:spacing w:line="256" w:lineRule="auto"/>
              <w:ind w:left="-108"/>
              <w:jc w:val="center"/>
              <w:rPr>
                <w:rFonts w:ascii="Arial Narrow" w:eastAsiaTheme="minorHAnsi" w:hAnsi="Arial Narrow"/>
                <w:sz w:val="18"/>
                <w:szCs w:val="18"/>
                <w:lang w:eastAsia="en-US"/>
              </w:rPr>
            </w:pPr>
            <w:r w:rsidRPr="00F04A75">
              <w:rPr>
                <w:rFonts w:ascii="Arial Narrow" w:eastAsiaTheme="minorHAnsi" w:hAnsi="Arial Narrow"/>
                <w:sz w:val="18"/>
                <w:szCs w:val="18"/>
                <w:lang w:eastAsia="en-US"/>
              </w:rPr>
              <w:t>17</w:t>
            </w:r>
          </w:p>
        </w:tc>
        <w:tc>
          <w:tcPr>
            <w:tcW w:w="1558" w:type="dxa"/>
            <w:tcBorders>
              <w:top w:val="single" w:sz="4" w:space="0" w:color="auto"/>
              <w:left w:val="single" w:sz="4" w:space="0" w:color="auto"/>
              <w:bottom w:val="single" w:sz="4" w:space="0" w:color="auto"/>
              <w:right w:val="single" w:sz="4" w:space="0" w:color="auto"/>
            </w:tcBorders>
          </w:tcPr>
          <w:p w14:paraId="6068A959" w14:textId="77777777" w:rsidR="00BD6129" w:rsidRPr="00F04A75" w:rsidRDefault="00BD6129" w:rsidP="000C5072">
            <w:pPr>
              <w:keepNext/>
              <w:spacing w:line="256" w:lineRule="auto"/>
              <w:jc w:val="left"/>
              <w:rPr>
                <w:rFonts w:ascii="Arial Narrow" w:hAnsi="Arial Narrow"/>
                <w:color w:val="000000"/>
                <w:sz w:val="20"/>
                <w:szCs w:val="18"/>
                <w:lang w:eastAsia="en-US"/>
              </w:rPr>
            </w:pPr>
          </w:p>
          <w:p w14:paraId="2A35A61B" w14:textId="77777777" w:rsidR="00BD6129" w:rsidRPr="00F04A75" w:rsidRDefault="00BD6129" w:rsidP="000C5072">
            <w:pPr>
              <w:keepNext/>
              <w:spacing w:line="256" w:lineRule="auto"/>
              <w:jc w:val="left"/>
              <w:rPr>
                <w:rFonts w:ascii="Arial Narrow" w:eastAsiaTheme="minorHAnsi" w:hAnsi="Arial Narrow"/>
                <w:sz w:val="18"/>
                <w:szCs w:val="18"/>
                <w:lang w:eastAsia="en-US"/>
              </w:rPr>
            </w:pPr>
            <w:r w:rsidRPr="00F04A75">
              <w:rPr>
                <w:rFonts w:ascii="Arial Narrow" w:hAnsi="Arial Narrow"/>
                <w:color w:val="000000"/>
                <w:sz w:val="20"/>
                <w:szCs w:val="18"/>
                <w:lang w:eastAsia="en-US"/>
              </w:rPr>
              <w:t xml:space="preserve">Amgen Australia </w:t>
            </w:r>
            <w:r w:rsidRPr="00F04A75">
              <w:rPr>
                <w:rFonts w:ascii="Arial Narrow" w:eastAsiaTheme="minorHAnsi" w:hAnsi="Arial Narrow"/>
                <w:sz w:val="18"/>
                <w:szCs w:val="18"/>
                <w:lang w:eastAsia="en-US"/>
              </w:rPr>
              <w:t>Pty Ltd</w:t>
            </w:r>
          </w:p>
        </w:tc>
      </w:tr>
      <w:tr w:rsidR="00BD6129" w:rsidRPr="00F04A75" w14:paraId="72665348" w14:textId="77777777" w:rsidTr="00BD6129">
        <w:trPr>
          <w:cantSplit/>
          <w:trHeight w:val="225"/>
        </w:trPr>
        <w:tc>
          <w:tcPr>
            <w:tcW w:w="9060" w:type="dxa"/>
            <w:gridSpan w:val="6"/>
            <w:tcBorders>
              <w:top w:val="single" w:sz="4" w:space="0" w:color="auto"/>
              <w:left w:val="single" w:sz="4" w:space="0" w:color="auto"/>
              <w:bottom w:val="single" w:sz="4" w:space="0" w:color="auto"/>
              <w:right w:val="single" w:sz="4" w:space="0" w:color="auto"/>
            </w:tcBorders>
            <w:hideMark/>
          </w:tcPr>
          <w:p w14:paraId="0B05A3B7" w14:textId="77777777" w:rsidR="00BD6129" w:rsidRPr="00F04A75" w:rsidRDefault="00BD6129" w:rsidP="000C5072">
            <w:pPr>
              <w:keepNext/>
              <w:spacing w:line="256" w:lineRule="auto"/>
              <w:jc w:val="left"/>
              <w:rPr>
                <w:rFonts w:ascii="Arial Narrow" w:eastAsiaTheme="minorHAnsi" w:hAnsi="Arial Narrow"/>
                <w:b/>
                <w:sz w:val="18"/>
                <w:szCs w:val="18"/>
                <w:lang w:eastAsia="en-US"/>
              </w:rPr>
            </w:pPr>
            <w:r w:rsidRPr="00F04A75">
              <w:rPr>
                <w:rFonts w:ascii="Arial Narrow" w:eastAsiaTheme="minorHAnsi" w:hAnsi="Arial Narrow"/>
                <w:b/>
                <w:sz w:val="18"/>
                <w:szCs w:val="18"/>
                <w:lang w:eastAsia="en-US"/>
              </w:rPr>
              <w:t>Available brands</w:t>
            </w:r>
          </w:p>
        </w:tc>
      </w:tr>
      <w:tr w:rsidR="00BD6129" w:rsidRPr="00F04A75" w14:paraId="0C72DC53" w14:textId="77777777" w:rsidTr="00BD6129">
        <w:trPr>
          <w:cantSplit/>
          <w:trHeight w:val="360"/>
        </w:trPr>
        <w:tc>
          <w:tcPr>
            <w:tcW w:w="9060" w:type="dxa"/>
            <w:gridSpan w:val="6"/>
            <w:tcBorders>
              <w:top w:val="single" w:sz="4" w:space="0" w:color="auto"/>
              <w:left w:val="single" w:sz="4" w:space="0" w:color="auto"/>
              <w:bottom w:val="single" w:sz="4" w:space="0" w:color="auto"/>
              <w:right w:val="single" w:sz="4" w:space="0" w:color="auto"/>
            </w:tcBorders>
            <w:hideMark/>
          </w:tcPr>
          <w:p w14:paraId="5A95ED03" w14:textId="77777777" w:rsidR="00BD6129" w:rsidRPr="00F04A75" w:rsidRDefault="00BD6129" w:rsidP="000C5072">
            <w:pPr>
              <w:spacing w:line="256" w:lineRule="auto"/>
              <w:rPr>
                <w:rFonts w:ascii="Arial Narrow" w:eastAsiaTheme="minorHAnsi" w:hAnsi="Arial Narrow"/>
                <w:sz w:val="18"/>
                <w:szCs w:val="18"/>
                <w:lang w:eastAsia="en-US"/>
              </w:rPr>
            </w:pPr>
            <w:proofErr w:type="spellStart"/>
            <w:r w:rsidRPr="00F04A75">
              <w:rPr>
                <w:rFonts w:ascii="Arial Narrow" w:eastAsiaTheme="minorHAnsi" w:hAnsi="Arial Narrow"/>
                <w:sz w:val="18"/>
                <w:szCs w:val="18"/>
                <w:lang w:eastAsia="en-US"/>
              </w:rPr>
              <w:t>Kyprolis</w:t>
            </w:r>
            <w:proofErr w:type="spellEnd"/>
          </w:p>
          <w:p w14:paraId="44B26FAB" w14:textId="77777777" w:rsidR="00BD6129" w:rsidRPr="00F04A75" w:rsidRDefault="00BD6129" w:rsidP="000C5072">
            <w:pPr>
              <w:spacing w:line="256" w:lineRule="auto"/>
              <w:rPr>
                <w:rFonts w:ascii="Arial Narrow" w:eastAsiaTheme="minorHAnsi" w:hAnsi="Arial Narrow"/>
                <w:sz w:val="18"/>
                <w:szCs w:val="18"/>
                <w:lang w:eastAsia="en-US"/>
              </w:rPr>
            </w:pPr>
            <w:r w:rsidRPr="00F04A75">
              <w:rPr>
                <w:rFonts w:ascii="Arial Narrow" w:eastAsiaTheme="minorHAnsi" w:hAnsi="Arial Narrow"/>
                <w:sz w:val="18"/>
                <w:szCs w:val="18"/>
                <w:lang w:eastAsia="en-US"/>
              </w:rPr>
              <w:t>(carfilzomib 10 mg injection, 1 vial)</w:t>
            </w:r>
          </w:p>
        </w:tc>
      </w:tr>
      <w:tr w:rsidR="00BD6129" w:rsidRPr="00F04A75" w14:paraId="5F69A5F8" w14:textId="77777777" w:rsidTr="00BD6129">
        <w:trPr>
          <w:cantSplit/>
          <w:trHeight w:val="360"/>
        </w:trPr>
        <w:tc>
          <w:tcPr>
            <w:tcW w:w="9060" w:type="dxa"/>
            <w:gridSpan w:val="6"/>
            <w:tcBorders>
              <w:top w:val="single" w:sz="4" w:space="0" w:color="auto"/>
              <w:left w:val="single" w:sz="4" w:space="0" w:color="auto"/>
              <w:bottom w:val="single" w:sz="4" w:space="0" w:color="auto"/>
              <w:right w:val="single" w:sz="4" w:space="0" w:color="auto"/>
            </w:tcBorders>
            <w:hideMark/>
          </w:tcPr>
          <w:p w14:paraId="2D7B1087" w14:textId="77777777" w:rsidR="00BD6129" w:rsidRPr="00F04A75" w:rsidRDefault="00BD6129" w:rsidP="000C5072">
            <w:pPr>
              <w:spacing w:line="256" w:lineRule="auto"/>
              <w:rPr>
                <w:rFonts w:ascii="Arial Narrow" w:eastAsiaTheme="minorHAnsi" w:hAnsi="Arial Narrow"/>
                <w:sz w:val="18"/>
                <w:szCs w:val="18"/>
                <w:lang w:eastAsia="en-US"/>
              </w:rPr>
            </w:pPr>
            <w:proofErr w:type="spellStart"/>
            <w:r w:rsidRPr="00F04A75">
              <w:rPr>
                <w:rFonts w:ascii="Arial Narrow" w:eastAsiaTheme="minorHAnsi" w:hAnsi="Arial Narrow"/>
                <w:sz w:val="18"/>
                <w:szCs w:val="18"/>
                <w:lang w:eastAsia="en-US"/>
              </w:rPr>
              <w:t>Kyprolis</w:t>
            </w:r>
            <w:proofErr w:type="spellEnd"/>
          </w:p>
          <w:p w14:paraId="6535E39B" w14:textId="77777777" w:rsidR="00BD6129" w:rsidRPr="00F04A75" w:rsidRDefault="00BD6129" w:rsidP="000C5072">
            <w:pPr>
              <w:spacing w:line="256" w:lineRule="auto"/>
              <w:rPr>
                <w:rFonts w:ascii="Arial Narrow" w:eastAsiaTheme="minorHAnsi" w:hAnsi="Arial Narrow"/>
                <w:sz w:val="18"/>
                <w:szCs w:val="18"/>
                <w:lang w:eastAsia="en-US"/>
              </w:rPr>
            </w:pPr>
            <w:r w:rsidRPr="00F04A75">
              <w:rPr>
                <w:rFonts w:ascii="Arial Narrow" w:eastAsiaTheme="minorHAnsi" w:hAnsi="Arial Narrow"/>
                <w:sz w:val="18"/>
                <w:szCs w:val="18"/>
                <w:lang w:eastAsia="en-US"/>
              </w:rPr>
              <w:t>(carfilzomib 30 mg injection, 1 vial)</w:t>
            </w:r>
          </w:p>
        </w:tc>
      </w:tr>
      <w:tr w:rsidR="00BD6129" w:rsidRPr="00F04A75" w14:paraId="3CFCCC02" w14:textId="77777777" w:rsidTr="00BD6129">
        <w:trPr>
          <w:cantSplit/>
          <w:trHeight w:val="360"/>
        </w:trPr>
        <w:tc>
          <w:tcPr>
            <w:tcW w:w="9060" w:type="dxa"/>
            <w:gridSpan w:val="6"/>
            <w:tcBorders>
              <w:top w:val="single" w:sz="4" w:space="0" w:color="auto"/>
              <w:left w:val="single" w:sz="4" w:space="0" w:color="auto"/>
              <w:bottom w:val="single" w:sz="4" w:space="0" w:color="auto"/>
              <w:right w:val="single" w:sz="4" w:space="0" w:color="auto"/>
            </w:tcBorders>
            <w:hideMark/>
          </w:tcPr>
          <w:p w14:paraId="7311142D" w14:textId="77777777" w:rsidR="00BD6129" w:rsidRPr="00F04A75" w:rsidRDefault="00BD6129" w:rsidP="000C5072">
            <w:pPr>
              <w:spacing w:line="256" w:lineRule="auto"/>
              <w:rPr>
                <w:rFonts w:ascii="Arial Narrow" w:eastAsiaTheme="minorHAnsi" w:hAnsi="Arial Narrow"/>
                <w:sz w:val="18"/>
                <w:szCs w:val="18"/>
                <w:lang w:eastAsia="en-US"/>
              </w:rPr>
            </w:pPr>
            <w:proofErr w:type="spellStart"/>
            <w:r w:rsidRPr="00F04A75">
              <w:rPr>
                <w:rFonts w:ascii="Arial Narrow" w:eastAsiaTheme="minorHAnsi" w:hAnsi="Arial Narrow"/>
                <w:sz w:val="18"/>
                <w:szCs w:val="18"/>
                <w:lang w:eastAsia="en-US"/>
              </w:rPr>
              <w:t>Kyprolis</w:t>
            </w:r>
            <w:proofErr w:type="spellEnd"/>
          </w:p>
          <w:p w14:paraId="713FF091" w14:textId="77777777" w:rsidR="00BD6129" w:rsidRPr="00F04A75" w:rsidRDefault="00BD6129" w:rsidP="000C5072">
            <w:pPr>
              <w:spacing w:line="256" w:lineRule="auto"/>
              <w:rPr>
                <w:rFonts w:ascii="Arial Narrow" w:eastAsiaTheme="minorHAnsi" w:hAnsi="Arial Narrow"/>
                <w:sz w:val="18"/>
                <w:szCs w:val="18"/>
                <w:lang w:eastAsia="en-US"/>
              </w:rPr>
            </w:pPr>
            <w:r w:rsidRPr="00F04A75">
              <w:rPr>
                <w:rFonts w:ascii="Arial Narrow" w:eastAsiaTheme="minorHAnsi" w:hAnsi="Arial Narrow"/>
                <w:sz w:val="18"/>
                <w:szCs w:val="18"/>
                <w:lang w:eastAsia="en-US"/>
              </w:rPr>
              <w:t>(carfilzomib 60 mg injection, 1 vial)</w:t>
            </w:r>
          </w:p>
        </w:tc>
      </w:tr>
    </w:tbl>
    <w:p w14:paraId="6F4B9DC8" w14:textId="065D2A77" w:rsidR="00BD6129" w:rsidRPr="00F04A75" w:rsidRDefault="00BD6129" w:rsidP="007E3BB7">
      <w:pPr>
        <w:pStyle w:val="TableFigureFooter"/>
      </w:pPr>
      <w:r w:rsidRPr="00F04A75">
        <w:t xml:space="preserve">1. The effective price per milligram, corresponding to the published price times the agreed </w:t>
      </w:r>
      <w:proofErr w:type="gramStart"/>
      <w:r w:rsidR="000960C3" w:rsidRPr="002941CE">
        <w:rPr>
          <w:color w:val="000000"/>
          <w:spacing w:val="40"/>
          <w:shd w:val="solid" w:color="000000" w:fill="000000"/>
          <w:fitText w:val="280" w:id="-1506043889"/>
          <w14:textFill>
            <w14:solidFill>
              <w14:srgbClr w14:val="000000">
                <w14:alpha w14:val="100000"/>
              </w14:srgbClr>
            </w14:solidFill>
          </w14:textFill>
        </w:rPr>
        <w:t xml:space="preserve">|  </w:t>
      </w:r>
      <w:r w:rsidR="000960C3" w:rsidRPr="002941CE">
        <w:rPr>
          <w:color w:val="000000"/>
          <w:spacing w:val="2"/>
          <w:shd w:val="solid" w:color="000000" w:fill="000000"/>
          <w:fitText w:val="280" w:id="-1506043889"/>
          <w14:textFill>
            <w14:solidFill>
              <w14:srgbClr w14:val="000000">
                <w14:alpha w14:val="100000"/>
              </w14:srgbClr>
            </w14:solidFill>
          </w14:textFill>
        </w:rPr>
        <w:t>|</w:t>
      </w:r>
      <w:proofErr w:type="gramEnd"/>
      <w:r w:rsidRPr="00F04A75">
        <w:t>% rebate, used to estimate the effective DPMA was presented by the resubmission in the economic model in Section 3 but not in the main body of the resubmission.</w:t>
      </w:r>
    </w:p>
    <w:p w14:paraId="1B608974" w14:textId="77777777" w:rsidR="00BD6129" w:rsidRPr="00F04A75" w:rsidRDefault="00BD6129" w:rsidP="00BD6129">
      <w:pPr>
        <w:keepNext/>
        <w:spacing w:after="120"/>
        <w:rPr>
          <w:rFonts w:ascii="Arial Narrow" w:hAnsi="Arial Narrow"/>
          <w:b/>
          <w:sz w:val="20"/>
        </w:rPr>
      </w:pPr>
      <w:r w:rsidRPr="00F04A75">
        <w:rPr>
          <w:rFonts w:ascii="Arial Narrow" w:hAnsi="Arial Narrow"/>
          <w:b/>
          <w:sz w:val="20"/>
        </w:rPr>
        <w:t>Restriction Summary [new] / Treatment of Concept: [new]</w:t>
      </w:r>
    </w:p>
    <w:tbl>
      <w:tblPr>
        <w:tblW w:w="5028"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271"/>
        <w:gridCol w:w="7796"/>
      </w:tblGrid>
      <w:tr w:rsidR="00BD6129" w:rsidRPr="00F04A75" w14:paraId="0E8554B4" w14:textId="77777777" w:rsidTr="000C5072">
        <w:tc>
          <w:tcPr>
            <w:tcW w:w="701"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28" w:type="dxa"/>
              <w:bottom w:w="0" w:type="dxa"/>
              <w:right w:w="28" w:type="dxa"/>
            </w:tcMar>
          </w:tcPr>
          <w:p w14:paraId="57F9CD38" w14:textId="5A0A4774" w:rsidR="00BD6129" w:rsidRPr="00F04A75" w:rsidRDefault="00BD6129" w:rsidP="000C5072">
            <w:pPr>
              <w:keepNext/>
              <w:spacing w:line="256" w:lineRule="auto"/>
              <w:jc w:val="center"/>
              <w:rPr>
                <w:rFonts w:ascii="Arial Narrow" w:hAnsi="Arial Narrow"/>
                <w:color w:val="000000"/>
                <w:sz w:val="20"/>
                <w:lang w:eastAsia="en-US"/>
              </w:rPr>
            </w:pPr>
          </w:p>
        </w:tc>
        <w:tc>
          <w:tcPr>
            <w:tcW w:w="429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28" w:type="dxa"/>
              <w:bottom w:w="0" w:type="dxa"/>
              <w:right w:w="28" w:type="dxa"/>
            </w:tcMar>
            <w:hideMark/>
          </w:tcPr>
          <w:p w14:paraId="2542CB7E" w14:textId="77777777" w:rsidR="00BD6129" w:rsidRPr="00F04A75" w:rsidRDefault="00BD6129" w:rsidP="000C5072">
            <w:pPr>
              <w:keepNext/>
              <w:spacing w:line="256" w:lineRule="auto"/>
              <w:jc w:val="left"/>
              <w:rPr>
                <w:rFonts w:ascii="Arial Narrow" w:hAnsi="Arial Narrow"/>
                <w:b/>
                <w:color w:val="000000"/>
                <w:sz w:val="20"/>
                <w:highlight w:val="yellow"/>
                <w:lang w:eastAsia="en-US"/>
              </w:rPr>
            </w:pPr>
            <w:r w:rsidRPr="00F04A75">
              <w:rPr>
                <w:rFonts w:ascii="Arial Narrow" w:hAnsi="Arial Narrow"/>
                <w:b/>
                <w:bCs/>
                <w:color w:val="000000"/>
                <w:sz w:val="20"/>
                <w:lang w:eastAsia="en-US"/>
              </w:rPr>
              <w:t xml:space="preserve">Category/Program: </w:t>
            </w:r>
            <w:r w:rsidRPr="00F04A75">
              <w:rPr>
                <w:rFonts w:ascii="Arial Narrow" w:hAnsi="Arial Narrow"/>
                <w:bCs/>
                <w:color w:val="000000"/>
                <w:sz w:val="20"/>
                <w:lang w:eastAsia="en-US"/>
              </w:rPr>
              <w:t>Section 100 (Efficient Funding of Chemotherapy)</w:t>
            </w:r>
          </w:p>
        </w:tc>
      </w:tr>
      <w:tr w:rsidR="00BD6129" w:rsidRPr="00F04A75" w14:paraId="4D23C211" w14:textId="77777777" w:rsidTr="003B5756">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0F2C26" w14:textId="77777777" w:rsidR="00BD6129" w:rsidRPr="00F04A75" w:rsidRDefault="00BD6129" w:rsidP="000C5072">
            <w:pPr>
              <w:spacing w:line="256" w:lineRule="auto"/>
              <w:jc w:val="left"/>
              <w:rPr>
                <w:rFonts w:ascii="Arial Narrow" w:hAnsi="Arial Narrow"/>
                <w:color w:val="000000"/>
                <w:sz w:val="20"/>
                <w:lang w:eastAsia="en-US"/>
              </w:rPr>
            </w:pPr>
          </w:p>
        </w:tc>
        <w:tc>
          <w:tcPr>
            <w:tcW w:w="429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28" w:type="dxa"/>
              <w:bottom w:w="0" w:type="dxa"/>
              <w:right w:w="28" w:type="dxa"/>
            </w:tcMar>
            <w:hideMark/>
          </w:tcPr>
          <w:p w14:paraId="5D1D6E77" w14:textId="77777777" w:rsidR="00BD6129" w:rsidRPr="00F04A75" w:rsidRDefault="00BD6129" w:rsidP="000C5072">
            <w:pPr>
              <w:keepNext/>
              <w:spacing w:line="256" w:lineRule="auto"/>
              <w:jc w:val="left"/>
              <w:rPr>
                <w:rFonts w:ascii="Arial Narrow" w:hAnsi="Arial Narrow"/>
                <w:bCs/>
                <w:color w:val="000000"/>
                <w:sz w:val="20"/>
                <w:highlight w:val="yellow"/>
                <w:lang w:eastAsia="en-US"/>
              </w:rPr>
            </w:pPr>
            <w:r w:rsidRPr="00F04A75">
              <w:rPr>
                <w:rFonts w:ascii="Arial Narrow" w:hAnsi="Arial Narrow"/>
                <w:b/>
                <w:bCs/>
                <w:color w:val="000000"/>
                <w:sz w:val="20"/>
                <w:lang w:eastAsia="en-US"/>
              </w:rPr>
              <w:t xml:space="preserve">Prescriber type: </w:t>
            </w:r>
            <w:r w:rsidRPr="00F04A75">
              <w:rPr>
                <w:lang w:eastAsia="en-US"/>
              </w:rPr>
              <w:fldChar w:fldCharType="begin">
                <w:ffData>
                  <w:name w:val=""/>
                  <w:enabled/>
                  <w:calcOnExit w:val="0"/>
                  <w:checkBox>
                    <w:sizeAuto/>
                    <w:default w:val="1"/>
                  </w:checkBox>
                </w:ffData>
              </w:fldChar>
            </w:r>
            <w:r w:rsidRPr="00F04A75">
              <w:rPr>
                <w:rFonts w:ascii="Arial Narrow" w:hAnsi="Arial Narrow"/>
                <w:bCs/>
                <w:color w:val="000000"/>
                <w:sz w:val="20"/>
                <w:lang w:eastAsia="en-US"/>
              </w:rPr>
              <w:instrText xml:space="preserve"> FORMCHECKBOX </w:instrText>
            </w:r>
            <w:r w:rsidR="00443BC9">
              <w:rPr>
                <w:lang w:eastAsia="en-US"/>
              </w:rPr>
            </w:r>
            <w:r w:rsidR="00443BC9">
              <w:rPr>
                <w:lang w:eastAsia="en-US"/>
              </w:rPr>
              <w:fldChar w:fldCharType="separate"/>
            </w:r>
            <w:r w:rsidRPr="00F04A75">
              <w:rPr>
                <w:lang w:eastAsia="en-US"/>
              </w:rPr>
              <w:fldChar w:fldCharType="end"/>
            </w:r>
            <w:r w:rsidRPr="00F04A75">
              <w:rPr>
                <w:rFonts w:ascii="Arial Narrow" w:hAnsi="Arial Narrow"/>
                <w:bCs/>
                <w:color w:val="000000"/>
                <w:sz w:val="20"/>
                <w:lang w:eastAsia="en-US"/>
              </w:rPr>
              <w:t xml:space="preserve">Medical Practitioners </w:t>
            </w:r>
          </w:p>
        </w:tc>
      </w:tr>
      <w:tr w:rsidR="00BD6129" w:rsidRPr="00F04A75" w14:paraId="1308C36D" w14:textId="77777777" w:rsidTr="003B5756">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D8E329" w14:textId="77777777" w:rsidR="00BD6129" w:rsidRPr="00F04A75" w:rsidRDefault="00BD6129" w:rsidP="000C5072">
            <w:pPr>
              <w:spacing w:line="256" w:lineRule="auto"/>
              <w:jc w:val="left"/>
              <w:rPr>
                <w:rFonts w:ascii="Arial Narrow" w:hAnsi="Arial Narrow"/>
                <w:color w:val="000000"/>
                <w:sz w:val="20"/>
                <w:lang w:eastAsia="en-US"/>
              </w:rPr>
            </w:pPr>
          </w:p>
        </w:tc>
        <w:tc>
          <w:tcPr>
            <w:tcW w:w="4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hideMark/>
          </w:tcPr>
          <w:p w14:paraId="6E8F85B1" w14:textId="77777777" w:rsidR="00BD6129" w:rsidRPr="00F04A75" w:rsidRDefault="00BD6129" w:rsidP="000C5072">
            <w:pPr>
              <w:keepNext/>
              <w:spacing w:line="256" w:lineRule="auto"/>
              <w:jc w:val="left"/>
              <w:rPr>
                <w:rFonts w:ascii="Arial Narrow" w:hAnsi="Arial Narrow"/>
                <w:b/>
                <w:bCs/>
                <w:color w:val="000000"/>
                <w:sz w:val="20"/>
                <w:lang w:eastAsia="en-US"/>
              </w:rPr>
            </w:pPr>
            <w:r w:rsidRPr="00F04A75">
              <w:rPr>
                <w:rFonts w:ascii="Arial Narrow" w:hAnsi="Arial Narrow"/>
                <w:b/>
                <w:bCs/>
                <w:color w:val="000000"/>
                <w:sz w:val="20"/>
                <w:lang w:eastAsia="en-US"/>
              </w:rPr>
              <w:t xml:space="preserve">Restriction type / Method: </w:t>
            </w:r>
            <w:r w:rsidRPr="00F04A75">
              <w:rPr>
                <w:lang w:eastAsia="en-US"/>
              </w:rPr>
              <w:fldChar w:fldCharType="begin">
                <w:ffData>
                  <w:name w:val="Check3"/>
                  <w:enabled/>
                  <w:calcOnExit w:val="0"/>
                  <w:checkBox>
                    <w:sizeAuto/>
                    <w:default w:val="1"/>
                  </w:checkBox>
                </w:ffData>
              </w:fldChar>
            </w:r>
            <w:r w:rsidRPr="00F04A75">
              <w:rPr>
                <w:rFonts w:ascii="Arial Narrow" w:hAnsi="Arial Narrow"/>
                <w:bCs/>
                <w:color w:val="000000"/>
                <w:sz w:val="20"/>
                <w:lang w:eastAsia="en-US"/>
              </w:rPr>
              <w:instrText xml:space="preserve"> FORMCHECKBOX </w:instrText>
            </w:r>
            <w:r w:rsidR="00443BC9">
              <w:rPr>
                <w:lang w:eastAsia="en-US"/>
              </w:rPr>
            </w:r>
            <w:r w:rsidR="00443BC9">
              <w:rPr>
                <w:lang w:eastAsia="en-US"/>
              </w:rPr>
              <w:fldChar w:fldCharType="separate"/>
            </w:r>
            <w:r w:rsidRPr="00F04A75">
              <w:rPr>
                <w:lang w:eastAsia="en-US"/>
              </w:rPr>
              <w:fldChar w:fldCharType="end"/>
            </w:r>
            <w:r w:rsidRPr="00F04A75">
              <w:rPr>
                <w:rFonts w:ascii="Arial Narrow" w:hAnsi="Arial Narrow"/>
                <w:bCs/>
                <w:color w:val="000000"/>
                <w:sz w:val="20"/>
                <w:lang w:eastAsia="en-US"/>
              </w:rPr>
              <w:t>Authority Required - STREAMLINED</w:t>
            </w:r>
          </w:p>
        </w:tc>
      </w:tr>
      <w:tr w:rsidR="00BD6129" w:rsidRPr="00F04A75" w14:paraId="436BACAB" w14:textId="77777777" w:rsidTr="003B5756">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3DE445" w14:textId="77777777" w:rsidR="00BD6129" w:rsidRPr="00F04A75" w:rsidRDefault="00BD6129" w:rsidP="000C5072">
            <w:pPr>
              <w:spacing w:line="256" w:lineRule="auto"/>
              <w:jc w:val="left"/>
              <w:rPr>
                <w:rFonts w:ascii="Arial Narrow" w:hAnsi="Arial Narrow"/>
                <w:color w:val="000000"/>
                <w:sz w:val="20"/>
                <w:lang w:eastAsia="en-US"/>
              </w:rPr>
            </w:pPr>
          </w:p>
        </w:tc>
        <w:tc>
          <w:tcPr>
            <w:tcW w:w="4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hideMark/>
          </w:tcPr>
          <w:p w14:paraId="2B6B0355" w14:textId="77777777" w:rsidR="00BD6129" w:rsidRPr="00F04A75" w:rsidRDefault="00BD6129" w:rsidP="000C5072">
            <w:pPr>
              <w:spacing w:line="256" w:lineRule="auto"/>
              <w:jc w:val="left"/>
              <w:rPr>
                <w:rFonts w:ascii="Arial Narrow" w:hAnsi="Arial Narrow"/>
                <w:bCs/>
                <w:i/>
                <w:color w:val="000000"/>
                <w:sz w:val="20"/>
                <w:lang w:eastAsia="en-US"/>
              </w:rPr>
            </w:pPr>
            <w:proofErr w:type="spellStart"/>
            <w:r w:rsidRPr="00F04A75">
              <w:rPr>
                <w:rFonts w:ascii="Arial Narrow" w:hAnsi="Arial Narrow"/>
                <w:b/>
                <w:bCs/>
                <w:color w:val="000000"/>
                <w:sz w:val="20"/>
                <w:lang w:eastAsia="en-US"/>
              </w:rPr>
              <w:t>Episodicity</w:t>
            </w:r>
            <w:proofErr w:type="spellEnd"/>
            <w:r w:rsidRPr="00F04A75">
              <w:rPr>
                <w:rFonts w:ascii="Arial Narrow" w:hAnsi="Arial Narrow"/>
                <w:b/>
                <w:bCs/>
                <w:color w:val="000000"/>
                <w:sz w:val="20"/>
                <w:lang w:eastAsia="en-US"/>
              </w:rPr>
              <w:t xml:space="preserve">: </w:t>
            </w:r>
            <w:r w:rsidRPr="00F04A75">
              <w:rPr>
                <w:rFonts w:ascii="Arial Narrow" w:hAnsi="Arial Narrow"/>
                <w:bCs/>
                <w:iCs/>
                <w:color w:val="000000"/>
                <w:sz w:val="20"/>
                <w:lang w:eastAsia="en-US"/>
              </w:rPr>
              <w:t>Relapsed and/or refractory</w:t>
            </w:r>
          </w:p>
        </w:tc>
      </w:tr>
      <w:tr w:rsidR="00BD6129" w:rsidRPr="00F04A75" w14:paraId="677AFD5A" w14:textId="77777777" w:rsidTr="003B5756">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CBFF54" w14:textId="77777777" w:rsidR="00BD6129" w:rsidRPr="00F04A75" w:rsidRDefault="00BD6129" w:rsidP="000C5072">
            <w:pPr>
              <w:spacing w:line="256" w:lineRule="auto"/>
              <w:jc w:val="left"/>
              <w:rPr>
                <w:rFonts w:ascii="Arial Narrow" w:hAnsi="Arial Narrow"/>
                <w:color w:val="000000"/>
                <w:sz w:val="20"/>
                <w:lang w:eastAsia="en-US"/>
              </w:rPr>
            </w:pPr>
          </w:p>
        </w:tc>
        <w:tc>
          <w:tcPr>
            <w:tcW w:w="4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hideMark/>
          </w:tcPr>
          <w:p w14:paraId="710EFFDF" w14:textId="77777777" w:rsidR="00BD6129" w:rsidRPr="00F04A75" w:rsidRDefault="00BD6129" w:rsidP="000C5072">
            <w:pPr>
              <w:spacing w:line="256" w:lineRule="auto"/>
              <w:jc w:val="left"/>
              <w:rPr>
                <w:rFonts w:ascii="Arial Narrow" w:hAnsi="Arial Narrow"/>
                <w:color w:val="000000"/>
                <w:sz w:val="20"/>
                <w:lang w:eastAsia="en-US"/>
              </w:rPr>
            </w:pPr>
            <w:r w:rsidRPr="00F04A75">
              <w:rPr>
                <w:rFonts w:ascii="Arial Narrow" w:hAnsi="Arial Narrow"/>
                <w:b/>
                <w:bCs/>
                <w:color w:val="000000"/>
                <w:sz w:val="20"/>
                <w:lang w:eastAsia="en-US"/>
              </w:rPr>
              <w:t xml:space="preserve">Condition: </w:t>
            </w:r>
            <w:r w:rsidRPr="00F04A75">
              <w:rPr>
                <w:rFonts w:ascii="Arial Narrow" w:hAnsi="Arial Narrow"/>
                <w:bCs/>
                <w:color w:val="000000"/>
                <w:sz w:val="20"/>
                <w:lang w:eastAsia="en-US"/>
              </w:rPr>
              <w:t xml:space="preserve">Multiple myeloma </w:t>
            </w:r>
          </w:p>
        </w:tc>
      </w:tr>
      <w:tr w:rsidR="00BD6129" w:rsidRPr="00F04A75" w14:paraId="407ED0FC" w14:textId="77777777" w:rsidTr="003B5756">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tcPr>
          <w:p w14:paraId="745662E6" w14:textId="576413CB" w:rsidR="00BD6129" w:rsidRPr="00F04A75" w:rsidRDefault="00BD6129" w:rsidP="000C5072">
            <w:pPr>
              <w:spacing w:line="256" w:lineRule="auto"/>
              <w:jc w:val="center"/>
              <w:rPr>
                <w:rFonts w:ascii="Arial Narrow" w:hAnsi="Arial Narrow"/>
                <w:color w:val="000000"/>
                <w:sz w:val="20"/>
                <w:lang w:eastAsia="en-US"/>
              </w:rPr>
            </w:pPr>
          </w:p>
        </w:tc>
        <w:tc>
          <w:tcPr>
            <w:tcW w:w="4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hideMark/>
          </w:tcPr>
          <w:p w14:paraId="311CFF67" w14:textId="77777777" w:rsidR="00BD6129" w:rsidRPr="00F04A75" w:rsidRDefault="00BD6129" w:rsidP="000C5072">
            <w:pPr>
              <w:spacing w:line="256" w:lineRule="auto"/>
              <w:jc w:val="left"/>
              <w:rPr>
                <w:rFonts w:ascii="Arial Narrow" w:hAnsi="Arial Narrow"/>
                <w:color w:val="000000"/>
                <w:sz w:val="20"/>
                <w:lang w:eastAsia="en-US"/>
              </w:rPr>
            </w:pPr>
            <w:r w:rsidRPr="00F04A75">
              <w:rPr>
                <w:rFonts w:ascii="Arial Narrow" w:hAnsi="Arial Narrow"/>
                <w:b/>
                <w:bCs/>
                <w:color w:val="000000"/>
                <w:sz w:val="20"/>
                <w:lang w:eastAsia="en-US"/>
              </w:rPr>
              <w:t xml:space="preserve">PBS Indication: </w:t>
            </w:r>
            <w:r w:rsidRPr="00F04A75">
              <w:rPr>
                <w:rFonts w:ascii="Arial Narrow" w:hAnsi="Arial Narrow"/>
                <w:bCs/>
                <w:color w:val="000000"/>
                <w:sz w:val="20"/>
                <w:lang w:eastAsia="en-US"/>
              </w:rPr>
              <w:t xml:space="preserve">Relapsed </w:t>
            </w:r>
            <w:r w:rsidRPr="00F04A75">
              <w:rPr>
                <w:rFonts w:ascii="Arial Narrow" w:hAnsi="Arial Narrow"/>
                <w:bCs/>
                <w:iCs/>
                <w:color w:val="000000"/>
                <w:sz w:val="20"/>
                <w:lang w:eastAsia="en-US"/>
              </w:rPr>
              <w:t>and/or</w:t>
            </w:r>
            <w:r w:rsidRPr="00F04A75">
              <w:rPr>
                <w:rFonts w:ascii="Arial Narrow" w:hAnsi="Arial Narrow"/>
                <w:bCs/>
                <w:color w:val="000000"/>
                <w:sz w:val="20"/>
                <w:lang w:eastAsia="en-US"/>
              </w:rPr>
              <w:t xml:space="preserve"> refractory multiple myeloma </w:t>
            </w:r>
          </w:p>
        </w:tc>
      </w:tr>
      <w:tr w:rsidR="00BD6129" w:rsidRPr="00F04A75" w14:paraId="631F5F15" w14:textId="77777777" w:rsidTr="000C5072">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tcPr>
          <w:p w14:paraId="5C2420B9" w14:textId="77777777" w:rsidR="00BD6129" w:rsidRPr="00F04A75" w:rsidRDefault="00BD6129" w:rsidP="000C5072">
            <w:pPr>
              <w:spacing w:line="256" w:lineRule="auto"/>
              <w:jc w:val="left"/>
              <w:rPr>
                <w:rFonts w:ascii="Arial Narrow" w:hAnsi="Arial Narrow"/>
                <w:b/>
                <w:color w:val="000000"/>
                <w:sz w:val="20"/>
                <w:lang w:eastAsia="en-US"/>
              </w:rPr>
            </w:pPr>
          </w:p>
        </w:tc>
        <w:tc>
          <w:tcPr>
            <w:tcW w:w="4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hideMark/>
          </w:tcPr>
          <w:p w14:paraId="7108367D" w14:textId="77777777" w:rsidR="00BD6129" w:rsidRPr="00F04A75" w:rsidRDefault="00BD6129" w:rsidP="000C5072">
            <w:pPr>
              <w:spacing w:line="256" w:lineRule="auto"/>
              <w:jc w:val="left"/>
              <w:rPr>
                <w:rFonts w:ascii="Arial Narrow" w:hAnsi="Arial Narrow"/>
                <w:i/>
                <w:color w:val="000000"/>
                <w:sz w:val="20"/>
                <w:lang w:eastAsia="en-US"/>
              </w:rPr>
            </w:pPr>
            <w:r w:rsidRPr="00F04A75">
              <w:rPr>
                <w:rFonts w:ascii="Arial Narrow" w:hAnsi="Arial Narrow"/>
                <w:b/>
                <w:bCs/>
                <w:color w:val="000000"/>
                <w:sz w:val="20"/>
                <w:lang w:eastAsia="en-US"/>
              </w:rPr>
              <w:t xml:space="preserve">Treatment phase: </w:t>
            </w:r>
            <w:r w:rsidRPr="00F04A75">
              <w:rPr>
                <w:rFonts w:ascii="Arial Narrow" w:hAnsi="Arial Narrow"/>
                <w:bCs/>
                <w:color w:val="000000"/>
                <w:sz w:val="20"/>
                <w:lang w:eastAsia="en-US"/>
              </w:rPr>
              <w:t xml:space="preserve">Initial treatment for Cycles 1 to </w:t>
            </w:r>
            <w:r w:rsidRPr="00F04A75">
              <w:rPr>
                <w:rFonts w:ascii="Arial Narrow" w:hAnsi="Arial Narrow"/>
                <w:bCs/>
                <w:strike/>
                <w:color w:val="000000"/>
                <w:sz w:val="20"/>
                <w:lang w:eastAsia="en-US"/>
              </w:rPr>
              <w:t>12</w:t>
            </w:r>
            <w:r w:rsidRPr="00F04A75">
              <w:rPr>
                <w:rFonts w:ascii="Arial Narrow" w:hAnsi="Arial Narrow"/>
                <w:bCs/>
                <w:color w:val="000000"/>
                <w:sz w:val="20"/>
                <w:lang w:eastAsia="en-US"/>
              </w:rPr>
              <w:t xml:space="preserve"> </w:t>
            </w:r>
            <w:r w:rsidRPr="00F04A75">
              <w:rPr>
                <w:rFonts w:ascii="Arial Narrow" w:hAnsi="Arial Narrow"/>
                <w:bCs/>
                <w:i/>
                <w:iCs/>
                <w:color w:val="000000"/>
                <w:sz w:val="20"/>
                <w:lang w:eastAsia="en-US"/>
              </w:rPr>
              <w:t>3</w:t>
            </w:r>
          </w:p>
        </w:tc>
      </w:tr>
      <w:tr w:rsidR="00BD6129" w:rsidRPr="00F04A75" w14:paraId="6CF68277" w14:textId="77777777" w:rsidTr="003B5756">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tcPr>
          <w:p w14:paraId="458F8444" w14:textId="355826BE" w:rsidR="00BD6129" w:rsidRPr="00F04A75" w:rsidRDefault="00BD6129" w:rsidP="000C5072">
            <w:pPr>
              <w:spacing w:line="256" w:lineRule="auto"/>
              <w:jc w:val="center"/>
              <w:rPr>
                <w:rFonts w:ascii="Arial Narrow" w:hAnsi="Arial Narrow"/>
                <w:color w:val="000000"/>
                <w:sz w:val="20"/>
                <w:lang w:eastAsia="en-US"/>
              </w:rPr>
            </w:pPr>
          </w:p>
        </w:tc>
        <w:tc>
          <w:tcPr>
            <w:tcW w:w="4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hideMark/>
          </w:tcPr>
          <w:p w14:paraId="2DD2042A" w14:textId="77777777" w:rsidR="00BD6129" w:rsidRPr="00F04A75" w:rsidRDefault="00BD6129" w:rsidP="000C5072">
            <w:pPr>
              <w:spacing w:line="256" w:lineRule="auto"/>
              <w:jc w:val="left"/>
              <w:rPr>
                <w:rFonts w:ascii="Arial Narrow" w:hAnsi="Arial Narrow"/>
                <w:b/>
                <w:bCs/>
                <w:color w:val="000000"/>
                <w:sz w:val="20"/>
                <w:lang w:eastAsia="en-US"/>
              </w:rPr>
            </w:pPr>
            <w:r w:rsidRPr="00F04A75">
              <w:rPr>
                <w:rFonts w:ascii="Arial Narrow" w:hAnsi="Arial Narrow"/>
                <w:b/>
                <w:bCs/>
                <w:color w:val="000000"/>
                <w:sz w:val="20"/>
                <w:lang w:eastAsia="en-US"/>
              </w:rPr>
              <w:t>Clinical criteria:</w:t>
            </w:r>
          </w:p>
        </w:tc>
      </w:tr>
      <w:tr w:rsidR="00BD6129" w:rsidRPr="00F04A75" w14:paraId="162E23DB" w14:textId="77777777" w:rsidTr="003B5756">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tcPr>
          <w:p w14:paraId="47F80CCF" w14:textId="11D31241" w:rsidR="00BD6129" w:rsidRPr="00F04A75" w:rsidRDefault="00BD6129" w:rsidP="000C5072">
            <w:pPr>
              <w:spacing w:line="256" w:lineRule="auto"/>
              <w:jc w:val="center"/>
              <w:rPr>
                <w:rFonts w:ascii="Arial Narrow" w:hAnsi="Arial Narrow"/>
                <w:color w:val="000000"/>
                <w:sz w:val="20"/>
                <w:lang w:eastAsia="en-US"/>
              </w:rPr>
            </w:pPr>
          </w:p>
        </w:tc>
        <w:tc>
          <w:tcPr>
            <w:tcW w:w="4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hideMark/>
          </w:tcPr>
          <w:p w14:paraId="12104B87" w14:textId="77777777" w:rsidR="00BD6129" w:rsidRPr="00F04A75" w:rsidRDefault="00BD6129" w:rsidP="000C5072">
            <w:pPr>
              <w:spacing w:line="256" w:lineRule="auto"/>
              <w:jc w:val="left"/>
              <w:rPr>
                <w:rFonts w:ascii="Arial Narrow" w:hAnsi="Arial Narrow"/>
                <w:bCs/>
                <w:color w:val="000000"/>
                <w:sz w:val="20"/>
                <w:lang w:eastAsia="en-US"/>
              </w:rPr>
            </w:pPr>
            <w:r w:rsidRPr="00F04A75">
              <w:rPr>
                <w:rFonts w:ascii="Arial Narrow" w:hAnsi="Arial Narrow"/>
                <w:bCs/>
                <w:color w:val="000000"/>
                <w:sz w:val="20"/>
                <w:lang w:eastAsia="en-US"/>
              </w:rPr>
              <w:t>The condition must be confirmed by a histological diagnosis,</w:t>
            </w:r>
          </w:p>
        </w:tc>
      </w:tr>
      <w:tr w:rsidR="00BD6129" w:rsidRPr="00F04A75" w14:paraId="6FCE9D0A" w14:textId="77777777" w:rsidTr="000C5072">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tcPr>
          <w:p w14:paraId="032249AD" w14:textId="77777777" w:rsidR="00BD6129" w:rsidRPr="00F04A75" w:rsidRDefault="00BD6129" w:rsidP="000C5072">
            <w:pPr>
              <w:spacing w:line="256" w:lineRule="auto"/>
              <w:jc w:val="center"/>
              <w:rPr>
                <w:rFonts w:ascii="Arial Narrow" w:hAnsi="Arial Narrow"/>
                <w:color w:val="000000"/>
                <w:sz w:val="20"/>
                <w:lang w:eastAsia="en-US"/>
              </w:rPr>
            </w:pPr>
          </w:p>
        </w:tc>
        <w:tc>
          <w:tcPr>
            <w:tcW w:w="4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hideMark/>
          </w:tcPr>
          <w:p w14:paraId="55711F67" w14:textId="77777777" w:rsidR="00BD6129" w:rsidRPr="00F04A75" w:rsidRDefault="00BD6129" w:rsidP="000C5072">
            <w:pPr>
              <w:spacing w:line="256" w:lineRule="auto"/>
              <w:jc w:val="left"/>
              <w:rPr>
                <w:rFonts w:ascii="Arial Narrow" w:hAnsi="Arial Narrow"/>
                <w:b/>
                <w:bCs/>
                <w:color w:val="000000"/>
                <w:sz w:val="20"/>
                <w:lang w:eastAsia="en-US"/>
              </w:rPr>
            </w:pPr>
            <w:r w:rsidRPr="00F04A75">
              <w:rPr>
                <w:rFonts w:ascii="Arial Narrow" w:hAnsi="Arial Narrow"/>
                <w:b/>
                <w:bCs/>
                <w:color w:val="000000"/>
                <w:sz w:val="20"/>
                <w:lang w:eastAsia="en-US"/>
              </w:rPr>
              <w:t>AND</w:t>
            </w:r>
          </w:p>
        </w:tc>
      </w:tr>
      <w:tr w:rsidR="00BD6129" w:rsidRPr="00F04A75" w14:paraId="3669929D" w14:textId="77777777" w:rsidTr="003B5756">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tcPr>
          <w:p w14:paraId="646B8BAE" w14:textId="6970092C" w:rsidR="00BD6129" w:rsidRPr="00F04A75" w:rsidRDefault="00BD6129" w:rsidP="000C5072">
            <w:pPr>
              <w:spacing w:line="256" w:lineRule="auto"/>
              <w:jc w:val="center"/>
              <w:rPr>
                <w:rFonts w:ascii="Arial Narrow" w:hAnsi="Arial Narrow"/>
                <w:color w:val="000000"/>
                <w:sz w:val="20"/>
                <w:lang w:eastAsia="en-US"/>
              </w:rPr>
            </w:pPr>
          </w:p>
        </w:tc>
        <w:tc>
          <w:tcPr>
            <w:tcW w:w="4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hideMark/>
          </w:tcPr>
          <w:p w14:paraId="0CDA8694" w14:textId="77777777" w:rsidR="00BD6129" w:rsidRPr="00F04A75" w:rsidRDefault="00BD6129" w:rsidP="000C5072">
            <w:pPr>
              <w:spacing w:line="256" w:lineRule="auto"/>
              <w:jc w:val="left"/>
              <w:rPr>
                <w:rFonts w:ascii="Arial Narrow" w:hAnsi="Arial Narrow"/>
                <w:b/>
                <w:bCs/>
                <w:color w:val="000000"/>
                <w:sz w:val="20"/>
                <w:lang w:eastAsia="en-US"/>
              </w:rPr>
            </w:pPr>
            <w:r w:rsidRPr="00F04A75">
              <w:rPr>
                <w:rFonts w:ascii="Arial Narrow" w:hAnsi="Arial Narrow"/>
                <w:b/>
                <w:bCs/>
                <w:color w:val="000000"/>
                <w:sz w:val="20"/>
                <w:lang w:eastAsia="en-US"/>
              </w:rPr>
              <w:t>Clinical criteria:</w:t>
            </w:r>
          </w:p>
        </w:tc>
      </w:tr>
      <w:tr w:rsidR="00BD6129" w:rsidRPr="00F04A75" w14:paraId="6AA990EF" w14:textId="77777777" w:rsidTr="003B5756">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tcPr>
          <w:p w14:paraId="0B2A6961" w14:textId="0A1CDAB8" w:rsidR="00BD6129" w:rsidRPr="00F04A75" w:rsidRDefault="00BD6129" w:rsidP="000C5072">
            <w:pPr>
              <w:spacing w:line="256" w:lineRule="auto"/>
              <w:jc w:val="center"/>
              <w:rPr>
                <w:rFonts w:ascii="Arial Narrow" w:hAnsi="Arial Narrow"/>
                <w:color w:val="000000"/>
                <w:sz w:val="20"/>
                <w:lang w:eastAsia="en-US"/>
              </w:rPr>
            </w:pPr>
          </w:p>
        </w:tc>
        <w:tc>
          <w:tcPr>
            <w:tcW w:w="4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hideMark/>
          </w:tcPr>
          <w:p w14:paraId="751967A1" w14:textId="77777777" w:rsidR="00BD6129" w:rsidRPr="00F04A75" w:rsidRDefault="00BD6129" w:rsidP="000C5072">
            <w:pPr>
              <w:spacing w:line="256" w:lineRule="auto"/>
              <w:jc w:val="left"/>
              <w:rPr>
                <w:rFonts w:ascii="Arial Narrow" w:hAnsi="Arial Narrow"/>
                <w:bCs/>
                <w:color w:val="000000"/>
                <w:sz w:val="20"/>
                <w:lang w:eastAsia="en-US"/>
              </w:rPr>
            </w:pPr>
            <w:r w:rsidRPr="00F04A75">
              <w:rPr>
                <w:rFonts w:ascii="Arial Narrow" w:hAnsi="Arial Narrow"/>
                <w:bCs/>
                <w:color w:val="000000"/>
                <w:sz w:val="20"/>
                <w:lang w:eastAsia="en-US"/>
              </w:rPr>
              <w:t>The treatment must be in combination with lenalidomide and dexamethasone,</w:t>
            </w:r>
          </w:p>
        </w:tc>
      </w:tr>
      <w:tr w:rsidR="00BD6129" w:rsidRPr="00F04A75" w14:paraId="24A69625" w14:textId="77777777" w:rsidTr="000C5072">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tcPr>
          <w:p w14:paraId="062A0E00" w14:textId="77777777" w:rsidR="00BD6129" w:rsidRPr="00F04A75" w:rsidRDefault="00BD6129" w:rsidP="000C5072">
            <w:pPr>
              <w:spacing w:line="256" w:lineRule="auto"/>
              <w:jc w:val="center"/>
              <w:rPr>
                <w:rFonts w:ascii="Arial Narrow" w:hAnsi="Arial Narrow"/>
                <w:color w:val="000000"/>
                <w:sz w:val="20"/>
                <w:lang w:eastAsia="en-US"/>
              </w:rPr>
            </w:pPr>
          </w:p>
        </w:tc>
        <w:tc>
          <w:tcPr>
            <w:tcW w:w="4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hideMark/>
          </w:tcPr>
          <w:p w14:paraId="1667BC11" w14:textId="77777777" w:rsidR="00BD6129" w:rsidRPr="00F04A75" w:rsidRDefault="00BD6129" w:rsidP="000C5072">
            <w:pPr>
              <w:spacing w:line="256" w:lineRule="auto"/>
              <w:jc w:val="left"/>
              <w:rPr>
                <w:rFonts w:ascii="Arial Narrow" w:hAnsi="Arial Narrow"/>
                <w:b/>
                <w:bCs/>
                <w:color w:val="000000"/>
                <w:sz w:val="20"/>
                <w:lang w:eastAsia="en-US"/>
              </w:rPr>
            </w:pPr>
            <w:r w:rsidRPr="00F04A75">
              <w:rPr>
                <w:rFonts w:ascii="Arial Narrow" w:hAnsi="Arial Narrow"/>
                <w:b/>
                <w:bCs/>
                <w:color w:val="000000"/>
                <w:sz w:val="20"/>
                <w:lang w:eastAsia="en-US"/>
              </w:rPr>
              <w:t>AND</w:t>
            </w:r>
          </w:p>
        </w:tc>
      </w:tr>
      <w:tr w:rsidR="00BD6129" w:rsidRPr="00F04A75" w14:paraId="66E94A3F" w14:textId="77777777" w:rsidTr="003B5756">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tcPr>
          <w:p w14:paraId="25DAC53C" w14:textId="0FFF7061" w:rsidR="00BD6129" w:rsidRPr="00F04A75" w:rsidRDefault="00BD6129" w:rsidP="000C5072">
            <w:pPr>
              <w:spacing w:line="256" w:lineRule="auto"/>
              <w:jc w:val="center"/>
              <w:rPr>
                <w:rFonts w:ascii="Arial Narrow" w:hAnsi="Arial Narrow"/>
                <w:color w:val="000000"/>
                <w:sz w:val="20"/>
                <w:lang w:eastAsia="en-US"/>
              </w:rPr>
            </w:pPr>
          </w:p>
        </w:tc>
        <w:tc>
          <w:tcPr>
            <w:tcW w:w="4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hideMark/>
          </w:tcPr>
          <w:p w14:paraId="54CD66B0" w14:textId="77777777" w:rsidR="00BD6129" w:rsidRPr="00F04A75" w:rsidRDefault="00BD6129" w:rsidP="000C5072">
            <w:pPr>
              <w:spacing w:line="256" w:lineRule="auto"/>
              <w:jc w:val="left"/>
              <w:rPr>
                <w:rFonts w:ascii="Arial Narrow" w:hAnsi="Arial Narrow"/>
                <w:b/>
                <w:bCs/>
                <w:color w:val="000000"/>
                <w:sz w:val="20"/>
                <w:lang w:eastAsia="en-US"/>
              </w:rPr>
            </w:pPr>
            <w:r w:rsidRPr="00F04A75">
              <w:rPr>
                <w:rFonts w:ascii="Arial Narrow" w:hAnsi="Arial Narrow"/>
                <w:b/>
                <w:bCs/>
                <w:color w:val="000000"/>
                <w:sz w:val="20"/>
                <w:lang w:eastAsia="en-US"/>
              </w:rPr>
              <w:t>Clinical criteria:</w:t>
            </w:r>
          </w:p>
        </w:tc>
      </w:tr>
      <w:tr w:rsidR="00BD6129" w:rsidRPr="00F04A75" w14:paraId="02AA712F" w14:textId="77777777" w:rsidTr="003B5756">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tcPr>
          <w:p w14:paraId="1ED24AB3" w14:textId="5587012B" w:rsidR="00BD6129" w:rsidRPr="00F04A75" w:rsidRDefault="00BD6129" w:rsidP="000C5072">
            <w:pPr>
              <w:spacing w:line="256" w:lineRule="auto"/>
              <w:jc w:val="center"/>
              <w:rPr>
                <w:rFonts w:ascii="Arial Narrow" w:hAnsi="Arial Narrow"/>
                <w:color w:val="000000"/>
                <w:sz w:val="20"/>
                <w:lang w:eastAsia="en-US"/>
              </w:rPr>
            </w:pPr>
          </w:p>
        </w:tc>
        <w:tc>
          <w:tcPr>
            <w:tcW w:w="4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hideMark/>
          </w:tcPr>
          <w:p w14:paraId="04887984" w14:textId="77777777" w:rsidR="00BD6129" w:rsidRPr="00F04A75" w:rsidRDefault="00BD6129" w:rsidP="000C5072">
            <w:pPr>
              <w:spacing w:line="256" w:lineRule="auto"/>
              <w:jc w:val="left"/>
              <w:rPr>
                <w:rFonts w:ascii="Arial Narrow" w:hAnsi="Arial Narrow"/>
                <w:bCs/>
                <w:color w:val="000000"/>
                <w:sz w:val="20"/>
                <w:lang w:eastAsia="en-US"/>
              </w:rPr>
            </w:pPr>
            <w:r w:rsidRPr="00F04A75">
              <w:rPr>
                <w:rFonts w:ascii="Arial Narrow" w:hAnsi="Arial Narrow"/>
                <w:bCs/>
                <w:color w:val="000000"/>
                <w:sz w:val="20"/>
                <w:lang w:eastAsia="en-US"/>
              </w:rPr>
              <w:t>Patient must have progressive disease after at least one prior therapy,</w:t>
            </w:r>
          </w:p>
        </w:tc>
      </w:tr>
      <w:tr w:rsidR="00BD6129" w:rsidRPr="00F04A75" w14:paraId="7EFC96C7" w14:textId="77777777" w:rsidTr="000C5072">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tcPr>
          <w:p w14:paraId="5FC4BC57" w14:textId="77777777" w:rsidR="00BD6129" w:rsidRPr="00F04A75" w:rsidRDefault="00BD6129" w:rsidP="000C5072">
            <w:pPr>
              <w:spacing w:line="256" w:lineRule="auto"/>
              <w:jc w:val="center"/>
              <w:rPr>
                <w:rFonts w:ascii="Arial Narrow" w:hAnsi="Arial Narrow"/>
                <w:color w:val="000000"/>
                <w:sz w:val="20"/>
                <w:lang w:eastAsia="en-US"/>
              </w:rPr>
            </w:pPr>
          </w:p>
        </w:tc>
        <w:tc>
          <w:tcPr>
            <w:tcW w:w="4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hideMark/>
          </w:tcPr>
          <w:p w14:paraId="197A2C27" w14:textId="77777777" w:rsidR="00BD6129" w:rsidRPr="00401332" w:rsidRDefault="00BD6129" w:rsidP="000C5072">
            <w:pPr>
              <w:spacing w:line="256" w:lineRule="auto"/>
              <w:jc w:val="left"/>
              <w:rPr>
                <w:rFonts w:ascii="Arial Narrow" w:hAnsi="Arial Narrow"/>
                <w:b/>
                <w:bCs/>
                <w:strike/>
                <w:color w:val="000000"/>
                <w:sz w:val="20"/>
                <w:lang w:eastAsia="en-US"/>
              </w:rPr>
            </w:pPr>
            <w:r w:rsidRPr="00401332">
              <w:rPr>
                <w:rFonts w:ascii="Arial Narrow" w:hAnsi="Arial Narrow"/>
                <w:b/>
                <w:bCs/>
                <w:strike/>
                <w:color w:val="000000"/>
                <w:sz w:val="20"/>
                <w:lang w:eastAsia="en-US"/>
              </w:rPr>
              <w:t>AND</w:t>
            </w:r>
          </w:p>
        </w:tc>
      </w:tr>
      <w:tr w:rsidR="00BD6129" w:rsidRPr="00F04A75" w14:paraId="3E4B12C8" w14:textId="77777777" w:rsidTr="000C5072">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tcPr>
          <w:p w14:paraId="3B313C7D" w14:textId="77777777" w:rsidR="00BD6129" w:rsidRPr="00F04A75" w:rsidRDefault="00BD6129" w:rsidP="000C5072">
            <w:pPr>
              <w:spacing w:line="256" w:lineRule="auto"/>
              <w:jc w:val="center"/>
              <w:rPr>
                <w:rFonts w:ascii="Arial Narrow" w:hAnsi="Arial Narrow"/>
                <w:color w:val="000000"/>
                <w:sz w:val="20"/>
                <w:lang w:eastAsia="en-US"/>
              </w:rPr>
            </w:pPr>
          </w:p>
        </w:tc>
        <w:tc>
          <w:tcPr>
            <w:tcW w:w="4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hideMark/>
          </w:tcPr>
          <w:p w14:paraId="6AEA6C56" w14:textId="77777777" w:rsidR="00BD6129" w:rsidRPr="00401332" w:rsidRDefault="00BD6129" w:rsidP="000C5072">
            <w:pPr>
              <w:spacing w:line="256" w:lineRule="auto"/>
              <w:jc w:val="left"/>
              <w:rPr>
                <w:rFonts w:ascii="Arial Narrow" w:hAnsi="Arial Narrow"/>
                <w:b/>
                <w:bCs/>
                <w:strike/>
                <w:color w:val="000000"/>
                <w:sz w:val="20"/>
                <w:lang w:eastAsia="en-US"/>
              </w:rPr>
            </w:pPr>
            <w:r w:rsidRPr="00401332">
              <w:rPr>
                <w:rFonts w:ascii="Arial Narrow" w:hAnsi="Arial Narrow"/>
                <w:b/>
                <w:bCs/>
                <w:strike/>
                <w:color w:val="000000"/>
                <w:sz w:val="20"/>
                <w:lang w:eastAsia="en-US"/>
              </w:rPr>
              <w:t>Clinical criteria:</w:t>
            </w:r>
          </w:p>
        </w:tc>
      </w:tr>
      <w:tr w:rsidR="00BD6129" w:rsidRPr="00401332" w14:paraId="3057CA57" w14:textId="77777777" w:rsidTr="000C5072">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hideMark/>
          </w:tcPr>
          <w:p w14:paraId="611C6017" w14:textId="3744B6D9" w:rsidR="00BD6129" w:rsidRPr="00401332" w:rsidRDefault="00BD6129" w:rsidP="000C5072">
            <w:pPr>
              <w:spacing w:line="256" w:lineRule="auto"/>
              <w:jc w:val="center"/>
              <w:rPr>
                <w:rFonts w:ascii="Arial Narrow" w:hAnsi="Arial Narrow"/>
                <w:strike/>
                <w:color w:val="000000"/>
                <w:sz w:val="20"/>
                <w:lang w:eastAsia="en-US"/>
              </w:rPr>
            </w:pPr>
          </w:p>
        </w:tc>
        <w:tc>
          <w:tcPr>
            <w:tcW w:w="4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hideMark/>
          </w:tcPr>
          <w:p w14:paraId="189F3F9B" w14:textId="77777777" w:rsidR="00BD6129" w:rsidRPr="00401332" w:rsidRDefault="00BD6129" w:rsidP="000C5072">
            <w:pPr>
              <w:spacing w:line="256" w:lineRule="auto"/>
              <w:jc w:val="left"/>
              <w:rPr>
                <w:rFonts w:ascii="Arial Narrow" w:hAnsi="Arial Narrow"/>
                <w:bCs/>
                <w:iCs/>
                <w:strike/>
                <w:color w:val="000000"/>
                <w:sz w:val="20"/>
                <w:lang w:eastAsia="en-US"/>
              </w:rPr>
            </w:pPr>
            <w:r w:rsidRPr="00401332">
              <w:rPr>
                <w:rFonts w:ascii="Arial Narrow" w:hAnsi="Arial Narrow"/>
                <w:bCs/>
                <w:strike/>
                <w:color w:val="000000"/>
                <w:sz w:val="20"/>
                <w:lang w:eastAsia="en-US"/>
              </w:rPr>
              <w:t xml:space="preserve">Patient must not be receiving concomitant PBS-subsidised </w:t>
            </w:r>
            <w:r w:rsidRPr="00401332">
              <w:rPr>
                <w:rFonts w:ascii="Arial Narrow" w:hAnsi="Arial Narrow"/>
                <w:bCs/>
                <w:i/>
                <w:strike/>
                <w:color w:val="000000"/>
                <w:sz w:val="20"/>
                <w:lang w:eastAsia="en-US"/>
              </w:rPr>
              <w:t>treatment with any of (</w:t>
            </w:r>
            <w:proofErr w:type="spellStart"/>
            <w:r w:rsidRPr="00401332">
              <w:rPr>
                <w:rFonts w:ascii="Arial Narrow" w:hAnsi="Arial Narrow"/>
                <w:bCs/>
                <w:i/>
                <w:strike/>
                <w:color w:val="000000"/>
                <w:sz w:val="20"/>
                <w:lang w:eastAsia="en-US"/>
              </w:rPr>
              <w:t>i</w:t>
            </w:r>
            <w:proofErr w:type="spellEnd"/>
            <w:r w:rsidRPr="00401332">
              <w:rPr>
                <w:rFonts w:ascii="Arial Narrow" w:hAnsi="Arial Narrow"/>
                <w:bCs/>
                <w:i/>
                <w:strike/>
                <w:color w:val="000000"/>
                <w:sz w:val="20"/>
                <w:lang w:eastAsia="en-US"/>
              </w:rPr>
              <w:t xml:space="preserve">) </w:t>
            </w:r>
            <w:r w:rsidRPr="00401332">
              <w:rPr>
                <w:rFonts w:ascii="Arial Narrow" w:hAnsi="Arial Narrow"/>
                <w:bCs/>
                <w:strike/>
                <w:color w:val="000000"/>
                <w:sz w:val="20"/>
                <w:lang w:eastAsia="en-US"/>
              </w:rPr>
              <w:t xml:space="preserve">bortezomib, </w:t>
            </w:r>
            <w:r w:rsidRPr="00401332">
              <w:rPr>
                <w:rFonts w:ascii="Arial Narrow" w:hAnsi="Arial Narrow"/>
                <w:bCs/>
                <w:i/>
                <w:strike/>
                <w:color w:val="000000"/>
                <w:sz w:val="20"/>
                <w:lang w:eastAsia="en-US"/>
              </w:rPr>
              <w:t xml:space="preserve">(ii) </w:t>
            </w:r>
            <w:r w:rsidRPr="00401332">
              <w:rPr>
                <w:rFonts w:ascii="Arial Narrow" w:hAnsi="Arial Narrow"/>
                <w:bCs/>
                <w:strike/>
                <w:color w:val="000000"/>
                <w:sz w:val="20"/>
                <w:lang w:eastAsia="en-US"/>
              </w:rPr>
              <w:t xml:space="preserve">pomalidomide, </w:t>
            </w:r>
            <w:r w:rsidRPr="00401332">
              <w:rPr>
                <w:rFonts w:ascii="Arial Narrow" w:hAnsi="Arial Narrow"/>
                <w:bCs/>
                <w:i/>
                <w:strike/>
                <w:color w:val="000000"/>
                <w:sz w:val="20"/>
                <w:lang w:eastAsia="en-US"/>
              </w:rPr>
              <w:t xml:space="preserve">(iv) </w:t>
            </w:r>
            <w:r w:rsidRPr="00401332">
              <w:rPr>
                <w:rFonts w:ascii="Arial Narrow" w:hAnsi="Arial Narrow"/>
                <w:bCs/>
                <w:strike/>
                <w:color w:val="000000"/>
                <w:sz w:val="20"/>
                <w:lang w:eastAsia="en-US"/>
              </w:rPr>
              <w:t xml:space="preserve">thalidomide, or </w:t>
            </w:r>
            <w:r w:rsidRPr="00401332">
              <w:rPr>
                <w:rFonts w:ascii="Arial Narrow" w:hAnsi="Arial Narrow"/>
                <w:bCs/>
                <w:i/>
                <w:strike/>
                <w:color w:val="000000"/>
                <w:sz w:val="20"/>
                <w:lang w:eastAsia="en-US"/>
              </w:rPr>
              <w:t xml:space="preserve">(v) </w:t>
            </w:r>
            <w:r w:rsidRPr="00401332">
              <w:rPr>
                <w:rFonts w:ascii="Arial Narrow" w:hAnsi="Arial Narrow"/>
                <w:bCs/>
                <w:iCs/>
                <w:strike/>
                <w:color w:val="000000"/>
                <w:sz w:val="20"/>
                <w:lang w:eastAsia="en-US"/>
              </w:rPr>
              <w:t>daratumumab</w:t>
            </w:r>
          </w:p>
        </w:tc>
      </w:tr>
      <w:tr w:rsidR="00BD6129" w:rsidRPr="00F04A75" w14:paraId="5AAD6109" w14:textId="77777777" w:rsidTr="000C5072">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tcPr>
          <w:p w14:paraId="097E2E98" w14:textId="62276FB5" w:rsidR="00BD6129" w:rsidRPr="00F04A75" w:rsidRDefault="00BD6129" w:rsidP="000C5072">
            <w:pPr>
              <w:spacing w:line="256" w:lineRule="auto"/>
              <w:jc w:val="center"/>
              <w:rPr>
                <w:rFonts w:ascii="Arial Narrow" w:hAnsi="Arial Narrow"/>
                <w:color w:val="000000"/>
                <w:sz w:val="20"/>
                <w:lang w:eastAsia="en-US"/>
              </w:rPr>
            </w:pPr>
          </w:p>
        </w:tc>
        <w:tc>
          <w:tcPr>
            <w:tcW w:w="4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hideMark/>
          </w:tcPr>
          <w:p w14:paraId="48CE3D82" w14:textId="77777777" w:rsidR="00BD6129" w:rsidRPr="00F04A75" w:rsidRDefault="00BD6129" w:rsidP="000C5072">
            <w:pPr>
              <w:spacing w:line="256" w:lineRule="auto"/>
              <w:jc w:val="left"/>
              <w:rPr>
                <w:rFonts w:ascii="Arial Narrow" w:hAnsi="Arial Narrow"/>
                <w:b/>
                <w:bCs/>
                <w:i/>
                <w:iCs/>
                <w:color w:val="000000"/>
                <w:sz w:val="20"/>
                <w:lang w:eastAsia="en-US"/>
              </w:rPr>
            </w:pPr>
            <w:r w:rsidRPr="00F04A75">
              <w:rPr>
                <w:rFonts w:ascii="Arial Narrow" w:hAnsi="Arial Narrow"/>
                <w:b/>
                <w:bCs/>
                <w:color w:val="000000"/>
                <w:sz w:val="20"/>
                <w:lang w:eastAsia="en-US"/>
              </w:rPr>
              <w:t xml:space="preserve">Prescribing instructions </w:t>
            </w:r>
          </w:p>
          <w:p w14:paraId="2B1A7839" w14:textId="77777777" w:rsidR="00BD6129" w:rsidRPr="00F04A75" w:rsidRDefault="00BD6129" w:rsidP="000C5072">
            <w:pPr>
              <w:spacing w:line="256" w:lineRule="auto"/>
              <w:jc w:val="left"/>
              <w:rPr>
                <w:rFonts w:ascii="Arial Narrow" w:hAnsi="Arial Narrow"/>
                <w:bCs/>
                <w:color w:val="000000"/>
                <w:sz w:val="20"/>
                <w:lang w:eastAsia="en-US"/>
              </w:rPr>
            </w:pPr>
            <w:r w:rsidRPr="00F04A75">
              <w:rPr>
                <w:rFonts w:ascii="Arial Narrow" w:hAnsi="Arial Narrow"/>
                <w:bCs/>
                <w:color w:val="000000"/>
                <w:sz w:val="20"/>
                <w:lang w:eastAsia="en-US"/>
              </w:rPr>
              <w:t>Progressive disease is defined as at least 1 of the following:</w:t>
            </w:r>
          </w:p>
          <w:p w14:paraId="3182EDF0" w14:textId="77777777" w:rsidR="00BD6129" w:rsidRPr="00F04A75" w:rsidRDefault="00BD6129" w:rsidP="000C5072">
            <w:pPr>
              <w:spacing w:line="256" w:lineRule="auto"/>
              <w:jc w:val="left"/>
              <w:rPr>
                <w:rFonts w:ascii="Arial Narrow" w:hAnsi="Arial Narrow"/>
                <w:bCs/>
                <w:color w:val="000000"/>
                <w:sz w:val="20"/>
                <w:lang w:eastAsia="en-US"/>
              </w:rPr>
            </w:pPr>
            <w:r w:rsidRPr="00F04A75">
              <w:rPr>
                <w:rFonts w:ascii="Arial Narrow" w:hAnsi="Arial Narrow"/>
                <w:bCs/>
                <w:color w:val="000000"/>
                <w:sz w:val="20"/>
                <w:lang w:eastAsia="en-US"/>
              </w:rPr>
              <w:t>(a) at least a 25% increase and an absolute increase of at least 5 g per L in serum M protein (monoclonal protein); or</w:t>
            </w:r>
          </w:p>
          <w:p w14:paraId="06EED1C1" w14:textId="77777777" w:rsidR="00BD6129" w:rsidRPr="00F04A75" w:rsidRDefault="00BD6129" w:rsidP="000C5072">
            <w:pPr>
              <w:spacing w:line="256" w:lineRule="auto"/>
              <w:jc w:val="left"/>
              <w:rPr>
                <w:rFonts w:ascii="Arial Narrow" w:hAnsi="Arial Narrow"/>
                <w:bCs/>
                <w:color w:val="000000"/>
                <w:sz w:val="20"/>
                <w:lang w:eastAsia="en-US"/>
              </w:rPr>
            </w:pPr>
            <w:r w:rsidRPr="00F04A75">
              <w:rPr>
                <w:rFonts w:ascii="Arial Narrow" w:hAnsi="Arial Narrow"/>
                <w:bCs/>
                <w:color w:val="000000"/>
                <w:sz w:val="20"/>
                <w:lang w:eastAsia="en-US"/>
              </w:rPr>
              <w:t>(b) at least a 25% increase in 24-hour urinary light chain M protein excretion, and an absolute increase of at least 200 mg per 24 hours; or</w:t>
            </w:r>
          </w:p>
          <w:p w14:paraId="12F18A1F" w14:textId="77777777" w:rsidR="00BD6129" w:rsidRPr="00F04A75" w:rsidRDefault="00BD6129" w:rsidP="000C5072">
            <w:pPr>
              <w:spacing w:line="256" w:lineRule="auto"/>
              <w:jc w:val="left"/>
              <w:rPr>
                <w:rFonts w:ascii="Arial Narrow" w:hAnsi="Arial Narrow"/>
                <w:bCs/>
                <w:color w:val="000000"/>
                <w:sz w:val="20"/>
                <w:lang w:eastAsia="en-US"/>
              </w:rPr>
            </w:pPr>
            <w:r w:rsidRPr="00F04A75">
              <w:rPr>
                <w:rFonts w:ascii="Arial Narrow" w:hAnsi="Arial Narrow"/>
                <w:bCs/>
                <w:color w:val="000000"/>
                <w:sz w:val="20"/>
                <w:lang w:eastAsia="en-US"/>
              </w:rPr>
              <w:t xml:space="preserve">(c) in oligo-secretory and non-secretory myeloma patients only, at least a 50% increase in the difference between involved free light chain and uninvolved free light </w:t>
            </w:r>
            <w:proofErr w:type="gramStart"/>
            <w:r w:rsidRPr="00F04A75">
              <w:rPr>
                <w:rFonts w:ascii="Arial Narrow" w:hAnsi="Arial Narrow"/>
                <w:bCs/>
                <w:color w:val="000000"/>
                <w:sz w:val="20"/>
                <w:lang w:eastAsia="en-US"/>
              </w:rPr>
              <w:t>chain;</w:t>
            </w:r>
            <w:proofErr w:type="gramEnd"/>
            <w:r w:rsidRPr="00F04A75">
              <w:rPr>
                <w:rFonts w:ascii="Arial Narrow" w:hAnsi="Arial Narrow"/>
                <w:bCs/>
                <w:color w:val="000000"/>
                <w:sz w:val="20"/>
                <w:lang w:eastAsia="en-US"/>
              </w:rPr>
              <w:t xml:space="preserve"> or</w:t>
            </w:r>
          </w:p>
          <w:p w14:paraId="574C72CB" w14:textId="77777777" w:rsidR="00BD6129" w:rsidRPr="00F04A75" w:rsidRDefault="00BD6129" w:rsidP="000C5072">
            <w:pPr>
              <w:spacing w:line="256" w:lineRule="auto"/>
              <w:jc w:val="left"/>
              <w:rPr>
                <w:rFonts w:ascii="Arial Narrow" w:hAnsi="Arial Narrow"/>
                <w:bCs/>
                <w:color w:val="000000"/>
                <w:sz w:val="20"/>
                <w:lang w:eastAsia="en-US"/>
              </w:rPr>
            </w:pPr>
            <w:r w:rsidRPr="00F04A75">
              <w:rPr>
                <w:rFonts w:ascii="Arial Narrow" w:hAnsi="Arial Narrow"/>
                <w:bCs/>
                <w:color w:val="000000"/>
                <w:sz w:val="20"/>
                <w:lang w:eastAsia="en-US"/>
              </w:rPr>
              <w:t>(d) at least a 25% relative increase and at least a 10% absolute increase in plasma cells in a bone marrow aspirate or on biopsy; or</w:t>
            </w:r>
          </w:p>
          <w:p w14:paraId="2ADCC40B" w14:textId="77777777" w:rsidR="00BD6129" w:rsidRPr="00F04A75" w:rsidRDefault="00BD6129" w:rsidP="000C5072">
            <w:pPr>
              <w:spacing w:line="256" w:lineRule="auto"/>
              <w:jc w:val="left"/>
              <w:rPr>
                <w:rFonts w:ascii="Arial Narrow" w:hAnsi="Arial Narrow"/>
                <w:bCs/>
                <w:color w:val="000000"/>
                <w:sz w:val="20"/>
                <w:lang w:eastAsia="en-US"/>
              </w:rPr>
            </w:pPr>
            <w:r w:rsidRPr="00F04A75">
              <w:rPr>
                <w:rFonts w:ascii="Arial Narrow" w:hAnsi="Arial Narrow"/>
                <w:bCs/>
                <w:color w:val="000000"/>
                <w:sz w:val="20"/>
                <w:lang w:eastAsia="en-US"/>
              </w:rPr>
              <w:t>(e) an increase in the size or number of lytic bone lesions (not including compression fractures); or</w:t>
            </w:r>
          </w:p>
          <w:p w14:paraId="72599BDB" w14:textId="77777777" w:rsidR="00BD6129" w:rsidRPr="00F04A75" w:rsidRDefault="00BD6129" w:rsidP="000C5072">
            <w:pPr>
              <w:spacing w:line="256" w:lineRule="auto"/>
              <w:jc w:val="left"/>
              <w:rPr>
                <w:rFonts w:ascii="Arial Narrow" w:hAnsi="Arial Narrow"/>
                <w:bCs/>
                <w:color w:val="000000"/>
                <w:sz w:val="20"/>
                <w:lang w:eastAsia="en-US"/>
              </w:rPr>
            </w:pPr>
            <w:r w:rsidRPr="00F04A75">
              <w:rPr>
                <w:rFonts w:ascii="Arial Narrow" w:hAnsi="Arial Narrow"/>
                <w:bCs/>
                <w:color w:val="000000"/>
                <w:sz w:val="20"/>
                <w:lang w:eastAsia="en-US"/>
              </w:rPr>
              <w:t>(f) at least a 25% increase in the size of an existing or the development of a new soft tissue plasmacytoma (determined by clinical examination or diagnostic imaging); or</w:t>
            </w:r>
          </w:p>
          <w:p w14:paraId="72BD13CC" w14:textId="77777777" w:rsidR="00BD6129" w:rsidRPr="00F04A75" w:rsidRDefault="00BD6129" w:rsidP="000C5072">
            <w:pPr>
              <w:spacing w:line="256" w:lineRule="auto"/>
              <w:jc w:val="left"/>
              <w:rPr>
                <w:rFonts w:ascii="Arial Narrow" w:hAnsi="Arial Narrow"/>
                <w:bCs/>
                <w:color w:val="000000"/>
                <w:sz w:val="20"/>
                <w:lang w:eastAsia="en-US"/>
              </w:rPr>
            </w:pPr>
            <w:r w:rsidRPr="00F04A75">
              <w:rPr>
                <w:rFonts w:ascii="Arial Narrow" w:hAnsi="Arial Narrow"/>
                <w:bCs/>
                <w:color w:val="000000"/>
                <w:sz w:val="20"/>
                <w:lang w:eastAsia="en-US"/>
              </w:rPr>
              <w:t>(g) development of hypercalcaemia (corrected serum calcium greater than 2.65 mmol per L not attributable to any other cause).</w:t>
            </w:r>
          </w:p>
        </w:tc>
      </w:tr>
      <w:tr w:rsidR="00BD6129" w:rsidRPr="00F04A75" w14:paraId="5EA02DBF" w14:textId="77777777" w:rsidTr="000C5072">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tcPr>
          <w:p w14:paraId="1C2DB7FC" w14:textId="77777777" w:rsidR="00BD6129" w:rsidRPr="00F04A75" w:rsidRDefault="00BD6129" w:rsidP="000C5072">
            <w:pPr>
              <w:spacing w:line="256" w:lineRule="auto"/>
              <w:jc w:val="center"/>
              <w:rPr>
                <w:rFonts w:ascii="Arial Narrow" w:hAnsi="Arial Narrow"/>
                <w:strike/>
                <w:color w:val="000000"/>
                <w:sz w:val="20"/>
                <w:lang w:eastAsia="en-US"/>
              </w:rPr>
            </w:pPr>
          </w:p>
        </w:tc>
        <w:tc>
          <w:tcPr>
            <w:tcW w:w="4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hideMark/>
          </w:tcPr>
          <w:p w14:paraId="20F8025C" w14:textId="77777777" w:rsidR="00BD6129" w:rsidRPr="00F04A75" w:rsidRDefault="00BD6129" w:rsidP="000C5072">
            <w:pPr>
              <w:spacing w:line="256" w:lineRule="auto"/>
              <w:jc w:val="left"/>
              <w:rPr>
                <w:rFonts w:ascii="Arial Narrow" w:hAnsi="Arial Narrow"/>
                <w:b/>
                <w:bCs/>
                <w:i/>
                <w:iCs/>
                <w:color w:val="000000"/>
                <w:sz w:val="20"/>
                <w:lang w:eastAsia="en-US"/>
              </w:rPr>
            </w:pPr>
            <w:r w:rsidRPr="00F04A75">
              <w:rPr>
                <w:rFonts w:ascii="Arial Narrow" w:hAnsi="Arial Narrow"/>
                <w:b/>
                <w:bCs/>
                <w:color w:val="000000"/>
                <w:sz w:val="20"/>
                <w:lang w:eastAsia="en-US"/>
              </w:rPr>
              <w:t xml:space="preserve">Prescribing instructions </w:t>
            </w:r>
          </w:p>
          <w:p w14:paraId="657F45A8" w14:textId="77777777" w:rsidR="00BD6129" w:rsidRPr="00F04A75" w:rsidRDefault="00BD6129" w:rsidP="000C5072">
            <w:pPr>
              <w:spacing w:line="256" w:lineRule="auto"/>
              <w:jc w:val="left"/>
              <w:rPr>
                <w:rFonts w:ascii="Arial Narrow" w:hAnsi="Arial Narrow"/>
                <w:b/>
                <w:bCs/>
                <w:color w:val="000000"/>
                <w:sz w:val="20"/>
                <w:lang w:eastAsia="en-US"/>
              </w:rPr>
            </w:pPr>
            <w:r w:rsidRPr="00F04A75">
              <w:rPr>
                <w:rFonts w:ascii="Arial Narrow" w:hAnsi="Arial Narrow"/>
                <w:bCs/>
                <w:color w:val="000000"/>
                <w:sz w:val="20"/>
                <w:lang w:eastAsia="en-US"/>
              </w:rPr>
              <w:t>Oligo-secretory and non-secretory patients are defined as having active disease with less than 10 g per L serum M protein.</w:t>
            </w:r>
          </w:p>
        </w:tc>
      </w:tr>
      <w:tr w:rsidR="00BD6129" w:rsidRPr="00F04A75" w14:paraId="2D782C81" w14:textId="77777777" w:rsidTr="003B5756">
        <w:tc>
          <w:tcPr>
            <w:tcW w:w="70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207F1EC" w14:textId="1DF55A88" w:rsidR="00BD6129" w:rsidRPr="00F04A75" w:rsidRDefault="00BD6129" w:rsidP="000C5072">
            <w:pPr>
              <w:spacing w:line="256" w:lineRule="auto"/>
              <w:jc w:val="center"/>
              <w:rPr>
                <w:rFonts w:ascii="Arial Narrow" w:hAnsi="Arial Narrow"/>
                <w:color w:val="333333"/>
                <w:sz w:val="18"/>
                <w:szCs w:val="18"/>
                <w:lang w:eastAsia="en-US"/>
              </w:rPr>
            </w:pPr>
          </w:p>
        </w:tc>
        <w:tc>
          <w:tcPr>
            <w:tcW w:w="429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5D8B60A" w14:textId="77777777" w:rsidR="00BD6129" w:rsidRPr="00F04A75" w:rsidRDefault="00BD6129" w:rsidP="000C5072">
            <w:pPr>
              <w:spacing w:line="256" w:lineRule="auto"/>
              <w:jc w:val="left"/>
              <w:rPr>
                <w:rFonts w:ascii="Arial Narrow" w:hAnsi="Arial Narrow"/>
                <w:b/>
                <w:bCs/>
                <w:i/>
                <w:color w:val="333333"/>
                <w:sz w:val="20"/>
                <w:lang w:eastAsia="en-US"/>
              </w:rPr>
            </w:pPr>
            <w:r w:rsidRPr="00F04A75">
              <w:rPr>
                <w:rFonts w:ascii="Arial Narrow" w:hAnsi="Arial Narrow"/>
                <w:b/>
                <w:bCs/>
                <w:i/>
                <w:color w:val="333333"/>
                <w:sz w:val="20"/>
                <w:lang w:eastAsia="en-US"/>
              </w:rPr>
              <w:t>Prescribing Instructions:</w:t>
            </w:r>
          </w:p>
          <w:p w14:paraId="25CC662A" w14:textId="77777777" w:rsidR="00BD6129" w:rsidRPr="00F04A75" w:rsidRDefault="00BD6129" w:rsidP="000C5072">
            <w:pPr>
              <w:spacing w:line="256" w:lineRule="auto"/>
              <w:jc w:val="left"/>
              <w:rPr>
                <w:rFonts w:ascii="Arial Narrow" w:hAnsi="Arial Narrow"/>
                <w:bCs/>
                <w:i/>
                <w:color w:val="333333"/>
                <w:sz w:val="20"/>
                <w:lang w:eastAsia="en-US"/>
              </w:rPr>
            </w:pPr>
            <w:r w:rsidRPr="00F04A75">
              <w:rPr>
                <w:rFonts w:ascii="Arial Narrow" w:hAnsi="Arial Narrow"/>
                <w:bCs/>
                <w:i/>
                <w:color w:val="333333"/>
                <w:sz w:val="20"/>
                <w:lang w:eastAsia="en-US"/>
              </w:rPr>
              <w:t>Provide details of the histological diagnosis of multiple myeloma, prior treatments including name(s) of drug(s) and date of most recent treatment cycle; the basis of the diagnosis of progressive disease or failure to respond; and which disease activity parameters will be used to assess response once only through the Authority application for lenalidomide.</w:t>
            </w:r>
          </w:p>
        </w:tc>
      </w:tr>
      <w:tr w:rsidR="00BD6129" w:rsidRPr="00F04A75" w14:paraId="48D13152" w14:textId="77777777" w:rsidTr="003B5756">
        <w:tc>
          <w:tcPr>
            <w:tcW w:w="701" w:type="pct"/>
            <w:tcBorders>
              <w:top w:val="single" w:sz="4" w:space="0" w:color="auto"/>
              <w:left w:val="single" w:sz="4" w:space="0" w:color="auto"/>
              <w:bottom w:val="single" w:sz="4" w:space="0" w:color="auto"/>
              <w:right w:val="single" w:sz="4" w:space="0" w:color="auto"/>
            </w:tcBorders>
            <w:tcMar>
              <w:top w:w="15" w:type="dxa"/>
              <w:left w:w="28" w:type="dxa"/>
              <w:bottom w:w="15" w:type="dxa"/>
              <w:right w:w="28" w:type="dxa"/>
            </w:tcMar>
            <w:vAlign w:val="center"/>
          </w:tcPr>
          <w:p w14:paraId="76502322" w14:textId="689EDCD5" w:rsidR="00BD6129" w:rsidRPr="00F04A75" w:rsidRDefault="00BD6129" w:rsidP="000C5072">
            <w:pPr>
              <w:spacing w:line="256" w:lineRule="auto"/>
              <w:jc w:val="center"/>
              <w:rPr>
                <w:rFonts w:ascii="Arial Narrow" w:hAnsi="Arial Narrow"/>
                <w:color w:val="333333"/>
                <w:sz w:val="18"/>
                <w:szCs w:val="18"/>
                <w:lang w:eastAsia="en-US"/>
              </w:rPr>
            </w:pPr>
          </w:p>
        </w:tc>
        <w:tc>
          <w:tcPr>
            <w:tcW w:w="4299" w:type="pct"/>
            <w:tcBorders>
              <w:top w:val="single" w:sz="4" w:space="0" w:color="auto"/>
              <w:left w:val="single" w:sz="4" w:space="0" w:color="auto"/>
              <w:bottom w:val="single" w:sz="4" w:space="0" w:color="auto"/>
              <w:right w:val="single" w:sz="4" w:space="0" w:color="auto"/>
            </w:tcBorders>
            <w:tcMar>
              <w:top w:w="15" w:type="dxa"/>
              <w:left w:w="28" w:type="dxa"/>
              <w:bottom w:w="15" w:type="dxa"/>
              <w:right w:w="28" w:type="dxa"/>
            </w:tcMar>
            <w:vAlign w:val="center"/>
            <w:hideMark/>
          </w:tcPr>
          <w:p w14:paraId="7B60BA1F" w14:textId="77777777" w:rsidR="00BD6129" w:rsidRPr="00F04A75" w:rsidRDefault="00BD6129" w:rsidP="000C5072">
            <w:pPr>
              <w:spacing w:line="256" w:lineRule="auto"/>
              <w:jc w:val="left"/>
              <w:rPr>
                <w:rFonts w:ascii="Arial Narrow" w:hAnsi="Arial Narrow"/>
                <w:b/>
                <w:bCs/>
                <w:i/>
                <w:color w:val="333333"/>
                <w:sz w:val="20"/>
                <w:lang w:eastAsia="en-US"/>
              </w:rPr>
            </w:pPr>
            <w:r w:rsidRPr="00F04A75">
              <w:rPr>
                <w:rFonts w:ascii="Arial Narrow" w:hAnsi="Arial Narrow"/>
                <w:b/>
                <w:bCs/>
                <w:i/>
                <w:color w:val="333333"/>
                <w:sz w:val="20"/>
                <w:lang w:eastAsia="en-US"/>
              </w:rPr>
              <w:t>Administrative Advice:</w:t>
            </w:r>
            <w:r w:rsidRPr="00F04A75">
              <w:rPr>
                <w:rFonts w:ascii="Arial Narrow" w:hAnsi="Arial Narrow"/>
                <w:i/>
                <w:color w:val="333333"/>
                <w:sz w:val="20"/>
                <w:lang w:eastAsia="en-US"/>
              </w:rPr>
              <w:t xml:space="preserve"> No increase in the maximum number of repeats may be authorised.</w:t>
            </w:r>
          </w:p>
        </w:tc>
      </w:tr>
      <w:tr w:rsidR="00BD6129" w:rsidRPr="00F04A75" w14:paraId="60820230" w14:textId="77777777" w:rsidTr="003B5756">
        <w:tc>
          <w:tcPr>
            <w:tcW w:w="701" w:type="pct"/>
            <w:tcBorders>
              <w:top w:val="single" w:sz="4" w:space="0" w:color="auto"/>
              <w:left w:val="single" w:sz="4" w:space="0" w:color="auto"/>
              <w:bottom w:val="single" w:sz="4" w:space="0" w:color="auto"/>
              <w:right w:val="single" w:sz="4" w:space="0" w:color="auto"/>
            </w:tcBorders>
            <w:tcMar>
              <w:top w:w="15" w:type="dxa"/>
              <w:left w:w="28" w:type="dxa"/>
              <w:bottom w:w="15" w:type="dxa"/>
              <w:right w:w="28" w:type="dxa"/>
            </w:tcMar>
            <w:vAlign w:val="center"/>
          </w:tcPr>
          <w:p w14:paraId="1C5DEC96" w14:textId="318AD7E2" w:rsidR="00BD6129" w:rsidRPr="00F04A75" w:rsidRDefault="00BD6129" w:rsidP="000C5072">
            <w:pPr>
              <w:spacing w:line="256" w:lineRule="auto"/>
              <w:jc w:val="center"/>
              <w:rPr>
                <w:rFonts w:ascii="Arial Narrow" w:hAnsi="Arial Narrow"/>
                <w:color w:val="333333"/>
                <w:sz w:val="18"/>
                <w:szCs w:val="18"/>
                <w:lang w:eastAsia="en-US"/>
              </w:rPr>
            </w:pPr>
          </w:p>
        </w:tc>
        <w:tc>
          <w:tcPr>
            <w:tcW w:w="4299" w:type="pct"/>
            <w:tcBorders>
              <w:top w:val="single" w:sz="4" w:space="0" w:color="auto"/>
              <w:left w:val="single" w:sz="4" w:space="0" w:color="auto"/>
              <w:bottom w:val="single" w:sz="4" w:space="0" w:color="auto"/>
              <w:right w:val="single" w:sz="4" w:space="0" w:color="auto"/>
            </w:tcBorders>
            <w:tcMar>
              <w:top w:w="15" w:type="dxa"/>
              <w:left w:w="28" w:type="dxa"/>
              <w:bottom w:w="15" w:type="dxa"/>
              <w:right w:w="28" w:type="dxa"/>
            </w:tcMar>
            <w:vAlign w:val="center"/>
            <w:hideMark/>
          </w:tcPr>
          <w:p w14:paraId="5A49E924" w14:textId="77777777" w:rsidR="00BD6129" w:rsidRPr="00F04A75" w:rsidRDefault="00BD6129" w:rsidP="000C5072">
            <w:pPr>
              <w:spacing w:line="256" w:lineRule="auto"/>
              <w:jc w:val="left"/>
              <w:rPr>
                <w:rFonts w:ascii="Arial Narrow" w:hAnsi="Arial Narrow"/>
                <w:b/>
                <w:bCs/>
                <w:color w:val="333333"/>
                <w:sz w:val="20"/>
                <w:lang w:eastAsia="en-US"/>
              </w:rPr>
            </w:pPr>
            <w:r w:rsidRPr="00F04A75">
              <w:rPr>
                <w:rFonts w:ascii="Arial Narrow" w:hAnsi="Arial Narrow"/>
                <w:b/>
                <w:bCs/>
                <w:i/>
                <w:color w:val="333333"/>
                <w:sz w:val="20"/>
                <w:lang w:eastAsia="en-US"/>
              </w:rPr>
              <w:t>Administrative Advice:</w:t>
            </w:r>
            <w:r w:rsidRPr="00F04A75">
              <w:rPr>
                <w:rFonts w:ascii="Arial Narrow" w:hAnsi="Arial Narrow"/>
                <w:b/>
                <w:bCs/>
                <w:color w:val="333333"/>
                <w:sz w:val="20"/>
                <w:lang w:eastAsia="en-US"/>
              </w:rPr>
              <w:t xml:space="preserve"> </w:t>
            </w:r>
            <w:r w:rsidRPr="00F04A75">
              <w:rPr>
                <w:rFonts w:ascii="Arial Narrow" w:hAnsi="Arial Narrow"/>
                <w:i/>
                <w:color w:val="333333"/>
                <w:sz w:val="20"/>
                <w:lang w:eastAsia="en-US"/>
              </w:rPr>
              <w:t>Special Pricing Arrangements apply</w:t>
            </w:r>
          </w:p>
        </w:tc>
      </w:tr>
    </w:tbl>
    <w:p w14:paraId="769ACBCB" w14:textId="77777777" w:rsidR="00BD6129" w:rsidRPr="00F04A75" w:rsidRDefault="00BD6129" w:rsidP="00BD6129">
      <w:pPr>
        <w:rPr>
          <w:rFonts w:ascii="Arial Narrow" w:hAnsi="Arial Narrow"/>
          <w:sz w:val="20"/>
        </w:rPr>
      </w:pPr>
    </w:p>
    <w:tbl>
      <w:tblPr>
        <w:tblW w:w="5028"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271"/>
        <w:gridCol w:w="7796"/>
      </w:tblGrid>
      <w:tr w:rsidR="00BD6129" w:rsidRPr="00F04A75" w14:paraId="0ED3C8CD" w14:textId="77777777" w:rsidTr="000C5072">
        <w:tc>
          <w:tcPr>
            <w:tcW w:w="701"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28" w:type="dxa"/>
              <w:bottom w:w="0" w:type="dxa"/>
              <w:right w:w="28" w:type="dxa"/>
            </w:tcMar>
          </w:tcPr>
          <w:p w14:paraId="1DC9AF80" w14:textId="3688C049" w:rsidR="00BD6129" w:rsidRPr="00F04A75" w:rsidRDefault="00BD6129" w:rsidP="000C5072">
            <w:pPr>
              <w:keepNext/>
              <w:spacing w:line="256" w:lineRule="auto"/>
              <w:jc w:val="center"/>
              <w:rPr>
                <w:rFonts w:ascii="Arial Narrow" w:hAnsi="Arial Narrow"/>
                <w:color w:val="000000"/>
                <w:sz w:val="20"/>
                <w:lang w:eastAsia="en-US"/>
              </w:rPr>
            </w:pPr>
          </w:p>
        </w:tc>
        <w:tc>
          <w:tcPr>
            <w:tcW w:w="429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28" w:type="dxa"/>
              <w:bottom w:w="0" w:type="dxa"/>
              <w:right w:w="28" w:type="dxa"/>
            </w:tcMar>
            <w:hideMark/>
          </w:tcPr>
          <w:p w14:paraId="5D5E89A8" w14:textId="77777777" w:rsidR="00BD6129" w:rsidRPr="00F04A75" w:rsidRDefault="00BD6129" w:rsidP="000C5072">
            <w:pPr>
              <w:keepNext/>
              <w:spacing w:line="256" w:lineRule="auto"/>
              <w:jc w:val="left"/>
              <w:rPr>
                <w:rFonts w:ascii="Arial Narrow" w:hAnsi="Arial Narrow"/>
                <w:b/>
                <w:color w:val="000000"/>
                <w:sz w:val="20"/>
                <w:highlight w:val="yellow"/>
                <w:lang w:eastAsia="en-US"/>
              </w:rPr>
            </w:pPr>
            <w:r w:rsidRPr="00F04A75">
              <w:rPr>
                <w:rFonts w:ascii="Arial Narrow" w:hAnsi="Arial Narrow"/>
                <w:b/>
                <w:bCs/>
                <w:color w:val="000000"/>
                <w:sz w:val="20"/>
                <w:lang w:eastAsia="en-US"/>
              </w:rPr>
              <w:t xml:space="preserve">Category/Program: </w:t>
            </w:r>
            <w:r w:rsidRPr="00F04A75">
              <w:rPr>
                <w:rFonts w:ascii="Arial Narrow" w:hAnsi="Arial Narrow"/>
                <w:bCs/>
                <w:color w:val="000000"/>
                <w:sz w:val="20"/>
                <w:lang w:eastAsia="en-US"/>
              </w:rPr>
              <w:t>Section 100 (Efficient Funding of Chemotherapy)</w:t>
            </w:r>
          </w:p>
        </w:tc>
      </w:tr>
      <w:tr w:rsidR="00BD6129" w:rsidRPr="00F04A75" w14:paraId="0D2A96A5" w14:textId="77777777" w:rsidTr="003B5756">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CB20FC" w14:textId="77777777" w:rsidR="00BD6129" w:rsidRPr="00F04A75" w:rsidRDefault="00BD6129" w:rsidP="000C5072">
            <w:pPr>
              <w:spacing w:line="256" w:lineRule="auto"/>
              <w:jc w:val="left"/>
              <w:rPr>
                <w:rFonts w:ascii="Arial Narrow" w:hAnsi="Arial Narrow"/>
                <w:color w:val="000000"/>
                <w:sz w:val="20"/>
                <w:lang w:eastAsia="en-US"/>
              </w:rPr>
            </w:pPr>
          </w:p>
        </w:tc>
        <w:tc>
          <w:tcPr>
            <w:tcW w:w="429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28" w:type="dxa"/>
              <w:bottom w:w="0" w:type="dxa"/>
              <w:right w:w="28" w:type="dxa"/>
            </w:tcMar>
            <w:hideMark/>
          </w:tcPr>
          <w:p w14:paraId="24BD4C73" w14:textId="77777777" w:rsidR="00BD6129" w:rsidRPr="00F04A75" w:rsidRDefault="00BD6129" w:rsidP="000C5072">
            <w:pPr>
              <w:keepNext/>
              <w:spacing w:line="256" w:lineRule="auto"/>
              <w:jc w:val="left"/>
              <w:rPr>
                <w:rFonts w:ascii="Arial Narrow" w:hAnsi="Arial Narrow"/>
                <w:bCs/>
                <w:color w:val="000000"/>
                <w:sz w:val="20"/>
                <w:highlight w:val="yellow"/>
                <w:lang w:eastAsia="en-US"/>
              </w:rPr>
            </w:pPr>
            <w:r w:rsidRPr="00F04A75">
              <w:rPr>
                <w:rFonts w:ascii="Arial Narrow" w:hAnsi="Arial Narrow"/>
                <w:b/>
                <w:bCs/>
                <w:color w:val="000000"/>
                <w:sz w:val="20"/>
                <w:lang w:eastAsia="en-US"/>
              </w:rPr>
              <w:t xml:space="preserve">Prescriber type: </w:t>
            </w:r>
            <w:r w:rsidRPr="00F04A75">
              <w:rPr>
                <w:lang w:eastAsia="en-US"/>
              </w:rPr>
              <w:fldChar w:fldCharType="begin">
                <w:ffData>
                  <w:name w:val=""/>
                  <w:enabled/>
                  <w:calcOnExit w:val="0"/>
                  <w:checkBox>
                    <w:sizeAuto/>
                    <w:default w:val="1"/>
                  </w:checkBox>
                </w:ffData>
              </w:fldChar>
            </w:r>
            <w:r w:rsidRPr="00F04A75">
              <w:rPr>
                <w:rFonts w:ascii="Arial Narrow" w:hAnsi="Arial Narrow"/>
                <w:bCs/>
                <w:color w:val="000000"/>
                <w:sz w:val="20"/>
                <w:lang w:eastAsia="en-US"/>
              </w:rPr>
              <w:instrText xml:space="preserve"> FORMCHECKBOX </w:instrText>
            </w:r>
            <w:r w:rsidR="00443BC9">
              <w:rPr>
                <w:lang w:eastAsia="en-US"/>
              </w:rPr>
            </w:r>
            <w:r w:rsidR="00443BC9">
              <w:rPr>
                <w:lang w:eastAsia="en-US"/>
              </w:rPr>
              <w:fldChar w:fldCharType="separate"/>
            </w:r>
            <w:r w:rsidRPr="00F04A75">
              <w:rPr>
                <w:lang w:eastAsia="en-US"/>
              </w:rPr>
              <w:fldChar w:fldCharType="end"/>
            </w:r>
            <w:r w:rsidRPr="00F04A75">
              <w:rPr>
                <w:rFonts w:ascii="Arial Narrow" w:hAnsi="Arial Narrow"/>
                <w:bCs/>
                <w:color w:val="000000"/>
                <w:sz w:val="20"/>
                <w:lang w:eastAsia="en-US"/>
              </w:rPr>
              <w:t xml:space="preserve">Medical Practitioners </w:t>
            </w:r>
          </w:p>
        </w:tc>
      </w:tr>
      <w:tr w:rsidR="00BD6129" w:rsidRPr="00F04A75" w14:paraId="1CAF5AB1" w14:textId="77777777" w:rsidTr="003B5756">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E1FAA1" w14:textId="77777777" w:rsidR="00BD6129" w:rsidRPr="00F04A75" w:rsidRDefault="00BD6129" w:rsidP="000C5072">
            <w:pPr>
              <w:spacing w:line="256" w:lineRule="auto"/>
              <w:jc w:val="left"/>
              <w:rPr>
                <w:rFonts w:ascii="Arial Narrow" w:hAnsi="Arial Narrow"/>
                <w:color w:val="000000"/>
                <w:sz w:val="20"/>
                <w:lang w:eastAsia="en-US"/>
              </w:rPr>
            </w:pPr>
          </w:p>
        </w:tc>
        <w:tc>
          <w:tcPr>
            <w:tcW w:w="4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hideMark/>
          </w:tcPr>
          <w:p w14:paraId="3958BF4A" w14:textId="77777777" w:rsidR="00BD6129" w:rsidRPr="00F04A75" w:rsidRDefault="00BD6129" w:rsidP="000C5072">
            <w:pPr>
              <w:keepNext/>
              <w:spacing w:line="256" w:lineRule="auto"/>
              <w:jc w:val="left"/>
              <w:rPr>
                <w:rFonts w:ascii="Arial Narrow" w:hAnsi="Arial Narrow"/>
                <w:b/>
                <w:bCs/>
                <w:color w:val="000000"/>
                <w:sz w:val="20"/>
                <w:lang w:eastAsia="en-US"/>
              </w:rPr>
            </w:pPr>
            <w:r w:rsidRPr="00F04A75">
              <w:rPr>
                <w:rFonts w:ascii="Arial Narrow" w:hAnsi="Arial Narrow"/>
                <w:b/>
                <w:bCs/>
                <w:color w:val="000000"/>
                <w:sz w:val="20"/>
                <w:lang w:eastAsia="en-US"/>
              </w:rPr>
              <w:t xml:space="preserve">Restriction type / Method: </w:t>
            </w:r>
            <w:r w:rsidRPr="00F04A75">
              <w:rPr>
                <w:lang w:eastAsia="en-US"/>
              </w:rPr>
              <w:fldChar w:fldCharType="begin">
                <w:ffData>
                  <w:name w:val="Check3"/>
                  <w:enabled/>
                  <w:calcOnExit w:val="0"/>
                  <w:checkBox>
                    <w:sizeAuto/>
                    <w:default w:val="1"/>
                  </w:checkBox>
                </w:ffData>
              </w:fldChar>
            </w:r>
            <w:r w:rsidRPr="00F04A75">
              <w:rPr>
                <w:rFonts w:ascii="Arial Narrow" w:hAnsi="Arial Narrow"/>
                <w:bCs/>
                <w:color w:val="000000"/>
                <w:sz w:val="20"/>
                <w:lang w:eastAsia="en-US"/>
              </w:rPr>
              <w:instrText xml:space="preserve"> FORMCHECKBOX </w:instrText>
            </w:r>
            <w:r w:rsidR="00443BC9">
              <w:rPr>
                <w:lang w:eastAsia="en-US"/>
              </w:rPr>
            </w:r>
            <w:r w:rsidR="00443BC9">
              <w:rPr>
                <w:lang w:eastAsia="en-US"/>
              </w:rPr>
              <w:fldChar w:fldCharType="separate"/>
            </w:r>
            <w:r w:rsidRPr="00F04A75">
              <w:rPr>
                <w:lang w:eastAsia="en-US"/>
              </w:rPr>
              <w:fldChar w:fldCharType="end"/>
            </w:r>
            <w:r w:rsidRPr="00F04A75">
              <w:rPr>
                <w:rFonts w:ascii="Arial Narrow" w:hAnsi="Arial Narrow"/>
                <w:bCs/>
                <w:color w:val="000000"/>
                <w:sz w:val="20"/>
                <w:lang w:eastAsia="en-US"/>
              </w:rPr>
              <w:t>Authority Required - STREAMLINED</w:t>
            </w:r>
          </w:p>
        </w:tc>
      </w:tr>
      <w:tr w:rsidR="00BD6129" w:rsidRPr="00F04A75" w14:paraId="3F368912" w14:textId="77777777" w:rsidTr="003B5756">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3705DB" w14:textId="77777777" w:rsidR="00BD6129" w:rsidRPr="00F04A75" w:rsidRDefault="00BD6129" w:rsidP="000C5072">
            <w:pPr>
              <w:spacing w:line="256" w:lineRule="auto"/>
              <w:jc w:val="left"/>
              <w:rPr>
                <w:rFonts w:ascii="Arial Narrow" w:hAnsi="Arial Narrow"/>
                <w:color w:val="000000"/>
                <w:sz w:val="20"/>
                <w:lang w:eastAsia="en-US"/>
              </w:rPr>
            </w:pPr>
          </w:p>
        </w:tc>
        <w:tc>
          <w:tcPr>
            <w:tcW w:w="4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hideMark/>
          </w:tcPr>
          <w:p w14:paraId="6FE855F5" w14:textId="77777777" w:rsidR="00BD6129" w:rsidRPr="00F04A75" w:rsidRDefault="00BD6129" w:rsidP="000C5072">
            <w:pPr>
              <w:spacing w:line="256" w:lineRule="auto"/>
              <w:jc w:val="left"/>
              <w:rPr>
                <w:rFonts w:ascii="Arial Narrow" w:hAnsi="Arial Narrow"/>
                <w:bCs/>
                <w:i/>
                <w:color w:val="000000"/>
                <w:sz w:val="20"/>
                <w:lang w:eastAsia="en-US"/>
              </w:rPr>
            </w:pPr>
            <w:proofErr w:type="spellStart"/>
            <w:r w:rsidRPr="00F04A75">
              <w:rPr>
                <w:rFonts w:ascii="Arial Narrow" w:hAnsi="Arial Narrow"/>
                <w:b/>
                <w:bCs/>
                <w:color w:val="000000"/>
                <w:sz w:val="20"/>
                <w:lang w:eastAsia="en-US"/>
              </w:rPr>
              <w:t>Episodicity</w:t>
            </w:r>
            <w:proofErr w:type="spellEnd"/>
            <w:r w:rsidRPr="00F04A75">
              <w:rPr>
                <w:rFonts w:ascii="Arial Narrow" w:hAnsi="Arial Narrow"/>
                <w:b/>
                <w:bCs/>
                <w:color w:val="000000"/>
                <w:sz w:val="20"/>
                <w:lang w:eastAsia="en-US"/>
              </w:rPr>
              <w:t xml:space="preserve">: </w:t>
            </w:r>
            <w:r w:rsidRPr="00F04A75">
              <w:rPr>
                <w:rFonts w:ascii="Arial Narrow" w:hAnsi="Arial Narrow"/>
                <w:bCs/>
                <w:iCs/>
                <w:color w:val="000000"/>
                <w:sz w:val="20"/>
                <w:lang w:eastAsia="en-US"/>
              </w:rPr>
              <w:t>Relapsed and/or refractory</w:t>
            </w:r>
          </w:p>
        </w:tc>
      </w:tr>
      <w:tr w:rsidR="00BD6129" w:rsidRPr="00F04A75" w14:paraId="7CE5BD90" w14:textId="77777777" w:rsidTr="003B5756">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355520" w14:textId="77777777" w:rsidR="00BD6129" w:rsidRPr="00F04A75" w:rsidRDefault="00BD6129" w:rsidP="000C5072">
            <w:pPr>
              <w:spacing w:line="256" w:lineRule="auto"/>
              <w:jc w:val="left"/>
              <w:rPr>
                <w:rFonts w:ascii="Arial Narrow" w:hAnsi="Arial Narrow"/>
                <w:color w:val="000000"/>
                <w:sz w:val="20"/>
                <w:lang w:eastAsia="en-US"/>
              </w:rPr>
            </w:pPr>
          </w:p>
        </w:tc>
        <w:tc>
          <w:tcPr>
            <w:tcW w:w="4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hideMark/>
          </w:tcPr>
          <w:p w14:paraId="5B0F8171" w14:textId="77777777" w:rsidR="00BD6129" w:rsidRPr="00F04A75" w:rsidRDefault="00BD6129" w:rsidP="000C5072">
            <w:pPr>
              <w:spacing w:line="256" w:lineRule="auto"/>
              <w:jc w:val="left"/>
              <w:rPr>
                <w:rFonts w:ascii="Arial Narrow" w:hAnsi="Arial Narrow"/>
                <w:color w:val="000000"/>
                <w:sz w:val="20"/>
                <w:lang w:eastAsia="en-US"/>
              </w:rPr>
            </w:pPr>
            <w:r w:rsidRPr="00F04A75">
              <w:rPr>
                <w:rFonts w:ascii="Arial Narrow" w:hAnsi="Arial Narrow"/>
                <w:b/>
                <w:bCs/>
                <w:color w:val="000000"/>
                <w:sz w:val="20"/>
                <w:lang w:eastAsia="en-US"/>
              </w:rPr>
              <w:t xml:space="preserve">Condition: </w:t>
            </w:r>
            <w:r w:rsidRPr="00F04A75">
              <w:rPr>
                <w:rFonts w:ascii="Arial Narrow" w:hAnsi="Arial Narrow"/>
                <w:bCs/>
                <w:color w:val="000000"/>
                <w:sz w:val="20"/>
                <w:lang w:eastAsia="en-US"/>
              </w:rPr>
              <w:t xml:space="preserve">Multiple myeloma </w:t>
            </w:r>
          </w:p>
        </w:tc>
      </w:tr>
      <w:tr w:rsidR="00BD6129" w:rsidRPr="00F04A75" w14:paraId="2D6858DF" w14:textId="77777777" w:rsidTr="003B5756">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tcPr>
          <w:p w14:paraId="14A644A3" w14:textId="3745796D" w:rsidR="00BD6129" w:rsidRPr="00F04A75" w:rsidRDefault="00BD6129" w:rsidP="000C5072">
            <w:pPr>
              <w:spacing w:line="256" w:lineRule="auto"/>
              <w:jc w:val="center"/>
              <w:rPr>
                <w:rFonts w:ascii="Arial Narrow" w:hAnsi="Arial Narrow"/>
                <w:color w:val="000000"/>
                <w:sz w:val="20"/>
                <w:lang w:eastAsia="en-US"/>
              </w:rPr>
            </w:pPr>
          </w:p>
        </w:tc>
        <w:tc>
          <w:tcPr>
            <w:tcW w:w="4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hideMark/>
          </w:tcPr>
          <w:p w14:paraId="49A3D67D" w14:textId="77777777" w:rsidR="00BD6129" w:rsidRPr="00F04A75" w:rsidRDefault="00BD6129" w:rsidP="000C5072">
            <w:pPr>
              <w:spacing w:line="256" w:lineRule="auto"/>
              <w:jc w:val="left"/>
              <w:rPr>
                <w:rFonts w:ascii="Arial Narrow" w:hAnsi="Arial Narrow"/>
                <w:color w:val="000000"/>
                <w:sz w:val="20"/>
                <w:lang w:eastAsia="en-US"/>
              </w:rPr>
            </w:pPr>
            <w:r w:rsidRPr="00F04A75">
              <w:rPr>
                <w:rFonts w:ascii="Arial Narrow" w:hAnsi="Arial Narrow"/>
                <w:b/>
                <w:bCs/>
                <w:color w:val="000000"/>
                <w:sz w:val="20"/>
                <w:lang w:eastAsia="en-US"/>
              </w:rPr>
              <w:t xml:space="preserve">PBS Indication: </w:t>
            </w:r>
            <w:r w:rsidRPr="00F04A75">
              <w:rPr>
                <w:rFonts w:ascii="Arial Narrow" w:hAnsi="Arial Narrow"/>
                <w:bCs/>
                <w:color w:val="000000"/>
                <w:sz w:val="20"/>
                <w:lang w:eastAsia="en-US"/>
              </w:rPr>
              <w:t xml:space="preserve">Relapsed </w:t>
            </w:r>
            <w:r w:rsidRPr="00F04A75">
              <w:rPr>
                <w:rFonts w:ascii="Arial Narrow" w:hAnsi="Arial Narrow"/>
                <w:bCs/>
                <w:iCs/>
                <w:color w:val="000000"/>
                <w:sz w:val="20"/>
                <w:lang w:eastAsia="en-US"/>
              </w:rPr>
              <w:t>and/or</w:t>
            </w:r>
            <w:r w:rsidRPr="00F04A75">
              <w:rPr>
                <w:rFonts w:ascii="Arial Narrow" w:hAnsi="Arial Narrow"/>
                <w:bCs/>
                <w:color w:val="000000"/>
                <w:sz w:val="20"/>
                <w:lang w:eastAsia="en-US"/>
              </w:rPr>
              <w:t xml:space="preserve"> refractory multiple myeloma </w:t>
            </w:r>
          </w:p>
        </w:tc>
      </w:tr>
      <w:tr w:rsidR="00BD6129" w:rsidRPr="00F04A75" w14:paraId="4F5C5B0F" w14:textId="77777777" w:rsidTr="000C5072">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tcPr>
          <w:p w14:paraId="1726263A" w14:textId="77777777" w:rsidR="00BD6129" w:rsidRPr="00F04A75" w:rsidRDefault="00BD6129" w:rsidP="000C5072">
            <w:pPr>
              <w:spacing w:line="256" w:lineRule="auto"/>
              <w:jc w:val="left"/>
              <w:rPr>
                <w:rFonts w:ascii="Arial Narrow" w:hAnsi="Arial Narrow"/>
                <w:b/>
                <w:color w:val="000000"/>
                <w:sz w:val="20"/>
                <w:lang w:eastAsia="en-US"/>
              </w:rPr>
            </w:pPr>
          </w:p>
        </w:tc>
        <w:tc>
          <w:tcPr>
            <w:tcW w:w="4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hideMark/>
          </w:tcPr>
          <w:p w14:paraId="2D952FED" w14:textId="77777777" w:rsidR="00BD6129" w:rsidRPr="00F04A75" w:rsidRDefault="00BD6129" w:rsidP="000C5072">
            <w:pPr>
              <w:spacing w:line="256" w:lineRule="auto"/>
              <w:jc w:val="left"/>
              <w:rPr>
                <w:rFonts w:ascii="Arial Narrow" w:hAnsi="Arial Narrow"/>
                <w:i/>
                <w:color w:val="000000"/>
                <w:sz w:val="20"/>
                <w:lang w:eastAsia="en-US"/>
              </w:rPr>
            </w:pPr>
            <w:r w:rsidRPr="00F04A75">
              <w:rPr>
                <w:rFonts w:ascii="Arial Narrow" w:hAnsi="Arial Narrow"/>
                <w:b/>
                <w:bCs/>
                <w:color w:val="000000"/>
                <w:sz w:val="20"/>
                <w:lang w:eastAsia="en-US"/>
              </w:rPr>
              <w:t xml:space="preserve">Treatment phase: </w:t>
            </w:r>
            <w:r w:rsidRPr="00F04A75">
              <w:rPr>
                <w:rFonts w:ascii="Arial Narrow" w:hAnsi="Arial Narrow"/>
                <w:bCs/>
                <w:strike/>
                <w:color w:val="000000"/>
                <w:sz w:val="20"/>
                <w:lang w:eastAsia="en-US"/>
              </w:rPr>
              <w:t>Initial</w:t>
            </w:r>
            <w:r w:rsidRPr="00F04A75">
              <w:rPr>
                <w:rFonts w:ascii="Arial Narrow" w:hAnsi="Arial Narrow"/>
                <w:bCs/>
                <w:color w:val="000000"/>
                <w:sz w:val="20"/>
                <w:lang w:eastAsia="en-US"/>
              </w:rPr>
              <w:t xml:space="preserve"> </w:t>
            </w:r>
            <w:r w:rsidRPr="00F04A75">
              <w:rPr>
                <w:rFonts w:ascii="Arial Narrow" w:hAnsi="Arial Narrow"/>
                <w:bCs/>
                <w:i/>
                <w:iCs/>
                <w:color w:val="000000"/>
                <w:sz w:val="20"/>
                <w:lang w:eastAsia="en-US"/>
              </w:rPr>
              <w:t>Continuing</w:t>
            </w:r>
            <w:r w:rsidRPr="00F04A75">
              <w:rPr>
                <w:rFonts w:ascii="Arial Narrow" w:hAnsi="Arial Narrow"/>
                <w:bCs/>
                <w:color w:val="000000"/>
                <w:sz w:val="20"/>
                <w:lang w:eastAsia="en-US"/>
              </w:rPr>
              <w:t xml:space="preserve"> treatment for Cycles </w:t>
            </w:r>
            <w:r w:rsidRPr="00F04A75">
              <w:rPr>
                <w:rFonts w:ascii="Arial Narrow" w:hAnsi="Arial Narrow"/>
                <w:bCs/>
                <w:strike/>
                <w:color w:val="000000"/>
                <w:sz w:val="20"/>
                <w:lang w:eastAsia="en-US"/>
              </w:rPr>
              <w:t>1</w:t>
            </w:r>
            <w:r w:rsidRPr="00F04A75">
              <w:rPr>
                <w:rFonts w:ascii="Arial Narrow" w:hAnsi="Arial Narrow"/>
                <w:bCs/>
                <w:color w:val="000000"/>
                <w:sz w:val="20"/>
                <w:lang w:eastAsia="en-US"/>
              </w:rPr>
              <w:t xml:space="preserve"> </w:t>
            </w:r>
            <w:r w:rsidRPr="00F04A75">
              <w:rPr>
                <w:rFonts w:ascii="Arial Narrow" w:hAnsi="Arial Narrow"/>
                <w:bCs/>
                <w:i/>
                <w:iCs/>
                <w:color w:val="000000"/>
                <w:sz w:val="20"/>
                <w:lang w:eastAsia="en-US"/>
              </w:rPr>
              <w:t>3</w:t>
            </w:r>
            <w:r w:rsidRPr="00F04A75">
              <w:rPr>
                <w:rFonts w:ascii="Arial Narrow" w:hAnsi="Arial Narrow"/>
                <w:bCs/>
                <w:color w:val="000000"/>
                <w:sz w:val="20"/>
                <w:lang w:eastAsia="en-US"/>
              </w:rPr>
              <w:t xml:space="preserve"> to 12</w:t>
            </w:r>
          </w:p>
        </w:tc>
      </w:tr>
      <w:tr w:rsidR="00BD6129" w:rsidRPr="00F04A75" w14:paraId="2DFB7515" w14:textId="77777777" w:rsidTr="003B5756">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tcPr>
          <w:p w14:paraId="251E1EA0" w14:textId="7F501A51" w:rsidR="00BD6129" w:rsidRPr="00F04A75" w:rsidRDefault="00BD6129" w:rsidP="000C5072">
            <w:pPr>
              <w:spacing w:line="256" w:lineRule="auto"/>
              <w:jc w:val="center"/>
              <w:rPr>
                <w:rFonts w:ascii="Arial Narrow" w:hAnsi="Arial Narrow"/>
                <w:color w:val="000000"/>
                <w:sz w:val="20"/>
                <w:lang w:eastAsia="en-US"/>
              </w:rPr>
            </w:pPr>
          </w:p>
        </w:tc>
        <w:tc>
          <w:tcPr>
            <w:tcW w:w="4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hideMark/>
          </w:tcPr>
          <w:p w14:paraId="0F89A13E" w14:textId="77777777" w:rsidR="00BD6129" w:rsidRPr="00F04A75" w:rsidRDefault="00BD6129" w:rsidP="000C5072">
            <w:pPr>
              <w:spacing w:line="256" w:lineRule="auto"/>
              <w:jc w:val="left"/>
              <w:rPr>
                <w:rFonts w:ascii="Arial Narrow" w:hAnsi="Arial Narrow"/>
                <w:b/>
                <w:bCs/>
                <w:color w:val="000000"/>
                <w:sz w:val="20"/>
                <w:lang w:eastAsia="en-US"/>
              </w:rPr>
            </w:pPr>
            <w:r w:rsidRPr="00F04A75">
              <w:rPr>
                <w:rFonts w:ascii="Arial Narrow" w:hAnsi="Arial Narrow"/>
                <w:b/>
                <w:bCs/>
                <w:color w:val="000000"/>
                <w:sz w:val="20"/>
                <w:lang w:eastAsia="en-US"/>
              </w:rPr>
              <w:t>Clinical criteria:</w:t>
            </w:r>
          </w:p>
        </w:tc>
      </w:tr>
      <w:tr w:rsidR="00BD6129" w:rsidRPr="00F04A75" w14:paraId="10A1E296" w14:textId="77777777" w:rsidTr="003B5756">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tcPr>
          <w:p w14:paraId="22C76AE4" w14:textId="3F0E9FD2" w:rsidR="00BD6129" w:rsidRPr="00F04A75" w:rsidRDefault="00BD6129" w:rsidP="000C5072">
            <w:pPr>
              <w:spacing w:line="256" w:lineRule="auto"/>
              <w:jc w:val="center"/>
              <w:rPr>
                <w:rFonts w:ascii="Arial Narrow" w:hAnsi="Arial Narrow"/>
                <w:color w:val="000000"/>
                <w:sz w:val="20"/>
                <w:lang w:eastAsia="en-US"/>
              </w:rPr>
            </w:pPr>
          </w:p>
        </w:tc>
        <w:tc>
          <w:tcPr>
            <w:tcW w:w="4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hideMark/>
          </w:tcPr>
          <w:p w14:paraId="575C7283" w14:textId="77777777" w:rsidR="00BD6129" w:rsidRPr="00F04A75" w:rsidRDefault="00BD6129" w:rsidP="000C5072">
            <w:pPr>
              <w:spacing w:line="256" w:lineRule="auto"/>
              <w:jc w:val="left"/>
              <w:rPr>
                <w:rFonts w:ascii="Arial Narrow" w:hAnsi="Arial Narrow"/>
                <w:bCs/>
                <w:color w:val="000000"/>
                <w:sz w:val="20"/>
                <w:lang w:eastAsia="en-US"/>
              </w:rPr>
            </w:pPr>
            <w:r w:rsidRPr="00F04A75">
              <w:rPr>
                <w:rFonts w:ascii="Arial Narrow" w:hAnsi="Arial Narrow"/>
                <w:bCs/>
                <w:color w:val="000000"/>
                <w:sz w:val="20"/>
                <w:lang w:eastAsia="en-US"/>
              </w:rPr>
              <w:t>Patient must have previously received PBS-subsidised treatment with this drug for this condition</w:t>
            </w:r>
          </w:p>
        </w:tc>
      </w:tr>
      <w:tr w:rsidR="00BD6129" w:rsidRPr="00F04A75" w14:paraId="68EABF0B" w14:textId="77777777" w:rsidTr="000C5072">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tcPr>
          <w:p w14:paraId="2D7E438C" w14:textId="77777777" w:rsidR="00BD6129" w:rsidRPr="00F04A75" w:rsidRDefault="00BD6129" w:rsidP="000C5072">
            <w:pPr>
              <w:spacing w:line="256" w:lineRule="auto"/>
              <w:jc w:val="center"/>
              <w:rPr>
                <w:rFonts w:ascii="Arial Narrow" w:hAnsi="Arial Narrow"/>
                <w:color w:val="000000"/>
                <w:sz w:val="20"/>
                <w:lang w:eastAsia="en-US"/>
              </w:rPr>
            </w:pPr>
          </w:p>
        </w:tc>
        <w:tc>
          <w:tcPr>
            <w:tcW w:w="4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hideMark/>
          </w:tcPr>
          <w:p w14:paraId="5FF22E65" w14:textId="77777777" w:rsidR="00BD6129" w:rsidRPr="00F04A75" w:rsidRDefault="00BD6129" w:rsidP="000C5072">
            <w:pPr>
              <w:spacing w:line="256" w:lineRule="auto"/>
              <w:jc w:val="left"/>
              <w:rPr>
                <w:rFonts w:ascii="Arial Narrow" w:hAnsi="Arial Narrow"/>
                <w:b/>
                <w:bCs/>
                <w:color w:val="000000"/>
                <w:sz w:val="20"/>
                <w:lang w:eastAsia="en-US"/>
              </w:rPr>
            </w:pPr>
            <w:r w:rsidRPr="00F04A75">
              <w:rPr>
                <w:rFonts w:ascii="Arial Narrow" w:hAnsi="Arial Narrow"/>
                <w:b/>
                <w:bCs/>
                <w:color w:val="000000"/>
                <w:sz w:val="20"/>
                <w:lang w:eastAsia="en-US"/>
              </w:rPr>
              <w:t>AND</w:t>
            </w:r>
          </w:p>
        </w:tc>
      </w:tr>
      <w:tr w:rsidR="00BD6129" w:rsidRPr="00F04A75" w14:paraId="6B1D4A1E" w14:textId="77777777" w:rsidTr="003B5756">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tcPr>
          <w:p w14:paraId="10AFE77C" w14:textId="2F1601A6" w:rsidR="00BD6129" w:rsidRPr="00F04A75" w:rsidRDefault="00BD6129" w:rsidP="000C5072">
            <w:pPr>
              <w:spacing w:line="256" w:lineRule="auto"/>
              <w:jc w:val="center"/>
              <w:rPr>
                <w:rFonts w:ascii="Arial Narrow" w:hAnsi="Arial Narrow"/>
                <w:color w:val="000000"/>
                <w:sz w:val="20"/>
                <w:lang w:eastAsia="en-US"/>
              </w:rPr>
            </w:pPr>
          </w:p>
        </w:tc>
        <w:tc>
          <w:tcPr>
            <w:tcW w:w="4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hideMark/>
          </w:tcPr>
          <w:p w14:paraId="47503565" w14:textId="77777777" w:rsidR="00BD6129" w:rsidRPr="00F04A75" w:rsidRDefault="00BD6129" w:rsidP="000C5072">
            <w:pPr>
              <w:spacing w:line="256" w:lineRule="auto"/>
              <w:jc w:val="left"/>
              <w:rPr>
                <w:rFonts w:ascii="Arial Narrow" w:hAnsi="Arial Narrow"/>
                <w:b/>
                <w:bCs/>
                <w:color w:val="000000"/>
                <w:sz w:val="20"/>
                <w:lang w:eastAsia="en-US"/>
              </w:rPr>
            </w:pPr>
            <w:r w:rsidRPr="00F04A75">
              <w:rPr>
                <w:rFonts w:ascii="Arial Narrow" w:hAnsi="Arial Narrow"/>
                <w:b/>
                <w:bCs/>
                <w:color w:val="000000"/>
                <w:sz w:val="20"/>
                <w:lang w:eastAsia="en-US"/>
              </w:rPr>
              <w:t>Clinical criteria:</w:t>
            </w:r>
          </w:p>
        </w:tc>
      </w:tr>
      <w:tr w:rsidR="00BD6129" w:rsidRPr="00F04A75" w14:paraId="07041111" w14:textId="77777777" w:rsidTr="003B5756">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tcPr>
          <w:p w14:paraId="5DB1465A" w14:textId="7A4A0648" w:rsidR="00BD6129" w:rsidRPr="00F04A75" w:rsidRDefault="00BD6129" w:rsidP="000C5072">
            <w:pPr>
              <w:spacing w:line="256" w:lineRule="auto"/>
              <w:jc w:val="center"/>
              <w:rPr>
                <w:rFonts w:ascii="Arial Narrow" w:hAnsi="Arial Narrow"/>
                <w:color w:val="000000"/>
                <w:sz w:val="20"/>
                <w:lang w:eastAsia="en-US"/>
              </w:rPr>
            </w:pPr>
          </w:p>
        </w:tc>
        <w:tc>
          <w:tcPr>
            <w:tcW w:w="4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hideMark/>
          </w:tcPr>
          <w:p w14:paraId="74E4C26F" w14:textId="77777777" w:rsidR="00BD6129" w:rsidRPr="00F04A75" w:rsidRDefault="00BD6129" w:rsidP="000C5072">
            <w:pPr>
              <w:spacing w:line="256" w:lineRule="auto"/>
              <w:jc w:val="left"/>
              <w:rPr>
                <w:rFonts w:ascii="Arial Narrow" w:hAnsi="Arial Narrow"/>
                <w:bCs/>
                <w:color w:val="000000"/>
                <w:sz w:val="20"/>
                <w:lang w:eastAsia="en-US"/>
              </w:rPr>
            </w:pPr>
            <w:r w:rsidRPr="00F04A75">
              <w:rPr>
                <w:rFonts w:ascii="Arial Narrow" w:hAnsi="Arial Narrow"/>
                <w:bCs/>
                <w:color w:val="000000"/>
                <w:sz w:val="20"/>
                <w:lang w:eastAsia="en-US"/>
              </w:rPr>
              <w:t>The treatment must be in combination with lenalidomide and dexamethasone,</w:t>
            </w:r>
          </w:p>
        </w:tc>
      </w:tr>
      <w:tr w:rsidR="00BD6129" w:rsidRPr="00F04A75" w14:paraId="6AC126FE" w14:textId="77777777" w:rsidTr="000C5072">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tcPr>
          <w:p w14:paraId="420F6CA7" w14:textId="77777777" w:rsidR="00BD6129" w:rsidRPr="00F04A75" w:rsidRDefault="00BD6129" w:rsidP="000C5072">
            <w:pPr>
              <w:spacing w:line="256" w:lineRule="auto"/>
              <w:jc w:val="center"/>
              <w:rPr>
                <w:rFonts w:ascii="Arial Narrow" w:hAnsi="Arial Narrow"/>
                <w:color w:val="000000"/>
                <w:sz w:val="20"/>
                <w:lang w:eastAsia="en-US"/>
              </w:rPr>
            </w:pPr>
          </w:p>
        </w:tc>
        <w:tc>
          <w:tcPr>
            <w:tcW w:w="4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hideMark/>
          </w:tcPr>
          <w:p w14:paraId="64C81456" w14:textId="77777777" w:rsidR="00BD6129" w:rsidRPr="00F04A75" w:rsidRDefault="00BD6129" w:rsidP="000C5072">
            <w:pPr>
              <w:spacing w:line="256" w:lineRule="auto"/>
              <w:jc w:val="left"/>
              <w:rPr>
                <w:rFonts w:ascii="Arial Narrow" w:hAnsi="Arial Narrow"/>
                <w:b/>
                <w:bCs/>
                <w:color w:val="000000"/>
                <w:sz w:val="20"/>
                <w:lang w:eastAsia="en-US"/>
              </w:rPr>
            </w:pPr>
            <w:r w:rsidRPr="00F04A75">
              <w:rPr>
                <w:rFonts w:ascii="Arial Narrow" w:hAnsi="Arial Narrow"/>
                <w:b/>
                <w:bCs/>
                <w:color w:val="000000"/>
                <w:sz w:val="20"/>
                <w:lang w:eastAsia="en-US"/>
              </w:rPr>
              <w:t>AND</w:t>
            </w:r>
          </w:p>
        </w:tc>
      </w:tr>
      <w:tr w:rsidR="00BD6129" w:rsidRPr="00F04A75" w14:paraId="19F02F9D" w14:textId="77777777" w:rsidTr="003B5756">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tcPr>
          <w:p w14:paraId="0F01D2DD" w14:textId="04DFF537" w:rsidR="00BD6129" w:rsidRPr="00F04A75" w:rsidRDefault="00BD6129" w:rsidP="000C5072">
            <w:pPr>
              <w:spacing w:line="256" w:lineRule="auto"/>
              <w:jc w:val="center"/>
              <w:rPr>
                <w:rFonts w:ascii="Arial Narrow" w:hAnsi="Arial Narrow"/>
                <w:color w:val="000000"/>
                <w:sz w:val="20"/>
                <w:lang w:eastAsia="en-US"/>
              </w:rPr>
            </w:pPr>
          </w:p>
        </w:tc>
        <w:tc>
          <w:tcPr>
            <w:tcW w:w="4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hideMark/>
          </w:tcPr>
          <w:p w14:paraId="54033409" w14:textId="77777777" w:rsidR="00BD6129" w:rsidRPr="00F04A75" w:rsidRDefault="00BD6129" w:rsidP="000C5072">
            <w:pPr>
              <w:spacing w:line="256" w:lineRule="auto"/>
              <w:jc w:val="left"/>
              <w:rPr>
                <w:rFonts w:ascii="Arial Narrow" w:hAnsi="Arial Narrow"/>
                <w:b/>
                <w:bCs/>
                <w:color w:val="000000"/>
                <w:sz w:val="20"/>
                <w:lang w:eastAsia="en-US"/>
              </w:rPr>
            </w:pPr>
            <w:r w:rsidRPr="00F04A75">
              <w:rPr>
                <w:rFonts w:ascii="Arial Narrow" w:hAnsi="Arial Narrow"/>
                <w:b/>
                <w:bCs/>
                <w:color w:val="000000"/>
                <w:sz w:val="20"/>
                <w:lang w:eastAsia="en-US"/>
              </w:rPr>
              <w:t>Clinical criteria:</w:t>
            </w:r>
          </w:p>
        </w:tc>
      </w:tr>
      <w:tr w:rsidR="00BD6129" w:rsidRPr="00F04A75" w14:paraId="7C7A0173" w14:textId="77777777" w:rsidTr="003B5756">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tcPr>
          <w:p w14:paraId="2E5F548E" w14:textId="1ECEF89A" w:rsidR="00BD6129" w:rsidRPr="00F04A75" w:rsidRDefault="00BD6129" w:rsidP="000C5072">
            <w:pPr>
              <w:spacing w:line="256" w:lineRule="auto"/>
              <w:jc w:val="center"/>
              <w:rPr>
                <w:rFonts w:ascii="Arial Narrow" w:hAnsi="Arial Narrow"/>
                <w:color w:val="000000"/>
                <w:sz w:val="20"/>
                <w:lang w:eastAsia="en-US"/>
              </w:rPr>
            </w:pPr>
          </w:p>
        </w:tc>
        <w:tc>
          <w:tcPr>
            <w:tcW w:w="4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hideMark/>
          </w:tcPr>
          <w:p w14:paraId="1A3BA01C" w14:textId="77777777" w:rsidR="00BD6129" w:rsidRPr="00F04A75" w:rsidRDefault="00BD6129" w:rsidP="000C5072">
            <w:pPr>
              <w:spacing w:line="256" w:lineRule="auto"/>
              <w:jc w:val="left"/>
              <w:rPr>
                <w:rFonts w:ascii="Arial Narrow" w:hAnsi="Arial Narrow"/>
                <w:bCs/>
                <w:color w:val="000000"/>
                <w:sz w:val="20"/>
                <w:lang w:eastAsia="en-US"/>
              </w:rPr>
            </w:pPr>
            <w:r w:rsidRPr="00F04A75">
              <w:rPr>
                <w:rFonts w:ascii="Arial Narrow" w:hAnsi="Arial Narrow"/>
                <w:bCs/>
                <w:color w:val="000000"/>
                <w:sz w:val="20"/>
                <w:lang w:eastAsia="en-US"/>
              </w:rPr>
              <w:t>Patient must not have developed progressive disease while receiving treatment with this drug for this condition,</w:t>
            </w:r>
          </w:p>
        </w:tc>
      </w:tr>
      <w:tr w:rsidR="00BD6129" w:rsidRPr="00401332" w14:paraId="501F3C4E" w14:textId="77777777" w:rsidTr="000C5072">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tcPr>
          <w:p w14:paraId="6F968A37" w14:textId="77777777" w:rsidR="00BD6129" w:rsidRPr="00401332" w:rsidRDefault="00BD6129" w:rsidP="000C5072">
            <w:pPr>
              <w:spacing w:line="256" w:lineRule="auto"/>
              <w:jc w:val="center"/>
              <w:rPr>
                <w:rFonts w:ascii="Arial Narrow" w:hAnsi="Arial Narrow"/>
                <w:strike/>
                <w:color w:val="000000"/>
                <w:sz w:val="20"/>
                <w:lang w:eastAsia="en-US"/>
              </w:rPr>
            </w:pPr>
          </w:p>
        </w:tc>
        <w:tc>
          <w:tcPr>
            <w:tcW w:w="4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hideMark/>
          </w:tcPr>
          <w:p w14:paraId="7D41607B" w14:textId="77777777" w:rsidR="00BD6129" w:rsidRPr="00401332" w:rsidRDefault="00BD6129" w:rsidP="000C5072">
            <w:pPr>
              <w:spacing w:line="256" w:lineRule="auto"/>
              <w:jc w:val="left"/>
              <w:rPr>
                <w:rFonts w:ascii="Arial Narrow" w:hAnsi="Arial Narrow"/>
                <w:b/>
                <w:bCs/>
                <w:strike/>
                <w:color w:val="000000"/>
                <w:sz w:val="20"/>
                <w:lang w:eastAsia="en-US"/>
              </w:rPr>
            </w:pPr>
            <w:r w:rsidRPr="00401332">
              <w:rPr>
                <w:rFonts w:ascii="Arial Narrow" w:hAnsi="Arial Narrow"/>
                <w:b/>
                <w:bCs/>
                <w:strike/>
                <w:color w:val="000000"/>
                <w:sz w:val="20"/>
                <w:lang w:eastAsia="en-US"/>
              </w:rPr>
              <w:t>AND</w:t>
            </w:r>
          </w:p>
        </w:tc>
      </w:tr>
      <w:tr w:rsidR="00BD6129" w:rsidRPr="00401332" w14:paraId="41DCD5A3" w14:textId="77777777" w:rsidTr="000C5072">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tcPr>
          <w:p w14:paraId="59594C49" w14:textId="77777777" w:rsidR="00BD6129" w:rsidRPr="00401332" w:rsidRDefault="00BD6129" w:rsidP="000C5072">
            <w:pPr>
              <w:spacing w:line="256" w:lineRule="auto"/>
              <w:jc w:val="center"/>
              <w:rPr>
                <w:rFonts w:ascii="Arial Narrow" w:hAnsi="Arial Narrow"/>
                <w:strike/>
                <w:color w:val="000000"/>
                <w:sz w:val="20"/>
                <w:lang w:eastAsia="en-US"/>
              </w:rPr>
            </w:pPr>
          </w:p>
        </w:tc>
        <w:tc>
          <w:tcPr>
            <w:tcW w:w="4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hideMark/>
          </w:tcPr>
          <w:p w14:paraId="51D05F17" w14:textId="77777777" w:rsidR="00BD6129" w:rsidRPr="00401332" w:rsidRDefault="00BD6129" w:rsidP="000C5072">
            <w:pPr>
              <w:spacing w:line="256" w:lineRule="auto"/>
              <w:jc w:val="left"/>
              <w:rPr>
                <w:rFonts w:ascii="Arial Narrow" w:hAnsi="Arial Narrow"/>
                <w:b/>
                <w:bCs/>
                <w:strike/>
                <w:color w:val="000000"/>
                <w:sz w:val="20"/>
                <w:lang w:eastAsia="en-US"/>
              </w:rPr>
            </w:pPr>
            <w:r w:rsidRPr="00401332">
              <w:rPr>
                <w:rFonts w:ascii="Arial Narrow" w:hAnsi="Arial Narrow"/>
                <w:b/>
                <w:bCs/>
                <w:strike/>
                <w:color w:val="000000"/>
                <w:sz w:val="20"/>
                <w:lang w:eastAsia="en-US"/>
              </w:rPr>
              <w:t>Clinical criteria:</w:t>
            </w:r>
          </w:p>
        </w:tc>
      </w:tr>
      <w:tr w:rsidR="00BD6129" w:rsidRPr="00401332" w14:paraId="5B354903" w14:textId="77777777" w:rsidTr="003B5756">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tcPr>
          <w:p w14:paraId="4FFCB7B7" w14:textId="0523F993" w:rsidR="00BD6129" w:rsidRPr="00401332" w:rsidRDefault="00BD6129" w:rsidP="000C5072">
            <w:pPr>
              <w:spacing w:line="256" w:lineRule="auto"/>
              <w:jc w:val="center"/>
              <w:rPr>
                <w:rFonts w:ascii="Arial Narrow" w:hAnsi="Arial Narrow"/>
                <w:strike/>
                <w:color w:val="000000"/>
                <w:sz w:val="20"/>
                <w:lang w:eastAsia="en-US"/>
              </w:rPr>
            </w:pPr>
          </w:p>
        </w:tc>
        <w:tc>
          <w:tcPr>
            <w:tcW w:w="4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hideMark/>
          </w:tcPr>
          <w:p w14:paraId="2D20B7BB" w14:textId="77777777" w:rsidR="00BD6129" w:rsidRPr="00401332" w:rsidRDefault="00BD6129" w:rsidP="000C5072">
            <w:pPr>
              <w:spacing w:line="256" w:lineRule="auto"/>
              <w:jc w:val="left"/>
              <w:rPr>
                <w:rFonts w:ascii="Arial Narrow" w:hAnsi="Arial Narrow"/>
                <w:bCs/>
                <w:iCs/>
                <w:strike/>
                <w:color w:val="000000"/>
                <w:sz w:val="20"/>
                <w:lang w:eastAsia="en-US"/>
              </w:rPr>
            </w:pPr>
            <w:r w:rsidRPr="00401332">
              <w:rPr>
                <w:rFonts w:ascii="Arial Narrow" w:hAnsi="Arial Narrow"/>
                <w:bCs/>
                <w:strike/>
                <w:color w:val="000000"/>
                <w:sz w:val="20"/>
                <w:lang w:eastAsia="en-US"/>
              </w:rPr>
              <w:t xml:space="preserve">Patient must not be receiving concomitant PBS-subsidised </w:t>
            </w:r>
            <w:r w:rsidRPr="00401332">
              <w:rPr>
                <w:rFonts w:ascii="Arial Narrow" w:hAnsi="Arial Narrow"/>
                <w:bCs/>
                <w:i/>
                <w:strike/>
                <w:color w:val="000000"/>
                <w:sz w:val="20"/>
                <w:lang w:eastAsia="en-US"/>
              </w:rPr>
              <w:t>treatment with each of (</w:t>
            </w:r>
            <w:proofErr w:type="spellStart"/>
            <w:r w:rsidRPr="00401332">
              <w:rPr>
                <w:rFonts w:ascii="Arial Narrow" w:hAnsi="Arial Narrow"/>
                <w:bCs/>
                <w:i/>
                <w:strike/>
                <w:color w:val="000000"/>
                <w:sz w:val="20"/>
                <w:lang w:eastAsia="en-US"/>
              </w:rPr>
              <w:t>i</w:t>
            </w:r>
            <w:proofErr w:type="spellEnd"/>
            <w:r w:rsidRPr="00401332">
              <w:rPr>
                <w:rFonts w:ascii="Arial Narrow" w:hAnsi="Arial Narrow"/>
                <w:bCs/>
                <w:i/>
                <w:strike/>
                <w:color w:val="000000"/>
                <w:sz w:val="20"/>
                <w:lang w:eastAsia="en-US"/>
              </w:rPr>
              <w:t xml:space="preserve">) </w:t>
            </w:r>
            <w:r w:rsidRPr="00401332">
              <w:rPr>
                <w:rFonts w:ascii="Arial Narrow" w:hAnsi="Arial Narrow"/>
                <w:bCs/>
                <w:strike/>
                <w:color w:val="000000"/>
                <w:sz w:val="20"/>
                <w:lang w:eastAsia="en-US"/>
              </w:rPr>
              <w:t xml:space="preserve">bortezomib, </w:t>
            </w:r>
            <w:r w:rsidRPr="00401332">
              <w:rPr>
                <w:rFonts w:ascii="Arial Narrow" w:hAnsi="Arial Narrow"/>
                <w:bCs/>
                <w:i/>
                <w:strike/>
                <w:color w:val="000000"/>
                <w:sz w:val="20"/>
                <w:lang w:eastAsia="en-US"/>
              </w:rPr>
              <w:t xml:space="preserve">(ii) </w:t>
            </w:r>
            <w:r w:rsidRPr="00401332">
              <w:rPr>
                <w:rFonts w:ascii="Arial Narrow" w:hAnsi="Arial Narrow"/>
                <w:bCs/>
                <w:strike/>
                <w:color w:val="000000"/>
                <w:sz w:val="20"/>
                <w:lang w:eastAsia="en-US"/>
              </w:rPr>
              <w:t xml:space="preserve">pomalidomide, </w:t>
            </w:r>
            <w:r w:rsidRPr="00401332">
              <w:rPr>
                <w:rFonts w:ascii="Arial Narrow" w:hAnsi="Arial Narrow"/>
                <w:bCs/>
                <w:i/>
                <w:strike/>
                <w:color w:val="000000"/>
                <w:sz w:val="20"/>
                <w:lang w:eastAsia="en-US"/>
              </w:rPr>
              <w:t xml:space="preserve">(iv) </w:t>
            </w:r>
            <w:r w:rsidRPr="00401332">
              <w:rPr>
                <w:rFonts w:ascii="Arial Narrow" w:hAnsi="Arial Narrow"/>
                <w:bCs/>
                <w:strike/>
                <w:color w:val="000000"/>
                <w:sz w:val="20"/>
                <w:lang w:eastAsia="en-US"/>
              </w:rPr>
              <w:t xml:space="preserve">thalidomide, or </w:t>
            </w:r>
            <w:r w:rsidRPr="00401332">
              <w:rPr>
                <w:rFonts w:ascii="Arial Narrow" w:hAnsi="Arial Narrow"/>
                <w:bCs/>
                <w:i/>
                <w:strike/>
                <w:color w:val="000000"/>
                <w:sz w:val="20"/>
                <w:lang w:eastAsia="en-US"/>
              </w:rPr>
              <w:t xml:space="preserve">(v) </w:t>
            </w:r>
            <w:r w:rsidRPr="00401332">
              <w:rPr>
                <w:rFonts w:ascii="Arial Narrow" w:hAnsi="Arial Narrow"/>
                <w:bCs/>
                <w:iCs/>
                <w:strike/>
                <w:color w:val="000000"/>
                <w:sz w:val="20"/>
                <w:lang w:eastAsia="en-US"/>
              </w:rPr>
              <w:t>daratumumab</w:t>
            </w:r>
          </w:p>
        </w:tc>
      </w:tr>
      <w:tr w:rsidR="00BD6129" w:rsidRPr="00F04A75" w14:paraId="514DDD84" w14:textId="77777777" w:rsidTr="000C5072">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tcPr>
          <w:p w14:paraId="6C71E0F9" w14:textId="502A36C5" w:rsidR="00BD6129" w:rsidRPr="00F04A75" w:rsidRDefault="00BD6129" w:rsidP="000C5072">
            <w:pPr>
              <w:spacing w:line="256" w:lineRule="auto"/>
              <w:jc w:val="center"/>
              <w:rPr>
                <w:rFonts w:ascii="Arial Narrow" w:hAnsi="Arial Narrow"/>
                <w:color w:val="000000"/>
                <w:sz w:val="20"/>
                <w:lang w:eastAsia="en-US"/>
              </w:rPr>
            </w:pPr>
          </w:p>
        </w:tc>
        <w:tc>
          <w:tcPr>
            <w:tcW w:w="4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hideMark/>
          </w:tcPr>
          <w:p w14:paraId="67D0A2DF" w14:textId="77777777" w:rsidR="00BD6129" w:rsidRPr="00F04A75" w:rsidRDefault="00BD6129" w:rsidP="000C5072">
            <w:pPr>
              <w:spacing w:line="256" w:lineRule="auto"/>
              <w:jc w:val="left"/>
              <w:rPr>
                <w:rFonts w:ascii="Arial Narrow" w:hAnsi="Arial Narrow"/>
                <w:b/>
                <w:bCs/>
                <w:i/>
                <w:iCs/>
                <w:color w:val="000000"/>
                <w:sz w:val="20"/>
                <w:lang w:eastAsia="en-US"/>
              </w:rPr>
            </w:pPr>
            <w:r w:rsidRPr="00F04A75">
              <w:rPr>
                <w:rFonts w:ascii="Arial Narrow" w:hAnsi="Arial Narrow"/>
                <w:b/>
                <w:bCs/>
                <w:color w:val="000000"/>
                <w:sz w:val="20"/>
                <w:lang w:eastAsia="en-US"/>
              </w:rPr>
              <w:t xml:space="preserve">Prescribing instructions </w:t>
            </w:r>
          </w:p>
          <w:p w14:paraId="4A052CF0" w14:textId="77777777" w:rsidR="00BD6129" w:rsidRPr="00F04A75" w:rsidRDefault="00BD6129" w:rsidP="000C5072">
            <w:pPr>
              <w:spacing w:line="256" w:lineRule="auto"/>
              <w:jc w:val="left"/>
              <w:rPr>
                <w:rFonts w:ascii="Arial Narrow" w:hAnsi="Arial Narrow"/>
                <w:bCs/>
                <w:color w:val="000000"/>
                <w:sz w:val="20"/>
                <w:lang w:eastAsia="en-US"/>
              </w:rPr>
            </w:pPr>
            <w:r w:rsidRPr="00F04A75">
              <w:rPr>
                <w:rFonts w:ascii="Arial Narrow" w:hAnsi="Arial Narrow"/>
                <w:bCs/>
                <w:color w:val="000000"/>
                <w:sz w:val="20"/>
                <w:lang w:eastAsia="en-US"/>
              </w:rPr>
              <w:t>Progressive disease is defined as at least 1 of the following:</w:t>
            </w:r>
          </w:p>
          <w:p w14:paraId="4399CA8E" w14:textId="77777777" w:rsidR="00BD6129" w:rsidRPr="00F04A75" w:rsidRDefault="00BD6129" w:rsidP="000C5072">
            <w:pPr>
              <w:spacing w:line="256" w:lineRule="auto"/>
              <w:jc w:val="left"/>
              <w:rPr>
                <w:rFonts w:ascii="Arial Narrow" w:hAnsi="Arial Narrow"/>
                <w:bCs/>
                <w:color w:val="000000"/>
                <w:sz w:val="20"/>
                <w:lang w:eastAsia="en-US"/>
              </w:rPr>
            </w:pPr>
            <w:r w:rsidRPr="00F04A75">
              <w:rPr>
                <w:rFonts w:ascii="Arial Narrow" w:hAnsi="Arial Narrow"/>
                <w:bCs/>
                <w:color w:val="000000"/>
                <w:sz w:val="20"/>
                <w:lang w:eastAsia="en-US"/>
              </w:rPr>
              <w:t>(a) at least a 25% increase and an absolute increase of at least 5 g per L in serum M protein (monoclonal protein); or</w:t>
            </w:r>
          </w:p>
          <w:p w14:paraId="7DFC7B7B" w14:textId="77777777" w:rsidR="00BD6129" w:rsidRPr="00F04A75" w:rsidRDefault="00BD6129" w:rsidP="000C5072">
            <w:pPr>
              <w:spacing w:line="256" w:lineRule="auto"/>
              <w:jc w:val="left"/>
              <w:rPr>
                <w:rFonts w:ascii="Arial Narrow" w:hAnsi="Arial Narrow"/>
                <w:bCs/>
                <w:color w:val="000000"/>
                <w:sz w:val="20"/>
                <w:lang w:eastAsia="en-US"/>
              </w:rPr>
            </w:pPr>
            <w:r w:rsidRPr="00F04A75">
              <w:rPr>
                <w:rFonts w:ascii="Arial Narrow" w:hAnsi="Arial Narrow"/>
                <w:bCs/>
                <w:color w:val="000000"/>
                <w:sz w:val="20"/>
                <w:lang w:eastAsia="en-US"/>
              </w:rPr>
              <w:t>(b) at least a 25% increase in 24-hour urinary light chain M protein excretion, and an absolute increase of at least 200 mg per 24 hours; or</w:t>
            </w:r>
          </w:p>
          <w:p w14:paraId="5A1A0BFA" w14:textId="77777777" w:rsidR="00BD6129" w:rsidRPr="00F04A75" w:rsidRDefault="00BD6129" w:rsidP="000C5072">
            <w:pPr>
              <w:spacing w:line="256" w:lineRule="auto"/>
              <w:jc w:val="left"/>
              <w:rPr>
                <w:rFonts w:ascii="Arial Narrow" w:hAnsi="Arial Narrow"/>
                <w:bCs/>
                <w:color w:val="000000"/>
                <w:sz w:val="20"/>
                <w:lang w:eastAsia="en-US"/>
              </w:rPr>
            </w:pPr>
            <w:r w:rsidRPr="00F04A75">
              <w:rPr>
                <w:rFonts w:ascii="Arial Narrow" w:hAnsi="Arial Narrow"/>
                <w:bCs/>
                <w:color w:val="000000"/>
                <w:sz w:val="20"/>
                <w:lang w:eastAsia="en-US"/>
              </w:rPr>
              <w:t xml:space="preserve">(c) in oligo-secretory and non-secretory myeloma patients only, at least a 50% increase in the difference between involved free light chain and uninvolved free light </w:t>
            </w:r>
            <w:proofErr w:type="gramStart"/>
            <w:r w:rsidRPr="00F04A75">
              <w:rPr>
                <w:rFonts w:ascii="Arial Narrow" w:hAnsi="Arial Narrow"/>
                <w:bCs/>
                <w:color w:val="000000"/>
                <w:sz w:val="20"/>
                <w:lang w:eastAsia="en-US"/>
              </w:rPr>
              <w:t>chain;</w:t>
            </w:r>
            <w:proofErr w:type="gramEnd"/>
            <w:r w:rsidRPr="00F04A75">
              <w:rPr>
                <w:rFonts w:ascii="Arial Narrow" w:hAnsi="Arial Narrow"/>
                <w:bCs/>
                <w:color w:val="000000"/>
                <w:sz w:val="20"/>
                <w:lang w:eastAsia="en-US"/>
              </w:rPr>
              <w:t xml:space="preserve"> or</w:t>
            </w:r>
          </w:p>
          <w:p w14:paraId="344A5E0C" w14:textId="77777777" w:rsidR="00BD6129" w:rsidRPr="00F04A75" w:rsidRDefault="00BD6129" w:rsidP="000C5072">
            <w:pPr>
              <w:spacing w:line="256" w:lineRule="auto"/>
              <w:jc w:val="left"/>
              <w:rPr>
                <w:rFonts w:ascii="Arial Narrow" w:hAnsi="Arial Narrow"/>
                <w:bCs/>
                <w:color w:val="000000"/>
                <w:sz w:val="20"/>
                <w:lang w:eastAsia="en-US"/>
              </w:rPr>
            </w:pPr>
            <w:r w:rsidRPr="00F04A75">
              <w:rPr>
                <w:rFonts w:ascii="Arial Narrow" w:hAnsi="Arial Narrow"/>
                <w:bCs/>
                <w:color w:val="000000"/>
                <w:sz w:val="20"/>
                <w:lang w:eastAsia="en-US"/>
              </w:rPr>
              <w:t>(d) at least a 25% relative increase and at least a 10% absolute increase in plasma cells in a bone marrow aspirate or on biopsy; or</w:t>
            </w:r>
          </w:p>
          <w:p w14:paraId="2406BF3D" w14:textId="77777777" w:rsidR="00BD6129" w:rsidRPr="00F04A75" w:rsidRDefault="00BD6129" w:rsidP="000C5072">
            <w:pPr>
              <w:spacing w:line="256" w:lineRule="auto"/>
              <w:jc w:val="left"/>
              <w:rPr>
                <w:rFonts w:ascii="Arial Narrow" w:hAnsi="Arial Narrow"/>
                <w:bCs/>
                <w:color w:val="000000"/>
                <w:sz w:val="20"/>
                <w:lang w:eastAsia="en-US"/>
              </w:rPr>
            </w:pPr>
            <w:r w:rsidRPr="00F04A75">
              <w:rPr>
                <w:rFonts w:ascii="Arial Narrow" w:hAnsi="Arial Narrow"/>
                <w:bCs/>
                <w:color w:val="000000"/>
                <w:sz w:val="20"/>
                <w:lang w:eastAsia="en-US"/>
              </w:rPr>
              <w:t>(e) an increase in the size or number of lytic bone lesions (not including compression fractures); or</w:t>
            </w:r>
          </w:p>
          <w:p w14:paraId="31E34893" w14:textId="77777777" w:rsidR="00BD6129" w:rsidRPr="00F04A75" w:rsidRDefault="00BD6129" w:rsidP="000C5072">
            <w:pPr>
              <w:spacing w:line="256" w:lineRule="auto"/>
              <w:jc w:val="left"/>
              <w:rPr>
                <w:rFonts w:ascii="Arial Narrow" w:hAnsi="Arial Narrow"/>
                <w:bCs/>
                <w:color w:val="000000"/>
                <w:sz w:val="20"/>
                <w:lang w:eastAsia="en-US"/>
              </w:rPr>
            </w:pPr>
            <w:r w:rsidRPr="00F04A75">
              <w:rPr>
                <w:rFonts w:ascii="Arial Narrow" w:hAnsi="Arial Narrow"/>
                <w:bCs/>
                <w:color w:val="000000"/>
                <w:sz w:val="20"/>
                <w:lang w:eastAsia="en-US"/>
              </w:rPr>
              <w:t>(f) at least a 25% increase in the size of an existing or the development of a new soft tissue plasmacytoma (determined by clinical examination or diagnostic imaging); or</w:t>
            </w:r>
          </w:p>
          <w:p w14:paraId="7763F8D4" w14:textId="77777777" w:rsidR="00BD6129" w:rsidRPr="00F04A75" w:rsidRDefault="00BD6129" w:rsidP="000C5072">
            <w:pPr>
              <w:spacing w:line="256" w:lineRule="auto"/>
              <w:jc w:val="left"/>
              <w:rPr>
                <w:rFonts w:ascii="Arial Narrow" w:hAnsi="Arial Narrow"/>
                <w:bCs/>
                <w:color w:val="000000"/>
                <w:sz w:val="20"/>
                <w:lang w:eastAsia="en-US"/>
              </w:rPr>
            </w:pPr>
            <w:r w:rsidRPr="00F04A75">
              <w:rPr>
                <w:rFonts w:ascii="Arial Narrow" w:hAnsi="Arial Narrow"/>
                <w:bCs/>
                <w:color w:val="000000"/>
                <w:sz w:val="20"/>
                <w:lang w:eastAsia="en-US"/>
              </w:rPr>
              <w:t>(g) development of hypercalcaemia (corrected serum calcium greater than 2.65 mmol per L not attributable to any other cause).</w:t>
            </w:r>
          </w:p>
        </w:tc>
      </w:tr>
      <w:tr w:rsidR="00BD6129" w:rsidRPr="00F04A75" w14:paraId="0D30C4D9" w14:textId="77777777" w:rsidTr="000C5072">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tcPr>
          <w:p w14:paraId="3337FE93" w14:textId="77777777" w:rsidR="00BD6129" w:rsidRPr="00F04A75" w:rsidRDefault="00BD6129" w:rsidP="000C5072">
            <w:pPr>
              <w:spacing w:line="256" w:lineRule="auto"/>
              <w:jc w:val="center"/>
              <w:rPr>
                <w:rFonts w:ascii="Arial Narrow" w:hAnsi="Arial Narrow"/>
                <w:color w:val="000000"/>
                <w:sz w:val="20"/>
                <w:lang w:eastAsia="en-US"/>
              </w:rPr>
            </w:pPr>
          </w:p>
          <w:p w14:paraId="062E1D48" w14:textId="77777777" w:rsidR="00BD6129" w:rsidRPr="00F04A75" w:rsidRDefault="00BD6129" w:rsidP="000C5072">
            <w:pPr>
              <w:spacing w:line="256" w:lineRule="auto"/>
              <w:jc w:val="center"/>
              <w:rPr>
                <w:rFonts w:ascii="Arial Narrow" w:hAnsi="Arial Narrow"/>
                <w:strike/>
                <w:color w:val="000000"/>
                <w:sz w:val="20"/>
                <w:lang w:eastAsia="en-US"/>
              </w:rPr>
            </w:pPr>
          </w:p>
        </w:tc>
        <w:tc>
          <w:tcPr>
            <w:tcW w:w="4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hideMark/>
          </w:tcPr>
          <w:p w14:paraId="3225F866" w14:textId="77777777" w:rsidR="00BD6129" w:rsidRPr="00F04A75" w:rsidRDefault="00BD6129" w:rsidP="000C5072">
            <w:pPr>
              <w:spacing w:line="256" w:lineRule="auto"/>
              <w:jc w:val="left"/>
              <w:rPr>
                <w:rFonts w:ascii="Arial Narrow" w:hAnsi="Arial Narrow"/>
                <w:b/>
                <w:bCs/>
                <w:i/>
                <w:iCs/>
                <w:color w:val="000000"/>
                <w:sz w:val="20"/>
                <w:lang w:eastAsia="en-US"/>
              </w:rPr>
            </w:pPr>
            <w:r w:rsidRPr="00F04A75">
              <w:rPr>
                <w:rFonts w:ascii="Arial Narrow" w:hAnsi="Arial Narrow"/>
                <w:b/>
                <w:bCs/>
                <w:color w:val="000000"/>
                <w:sz w:val="20"/>
                <w:lang w:eastAsia="en-US"/>
              </w:rPr>
              <w:t xml:space="preserve">Prescribing instructions </w:t>
            </w:r>
          </w:p>
          <w:p w14:paraId="75B71F18" w14:textId="77777777" w:rsidR="00BD6129" w:rsidRPr="00F04A75" w:rsidRDefault="00BD6129" w:rsidP="000C5072">
            <w:pPr>
              <w:spacing w:line="256" w:lineRule="auto"/>
              <w:jc w:val="left"/>
              <w:rPr>
                <w:rFonts w:ascii="Arial Narrow" w:hAnsi="Arial Narrow"/>
                <w:b/>
                <w:bCs/>
                <w:color w:val="000000"/>
                <w:sz w:val="20"/>
                <w:lang w:eastAsia="en-US"/>
              </w:rPr>
            </w:pPr>
            <w:r w:rsidRPr="00F04A75">
              <w:rPr>
                <w:rFonts w:ascii="Arial Narrow" w:hAnsi="Arial Narrow"/>
                <w:bCs/>
                <w:color w:val="000000"/>
                <w:sz w:val="20"/>
                <w:lang w:eastAsia="en-US"/>
              </w:rPr>
              <w:t>Oligo-secretory and non-secretory patients are defined as having active disease with less than 10 g per L serum M protein.</w:t>
            </w:r>
          </w:p>
        </w:tc>
      </w:tr>
      <w:tr w:rsidR="00BD6129" w:rsidRPr="00F04A75" w14:paraId="0DEBD2A7" w14:textId="77777777" w:rsidTr="003B5756">
        <w:tc>
          <w:tcPr>
            <w:tcW w:w="701" w:type="pct"/>
            <w:tcBorders>
              <w:top w:val="single" w:sz="4" w:space="0" w:color="auto"/>
              <w:left w:val="single" w:sz="4" w:space="0" w:color="auto"/>
              <w:bottom w:val="single" w:sz="4" w:space="0" w:color="auto"/>
              <w:right w:val="single" w:sz="4" w:space="0" w:color="auto"/>
            </w:tcBorders>
            <w:tcMar>
              <w:top w:w="15" w:type="dxa"/>
              <w:left w:w="28" w:type="dxa"/>
              <w:bottom w:w="15" w:type="dxa"/>
              <w:right w:w="28" w:type="dxa"/>
            </w:tcMar>
            <w:vAlign w:val="center"/>
          </w:tcPr>
          <w:p w14:paraId="22FC6651" w14:textId="7E841082" w:rsidR="00BD6129" w:rsidRPr="00F04A75" w:rsidRDefault="00BD6129" w:rsidP="000C5072">
            <w:pPr>
              <w:spacing w:line="256" w:lineRule="auto"/>
              <w:jc w:val="center"/>
              <w:rPr>
                <w:rFonts w:ascii="Arial Narrow" w:hAnsi="Arial Narrow"/>
                <w:color w:val="333333"/>
                <w:sz w:val="18"/>
                <w:szCs w:val="18"/>
                <w:lang w:eastAsia="en-US"/>
              </w:rPr>
            </w:pPr>
          </w:p>
        </w:tc>
        <w:tc>
          <w:tcPr>
            <w:tcW w:w="4299" w:type="pct"/>
            <w:tcBorders>
              <w:top w:val="single" w:sz="4" w:space="0" w:color="auto"/>
              <w:left w:val="single" w:sz="4" w:space="0" w:color="auto"/>
              <w:bottom w:val="single" w:sz="4" w:space="0" w:color="auto"/>
              <w:right w:val="single" w:sz="4" w:space="0" w:color="auto"/>
            </w:tcBorders>
            <w:tcMar>
              <w:top w:w="15" w:type="dxa"/>
              <w:left w:w="28" w:type="dxa"/>
              <w:bottom w:w="15" w:type="dxa"/>
              <w:right w:w="28" w:type="dxa"/>
            </w:tcMar>
            <w:vAlign w:val="center"/>
            <w:hideMark/>
          </w:tcPr>
          <w:p w14:paraId="47EDEEB8" w14:textId="77777777" w:rsidR="00BD6129" w:rsidRPr="00F04A75" w:rsidRDefault="00BD6129" w:rsidP="000C5072">
            <w:pPr>
              <w:spacing w:line="256" w:lineRule="auto"/>
              <w:jc w:val="left"/>
              <w:rPr>
                <w:rFonts w:ascii="Arial Narrow" w:hAnsi="Arial Narrow"/>
                <w:b/>
                <w:bCs/>
                <w:i/>
                <w:color w:val="333333"/>
                <w:sz w:val="20"/>
                <w:lang w:eastAsia="en-US"/>
              </w:rPr>
            </w:pPr>
            <w:r w:rsidRPr="00F04A75">
              <w:rPr>
                <w:rFonts w:ascii="Arial Narrow" w:hAnsi="Arial Narrow"/>
                <w:b/>
                <w:bCs/>
                <w:i/>
                <w:color w:val="333333"/>
                <w:sz w:val="20"/>
                <w:lang w:eastAsia="en-US"/>
              </w:rPr>
              <w:t>Administrative Advice:</w:t>
            </w:r>
            <w:r w:rsidRPr="00F04A75">
              <w:rPr>
                <w:rFonts w:ascii="Arial Narrow" w:hAnsi="Arial Narrow"/>
                <w:i/>
                <w:color w:val="333333"/>
                <w:sz w:val="20"/>
                <w:lang w:eastAsia="en-US"/>
              </w:rPr>
              <w:t xml:space="preserve"> No increase in the maximum number of repeats may be authorised.</w:t>
            </w:r>
          </w:p>
        </w:tc>
      </w:tr>
      <w:tr w:rsidR="00BD6129" w:rsidRPr="00F04A75" w14:paraId="2D5355A1" w14:textId="77777777" w:rsidTr="003B5756">
        <w:tc>
          <w:tcPr>
            <w:tcW w:w="701" w:type="pct"/>
            <w:tcBorders>
              <w:top w:val="single" w:sz="4" w:space="0" w:color="auto"/>
              <w:left w:val="single" w:sz="4" w:space="0" w:color="auto"/>
              <w:bottom w:val="single" w:sz="4" w:space="0" w:color="auto"/>
              <w:right w:val="single" w:sz="4" w:space="0" w:color="auto"/>
            </w:tcBorders>
            <w:tcMar>
              <w:top w:w="15" w:type="dxa"/>
              <w:left w:w="28" w:type="dxa"/>
              <w:bottom w:w="15" w:type="dxa"/>
              <w:right w:w="28" w:type="dxa"/>
            </w:tcMar>
            <w:vAlign w:val="center"/>
          </w:tcPr>
          <w:p w14:paraId="2AFD00EC" w14:textId="2B7A4F7A" w:rsidR="00BD6129" w:rsidRPr="00F04A75" w:rsidRDefault="00BD6129" w:rsidP="000C5072">
            <w:pPr>
              <w:spacing w:line="256" w:lineRule="auto"/>
              <w:jc w:val="center"/>
              <w:rPr>
                <w:rFonts w:ascii="Arial Narrow" w:hAnsi="Arial Narrow"/>
                <w:color w:val="333333"/>
                <w:sz w:val="18"/>
                <w:szCs w:val="18"/>
                <w:lang w:eastAsia="en-US"/>
              </w:rPr>
            </w:pPr>
          </w:p>
        </w:tc>
        <w:tc>
          <w:tcPr>
            <w:tcW w:w="4299" w:type="pct"/>
            <w:tcBorders>
              <w:top w:val="single" w:sz="4" w:space="0" w:color="auto"/>
              <w:left w:val="single" w:sz="4" w:space="0" w:color="auto"/>
              <w:bottom w:val="single" w:sz="4" w:space="0" w:color="auto"/>
              <w:right w:val="single" w:sz="4" w:space="0" w:color="auto"/>
            </w:tcBorders>
            <w:tcMar>
              <w:top w:w="15" w:type="dxa"/>
              <w:left w:w="28" w:type="dxa"/>
              <w:bottom w:w="15" w:type="dxa"/>
              <w:right w:w="28" w:type="dxa"/>
            </w:tcMar>
            <w:vAlign w:val="center"/>
            <w:hideMark/>
          </w:tcPr>
          <w:p w14:paraId="471936AD" w14:textId="77777777" w:rsidR="00BD6129" w:rsidRPr="00F04A75" w:rsidRDefault="00BD6129" w:rsidP="000C5072">
            <w:pPr>
              <w:spacing w:line="256" w:lineRule="auto"/>
              <w:jc w:val="left"/>
              <w:rPr>
                <w:rFonts w:ascii="Arial Narrow" w:hAnsi="Arial Narrow"/>
                <w:b/>
                <w:bCs/>
                <w:color w:val="333333"/>
                <w:sz w:val="20"/>
                <w:lang w:eastAsia="en-US"/>
              </w:rPr>
            </w:pPr>
            <w:r w:rsidRPr="00F04A75">
              <w:rPr>
                <w:rFonts w:ascii="Arial Narrow" w:hAnsi="Arial Narrow"/>
                <w:b/>
                <w:bCs/>
                <w:i/>
                <w:color w:val="333333"/>
                <w:sz w:val="20"/>
                <w:lang w:eastAsia="en-US"/>
              </w:rPr>
              <w:t>Administrative Advice:</w:t>
            </w:r>
            <w:r w:rsidRPr="00F04A75">
              <w:rPr>
                <w:rFonts w:ascii="Arial Narrow" w:hAnsi="Arial Narrow"/>
                <w:b/>
                <w:bCs/>
                <w:color w:val="333333"/>
                <w:sz w:val="20"/>
                <w:lang w:eastAsia="en-US"/>
              </w:rPr>
              <w:t xml:space="preserve"> </w:t>
            </w:r>
            <w:r w:rsidRPr="00F04A75">
              <w:rPr>
                <w:rFonts w:ascii="Arial Narrow" w:hAnsi="Arial Narrow"/>
                <w:i/>
                <w:color w:val="333333"/>
                <w:sz w:val="20"/>
                <w:lang w:eastAsia="en-US"/>
              </w:rPr>
              <w:t>Special Pricing Arrangements apply</w:t>
            </w:r>
          </w:p>
        </w:tc>
      </w:tr>
    </w:tbl>
    <w:p w14:paraId="4B30A9C8" w14:textId="77777777" w:rsidR="007E3BB7" w:rsidRDefault="007E3BB7" w:rsidP="00BD6129">
      <w:pPr>
        <w:spacing w:after="120"/>
        <w:rPr>
          <w:rFonts w:ascii="Arial Narrow" w:hAnsi="Arial Narrow"/>
          <w:b/>
          <w:bCs/>
          <w:color w:val="4F81BD" w:themeColor="accent1"/>
          <w:sz w:val="20"/>
          <w:szCs w:val="20"/>
        </w:rPr>
      </w:pPr>
    </w:p>
    <w:p w14:paraId="7F219B76" w14:textId="7D4495B8" w:rsidR="00BD6129" w:rsidRPr="00F04A75" w:rsidRDefault="00BD6129" w:rsidP="00BD6129">
      <w:pPr>
        <w:spacing w:after="120"/>
        <w:rPr>
          <w:rFonts w:ascii="Arial Narrow" w:hAnsi="Arial Narrow"/>
          <w:b/>
          <w:sz w:val="20"/>
        </w:rPr>
      </w:pPr>
      <w:r w:rsidRPr="00F04A75">
        <w:rPr>
          <w:rFonts w:ascii="Arial Narrow" w:hAnsi="Arial Narrow"/>
          <w:b/>
          <w:sz w:val="20"/>
        </w:rPr>
        <w:t>Restriction Summary [new] / Treatment of Concept: [new]</w:t>
      </w:r>
    </w:p>
    <w:tbl>
      <w:tblPr>
        <w:tblW w:w="5028"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271"/>
        <w:gridCol w:w="7796"/>
      </w:tblGrid>
      <w:tr w:rsidR="00BD6129" w:rsidRPr="00F04A75" w14:paraId="3F462CBD" w14:textId="77777777" w:rsidTr="000C5072">
        <w:tc>
          <w:tcPr>
            <w:tcW w:w="701"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28" w:type="dxa"/>
              <w:bottom w:w="0" w:type="dxa"/>
              <w:right w:w="28" w:type="dxa"/>
            </w:tcMar>
          </w:tcPr>
          <w:p w14:paraId="4ABE3A2D" w14:textId="0E47C5BA" w:rsidR="00BD6129" w:rsidRPr="00F04A75" w:rsidRDefault="00BD6129" w:rsidP="000C5072">
            <w:pPr>
              <w:spacing w:line="256" w:lineRule="auto"/>
              <w:jc w:val="center"/>
              <w:rPr>
                <w:rFonts w:ascii="Arial Narrow" w:hAnsi="Arial Narrow"/>
                <w:b/>
                <w:color w:val="000000"/>
                <w:sz w:val="20"/>
                <w:lang w:eastAsia="en-US"/>
              </w:rPr>
            </w:pPr>
          </w:p>
        </w:tc>
        <w:tc>
          <w:tcPr>
            <w:tcW w:w="429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28" w:type="dxa"/>
              <w:bottom w:w="0" w:type="dxa"/>
              <w:right w:w="28" w:type="dxa"/>
            </w:tcMar>
            <w:hideMark/>
          </w:tcPr>
          <w:p w14:paraId="7ECAA5C3" w14:textId="77777777" w:rsidR="00BD6129" w:rsidRPr="00F04A75" w:rsidRDefault="00BD6129" w:rsidP="000C5072">
            <w:pPr>
              <w:spacing w:line="256" w:lineRule="auto"/>
              <w:jc w:val="left"/>
              <w:rPr>
                <w:rFonts w:ascii="Arial Narrow" w:hAnsi="Arial Narrow"/>
                <w:b/>
                <w:color w:val="000000"/>
                <w:sz w:val="20"/>
                <w:lang w:eastAsia="en-US"/>
              </w:rPr>
            </w:pPr>
            <w:r w:rsidRPr="00F04A75">
              <w:rPr>
                <w:rFonts w:ascii="Arial Narrow" w:hAnsi="Arial Narrow"/>
                <w:b/>
                <w:bCs/>
                <w:color w:val="000000"/>
                <w:sz w:val="20"/>
                <w:lang w:eastAsia="en-US"/>
              </w:rPr>
              <w:t xml:space="preserve">Category/Program: </w:t>
            </w:r>
            <w:r w:rsidRPr="00F04A75">
              <w:rPr>
                <w:rFonts w:ascii="Arial Narrow" w:hAnsi="Arial Narrow"/>
                <w:bCs/>
                <w:color w:val="000000"/>
                <w:sz w:val="20"/>
                <w:lang w:eastAsia="en-US"/>
              </w:rPr>
              <w:t>Section 100 (Efficient Funding of Chemotherapy)</w:t>
            </w:r>
          </w:p>
        </w:tc>
      </w:tr>
      <w:tr w:rsidR="00BD6129" w:rsidRPr="00F04A75" w14:paraId="73775701" w14:textId="77777777" w:rsidTr="003B5756">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2F3517" w14:textId="77777777" w:rsidR="00BD6129" w:rsidRPr="00F04A75" w:rsidRDefault="00BD6129" w:rsidP="000C5072">
            <w:pPr>
              <w:spacing w:line="256" w:lineRule="auto"/>
              <w:jc w:val="left"/>
              <w:rPr>
                <w:rFonts w:ascii="Arial Narrow" w:hAnsi="Arial Narrow"/>
                <w:b/>
                <w:color w:val="000000"/>
                <w:sz w:val="20"/>
                <w:lang w:eastAsia="en-US"/>
              </w:rPr>
            </w:pPr>
          </w:p>
        </w:tc>
        <w:tc>
          <w:tcPr>
            <w:tcW w:w="429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28" w:type="dxa"/>
              <w:bottom w:w="0" w:type="dxa"/>
              <w:right w:w="28" w:type="dxa"/>
            </w:tcMar>
            <w:hideMark/>
          </w:tcPr>
          <w:p w14:paraId="68147271" w14:textId="77777777" w:rsidR="00BD6129" w:rsidRPr="00F04A75" w:rsidRDefault="00BD6129" w:rsidP="000C5072">
            <w:pPr>
              <w:spacing w:line="256" w:lineRule="auto"/>
              <w:jc w:val="left"/>
              <w:rPr>
                <w:rFonts w:ascii="Arial Narrow" w:hAnsi="Arial Narrow"/>
                <w:bCs/>
                <w:color w:val="000000"/>
                <w:sz w:val="20"/>
                <w:highlight w:val="yellow"/>
                <w:lang w:eastAsia="en-US"/>
              </w:rPr>
            </w:pPr>
            <w:r w:rsidRPr="00F04A75">
              <w:rPr>
                <w:rFonts w:ascii="Arial Narrow" w:hAnsi="Arial Narrow"/>
                <w:b/>
                <w:bCs/>
                <w:color w:val="000000"/>
                <w:sz w:val="20"/>
                <w:lang w:eastAsia="en-US"/>
              </w:rPr>
              <w:t xml:space="preserve">Prescriber type: </w:t>
            </w:r>
            <w:r w:rsidRPr="00F04A75">
              <w:rPr>
                <w:lang w:eastAsia="en-US"/>
              </w:rPr>
              <w:fldChar w:fldCharType="begin">
                <w:ffData>
                  <w:name w:val=""/>
                  <w:enabled/>
                  <w:calcOnExit w:val="0"/>
                  <w:checkBox>
                    <w:sizeAuto/>
                    <w:default w:val="1"/>
                  </w:checkBox>
                </w:ffData>
              </w:fldChar>
            </w:r>
            <w:r w:rsidRPr="00F04A75">
              <w:rPr>
                <w:rFonts w:ascii="Arial Narrow" w:hAnsi="Arial Narrow"/>
                <w:bCs/>
                <w:color w:val="000000"/>
                <w:sz w:val="20"/>
                <w:lang w:eastAsia="en-US"/>
              </w:rPr>
              <w:instrText xml:space="preserve"> FORMCHECKBOX </w:instrText>
            </w:r>
            <w:r w:rsidR="00443BC9">
              <w:rPr>
                <w:lang w:eastAsia="en-US"/>
              </w:rPr>
            </w:r>
            <w:r w:rsidR="00443BC9">
              <w:rPr>
                <w:lang w:eastAsia="en-US"/>
              </w:rPr>
              <w:fldChar w:fldCharType="separate"/>
            </w:r>
            <w:r w:rsidRPr="00F04A75">
              <w:rPr>
                <w:lang w:eastAsia="en-US"/>
              </w:rPr>
              <w:fldChar w:fldCharType="end"/>
            </w:r>
            <w:r w:rsidRPr="00F04A75">
              <w:rPr>
                <w:rFonts w:ascii="Arial Narrow" w:hAnsi="Arial Narrow"/>
                <w:bCs/>
                <w:color w:val="000000"/>
                <w:sz w:val="20"/>
                <w:lang w:eastAsia="en-US"/>
              </w:rPr>
              <w:t xml:space="preserve">Medical Practitioners </w:t>
            </w:r>
          </w:p>
        </w:tc>
      </w:tr>
      <w:tr w:rsidR="00BD6129" w:rsidRPr="00F04A75" w14:paraId="4D523817" w14:textId="77777777" w:rsidTr="003B5756">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51BF2B" w14:textId="77777777" w:rsidR="00BD6129" w:rsidRPr="00F04A75" w:rsidRDefault="00BD6129" w:rsidP="000C5072">
            <w:pPr>
              <w:spacing w:line="256" w:lineRule="auto"/>
              <w:jc w:val="left"/>
              <w:rPr>
                <w:rFonts w:ascii="Arial Narrow" w:hAnsi="Arial Narrow"/>
                <w:b/>
                <w:color w:val="000000"/>
                <w:sz w:val="20"/>
                <w:lang w:eastAsia="en-US"/>
              </w:rPr>
            </w:pPr>
          </w:p>
        </w:tc>
        <w:tc>
          <w:tcPr>
            <w:tcW w:w="4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hideMark/>
          </w:tcPr>
          <w:p w14:paraId="0F1FAD90" w14:textId="77777777" w:rsidR="00BD6129" w:rsidRPr="00F04A75" w:rsidRDefault="00BD6129" w:rsidP="000C5072">
            <w:pPr>
              <w:spacing w:line="256" w:lineRule="auto"/>
              <w:jc w:val="left"/>
              <w:rPr>
                <w:rFonts w:ascii="Arial Narrow" w:hAnsi="Arial Narrow"/>
                <w:color w:val="000000"/>
                <w:sz w:val="20"/>
                <w:lang w:eastAsia="en-US"/>
              </w:rPr>
            </w:pPr>
            <w:r w:rsidRPr="00F04A75">
              <w:rPr>
                <w:rFonts w:ascii="Arial Narrow" w:hAnsi="Arial Narrow"/>
                <w:b/>
                <w:bCs/>
                <w:color w:val="000000"/>
                <w:sz w:val="20"/>
                <w:lang w:eastAsia="en-US"/>
              </w:rPr>
              <w:t xml:space="preserve">Restriction type / Method: </w:t>
            </w:r>
            <w:r w:rsidRPr="00F04A75">
              <w:rPr>
                <w:lang w:eastAsia="en-US"/>
              </w:rPr>
              <w:fldChar w:fldCharType="begin">
                <w:ffData>
                  <w:name w:val="Check3"/>
                  <w:enabled/>
                  <w:calcOnExit w:val="0"/>
                  <w:checkBox>
                    <w:sizeAuto/>
                    <w:default w:val="1"/>
                  </w:checkBox>
                </w:ffData>
              </w:fldChar>
            </w:r>
            <w:r w:rsidRPr="00F04A75">
              <w:rPr>
                <w:rFonts w:ascii="Arial Narrow" w:hAnsi="Arial Narrow"/>
                <w:bCs/>
                <w:color w:val="000000"/>
                <w:sz w:val="20"/>
                <w:lang w:eastAsia="en-US"/>
              </w:rPr>
              <w:instrText xml:space="preserve"> FORMCHECKBOX </w:instrText>
            </w:r>
            <w:r w:rsidR="00443BC9">
              <w:rPr>
                <w:lang w:eastAsia="en-US"/>
              </w:rPr>
            </w:r>
            <w:r w:rsidR="00443BC9">
              <w:rPr>
                <w:lang w:eastAsia="en-US"/>
              </w:rPr>
              <w:fldChar w:fldCharType="separate"/>
            </w:r>
            <w:r w:rsidRPr="00F04A75">
              <w:rPr>
                <w:lang w:eastAsia="en-US"/>
              </w:rPr>
              <w:fldChar w:fldCharType="end"/>
            </w:r>
            <w:r w:rsidRPr="00F04A75">
              <w:rPr>
                <w:rFonts w:ascii="Arial Narrow" w:hAnsi="Arial Narrow"/>
                <w:bCs/>
                <w:color w:val="000000"/>
                <w:sz w:val="20"/>
                <w:lang w:eastAsia="en-US"/>
              </w:rPr>
              <w:t>Authority Required - STREAMLINED</w:t>
            </w:r>
          </w:p>
        </w:tc>
      </w:tr>
      <w:tr w:rsidR="00BD6129" w:rsidRPr="00F04A75" w14:paraId="02991E9C" w14:textId="77777777" w:rsidTr="003B5756">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3EAED5" w14:textId="77777777" w:rsidR="00BD6129" w:rsidRPr="00F04A75" w:rsidRDefault="00BD6129" w:rsidP="000C5072">
            <w:pPr>
              <w:spacing w:line="256" w:lineRule="auto"/>
              <w:jc w:val="left"/>
              <w:rPr>
                <w:rFonts w:ascii="Arial Narrow" w:hAnsi="Arial Narrow"/>
                <w:b/>
                <w:color w:val="000000"/>
                <w:sz w:val="20"/>
                <w:lang w:eastAsia="en-US"/>
              </w:rPr>
            </w:pPr>
          </w:p>
        </w:tc>
        <w:tc>
          <w:tcPr>
            <w:tcW w:w="4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hideMark/>
          </w:tcPr>
          <w:p w14:paraId="0DC6117A" w14:textId="77777777" w:rsidR="00BD6129" w:rsidRPr="00F04A75" w:rsidRDefault="00BD6129" w:rsidP="000C5072">
            <w:pPr>
              <w:spacing w:line="256" w:lineRule="auto"/>
              <w:jc w:val="left"/>
              <w:rPr>
                <w:rFonts w:ascii="Arial Narrow" w:hAnsi="Arial Narrow"/>
                <w:bCs/>
                <w:i/>
                <w:color w:val="000000"/>
                <w:sz w:val="20"/>
                <w:lang w:eastAsia="en-US"/>
              </w:rPr>
            </w:pPr>
            <w:proofErr w:type="spellStart"/>
            <w:r w:rsidRPr="00F04A75">
              <w:rPr>
                <w:rFonts w:ascii="Arial Narrow" w:hAnsi="Arial Narrow"/>
                <w:b/>
                <w:bCs/>
                <w:color w:val="000000"/>
                <w:sz w:val="20"/>
                <w:lang w:eastAsia="en-US"/>
              </w:rPr>
              <w:t>Episodicity</w:t>
            </w:r>
            <w:proofErr w:type="spellEnd"/>
            <w:r w:rsidRPr="00F04A75">
              <w:rPr>
                <w:rFonts w:ascii="Arial Narrow" w:hAnsi="Arial Narrow"/>
                <w:b/>
                <w:bCs/>
                <w:color w:val="000000"/>
                <w:sz w:val="20"/>
                <w:lang w:eastAsia="en-US"/>
              </w:rPr>
              <w:t xml:space="preserve">: </w:t>
            </w:r>
            <w:r w:rsidRPr="00F04A75">
              <w:rPr>
                <w:rFonts w:ascii="Arial Narrow" w:hAnsi="Arial Narrow"/>
                <w:bCs/>
                <w:iCs/>
                <w:color w:val="000000"/>
                <w:sz w:val="20"/>
                <w:lang w:eastAsia="en-US"/>
              </w:rPr>
              <w:t>Relapsed and/or refractory</w:t>
            </w:r>
          </w:p>
        </w:tc>
      </w:tr>
      <w:tr w:rsidR="00BD6129" w:rsidRPr="00F04A75" w14:paraId="7AA3E302" w14:textId="77777777" w:rsidTr="003B5756">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37FD5F" w14:textId="77777777" w:rsidR="00BD6129" w:rsidRPr="00F04A75" w:rsidRDefault="00BD6129" w:rsidP="000C5072">
            <w:pPr>
              <w:spacing w:line="256" w:lineRule="auto"/>
              <w:jc w:val="left"/>
              <w:rPr>
                <w:rFonts w:ascii="Arial Narrow" w:hAnsi="Arial Narrow"/>
                <w:b/>
                <w:color w:val="000000"/>
                <w:sz w:val="20"/>
                <w:lang w:eastAsia="en-US"/>
              </w:rPr>
            </w:pPr>
          </w:p>
        </w:tc>
        <w:tc>
          <w:tcPr>
            <w:tcW w:w="4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hideMark/>
          </w:tcPr>
          <w:p w14:paraId="49FFEFEB" w14:textId="77777777" w:rsidR="00BD6129" w:rsidRPr="00F04A75" w:rsidRDefault="00BD6129" w:rsidP="000C5072">
            <w:pPr>
              <w:spacing w:line="256" w:lineRule="auto"/>
              <w:jc w:val="left"/>
              <w:rPr>
                <w:rFonts w:ascii="Arial Narrow" w:hAnsi="Arial Narrow"/>
                <w:bCs/>
                <w:strike/>
                <w:color w:val="000000"/>
                <w:sz w:val="20"/>
                <w:lang w:eastAsia="en-US"/>
              </w:rPr>
            </w:pPr>
            <w:r w:rsidRPr="00F04A75">
              <w:rPr>
                <w:rFonts w:ascii="Arial Narrow" w:hAnsi="Arial Narrow"/>
                <w:b/>
                <w:bCs/>
                <w:color w:val="000000"/>
                <w:sz w:val="20"/>
                <w:lang w:eastAsia="en-US"/>
              </w:rPr>
              <w:t xml:space="preserve">Condition: </w:t>
            </w:r>
            <w:r w:rsidRPr="00F04A75">
              <w:rPr>
                <w:rFonts w:ascii="Arial Narrow" w:hAnsi="Arial Narrow"/>
                <w:bCs/>
                <w:color w:val="000000"/>
                <w:sz w:val="20"/>
                <w:lang w:eastAsia="en-US"/>
              </w:rPr>
              <w:t xml:space="preserve">Multiple myeloma </w:t>
            </w:r>
          </w:p>
        </w:tc>
      </w:tr>
      <w:tr w:rsidR="00BD6129" w:rsidRPr="00F04A75" w14:paraId="316D9D3A" w14:textId="77777777" w:rsidTr="003B5756">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48BF5B" w14:textId="77777777" w:rsidR="00BD6129" w:rsidRPr="00F04A75" w:rsidRDefault="00BD6129" w:rsidP="000C5072">
            <w:pPr>
              <w:spacing w:line="256" w:lineRule="auto"/>
              <w:jc w:val="left"/>
              <w:rPr>
                <w:rFonts w:ascii="Arial Narrow" w:hAnsi="Arial Narrow"/>
                <w:b/>
                <w:color w:val="000000"/>
                <w:sz w:val="20"/>
                <w:lang w:eastAsia="en-US"/>
              </w:rPr>
            </w:pPr>
          </w:p>
        </w:tc>
        <w:tc>
          <w:tcPr>
            <w:tcW w:w="4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hideMark/>
          </w:tcPr>
          <w:p w14:paraId="0DE1FB2D" w14:textId="77777777" w:rsidR="00BD6129" w:rsidRPr="00F04A75" w:rsidRDefault="00BD6129" w:rsidP="000C5072">
            <w:pPr>
              <w:spacing w:line="256" w:lineRule="auto"/>
              <w:jc w:val="left"/>
              <w:rPr>
                <w:rFonts w:ascii="Arial Narrow" w:hAnsi="Arial Narrow"/>
                <w:color w:val="000000"/>
                <w:sz w:val="20"/>
                <w:lang w:eastAsia="en-US"/>
              </w:rPr>
            </w:pPr>
            <w:r w:rsidRPr="00F04A75">
              <w:rPr>
                <w:rFonts w:ascii="Arial Narrow" w:hAnsi="Arial Narrow"/>
                <w:b/>
                <w:bCs/>
                <w:color w:val="000000"/>
                <w:sz w:val="20"/>
                <w:lang w:eastAsia="en-US"/>
              </w:rPr>
              <w:t xml:space="preserve">PBS Indication: </w:t>
            </w:r>
            <w:r w:rsidRPr="00F04A75">
              <w:rPr>
                <w:rFonts w:ascii="Arial Narrow" w:hAnsi="Arial Narrow"/>
                <w:bCs/>
                <w:color w:val="000000"/>
                <w:sz w:val="20"/>
                <w:lang w:eastAsia="en-US"/>
              </w:rPr>
              <w:t xml:space="preserve">Relapsed </w:t>
            </w:r>
            <w:r w:rsidRPr="00F04A75">
              <w:rPr>
                <w:rFonts w:ascii="Arial Narrow" w:hAnsi="Arial Narrow"/>
                <w:bCs/>
                <w:iCs/>
                <w:color w:val="000000"/>
                <w:sz w:val="20"/>
                <w:lang w:eastAsia="en-US"/>
              </w:rPr>
              <w:t>and/or</w:t>
            </w:r>
            <w:r w:rsidRPr="00F04A75">
              <w:rPr>
                <w:rFonts w:ascii="Arial Narrow" w:hAnsi="Arial Narrow"/>
                <w:bCs/>
                <w:color w:val="000000"/>
                <w:sz w:val="20"/>
                <w:lang w:eastAsia="en-US"/>
              </w:rPr>
              <w:t xml:space="preserve"> refractory multiple myeloma </w:t>
            </w:r>
          </w:p>
        </w:tc>
      </w:tr>
      <w:tr w:rsidR="00BD6129" w:rsidRPr="00F04A75" w14:paraId="46902DFD" w14:textId="77777777" w:rsidTr="000C5072">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tcPr>
          <w:p w14:paraId="55359688" w14:textId="77777777" w:rsidR="00BD6129" w:rsidRPr="00F04A75" w:rsidRDefault="00BD6129" w:rsidP="000C5072">
            <w:pPr>
              <w:spacing w:line="256" w:lineRule="auto"/>
              <w:jc w:val="center"/>
              <w:rPr>
                <w:rFonts w:ascii="Arial Narrow" w:hAnsi="Arial Narrow"/>
                <w:b/>
                <w:color w:val="000000"/>
                <w:sz w:val="20"/>
                <w:lang w:eastAsia="en-US"/>
              </w:rPr>
            </w:pPr>
          </w:p>
        </w:tc>
        <w:tc>
          <w:tcPr>
            <w:tcW w:w="4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hideMark/>
          </w:tcPr>
          <w:p w14:paraId="03DCBECB" w14:textId="77777777" w:rsidR="00BD6129" w:rsidRPr="00F04A75" w:rsidRDefault="00BD6129" w:rsidP="000C5072">
            <w:pPr>
              <w:spacing w:line="256" w:lineRule="auto"/>
              <w:jc w:val="left"/>
              <w:rPr>
                <w:rFonts w:ascii="Arial Narrow" w:hAnsi="Arial Narrow"/>
                <w:color w:val="000000"/>
                <w:sz w:val="20"/>
                <w:lang w:eastAsia="en-US"/>
              </w:rPr>
            </w:pPr>
            <w:r w:rsidRPr="00F04A75">
              <w:rPr>
                <w:rFonts w:ascii="Arial Narrow" w:hAnsi="Arial Narrow"/>
                <w:b/>
                <w:bCs/>
                <w:color w:val="000000"/>
                <w:sz w:val="20"/>
                <w:lang w:eastAsia="en-US"/>
              </w:rPr>
              <w:t xml:space="preserve">Treatment phase: </w:t>
            </w:r>
            <w:r w:rsidRPr="00F04A75">
              <w:rPr>
                <w:rFonts w:ascii="Arial Narrow" w:hAnsi="Arial Narrow"/>
                <w:bCs/>
                <w:color w:val="000000"/>
                <w:sz w:val="20"/>
                <w:lang w:eastAsia="en-US"/>
              </w:rPr>
              <w:t>Continuing treatment for Cycles 13 onwards</w:t>
            </w:r>
          </w:p>
        </w:tc>
      </w:tr>
      <w:tr w:rsidR="00BD6129" w:rsidRPr="00F04A75" w14:paraId="2FEE2570" w14:textId="77777777" w:rsidTr="003B5756">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tcPr>
          <w:p w14:paraId="24411E40" w14:textId="72793234" w:rsidR="00BD6129" w:rsidRPr="00F04A75" w:rsidRDefault="00BD6129" w:rsidP="000C5072">
            <w:pPr>
              <w:spacing w:line="256" w:lineRule="auto"/>
              <w:jc w:val="center"/>
              <w:rPr>
                <w:rFonts w:ascii="Arial Narrow" w:hAnsi="Arial Narrow"/>
                <w:b/>
                <w:color w:val="000000"/>
                <w:sz w:val="20"/>
                <w:lang w:eastAsia="en-US"/>
              </w:rPr>
            </w:pPr>
          </w:p>
        </w:tc>
        <w:tc>
          <w:tcPr>
            <w:tcW w:w="4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hideMark/>
          </w:tcPr>
          <w:p w14:paraId="713240D5" w14:textId="77777777" w:rsidR="00BD6129" w:rsidRPr="00F04A75" w:rsidRDefault="00BD6129" w:rsidP="000C5072">
            <w:pPr>
              <w:spacing w:line="256" w:lineRule="auto"/>
              <w:jc w:val="left"/>
              <w:rPr>
                <w:rFonts w:ascii="Arial Narrow" w:hAnsi="Arial Narrow"/>
                <w:color w:val="000000"/>
                <w:sz w:val="20"/>
                <w:lang w:eastAsia="en-US"/>
              </w:rPr>
            </w:pPr>
            <w:r w:rsidRPr="00F04A75">
              <w:rPr>
                <w:rFonts w:ascii="Arial Narrow" w:hAnsi="Arial Narrow"/>
                <w:b/>
                <w:bCs/>
                <w:color w:val="000000"/>
                <w:sz w:val="20"/>
                <w:lang w:eastAsia="en-US"/>
              </w:rPr>
              <w:t>Clinical criteria:</w:t>
            </w:r>
          </w:p>
        </w:tc>
      </w:tr>
      <w:tr w:rsidR="00BD6129" w:rsidRPr="00F04A75" w14:paraId="1F8436C7" w14:textId="77777777" w:rsidTr="003B5756">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tcPr>
          <w:p w14:paraId="5E1F0F7B" w14:textId="2E87F997" w:rsidR="00BD6129" w:rsidRPr="00F04A75" w:rsidRDefault="00BD6129" w:rsidP="000C5072">
            <w:pPr>
              <w:spacing w:line="256" w:lineRule="auto"/>
              <w:jc w:val="center"/>
              <w:rPr>
                <w:rFonts w:ascii="Arial Narrow" w:hAnsi="Arial Narrow"/>
                <w:color w:val="000000"/>
                <w:sz w:val="20"/>
                <w:lang w:eastAsia="en-US"/>
              </w:rPr>
            </w:pPr>
          </w:p>
        </w:tc>
        <w:tc>
          <w:tcPr>
            <w:tcW w:w="4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hideMark/>
          </w:tcPr>
          <w:p w14:paraId="68A1BAB2" w14:textId="77777777" w:rsidR="00BD6129" w:rsidRPr="00F04A75" w:rsidRDefault="00BD6129" w:rsidP="000C5072">
            <w:pPr>
              <w:spacing w:line="256" w:lineRule="auto"/>
              <w:jc w:val="left"/>
              <w:rPr>
                <w:rFonts w:ascii="Arial Narrow" w:hAnsi="Arial Narrow"/>
                <w:b/>
                <w:bCs/>
                <w:color w:val="000000"/>
                <w:sz w:val="20"/>
                <w:lang w:eastAsia="en-US"/>
              </w:rPr>
            </w:pPr>
            <w:r w:rsidRPr="00F04A75">
              <w:rPr>
                <w:rFonts w:ascii="Arial Narrow" w:hAnsi="Arial Narrow"/>
                <w:bCs/>
                <w:color w:val="000000"/>
                <w:sz w:val="20"/>
                <w:lang w:eastAsia="en-US"/>
              </w:rPr>
              <w:t>Patient must have previously received PBS-subsidised treatment with this drug for this condition</w:t>
            </w:r>
          </w:p>
        </w:tc>
      </w:tr>
      <w:tr w:rsidR="00BD6129" w:rsidRPr="00F04A75" w14:paraId="19A8100A" w14:textId="77777777" w:rsidTr="000C5072">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tcPr>
          <w:p w14:paraId="2E362A4A" w14:textId="77777777" w:rsidR="00BD6129" w:rsidRPr="00F04A75" w:rsidRDefault="00BD6129" w:rsidP="000C5072">
            <w:pPr>
              <w:spacing w:line="256" w:lineRule="auto"/>
              <w:jc w:val="center"/>
              <w:rPr>
                <w:rFonts w:ascii="Arial Narrow" w:hAnsi="Arial Narrow"/>
                <w:color w:val="000000"/>
                <w:sz w:val="20"/>
                <w:lang w:eastAsia="en-US"/>
              </w:rPr>
            </w:pPr>
          </w:p>
        </w:tc>
        <w:tc>
          <w:tcPr>
            <w:tcW w:w="4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hideMark/>
          </w:tcPr>
          <w:p w14:paraId="6F0122FC" w14:textId="77777777" w:rsidR="00BD6129" w:rsidRPr="00F04A75" w:rsidRDefault="00BD6129" w:rsidP="000C5072">
            <w:pPr>
              <w:spacing w:line="256" w:lineRule="auto"/>
              <w:jc w:val="left"/>
              <w:rPr>
                <w:rFonts w:ascii="Arial Narrow" w:hAnsi="Arial Narrow"/>
                <w:color w:val="000000"/>
                <w:sz w:val="20"/>
                <w:lang w:eastAsia="en-US"/>
              </w:rPr>
            </w:pPr>
            <w:r w:rsidRPr="00F04A75">
              <w:rPr>
                <w:rFonts w:ascii="Arial Narrow" w:hAnsi="Arial Narrow"/>
                <w:b/>
                <w:bCs/>
                <w:color w:val="000000"/>
                <w:sz w:val="20"/>
                <w:lang w:eastAsia="en-US"/>
              </w:rPr>
              <w:t>AND</w:t>
            </w:r>
          </w:p>
        </w:tc>
      </w:tr>
      <w:tr w:rsidR="00BD6129" w:rsidRPr="00F04A75" w14:paraId="57667B3E" w14:textId="77777777" w:rsidTr="003B5756">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tcPr>
          <w:p w14:paraId="5F7C1816" w14:textId="317EE3B5" w:rsidR="00BD6129" w:rsidRPr="00F04A75" w:rsidRDefault="00BD6129" w:rsidP="000C5072">
            <w:pPr>
              <w:spacing w:line="256" w:lineRule="auto"/>
              <w:jc w:val="center"/>
              <w:rPr>
                <w:rFonts w:ascii="Arial Narrow" w:hAnsi="Arial Narrow"/>
                <w:b/>
                <w:color w:val="000000"/>
                <w:sz w:val="20"/>
                <w:lang w:eastAsia="en-US"/>
              </w:rPr>
            </w:pPr>
          </w:p>
        </w:tc>
        <w:tc>
          <w:tcPr>
            <w:tcW w:w="4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hideMark/>
          </w:tcPr>
          <w:p w14:paraId="36B4F6A2" w14:textId="77777777" w:rsidR="00BD6129" w:rsidRPr="00F04A75" w:rsidRDefault="00BD6129" w:rsidP="000C5072">
            <w:pPr>
              <w:spacing w:line="256" w:lineRule="auto"/>
              <w:jc w:val="left"/>
              <w:rPr>
                <w:rFonts w:ascii="Arial Narrow" w:hAnsi="Arial Narrow"/>
                <w:b/>
                <w:bCs/>
                <w:color w:val="000000"/>
                <w:sz w:val="20"/>
                <w:lang w:eastAsia="en-US"/>
              </w:rPr>
            </w:pPr>
            <w:r w:rsidRPr="00F04A75">
              <w:rPr>
                <w:rFonts w:ascii="Arial Narrow" w:hAnsi="Arial Narrow"/>
                <w:b/>
                <w:bCs/>
                <w:color w:val="000000"/>
                <w:sz w:val="20"/>
                <w:lang w:eastAsia="en-US"/>
              </w:rPr>
              <w:t>Clinical criteria:</w:t>
            </w:r>
          </w:p>
        </w:tc>
      </w:tr>
      <w:tr w:rsidR="00BD6129" w:rsidRPr="00F04A75" w14:paraId="3E5493BB" w14:textId="77777777" w:rsidTr="003B5756">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tcPr>
          <w:p w14:paraId="1192E3ED" w14:textId="6BF26607" w:rsidR="00BD6129" w:rsidRPr="00F04A75" w:rsidRDefault="00BD6129" w:rsidP="000C5072">
            <w:pPr>
              <w:spacing w:line="256" w:lineRule="auto"/>
              <w:jc w:val="center"/>
              <w:rPr>
                <w:rFonts w:ascii="Arial Narrow" w:hAnsi="Arial Narrow"/>
                <w:b/>
                <w:color w:val="000000"/>
                <w:sz w:val="20"/>
                <w:lang w:eastAsia="en-US"/>
              </w:rPr>
            </w:pPr>
          </w:p>
        </w:tc>
        <w:tc>
          <w:tcPr>
            <w:tcW w:w="4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hideMark/>
          </w:tcPr>
          <w:p w14:paraId="4B3EABE0" w14:textId="77777777" w:rsidR="00BD6129" w:rsidRPr="00F04A75" w:rsidRDefault="00BD6129" w:rsidP="000C5072">
            <w:pPr>
              <w:spacing w:line="256" w:lineRule="auto"/>
              <w:jc w:val="left"/>
              <w:rPr>
                <w:rFonts w:ascii="Arial Narrow" w:hAnsi="Arial Narrow"/>
                <w:b/>
                <w:bCs/>
                <w:color w:val="000000"/>
                <w:sz w:val="20"/>
                <w:lang w:eastAsia="en-US"/>
              </w:rPr>
            </w:pPr>
            <w:r w:rsidRPr="00F04A75">
              <w:rPr>
                <w:rFonts w:ascii="Arial Narrow" w:hAnsi="Arial Narrow"/>
                <w:bCs/>
                <w:color w:val="000000"/>
                <w:sz w:val="20"/>
                <w:lang w:eastAsia="en-US"/>
              </w:rPr>
              <w:t>The treatment must be in combination with lenalidomide and dexamethasone,</w:t>
            </w:r>
          </w:p>
        </w:tc>
      </w:tr>
      <w:tr w:rsidR="00BD6129" w:rsidRPr="00F04A75" w14:paraId="3BFFB06D" w14:textId="77777777" w:rsidTr="000C5072">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tcPr>
          <w:p w14:paraId="4DB4413A" w14:textId="77777777" w:rsidR="00BD6129" w:rsidRPr="00F04A75" w:rsidRDefault="00BD6129" w:rsidP="000C5072">
            <w:pPr>
              <w:spacing w:line="256" w:lineRule="auto"/>
              <w:jc w:val="center"/>
              <w:rPr>
                <w:rFonts w:ascii="Arial Narrow" w:hAnsi="Arial Narrow"/>
                <w:b/>
                <w:color w:val="000000"/>
                <w:sz w:val="20"/>
                <w:lang w:eastAsia="en-US"/>
              </w:rPr>
            </w:pPr>
          </w:p>
        </w:tc>
        <w:tc>
          <w:tcPr>
            <w:tcW w:w="4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hideMark/>
          </w:tcPr>
          <w:p w14:paraId="1737352D" w14:textId="77777777" w:rsidR="00BD6129" w:rsidRPr="00F04A75" w:rsidRDefault="00BD6129" w:rsidP="000C5072">
            <w:pPr>
              <w:spacing w:line="256" w:lineRule="auto"/>
              <w:jc w:val="left"/>
              <w:rPr>
                <w:rFonts w:ascii="Arial Narrow" w:hAnsi="Arial Narrow"/>
                <w:bCs/>
                <w:color w:val="000000"/>
                <w:sz w:val="20"/>
                <w:lang w:eastAsia="en-US"/>
              </w:rPr>
            </w:pPr>
            <w:r w:rsidRPr="00F04A75">
              <w:rPr>
                <w:rFonts w:ascii="Arial Narrow" w:hAnsi="Arial Narrow"/>
                <w:b/>
                <w:bCs/>
                <w:color w:val="000000"/>
                <w:sz w:val="20"/>
                <w:lang w:eastAsia="en-US"/>
              </w:rPr>
              <w:t>AND</w:t>
            </w:r>
          </w:p>
        </w:tc>
      </w:tr>
      <w:tr w:rsidR="00BD6129" w:rsidRPr="00F04A75" w14:paraId="243F8B3C" w14:textId="77777777" w:rsidTr="003B5756">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tcPr>
          <w:p w14:paraId="5B201E76" w14:textId="4D40FB20" w:rsidR="00BD6129" w:rsidRPr="00F04A75" w:rsidRDefault="00BD6129" w:rsidP="000C5072">
            <w:pPr>
              <w:spacing w:line="256" w:lineRule="auto"/>
              <w:jc w:val="center"/>
              <w:rPr>
                <w:rFonts w:ascii="Arial Narrow" w:hAnsi="Arial Narrow"/>
                <w:b/>
                <w:color w:val="000000"/>
                <w:sz w:val="20"/>
                <w:lang w:eastAsia="en-US"/>
              </w:rPr>
            </w:pPr>
          </w:p>
        </w:tc>
        <w:tc>
          <w:tcPr>
            <w:tcW w:w="4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hideMark/>
          </w:tcPr>
          <w:p w14:paraId="7A3D7F0A" w14:textId="77777777" w:rsidR="00BD6129" w:rsidRPr="00F04A75" w:rsidRDefault="00BD6129" w:rsidP="000C5072">
            <w:pPr>
              <w:spacing w:line="256" w:lineRule="auto"/>
              <w:jc w:val="left"/>
              <w:rPr>
                <w:rFonts w:ascii="Arial Narrow" w:hAnsi="Arial Narrow"/>
                <w:b/>
                <w:bCs/>
                <w:color w:val="000000"/>
                <w:sz w:val="20"/>
                <w:lang w:eastAsia="en-US"/>
              </w:rPr>
            </w:pPr>
            <w:r w:rsidRPr="00F04A75">
              <w:rPr>
                <w:rFonts w:ascii="Arial Narrow" w:hAnsi="Arial Narrow"/>
                <w:b/>
                <w:bCs/>
                <w:color w:val="000000"/>
                <w:sz w:val="20"/>
                <w:lang w:eastAsia="en-US"/>
              </w:rPr>
              <w:t>Clinical criteria:</w:t>
            </w:r>
          </w:p>
        </w:tc>
      </w:tr>
      <w:tr w:rsidR="00BD6129" w:rsidRPr="00F04A75" w14:paraId="721DE9E8" w14:textId="77777777" w:rsidTr="003B5756">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tcPr>
          <w:p w14:paraId="34CD4627" w14:textId="50EED9B5" w:rsidR="00BD6129" w:rsidRPr="00F04A75" w:rsidRDefault="00BD6129" w:rsidP="000C5072">
            <w:pPr>
              <w:spacing w:line="256" w:lineRule="auto"/>
              <w:jc w:val="center"/>
              <w:rPr>
                <w:rFonts w:ascii="Arial Narrow" w:hAnsi="Arial Narrow"/>
                <w:color w:val="000000"/>
                <w:sz w:val="20"/>
                <w:lang w:eastAsia="en-US"/>
              </w:rPr>
            </w:pPr>
          </w:p>
        </w:tc>
        <w:tc>
          <w:tcPr>
            <w:tcW w:w="4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hideMark/>
          </w:tcPr>
          <w:p w14:paraId="42091957" w14:textId="77777777" w:rsidR="00BD6129" w:rsidRPr="00F04A75" w:rsidRDefault="00BD6129" w:rsidP="000C5072">
            <w:pPr>
              <w:spacing w:line="256" w:lineRule="auto"/>
              <w:jc w:val="left"/>
              <w:rPr>
                <w:rFonts w:ascii="Arial Narrow" w:hAnsi="Arial Narrow"/>
                <w:b/>
                <w:bCs/>
                <w:color w:val="000000"/>
                <w:sz w:val="20"/>
                <w:lang w:eastAsia="en-US"/>
              </w:rPr>
            </w:pPr>
            <w:r w:rsidRPr="00F04A75">
              <w:rPr>
                <w:rFonts w:ascii="Arial Narrow" w:hAnsi="Arial Narrow"/>
                <w:bCs/>
                <w:color w:val="000000"/>
                <w:sz w:val="20"/>
                <w:lang w:eastAsia="en-US"/>
              </w:rPr>
              <w:t>Patient must not have developed progressive disease while receiving treatment with this drug for this condition,</w:t>
            </w:r>
          </w:p>
        </w:tc>
      </w:tr>
      <w:tr w:rsidR="00BD6129" w:rsidRPr="00401332" w14:paraId="18FD5E7E" w14:textId="77777777" w:rsidTr="000C5072">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tcPr>
          <w:p w14:paraId="00A3582E" w14:textId="77777777" w:rsidR="00BD6129" w:rsidRPr="00401332" w:rsidRDefault="00BD6129" w:rsidP="000C5072">
            <w:pPr>
              <w:spacing w:line="256" w:lineRule="auto"/>
              <w:jc w:val="center"/>
              <w:rPr>
                <w:rFonts w:ascii="Arial Narrow" w:hAnsi="Arial Narrow"/>
                <w:strike/>
                <w:color w:val="000000"/>
                <w:sz w:val="20"/>
                <w:lang w:eastAsia="en-US"/>
              </w:rPr>
            </w:pPr>
          </w:p>
        </w:tc>
        <w:tc>
          <w:tcPr>
            <w:tcW w:w="4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hideMark/>
          </w:tcPr>
          <w:p w14:paraId="157A8999" w14:textId="77777777" w:rsidR="00BD6129" w:rsidRPr="00401332" w:rsidRDefault="00BD6129" w:rsidP="000C5072">
            <w:pPr>
              <w:spacing w:line="256" w:lineRule="auto"/>
              <w:jc w:val="left"/>
              <w:rPr>
                <w:rFonts w:ascii="Arial Narrow" w:hAnsi="Arial Narrow"/>
                <w:strike/>
                <w:color w:val="000000"/>
                <w:sz w:val="20"/>
                <w:lang w:eastAsia="en-US"/>
              </w:rPr>
            </w:pPr>
            <w:r w:rsidRPr="00401332">
              <w:rPr>
                <w:rFonts w:ascii="Arial Narrow" w:hAnsi="Arial Narrow"/>
                <w:b/>
                <w:bCs/>
                <w:strike/>
                <w:color w:val="000000"/>
                <w:sz w:val="20"/>
                <w:lang w:eastAsia="en-US"/>
              </w:rPr>
              <w:t>AND</w:t>
            </w:r>
          </w:p>
        </w:tc>
      </w:tr>
      <w:tr w:rsidR="00BD6129" w:rsidRPr="00401332" w14:paraId="6F55CB97" w14:textId="77777777" w:rsidTr="000C5072">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tcPr>
          <w:p w14:paraId="4B1ED7AF" w14:textId="77777777" w:rsidR="00BD6129" w:rsidRPr="00401332" w:rsidRDefault="00BD6129" w:rsidP="000C5072">
            <w:pPr>
              <w:spacing w:line="256" w:lineRule="auto"/>
              <w:jc w:val="center"/>
              <w:rPr>
                <w:rFonts w:ascii="Arial Narrow" w:hAnsi="Arial Narrow"/>
                <w:strike/>
                <w:color w:val="000000"/>
                <w:sz w:val="20"/>
                <w:lang w:eastAsia="en-US"/>
              </w:rPr>
            </w:pPr>
          </w:p>
        </w:tc>
        <w:tc>
          <w:tcPr>
            <w:tcW w:w="4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hideMark/>
          </w:tcPr>
          <w:p w14:paraId="794536D7" w14:textId="77777777" w:rsidR="00BD6129" w:rsidRPr="00401332" w:rsidRDefault="00BD6129" w:rsidP="000C5072">
            <w:pPr>
              <w:spacing w:line="256" w:lineRule="auto"/>
              <w:jc w:val="left"/>
              <w:rPr>
                <w:rFonts w:ascii="Arial Narrow" w:hAnsi="Arial Narrow"/>
                <w:b/>
                <w:bCs/>
                <w:strike/>
                <w:color w:val="000000"/>
                <w:sz w:val="20"/>
                <w:lang w:eastAsia="en-US"/>
              </w:rPr>
            </w:pPr>
            <w:r w:rsidRPr="00401332">
              <w:rPr>
                <w:rFonts w:ascii="Arial Narrow" w:hAnsi="Arial Narrow"/>
                <w:b/>
                <w:bCs/>
                <w:strike/>
                <w:color w:val="000000"/>
                <w:sz w:val="20"/>
                <w:lang w:eastAsia="en-US"/>
              </w:rPr>
              <w:t>Clinical criteria:</w:t>
            </w:r>
          </w:p>
        </w:tc>
      </w:tr>
      <w:tr w:rsidR="00BD6129" w:rsidRPr="00401332" w14:paraId="5E00DC00" w14:textId="77777777" w:rsidTr="00401332">
        <w:trPr>
          <w:trHeight w:val="60"/>
        </w:trPr>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tcPr>
          <w:p w14:paraId="28DA6E32" w14:textId="7622E1D9" w:rsidR="00BD6129" w:rsidRPr="00401332" w:rsidRDefault="00BD6129" w:rsidP="00401332">
            <w:pPr>
              <w:spacing w:line="256" w:lineRule="auto"/>
              <w:jc w:val="center"/>
              <w:rPr>
                <w:rFonts w:ascii="Arial Narrow" w:hAnsi="Arial Narrow"/>
                <w:strike/>
                <w:color w:val="000000"/>
                <w:sz w:val="20"/>
                <w:lang w:eastAsia="en-US"/>
              </w:rPr>
            </w:pPr>
          </w:p>
        </w:tc>
        <w:tc>
          <w:tcPr>
            <w:tcW w:w="4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hideMark/>
          </w:tcPr>
          <w:p w14:paraId="5EC245E9" w14:textId="77777777" w:rsidR="00BD6129" w:rsidRPr="00401332" w:rsidRDefault="00BD6129" w:rsidP="000C5072">
            <w:pPr>
              <w:spacing w:line="256" w:lineRule="auto"/>
              <w:jc w:val="left"/>
              <w:rPr>
                <w:rFonts w:ascii="Arial Narrow" w:hAnsi="Arial Narrow"/>
                <w:b/>
                <w:bCs/>
                <w:strike/>
                <w:color w:val="000000"/>
                <w:sz w:val="20"/>
                <w:lang w:eastAsia="en-US"/>
              </w:rPr>
            </w:pPr>
            <w:r w:rsidRPr="00401332">
              <w:rPr>
                <w:rFonts w:ascii="Arial Narrow" w:hAnsi="Arial Narrow"/>
                <w:bCs/>
                <w:strike/>
                <w:color w:val="000000"/>
                <w:sz w:val="20"/>
                <w:lang w:eastAsia="en-US"/>
              </w:rPr>
              <w:t xml:space="preserve">Patient must not be receiving concomitant PBS-subsidised </w:t>
            </w:r>
            <w:r w:rsidRPr="00401332">
              <w:rPr>
                <w:rFonts w:ascii="Arial Narrow" w:hAnsi="Arial Narrow"/>
                <w:bCs/>
                <w:i/>
                <w:strike/>
                <w:color w:val="000000"/>
                <w:sz w:val="20"/>
                <w:lang w:eastAsia="en-US"/>
              </w:rPr>
              <w:t>treatment with each of (</w:t>
            </w:r>
            <w:proofErr w:type="spellStart"/>
            <w:r w:rsidRPr="00401332">
              <w:rPr>
                <w:rFonts w:ascii="Arial Narrow" w:hAnsi="Arial Narrow"/>
                <w:bCs/>
                <w:i/>
                <w:strike/>
                <w:color w:val="000000"/>
                <w:sz w:val="20"/>
                <w:lang w:eastAsia="en-US"/>
              </w:rPr>
              <w:t>i</w:t>
            </w:r>
            <w:proofErr w:type="spellEnd"/>
            <w:r w:rsidRPr="00401332">
              <w:rPr>
                <w:rFonts w:ascii="Arial Narrow" w:hAnsi="Arial Narrow"/>
                <w:bCs/>
                <w:i/>
                <w:strike/>
                <w:color w:val="000000"/>
                <w:sz w:val="20"/>
                <w:lang w:eastAsia="en-US"/>
              </w:rPr>
              <w:t xml:space="preserve">) </w:t>
            </w:r>
            <w:r w:rsidRPr="00401332">
              <w:rPr>
                <w:rFonts w:ascii="Arial Narrow" w:hAnsi="Arial Narrow"/>
                <w:bCs/>
                <w:strike/>
                <w:color w:val="000000"/>
                <w:sz w:val="20"/>
                <w:lang w:eastAsia="en-US"/>
              </w:rPr>
              <w:t xml:space="preserve">bortezomib, </w:t>
            </w:r>
            <w:r w:rsidRPr="00401332">
              <w:rPr>
                <w:rFonts w:ascii="Arial Narrow" w:hAnsi="Arial Narrow"/>
                <w:bCs/>
                <w:i/>
                <w:strike/>
                <w:color w:val="000000"/>
                <w:sz w:val="20"/>
                <w:lang w:eastAsia="en-US"/>
              </w:rPr>
              <w:t xml:space="preserve">(ii) </w:t>
            </w:r>
            <w:r w:rsidRPr="00401332">
              <w:rPr>
                <w:rFonts w:ascii="Arial Narrow" w:hAnsi="Arial Narrow"/>
                <w:bCs/>
                <w:strike/>
                <w:color w:val="000000"/>
                <w:sz w:val="20"/>
                <w:lang w:eastAsia="en-US"/>
              </w:rPr>
              <w:t xml:space="preserve">pomalidomide, </w:t>
            </w:r>
            <w:r w:rsidRPr="00401332">
              <w:rPr>
                <w:rFonts w:ascii="Arial Narrow" w:hAnsi="Arial Narrow"/>
                <w:bCs/>
                <w:i/>
                <w:strike/>
                <w:color w:val="000000"/>
                <w:sz w:val="20"/>
                <w:lang w:eastAsia="en-US"/>
              </w:rPr>
              <w:t xml:space="preserve">(iv) </w:t>
            </w:r>
            <w:r w:rsidRPr="00401332">
              <w:rPr>
                <w:rFonts w:ascii="Arial Narrow" w:hAnsi="Arial Narrow"/>
                <w:bCs/>
                <w:strike/>
                <w:color w:val="000000"/>
                <w:sz w:val="20"/>
                <w:lang w:eastAsia="en-US"/>
              </w:rPr>
              <w:t xml:space="preserve">thalidomide, or </w:t>
            </w:r>
            <w:r w:rsidRPr="00401332">
              <w:rPr>
                <w:rFonts w:ascii="Arial Narrow" w:hAnsi="Arial Narrow"/>
                <w:bCs/>
                <w:i/>
                <w:strike/>
                <w:color w:val="000000"/>
                <w:sz w:val="20"/>
                <w:lang w:eastAsia="en-US"/>
              </w:rPr>
              <w:t xml:space="preserve">(v) </w:t>
            </w:r>
            <w:r w:rsidRPr="00401332">
              <w:rPr>
                <w:rFonts w:ascii="Arial Narrow" w:hAnsi="Arial Narrow"/>
                <w:bCs/>
                <w:iCs/>
                <w:strike/>
                <w:color w:val="000000"/>
                <w:sz w:val="20"/>
                <w:lang w:eastAsia="en-US"/>
              </w:rPr>
              <w:t>daratumumab</w:t>
            </w:r>
          </w:p>
        </w:tc>
      </w:tr>
      <w:tr w:rsidR="00BD6129" w:rsidRPr="00F04A75" w14:paraId="6A47DE67" w14:textId="77777777" w:rsidTr="003B575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04DC77" w14:textId="333F2DA8" w:rsidR="00BD6129" w:rsidRPr="00F04A75" w:rsidRDefault="00BD6129" w:rsidP="00401332">
            <w:pPr>
              <w:spacing w:line="256" w:lineRule="auto"/>
              <w:jc w:val="center"/>
              <w:rPr>
                <w:rFonts w:ascii="Arial Narrow" w:hAnsi="Arial Narrow"/>
                <w:color w:val="000000"/>
                <w:sz w:val="20"/>
                <w:lang w:eastAsia="en-US"/>
              </w:rPr>
            </w:pPr>
          </w:p>
        </w:tc>
        <w:tc>
          <w:tcPr>
            <w:tcW w:w="4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hideMark/>
          </w:tcPr>
          <w:p w14:paraId="6F8AB3B8" w14:textId="77777777" w:rsidR="00BD6129" w:rsidRPr="00F04A75" w:rsidRDefault="00BD6129" w:rsidP="000C5072">
            <w:pPr>
              <w:spacing w:line="256" w:lineRule="auto"/>
              <w:jc w:val="left"/>
              <w:rPr>
                <w:rFonts w:ascii="Arial Narrow" w:hAnsi="Arial Narrow"/>
                <w:b/>
                <w:bCs/>
                <w:i/>
                <w:iCs/>
                <w:color w:val="000000"/>
                <w:sz w:val="20"/>
                <w:lang w:eastAsia="en-US"/>
              </w:rPr>
            </w:pPr>
            <w:r w:rsidRPr="00F04A75">
              <w:rPr>
                <w:rFonts w:ascii="Arial Narrow" w:hAnsi="Arial Narrow"/>
                <w:b/>
                <w:bCs/>
                <w:color w:val="000000"/>
                <w:sz w:val="20"/>
                <w:lang w:eastAsia="en-US"/>
              </w:rPr>
              <w:t xml:space="preserve">Prescribing instructions </w:t>
            </w:r>
          </w:p>
          <w:p w14:paraId="371D88AA" w14:textId="77777777" w:rsidR="00BD6129" w:rsidRPr="00F04A75" w:rsidRDefault="00BD6129" w:rsidP="000C5072">
            <w:pPr>
              <w:spacing w:line="256" w:lineRule="auto"/>
              <w:jc w:val="left"/>
              <w:rPr>
                <w:rFonts w:ascii="Arial Narrow" w:hAnsi="Arial Narrow"/>
                <w:bCs/>
                <w:color w:val="000000"/>
                <w:sz w:val="20"/>
                <w:lang w:eastAsia="en-US"/>
              </w:rPr>
            </w:pPr>
            <w:r w:rsidRPr="00F04A75">
              <w:rPr>
                <w:rFonts w:ascii="Arial Narrow" w:hAnsi="Arial Narrow"/>
                <w:bCs/>
                <w:color w:val="000000"/>
                <w:sz w:val="20"/>
                <w:lang w:eastAsia="en-US"/>
              </w:rPr>
              <w:t>Progressive disease is defined as at least 1 of the following:</w:t>
            </w:r>
          </w:p>
          <w:p w14:paraId="0310AE1D" w14:textId="77777777" w:rsidR="00BD6129" w:rsidRPr="00F04A75" w:rsidRDefault="00BD6129" w:rsidP="000C5072">
            <w:pPr>
              <w:spacing w:line="256" w:lineRule="auto"/>
              <w:jc w:val="left"/>
              <w:rPr>
                <w:rFonts w:ascii="Arial Narrow" w:hAnsi="Arial Narrow"/>
                <w:bCs/>
                <w:color w:val="000000"/>
                <w:sz w:val="20"/>
                <w:lang w:eastAsia="en-US"/>
              </w:rPr>
            </w:pPr>
            <w:r w:rsidRPr="00F04A75">
              <w:rPr>
                <w:rFonts w:ascii="Arial Narrow" w:hAnsi="Arial Narrow"/>
                <w:bCs/>
                <w:color w:val="000000"/>
                <w:sz w:val="20"/>
                <w:lang w:eastAsia="en-US"/>
              </w:rPr>
              <w:lastRenderedPageBreak/>
              <w:t>(a) at least a 25% increase and an absolute increase of at least 5 g per L in serum M protein (monoclonal protein); or</w:t>
            </w:r>
          </w:p>
          <w:p w14:paraId="31F44589" w14:textId="77777777" w:rsidR="00BD6129" w:rsidRPr="00F04A75" w:rsidRDefault="00BD6129" w:rsidP="000C5072">
            <w:pPr>
              <w:spacing w:line="256" w:lineRule="auto"/>
              <w:jc w:val="left"/>
              <w:rPr>
                <w:rFonts w:ascii="Arial Narrow" w:hAnsi="Arial Narrow"/>
                <w:bCs/>
                <w:color w:val="000000"/>
                <w:sz w:val="20"/>
                <w:lang w:eastAsia="en-US"/>
              </w:rPr>
            </w:pPr>
            <w:r w:rsidRPr="00F04A75">
              <w:rPr>
                <w:rFonts w:ascii="Arial Narrow" w:hAnsi="Arial Narrow"/>
                <w:bCs/>
                <w:color w:val="000000"/>
                <w:sz w:val="20"/>
                <w:lang w:eastAsia="en-US"/>
              </w:rPr>
              <w:t>(b) at least a 25% increase in 24-hour urinary light chain M protein excretion, and an absolute increase of at least 200 mg per 24 hours; or</w:t>
            </w:r>
          </w:p>
          <w:p w14:paraId="031C58B1" w14:textId="77777777" w:rsidR="00BD6129" w:rsidRPr="00F04A75" w:rsidRDefault="00BD6129" w:rsidP="000C5072">
            <w:pPr>
              <w:spacing w:line="256" w:lineRule="auto"/>
              <w:jc w:val="left"/>
              <w:rPr>
                <w:rFonts w:ascii="Arial Narrow" w:hAnsi="Arial Narrow"/>
                <w:bCs/>
                <w:color w:val="000000"/>
                <w:sz w:val="20"/>
                <w:lang w:eastAsia="en-US"/>
              </w:rPr>
            </w:pPr>
            <w:r w:rsidRPr="00F04A75">
              <w:rPr>
                <w:rFonts w:ascii="Arial Narrow" w:hAnsi="Arial Narrow"/>
                <w:bCs/>
                <w:color w:val="000000"/>
                <w:sz w:val="20"/>
                <w:lang w:eastAsia="en-US"/>
              </w:rPr>
              <w:t xml:space="preserve">(c) in oligo-secretory and non-secretory myeloma patients only, at least a 50% increase in the difference between involved free light chain and uninvolved free light </w:t>
            </w:r>
            <w:proofErr w:type="gramStart"/>
            <w:r w:rsidRPr="00F04A75">
              <w:rPr>
                <w:rFonts w:ascii="Arial Narrow" w:hAnsi="Arial Narrow"/>
                <w:bCs/>
                <w:color w:val="000000"/>
                <w:sz w:val="20"/>
                <w:lang w:eastAsia="en-US"/>
              </w:rPr>
              <w:t>chain;</w:t>
            </w:r>
            <w:proofErr w:type="gramEnd"/>
            <w:r w:rsidRPr="00F04A75">
              <w:rPr>
                <w:rFonts w:ascii="Arial Narrow" w:hAnsi="Arial Narrow"/>
                <w:bCs/>
                <w:color w:val="000000"/>
                <w:sz w:val="20"/>
                <w:lang w:eastAsia="en-US"/>
              </w:rPr>
              <w:t xml:space="preserve"> or</w:t>
            </w:r>
          </w:p>
          <w:p w14:paraId="71832017" w14:textId="77777777" w:rsidR="00BD6129" w:rsidRPr="00F04A75" w:rsidRDefault="00BD6129" w:rsidP="000C5072">
            <w:pPr>
              <w:spacing w:line="256" w:lineRule="auto"/>
              <w:jc w:val="left"/>
              <w:rPr>
                <w:rFonts w:ascii="Arial Narrow" w:hAnsi="Arial Narrow"/>
                <w:bCs/>
                <w:color w:val="000000"/>
                <w:sz w:val="20"/>
                <w:lang w:eastAsia="en-US"/>
              </w:rPr>
            </w:pPr>
            <w:r w:rsidRPr="00F04A75">
              <w:rPr>
                <w:rFonts w:ascii="Arial Narrow" w:hAnsi="Arial Narrow"/>
                <w:bCs/>
                <w:color w:val="000000"/>
                <w:sz w:val="20"/>
                <w:lang w:eastAsia="en-US"/>
              </w:rPr>
              <w:t>(d) at least a 25% relative increase and at least a 10% absolute increase in plasma cells in a bone marrow aspirate or on biopsy; or</w:t>
            </w:r>
          </w:p>
          <w:p w14:paraId="4E730F7D" w14:textId="77777777" w:rsidR="00BD6129" w:rsidRPr="00F04A75" w:rsidRDefault="00BD6129" w:rsidP="000C5072">
            <w:pPr>
              <w:spacing w:line="256" w:lineRule="auto"/>
              <w:jc w:val="left"/>
              <w:rPr>
                <w:rFonts w:ascii="Arial Narrow" w:hAnsi="Arial Narrow"/>
                <w:bCs/>
                <w:color w:val="000000"/>
                <w:sz w:val="20"/>
                <w:lang w:eastAsia="en-US"/>
              </w:rPr>
            </w:pPr>
            <w:r w:rsidRPr="00F04A75">
              <w:rPr>
                <w:rFonts w:ascii="Arial Narrow" w:hAnsi="Arial Narrow"/>
                <w:bCs/>
                <w:color w:val="000000"/>
                <w:sz w:val="20"/>
                <w:lang w:eastAsia="en-US"/>
              </w:rPr>
              <w:t>(e) an increase in the size or number of lytic bone lesions (not including compression fractures); or</w:t>
            </w:r>
          </w:p>
          <w:p w14:paraId="2F260601" w14:textId="77777777" w:rsidR="00BD6129" w:rsidRPr="00F04A75" w:rsidRDefault="00BD6129" w:rsidP="000C5072">
            <w:pPr>
              <w:spacing w:line="256" w:lineRule="auto"/>
              <w:jc w:val="left"/>
              <w:rPr>
                <w:rFonts w:ascii="Arial Narrow" w:hAnsi="Arial Narrow"/>
                <w:bCs/>
                <w:color w:val="000000"/>
                <w:sz w:val="20"/>
                <w:lang w:eastAsia="en-US"/>
              </w:rPr>
            </w:pPr>
            <w:r w:rsidRPr="00F04A75">
              <w:rPr>
                <w:rFonts w:ascii="Arial Narrow" w:hAnsi="Arial Narrow"/>
                <w:bCs/>
                <w:color w:val="000000"/>
                <w:sz w:val="20"/>
                <w:lang w:eastAsia="en-US"/>
              </w:rPr>
              <w:t>(f) at least a 25% increase in the size of an existing or the development of a new soft tissue plasmacytoma (determined by clinical examination or diagnostic imaging); or</w:t>
            </w:r>
          </w:p>
          <w:p w14:paraId="60C114CD" w14:textId="77777777" w:rsidR="00BD6129" w:rsidRPr="00F04A75" w:rsidRDefault="00BD6129" w:rsidP="000C5072">
            <w:pPr>
              <w:spacing w:line="256" w:lineRule="auto"/>
              <w:jc w:val="left"/>
              <w:rPr>
                <w:rFonts w:ascii="Arial Narrow" w:hAnsi="Arial Narrow"/>
                <w:bCs/>
                <w:color w:val="000000"/>
                <w:sz w:val="20"/>
                <w:lang w:eastAsia="en-US"/>
              </w:rPr>
            </w:pPr>
            <w:r w:rsidRPr="00F04A75">
              <w:rPr>
                <w:rFonts w:ascii="Arial Narrow" w:hAnsi="Arial Narrow"/>
                <w:bCs/>
                <w:color w:val="000000"/>
                <w:sz w:val="20"/>
                <w:lang w:eastAsia="en-US"/>
              </w:rPr>
              <w:t>(g) development of hypercalcaemia (corrected serum calcium greater than 2.65 mmol per L not attributable to any other cause).</w:t>
            </w:r>
          </w:p>
        </w:tc>
      </w:tr>
      <w:tr w:rsidR="00BD6129" w:rsidRPr="00F04A75" w14:paraId="08C456F7" w14:textId="77777777" w:rsidTr="000C5072">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tcPr>
          <w:p w14:paraId="622BFEC4" w14:textId="77777777" w:rsidR="00BD6129" w:rsidRPr="00F04A75" w:rsidRDefault="00BD6129" w:rsidP="000C5072">
            <w:pPr>
              <w:spacing w:line="256" w:lineRule="auto"/>
              <w:jc w:val="center"/>
              <w:rPr>
                <w:rFonts w:ascii="Arial Narrow" w:hAnsi="Arial Narrow"/>
                <w:color w:val="000000"/>
                <w:sz w:val="20"/>
                <w:lang w:eastAsia="en-US"/>
              </w:rPr>
            </w:pPr>
          </w:p>
          <w:p w14:paraId="4CD98DE1" w14:textId="77777777" w:rsidR="00BD6129" w:rsidRPr="00F04A75" w:rsidRDefault="00BD6129" w:rsidP="000C5072">
            <w:pPr>
              <w:spacing w:line="256" w:lineRule="auto"/>
              <w:jc w:val="center"/>
              <w:rPr>
                <w:rFonts w:ascii="Arial Narrow" w:hAnsi="Arial Narrow"/>
                <w:color w:val="000000"/>
                <w:sz w:val="20"/>
                <w:lang w:eastAsia="en-US"/>
              </w:rPr>
            </w:pPr>
          </w:p>
        </w:tc>
        <w:tc>
          <w:tcPr>
            <w:tcW w:w="4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hideMark/>
          </w:tcPr>
          <w:p w14:paraId="5124C110" w14:textId="77777777" w:rsidR="00BD6129" w:rsidRPr="00F04A75" w:rsidRDefault="00BD6129" w:rsidP="000C5072">
            <w:pPr>
              <w:spacing w:line="256" w:lineRule="auto"/>
              <w:jc w:val="left"/>
              <w:rPr>
                <w:rFonts w:ascii="Arial Narrow" w:hAnsi="Arial Narrow"/>
                <w:b/>
                <w:bCs/>
                <w:i/>
                <w:iCs/>
                <w:color w:val="000000"/>
                <w:sz w:val="20"/>
                <w:lang w:eastAsia="en-US"/>
              </w:rPr>
            </w:pPr>
            <w:r w:rsidRPr="00F04A75">
              <w:rPr>
                <w:rFonts w:ascii="Arial Narrow" w:hAnsi="Arial Narrow"/>
                <w:b/>
                <w:bCs/>
                <w:color w:val="000000"/>
                <w:sz w:val="20"/>
                <w:lang w:eastAsia="en-US"/>
              </w:rPr>
              <w:t xml:space="preserve">Prescribing instructions </w:t>
            </w:r>
          </w:p>
          <w:p w14:paraId="0A0F51DE" w14:textId="77777777" w:rsidR="00BD6129" w:rsidRPr="00F04A75" w:rsidRDefault="00BD6129" w:rsidP="000C5072">
            <w:pPr>
              <w:spacing w:line="256" w:lineRule="auto"/>
              <w:jc w:val="left"/>
              <w:rPr>
                <w:rFonts w:ascii="Arial Narrow" w:hAnsi="Arial Narrow"/>
                <w:b/>
                <w:bCs/>
                <w:strike/>
                <w:color w:val="000000"/>
                <w:sz w:val="20"/>
                <w:lang w:eastAsia="en-US"/>
              </w:rPr>
            </w:pPr>
            <w:r w:rsidRPr="00F04A75">
              <w:rPr>
                <w:rFonts w:ascii="Arial Narrow" w:hAnsi="Arial Narrow"/>
                <w:bCs/>
                <w:color w:val="000000"/>
                <w:sz w:val="20"/>
                <w:lang w:eastAsia="en-US"/>
              </w:rPr>
              <w:t>Oligo-secretory and non-secretory patients are defined as having active disease with less than 10 g per L serum M protein.</w:t>
            </w:r>
          </w:p>
        </w:tc>
      </w:tr>
      <w:tr w:rsidR="00BD6129" w:rsidRPr="00F04A75" w14:paraId="5B0CFEE7" w14:textId="77777777" w:rsidTr="003B5756">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vAlign w:val="center"/>
          </w:tcPr>
          <w:p w14:paraId="6F4906BD" w14:textId="089CC085" w:rsidR="00BD6129" w:rsidRPr="00F04A75" w:rsidRDefault="00BD6129" w:rsidP="000C5072">
            <w:pPr>
              <w:spacing w:line="256" w:lineRule="auto"/>
              <w:jc w:val="center"/>
              <w:rPr>
                <w:rFonts w:ascii="Arial Narrow" w:hAnsi="Arial Narrow"/>
                <w:color w:val="000000"/>
                <w:sz w:val="20"/>
                <w:lang w:eastAsia="en-US"/>
              </w:rPr>
            </w:pPr>
          </w:p>
        </w:tc>
        <w:tc>
          <w:tcPr>
            <w:tcW w:w="4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vAlign w:val="center"/>
            <w:hideMark/>
          </w:tcPr>
          <w:p w14:paraId="5F9465A9" w14:textId="77777777" w:rsidR="00BD6129" w:rsidRPr="00F04A75" w:rsidRDefault="00BD6129" w:rsidP="000C5072">
            <w:pPr>
              <w:spacing w:line="256" w:lineRule="auto"/>
              <w:jc w:val="left"/>
              <w:rPr>
                <w:rFonts w:ascii="Arial Narrow" w:hAnsi="Arial Narrow"/>
                <w:strike/>
                <w:color w:val="000000"/>
                <w:sz w:val="20"/>
                <w:lang w:eastAsia="en-US"/>
              </w:rPr>
            </w:pPr>
            <w:r w:rsidRPr="00F04A75">
              <w:rPr>
                <w:rFonts w:ascii="Arial Narrow" w:hAnsi="Arial Narrow"/>
                <w:b/>
                <w:bCs/>
                <w:i/>
                <w:color w:val="333333"/>
                <w:sz w:val="20"/>
                <w:lang w:eastAsia="en-US"/>
              </w:rPr>
              <w:t>Administrative Advice:</w:t>
            </w:r>
            <w:r w:rsidRPr="00F04A75">
              <w:rPr>
                <w:rFonts w:ascii="Arial Narrow" w:hAnsi="Arial Narrow"/>
                <w:i/>
                <w:color w:val="333333"/>
                <w:sz w:val="20"/>
                <w:lang w:eastAsia="en-US"/>
              </w:rPr>
              <w:t xml:space="preserve"> No increase in the maximum number of repeats may be authorised.</w:t>
            </w:r>
          </w:p>
        </w:tc>
      </w:tr>
      <w:tr w:rsidR="00BD6129" w:rsidRPr="00F04A75" w14:paraId="44790B2E" w14:textId="77777777" w:rsidTr="003B5756">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vAlign w:val="center"/>
          </w:tcPr>
          <w:p w14:paraId="1C9BBD16" w14:textId="009252E3" w:rsidR="00BD6129" w:rsidRPr="00F04A75" w:rsidRDefault="00BD6129" w:rsidP="000C5072">
            <w:pPr>
              <w:spacing w:line="256" w:lineRule="auto"/>
              <w:jc w:val="center"/>
              <w:rPr>
                <w:rFonts w:ascii="Arial Narrow" w:hAnsi="Arial Narrow"/>
                <w:color w:val="000000"/>
                <w:sz w:val="20"/>
                <w:lang w:eastAsia="en-US"/>
              </w:rPr>
            </w:pPr>
          </w:p>
        </w:tc>
        <w:tc>
          <w:tcPr>
            <w:tcW w:w="4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vAlign w:val="center"/>
            <w:hideMark/>
          </w:tcPr>
          <w:p w14:paraId="1DB1AE51" w14:textId="77777777" w:rsidR="00BD6129" w:rsidRPr="00F04A75" w:rsidRDefault="00BD6129" w:rsidP="000C5072">
            <w:pPr>
              <w:spacing w:line="256" w:lineRule="auto"/>
              <w:jc w:val="left"/>
              <w:rPr>
                <w:rFonts w:ascii="Arial Narrow" w:hAnsi="Arial Narrow"/>
                <w:bCs/>
                <w:i/>
                <w:color w:val="000000"/>
                <w:sz w:val="20"/>
                <w:lang w:eastAsia="en-US"/>
              </w:rPr>
            </w:pPr>
            <w:r w:rsidRPr="00F04A75">
              <w:rPr>
                <w:rFonts w:ascii="Arial Narrow" w:hAnsi="Arial Narrow"/>
                <w:b/>
                <w:bCs/>
                <w:i/>
                <w:color w:val="333333"/>
                <w:sz w:val="20"/>
                <w:lang w:eastAsia="en-US"/>
              </w:rPr>
              <w:t>Administrative Advice:</w:t>
            </w:r>
            <w:r w:rsidRPr="00F04A75">
              <w:rPr>
                <w:rFonts w:ascii="Arial Narrow" w:hAnsi="Arial Narrow"/>
                <w:b/>
                <w:bCs/>
                <w:color w:val="333333"/>
                <w:sz w:val="20"/>
                <w:lang w:eastAsia="en-US"/>
              </w:rPr>
              <w:t xml:space="preserve"> </w:t>
            </w:r>
            <w:r w:rsidRPr="00F04A75">
              <w:rPr>
                <w:rFonts w:ascii="Arial Narrow" w:hAnsi="Arial Narrow"/>
                <w:i/>
                <w:color w:val="333333"/>
                <w:sz w:val="20"/>
                <w:lang w:eastAsia="en-US"/>
              </w:rPr>
              <w:t>Special Pricing Arrangements apply</w:t>
            </w:r>
          </w:p>
        </w:tc>
      </w:tr>
    </w:tbl>
    <w:p w14:paraId="72AEAE90" w14:textId="77777777" w:rsidR="00BD6129" w:rsidRPr="00F04A75" w:rsidRDefault="00BD6129" w:rsidP="00BD6129"/>
    <w:p w14:paraId="326BB5C3" w14:textId="7CA3A24A" w:rsidR="00BD6129" w:rsidRPr="007E3BB7" w:rsidRDefault="007E3BB7" w:rsidP="007E3BB7">
      <w:pPr>
        <w:spacing w:after="120"/>
        <w:ind w:left="720" w:hanging="720"/>
        <w:rPr>
          <w:rFonts w:eastAsia="Calibri"/>
          <w:snapToGrid w:val="0"/>
          <w:szCs w:val="22"/>
        </w:rPr>
      </w:pPr>
      <w:r w:rsidRPr="007E3BB7">
        <w:rPr>
          <w:rFonts w:eastAsia="Calibri"/>
          <w:bCs/>
          <w:snapToGrid w:val="0"/>
          <w:szCs w:val="22"/>
        </w:rPr>
        <w:t>3.2</w:t>
      </w:r>
      <w:r w:rsidRPr="007E3BB7">
        <w:rPr>
          <w:rFonts w:eastAsia="Calibri"/>
          <w:bCs/>
          <w:snapToGrid w:val="0"/>
          <w:szCs w:val="22"/>
        </w:rPr>
        <w:tab/>
      </w:r>
      <w:r w:rsidR="00BD6129" w:rsidRPr="007E3BB7">
        <w:rPr>
          <w:rFonts w:eastAsia="Calibri"/>
          <w:bCs/>
          <w:snapToGrid w:val="0"/>
          <w:szCs w:val="22"/>
        </w:rPr>
        <w:t>Add new lenalidomide Treatment phase listing to permit use in carfilzomib + lenalidomide + dexamethasone triple combination therapy as follows:</w:t>
      </w:r>
    </w:p>
    <w:p w14:paraId="6928BF99" w14:textId="77777777" w:rsidR="00BD6129" w:rsidRPr="00F04A75" w:rsidRDefault="00BD6129" w:rsidP="00BD6129">
      <w:pPr>
        <w:rPr>
          <w:i/>
          <w:iCs/>
          <w:sz w:val="18"/>
          <w:szCs w:val="18"/>
        </w:rPr>
      </w:pPr>
    </w:p>
    <w:tbl>
      <w:tblPr>
        <w:tblStyle w:val="MSDTableGrid1"/>
        <w:tblW w:w="9060" w:type="dxa"/>
        <w:tblLayout w:type="fixed"/>
        <w:tblLook w:val="04A0" w:firstRow="1" w:lastRow="0" w:firstColumn="1" w:lastColumn="0" w:noHBand="0" w:noVBand="1"/>
      </w:tblPr>
      <w:tblGrid>
        <w:gridCol w:w="2404"/>
        <w:gridCol w:w="1984"/>
        <w:gridCol w:w="849"/>
        <w:gridCol w:w="850"/>
        <w:gridCol w:w="707"/>
        <w:gridCol w:w="992"/>
        <w:gridCol w:w="1274"/>
      </w:tblGrid>
      <w:tr w:rsidR="00BD6129" w:rsidRPr="00401332" w14:paraId="36CA9C61" w14:textId="77777777" w:rsidTr="000C5072">
        <w:trPr>
          <w:cnfStyle w:val="100000000000" w:firstRow="1" w:lastRow="0" w:firstColumn="0" w:lastColumn="0" w:oddVBand="0" w:evenVBand="0" w:oddHBand="0" w:evenHBand="0" w:firstRowFirstColumn="0" w:firstRowLastColumn="0" w:lastRowFirstColumn="0" w:lastRowLastColumn="0"/>
        </w:trPr>
        <w:tc>
          <w:tcPr>
            <w:tcW w:w="240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14:paraId="5B4B2E8A" w14:textId="77777777" w:rsidR="00BD6129" w:rsidRPr="00401332" w:rsidRDefault="00BD6129" w:rsidP="000C5072">
            <w:pPr>
              <w:rPr>
                <w:rFonts w:ascii="Arial Narrow" w:hAnsi="Arial Narrow"/>
                <w:bCs/>
                <w:snapToGrid w:val="0"/>
                <w:sz w:val="20"/>
                <w:szCs w:val="20"/>
                <w:lang w:val="en-AU"/>
              </w:rPr>
            </w:pPr>
            <w:r w:rsidRPr="00401332">
              <w:rPr>
                <w:rFonts w:ascii="Arial Narrow" w:hAnsi="Arial Narrow"/>
                <w:bCs/>
                <w:snapToGrid w:val="0"/>
                <w:sz w:val="20"/>
                <w:szCs w:val="20"/>
                <w:lang w:val="en-AU"/>
              </w:rPr>
              <w:t>MEDICINAL PRODUCT</w:t>
            </w:r>
          </w:p>
          <w:p w14:paraId="6E455BCA" w14:textId="77777777" w:rsidR="00BD6129" w:rsidRPr="00401332" w:rsidRDefault="00BD6129" w:rsidP="000C5072">
            <w:pPr>
              <w:rPr>
                <w:rFonts w:ascii="Arial Narrow" w:hAnsi="Arial Narrow"/>
                <w:bCs/>
                <w:snapToGrid w:val="0"/>
                <w:sz w:val="20"/>
                <w:szCs w:val="20"/>
                <w:lang w:val="en-AU"/>
              </w:rPr>
            </w:pPr>
            <w:r w:rsidRPr="00401332">
              <w:rPr>
                <w:rFonts w:ascii="Arial Narrow" w:hAnsi="Arial Narrow"/>
                <w:bCs/>
                <w:snapToGrid w:val="0"/>
                <w:sz w:val="20"/>
                <w:szCs w:val="20"/>
                <w:lang w:val="en-AU"/>
              </w:rPr>
              <w:t>medicinal product pack</w:t>
            </w:r>
          </w:p>
        </w:tc>
        <w:tc>
          <w:tcPr>
            <w:tcW w:w="198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14:paraId="75DF57A7" w14:textId="77777777" w:rsidR="00BD6129" w:rsidRPr="00401332" w:rsidRDefault="00BD6129" w:rsidP="000C5072">
            <w:pPr>
              <w:jc w:val="center"/>
              <w:rPr>
                <w:rFonts w:ascii="Arial Narrow" w:hAnsi="Arial Narrow"/>
                <w:bCs/>
                <w:snapToGrid w:val="0"/>
                <w:sz w:val="20"/>
                <w:szCs w:val="20"/>
                <w:lang w:val="en-AU"/>
              </w:rPr>
            </w:pPr>
            <w:r w:rsidRPr="00401332">
              <w:rPr>
                <w:rFonts w:ascii="Arial Narrow" w:hAnsi="Arial Narrow"/>
                <w:bCs/>
                <w:snapToGrid w:val="0"/>
                <w:sz w:val="20"/>
                <w:szCs w:val="20"/>
                <w:lang w:val="en-AU"/>
              </w:rPr>
              <w:t>PBS item code</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14:paraId="1432AADD" w14:textId="77777777" w:rsidR="00BD6129" w:rsidRPr="00401332" w:rsidRDefault="00BD6129" w:rsidP="000C5072">
            <w:pPr>
              <w:jc w:val="center"/>
              <w:rPr>
                <w:rFonts w:ascii="Arial Narrow" w:hAnsi="Arial Narrow"/>
                <w:bCs/>
                <w:snapToGrid w:val="0"/>
                <w:sz w:val="20"/>
                <w:szCs w:val="20"/>
                <w:lang w:val="en-AU"/>
              </w:rPr>
            </w:pPr>
            <w:r w:rsidRPr="00401332">
              <w:rPr>
                <w:rFonts w:ascii="Arial Narrow" w:hAnsi="Arial Narrow"/>
                <w:bCs/>
                <w:snapToGrid w:val="0"/>
                <w:sz w:val="20"/>
                <w:szCs w:val="20"/>
                <w:lang w:val="en-AU"/>
              </w:rPr>
              <w:t>Max. Qty (units)</w:t>
            </w:r>
          </w:p>
        </w:tc>
        <w:tc>
          <w:tcPr>
            <w:tcW w:w="85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14:paraId="76D1AA3D" w14:textId="77777777" w:rsidR="00BD6129" w:rsidRPr="00401332" w:rsidRDefault="00BD6129" w:rsidP="000C5072">
            <w:pPr>
              <w:jc w:val="center"/>
              <w:rPr>
                <w:rFonts w:ascii="Arial Narrow" w:hAnsi="Arial Narrow"/>
                <w:bCs/>
                <w:snapToGrid w:val="0"/>
                <w:sz w:val="20"/>
                <w:szCs w:val="20"/>
                <w:lang w:val="en-AU"/>
              </w:rPr>
            </w:pPr>
            <w:r w:rsidRPr="00401332">
              <w:rPr>
                <w:rFonts w:ascii="Arial Narrow" w:hAnsi="Arial Narrow"/>
                <w:bCs/>
                <w:snapToGrid w:val="0"/>
                <w:sz w:val="20"/>
                <w:szCs w:val="20"/>
                <w:lang w:val="en-AU"/>
              </w:rPr>
              <w:t>Max. Qty (packs)</w:t>
            </w:r>
          </w:p>
        </w:tc>
        <w:tc>
          <w:tcPr>
            <w:tcW w:w="70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14:paraId="647CCAB6" w14:textId="77777777" w:rsidR="00BD6129" w:rsidRPr="00401332" w:rsidRDefault="00BD6129" w:rsidP="000C5072">
            <w:pPr>
              <w:jc w:val="center"/>
              <w:rPr>
                <w:rFonts w:ascii="Arial Narrow" w:hAnsi="Arial Narrow"/>
                <w:bCs/>
                <w:snapToGrid w:val="0"/>
                <w:sz w:val="20"/>
                <w:szCs w:val="20"/>
                <w:lang w:val="en-AU"/>
              </w:rPr>
            </w:pPr>
            <w:r w:rsidRPr="00401332">
              <w:rPr>
                <w:rFonts w:ascii="Arial Narrow" w:hAnsi="Arial Narrow"/>
                <w:bCs/>
                <w:snapToGrid w:val="0"/>
                <w:sz w:val="20"/>
                <w:szCs w:val="20"/>
                <w:lang w:val="en-AU"/>
              </w:rPr>
              <w:t xml:space="preserve">No. of </w:t>
            </w:r>
            <w:proofErr w:type="spellStart"/>
            <w:r w:rsidRPr="00401332">
              <w:rPr>
                <w:rFonts w:ascii="Arial Narrow" w:hAnsi="Arial Narrow"/>
                <w:bCs/>
                <w:snapToGrid w:val="0"/>
                <w:sz w:val="20"/>
                <w:szCs w:val="20"/>
                <w:lang w:val="en-AU"/>
              </w:rPr>
              <w:t>Rpts</w:t>
            </w:r>
            <w:proofErr w:type="spellEnd"/>
          </w:p>
        </w:tc>
        <w:tc>
          <w:tcPr>
            <w:tcW w:w="99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14:paraId="22799F55" w14:textId="77777777" w:rsidR="00BD6129" w:rsidRPr="00401332" w:rsidRDefault="00BD6129" w:rsidP="000C5072">
            <w:pPr>
              <w:rPr>
                <w:rFonts w:ascii="Arial Narrow" w:hAnsi="Arial Narrow"/>
                <w:bCs/>
                <w:snapToGrid w:val="0"/>
                <w:sz w:val="20"/>
                <w:szCs w:val="20"/>
                <w:lang w:val="en-AU"/>
              </w:rPr>
            </w:pPr>
            <w:r w:rsidRPr="00401332">
              <w:rPr>
                <w:rFonts w:ascii="Arial Narrow" w:hAnsi="Arial Narrow"/>
                <w:bCs/>
                <w:snapToGrid w:val="0"/>
                <w:sz w:val="20"/>
                <w:szCs w:val="20"/>
                <w:lang w:val="en-AU"/>
              </w:rPr>
              <w:t>Available brands</w:t>
            </w:r>
          </w:p>
        </w:tc>
        <w:tc>
          <w:tcPr>
            <w:tcW w:w="127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14:paraId="2EE232FB" w14:textId="77777777" w:rsidR="00BD6129" w:rsidRPr="00401332" w:rsidRDefault="00BD6129" w:rsidP="000C5072">
            <w:pPr>
              <w:rPr>
                <w:rFonts w:ascii="Arial Narrow" w:hAnsi="Arial Narrow"/>
                <w:bCs/>
                <w:snapToGrid w:val="0"/>
                <w:sz w:val="20"/>
                <w:szCs w:val="20"/>
                <w:lang w:val="en-AU"/>
              </w:rPr>
            </w:pPr>
            <w:r w:rsidRPr="00401332">
              <w:rPr>
                <w:rFonts w:ascii="Arial Narrow" w:hAnsi="Arial Narrow"/>
                <w:bCs/>
                <w:snapToGrid w:val="0"/>
                <w:sz w:val="20"/>
                <w:szCs w:val="20"/>
                <w:lang w:val="en-AU"/>
              </w:rPr>
              <w:t>Sponsor</w:t>
            </w:r>
          </w:p>
        </w:tc>
      </w:tr>
      <w:tr w:rsidR="00BD6129" w:rsidRPr="00401332" w14:paraId="6965A425" w14:textId="77777777" w:rsidTr="000C5072">
        <w:tc>
          <w:tcPr>
            <w:tcW w:w="7792" w:type="dxa"/>
            <w:gridSpan w:val="6"/>
            <w:tcBorders>
              <w:top w:val="single" w:sz="4" w:space="0" w:color="auto"/>
              <w:left w:val="single" w:sz="4" w:space="0" w:color="auto"/>
              <w:bottom w:val="single" w:sz="4" w:space="0" w:color="auto"/>
              <w:right w:val="single" w:sz="4" w:space="0" w:color="auto"/>
            </w:tcBorders>
            <w:tcMar>
              <w:left w:w="28" w:type="dxa"/>
              <w:right w:w="28" w:type="dxa"/>
            </w:tcMar>
            <w:hideMark/>
          </w:tcPr>
          <w:p w14:paraId="15DDFCDF" w14:textId="77777777" w:rsidR="00BD6129" w:rsidRPr="00401332" w:rsidRDefault="00BD6129" w:rsidP="000C5072">
            <w:pPr>
              <w:rPr>
                <w:rFonts w:ascii="Arial Narrow" w:hAnsi="Arial Narrow"/>
                <w:snapToGrid w:val="0"/>
                <w:sz w:val="20"/>
                <w:szCs w:val="20"/>
                <w:lang w:val="en-AU"/>
              </w:rPr>
            </w:pPr>
            <w:r w:rsidRPr="00401332">
              <w:rPr>
                <w:rFonts w:ascii="Arial Narrow" w:hAnsi="Arial Narrow"/>
                <w:snapToGrid w:val="0"/>
                <w:sz w:val="20"/>
                <w:szCs w:val="20"/>
                <w:lang w:val="en-AU"/>
              </w:rPr>
              <w:t>LENALIDOMIDE</w:t>
            </w:r>
          </w:p>
        </w:tc>
        <w:tc>
          <w:tcPr>
            <w:tcW w:w="1275" w:type="dxa"/>
            <w:tcBorders>
              <w:top w:val="single" w:sz="4" w:space="0" w:color="auto"/>
              <w:left w:val="single" w:sz="4" w:space="0" w:color="auto"/>
              <w:bottom w:val="single" w:sz="4" w:space="0" w:color="auto"/>
              <w:right w:val="single" w:sz="4" w:space="0" w:color="auto"/>
            </w:tcBorders>
            <w:tcMar>
              <w:left w:w="28" w:type="dxa"/>
              <w:right w:w="28" w:type="dxa"/>
            </w:tcMar>
          </w:tcPr>
          <w:p w14:paraId="003AC35E" w14:textId="77777777" w:rsidR="00BD6129" w:rsidRPr="00401332" w:rsidRDefault="00BD6129" w:rsidP="000C5072">
            <w:pPr>
              <w:rPr>
                <w:rFonts w:ascii="Arial Narrow" w:hAnsi="Arial Narrow"/>
                <w:snapToGrid w:val="0"/>
                <w:sz w:val="20"/>
                <w:szCs w:val="20"/>
                <w:lang w:val="en-AU"/>
              </w:rPr>
            </w:pPr>
          </w:p>
        </w:tc>
      </w:tr>
      <w:tr w:rsidR="00BD6129" w:rsidRPr="00401332" w14:paraId="76BA1733" w14:textId="77777777" w:rsidTr="000C5072">
        <w:trPr>
          <w:trHeight w:val="220"/>
        </w:trPr>
        <w:tc>
          <w:tcPr>
            <w:tcW w:w="2405"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7B5705B7" w14:textId="77777777" w:rsidR="00BD6129" w:rsidRPr="00401332" w:rsidRDefault="00BD6129" w:rsidP="000C5072">
            <w:pPr>
              <w:rPr>
                <w:rFonts w:ascii="Arial Narrow" w:hAnsi="Arial Narrow"/>
                <w:snapToGrid w:val="0"/>
                <w:sz w:val="20"/>
                <w:szCs w:val="20"/>
                <w:lang w:val="en-AU"/>
              </w:rPr>
            </w:pPr>
            <w:r w:rsidRPr="00401332">
              <w:rPr>
                <w:rFonts w:ascii="Arial Narrow" w:hAnsi="Arial Narrow"/>
                <w:snapToGrid w:val="0"/>
                <w:sz w:val="20"/>
                <w:szCs w:val="20"/>
                <w:lang w:val="en-AU"/>
              </w:rPr>
              <w:t>lenalidomide 5 mg capsule, 21</w:t>
            </w:r>
          </w:p>
        </w:tc>
        <w:tc>
          <w:tcPr>
            <w:tcW w:w="1985"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548349BF" w14:textId="77777777" w:rsidR="00BD6129" w:rsidRPr="00401332" w:rsidRDefault="00BD6129" w:rsidP="000C5072">
            <w:pPr>
              <w:jc w:val="center"/>
              <w:rPr>
                <w:rFonts w:ascii="Arial Narrow" w:hAnsi="Arial Narrow"/>
                <w:snapToGrid w:val="0"/>
                <w:sz w:val="20"/>
                <w:szCs w:val="20"/>
                <w:lang w:val="en-AU"/>
              </w:rPr>
            </w:pPr>
            <w:r w:rsidRPr="00401332">
              <w:rPr>
                <w:rFonts w:ascii="Arial Narrow" w:hAnsi="Arial Narrow"/>
                <w:snapToGrid w:val="0"/>
                <w:sz w:val="20"/>
                <w:szCs w:val="20"/>
                <w:lang w:val="en-AU"/>
              </w:rPr>
              <w:t>New (Public) / (Private)</w:t>
            </w:r>
          </w:p>
        </w:tc>
        <w:tc>
          <w:tcPr>
            <w:tcW w:w="850"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4BB0FF6D" w14:textId="77777777" w:rsidR="00BD6129" w:rsidRPr="00401332" w:rsidRDefault="00BD6129" w:rsidP="000C5072">
            <w:pPr>
              <w:jc w:val="center"/>
              <w:rPr>
                <w:rFonts w:ascii="Arial Narrow" w:hAnsi="Arial Narrow"/>
                <w:snapToGrid w:val="0"/>
                <w:sz w:val="20"/>
                <w:szCs w:val="20"/>
                <w:lang w:val="en-AU"/>
              </w:rPr>
            </w:pPr>
            <w:r w:rsidRPr="00401332">
              <w:rPr>
                <w:rFonts w:ascii="Arial Narrow" w:hAnsi="Arial Narrow"/>
                <w:snapToGrid w:val="0"/>
                <w:sz w:val="20"/>
                <w:szCs w:val="20"/>
                <w:lang w:val="en-AU"/>
              </w:rPr>
              <w:t>21</w:t>
            </w:r>
          </w:p>
        </w:tc>
        <w:tc>
          <w:tcPr>
            <w:tcW w:w="851"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6043C6AC" w14:textId="77777777" w:rsidR="00BD6129" w:rsidRPr="00401332" w:rsidRDefault="00BD6129" w:rsidP="000C5072">
            <w:pPr>
              <w:jc w:val="center"/>
              <w:rPr>
                <w:rFonts w:ascii="Arial Narrow" w:hAnsi="Arial Narrow"/>
                <w:snapToGrid w:val="0"/>
                <w:sz w:val="20"/>
                <w:szCs w:val="20"/>
                <w:lang w:val="en-AU"/>
              </w:rPr>
            </w:pPr>
            <w:r w:rsidRPr="00401332">
              <w:rPr>
                <w:rFonts w:ascii="Arial Narrow" w:hAnsi="Arial Narrow"/>
                <w:snapToGrid w:val="0"/>
                <w:sz w:val="20"/>
                <w:szCs w:val="20"/>
                <w:lang w:val="en-AU"/>
              </w:rPr>
              <w:t>1</w:t>
            </w:r>
          </w:p>
        </w:tc>
        <w:tc>
          <w:tcPr>
            <w:tcW w:w="708"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232998AA" w14:textId="77777777" w:rsidR="00BD6129" w:rsidRPr="00401332" w:rsidRDefault="00BD6129" w:rsidP="000C5072">
            <w:pPr>
              <w:keepNext/>
              <w:keepLines/>
              <w:jc w:val="center"/>
              <w:rPr>
                <w:rFonts w:ascii="Arial Narrow" w:hAnsi="Arial Narrow"/>
                <w:sz w:val="20"/>
                <w:szCs w:val="20"/>
                <w:lang w:val="en-AU"/>
              </w:rPr>
            </w:pPr>
            <w:r w:rsidRPr="00401332">
              <w:rPr>
                <w:rFonts w:ascii="Arial Narrow" w:hAnsi="Arial Narrow"/>
                <w:sz w:val="20"/>
                <w:szCs w:val="20"/>
                <w:lang w:val="en-AU"/>
              </w:rPr>
              <w:t>2</w:t>
            </w:r>
          </w:p>
        </w:tc>
        <w:tc>
          <w:tcPr>
            <w:tcW w:w="993"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0DD285FB" w14:textId="77777777" w:rsidR="00BD6129" w:rsidRPr="00401332" w:rsidRDefault="00BD6129" w:rsidP="000C5072">
            <w:pPr>
              <w:rPr>
                <w:rFonts w:ascii="Arial Narrow" w:hAnsi="Arial Narrow"/>
                <w:snapToGrid w:val="0"/>
                <w:sz w:val="20"/>
                <w:szCs w:val="20"/>
                <w:lang w:val="en-AU"/>
              </w:rPr>
            </w:pPr>
            <w:r w:rsidRPr="00401332">
              <w:rPr>
                <w:rFonts w:ascii="Arial Narrow" w:hAnsi="Arial Narrow"/>
                <w:snapToGrid w:val="0"/>
                <w:sz w:val="20"/>
                <w:szCs w:val="20"/>
                <w:lang w:val="en-AU"/>
              </w:rPr>
              <w:t>Revlimid</w:t>
            </w:r>
          </w:p>
        </w:tc>
        <w:tc>
          <w:tcPr>
            <w:tcW w:w="1275"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606AA7F4" w14:textId="77777777" w:rsidR="00BD6129" w:rsidRPr="00401332" w:rsidRDefault="00BD6129" w:rsidP="000C5072">
            <w:pPr>
              <w:rPr>
                <w:rFonts w:ascii="Arial Narrow" w:hAnsi="Arial Narrow"/>
                <w:snapToGrid w:val="0"/>
                <w:sz w:val="20"/>
                <w:szCs w:val="20"/>
                <w:lang w:val="en-AU"/>
              </w:rPr>
            </w:pPr>
            <w:r w:rsidRPr="00401332">
              <w:rPr>
                <w:rFonts w:ascii="Arial Narrow" w:hAnsi="Arial Narrow"/>
                <w:snapToGrid w:val="0"/>
                <w:sz w:val="20"/>
                <w:szCs w:val="20"/>
                <w:lang w:val="en-AU"/>
              </w:rPr>
              <w:t>Celgene Pty Ltd</w:t>
            </w:r>
          </w:p>
        </w:tc>
      </w:tr>
      <w:tr w:rsidR="00BD6129" w:rsidRPr="00401332" w14:paraId="23627449" w14:textId="77777777" w:rsidTr="000C5072">
        <w:trPr>
          <w:trHeight w:val="220"/>
        </w:trPr>
        <w:tc>
          <w:tcPr>
            <w:tcW w:w="2405"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5C18FE61" w14:textId="77777777" w:rsidR="00BD6129" w:rsidRPr="00401332" w:rsidRDefault="00BD6129" w:rsidP="000C5072">
            <w:pPr>
              <w:rPr>
                <w:rFonts w:ascii="Arial Narrow" w:hAnsi="Arial Narrow"/>
                <w:snapToGrid w:val="0"/>
                <w:sz w:val="20"/>
                <w:szCs w:val="20"/>
                <w:lang w:val="en-AU"/>
              </w:rPr>
            </w:pPr>
            <w:r w:rsidRPr="00401332">
              <w:rPr>
                <w:rFonts w:ascii="Arial Narrow" w:hAnsi="Arial Narrow"/>
                <w:snapToGrid w:val="0"/>
                <w:sz w:val="20"/>
                <w:szCs w:val="20"/>
                <w:lang w:val="en-AU"/>
              </w:rPr>
              <w:t>lenalidomide 10 mg capsule, 21</w:t>
            </w:r>
          </w:p>
        </w:tc>
        <w:tc>
          <w:tcPr>
            <w:tcW w:w="1985"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45E3BD02" w14:textId="77777777" w:rsidR="00BD6129" w:rsidRPr="00401332" w:rsidRDefault="00BD6129" w:rsidP="000C5072">
            <w:pPr>
              <w:jc w:val="center"/>
              <w:rPr>
                <w:rFonts w:ascii="Arial Narrow" w:hAnsi="Arial Narrow"/>
                <w:snapToGrid w:val="0"/>
                <w:sz w:val="20"/>
                <w:szCs w:val="20"/>
                <w:lang w:val="en-AU"/>
              </w:rPr>
            </w:pPr>
            <w:r w:rsidRPr="00401332">
              <w:rPr>
                <w:rFonts w:ascii="Arial Narrow" w:hAnsi="Arial Narrow"/>
                <w:snapToGrid w:val="0"/>
                <w:sz w:val="20"/>
                <w:szCs w:val="20"/>
                <w:lang w:val="en-AU"/>
              </w:rPr>
              <w:t>New (Public) / (Private)</w:t>
            </w:r>
          </w:p>
        </w:tc>
        <w:tc>
          <w:tcPr>
            <w:tcW w:w="850"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4CD6D389" w14:textId="77777777" w:rsidR="00BD6129" w:rsidRPr="00401332" w:rsidRDefault="00BD6129" w:rsidP="000C5072">
            <w:pPr>
              <w:jc w:val="center"/>
              <w:rPr>
                <w:rFonts w:ascii="Arial Narrow" w:hAnsi="Arial Narrow"/>
                <w:snapToGrid w:val="0"/>
                <w:sz w:val="20"/>
                <w:szCs w:val="20"/>
                <w:lang w:val="en-AU"/>
              </w:rPr>
            </w:pPr>
            <w:r w:rsidRPr="00401332">
              <w:rPr>
                <w:rFonts w:ascii="Arial Narrow" w:hAnsi="Arial Narrow"/>
                <w:snapToGrid w:val="0"/>
                <w:sz w:val="20"/>
                <w:szCs w:val="20"/>
                <w:lang w:val="en-AU"/>
              </w:rPr>
              <w:t>21</w:t>
            </w:r>
          </w:p>
        </w:tc>
        <w:tc>
          <w:tcPr>
            <w:tcW w:w="851"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687E187E" w14:textId="77777777" w:rsidR="00BD6129" w:rsidRPr="00401332" w:rsidRDefault="00BD6129" w:rsidP="000C5072">
            <w:pPr>
              <w:jc w:val="center"/>
              <w:rPr>
                <w:rFonts w:ascii="Arial Narrow" w:hAnsi="Arial Narrow"/>
                <w:snapToGrid w:val="0"/>
                <w:sz w:val="20"/>
                <w:szCs w:val="20"/>
                <w:lang w:val="en-AU"/>
              </w:rPr>
            </w:pPr>
            <w:r w:rsidRPr="00401332">
              <w:rPr>
                <w:rFonts w:ascii="Arial Narrow" w:hAnsi="Arial Narrow"/>
                <w:snapToGrid w:val="0"/>
                <w:sz w:val="20"/>
                <w:szCs w:val="20"/>
                <w:lang w:val="en-AU"/>
              </w:rPr>
              <w:t>1</w:t>
            </w:r>
          </w:p>
        </w:tc>
        <w:tc>
          <w:tcPr>
            <w:tcW w:w="708"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487E7EED" w14:textId="77777777" w:rsidR="00BD6129" w:rsidRPr="00401332" w:rsidRDefault="00BD6129" w:rsidP="000C5072">
            <w:pPr>
              <w:keepNext/>
              <w:keepLines/>
              <w:jc w:val="center"/>
              <w:rPr>
                <w:rFonts w:ascii="Arial Narrow" w:hAnsi="Arial Narrow"/>
                <w:sz w:val="20"/>
                <w:szCs w:val="20"/>
                <w:lang w:val="en-AU"/>
              </w:rPr>
            </w:pPr>
            <w:r w:rsidRPr="00401332">
              <w:rPr>
                <w:rFonts w:ascii="Arial Narrow" w:hAnsi="Arial Narrow"/>
                <w:sz w:val="20"/>
                <w:szCs w:val="20"/>
                <w:lang w:val="en-AU"/>
              </w:rPr>
              <w:t>2</w:t>
            </w:r>
          </w:p>
        </w:tc>
        <w:tc>
          <w:tcPr>
            <w:tcW w:w="993"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37D82C2E" w14:textId="77777777" w:rsidR="00BD6129" w:rsidRPr="00401332" w:rsidRDefault="00BD6129" w:rsidP="000C5072">
            <w:pPr>
              <w:rPr>
                <w:rFonts w:ascii="Arial Narrow" w:hAnsi="Arial Narrow"/>
                <w:snapToGrid w:val="0"/>
                <w:sz w:val="20"/>
                <w:szCs w:val="20"/>
                <w:lang w:val="en-AU"/>
              </w:rPr>
            </w:pPr>
            <w:r w:rsidRPr="00401332">
              <w:rPr>
                <w:rFonts w:ascii="Arial Narrow" w:hAnsi="Arial Narrow"/>
                <w:snapToGrid w:val="0"/>
                <w:sz w:val="20"/>
                <w:szCs w:val="20"/>
                <w:lang w:val="en-AU"/>
              </w:rPr>
              <w:t>Revlimid</w:t>
            </w:r>
          </w:p>
        </w:tc>
        <w:tc>
          <w:tcPr>
            <w:tcW w:w="1275"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7B23B1A1" w14:textId="77777777" w:rsidR="00BD6129" w:rsidRPr="00401332" w:rsidRDefault="00BD6129" w:rsidP="000C5072">
            <w:pPr>
              <w:rPr>
                <w:rFonts w:ascii="Arial Narrow" w:hAnsi="Arial Narrow"/>
                <w:snapToGrid w:val="0"/>
                <w:sz w:val="20"/>
                <w:szCs w:val="20"/>
                <w:lang w:val="en-AU"/>
              </w:rPr>
            </w:pPr>
            <w:r w:rsidRPr="00401332">
              <w:rPr>
                <w:rFonts w:ascii="Arial Narrow" w:hAnsi="Arial Narrow"/>
                <w:snapToGrid w:val="0"/>
                <w:sz w:val="20"/>
                <w:szCs w:val="20"/>
                <w:lang w:val="en-AU"/>
              </w:rPr>
              <w:t>Celgene Pty Ltd</w:t>
            </w:r>
          </w:p>
        </w:tc>
      </w:tr>
      <w:tr w:rsidR="00BD6129" w:rsidRPr="00401332" w14:paraId="7EA79B3D" w14:textId="77777777" w:rsidTr="000C5072">
        <w:trPr>
          <w:trHeight w:val="220"/>
        </w:trPr>
        <w:tc>
          <w:tcPr>
            <w:tcW w:w="2405"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1313E5AC" w14:textId="77777777" w:rsidR="00BD6129" w:rsidRPr="00401332" w:rsidRDefault="00BD6129" w:rsidP="000C5072">
            <w:pPr>
              <w:rPr>
                <w:rFonts w:ascii="Arial Narrow" w:hAnsi="Arial Narrow"/>
                <w:snapToGrid w:val="0"/>
                <w:sz w:val="20"/>
                <w:szCs w:val="20"/>
                <w:lang w:val="en-AU"/>
              </w:rPr>
            </w:pPr>
            <w:r w:rsidRPr="00401332">
              <w:rPr>
                <w:rFonts w:ascii="Arial Narrow" w:hAnsi="Arial Narrow"/>
                <w:snapToGrid w:val="0"/>
                <w:sz w:val="20"/>
                <w:szCs w:val="20"/>
                <w:lang w:val="en-AU"/>
              </w:rPr>
              <w:t>lenalidomide 15 mg capsule, 21</w:t>
            </w:r>
          </w:p>
        </w:tc>
        <w:tc>
          <w:tcPr>
            <w:tcW w:w="1985"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7D5EA018" w14:textId="77777777" w:rsidR="00BD6129" w:rsidRPr="00401332" w:rsidRDefault="00BD6129" w:rsidP="000C5072">
            <w:pPr>
              <w:jc w:val="center"/>
              <w:rPr>
                <w:rFonts w:ascii="Arial Narrow" w:hAnsi="Arial Narrow"/>
                <w:snapToGrid w:val="0"/>
                <w:sz w:val="20"/>
                <w:szCs w:val="20"/>
                <w:lang w:val="en-AU"/>
              </w:rPr>
            </w:pPr>
            <w:r w:rsidRPr="00401332">
              <w:rPr>
                <w:rFonts w:ascii="Arial Narrow" w:hAnsi="Arial Narrow"/>
                <w:snapToGrid w:val="0"/>
                <w:sz w:val="20"/>
                <w:szCs w:val="20"/>
                <w:lang w:val="en-AU"/>
              </w:rPr>
              <w:t>New (Public) / (Private)</w:t>
            </w:r>
          </w:p>
        </w:tc>
        <w:tc>
          <w:tcPr>
            <w:tcW w:w="850"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3230A3CB" w14:textId="77777777" w:rsidR="00BD6129" w:rsidRPr="00401332" w:rsidRDefault="00BD6129" w:rsidP="000C5072">
            <w:pPr>
              <w:jc w:val="center"/>
              <w:rPr>
                <w:rFonts w:ascii="Arial Narrow" w:hAnsi="Arial Narrow"/>
                <w:snapToGrid w:val="0"/>
                <w:sz w:val="20"/>
                <w:szCs w:val="20"/>
                <w:lang w:val="en-AU"/>
              </w:rPr>
            </w:pPr>
            <w:r w:rsidRPr="00401332">
              <w:rPr>
                <w:rFonts w:ascii="Arial Narrow" w:hAnsi="Arial Narrow"/>
                <w:snapToGrid w:val="0"/>
                <w:sz w:val="20"/>
                <w:szCs w:val="20"/>
                <w:lang w:val="en-AU"/>
              </w:rPr>
              <w:t>21</w:t>
            </w:r>
          </w:p>
        </w:tc>
        <w:tc>
          <w:tcPr>
            <w:tcW w:w="851"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0F086BF4" w14:textId="77777777" w:rsidR="00BD6129" w:rsidRPr="00401332" w:rsidRDefault="00BD6129" w:rsidP="000C5072">
            <w:pPr>
              <w:jc w:val="center"/>
              <w:rPr>
                <w:rFonts w:ascii="Arial Narrow" w:hAnsi="Arial Narrow"/>
                <w:snapToGrid w:val="0"/>
                <w:sz w:val="20"/>
                <w:szCs w:val="20"/>
                <w:lang w:val="en-AU"/>
              </w:rPr>
            </w:pPr>
            <w:r w:rsidRPr="00401332">
              <w:rPr>
                <w:rFonts w:ascii="Arial Narrow" w:hAnsi="Arial Narrow"/>
                <w:snapToGrid w:val="0"/>
                <w:sz w:val="20"/>
                <w:szCs w:val="20"/>
                <w:lang w:val="en-AU"/>
              </w:rPr>
              <w:t>1</w:t>
            </w:r>
          </w:p>
        </w:tc>
        <w:tc>
          <w:tcPr>
            <w:tcW w:w="708"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512234E0" w14:textId="77777777" w:rsidR="00BD6129" w:rsidRPr="00401332" w:rsidRDefault="00BD6129" w:rsidP="000C5072">
            <w:pPr>
              <w:keepNext/>
              <w:keepLines/>
              <w:jc w:val="center"/>
              <w:rPr>
                <w:rFonts w:ascii="Arial Narrow" w:hAnsi="Arial Narrow"/>
                <w:sz w:val="20"/>
                <w:szCs w:val="20"/>
                <w:lang w:val="en-AU"/>
              </w:rPr>
            </w:pPr>
            <w:r w:rsidRPr="00401332">
              <w:rPr>
                <w:rFonts w:ascii="Arial Narrow" w:hAnsi="Arial Narrow"/>
                <w:sz w:val="20"/>
                <w:szCs w:val="20"/>
                <w:lang w:val="en-AU"/>
              </w:rPr>
              <w:t>2</w:t>
            </w:r>
          </w:p>
        </w:tc>
        <w:tc>
          <w:tcPr>
            <w:tcW w:w="993"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285348EC" w14:textId="77777777" w:rsidR="00BD6129" w:rsidRPr="00401332" w:rsidRDefault="00BD6129" w:rsidP="000C5072">
            <w:pPr>
              <w:rPr>
                <w:rFonts w:ascii="Arial Narrow" w:hAnsi="Arial Narrow"/>
                <w:snapToGrid w:val="0"/>
                <w:sz w:val="20"/>
                <w:szCs w:val="20"/>
                <w:lang w:val="en-AU"/>
              </w:rPr>
            </w:pPr>
            <w:r w:rsidRPr="00401332">
              <w:rPr>
                <w:rFonts w:ascii="Arial Narrow" w:hAnsi="Arial Narrow"/>
                <w:snapToGrid w:val="0"/>
                <w:sz w:val="20"/>
                <w:szCs w:val="20"/>
                <w:lang w:val="en-AU"/>
              </w:rPr>
              <w:t>Revlimid</w:t>
            </w:r>
          </w:p>
        </w:tc>
        <w:tc>
          <w:tcPr>
            <w:tcW w:w="1275"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1E214D85" w14:textId="77777777" w:rsidR="00BD6129" w:rsidRPr="00401332" w:rsidRDefault="00BD6129" w:rsidP="000C5072">
            <w:pPr>
              <w:rPr>
                <w:rFonts w:ascii="Arial Narrow" w:hAnsi="Arial Narrow"/>
                <w:snapToGrid w:val="0"/>
                <w:sz w:val="20"/>
                <w:szCs w:val="20"/>
                <w:lang w:val="en-AU"/>
              </w:rPr>
            </w:pPr>
            <w:r w:rsidRPr="00401332">
              <w:rPr>
                <w:rFonts w:ascii="Arial Narrow" w:hAnsi="Arial Narrow"/>
                <w:snapToGrid w:val="0"/>
                <w:sz w:val="20"/>
                <w:szCs w:val="20"/>
                <w:lang w:val="en-AU"/>
              </w:rPr>
              <w:t>Celgene Pty Ltd</w:t>
            </w:r>
          </w:p>
        </w:tc>
      </w:tr>
      <w:tr w:rsidR="00BD6129" w:rsidRPr="00401332" w14:paraId="46CDAC31" w14:textId="77777777" w:rsidTr="000C5072">
        <w:trPr>
          <w:trHeight w:val="220"/>
        </w:trPr>
        <w:tc>
          <w:tcPr>
            <w:tcW w:w="2405"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7EFB6EA3" w14:textId="77777777" w:rsidR="00BD6129" w:rsidRPr="00401332" w:rsidRDefault="00BD6129" w:rsidP="000C5072">
            <w:pPr>
              <w:rPr>
                <w:rFonts w:ascii="Arial Narrow" w:hAnsi="Arial Narrow"/>
                <w:snapToGrid w:val="0"/>
                <w:sz w:val="20"/>
                <w:szCs w:val="20"/>
                <w:lang w:val="en-AU"/>
              </w:rPr>
            </w:pPr>
            <w:r w:rsidRPr="00401332">
              <w:rPr>
                <w:rFonts w:ascii="Arial Narrow" w:hAnsi="Arial Narrow"/>
                <w:snapToGrid w:val="0"/>
                <w:sz w:val="20"/>
                <w:szCs w:val="20"/>
                <w:lang w:val="en-AU"/>
              </w:rPr>
              <w:t>lenalidomide 25 mg capsule, 21</w:t>
            </w:r>
          </w:p>
        </w:tc>
        <w:tc>
          <w:tcPr>
            <w:tcW w:w="1985"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0ED0709C" w14:textId="77777777" w:rsidR="00BD6129" w:rsidRPr="00401332" w:rsidRDefault="00BD6129" w:rsidP="000C5072">
            <w:pPr>
              <w:jc w:val="center"/>
              <w:rPr>
                <w:rFonts w:ascii="Arial Narrow" w:hAnsi="Arial Narrow"/>
                <w:snapToGrid w:val="0"/>
                <w:sz w:val="20"/>
                <w:szCs w:val="20"/>
                <w:lang w:val="en-AU"/>
              </w:rPr>
            </w:pPr>
            <w:r w:rsidRPr="00401332">
              <w:rPr>
                <w:rFonts w:ascii="Arial Narrow" w:hAnsi="Arial Narrow"/>
                <w:snapToGrid w:val="0"/>
                <w:sz w:val="20"/>
                <w:szCs w:val="20"/>
                <w:lang w:val="en-AU"/>
              </w:rPr>
              <w:t>New (Public) / (Private)</w:t>
            </w:r>
          </w:p>
        </w:tc>
        <w:tc>
          <w:tcPr>
            <w:tcW w:w="850"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6D7CBADB" w14:textId="77777777" w:rsidR="00BD6129" w:rsidRPr="00401332" w:rsidRDefault="00BD6129" w:rsidP="000C5072">
            <w:pPr>
              <w:jc w:val="center"/>
              <w:rPr>
                <w:rFonts w:ascii="Arial Narrow" w:hAnsi="Arial Narrow"/>
                <w:snapToGrid w:val="0"/>
                <w:sz w:val="20"/>
                <w:szCs w:val="20"/>
                <w:lang w:val="en-AU"/>
              </w:rPr>
            </w:pPr>
            <w:r w:rsidRPr="00401332">
              <w:rPr>
                <w:rFonts w:ascii="Arial Narrow" w:hAnsi="Arial Narrow"/>
                <w:snapToGrid w:val="0"/>
                <w:sz w:val="20"/>
                <w:szCs w:val="20"/>
                <w:lang w:val="en-AU"/>
              </w:rPr>
              <w:t>21</w:t>
            </w:r>
          </w:p>
        </w:tc>
        <w:tc>
          <w:tcPr>
            <w:tcW w:w="851"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65194783" w14:textId="77777777" w:rsidR="00BD6129" w:rsidRPr="00401332" w:rsidRDefault="00BD6129" w:rsidP="000C5072">
            <w:pPr>
              <w:jc w:val="center"/>
              <w:rPr>
                <w:rFonts w:ascii="Arial Narrow" w:hAnsi="Arial Narrow"/>
                <w:snapToGrid w:val="0"/>
                <w:sz w:val="20"/>
                <w:szCs w:val="20"/>
                <w:lang w:val="en-AU"/>
              </w:rPr>
            </w:pPr>
            <w:r w:rsidRPr="00401332">
              <w:rPr>
                <w:rFonts w:ascii="Arial Narrow" w:hAnsi="Arial Narrow"/>
                <w:snapToGrid w:val="0"/>
                <w:sz w:val="20"/>
                <w:szCs w:val="20"/>
                <w:lang w:val="en-AU"/>
              </w:rPr>
              <w:t>1</w:t>
            </w:r>
          </w:p>
        </w:tc>
        <w:tc>
          <w:tcPr>
            <w:tcW w:w="708"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15D9526C" w14:textId="77777777" w:rsidR="00BD6129" w:rsidRPr="00401332" w:rsidRDefault="00BD6129" w:rsidP="000C5072">
            <w:pPr>
              <w:keepNext/>
              <w:keepLines/>
              <w:jc w:val="center"/>
              <w:rPr>
                <w:rFonts w:ascii="Arial Narrow" w:hAnsi="Arial Narrow"/>
                <w:sz w:val="20"/>
                <w:szCs w:val="20"/>
                <w:lang w:val="en-AU"/>
              </w:rPr>
            </w:pPr>
            <w:r w:rsidRPr="00401332">
              <w:rPr>
                <w:rFonts w:ascii="Arial Narrow" w:hAnsi="Arial Narrow"/>
                <w:sz w:val="20"/>
                <w:szCs w:val="20"/>
                <w:lang w:val="en-AU"/>
              </w:rPr>
              <w:t>2</w:t>
            </w:r>
          </w:p>
        </w:tc>
        <w:tc>
          <w:tcPr>
            <w:tcW w:w="993"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4D3BA6F1" w14:textId="77777777" w:rsidR="00BD6129" w:rsidRPr="00401332" w:rsidRDefault="00BD6129" w:rsidP="000C5072">
            <w:pPr>
              <w:rPr>
                <w:rFonts w:ascii="Arial Narrow" w:hAnsi="Arial Narrow"/>
                <w:snapToGrid w:val="0"/>
                <w:sz w:val="20"/>
                <w:szCs w:val="20"/>
                <w:lang w:val="en-AU"/>
              </w:rPr>
            </w:pPr>
            <w:r w:rsidRPr="00401332">
              <w:rPr>
                <w:rFonts w:ascii="Arial Narrow" w:hAnsi="Arial Narrow"/>
                <w:snapToGrid w:val="0"/>
                <w:sz w:val="20"/>
                <w:szCs w:val="20"/>
                <w:lang w:val="en-AU"/>
              </w:rPr>
              <w:t>Revlimid</w:t>
            </w:r>
          </w:p>
        </w:tc>
        <w:tc>
          <w:tcPr>
            <w:tcW w:w="1275"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04803DC0" w14:textId="77777777" w:rsidR="00BD6129" w:rsidRPr="00401332" w:rsidRDefault="00BD6129" w:rsidP="000C5072">
            <w:pPr>
              <w:rPr>
                <w:rFonts w:ascii="Arial Narrow" w:hAnsi="Arial Narrow"/>
                <w:snapToGrid w:val="0"/>
                <w:sz w:val="20"/>
                <w:szCs w:val="20"/>
                <w:lang w:val="en-AU"/>
              </w:rPr>
            </w:pPr>
            <w:r w:rsidRPr="00401332">
              <w:rPr>
                <w:rFonts w:ascii="Arial Narrow" w:hAnsi="Arial Narrow"/>
                <w:snapToGrid w:val="0"/>
                <w:sz w:val="20"/>
                <w:szCs w:val="20"/>
                <w:lang w:val="en-AU"/>
              </w:rPr>
              <w:t>Celgene Pty Ltd</w:t>
            </w:r>
          </w:p>
        </w:tc>
      </w:tr>
      <w:tr w:rsidR="00BD6129" w:rsidRPr="00F04A75" w14:paraId="33E8C1DF" w14:textId="77777777" w:rsidTr="000C5072">
        <w:trPr>
          <w:trHeight w:val="220"/>
        </w:trPr>
        <w:tc>
          <w:tcPr>
            <w:tcW w:w="9067" w:type="dxa"/>
            <w:gridSpan w:val="7"/>
            <w:tcBorders>
              <w:top w:val="single" w:sz="4" w:space="0" w:color="auto"/>
              <w:left w:val="single" w:sz="4" w:space="0" w:color="auto"/>
              <w:bottom w:val="single" w:sz="4" w:space="0" w:color="auto"/>
              <w:right w:val="single" w:sz="4" w:space="0" w:color="auto"/>
            </w:tcBorders>
          </w:tcPr>
          <w:p w14:paraId="5B53AB8A" w14:textId="77777777" w:rsidR="00BD6129" w:rsidRPr="00F04A75" w:rsidRDefault="00BD6129" w:rsidP="000C5072">
            <w:pPr>
              <w:rPr>
                <w:rFonts w:ascii="Arial Narrow" w:hAnsi="Arial Narrow"/>
                <w:i/>
                <w:iCs/>
                <w:snapToGrid w:val="0"/>
                <w:sz w:val="20"/>
                <w:szCs w:val="20"/>
                <w:lang w:val="en-AU"/>
              </w:rPr>
            </w:pPr>
          </w:p>
        </w:tc>
      </w:tr>
    </w:tbl>
    <w:tbl>
      <w:tblPr>
        <w:tblW w:w="502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0"/>
        <w:gridCol w:w="7937"/>
      </w:tblGrid>
      <w:tr w:rsidR="00BD6129" w:rsidRPr="00F04A75" w14:paraId="704AFA20" w14:textId="77777777" w:rsidTr="000C5072">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14:paraId="036261B4" w14:textId="77777777" w:rsidR="00BD6129" w:rsidRPr="00F04A75" w:rsidRDefault="00BD6129" w:rsidP="000C5072">
            <w:pPr>
              <w:spacing w:line="256" w:lineRule="auto"/>
              <w:rPr>
                <w:rFonts w:ascii="Arial Narrow" w:hAnsi="Arial Narrow"/>
                <w:b/>
                <w:bCs/>
                <w:i/>
                <w:iCs/>
                <w:color w:val="000000"/>
                <w:sz w:val="20"/>
                <w:szCs w:val="20"/>
                <w:lang w:eastAsia="en-US"/>
              </w:rPr>
            </w:pPr>
            <w:r w:rsidRPr="00F04A75">
              <w:rPr>
                <w:rFonts w:ascii="Arial Narrow" w:hAnsi="Arial Narrow"/>
                <w:b/>
                <w:bCs/>
                <w:i/>
                <w:iCs/>
                <w:color w:val="000000"/>
                <w:sz w:val="20"/>
                <w:szCs w:val="20"/>
                <w:lang w:eastAsia="en-US"/>
              </w:rPr>
              <w:t>Restriction Summary [new] / Treatment of Concept: [new]</w:t>
            </w:r>
          </w:p>
        </w:tc>
      </w:tr>
      <w:tr w:rsidR="00BD6129" w:rsidRPr="00F04A75" w14:paraId="78F287E6" w14:textId="77777777" w:rsidTr="003B5756">
        <w:tc>
          <w:tcPr>
            <w:tcW w:w="623" w:type="pct"/>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14:paraId="1BA0D488" w14:textId="08827428" w:rsidR="00BD6129" w:rsidRPr="00F04A75" w:rsidRDefault="00BD6129" w:rsidP="000C5072">
            <w:pPr>
              <w:spacing w:line="256" w:lineRule="auto"/>
              <w:jc w:val="center"/>
              <w:rPr>
                <w:rFonts w:ascii="Arial Narrow" w:hAnsi="Arial Narrow"/>
                <w:b/>
                <w:i/>
                <w:iCs/>
                <w:color w:val="000000"/>
                <w:sz w:val="20"/>
                <w:szCs w:val="20"/>
                <w:lang w:eastAsia="en-US"/>
              </w:rPr>
            </w:pPr>
          </w:p>
        </w:tc>
        <w:tc>
          <w:tcPr>
            <w:tcW w:w="4377" w:type="pct"/>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14:paraId="040618D0" w14:textId="77777777" w:rsidR="00BD6129" w:rsidRPr="00F04A75" w:rsidRDefault="00BD6129" w:rsidP="000C5072">
            <w:pPr>
              <w:spacing w:line="256" w:lineRule="auto"/>
              <w:rPr>
                <w:rFonts w:ascii="Arial Narrow" w:hAnsi="Arial Narrow"/>
                <w:b/>
                <w:i/>
                <w:iCs/>
                <w:color w:val="000000"/>
                <w:sz w:val="20"/>
                <w:szCs w:val="20"/>
                <w:lang w:eastAsia="en-US"/>
              </w:rPr>
            </w:pPr>
            <w:r w:rsidRPr="00F04A75">
              <w:rPr>
                <w:rFonts w:ascii="Arial Narrow" w:hAnsi="Arial Narrow"/>
                <w:b/>
                <w:bCs/>
                <w:i/>
                <w:iCs/>
                <w:color w:val="000000"/>
                <w:sz w:val="20"/>
                <w:szCs w:val="20"/>
                <w:lang w:eastAsia="en-US"/>
              </w:rPr>
              <w:t xml:space="preserve">Category/Program: </w:t>
            </w:r>
            <w:r w:rsidRPr="00F04A75">
              <w:rPr>
                <w:rFonts w:ascii="Arial Narrow" w:hAnsi="Arial Narrow"/>
                <w:bCs/>
                <w:i/>
                <w:iCs/>
                <w:color w:val="000000"/>
                <w:sz w:val="20"/>
                <w:szCs w:val="20"/>
                <w:lang w:eastAsia="en-US"/>
              </w:rPr>
              <w:t>Section 100 (Highly Specialised Drugs Program) – Public/Private hospitals</w:t>
            </w:r>
          </w:p>
        </w:tc>
      </w:tr>
      <w:tr w:rsidR="00BD6129" w:rsidRPr="00F04A75" w14:paraId="13F0B5D7" w14:textId="77777777" w:rsidTr="003B5756">
        <w:tc>
          <w:tcPr>
            <w:tcW w:w="0" w:type="auto"/>
            <w:vMerge/>
            <w:tcBorders>
              <w:top w:val="single" w:sz="4" w:space="0" w:color="000000"/>
              <w:left w:val="single" w:sz="4" w:space="0" w:color="000000"/>
              <w:bottom w:val="single" w:sz="4" w:space="0" w:color="000000"/>
              <w:right w:val="single" w:sz="4" w:space="0" w:color="000000"/>
            </w:tcBorders>
            <w:vAlign w:val="center"/>
          </w:tcPr>
          <w:p w14:paraId="0B54866F" w14:textId="77777777" w:rsidR="00BD6129" w:rsidRPr="00F04A75" w:rsidRDefault="00BD6129" w:rsidP="000C5072">
            <w:pPr>
              <w:spacing w:line="256" w:lineRule="auto"/>
              <w:jc w:val="left"/>
              <w:rPr>
                <w:rFonts w:ascii="Arial Narrow" w:hAnsi="Arial Narrow"/>
                <w:b/>
                <w:i/>
                <w:iCs/>
                <w:color w:val="000000"/>
                <w:sz w:val="20"/>
                <w:szCs w:val="20"/>
                <w:lang w:eastAsia="en-US"/>
              </w:rPr>
            </w:pPr>
          </w:p>
        </w:tc>
        <w:tc>
          <w:tcPr>
            <w:tcW w:w="4377" w:type="pct"/>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14:paraId="44B5F7D0" w14:textId="77777777" w:rsidR="00BD6129" w:rsidRPr="00F04A75" w:rsidRDefault="00BD6129" w:rsidP="000C5072">
            <w:pPr>
              <w:spacing w:line="256" w:lineRule="auto"/>
              <w:rPr>
                <w:rFonts w:ascii="Arial Narrow" w:hAnsi="Arial Narrow"/>
                <w:bCs/>
                <w:i/>
                <w:iCs/>
                <w:color w:val="000000"/>
                <w:sz w:val="20"/>
                <w:szCs w:val="20"/>
                <w:highlight w:val="yellow"/>
                <w:lang w:eastAsia="en-US"/>
              </w:rPr>
            </w:pPr>
            <w:r w:rsidRPr="00F04A75">
              <w:rPr>
                <w:rFonts w:ascii="Arial Narrow" w:hAnsi="Arial Narrow"/>
                <w:b/>
                <w:bCs/>
                <w:i/>
                <w:iCs/>
                <w:color w:val="000000"/>
                <w:sz w:val="20"/>
                <w:szCs w:val="20"/>
                <w:lang w:eastAsia="en-US"/>
              </w:rPr>
              <w:t xml:space="preserve">Prescriber type: </w:t>
            </w:r>
            <w:r w:rsidRPr="00F04A75">
              <w:rPr>
                <w:rFonts w:ascii="Arial Narrow" w:hAnsi="Arial Narrow"/>
                <w:bCs/>
                <w:i/>
                <w:iCs/>
                <w:color w:val="000000"/>
                <w:sz w:val="20"/>
                <w:szCs w:val="20"/>
                <w:lang w:eastAsia="en-US"/>
              </w:rPr>
              <w:t xml:space="preserve"> </w:t>
            </w:r>
            <w:r w:rsidRPr="00F04A75">
              <w:rPr>
                <w:rFonts w:ascii="Arial Narrow" w:hAnsi="Arial Narrow"/>
                <w:bCs/>
                <w:i/>
                <w:iCs/>
                <w:color w:val="000000"/>
                <w:sz w:val="20"/>
                <w:szCs w:val="20"/>
                <w:lang w:eastAsia="en-US"/>
              </w:rPr>
              <w:fldChar w:fldCharType="begin">
                <w:ffData>
                  <w:name w:val=""/>
                  <w:enabled/>
                  <w:calcOnExit w:val="0"/>
                  <w:checkBox>
                    <w:sizeAuto/>
                    <w:default w:val="1"/>
                  </w:checkBox>
                </w:ffData>
              </w:fldChar>
            </w:r>
            <w:r w:rsidRPr="00F04A75">
              <w:rPr>
                <w:rFonts w:ascii="Arial Narrow" w:hAnsi="Arial Narrow"/>
                <w:bCs/>
                <w:i/>
                <w:iCs/>
                <w:color w:val="000000"/>
                <w:sz w:val="20"/>
                <w:szCs w:val="20"/>
                <w:lang w:eastAsia="en-US"/>
              </w:rPr>
              <w:instrText xml:space="preserve"> FORMCHECKBOX </w:instrText>
            </w:r>
            <w:r w:rsidR="00443BC9">
              <w:rPr>
                <w:rFonts w:ascii="Arial Narrow" w:hAnsi="Arial Narrow"/>
                <w:bCs/>
                <w:i/>
                <w:iCs/>
                <w:color w:val="000000"/>
                <w:sz w:val="20"/>
                <w:szCs w:val="20"/>
                <w:lang w:eastAsia="en-US"/>
              </w:rPr>
            </w:r>
            <w:r w:rsidR="00443BC9">
              <w:rPr>
                <w:rFonts w:ascii="Arial Narrow" w:hAnsi="Arial Narrow"/>
                <w:bCs/>
                <w:i/>
                <w:iCs/>
                <w:color w:val="000000"/>
                <w:sz w:val="20"/>
                <w:szCs w:val="20"/>
                <w:lang w:eastAsia="en-US"/>
              </w:rPr>
              <w:fldChar w:fldCharType="separate"/>
            </w:r>
            <w:r w:rsidRPr="00F04A75">
              <w:rPr>
                <w:rFonts w:ascii="Arial Narrow" w:hAnsi="Arial Narrow"/>
                <w:bCs/>
                <w:i/>
                <w:iCs/>
                <w:color w:val="000000"/>
                <w:sz w:val="20"/>
                <w:szCs w:val="20"/>
                <w:lang w:eastAsia="en-US"/>
              </w:rPr>
              <w:fldChar w:fldCharType="end"/>
            </w:r>
            <w:r w:rsidRPr="00F04A75">
              <w:rPr>
                <w:rFonts w:ascii="Arial Narrow" w:hAnsi="Arial Narrow"/>
                <w:bCs/>
                <w:i/>
                <w:iCs/>
                <w:color w:val="000000"/>
                <w:sz w:val="20"/>
                <w:szCs w:val="20"/>
                <w:lang w:eastAsia="en-US"/>
              </w:rPr>
              <w:t xml:space="preserve">Medical Practitioners </w:t>
            </w:r>
          </w:p>
        </w:tc>
      </w:tr>
      <w:tr w:rsidR="00BD6129" w:rsidRPr="00F04A75" w14:paraId="680E4905" w14:textId="77777777" w:rsidTr="003B5756">
        <w:tc>
          <w:tcPr>
            <w:tcW w:w="0" w:type="auto"/>
            <w:vMerge/>
            <w:tcBorders>
              <w:top w:val="single" w:sz="4" w:space="0" w:color="000000"/>
              <w:left w:val="single" w:sz="4" w:space="0" w:color="000000"/>
              <w:bottom w:val="single" w:sz="4" w:space="0" w:color="000000"/>
              <w:right w:val="single" w:sz="4" w:space="0" w:color="000000"/>
            </w:tcBorders>
            <w:vAlign w:val="center"/>
          </w:tcPr>
          <w:p w14:paraId="147CB354" w14:textId="77777777" w:rsidR="00BD6129" w:rsidRPr="00F04A75" w:rsidRDefault="00BD6129" w:rsidP="000C5072">
            <w:pPr>
              <w:spacing w:line="256" w:lineRule="auto"/>
              <w:jc w:val="left"/>
              <w:rPr>
                <w:rFonts w:ascii="Arial Narrow" w:hAnsi="Arial Narrow"/>
                <w:b/>
                <w:i/>
                <w:iCs/>
                <w:color w:val="000000"/>
                <w:sz w:val="20"/>
                <w:szCs w:val="20"/>
                <w:lang w:eastAsia="en-US"/>
              </w:rPr>
            </w:pPr>
          </w:p>
        </w:tc>
        <w:tc>
          <w:tcPr>
            <w:tcW w:w="43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0EF8562A" w14:textId="77777777" w:rsidR="00BD6129" w:rsidRPr="00F04A75" w:rsidRDefault="00BD6129" w:rsidP="000C5072">
            <w:pPr>
              <w:spacing w:line="256" w:lineRule="auto"/>
              <w:rPr>
                <w:rFonts w:ascii="Arial Narrow" w:hAnsi="Arial Narrow"/>
                <w:i/>
                <w:iCs/>
                <w:color w:val="000000"/>
                <w:sz w:val="20"/>
                <w:szCs w:val="20"/>
                <w:lang w:eastAsia="en-US"/>
              </w:rPr>
            </w:pPr>
            <w:r w:rsidRPr="00F04A75">
              <w:rPr>
                <w:rFonts w:ascii="Arial Narrow" w:hAnsi="Arial Narrow"/>
                <w:b/>
                <w:bCs/>
                <w:i/>
                <w:iCs/>
                <w:color w:val="000000"/>
                <w:sz w:val="20"/>
                <w:szCs w:val="20"/>
                <w:lang w:eastAsia="en-US"/>
              </w:rPr>
              <w:t xml:space="preserve">Restriction type: </w:t>
            </w:r>
            <w:r w:rsidRPr="00F04A75">
              <w:rPr>
                <w:rFonts w:ascii="Arial Narrow" w:hAnsi="Arial Narrow"/>
                <w:bCs/>
                <w:i/>
                <w:iCs/>
                <w:color w:val="000000"/>
                <w:sz w:val="20"/>
                <w:szCs w:val="20"/>
                <w:lang w:eastAsia="en-US"/>
              </w:rPr>
              <w:fldChar w:fldCharType="begin">
                <w:ffData>
                  <w:name w:val="Check3"/>
                  <w:enabled/>
                  <w:calcOnExit w:val="0"/>
                  <w:checkBox>
                    <w:sizeAuto/>
                    <w:default w:val="1"/>
                  </w:checkBox>
                </w:ffData>
              </w:fldChar>
            </w:r>
            <w:r w:rsidRPr="00F04A75">
              <w:rPr>
                <w:rFonts w:ascii="Arial Narrow" w:hAnsi="Arial Narrow"/>
                <w:bCs/>
                <w:i/>
                <w:iCs/>
                <w:color w:val="000000"/>
                <w:sz w:val="20"/>
                <w:szCs w:val="20"/>
                <w:lang w:eastAsia="en-US"/>
              </w:rPr>
              <w:instrText xml:space="preserve"> FORMCHECKBOX </w:instrText>
            </w:r>
            <w:r w:rsidR="00443BC9">
              <w:rPr>
                <w:rFonts w:ascii="Arial Narrow" w:hAnsi="Arial Narrow"/>
                <w:bCs/>
                <w:i/>
                <w:iCs/>
                <w:color w:val="000000"/>
                <w:sz w:val="20"/>
                <w:szCs w:val="20"/>
                <w:lang w:eastAsia="en-US"/>
              </w:rPr>
            </w:r>
            <w:r w:rsidR="00443BC9">
              <w:rPr>
                <w:rFonts w:ascii="Arial Narrow" w:hAnsi="Arial Narrow"/>
                <w:bCs/>
                <w:i/>
                <w:iCs/>
                <w:color w:val="000000"/>
                <w:sz w:val="20"/>
                <w:szCs w:val="20"/>
                <w:lang w:eastAsia="en-US"/>
              </w:rPr>
              <w:fldChar w:fldCharType="separate"/>
            </w:r>
            <w:r w:rsidRPr="00F04A75">
              <w:rPr>
                <w:rFonts w:ascii="Arial Narrow" w:hAnsi="Arial Narrow"/>
                <w:bCs/>
                <w:i/>
                <w:iCs/>
                <w:color w:val="000000"/>
                <w:sz w:val="20"/>
                <w:szCs w:val="20"/>
                <w:lang w:eastAsia="en-US"/>
              </w:rPr>
              <w:fldChar w:fldCharType="end"/>
            </w:r>
            <w:r w:rsidRPr="00F04A75">
              <w:rPr>
                <w:rFonts w:ascii="Arial Narrow" w:hAnsi="Arial Narrow"/>
                <w:bCs/>
                <w:i/>
                <w:iCs/>
                <w:color w:val="000000"/>
                <w:sz w:val="20"/>
                <w:szCs w:val="20"/>
                <w:lang w:eastAsia="en-US"/>
              </w:rPr>
              <w:t>Authority Required (telephone/online PBS Authorities system)</w:t>
            </w:r>
          </w:p>
        </w:tc>
      </w:tr>
      <w:tr w:rsidR="00BD6129" w:rsidRPr="00F04A75" w14:paraId="79BEAC86" w14:textId="77777777" w:rsidTr="003B5756">
        <w:tc>
          <w:tcPr>
            <w:tcW w:w="62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71434C3" w14:textId="0FAEE406" w:rsidR="00BD6129" w:rsidRPr="00F04A75" w:rsidRDefault="00BD6129" w:rsidP="000C5072">
            <w:pPr>
              <w:spacing w:line="256" w:lineRule="auto"/>
              <w:jc w:val="center"/>
              <w:rPr>
                <w:rFonts w:ascii="Arial Narrow" w:hAnsi="Arial Narrow"/>
                <w:bCs/>
                <w:i/>
                <w:iCs/>
                <w:color w:val="000000"/>
                <w:sz w:val="20"/>
                <w:szCs w:val="20"/>
                <w:lang w:eastAsia="en-US"/>
              </w:rPr>
            </w:pPr>
          </w:p>
        </w:tc>
        <w:tc>
          <w:tcPr>
            <w:tcW w:w="43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2D38DE8E" w14:textId="77777777" w:rsidR="00BD6129" w:rsidRPr="00F04A75" w:rsidRDefault="00BD6129" w:rsidP="000C5072">
            <w:pPr>
              <w:spacing w:line="256" w:lineRule="auto"/>
              <w:rPr>
                <w:rFonts w:ascii="Arial Narrow" w:hAnsi="Arial Narrow"/>
                <w:i/>
                <w:iCs/>
                <w:color w:val="000000"/>
                <w:sz w:val="20"/>
                <w:szCs w:val="20"/>
                <w:lang w:eastAsia="en-US"/>
              </w:rPr>
            </w:pPr>
            <w:r w:rsidRPr="00F04A75">
              <w:rPr>
                <w:rFonts w:ascii="Arial Narrow" w:hAnsi="Arial Narrow"/>
                <w:b/>
                <w:bCs/>
                <w:i/>
                <w:iCs/>
                <w:color w:val="000000"/>
                <w:sz w:val="20"/>
                <w:szCs w:val="20"/>
                <w:lang w:eastAsia="en-US"/>
              </w:rPr>
              <w:t xml:space="preserve">PBS Indication: </w:t>
            </w:r>
            <w:r w:rsidRPr="00F04A75">
              <w:rPr>
                <w:rFonts w:ascii="Arial Narrow" w:hAnsi="Arial Narrow"/>
                <w:i/>
                <w:iCs/>
                <w:color w:val="000000"/>
                <w:sz w:val="20"/>
                <w:szCs w:val="20"/>
                <w:lang w:eastAsia="en-US"/>
              </w:rPr>
              <w:t xml:space="preserve">Relapsed and/or refractory </w:t>
            </w:r>
            <w:r w:rsidRPr="00F04A75">
              <w:rPr>
                <w:rFonts w:ascii="Arial Narrow" w:hAnsi="Arial Narrow"/>
                <w:bCs/>
                <w:i/>
                <w:iCs/>
                <w:color w:val="000000"/>
                <w:sz w:val="20"/>
                <w:szCs w:val="20"/>
                <w:lang w:eastAsia="en-US"/>
              </w:rPr>
              <w:t xml:space="preserve">multiple myeloma </w:t>
            </w:r>
          </w:p>
        </w:tc>
      </w:tr>
      <w:tr w:rsidR="00BD6129" w:rsidRPr="00F04A75" w14:paraId="1D89AFCF" w14:textId="77777777" w:rsidTr="000C5072">
        <w:tc>
          <w:tcPr>
            <w:tcW w:w="62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2ED80B3" w14:textId="77777777" w:rsidR="00BD6129" w:rsidRPr="00F04A75" w:rsidRDefault="00BD6129" w:rsidP="000C5072">
            <w:pPr>
              <w:spacing w:line="256" w:lineRule="auto"/>
              <w:jc w:val="center"/>
              <w:rPr>
                <w:rFonts w:ascii="Arial Narrow" w:hAnsi="Arial Narrow"/>
                <w:i/>
                <w:iCs/>
                <w:color w:val="000000"/>
                <w:sz w:val="20"/>
                <w:szCs w:val="20"/>
                <w:lang w:eastAsia="en-US"/>
              </w:rPr>
            </w:pPr>
          </w:p>
        </w:tc>
        <w:tc>
          <w:tcPr>
            <w:tcW w:w="43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0C6F1BC9" w14:textId="77777777" w:rsidR="00BD6129" w:rsidRPr="00F04A75" w:rsidRDefault="00BD6129" w:rsidP="000C5072">
            <w:pPr>
              <w:spacing w:line="256" w:lineRule="auto"/>
              <w:rPr>
                <w:rFonts w:ascii="Arial Narrow" w:hAnsi="Arial Narrow"/>
                <w:i/>
                <w:iCs/>
                <w:color w:val="000000"/>
                <w:sz w:val="20"/>
                <w:szCs w:val="20"/>
                <w:lang w:eastAsia="en-US"/>
              </w:rPr>
            </w:pPr>
            <w:r w:rsidRPr="00F04A75">
              <w:rPr>
                <w:rFonts w:ascii="Arial Narrow" w:hAnsi="Arial Narrow"/>
                <w:b/>
                <w:bCs/>
                <w:i/>
                <w:iCs/>
                <w:color w:val="000000"/>
                <w:sz w:val="20"/>
                <w:szCs w:val="20"/>
                <w:lang w:eastAsia="en-US"/>
              </w:rPr>
              <w:t xml:space="preserve">Treatment phase: </w:t>
            </w:r>
            <w:r w:rsidRPr="00F04A75">
              <w:rPr>
                <w:rFonts w:ascii="Arial Narrow" w:hAnsi="Arial Narrow"/>
                <w:bCs/>
                <w:i/>
                <w:iCs/>
                <w:color w:val="000000"/>
                <w:sz w:val="20"/>
                <w:szCs w:val="20"/>
                <w:lang w:eastAsia="en-US"/>
              </w:rPr>
              <w:t>Triple combination therapy consisting of carfilzomib, lenalidomide and dexamethasone</w:t>
            </w:r>
          </w:p>
        </w:tc>
      </w:tr>
      <w:tr w:rsidR="00BD6129" w:rsidRPr="00F04A75" w14:paraId="75A571CE" w14:textId="77777777" w:rsidTr="000C5072">
        <w:tc>
          <w:tcPr>
            <w:tcW w:w="62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62A5E1B" w14:textId="77777777" w:rsidR="00BD6129" w:rsidRPr="00F04A75" w:rsidRDefault="00BD6129" w:rsidP="000C5072">
            <w:pPr>
              <w:spacing w:line="256" w:lineRule="auto"/>
              <w:jc w:val="center"/>
              <w:rPr>
                <w:rFonts w:ascii="Arial Narrow" w:hAnsi="Arial Narrow"/>
                <w:i/>
                <w:iCs/>
                <w:color w:val="000000"/>
                <w:sz w:val="20"/>
                <w:szCs w:val="20"/>
                <w:lang w:eastAsia="en-US"/>
              </w:rPr>
            </w:pPr>
          </w:p>
        </w:tc>
        <w:tc>
          <w:tcPr>
            <w:tcW w:w="43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62691DB4" w14:textId="77777777" w:rsidR="00BD6129" w:rsidRPr="00F04A75" w:rsidRDefault="00BD6129" w:rsidP="000C5072">
            <w:pPr>
              <w:spacing w:line="256" w:lineRule="auto"/>
              <w:rPr>
                <w:rFonts w:ascii="Arial Narrow" w:hAnsi="Arial Narrow"/>
                <w:b/>
                <w:bCs/>
                <w:i/>
                <w:iCs/>
                <w:color w:val="000000"/>
                <w:sz w:val="20"/>
                <w:szCs w:val="20"/>
                <w:lang w:eastAsia="en-US"/>
              </w:rPr>
            </w:pPr>
            <w:r w:rsidRPr="00F04A75">
              <w:rPr>
                <w:rFonts w:ascii="Arial Narrow" w:hAnsi="Arial Narrow"/>
                <w:b/>
                <w:bCs/>
                <w:i/>
                <w:iCs/>
                <w:color w:val="000000"/>
                <w:sz w:val="20"/>
                <w:szCs w:val="20"/>
                <w:lang w:eastAsia="en-US"/>
              </w:rPr>
              <w:t>Treatment criteria:</w:t>
            </w:r>
          </w:p>
        </w:tc>
      </w:tr>
      <w:tr w:rsidR="00BD6129" w:rsidRPr="00F04A75" w14:paraId="50F71AE4" w14:textId="77777777" w:rsidTr="003B5756">
        <w:tc>
          <w:tcPr>
            <w:tcW w:w="62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70BEFDC" w14:textId="436E6FB7" w:rsidR="00BD6129" w:rsidRPr="00F04A75" w:rsidRDefault="00BD6129" w:rsidP="000C5072">
            <w:pPr>
              <w:spacing w:line="256" w:lineRule="auto"/>
              <w:jc w:val="center"/>
              <w:rPr>
                <w:rFonts w:ascii="Arial Narrow" w:hAnsi="Arial Narrow"/>
                <w:i/>
                <w:iCs/>
                <w:color w:val="000000"/>
                <w:sz w:val="20"/>
                <w:szCs w:val="20"/>
                <w:lang w:eastAsia="en-US"/>
              </w:rPr>
            </w:pPr>
          </w:p>
        </w:tc>
        <w:tc>
          <w:tcPr>
            <w:tcW w:w="43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4FFDA6DC" w14:textId="77777777" w:rsidR="00BD6129" w:rsidRPr="00F04A75" w:rsidRDefault="00BD6129" w:rsidP="000C5072">
            <w:pPr>
              <w:spacing w:line="256" w:lineRule="auto"/>
              <w:rPr>
                <w:rFonts w:ascii="Arial Narrow" w:hAnsi="Arial Narrow"/>
                <w:bCs/>
                <w:i/>
                <w:iCs/>
                <w:color w:val="000000"/>
                <w:sz w:val="20"/>
                <w:szCs w:val="20"/>
                <w:lang w:eastAsia="en-US"/>
              </w:rPr>
            </w:pPr>
            <w:r w:rsidRPr="00F04A75">
              <w:rPr>
                <w:rFonts w:ascii="Arial Narrow" w:hAnsi="Arial Narrow"/>
                <w:bCs/>
                <w:i/>
                <w:iCs/>
                <w:color w:val="000000"/>
                <w:sz w:val="20"/>
                <w:szCs w:val="20"/>
                <w:lang w:eastAsia="en-US"/>
              </w:rPr>
              <w:t>Patient must be undergoing concurrent treatment with carfilzomib obtained through the PBS</w:t>
            </w:r>
          </w:p>
        </w:tc>
      </w:tr>
      <w:tr w:rsidR="00BD6129" w:rsidRPr="00F04A75" w14:paraId="7729D53A" w14:textId="77777777" w:rsidTr="000C5072">
        <w:tc>
          <w:tcPr>
            <w:tcW w:w="62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2CF75EB" w14:textId="77777777" w:rsidR="00BD6129" w:rsidRPr="00F04A75" w:rsidRDefault="00BD6129" w:rsidP="000C5072">
            <w:pPr>
              <w:spacing w:line="256" w:lineRule="auto"/>
              <w:jc w:val="center"/>
              <w:rPr>
                <w:rFonts w:ascii="Arial Narrow" w:hAnsi="Arial Narrow"/>
                <w:i/>
                <w:iCs/>
                <w:color w:val="000000"/>
                <w:sz w:val="20"/>
                <w:szCs w:val="20"/>
                <w:lang w:eastAsia="en-US"/>
              </w:rPr>
            </w:pPr>
          </w:p>
        </w:tc>
        <w:tc>
          <w:tcPr>
            <w:tcW w:w="43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5BEB9116" w14:textId="77777777" w:rsidR="00BD6129" w:rsidRPr="00F04A75" w:rsidRDefault="00BD6129" w:rsidP="000C5072">
            <w:pPr>
              <w:spacing w:line="256" w:lineRule="auto"/>
              <w:rPr>
                <w:rFonts w:ascii="Arial Narrow" w:hAnsi="Arial Narrow"/>
                <w:b/>
                <w:bCs/>
                <w:i/>
                <w:iCs/>
                <w:color w:val="000000"/>
                <w:sz w:val="20"/>
                <w:szCs w:val="20"/>
                <w:lang w:eastAsia="en-US"/>
              </w:rPr>
            </w:pPr>
            <w:r w:rsidRPr="00F04A75">
              <w:rPr>
                <w:rFonts w:ascii="Arial Narrow" w:hAnsi="Arial Narrow"/>
                <w:b/>
                <w:bCs/>
                <w:i/>
                <w:iCs/>
                <w:color w:val="000000"/>
                <w:sz w:val="20"/>
                <w:szCs w:val="20"/>
                <w:lang w:eastAsia="en-US"/>
              </w:rPr>
              <w:t>AND</w:t>
            </w:r>
          </w:p>
        </w:tc>
      </w:tr>
      <w:tr w:rsidR="00BD6129" w:rsidRPr="00F04A75" w14:paraId="01D387FF" w14:textId="77777777" w:rsidTr="000C5072">
        <w:tc>
          <w:tcPr>
            <w:tcW w:w="62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AE602EA" w14:textId="77777777" w:rsidR="00BD6129" w:rsidRPr="00F04A75" w:rsidRDefault="00BD6129" w:rsidP="000C5072">
            <w:pPr>
              <w:spacing w:line="256" w:lineRule="auto"/>
              <w:jc w:val="center"/>
              <w:rPr>
                <w:rFonts w:ascii="Arial Narrow" w:hAnsi="Arial Narrow"/>
                <w:i/>
                <w:iCs/>
                <w:color w:val="000000"/>
                <w:sz w:val="20"/>
                <w:szCs w:val="20"/>
                <w:lang w:eastAsia="en-US"/>
              </w:rPr>
            </w:pPr>
          </w:p>
        </w:tc>
        <w:tc>
          <w:tcPr>
            <w:tcW w:w="43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050A93C4" w14:textId="77777777" w:rsidR="00BD6129" w:rsidRPr="00F04A75" w:rsidRDefault="00BD6129" w:rsidP="000C5072">
            <w:pPr>
              <w:spacing w:line="256" w:lineRule="auto"/>
              <w:rPr>
                <w:rFonts w:ascii="Arial Narrow" w:hAnsi="Arial Narrow"/>
                <w:b/>
                <w:bCs/>
                <w:i/>
                <w:iCs/>
                <w:color w:val="000000"/>
                <w:sz w:val="20"/>
                <w:szCs w:val="20"/>
                <w:lang w:eastAsia="en-US"/>
              </w:rPr>
            </w:pPr>
            <w:r w:rsidRPr="00F04A75">
              <w:rPr>
                <w:rFonts w:ascii="Arial Narrow" w:hAnsi="Arial Narrow"/>
                <w:b/>
                <w:bCs/>
                <w:i/>
                <w:iCs/>
                <w:color w:val="000000"/>
                <w:sz w:val="20"/>
                <w:szCs w:val="20"/>
                <w:lang w:eastAsia="en-US"/>
              </w:rPr>
              <w:t>Treatment criteria:</w:t>
            </w:r>
          </w:p>
        </w:tc>
      </w:tr>
      <w:tr w:rsidR="00BD6129" w:rsidRPr="00F04A75" w14:paraId="7EB879BA" w14:textId="77777777" w:rsidTr="003B5756">
        <w:tc>
          <w:tcPr>
            <w:tcW w:w="62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B14E12F" w14:textId="7EC0A425" w:rsidR="00BD6129" w:rsidRPr="00F04A75" w:rsidRDefault="00BD6129" w:rsidP="000C5072">
            <w:pPr>
              <w:spacing w:line="256" w:lineRule="auto"/>
              <w:jc w:val="center"/>
              <w:rPr>
                <w:rFonts w:ascii="Arial Narrow" w:hAnsi="Arial Narrow"/>
                <w:i/>
                <w:iCs/>
                <w:color w:val="000000"/>
                <w:sz w:val="20"/>
                <w:szCs w:val="20"/>
                <w:lang w:eastAsia="en-US"/>
              </w:rPr>
            </w:pPr>
          </w:p>
        </w:tc>
        <w:tc>
          <w:tcPr>
            <w:tcW w:w="43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5B0F8D9C" w14:textId="77777777" w:rsidR="00BD6129" w:rsidRPr="00F04A75" w:rsidRDefault="00BD6129" w:rsidP="000C5072">
            <w:pPr>
              <w:spacing w:line="256" w:lineRule="auto"/>
              <w:rPr>
                <w:rFonts w:ascii="Arial Narrow" w:hAnsi="Arial Narrow"/>
                <w:bCs/>
                <w:i/>
                <w:iCs/>
                <w:color w:val="000000"/>
                <w:sz w:val="20"/>
                <w:szCs w:val="20"/>
                <w:lang w:eastAsia="en-US"/>
              </w:rPr>
            </w:pPr>
            <w:r w:rsidRPr="00F04A75">
              <w:rPr>
                <w:rFonts w:ascii="Arial Narrow" w:hAnsi="Arial Narrow"/>
                <w:bCs/>
                <w:i/>
                <w:iCs/>
                <w:color w:val="000000"/>
                <w:sz w:val="20"/>
                <w:szCs w:val="20"/>
                <w:lang w:eastAsia="en-US"/>
              </w:rPr>
              <w:t>Patient must not be undergoing simultaneous treatment with this drug obtained under another PBS listing</w:t>
            </w:r>
          </w:p>
        </w:tc>
      </w:tr>
      <w:tr w:rsidR="00BD6129" w:rsidRPr="00F04A75" w14:paraId="6571262E" w14:textId="77777777" w:rsidTr="000C5072">
        <w:tc>
          <w:tcPr>
            <w:tcW w:w="62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0804ABC" w14:textId="3F660DBC" w:rsidR="00BD6129" w:rsidRPr="00F04A75" w:rsidRDefault="00BD6129" w:rsidP="000C5072">
            <w:pPr>
              <w:spacing w:line="256" w:lineRule="auto"/>
              <w:jc w:val="center"/>
              <w:rPr>
                <w:rFonts w:ascii="Arial Narrow" w:hAnsi="Arial Narrow"/>
                <w:i/>
                <w:iCs/>
                <w:color w:val="333333"/>
                <w:sz w:val="20"/>
                <w:szCs w:val="20"/>
                <w:lang w:eastAsia="en-US"/>
              </w:rPr>
            </w:pPr>
          </w:p>
        </w:tc>
        <w:tc>
          <w:tcPr>
            <w:tcW w:w="43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54BFB5DC" w14:textId="77777777" w:rsidR="00BD6129" w:rsidRPr="00F04A75" w:rsidRDefault="00BD6129" w:rsidP="000C5072">
            <w:pPr>
              <w:spacing w:line="256" w:lineRule="auto"/>
              <w:rPr>
                <w:rFonts w:ascii="Arial Narrow" w:hAnsi="Arial Narrow"/>
                <w:b/>
                <w:bCs/>
                <w:i/>
                <w:iCs/>
                <w:sz w:val="20"/>
                <w:szCs w:val="20"/>
                <w:lang w:eastAsia="en-US"/>
              </w:rPr>
            </w:pPr>
            <w:r w:rsidRPr="00F04A75">
              <w:rPr>
                <w:rFonts w:ascii="Arial Narrow" w:hAnsi="Arial Narrow"/>
                <w:b/>
                <w:bCs/>
                <w:i/>
                <w:iCs/>
                <w:sz w:val="20"/>
                <w:szCs w:val="20"/>
                <w:lang w:eastAsia="en-US"/>
              </w:rPr>
              <w:t xml:space="preserve">Administrative advice: </w:t>
            </w:r>
          </w:p>
          <w:p w14:paraId="59B08F2A" w14:textId="77777777" w:rsidR="00BD6129" w:rsidRPr="00F04A75" w:rsidRDefault="00BD6129" w:rsidP="000C5072">
            <w:pPr>
              <w:spacing w:line="256" w:lineRule="auto"/>
              <w:rPr>
                <w:rFonts w:ascii="Arial Narrow" w:hAnsi="Arial Narrow"/>
                <w:b/>
                <w:i/>
                <w:iCs/>
                <w:sz w:val="20"/>
                <w:szCs w:val="20"/>
                <w:lang w:eastAsia="en-US"/>
              </w:rPr>
            </w:pPr>
            <w:r w:rsidRPr="00F04A75">
              <w:rPr>
                <w:rFonts w:ascii="Arial Narrow" w:hAnsi="Arial Narrow"/>
                <w:bCs/>
                <w:i/>
                <w:iCs/>
                <w:sz w:val="20"/>
                <w:szCs w:val="20"/>
                <w:lang w:eastAsia="en-US"/>
              </w:rPr>
              <w:t>Applications for authorisation under this restriction may be made in real time using the Online PBS Authorities system (see www.servicesaustralia.gov.au/HPOS) or by telephone by contacting Services Australia on 1800 888 333.</w:t>
            </w:r>
          </w:p>
        </w:tc>
      </w:tr>
      <w:tr w:rsidR="00BD6129" w:rsidRPr="00F04A75" w14:paraId="20DC2236" w14:textId="77777777" w:rsidTr="003B5756">
        <w:tc>
          <w:tcPr>
            <w:tcW w:w="62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0D2B071" w14:textId="4929CD86" w:rsidR="00BD6129" w:rsidRPr="00F04A75" w:rsidRDefault="00BD6129" w:rsidP="000C5072">
            <w:pPr>
              <w:spacing w:line="256" w:lineRule="auto"/>
              <w:jc w:val="center"/>
              <w:rPr>
                <w:rFonts w:ascii="Arial Narrow" w:hAnsi="Arial Narrow"/>
                <w:b/>
                <w:i/>
                <w:iCs/>
                <w:color w:val="000000"/>
                <w:sz w:val="20"/>
                <w:szCs w:val="20"/>
                <w:lang w:eastAsia="en-US"/>
              </w:rPr>
            </w:pPr>
          </w:p>
        </w:tc>
        <w:tc>
          <w:tcPr>
            <w:tcW w:w="43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6DC7B0F2" w14:textId="77777777" w:rsidR="00BD6129" w:rsidRPr="00F04A75" w:rsidRDefault="00BD6129" w:rsidP="000C5072">
            <w:pPr>
              <w:spacing w:line="256" w:lineRule="auto"/>
              <w:rPr>
                <w:rFonts w:ascii="Arial Narrow" w:hAnsi="Arial Narrow"/>
                <w:b/>
                <w:bCs/>
                <w:i/>
                <w:iCs/>
                <w:color w:val="000000"/>
                <w:sz w:val="20"/>
                <w:szCs w:val="20"/>
                <w:lang w:eastAsia="en-US"/>
              </w:rPr>
            </w:pPr>
            <w:r w:rsidRPr="00F04A75">
              <w:rPr>
                <w:rFonts w:ascii="Arial Narrow" w:hAnsi="Arial Narrow"/>
                <w:b/>
                <w:i/>
                <w:iCs/>
                <w:sz w:val="20"/>
                <w:szCs w:val="20"/>
                <w:lang w:eastAsia="en-US"/>
              </w:rPr>
              <w:t>Administrative Advice:</w:t>
            </w:r>
            <w:r w:rsidRPr="00F04A75">
              <w:rPr>
                <w:rFonts w:ascii="Arial Narrow" w:hAnsi="Arial Narrow"/>
                <w:i/>
                <w:iCs/>
                <w:sz w:val="20"/>
                <w:szCs w:val="20"/>
                <w:lang w:eastAsia="en-US"/>
              </w:rPr>
              <w:t xml:space="preserve"> Special Pricing Arrangements apply</w:t>
            </w:r>
          </w:p>
        </w:tc>
      </w:tr>
    </w:tbl>
    <w:p w14:paraId="3819337B" w14:textId="77777777" w:rsidR="00BD6129" w:rsidRPr="00F04A75" w:rsidRDefault="00BD6129" w:rsidP="00BD6129"/>
    <w:p w14:paraId="33002439" w14:textId="77777777" w:rsidR="00BD6129" w:rsidRPr="00F04A75" w:rsidRDefault="00BD6129" w:rsidP="00BD6129"/>
    <w:p w14:paraId="3CD325C2" w14:textId="254F01D9" w:rsidR="006037BC" w:rsidRPr="00F04A75" w:rsidRDefault="006037BC" w:rsidP="007E3BB7">
      <w:pPr>
        <w:pStyle w:val="3-BodyText"/>
        <w:numPr>
          <w:ilvl w:val="1"/>
          <w:numId w:val="38"/>
        </w:numPr>
      </w:pPr>
      <w:r w:rsidRPr="00F04A75">
        <w:lastRenderedPageBreak/>
        <w:t xml:space="preserve">The resubmission requested listing of </w:t>
      </w:r>
      <w:r w:rsidR="0082466C" w:rsidRPr="00F04A75">
        <w:t xml:space="preserve">carfilzomib at a </w:t>
      </w:r>
      <w:r w:rsidRPr="00F04A75">
        <w:t xml:space="preserve">maximum amount </w:t>
      </w:r>
      <w:r w:rsidR="0082466C" w:rsidRPr="00F04A75">
        <w:t>of</w:t>
      </w:r>
      <w:r w:rsidRPr="00F04A75">
        <w:t xml:space="preserve"> 60 mg </w:t>
      </w:r>
      <w:r w:rsidR="0082466C" w:rsidRPr="00F04A75">
        <w:t xml:space="preserve">when used in combination with </w:t>
      </w:r>
      <w:proofErr w:type="spellStart"/>
      <w:r w:rsidR="002D3077">
        <w:t>Ld</w:t>
      </w:r>
      <w:proofErr w:type="spellEnd"/>
      <w:r w:rsidR="002D3077">
        <w:t xml:space="preserve">, </w:t>
      </w:r>
      <w:r w:rsidRPr="00F04A75">
        <w:t xml:space="preserve">based on </w:t>
      </w:r>
      <w:r w:rsidR="00D43ACB" w:rsidRPr="00F04A75">
        <w:t>the</w:t>
      </w:r>
      <w:r w:rsidR="0082466C" w:rsidRPr="00F04A75">
        <w:t xml:space="preserve"> </w:t>
      </w:r>
      <w:r w:rsidR="00454FCE" w:rsidRPr="00F04A75">
        <w:t xml:space="preserve">maximum </w:t>
      </w:r>
      <w:r w:rsidR="0082466C" w:rsidRPr="00F04A75">
        <w:t>dos</w:t>
      </w:r>
      <w:r w:rsidR="00454FCE" w:rsidRPr="00F04A75">
        <w:t>e</w:t>
      </w:r>
      <w:r w:rsidR="0082466C" w:rsidRPr="00F04A75">
        <w:t xml:space="preserve"> </w:t>
      </w:r>
      <w:r w:rsidR="00454FCE" w:rsidRPr="00F04A75">
        <w:t>recommended</w:t>
      </w:r>
      <w:r w:rsidR="00D43ACB" w:rsidRPr="00F04A75">
        <w:t xml:space="preserve"> in ASPIRE of</w:t>
      </w:r>
      <w:r w:rsidR="0082466C" w:rsidRPr="00F04A75">
        <w:t xml:space="preserve"> </w:t>
      </w:r>
      <w:r w:rsidRPr="00F04A75">
        <w:t>27 mg/m</w:t>
      </w:r>
      <w:r w:rsidRPr="007E3BB7">
        <w:rPr>
          <w:vertAlign w:val="superscript"/>
        </w:rPr>
        <w:t>2</w:t>
      </w:r>
      <w:r w:rsidRPr="00F04A75">
        <w:t xml:space="preserve">. </w:t>
      </w:r>
      <w:r w:rsidR="00D43ACB" w:rsidRPr="00F04A75">
        <w:t xml:space="preserve">The current PBS listing of carfilzomib (used </w:t>
      </w:r>
      <w:r w:rsidR="002D3077">
        <w:t>i</w:t>
      </w:r>
      <w:r w:rsidR="00D43ACB" w:rsidRPr="00F04A75">
        <w:t xml:space="preserve">n combination with dexamethasone) has an approved maximum quantity of 120 mg. </w:t>
      </w:r>
    </w:p>
    <w:p w14:paraId="0B5C694F" w14:textId="0A97B10A" w:rsidR="00F97782" w:rsidRPr="00F04A75" w:rsidRDefault="00F04E09" w:rsidP="0016658B">
      <w:pPr>
        <w:pStyle w:val="3-BodyText"/>
      </w:pPr>
      <w:r w:rsidRPr="00F04A75">
        <w:t>T</w:t>
      </w:r>
      <w:r w:rsidR="00F97782" w:rsidRPr="00F04A75">
        <w:t xml:space="preserve">he </w:t>
      </w:r>
      <w:r w:rsidRPr="00F04A75">
        <w:t>re</w:t>
      </w:r>
      <w:r w:rsidR="00F97782" w:rsidRPr="00F04A75">
        <w:t>submission</w:t>
      </w:r>
      <w:r w:rsidRPr="00F04A75">
        <w:t>’s</w:t>
      </w:r>
      <w:r w:rsidR="00F97782" w:rsidRPr="00F04A75">
        <w:t xml:space="preserve"> proposed published dispensed price per maximum amount (DPMA) of carfilzomib was $1,355.22 (public) and $1,414.02 (private). The </w:t>
      </w:r>
      <w:r w:rsidR="009E0D2E" w:rsidRPr="00F04A75">
        <w:t>DPMAs</w:t>
      </w:r>
      <w:r w:rsidR="00F97782" w:rsidRPr="00F04A75">
        <w:t xml:space="preserve"> were based on cost-minimisation at the approved ex-manufacturer prices (AEMPs). </w:t>
      </w:r>
      <w:r w:rsidR="005A7954">
        <w:t xml:space="preserve">See </w:t>
      </w:r>
      <w:r w:rsidR="005A7954" w:rsidRPr="005A7954">
        <w:rPr>
          <w:i/>
          <w:iCs/>
        </w:rPr>
        <w:t>Economic analysis</w:t>
      </w:r>
      <w:r w:rsidR="005A7954">
        <w:t xml:space="preserve"> in section 6 below for issues regarding the calculations of the effective price. </w:t>
      </w:r>
      <w:r w:rsidR="00F97782" w:rsidRPr="00F04A75">
        <w:t xml:space="preserve">The </w:t>
      </w:r>
      <w:r w:rsidR="00430DF0">
        <w:t xml:space="preserve">published </w:t>
      </w:r>
      <w:r w:rsidR="00F97782" w:rsidRPr="00F04A75">
        <w:t xml:space="preserve">AEMP for carfilzomib remained unchanged from the initial submission </w:t>
      </w:r>
      <w:r w:rsidR="00BF3EDB" w:rsidRPr="00F04A75">
        <w:t xml:space="preserve">in </w:t>
      </w:r>
      <w:r w:rsidR="00F97782" w:rsidRPr="00F04A75">
        <w:t>November 2016</w:t>
      </w:r>
      <w:r w:rsidR="004D5B81" w:rsidRPr="00F04A75">
        <w:t>.</w:t>
      </w:r>
    </w:p>
    <w:p w14:paraId="7340A967" w14:textId="0C52701F" w:rsidR="00F97782" w:rsidRPr="00F04A75" w:rsidRDefault="00F97782" w:rsidP="0016658B">
      <w:pPr>
        <w:pStyle w:val="3-BodyText"/>
        <w:rPr>
          <w:color w:val="0066FF"/>
        </w:rPr>
      </w:pPr>
      <w:r w:rsidRPr="00F04A75">
        <w:rPr>
          <w:color w:val="000000" w:themeColor="text1"/>
        </w:rPr>
        <w:t xml:space="preserve">The proposed restrictions were consistent with the TGA approved indication, the </w:t>
      </w:r>
      <w:r w:rsidR="004A22AA" w:rsidRPr="00F04A75">
        <w:rPr>
          <w:color w:val="000000" w:themeColor="text1"/>
        </w:rPr>
        <w:t xml:space="preserve">clinical </w:t>
      </w:r>
      <w:r w:rsidRPr="00F04A75">
        <w:rPr>
          <w:color w:val="000000" w:themeColor="text1"/>
        </w:rPr>
        <w:t xml:space="preserve">evidence presented in </w:t>
      </w:r>
      <w:r w:rsidR="004A22AA" w:rsidRPr="00F04A75">
        <w:rPr>
          <w:color w:val="000000" w:themeColor="text1"/>
        </w:rPr>
        <w:t>the resubmission</w:t>
      </w:r>
      <w:r w:rsidRPr="00F04A75">
        <w:rPr>
          <w:color w:val="000000" w:themeColor="text1"/>
        </w:rPr>
        <w:t xml:space="preserve">, the </w:t>
      </w:r>
      <w:proofErr w:type="gramStart"/>
      <w:r w:rsidRPr="00F04A75">
        <w:rPr>
          <w:color w:val="000000" w:themeColor="text1"/>
        </w:rPr>
        <w:t>CMA</w:t>
      </w:r>
      <w:proofErr w:type="gramEnd"/>
      <w:r w:rsidRPr="00F04A75">
        <w:rPr>
          <w:color w:val="000000" w:themeColor="text1"/>
        </w:rPr>
        <w:t xml:space="preserve"> and the estimation of use in clinical practice. The trial eligibility criteria for ASPIRE, the pivotal trial, included restrictions on patients’ prior response to treatment, including achieving at least a partial response and not being refractory to prior lenalidomide. The proposed PBS restrictions do not include these criteria.</w:t>
      </w:r>
    </w:p>
    <w:p w14:paraId="12AFCCFB" w14:textId="1610CDBD" w:rsidR="00796787" w:rsidRPr="00F04A75" w:rsidRDefault="00796787" w:rsidP="0016658B">
      <w:pPr>
        <w:pStyle w:val="3-BodyText"/>
        <w:rPr>
          <w:color w:val="0066FF"/>
        </w:rPr>
      </w:pPr>
      <w:r w:rsidRPr="00F04A75">
        <w:rPr>
          <w:snapToGrid/>
        </w:rPr>
        <w:t xml:space="preserve">The treatment duration in ASPIRE differed from the proposed PBS listing.  Patients in ASPIRE received 18 cycles of </w:t>
      </w:r>
      <w:proofErr w:type="spellStart"/>
      <w:r w:rsidRPr="00F04A75">
        <w:rPr>
          <w:snapToGrid/>
        </w:rPr>
        <w:t>CLd</w:t>
      </w:r>
      <w:proofErr w:type="spellEnd"/>
      <w:r w:rsidRPr="00F04A75">
        <w:rPr>
          <w:snapToGrid/>
        </w:rPr>
        <w:t xml:space="preserve"> followed by </w:t>
      </w:r>
      <w:proofErr w:type="spellStart"/>
      <w:r w:rsidRPr="00F04A75">
        <w:rPr>
          <w:snapToGrid/>
        </w:rPr>
        <w:t>Ld</w:t>
      </w:r>
      <w:proofErr w:type="spellEnd"/>
      <w:r w:rsidRPr="00F04A75">
        <w:rPr>
          <w:snapToGrid/>
        </w:rPr>
        <w:t xml:space="preserve"> until </w:t>
      </w:r>
      <w:r w:rsidR="00DB420E" w:rsidRPr="00F04A75">
        <w:rPr>
          <w:snapToGrid/>
        </w:rPr>
        <w:t>disease</w:t>
      </w:r>
      <w:r w:rsidRPr="00F04A75">
        <w:rPr>
          <w:snapToGrid/>
        </w:rPr>
        <w:t xml:space="preserve"> progression, whereas the proposed restriction was for treatment with </w:t>
      </w:r>
      <w:proofErr w:type="spellStart"/>
      <w:r w:rsidRPr="00F04A75">
        <w:rPr>
          <w:snapToGrid/>
        </w:rPr>
        <w:t>CLd</w:t>
      </w:r>
      <w:proofErr w:type="spellEnd"/>
      <w:r w:rsidRPr="00F04A75">
        <w:rPr>
          <w:snapToGrid/>
        </w:rPr>
        <w:t xml:space="preserve"> until disease progression.</w:t>
      </w:r>
    </w:p>
    <w:p w14:paraId="7D5776B2" w14:textId="1A935BE8" w:rsidR="00F97782" w:rsidRPr="00F04A75" w:rsidRDefault="00F97782" w:rsidP="0016658B">
      <w:pPr>
        <w:pStyle w:val="3-BodyText"/>
        <w:rPr>
          <w:color w:val="000000" w:themeColor="text1"/>
        </w:rPr>
      </w:pPr>
      <w:r w:rsidRPr="00F04A75">
        <w:rPr>
          <w:color w:val="000000" w:themeColor="text1"/>
        </w:rPr>
        <w:t xml:space="preserve">The submission requested an Authority Required (Streamlined) listing for initial and continuing treatment. </w:t>
      </w:r>
      <w:r w:rsidR="008C02F5" w:rsidRPr="00F04A75">
        <w:rPr>
          <w:color w:val="000000" w:themeColor="text1"/>
        </w:rPr>
        <w:t>T</w:t>
      </w:r>
      <w:r w:rsidRPr="00F04A75">
        <w:rPr>
          <w:color w:val="000000" w:themeColor="text1"/>
        </w:rPr>
        <w:t xml:space="preserve">his was consistent with the approved restriction for Cd in the RRMM setting. </w:t>
      </w:r>
      <w:r w:rsidR="00180A8F">
        <w:rPr>
          <w:color w:val="000000" w:themeColor="text1"/>
        </w:rPr>
        <w:t>T</w:t>
      </w:r>
      <w:r w:rsidR="0053229B" w:rsidRPr="00F04A75">
        <w:rPr>
          <w:color w:val="000000" w:themeColor="text1"/>
        </w:rPr>
        <w:t>he initial submission (November 2016</w:t>
      </w:r>
      <w:r w:rsidR="009E0D2E" w:rsidRPr="00F04A75">
        <w:rPr>
          <w:color w:val="000000" w:themeColor="text1"/>
        </w:rPr>
        <w:t>)</w:t>
      </w:r>
      <w:r w:rsidR="0053229B" w:rsidRPr="00F04A75">
        <w:rPr>
          <w:color w:val="000000" w:themeColor="text1"/>
        </w:rPr>
        <w:t xml:space="preserve"> had requested restriction as ‘Authority Required – In writing’.</w:t>
      </w:r>
    </w:p>
    <w:p w14:paraId="291F89C6" w14:textId="77777777" w:rsidR="00A05E89" w:rsidRPr="00F04A75" w:rsidRDefault="00F97782" w:rsidP="00A05E89">
      <w:pPr>
        <w:pStyle w:val="3-BodyText"/>
        <w:rPr>
          <w:color w:val="000000" w:themeColor="text1"/>
        </w:rPr>
      </w:pPr>
      <w:r w:rsidRPr="00F04A75">
        <w:rPr>
          <w:color w:val="000000" w:themeColor="text1"/>
        </w:rPr>
        <w:t xml:space="preserve">The resubmission requested a separate restriction for lenalidomide use in </w:t>
      </w:r>
      <w:proofErr w:type="spellStart"/>
      <w:r w:rsidRPr="00F04A75">
        <w:rPr>
          <w:color w:val="000000" w:themeColor="text1"/>
        </w:rPr>
        <w:t>CLd.</w:t>
      </w:r>
      <w:proofErr w:type="spellEnd"/>
      <w:r w:rsidRPr="00F04A75">
        <w:rPr>
          <w:color w:val="000000" w:themeColor="text1"/>
        </w:rPr>
        <w:t xml:space="preserve"> This was consistent with the requested restriction for lenalidomide </w:t>
      </w:r>
      <w:r w:rsidR="00C007E5" w:rsidRPr="00F04A75">
        <w:rPr>
          <w:color w:val="000000" w:themeColor="text1"/>
        </w:rPr>
        <w:t xml:space="preserve">when used in combination with </w:t>
      </w:r>
      <w:proofErr w:type="spellStart"/>
      <w:r w:rsidR="00C007E5" w:rsidRPr="00F04A75">
        <w:rPr>
          <w:color w:val="000000" w:themeColor="text1"/>
        </w:rPr>
        <w:t>elotuzumab</w:t>
      </w:r>
      <w:proofErr w:type="spellEnd"/>
      <w:r w:rsidR="00C007E5" w:rsidRPr="00F04A75">
        <w:rPr>
          <w:color w:val="000000" w:themeColor="text1"/>
        </w:rPr>
        <w:t xml:space="preserve"> and dexamethasone (</w:t>
      </w:r>
      <w:proofErr w:type="spellStart"/>
      <w:r w:rsidRPr="00F04A75">
        <w:rPr>
          <w:color w:val="000000" w:themeColor="text1"/>
        </w:rPr>
        <w:t>ELd</w:t>
      </w:r>
      <w:proofErr w:type="spellEnd"/>
      <w:r w:rsidR="00C007E5" w:rsidRPr="00F04A75">
        <w:rPr>
          <w:color w:val="000000" w:themeColor="text1"/>
        </w:rPr>
        <w:t xml:space="preserve">; </w:t>
      </w:r>
      <w:r w:rsidRPr="00F04A75">
        <w:rPr>
          <w:color w:val="000000" w:themeColor="text1"/>
        </w:rPr>
        <w:t xml:space="preserve">paragraph 6.12, </w:t>
      </w:r>
      <w:proofErr w:type="spellStart"/>
      <w:r w:rsidRPr="00F04A75">
        <w:rPr>
          <w:color w:val="000000" w:themeColor="text1"/>
        </w:rPr>
        <w:t>elotuzumab</w:t>
      </w:r>
      <w:proofErr w:type="spellEnd"/>
      <w:r w:rsidRPr="00F04A75">
        <w:rPr>
          <w:color w:val="000000" w:themeColor="text1"/>
        </w:rPr>
        <w:t xml:space="preserve"> PSD, July 2021). </w:t>
      </w:r>
    </w:p>
    <w:p w14:paraId="220DA0C2" w14:textId="4A152B00" w:rsidR="00A05E89" w:rsidRPr="00F04A75" w:rsidRDefault="00A05E89" w:rsidP="00A05E89">
      <w:pPr>
        <w:pStyle w:val="3-BodyText"/>
        <w:numPr>
          <w:ilvl w:val="0"/>
          <w:numId w:val="0"/>
        </w:numPr>
        <w:ind w:left="720"/>
        <w:rPr>
          <w:i/>
          <w:iCs/>
          <w:color w:val="000000" w:themeColor="text1"/>
        </w:rPr>
      </w:pPr>
      <w:r w:rsidRPr="00F04A75">
        <w:rPr>
          <w:i/>
          <w:iCs/>
        </w:rPr>
        <w:t>For more detail on PBAC’s view, see section 7 PBAC outcome.</w:t>
      </w:r>
    </w:p>
    <w:p w14:paraId="62A40FEA" w14:textId="77777777" w:rsidR="00F97782" w:rsidRPr="00F04A75" w:rsidRDefault="00F97782" w:rsidP="000E4A22">
      <w:pPr>
        <w:pStyle w:val="2-SectionHeading"/>
      </w:pPr>
      <w:bookmarkStart w:id="18" w:name="_Toc90455921"/>
      <w:bookmarkStart w:id="19" w:name="_Toc93412425"/>
      <w:r w:rsidRPr="00F04A75">
        <w:t>Population and disease</w:t>
      </w:r>
      <w:bookmarkEnd w:id="18"/>
      <w:bookmarkEnd w:id="19"/>
    </w:p>
    <w:p w14:paraId="4B035E12" w14:textId="77777777" w:rsidR="00F97782" w:rsidRPr="00F04A75" w:rsidRDefault="00F97782" w:rsidP="0016658B">
      <w:pPr>
        <w:pStyle w:val="3-BodyText"/>
        <w:rPr>
          <w:color w:val="0066FF"/>
        </w:rPr>
      </w:pPr>
      <w:r w:rsidRPr="00F04A75">
        <w:rPr>
          <w:color w:val="000000" w:themeColor="text1"/>
        </w:rPr>
        <w:t xml:space="preserve">Multiple myeloma (MM) is a B-cell malignancy characterised by the clonal proliferation of malignant plasma cells within the bone marrow. </w:t>
      </w:r>
      <w:r w:rsidRPr="00F04A75">
        <w:t xml:space="preserve">The natural history of the disease includes disruption of normal bone marrow function (reflected by anaemia and/or low counts of white blood cells and platelets), progressive destruction and invasion of bone surrounding the bone marrow cavity leading to skeletal complications and fractures, hypercalcaemia, production and release of monoclonal protein (M-protein) by myeloma cells into the blood and/or urine, organ dysfunction (particularly involving the kidneys), and compromised immune function (reflected in decreased levels of normal immunoglobulins and increased susceptibility to infection). </w:t>
      </w:r>
      <w:r w:rsidRPr="00F04A75">
        <w:lastRenderedPageBreak/>
        <w:t>MM remains incurable; with diminishing duration of response to subsequent lines of therapy with each relapse that tends to be progressively more aggressive</w:t>
      </w:r>
      <w:r w:rsidRPr="00F04A75">
        <w:rPr>
          <w:color w:val="0066FF"/>
        </w:rPr>
        <w:t xml:space="preserve">. </w:t>
      </w:r>
    </w:p>
    <w:p w14:paraId="5B3CBF1D" w14:textId="696407D6" w:rsidR="00F97782" w:rsidRPr="00F04A75" w:rsidRDefault="00F97782" w:rsidP="00BB2122">
      <w:pPr>
        <w:pStyle w:val="3-BodyText"/>
        <w:rPr>
          <w:color w:val="000000" w:themeColor="text1"/>
        </w:rPr>
      </w:pPr>
      <w:r w:rsidRPr="00F04A75">
        <w:rPr>
          <w:color w:val="000000" w:themeColor="text1"/>
        </w:rPr>
        <w:t xml:space="preserve">The resubmission requested PBS listing of </w:t>
      </w:r>
      <w:proofErr w:type="spellStart"/>
      <w:r w:rsidRPr="00F04A75">
        <w:rPr>
          <w:color w:val="000000" w:themeColor="text1"/>
        </w:rPr>
        <w:t>CLd</w:t>
      </w:r>
      <w:proofErr w:type="spellEnd"/>
      <w:r w:rsidRPr="00F04A75">
        <w:rPr>
          <w:color w:val="000000" w:themeColor="text1"/>
        </w:rPr>
        <w:t xml:space="preserve"> for the treatment of patients with RRMM who had received at least one prior treatment. The clinical </w:t>
      </w:r>
      <w:r w:rsidRPr="00F04A75">
        <w:rPr>
          <w:rFonts w:cstheme="minorHAnsi"/>
          <w:color w:val="000000" w:themeColor="text1"/>
        </w:rPr>
        <w:t>algorithm (</w:t>
      </w:r>
      <w:r w:rsidR="00C63BE2" w:rsidRPr="00F04A75">
        <w:rPr>
          <w:rFonts w:cstheme="minorHAnsi"/>
          <w:color w:val="000000" w:themeColor="text1"/>
        </w:rPr>
        <w:t>Figure 1</w:t>
      </w:r>
      <w:r w:rsidRPr="00F04A75">
        <w:rPr>
          <w:rFonts w:cstheme="minorHAnsi"/>
          <w:color w:val="000000" w:themeColor="text1"/>
        </w:rPr>
        <w:t>) presented</w:t>
      </w:r>
      <w:r w:rsidRPr="00F04A75">
        <w:rPr>
          <w:color w:val="000000" w:themeColor="text1"/>
        </w:rPr>
        <w:t xml:space="preserve"> in the resubmission proposed that </w:t>
      </w:r>
      <w:proofErr w:type="spellStart"/>
      <w:r w:rsidRPr="00F04A75">
        <w:rPr>
          <w:color w:val="000000" w:themeColor="text1"/>
        </w:rPr>
        <w:t>CLd</w:t>
      </w:r>
      <w:proofErr w:type="spellEnd"/>
      <w:r w:rsidRPr="00F04A75">
        <w:rPr>
          <w:color w:val="000000" w:themeColor="text1"/>
        </w:rPr>
        <w:t xml:space="preserve"> would substitute for Cd and Ld. The </w:t>
      </w:r>
      <w:r w:rsidR="00BB2122" w:rsidRPr="00F04A75">
        <w:rPr>
          <w:color w:val="000000" w:themeColor="text1"/>
        </w:rPr>
        <w:t xml:space="preserve">ESC noted that </w:t>
      </w:r>
      <w:r w:rsidR="00C007E5" w:rsidRPr="00F04A75">
        <w:rPr>
          <w:color w:val="000000" w:themeColor="text1"/>
        </w:rPr>
        <w:t>daratumumab in combination with bortezomib and dexamethasone (</w:t>
      </w:r>
      <w:proofErr w:type="spellStart"/>
      <w:r w:rsidR="00BB2122" w:rsidRPr="00F04A75">
        <w:rPr>
          <w:color w:val="000000" w:themeColor="text1"/>
        </w:rPr>
        <w:t>DBd</w:t>
      </w:r>
      <w:proofErr w:type="spellEnd"/>
      <w:r w:rsidR="00C007E5" w:rsidRPr="00F04A75">
        <w:rPr>
          <w:color w:val="000000" w:themeColor="text1"/>
        </w:rPr>
        <w:t>)</w:t>
      </w:r>
      <w:r w:rsidR="00BB2122" w:rsidRPr="00F04A75">
        <w:rPr>
          <w:color w:val="000000" w:themeColor="text1"/>
        </w:rPr>
        <w:t xml:space="preserve"> is PBS listed for use in </w:t>
      </w:r>
      <w:r w:rsidR="00B63663" w:rsidRPr="00F04A75">
        <w:rPr>
          <w:color w:val="000000" w:themeColor="text1"/>
        </w:rPr>
        <w:t xml:space="preserve">the </w:t>
      </w:r>
      <w:r w:rsidR="00BB2122" w:rsidRPr="00F04A75">
        <w:rPr>
          <w:color w:val="000000" w:themeColor="text1"/>
        </w:rPr>
        <w:t>second line</w:t>
      </w:r>
      <w:r w:rsidR="00B63663" w:rsidRPr="00F04A75">
        <w:rPr>
          <w:color w:val="000000" w:themeColor="text1"/>
        </w:rPr>
        <w:t xml:space="preserve"> setting</w:t>
      </w:r>
      <w:r w:rsidR="005E19D7" w:rsidRPr="00F04A75">
        <w:rPr>
          <w:color w:val="000000" w:themeColor="text1"/>
        </w:rPr>
        <w:t xml:space="preserve"> only</w:t>
      </w:r>
      <w:r w:rsidR="00BB2122" w:rsidRPr="00F04A75">
        <w:rPr>
          <w:color w:val="000000" w:themeColor="text1"/>
        </w:rPr>
        <w:t xml:space="preserve">, and considered that other treatments, including </w:t>
      </w:r>
      <w:proofErr w:type="spellStart"/>
      <w:r w:rsidR="00BB2122" w:rsidRPr="00F04A75">
        <w:rPr>
          <w:color w:val="000000" w:themeColor="text1"/>
        </w:rPr>
        <w:t>CLd</w:t>
      </w:r>
      <w:proofErr w:type="spellEnd"/>
      <w:r w:rsidR="00BB2122" w:rsidRPr="00F04A75">
        <w:rPr>
          <w:color w:val="000000" w:themeColor="text1"/>
        </w:rPr>
        <w:t xml:space="preserve">, will be displaced to </w:t>
      </w:r>
      <w:r w:rsidR="00B63663" w:rsidRPr="00F04A75">
        <w:rPr>
          <w:color w:val="000000" w:themeColor="text1"/>
        </w:rPr>
        <w:t xml:space="preserve">the </w:t>
      </w:r>
      <w:r w:rsidR="00BB2122" w:rsidRPr="00F04A75">
        <w:rPr>
          <w:color w:val="000000" w:themeColor="text1"/>
        </w:rPr>
        <w:t xml:space="preserve">third line in </w:t>
      </w:r>
      <w:r w:rsidR="00B63663" w:rsidRPr="00F04A75">
        <w:rPr>
          <w:color w:val="000000" w:themeColor="text1"/>
        </w:rPr>
        <w:t xml:space="preserve">clinical </w:t>
      </w:r>
      <w:r w:rsidR="00BB2122" w:rsidRPr="00F04A75">
        <w:rPr>
          <w:color w:val="000000" w:themeColor="text1"/>
        </w:rPr>
        <w:t>practice.</w:t>
      </w:r>
    </w:p>
    <w:p w14:paraId="447CAEED" w14:textId="292AA37C" w:rsidR="00F97782" w:rsidRPr="00F04A75" w:rsidRDefault="00F97782" w:rsidP="00A05E89">
      <w:pPr>
        <w:pStyle w:val="Caption"/>
        <w:keepNext/>
        <w:spacing w:after="0"/>
        <w:rPr>
          <w:rFonts w:ascii="Arial Narrow" w:hAnsi="Arial Narrow"/>
          <w:color w:val="auto"/>
        </w:rPr>
      </w:pPr>
      <w:r w:rsidRPr="001542D1">
        <w:rPr>
          <w:rFonts w:ascii="Arial Narrow" w:hAnsi="Arial Narrow"/>
          <w:color w:val="auto"/>
          <w:sz w:val="20"/>
          <w:szCs w:val="20"/>
        </w:rPr>
        <w:t xml:space="preserve">Figure </w:t>
      </w:r>
      <w:r w:rsidRPr="001542D1">
        <w:rPr>
          <w:rFonts w:ascii="Arial Narrow" w:hAnsi="Arial Narrow"/>
          <w:color w:val="auto"/>
          <w:sz w:val="20"/>
          <w:szCs w:val="20"/>
        </w:rPr>
        <w:fldChar w:fldCharType="begin"/>
      </w:r>
      <w:r w:rsidRPr="001542D1">
        <w:rPr>
          <w:rFonts w:ascii="Arial Narrow" w:hAnsi="Arial Narrow"/>
          <w:color w:val="auto"/>
          <w:sz w:val="20"/>
          <w:szCs w:val="20"/>
        </w:rPr>
        <w:instrText xml:space="preserve"> SEQ Figure \* ARABIC </w:instrText>
      </w:r>
      <w:r w:rsidRPr="001542D1">
        <w:rPr>
          <w:rFonts w:ascii="Arial Narrow" w:hAnsi="Arial Narrow"/>
          <w:color w:val="auto"/>
          <w:sz w:val="20"/>
          <w:szCs w:val="20"/>
        </w:rPr>
        <w:fldChar w:fldCharType="separate"/>
      </w:r>
      <w:r w:rsidR="00443BC9">
        <w:rPr>
          <w:rFonts w:ascii="Arial Narrow" w:hAnsi="Arial Narrow"/>
          <w:noProof/>
          <w:color w:val="auto"/>
          <w:sz w:val="20"/>
          <w:szCs w:val="20"/>
        </w:rPr>
        <w:t>1</w:t>
      </w:r>
      <w:r w:rsidRPr="001542D1">
        <w:rPr>
          <w:rFonts w:ascii="Arial Narrow" w:hAnsi="Arial Narrow"/>
          <w:color w:val="auto"/>
          <w:sz w:val="20"/>
          <w:szCs w:val="20"/>
        </w:rPr>
        <w:fldChar w:fldCharType="end"/>
      </w:r>
      <w:r w:rsidRPr="00F04A75">
        <w:rPr>
          <w:rFonts w:ascii="Arial Narrow" w:hAnsi="Arial Narrow"/>
          <w:color w:val="auto"/>
        </w:rPr>
        <w:t xml:space="preserve">: </w:t>
      </w:r>
      <w:r w:rsidRPr="00F04A75">
        <w:rPr>
          <w:rFonts w:ascii="Arial Narrow" w:hAnsi="Arial Narrow"/>
          <w:color w:val="auto"/>
          <w:sz w:val="20"/>
          <w:szCs w:val="20"/>
        </w:rPr>
        <w:t xml:space="preserve"> Proposed PBS treatment algorithm for multiple myeloma</w:t>
      </w:r>
    </w:p>
    <w:p w14:paraId="7E4F8971" w14:textId="77777777" w:rsidR="00F97782" w:rsidRPr="00F04A75" w:rsidRDefault="00F97782" w:rsidP="00A05E89">
      <w:pPr>
        <w:keepNext/>
        <w:rPr>
          <w:rFonts w:ascii="Arial Narrow" w:hAnsi="Arial Narrow"/>
          <w:sz w:val="18"/>
          <w:szCs w:val="18"/>
        </w:rPr>
      </w:pPr>
      <w:r w:rsidRPr="00F04A75">
        <w:rPr>
          <w:rFonts w:cstheme="minorHAnsi"/>
          <w:noProof/>
        </w:rPr>
        <w:drawing>
          <wp:inline distT="0" distB="0" distL="0" distR="0" wp14:anchorId="7C71CAB6" wp14:editId="7B7477A2">
            <wp:extent cx="5674084" cy="3935842"/>
            <wp:effectExtent l="19050" t="19050" r="22225" b="26670"/>
            <wp:docPr id="7" name="Picture 7" descr="Figure 1:  Proposed PBS treatment algorithm for multiple myelo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Figure 1:  Proposed PBS treatment algorithm for multiple myeloma"/>
                    <pic:cNvPicPr/>
                  </pic:nvPicPr>
                  <pic:blipFill rotWithShape="1">
                    <a:blip r:embed="rId8"/>
                    <a:srcRect l="1" t="5121" r="29852" b="12055"/>
                    <a:stretch/>
                  </pic:blipFill>
                  <pic:spPr bwMode="auto">
                    <a:xfrm>
                      <a:off x="0" y="0"/>
                      <a:ext cx="5713351" cy="3963080"/>
                    </a:xfrm>
                    <a:prstGeom prst="rect">
                      <a:avLst/>
                    </a:prstGeom>
                    <a:ln w="9525" cap="flat" cmpd="sng" algn="ctr">
                      <a:solidFill>
                        <a:srgbClr val="4F81BD"/>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4C58C1F7" w14:textId="77777777" w:rsidR="00F97782" w:rsidRPr="00F04A75" w:rsidRDefault="00F97782" w:rsidP="00A05E89">
      <w:pPr>
        <w:keepNext/>
        <w:rPr>
          <w:rFonts w:ascii="Arial Narrow" w:hAnsi="Arial Narrow"/>
          <w:sz w:val="18"/>
          <w:szCs w:val="18"/>
        </w:rPr>
      </w:pPr>
      <w:r w:rsidRPr="00F04A75">
        <w:rPr>
          <w:rFonts w:ascii="Arial Narrow" w:hAnsi="Arial Narrow"/>
          <w:sz w:val="18"/>
          <w:szCs w:val="18"/>
        </w:rPr>
        <w:t xml:space="preserve">Source: Figure 1.2-2 p14 of the </w:t>
      </w:r>
      <w:r w:rsidR="0053229B" w:rsidRPr="00F04A75">
        <w:rPr>
          <w:rFonts w:ascii="Arial Narrow" w:hAnsi="Arial Narrow"/>
          <w:sz w:val="18"/>
          <w:szCs w:val="18"/>
        </w:rPr>
        <w:t>re</w:t>
      </w:r>
      <w:r w:rsidRPr="00F04A75">
        <w:rPr>
          <w:rFonts w:ascii="Arial Narrow" w:hAnsi="Arial Narrow"/>
          <w:sz w:val="18"/>
          <w:szCs w:val="18"/>
        </w:rPr>
        <w:t>submission</w:t>
      </w:r>
    </w:p>
    <w:p w14:paraId="0415FBC6" w14:textId="360C534E" w:rsidR="00F97782" w:rsidRPr="00F04A75" w:rsidRDefault="00AA14EA" w:rsidP="0016658B">
      <w:pPr>
        <w:rPr>
          <w:rFonts w:ascii="Arial Narrow" w:hAnsi="Arial Narrow"/>
          <w:sz w:val="18"/>
          <w:szCs w:val="18"/>
        </w:rPr>
      </w:pPr>
      <w:r w:rsidRPr="00F04A75">
        <w:rPr>
          <w:rFonts w:ascii="Arial Narrow" w:hAnsi="Arial Narrow"/>
          <w:sz w:val="18"/>
          <w:szCs w:val="18"/>
        </w:rPr>
        <w:t xml:space="preserve">B = bortezomib; Bd = bortezomib and dexamethasone; </w:t>
      </w:r>
      <w:r w:rsidR="00F97782" w:rsidRPr="00F04A75">
        <w:rPr>
          <w:rFonts w:ascii="Arial Narrow" w:hAnsi="Arial Narrow"/>
          <w:sz w:val="18"/>
          <w:szCs w:val="18"/>
        </w:rPr>
        <w:t>Cd</w:t>
      </w:r>
      <w:r w:rsidRPr="00F04A75">
        <w:rPr>
          <w:rFonts w:ascii="Arial Narrow" w:hAnsi="Arial Narrow"/>
          <w:sz w:val="18"/>
          <w:szCs w:val="18"/>
        </w:rPr>
        <w:t xml:space="preserve"> </w:t>
      </w:r>
      <w:r w:rsidR="00F97782" w:rsidRPr="00F04A75">
        <w:rPr>
          <w:rFonts w:ascii="Arial Narrow" w:hAnsi="Arial Narrow"/>
          <w:sz w:val="18"/>
          <w:szCs w:val="18"/>
        </w:rPr>
        <w:t>=</w:t>
      </w:r>
      <w:r w:rsidRPr="00F04A75">
        <w:rPr>
          <w:rFonts w:ascii="Arial Narrow" w:hAnsi="Arial Narrow"/>
          <w:sz w:val="18"/>
          <w:szCs w:val="18"/>
        </w:rPr>
        <w:t xml:space="preserve"> </w:t>
      </w:r>
      <w:r w:rsidR="00F97782" w:rsidRPr="00F04A75">
        <w:rPr>
          <w:rFonts w:ascii="Arial Narrow" w:hAnsi="Arial Narrow"/>
          <w:sz w:val="18"/>
          <w:szCs w:val="18"/>
        </w:rPr>
        <w:t xml:space="preserve">carfilzomib and dexamethasone; </w:t>
      </w:r>
      <w:proofErr w:type="spellStart"/>
      <w:r w:rsidRPr="00F04A75">
        <w:rPr>
          <w:rFonts w:ascii="Arial Narrow" w:hAnsi="Arial Narrow"/>
          <w:sz w:val="18"/>
          <w:szCs w:val="18"/>
        </w:rPr>
        <w:t>CLd</w:t>
      </w:r>
      <w:proofErr w:type="spellEnd"/>
      <w:r w:rsidRPr="00F04A75">
        <w:rPr>
          <w:rFonts w:ascii="Arial Narrow" w:hAnsi="Arial Narrow"/>
          <w:sz w:val="18"/>
          <w:szCs w:val="18"/>
        </w:rPr>
        <w:t xml:space="preserve"> = carfilzomib, lenalidomide and dexamethasone; </w:t>
      </w:r>
      <w:proofErr w:type="spellStart"/>
      <w:r w:rsidR="00F97782" w:rsidRPr="00F04A75">
        <w:rPr>
          <w:rFonts w:ascii="Arial Narrow" w:hAnsi="Arial Narrow"/>
          <w:sz w:val="18"/>
          <w:szCs w:val="18"/>
        </w:rPr>
        <w:t>DBd</w:t>
      </w:r>
      <w:proofErr w:type="spellEnd"/>
      <w:r w:rsidRPr="00F04A75">
        <w:rPr>
          <w:rFonts w:ascii="Arial Narrow" w:hAnsi="Arial Narrow"/>
          <w:sz w:val="18"/>
          <w:szCs w:val="18"/>
        </w:rPr>
        <w:t xml:space="preserve"> </w:t>
      </w:r>
      <w:r w:rsidR="00F97782" w:rsidRPr="00F04A75">
        <w:rPr>
          <w:rFonts w:ascii="Arial Narrow" w:hAnsi="Arial Narrow"/>
          <w:sz w:val="18"/>
          <w:szCs w:val="18"/>
        </w:rPr>
        <w:t>=</w:t>
      </w:r>
      <w:r w:rsidRPr="00F04A75">
        <w:rPr>
          <w:rFonts w:ascii="Arial Narrow" w:hAnsi="Arial Narrow"/>
          <w:sz w:val="18"/>
          <w:szCs w:val="18"/>
        </w:rPr>
        <w:t xml:space="preserve"> </w:t>
      </w:r>
      <w:r w:rsidR="00F97782" w:rsidRPr="00F04A75">
        <w:rPr>
          <w:rFonts w:ascii="Arial Narrow" w:hAnsi="Arial Narrow"/>
          <w:sz w:val="18"/>
          <w:szCs w:val="18"/>
        </w:rPr>
        <w:t>daratumumab</w:t>
      </w:r>
      <w:r w:rsidRPr="00F04A75">
        <w:rPr>
          <w:rFonts w:ascii="Arial Narrow" w:hAnsi="Arial Narrow"/>
          <w:sz w:val="18"/>
          <w:szCs w:val="18"/>
        </w:rPr>
        <w:t xml:space="preserve">, </w:t>
      </w:r>
      <w:r w:rsidR="00F97782" w:rsidRPr="00F04A75">
        <w:rPr>
          <w:rFonts w:ascii="Arial Narrow" w:hAnsi="Arial Narrow"/>
          <w:sz w:val="18"/>
          <w:szCs w:val="18"/>
        </w:rPr>
        <w:t xml:space="preserve">bortezomib and dexamethasone; </w:t>
      </w:r>
      <w:proofErr w:type="spellStart"/>
      <w:r w:rsidR="00F97782" w:rsidRPr="00F04A75">
        <w:rPr>
          <w:rFonts w:ascii="Arial Narrow" w:hAnsi="Arial Narrow"/>
          <w:sz w:val="18"/>
          <w:szCs w:val="18"/>
        </w:rPr>
        <w:t>ELd</w:t>
      </w:r>
      <w:proofErr w:type="spellEnd"/>
      <w:r w:rsidRPr="00F04A75">
        <w:rPr>
          <w:rFonts w:ascii="Arial Narrow" w:hAnsi="Arial Narrow"/>
          <w:sz w:val="18"/>
          <w:szCs w:val="18"/>
        </w:rPr>
        <w:t xml:space="preserve"> </w:t>
      </w:r>
      <w:r w:rsidR="00F97782" w:rsidRPr="00F04A75">
        <w:rPr>
          <w:rFonts w:ascii="Arial Narrow" w:hAnsi="Arial Narrow"/>
          <w:sz w:val="18"/>
          <w:szCs w:val="18"/>
        </w:rPr>
        <w:t xml:space="preserve">= </w:t>
      </w:r>
      <w:proofErr w:type="spellStart"/>
      <w:r w:rsidR="00F97782" w:rsidRPr="00F04A75">
        <w:rPr>
          <w:rFonts w:ascii="Arial Narrow" w:hAnsi="Arial Narrow"/>
          <w:sz w:val="18"/>
          <w:szCs w:val="18"/>
        </w:rPr>
        <w:t>elotuzumab</w:t>
      </w:r>
      <w:proofErr w:type="spellEnd"/>
      <w:r w:rsidRPr="00F04A75">
        <w:rPr>
          <w:rFonts w:ascii="Arial Narrow" w:hAnsi="Arial Narrow"/>
          <w:sz w:val="18"/>
          <w:szCs w:val="18"/>
        </w:rPr>
        <w:t xml:space="preserve">, </w:t>
      </w:r>
      <w:r w:rsidR="00F97782" w:rsidRPr="00F04A75">
        <w:rPr>
          <w:rFonts w:ascii="Arial Narrow" w:hAnsi="Arial Narrow"/>
          <w:sz w:val="18"/>
          <w:szCs w:val="18"/>
        </w:rPr>
        <w:t xml:space="preserve">lenalidomide and dexamethasone; </w:t>
      </w:r>
      <w:proofErr w:type="spellStart"/>
      <w:r w:rsidRPr="00F04A75">
        <w:rPr>
          <w:rFonts w:ascii="Arial Narrow" w:hAnsi="Arial Narrow"/>
          <w:sz w:val="18"/>
          <w:szCs w:val="18"/>
        </w:rPr>
        <w:t>LBd</w:t>
      </w:r>
      <w:proofErr w:type="spellEnd"/>
      <w:r w:rsidRPr="00F04A75">
        <w:rPr>
          <w:rFonts w:ascii="Arial Narrow" w:hAnsi="Arial Narrow"/>
          <w:sz w:val="18"/>
          <w:szCs w:val="18"/>
        </w:rPr>
        <w:t xml:space="preserve"> = lenalidomide, bortezomib and dexamethasone; </w:t>
      </w:r>
      <w:proofErr w:type="spellStart"/>
      <w:r w:rsidRPr="00F04A75">
        <w:rPr>
          <w:rFonts w:ascii="Arial Narrow" w:hAnsi="Arial Narrow"/>
          <w:sz w:val="18"/>
          <w:szCs w:val="18"/>
        </w:rPr>
        <w:t>Ld</w:t>
      </w:r>
      <w:proofErr w:type="spellEnd"/>
      <w:r w:rsidRPr="00F04A75">
        <w:rPr>
          <w:rFonts w:ascii="Arial Narrow" w:hAnsi="Arial Narrow"/>
          <w:sz w:val="18"/>
          <w:szCs w:val="18"/>
        </w:rPr>
        <w:t xml:space="preserve"> = lenalidomide and dexamethasone; </w:t>
      </w:r>
      <w:proofErr w:type="spellStart"/>
      <w:r w:rsidRPr="00F04A75">
        <w:rPr>
          <w:rFonts w:ascii="Arial Narrow" w:hAnsi="Arial Narrow"/>
          <w:sz w:val="18"/>
          <w:szCs w:val="18"/>
        </w:rPr>
        <w:t>Maint</w:t>
      </w:r>
      <w:proofErr w:type="spellEnd"/>
      <w:r w:rsidRPr="00F04A75">
        <w:rPr>
          <w:rFonts w:ascii="Arial Narrow" w:hAnsi="Arial Narrow"/>
          <w:sz w:val="18"/>
          <w:szCs w:val="18"/>
        </w:rPr>
        <w:t xml:space="preserve"> = maintenance; MM = multiple myeloma; </w:t>
      </w:r>
      <w:proofErr w:type="spellStart"/>
      <w:r w:rsidRPr="00F04A75">
        <w:rPr>
          <w:rFonts w:ascii="Arial Narrow" w:hAnsi="Arial Narrow"/>
          <w:sz w:val="18"/>
          <w:szCs w:val="18"/>
        </w:rPr>
        <w:t>PBd</w:t>
      </w:r>
      <w:proofErr w:type="spellEnd"/>
      <w:r w:rsidRPr="00F04A75">
        <w:rPr>
          <w:rFonts w:ascii="Arial Narrow" w:hAnsi="Arial Narrow"/>
          <w:sz w:val="18"/>
          <w:szCs w:val="18"/>
        </w:rPr>
        <w:t xml:space="preserve"> = pomalidomide, bortezomib and dexamethasone; PBS = Pharmaceutical Benefits Scheme; </w:t>
      </w:r>
      <w:r w:rsidR="00F97782" w:rsidRPr="00F04A75">
        <w:rPr>
          <w:rFonts w:ascii="Arial Narrow" w:hAnsi="Arial Narrow"/>
          <w:sz w:val="18"/>
          <w:szCs w:val="18"/>
        </w:rPr>
        <w:t>Pd</w:t>
      </w:r>
      <w:r w:rsidRPr="00F04A75">
        <w:rPr>
          <w:rFonts w:ascii="Arial Narrow" w:hAnsi="Arial Narrow"/>
          <w:sz w:val="18"/>
          <w:szCs w:val="18"/>
        </w:rPr>
        <w:t xml:space="preserve"> </w:t>
      </w:r>
      <w:r w:rsidR="00F97782" w:rsidRPr="00F04A75">
        <w:rPr>
          <w:rFonts w:ascii="Arial Narrow" w:hAnsi="Arial Narrow"/>
          <w:sz w:val="18"/>
          <w:szCs w:val="18"/>
        </w:rPr>
        <w:t>=</w:t>
      </w:r>
      <w:r w:rsidRPr="00F04A75">
        <w:rPr>
          <w:rFonts w:ascii="Arial Narrow" w:hAnsi="Arial Narrow"/>
          <w:sz w:val="18"/>
          <w:szCs w:val="18"/>
        </w:rPr>
        <w:t xml:space="preserve"> </w:t>
      </w:r>
      <w:r w:rsidR="00F97782" w:rsidRPr="00F04A75">
        <w:rPr>
          <w:rFonts w:ascii="Arial Narrow" w:hAnsi="Arial Narrow"/>
          <w:sz w:val="18"/>
          <w:szCs w:val="18"/>
        </w:rPr>
        <w:t>pomalidomide and dexamethasone</w:t>
      </w:r>
      <w:r w:rsidRPr="00F04A75">
        <w:rPr>
          <w:rFonts w:ascii="Arial Narrow" w:hAnsi="Arial Narrow"/>
          <w:sz w:val="18"/>
          <w:szCs w:val="18"/>
        </w:rPr>
        <w:t>; SC = stem cell; SM/C = steroid and melphalan or cyclophosphamide</w:t>
      </w:r>
    </w:p>
    <w:p w14:paraId="50C65DA0" w14:textId="77777777" w:rsidR="00A05E89" w:rsidRPr="00F04A75" w:rsidRDefault="00A05E89" w:rsidP="00A05E89">
      <w:pPr>
        <w:pStyle w:val="Normalbeforebullet"/>
        <w:ind w:firstLine="720"/>
        <w:rPr>
          <w:i/>
          <w:iCs/>
          <w:sz w:val="24"/>
        </w:rPr>
      </w:pPr>
      <w:bookmarkStart w:id="20" w:name="_Toc90418416"/>
      <w:bookmarkStart w:id="21" w:name="_Toc90455922"/>
      <w:bookmarkStart w:id="22" w:name="_Toc93412426"/>
      <w:bookmarkEnd w:id="20"/>
      <w:r w:rsidRPr="00F04A75">
        <w:rPr>
          <w:i/>
          <w:iCs/>
          <w:sz w:val="24"/>
        </w:rPr>
        <w:t>For more detail on PBAC’s view, see section 7 PBAC outcome.</w:t>
      </w:r>
    </w:p>
    <w:p w14:paraId="5A6882A4" w14:textId="39F5448D" w:rsidR="00F97782" w:rsidRPr="00F04A75" w:rsidRDefault="00F97782" w:rsidP="000E4A22">
      <w:pPr>
        <w:pStyle w:val="2-SectionHeading"/>
      </w:pPr>
      <w:r w:rsidRPr="00F04A75">
        <w:t>Comparator</w:t>
      </w:r>
      <w:bookmarkEnd w:id="21"/>
      <w:bookmarkEnd w:id="22"/>
    </w:p>
    <w:p w14:paraId="7668B1C1" w14:textId="62064355" w:rsidR="00F97782" w:rsidRPr="00F04A75" w:rsidRDefault="00F97782" w:rsidP="0016658B">
      <w:pPr>
        <w:pStyle w:val="3-BodyText"/>
        <w:rPr>
          <w:snapToGrid/>
        </w:rPr>
      </w:pPr>
      <w:r w:rsidRPr="00F04A75">
        <w:rPr>
          <w:snapToGrid/>
          <w:color w:val="000000" w:themeColor="text1"/>
        </w:rPr>
        <w:t xml:space="preserve">The resubmission nominated Cd as the primary comparator for </w:t>
      </w:r>
      <w:proofErr w:type="spellStart"/>
      <w:r w:rsidRPr="00F04A75">
        <w:rPr>
          <w:snapToGrid/>
          <w:color w:val="000000" w:themeColor="text1"/>
        </w:rPr>
        <w:t>CLd</w:t>
      </w:r>
      <w:r w:rsidR="00BF3EDB" w:rsidRPr="00F04A75">
        <w:rPr>
          <w:snapToGrid/>
          <w:color w:val="000000" w:themeColor="text1"/>
        </w:rPr>
        <w:t>.</w:t>
      </w:r>
      <w:proofErr w:type="spellEnd"/>
      <w:r w:rsidR="00BF3EDB" w:rsidRPr="00F04A75">
        <w:rPr>
          <w:snapToGrid/>
          <w:color w:val="000000" w:themeColor="text1"/>
        </w:rPr>
        <w:t xml:space="preserve"> </w:t>
      </w:r>
      <w:r w:rsidR="00B14162" w:rsidRPr="00F04A75">
        <w:rPr>
          <w:szCs w:val="22"/>
        </w:rPr>
        <w:t xml:space="preserve">The choice of comparator was different from the </w:t>
      </w:r>
      <w:r w:rsidR="007F3027" w:rsidRPr="00F04A75">
        <w:rPr>
          <w:szCs w:val="22"/>
        </w:rPr>
        <w:t>initial</w:t>
      </w:r>
      <w:r w:rsidR="00B14162" w:rsidRPr="00F04A75">
        <w:rPr>
          <w:szCs w:val="22"/>
        </w:rPr>
        <w:t xml:space="preserve"> submission</w:t>
      </w:r>
      <w:r w:rsidR="003F66D1" w:rsidRPr="00F04A75">
        <w:rPr>
          <w:szCs w:val="22"/>
        </w:rPr>
        <w:t xml:space="preserve"> in November 2016</w:t>
      </w:r>
      <w:r w:rsidR="00B14162" w:rsidRPr="00F04A75">
        <w:rPr>
          <w:szCs w:val="22"/>
        </w:rPr>
        <w:t xml:space="preserve"> </w:t>
      </w:r>
      <w:r w:rsidR="003F66D1" w:rsidRPr="00F04A75">
        <w:rPr>
          <w:szCs w:val="22"/>
        </w:rPr>
        <w:t xml:space="preserve">where </w:t>
      </w:r>
      <w:proofErr w:type="spellStart"/>
      <w:r w:rsidR="003F66D1" w:rsidRPr="00F04A75">
        <w:rPr>
          <w:szCs w:val="22"/>
        </w:rPr>
        <w:t>CLd</w:t>
      </w:r>
      <w:proofErr w:type="spellEnd"/>
      <w:r w:rsidR="003F66D1" w:rsidRPr="00F04A75">
        <w:rPr>
          <w:szCs w:val="22"/>
        </w:rPr>
        <w:t xml:space="preserve"> </w:t>
      </w:r>
      <w:r w:rsidR="003F66D1" w:rsidRPr="00F04A75">
        <w:rPr>
          <w:szCs w:val="22"/>
        </w:rPr>
        <w:lastRenderedPageBreak/>
        <w:t xml:space="preserve">was compared to </w:t>
      </w:r>
      <w:proofErr w:type="spellStart"/>
      <w:r w:rsidR="00B14162" w:rsidRPr="00F04A75">
        <w:rPr>
          <w:szCs w:val="22"/>
        </w:rPr>
        <w:t>Ld</w:t>
      </w:r>
      <w:proofErr w:type="spellEnd"/>
      <w:r w:rsidR="00EE2629" w:rsidRPr="00F04A75">
        <w:rPr>
          <w:szCs w:val="22"/>
        </w:rPr>
        <w:t xml:space="preserve"> on a cost effectiveness basis</w:t>
      </w:r>
      <w:r w:rsidR="00B14162" w:rsidRPr="00F04A75">
        <w:rPr>
          <w:szCs w:val="22"/>
        </w:rPr>
        <w:t xml:space="preserve">. </w:t>
      </w:r>
      <w:r w:rsidRPr="00F04A75">
        <w:t>Cd has been a comparator (either main or secondary) for most triplet</w:t>
      </w:r>
      <w:r w:rsidR="00212007" w:rsidRPr="00F04A75">
        <w:t xml:space="preserve"> therapie</w:t>
      </w:r>
      <w:r w:rsidRPr="00F04A75">
        <w:t>s (</w:t>
      </w:r>
      <w:proofErr w:type="gramStart"/>
      <w:r w:rsidR="00273039">
        <w:t>e.g.</w:t>
      </w:r>
      <w:proofErr w:type="gramEnd"/>
      <w:r w:rsidRPr="00F04A75">
        <w:rPr>
          <w:rFonts w:cstheme="minorHAnsi"/>
          <w:szCs w:val="22"/>
        </w:rPr>
        <w:t xml:space="preserve"> </w:t>
      </w:r>
      <w:r w:rsidR="00C007E5" w:rsidRPr="00F04A75">
        <w:rPr>
          <w:rFonts w:cstheme="minorHAnsi"/>
          <w:szCs w:val="22"/>
        </w:rPr>
        <w:t>pomalidomide plus bortezomib and dexamethasone (</w:t>
      </w:r>
      <w:proofErr w:type="spellStart"/>
      <w:r w:rsidRPr="00F04A75">
        <w:rPr>
          <w:rFonts w:cstheme="minorHAnsi"/>
          <w:szCs w:val="22"/>
        </w:rPr>
        <w:t>PBd</w:t>
      </w:r>
      <w:proofErr w:type="spellEnd"/>
      <w:r w:rsidR="00C007E5" w:rsidRPr="00F04A75">
        <w:rPr>
          <w:rFonts w:cstheme="minorHAnsi"/>
          <w:szCs w:val="22"/>
        </w:rPr>
        <w:t>)</w:t>
      </w:r>
      <w:r w:rsidRPr="00F04A75">
        <w:rPr>
          <w:rFonts w:cstheme="minorHAnsi"/>
          <w:szCs w:val="22"/>
        </w:rPr>
        <w:t xml:space="preserve">, </w:t>
      </w:r>
      <w:proofErr w:type="spellStart"/>
      <w:r w:rsidRPr="00F04A75">
        <w:rPr>
          <w:rFonts w:cstheme="minorHAnsi"/>
          <w:szCs w:val="22"/>
        </w:rPr>
        <w:t>ELd</w:t>
      </w:r>
      <w:proofErr w:type="spellEnd"/>
      <w:r w:rsidRPr="00F04A75">
        <w:rPr>
          <w:rFonts w:cstheme="minorHAnsi"/>
          <w:szCs w:val="22"/>
        </w:rPr>
        <w:t xml:space="preserve">, </w:t>
      </w:r>
      <w:r w:rsidR="00C007E5" w:rsidRPr="00F04A75">
        <w:rPr>
          <w:rFonts w:cstheme="minorHAnsi"/>
          <w:szCs w:val="22"/>
        </w:rPr>
        <w:t xml:space="preserve">and </w:t>
      </w:r>
      <w:proofErr w:type="spellStart"/>
      <w:r w:rsidR="00C007E5" w:rsidRPr="00F04A75">
        <w:rPr>
          <w:rFonts w:cstheme="minorHAnsi"/>
          <w:szCs w:val="22"/>
        </w:rPr>
        <w:t>ixazomib</w:t>
      </w:r>
      <w:proofErr w:type="spellEnd"/>
      <w:r w:rsidR="00C007E5" w:rsidRPr="00F04A75">
        <w:rPr>
          <w:rFonts w:cstheme="minorHAnsi"/>
          <w:szCs w:val="22"/>
        </w:rPr>
        <w:t xml:space="preserve"> plus lenalidomide and dexamethasone (</w:t>
      </w:r>
      <w:proofErr w:type="spellStart"/>
      <w:r w:rsidRPr="00F04A75">
        <w:rPr>
          <w:rFonts w:cstheme="minorHAnsi"/>
          <w:szCs w:val="22"/>
        </w:rPr>
        <w:t>ILd</w:t>
      </w:r>
      <w:proofErr w:type="spellEnd"/>
      <w:r w:rsidRPr="00F04A75">
        <w:rPr>
          <w:rFonts w:cstheme="minorHAnsi"/>
          <w:szCs w:val="22"/>
        </w:rPr>
        <w:t>)</w:t>
      </w:r>
      <w:r w:rsidR="00C007E5" w:rsidRPr="00F04A75">
        <w:rPr>
          <w:rFonts w:cstheme="minorHAnsi"/>
          <w:szCs w:val="22"/>
        </w:rPr>
        <w:t>)</w:t>
      </w:r>
      <w:r w:rsidRPr="00F04A75">
        <w:rPr>
          <w:rFonts w:cstheme="minorHAnsi"/>
          <w:szCs w:val="22"/>
        </w:rPr>
        <w:t xml:space="preserve"> that have been </w:t>
      </w:r>
      <w:r w:rsidRPr="00F04A75">
        <w:t xml:space="preserve">considered by the PBAC on a cost-minimisation basis, regardless of the backbone therapy (Bd or </w:t>
      </w:r>
      <w:proofErr w:type="spellStart"/>
      <w:r w:rsidRPr="00F04A75">
        <w:t>Ld</w:t>
      </w:r>
      <w:proofErr w:type="spellEnd"/>
      <w:r w:rsidRPr="00F04A75">
        <w:t>).</w:t>
      </w:r>
      <w:r w:rsidR="00EE2629" w:rsidRPr="00F04A75">
        <w:t xml:space="preserve"> </w:t>
      </w:r>
      <w:r w:rsidR="005A7954">
        <w:t xml:space="preserve">Thus, it was argued </w:t>
      </w:r>
      <w:r w:rsidR="00EE2629" w:rsidRPr="00F04A75">
        <w:rPr>
          <w:rFonts w:ascii="Calibri" w:hAnsi="Calibri"/>
        </w:rPr>
        <w:t xml:space="preserve">Cd as a comparator for </w:t>
      </w:r>
      <w:proofErr w:type="spellStart"/>
      <w:r w:rsidR="00EE2629" w:rsidRPr="00F04A75">
        <w:rPr>
          <w:rFonts w:ascii="Calibri" w:hAnsi="Calibri"/>
        </w:rPr>
        <w:t>CLd</w:t>
      </w:r>
      <w:proofErr w:type="spellEnd"/>
      <w:r w:rsidR="00EE2629" w:rsidRPr="00F04A75">
        <w:rPr>
          <w:rFonts w:ascii="Calibri" w:hAnsi="Calibri"/>
        </w:rPr>
        <w:t xml:space="preserve"> allows the PBAC to have a consistent frame of reference for decision-making about treatments for RRMM. </w:t>
      </w:r>
      <w:r w:rsidRPr="00F04A75">
        <w:rPr>
          <w:szCs w:val="22"/>
        </w:rPr>
        <w:t xml:space="preserve">The </w:t>
      </w:r>
      <w:r w:rsidR="007411D8" w:rsidRPr="00F04A75">
        <w:rPr>
          <w:szCs w:val="22"/>
        </w:rPr>
        <w:t xml:space="preserve">PBAC </w:t>
      </w:r>
      <w:r w:rsidR="00BB2122" w:rsidRPr="00F04A75">
        <w:rPr>
          <w:szCs w:val="22"/>
        </w:rPr>
        <w:t xml:space="preserve">considered </w:t>
      </w:r>
      <w:r w:rsidR="00D86B61" w:rsidRPr="00F04A75">
        <w:rPr>
          <w:szCs w:val="22"/>
        </w:rPr>
        <w:t>the nomination of Cd as main comparator was reasonable</w:t>
      </w:r>
      <w:r w:rsidRPr="00F04A75">
        <w:rPr>
          <w:szCs w:val="22"/>
        </w:rPr>
        <w:t xml:space="preserve">. </w:t>
      </w:r>
    </w:p>
    <w:p w14:paraId="287F5D0E" w14:textId="099D32CF" w:rsidR="00D86B61" w:rsidRPr="00F04A75" w:rsidRDefault="00F97782" w:rsidP="0016658B">
      <w:pPr>
        <w:pStyle w:val="3-BodyText"/>
        <w:rPr>
          <w:snapToGrid/>
        </w:rPr>
      </w:pPr>
      <w:r w:rsidRPr="00F04A75">
        <w:rPr>
          <w:szCs w:val="22"/>
        </w:rPr>
        <w:t xml:space="preserve">The resubmission nominated </w:t>
      </w:r>
      <w:proofErr w:type="spellStart"/>
      <w:r w:rsidRPr="00F04A75">
        <w:rPr>
          <w:szCs w:val="22"/>
        </w:rPr>
        <w:t>PBd</w:t>
      </w:r>
      <w:proofErr w:type="spellEnd"/>
      <w:r w:rsidRPr="00F04A75">
        <w:rPr>
          <w:szCs w:val="22"/>
        </w:rPr>
        <w:t xml:space="preserve"> and </w:t>
      </w:r>
      <w:proofErr w:type="spellStart"/>
      <w:r w:rsidRPr="00F04A75">
        <w:rPr>
          <w:szCs w:val="22"/>
        </w:rPr>
        <w:t>ELd</w:t>
      </w:r>
      <w:proofErr w:type="spellEnd"/>
      <w:r w:rsidRPr="00F04A75">
        <w:rPr>
          <w:szCs w:val="22"/>
        </w:rPr>
        <w:t xml:space="preserve"> as secondary and near market comparator</w:t>
      </w:r>
      <w:r w:rsidR="00212007" w:rsidRPr="00F04A75">
        <w:rPr>
          <w:szCs w:val="22"/>
        </w:rPr>
        <w:t>s</w:t>
      </w:r>
      <w:r w:rsidRPr="00F04A75">
        <w:rPr>
          <w:szCs w:val="22"/>
        </w:rPr>
        <w:t xml:space="preserve"> respectively. </w:t>
      </w:r>
      <w:r w:rsidRPr="00F04A75">
        <w:rPr>
          <w:snapToGrid/>
          <w:color w:val="000000" w:themeColor="text1"/>
        </w:rPr>
        <w:t>At the time of the resubmission, these represented the most recent therapies to be PBS listed (</w:t>
      </w:r>
      <w:proofErr w:type="spellStart"/>
      <w:r w:rsidRPr="00F04A75">
        <w:rPr>
          <w:snapToGrid/>
          <w:color w:val="000000" w:themeColor="text1"/>
        </w:rPr>
        <w:t>PBd</w:t>
      </w:r>
      <w:proofErr w:type="spellEnd"/>
      <w:r w:rsidRPr="00F04A75">
        <w:rPr>
          <w:snapToGrid/>
          <w:color w:val="000000" w:themeColor="text1"/>
        </w:rPr>
        <w:t>) and recommended for listing (</w:t>
      </w:r>
      <w:proofErr w:type="spellStart"/>
      <w:r w:rsidRPr="00F04A75">
        <w:rPr>
          <w:snapToGrid/>
          <w:color w:val="000000" w:themeColor="text1"/>
        </w:rPr>
        <w:t>ELd</w:t>
      </w:r>
      <w:proofErr w:type="spellEnd"/>
      <w:r w:rsidRPr="00F04A75">
        <w:rPr>
          <w:snapToGrid/>
          <w:color w:val="000000" w:themeColor="text1"/>
        </w:rPr>
        <w:t>) for the treatment of RRMM. Th</w:t>
      </w:r>
      <w:r w:rsidR="00BB2122" w:rsidRPr="00F04A75">
        <w:rPr>
          <w:snapToGrid/>
          <w:color w:val="000000" w:themeColor="text1"/>
        </w:rPr>
        <w:t xml:space="preserve">e </w:t>
      </w:r>
      <w:r w:rsidR="007411D8" w:rsidRPr="00F04A75">
        <w:rPr>
          <w:snapToGrid/>
          <w:color w:val="000000" w:themeColor="text1"/>
        </w:rPr>
        <w:t>PBAC</w:t>
      </w:r>
      <w:r w:rsidR="00BB2122" w:rsidRPr="00F04A75">
        <w:rPr>
          <w:snapToGrid/>
          <w:color w:val="000000" w:themeColor="text1"/>
        </w:rPr>
        <w:t xml:space="preserve"> </w:t>
      </w:r>
      <w:r w:rsidR="00D86B61" w:rsidRPr="00F04A75">
        <w:rPr>
          <w:snapToGrid/>
          <w:color w:val="000000" w:themeColor="text1"/>
        </w:rPr>
        <w:t xml:space="preserve">considered the nomination of </w:t>
      </w:r>
      <w:proofErr w:type="spellStart"/>
      <w:r w:rsidR="00BB2122" w:rsidRPr="00F04A75">
        <w:rPr>
          <w:snapToGrid/>
          <w:color w:val="000000" w:themeColor="text1"/>
        </w:rPr>
        <w:t>PBd</w:t>
      </w:r>
      <w:proofErr w:type="spellEnd"/>
      <w:r w:rsidR="00BB2122" w:rsidRPr="00F04A75">
        <w:rPr>
          <w:snapToGrid/>
          <w:color w:val="000000" w:themeColor="text1"/>
        </w:rPr>
        <w:t xml:space="preserve"> </w:t>
      </w:r>
      <w:r w:rsidR="005863DC">
        <w:rPr>
          <w:snapToGrid/>
          <w:color w:val="000000" w:themeColor="text1"/>
        </w:rPr>
        <w:t xml:space="preserve">as a secondary comparator </w:t>
      </w:r>
      <w:r w:rsidR="00BB2122" w:rsidRPr="00F04A75">
        <w:rPr>
          <w:snapToGrid/>
          <w:color w:val="000000" w:themeColor="text1"/>
        </w:rPr>
        <w:t xml:space="preserve">and </w:t>
      </w:r>
      <w:proofErr w:type="spellStart"/>
      <w:r w:rsidR="00BB2122" w:rsidRPr="00F04A75">
        <w:rPr>
          <w:snapToGrid/>
          <w:color w:val="000000" w:themeColor="text1"/>
        </w:rPr>
        <w:t>ELd</w:t>
      </w:r>
      <w:proofErr w:type="spellEnd"/>
      <w:r w:rsidR="00BB2122" w:rsidRPr="00F04A75">
        <w:rPr>
          <w:snapToGrid/>
          <w:color w:val="000000" w:themeColor="text1"/>
        </w:rPr>
        <w:t xml:space="preserve"> </w:t>
      </w:r>
      <w:r w:rsidR="00D86B61" w:rsidRPr="00F04A75">
        <w:rPr>
          <w:snapToGrid/>
          <w:color w:val="000000" w:themeColor="text1"/>
        </w:rPr>
        <w:t xml:space="preserve">as </w:t>
      </w:r>
      <w:r w:rsidR="005863DC">
        <w:rPr>
          <w:snapToGrid/>
          <w:color w:val="000000" w:themeColor="text1"/>
        </w:rPr>
        <w:t xml:space="preserve">a </w:t>
      </w:r>
      <w:r w:rsidR="00D86B61" w:rsidRPr="00F04A75">
        <w:rPr>
          <w:snapToGrid/>
          <w:color w:val="000000" w:themeColor="text1"/>
        </w:rPr>
        <w:t xml:space="preserve">near market comparator was </w:t>
      </w:r>
      <w:r w:rsidRPr="00F04A75">
        <w:rPr>
          <w:snapToGrid/>
          <w:color w:val="000000" w:themeColor="text1"/>
        </w:rPr>
        <w:t>reasonable</w:t>
      </w:r>
      <w:r w:rsidRPr="00F04A75">
        <w:rPr>
          <w:snapToGrid/>
        </w:rPr>
        <w:t xml:space="preserve">. </w:t>
      </w:r>
    </w:p>
    <w:p w14:paraId="30631DF7" w14:textId="50E285C8" w:rsidR="00A05E89" w:rsidRPr="00F04A75" w:rsidRDefault="00F97782" w:rsidP="00A05E89">
      <w:pPr>
        <w:pStyle w:val="3-BodyText"/>
        <w:rPr>
          <w:snapToGrid/>
        </w:rPr>
      </w:pPr>
      <w:r w:rsidRPr="00F04A75">
        <w:rPr>
          <w:snapToGrid/>
        </w:rPr>
        <w:t xml:space="preserve">The </w:t>
      </w:r>
      <w:r w:rsidR="00D86B61" w:rsidRPr="00F04A75">
        <w:rPr>
          <w:snapToGrid/>
        </w:rPr>
        <w:t xml:space="preserve">ESC noted that the </w:t>
      </w:r>
      <w:r w:rsidRPr="00F04A75">
        <w:rPr>
          <w:snapToGrid/>
        </w:rPr>
        <w:t>CMA presented by the resubmission was conducted based on the primary comparator Cd only</w:t>
      </w:r>
      <w:r w:rsidR="00D86B61" w:rsidRPr="00F04A75">
        <w:rPr>
          <w:snapToGrid/>
        </w:rPr>
        <w:t>, while t</w:t>
      </w:r>
      <w:r w:rsidRPr="00F04A75">
        <w:rPr>
          <w:snapToGrid/>
        </w:rPr>
        <w:t xml:space="preserve">he </w:t>
      </w:r>
      <w:r w:rsidR="00D86B61" w:rsidRPr="00F04A75">
        <w:rPr>
          <w:snapToGrid/>
        </w:rPr>
        <w:t xml:space="preserve">financial estimates presented by the resubmission </w:t>
      </w:r>
      <w:r w:rsidRPr="00F04A75">
        <w:rPr>
          <w:snapToGrid/>
        </w:rPr>
        <w:t xml:space="preserve">assumed </w:t>
      </w:r>
      <w:r w:rsidR="00B63663" w:rsidRPr="00F04A75">
        <w:rPr>
          <w:snapToGrid/>
        </w:rPr>
        <w:t xml:space="preserve">different </w:t>
      </w:r>
      <w:r w:rsidRPr="00F04A75">
        <w:rPr>
          <w:snapToGrid/>
        </w:rPr>
        <w:t>scenario</w:t>
      </w:r>
      <w:r w:rsidR="00B63663" w:rsidRPr="00F04A75">
        <w:rPr>
          <w:snapToGrid/>
        </w:rPr>
        <w:t>s in which</w:t>
      </w:r>
      <w:r w:rsidRPr="00F04A75">
        <w:rPr>
          <w:snapToGrid/>
        </w:rPr>
        <w:t xml:space="preserve"> </w:t>
      </w:r>
      <w:proofErr w:type="spellStart"/>
      <w:r w:rsidRPr="00F04A75">
        <w:rPr>
          <w:snapToGrid/>
        </w:rPr>
        <w:t>C</w:t>
      </w:r>
      <w:r w:rsidR="006C1D50" w:rsidRPr="00F04A75">
        <w:rPr>
          <w:snapToGrid/>
        </w:rPr>
        <w:t>L</w:t>
      </w:r>
      <w:r w:rsidRPr="00F04A75">
        <w:rPr>
          <w:snapToGrid/>
        </w:rPr>
        <w:t>d</w:t>
      </w:r>
      <w:proofErr w:type="spellEnd"/>
      <w:r w:rsidRPr="00F04A75">
        <w:rPr>
          <w:snapToGrid/>
        </w:rPr>
        <w:t xml:space="preserve">, Cd, </w:t>
      </w:r>
      <w:proofErr w:type="spellStart"/>
      <w:r w:rsidRPr="00F04A75">
        <w:rPr>
          <w:snapToGrid/>
        </w:rPr>
        <w:t>PBd</w:t>
      </w:r>
      <w:proofErr w:type="spellEnd"/>
      <w:r w:rsidRPr="00F04A75">
        <w:rPr>
          <w:snapToGrid/>
        </w:rPr>
        <w:t xml:space="preserve"> and </w:t>
      </w:r>
      <w:proofErr w:type="spellStart"/>
      <w:r w:rsidRPr="00F04A75">
        <w:rPr>
          <w:snapToGrid/>
        </w:rPr>
        <w:t>E</w:t>
      </w:r>
      <w:r w:rsidR="006C1D50" w:rsidRPr="00F04A75">
        <w:rPr>
          <w:snapToGrid/>
        </w:rPr>
        <w:t>L</w:t>
      </w:r>
      <w:r w:rsidRPr="00F04A75">
        <w:rPr>
          <w:snapToGrid/>
        </w:rPr>
        <w:t>d</w:t>
      </w:r>
      <w:proofErr w:type="spellEnd"/>
      <w:r w:rsidRPr="00F04A75">
        <w:rPr>
          <w:snapToGrid/>
        </w:rPr>
        <w:t xml:space="preserve"> were available. </w:t>
      </w:r>
    </w:p>
    <w:p w14:paraId="1EF2D37E" w14:textId="1F12D431" w:rsidR="00A05E89" w:rsidRPr="00F04A75" w:rsidRDefault="00A05E89" w:rsidP="00A05E89">
      <w:pPr>
        <w:pStyle w:val="3-BodyText"/>
        <w:numPr>
          <w:ilvl w:val="0"/>
          <w:numId w:val="0"/>
        </w:numPr>
        <w:ind w:left="720"/>
        <w:rPr>
          <w:i/>
          <w:iCs/>
          <w:snapToGrid/>
        </w:rPr>
      </w:pPr>
      <w:r w:rsidRPr="00F04A75">
        <w:rPr>
          <w:i/>
          <w:iCs/>
        </w:rPr>
        <w:t>For more detail on PBAC’s view, see section 7 PBAC outcome.</w:t>
      </w:r>
    </w:p>
    <w:p w14:paraId="036413CD" w14:textId="77777777" w:rsidR="00F97782" w:rsidRPr="00F04A75" w:rsidRDefault="00F97782" w:rsidP="000E4A22">
      <w:pPr>
        <w:pStyle w:val="2-SectionHeading"/>
      </w:pPr>
      <w:bookmarkStart w:id="23" w:name="_Toc90455923"/>
      <w:bookmarkStart w:id="24" w:name="_Toc93412427"/>
      <w:r w:rsidRPr="00F04A75">
        <w:t>Consideration of the evidence</w:t>
      </w:r>
      <w:bookmarkEnd w:id="23"/>
      <w:bookmarkEnd w:id="24"/>
    </w:p>
    <w:p w14:paraId="7713561F" w14:textId="77777777" w:rsidR="00A05E89" w:rsidRPr="00F04A75" w:rsidRDefault="00A05E89" w:rsidP="00A05E89">
      <w:pPr>
        <w:pStyle w:val="4-SubsectionHeading"/>
      </w:pPr>
      <w:bookmarkStart w:id="25" w:name="_Hlk76375935"/>
      <w:bookmarkStart w:id="26" w:name="_Toc90455924"/>
      <w:bookmarkStart w:id="27" w:name="_Toc93412428"/>
      <w:r w:rsidRPr="00F04A75">
        <w:t>Sponsor hearing</w:t>
      </w:r>
    </w:p>
    <w:p w14:paraId="3BDBCD23" w14:textId="7456B0A3" w:rsidR="00A05E89" w:rsidRPr="00F04A75" w:rsidRDefault="00A05E89" w:rsidP="000C5072">
      <w:pPr>
        <w:pStyle w:val="3-BodyText"/>
        <w:widowControl w:val="0"/>
        <w:rPr>
          <w:bCs/>
        </w:rPr>
      </w:pPr>
      <w:bookmarkStart w:id="28" w:name="_Hlk76382586"/>
      <w:r w:rsidRPr="00F04A75">
        <w:t xml:space="preserve">The sponsor requested a hearing for this item.  The </w:t>
      </w:r>
      <w:r w:rsidR="009C3C47" w:rsidRPr="00F04A75">
        <w:t xml:space="preserve">hearing discussed the sponsor’s request </w:t>
      </w:r>
      <w:r w:rsidR="009C3C47" w:rsidRPr="00F04A75">
        <w:rPr>
          <w:bCs/>
        </w:rPr>
        <w:t xml:space="preserve">to increase the RSA expenditure caps for carfilzomib to accommodate the treatment regimens that have been cost minimised to Cd and recommended to join the Cd RSA. </w:t>
      </w:r>
      <w:r w:rsidR="007411D8" w:rsidRPr="00F04A75">
        <w:rPr>
          <w:bCs/>
        </w:rPr>
        <w:t xml:space="preserve">The sponsor representative described that the current caps were not intended to reflect the overall market, and that financial estimates of the market provided in the </w:t>
      </w:r>
      <w:r w:rsidR="007C3253">
        <w:rPr>
          <w:bCs/>
        </w:rPr>
        <w:t>re</w:t>
      </w:r>
      <w:r w:rsidR="007411D8" w:rsidRPr="00F04A75">
        <w:rPr>
          <w:bCs/>
        </w:rPr>
        <w:t>submission were developed based on utilisation data</w:t>
      </w:r>
      <w:r w:rsidR="003F7206">
        <w:rPr>
          <w:bCs/>
        </w:rPr>
        <w:t xml:space="preserve"> of</w:t>
      </w:r>
      <w:r w:rsidR="007411D8" w:rsidRPr="00F04A75">
        <w:rPr>
          <w:bCs/>
        </w:rPr>
        <w:t xml:space="preserve"> </w:t>
      </w:r>
      <w:r w:rsidR="003F7206" w:rsidRPr="00F04A75">
        <w:rPr>
          <w:rFonts w:eastAsia="Batang" w:cstheme="minorHAnsi"/>
          <w:szCs w:val="22"/>
        </w:rPr>
        <w:t xml:space="preserve">the prevalent patient lines </w:t>
      </w:r>
      <w:r w:rsidR="007411D8" w:rsidRPr="00F04A75">
        <w:rPr>
          <w:bCs/>
        </w:rPr>
        <w:t>obtained from the DUSC Secretariat</w:t>
      </w:r>
      <w:r w:rsidR="003F7206">
        <w:rPr>
          <w:rFonts w:eastAsia="Batang" w:cstheme="minorHAnsi"/>
          <w:szCs w:val="22"/>
        </w:rPr>
        <w:t xml:space="preserve"> and the sponsor’s projected market share</w:t>
      </w:r>
      <w:r w:rsidR="007411D8" w:rsidRPr="00F04A75">
        <w:rPr>
          <w:bCs/>
        </w:rPr>
        <w:t xml:space="preserve">.  It was also stated that there is a risk that other triplet therapies will be unable to list if the caps are not </w:t>
      </w:r>
      <w:r w:rsidR="007C3253">
        <w:rPr>
          <w:bCs/>
        </w:rPr>
        <w:t>increased</w:t>
      </w:r>
      <w:r w:rsidR="007411D8" w:rsidRPr="00F04A75">
        <w:rPr>
          <w:bCs/>
        </w:rPr>
        <w:t>.</w:t>
      </w:r>
    </w:p>
    <w:bookmarkEnd w:id="28"/>
    <w:p w14:paraId="71B3B263" w14:textId="77777777" w:rsidR="00A05E89" w:rsidRPr="00F04A75" w:rsidRDefault="00A05E89" w:rsidP="00A05E89">
      <w:pPr>
        <w:pStyle w:val="4-SubsectionHeading"/>
      </w:pPr>
      <w:r w:rsidRPr="00F04A75">
        <w:t>Consumer comments</w:t>
      </w:r>
    </w:p>
    <w:p w14:paraId="4BAC8E16" w14:textId="2C47529E" w:rsidR="00CC2570" w:rsidRPr="00F04A75" w:rsidRDefault="00A05E89" w:rsidP="00E03022">
      <w:pPr>
        <w:widowControl w:val="0"/>
        <w:numPr>
          <w:ilvl w:val="1"/>
          <w:numId w:val="1"/>
        </w:numPr>
        <w:spacing w:after="120"/>
        <w:rPr>
          <w:rFonts w:asciiTheme="minorHAnsi" w:hAnsiTheme="minorHAnsi"/>
          <w:bCs/>
          <w:snapToGrid w:val="0"/>
        </w:rPr>
      </w:pPr>
      <w:bookmarkStart w:id="29" w:name="_Hlk76382618"/>
      <w:r w:rsidRPr="00F04A75">
        <w:rPr>
          <w:rFonts w:asciiTheme="minorHAnsi" w:hAnsiTheme="minorHAnsi"/>
          <w:bCs/>
          <w:snapToGrid w:val="0"/>
        </w:rPr>
        <w:t>The PBAC noted and welcomed the input from individuals (</w:t>
      </w:r>
      <w:r w:rsidR="00CE4B6C" w:rsidRPr="00F04A75">
        <w:rPr>
          <w:rFonts w:asciiTheme="minorHAnsi" w:hAnsiTheme="minorHAnsi"/>
          <w:bCs/>
          <w:snapToGrid w:val="0"/>
        </w:rPr>
        <w:t>12</w:t>
      </w:r>
      <w:r w:rsidRPr="00F04A75">
        <w:rPr>
          <w:rFonts w:asciiTheme="minorHAnsi" w:hAnsiTheme="minorHAnsi"/>
          <w:bCs/>
          <w:snapToGrid w:val="0"/>
        </w:rPr>
        <w:t>) and organisations (</w:t>
      </w:r>
      <w:r w:rsidR="00CE4B6C" w:rsidRPr="00F04A75">
        <w:rPr>
          <w:rFonts w:asciiTheme="minorHAnsi" w:hAnsiTheme="minorHAnsi"/>
          <w:bCs/>
          <w:snapToGrid w:val="0"/>
        </w:rPr>
        <w:t>3</w:t>
      </w:r>
      <w:r w:rsidRPr="00F04A75">
        <w:rPr>
          <w:rFonts w:asciiTheme="minorHAnsi" w:hAnsiTheme="minorHAnsi"/>
          <w:bCs/>
          <w:snapToGrid w:val="0"/>
        </w:rPr>
        <w:t>) via the Consumer Comments facility on the PBS website.  The comments described</w:t>
      </w:r>
      <w:r w:rsidR="00144D92" w:rsidRPr="00F04A75">
        <w:rPr>
          <w:rFonts w:asciiTheme="minorHAnsi" w:hAnsiTheme="minorHAnsi"/>
          <w:bCs/>
          <w:snapToGrid w:val="0"/>
        </w:rPr>
        <w:t xml:space="preserve"> the impact of multiple myeloma on patients and their families, and </w:t>
      </w:r>
      <w:r w:rsidR="00A74B91" w:rsidRPr="00F04A75">
        <w:rPr>
          <w:rFonts w:asciiTheme="minorHAnsi" w:hAnsiTheme="minorHAnsi"/>
          <w:bCs/>
          <w:snapToGrid w:val="0"/>
        </w:rPr>
        <w:t xml:space="preserve">a desire for access to </w:t>
      </w:r>
      <w:r w:rsidR="00144D92" w:rsidRPr="00F04A75">
        <w:rPr>
          <w:rFonts w:asciiTheme="minorHAnsi" w:hAnsiTheme="minorHAnsi"/>
          <w:bCs/>
          <w:snapToGrid w:val="0"/>
        </w:rPr>
        <w:t xml:space="preserve">additional treatments </w:t>
      </w:r>
      <w:r w:rsidR="00C33E65" w:rsidRPr="00F04A75">
        <w:rPr>
          <w:rFonts w:asciiTheme="minorHAnsi" w:hAnsiTheme="minorHAnsi"/>
          <w:bCs/>
          <w:snapToGrid w:val="0"/>
        </w:rPr>
        <w:t>for patients with RRMM.</w:t>
      </w:r>
    </w:p>
    <w:p w14:paraId="543BAB7C" w14:textId="1D6B6FE1" w:rsidR="00A74B91" w:rsidRPr="00F04A75" w:rsidRDefault="00CC2570" w:rsidP="00E03022">
      <w:pPr>
        <w:widowControl w:val="0"/>
        <w:numPr>
          <w:ilvl w:val="1"/>
          <w:numId w:val="1"/>
        </w:numPr>
        <w:spacing w:after="120"/>
        <w:rPr>
          <w:rFonts w:asciiTheme="minorHAnsi" w:hAnsiTheme="minorHAnsi"/>
          <w:bCs/>
          <w:snapToGrid w:val="0"/>
        </w:rPr>
      </w:pPr>
      <w:r w:rsidRPr="00F04A75">
        <w:rPr>
          <w:rFonts w:asciiTheme="minorHAnsi" w:hAnsiTheme="minorHAnsi"/>
          <w:bCs/>
          <w:snapToGrid w:val="0"/>
        </w:rPr>
        <w:t xml:space="preserve">The PBAC noted the </w:t>
      </w:r>
      <w:r w:rsidR="00FD1312" w:rsidRPr="00F04A75">
        <w:rPr>
          <w:rFonts w:asciiTheme="minorHAnsi" w:hAnsiTheme="minorHAnsi"/>
          <w:bCs/>
          <w:snapToGrid w:val="0"/>
        </w:rPr>
        <w:t>comments</w:t>
      </w:r>
      <w:r w:rsidRPr="00F04A75">
        <w:rPr>
          <w:rFonts w:asciiTheme="minorHAnsi" w:hAnsiTheme="minorHAnsi"/>
          <w:bCs/>
          <w:snapToGrid w:val="0"/>
        </w:rPr>
        <w:t xml:space="preserve"> from </w:t>
      </w:r>
      <w:r w:rsidRPr="00F04A75">
        <w:t xml:space="preserve">Myeloma Australia’s Medical and Scientific Advisory Group (MSAG), which supported the proposed listing of </w:t>
      </w:r>
      <w:proofErr w:type="spellStart"/>
      <w:r w:rsidRPr="00F04A75">
        <w:t>CLd</w:t>
      </w:r>
      <w:proofErr w:type="spellEnd"/>
      <w:r w:rsidRPr="00F04A75">
        <w:t xml:space="preserve"> </w:t>
      </w:r>
      <w:proofErr w:type="gramStart"/>
      <w:r w:rsidRPr="00F04A75">
        <w:t>on the basis of</w:t>
      </w:r>
      <w:proofErr w:type="gramEnd"/>
      <w:r w:rsidRPr="00F04A75">
        <w:t xml:space="preserve"> the safety and efficacy results from the ASPIRE trial.  The PBAC noted the </w:t>
      </w:r>
      <w:r w:rsidR="00FD1312" w:rsidRPr="00F04A75">
        <w:t>comments</w:t>
      </w:r>
      <w:r w:rsidRPr="00F04A75">
        <w:t xml:space="preserve"> </w:t>
      </w:r>
      <w:r w:rsidR="000D51A1" w:rsidRPr="00F04A75">
        <w:t>from</w:t>
      </w:r>
      <w:r w:rsidRPr="00F04A75">
        <w:t xml:space="preserve"> </w:t>
      </w:r>
      <w:r w:rsidR="00A74B91" w:rsidRPr="00F04A75">
        <w:rPr>
          <w:rFonts w:asciiTheme="minorHAnsi" w:hAnsiTheme="minorHAnsi"/>
          <w:bCs/>
          <w:snapToGrid w:val="0"/>
        </w:rPr>
        <w:t>Myeloma Australia</w:t>
      </w:r>
      <w:r w:rsidRPr="00F04A75">
        <w:rPr>
          <w:rFonts w:asciiTheme="minorHAnsi" w:hAnsiTheme="minorHAnsi"/>
          <w:bCs/>
          <w:snapToGrid w:val="0"/>
        </w:rPr>
        <w:t xml:space="preserve">, which </w:t>
      </w:r>
      <w:r w:rsidR="00FD1312" w:rsidRPr="00F04A75">
        <w:rPr>
          <w:rFonts w:asciiTheme="minorHAnsi" w:hAnsiTheme="minorHAnsi"/>
          <w:bCs/>
          <w:snapToGrid w:val="0"/>
        </w:rPr>
        <w:t>strongly</w:t>
      </w:r>
      <w:r w:rsidRPr="00F04A75">
        <w:rPr>
          <w:rFonts w:asciiTheme="minorHAnsi" w:hAnsiTheme="minorHAnsi"/>
          <w:bCs/>
          <w:snapToGrid w:val="0"/>
        </w:rPr>
        <w:t xml:space="preserve"> support</w:t>
      </w:r>
      <w:r w:rsidR="00FD1312" w:rsidRPr="00F04A75">
        <w:rPr>
          <w:rFonts w:asciiTheme="minorHAnsi" w:hAnsiTheme="minorHAnsi"/>
          <w:bCs/>
          <w:snapToGrid w:val="0"/>
        </w:rPr>
        <w:t>ed</w:t>
      </w:r>
      <w:r w:rsidRPr="00F04A75">
        <w:rPr>
          <w:rFonts w:asciiTheme="minorHAnsi" w:hAnsiTheme="minorHAnsi"/>
          <w:bCs/>
          <w:snapToGrid w:val="0"/>
        </w:rPr>
        <w:t xml:space="preserve"> the proposed listing</w:t>
      </w:r>
      <w:r w:rsidR="00C9125F" w:rsidRPr="00F04A75">
        <w:rPr>
          <w:rFonts w:asciiTheme="minorHAnsi" w:hAnsiTheme="minorHAnsi"/>
          <w:bCs/>
          <w:snapToGrid w:val="0"/>
        </w:rPr>
        <w:t xml:space="preserve"> and </w:t>
      </w:r>
      <w:r w:rsidR="00C9125F" w:rsidRPr="00F04A75">
        <w:rPr>
          <w:rFonts w:asciiTheme="minorHAnsi" w:hAnsiTheme="minorHAnsi"/>
          <w:bCs/>
          <w:snapToGrid w:val="0"/>
        </w:rPr>
        <w:lastRenderedPageBreak/>
        <w:t>highlighted the importance of providing patients with the best possible opportunity to achieve and stay in remission</w:t>
      </w:r>
      <w:r w:rsidR="00FD1312" w:rsidRPr="00F04A75">
        <w:rPr>
          <w:rFonts w:asciiTheme="minorHAnsi" w:hAnsiTheme="minorHAnsi"/>
          <w:bCs/>
          <w:snapToGrid w:val="0"/>
        </w:rPr>
        <w:t xml:space="preserve">.  The PBAC noted the comments from </w:t>
      </w:r>
      <w:r w:rsidR="000D51A1" w:rsidRPr="00F04A75">
        <w:rPr>
          <w:rFonts w:asciiTheme="minorHAnsi" w:hAnsiTheme="minorHAnsi"/>
          <w:bCs/>
          <w:snapToGrid w:val="0"/>
        </w:rPr>
        <w:t>the Leukemia Foundation</w:t>
      </w:r>
      <w:r w:rsidR="00CF622A" w:rsidRPr="00F04A75">
        <w:rPr>
          <w:rFonts w:asciiTheme="minorHAnsi" w:hAnsiTheme="minorHAnsi"/>
          <w:bCs/>
          <w:snapToGrid w:val="0"/>
        </w:rPr>
        <w:t xml:space="preserve"> in support of the proposed listing.  The PBAC also noted the </w:t>
      </w:r>
      <w:r w:rsidR="00FD1312" w:rsidRPr="00F04A75">
        <w:rPr>
          <w:rFonts w:asciiTheme="minorHAnsi" w:hAnsiTheme="minorHAnsi"/>
          <w:bCs/>
          <w:snapToGrid w:val="0"/>
        </w:rPr>
        <w:t>input</w:t>
      </w:r>
      <w:r w:rsidR="000D51A1" w:rsidRPr="00F04A75">
        <w:rPr>
          <w:rFonts w:asciiTheme="minorHAnsi" w:hAnsiTheme="minorHAnsi"/>
          <w:bCs/>
          <w:snapToGrid w:val="0"/>
        </w:rPr>
        <w:t xml:space="preserve"> from consumers with personal experience with carfilzomib treatment</w:t>
      </w:r>
      <w:r w:rsidR="00CF622A" w:rsidRPr="00F04A75">
        <w:rPr>
          <w:rFonts w:asciiTheme="minorHAnsi" w:hAnsiTheme="minorHAnsi"/>
          <w:bCs/>
          <w:snapToGrid w:val="0"/>
        </w:rPr>
        <w:t xml:space="preserve"> contained in the Leukemia Foundation submission, and that some cases of cardiac toxicity were reported in this sample.</w:t>
      </w:r>
    </w:p>
    <w:bookmarkEnd w:id="25"/>
    <w:bookmarkEnd w:id="29"/>
    <w:p w14:paraId="315854AC" w14:textId="77777777" w:rsidR="00F97782" w:rsidRPr="00F04A75" w:rsidRDefault="00F97782" w:rsidP="0016658B">
      <w:pPr>
        <w:pStyle w:val="4-SubsectionHeading"/>
      </w:pPr>
      <w:r w:rsidRPr="00F04A75">
        <w:t>Clinical trials</w:t>
      </w:r>
      <w:bookmarkEnd w:id="26"/>
      <w:bookmarkEnd w:id="27"/>
    </w:p>
    <w:p w14:paraId="24B522FA" w14:textId="77777777" w:rsidR="00F97782" w:rsidRPr="00F04A75" w:rsidRDefault="00F97782" w:rsidP="0016658B">
      <w:pPr>
        <w:pStyle w:val="3-BodyText"/>
        <w:rPr>
          <w:color w:val="0066FF"/>
        </w:rPr>
      </w:pPr>
      <w:r w:rsidRPr="00F04A75">
        <w:rPr>
          <w:snapToGrid/>
        </w:rPr>
        <w:t xml:space="preserve">The resubmission presented three ITCs comparing </w:t>
      </w:r>
      <w:proofErr w:type="spellStart"/>
      <w:r w:rsidRPr="00F04A75">
        <w:rPr>
          <w:snapToGrid/>
        </w:rPr>
        <w:t>CLd</w:t>
      </w:r>
      <w:proofErr w:type="spellEnd"/>
      <w:r w:rsidRPr="00F04A75">
        <w:rPr>
          <w:snapToGrid/>
        </w:rPr>
        <w:t xml:space="preserve"> with Cd, </w:t>
      </w:r>
      <w:proofErr w:type="spellStart"/>
      <w:r w:rsidRPr="00F04A75">
        <w:rPr>
          <w:snapToGrid/>
        </w:rPr>
        <w:t>PBd</w:t>
      </w:r>
      <w:proofErr w:type="spellEnd"/>
      <w:r w:rsidRPr="00F04A75">
        <w:rPr>
          <w:snapToGrid/>
        </w:rPr>
        <w:t xml:space="preserve"> and </w:t>
      </w:r>
      <w:proofErr w:type="spellStart"/>
      <w:r w:rsidRPr="00F04A75">
        <w:rPr>
          <w:snapToGrid/>
        </w:rPr>
        <w:t>ELd</w:t>
      </w:r>
      <w:proofErr w:type="spellEnd"/>
      <w:r w:rsidRPr="00F04A75">
        <w:rPr>
          <w:snapToGrid/>
        </w:rPr>
        <w:t xml:space="preserve">. </w:t>
      </w:r>
    </w:p>
    <w:p w14:paraId="540B9827" w14:textId="165E9B84" w:rsidR="00212007" w:rsidRPr="00F04A75" w:rsidRDefault="00F97782" w:rsidP="0016658B">
      <w:pPr>
        <w:pStyle w:val="3-BodyText"/>
        <w:rPr>
          <w:color w:val="0066FF"/>
        </w:rPr>
      </w:pPr>
      <w:r w:rsidRPr="00F04A75">
        <w:rPr>
          <w:snapToGrid/>
        </w:rPr>
        <w:t xml:space="preserve">The ITC of </w:t>
      </w:r>
      <w:proofErr w:type="spellStart"/>
      <w:r w:rsidRPr="00F04A75">
        <w:rPr>
          <w:snapToGrid/>
        </w:rPr>
        <w:t>CLd</w:t>
      </w:r>
      <w:proofErr w:type="spellEnd"/>
      <w:r w:rsidRPr="00F04A75">
        <w:rPr>
          <w:snapToGrid/>
        </w:rPr>
        <w:t xml:space="preserve"> and Cd was informed by two randomised controlled trials (RCTs): ASPIRE </w:t>
      </w:r>
      <w:r w:rsidR="00BF3EDB" w:rsidRPr="00F04A75">
        <w:rPr>
          <w:snapToGrid/>
        </w:rPr>
        <w:t xml:space="preserve">which </w:t>
      </w:r>
      <w:r w:rsidRPr="00F04A75">
        <w:rPr>
          <w:snapToGrid/>
        </w:rPr>
        <w:t>compar</w:t>
      </w:r>
      <w:r w:rsidR="00BF3EDB" w:rsidRPr="00F04A75">
        <w:rPr>
          <w:snapToGrid/>
        </w:rPr>
        <w:t>ed</w:t>
      </w:r>
      <w:r w:rsidRPr="00F04A75">
        <w:rPr>
          <w:snapToGrid/>
        </w:rPr>
        <w:t xml:space="preserve"> </w:t>
      </w:r>
      <w:proofErr w:type="spellStart"/>
      <w:r w:rsidRPr="00F04A75">
        <w:rPr>
          <w:snapToGrid/>
        </w:rPr>
        <w:t>CLd</w:t>
      </w:r>
      <w:proofErr w:type="spellEnd"/>
      <w:r w:rsidRPr="00F04A75">
        <w:rPr>
          <w:snapToGrid/>
        </w:rPr>
        <w:t xml:space="preserve"> with </w:t>
      </w:r>
      <w:proofErr w:type="spellStart"/>
      <w:r w:rsidRPr="00F04A75">
        <w:rPr>
          <w:snapToGrid/>
        </w:rPr>
        <w:t>Ld</w:t>
      </w:r>
      <w:proofErr w:type="spellEnd"/>
      <w:r w:rsidRPr="00F04A75">
        <w:rPr>
          <w:snapToGrid/>
        </w:rPr>
        <w:t xml:space="preserve"> (N=792) and ENDEAVOR</w:t>
      </w:r>
      <w:r w:rsidR="00BF3EDB" w:rsidRPr="00F04A75">
        <w:rPr>
          <w:snapToGrid/>
        </w:rPr>
        <w:t xml:space="preserve"> which </w:t>
      </w:r>
      <w:r w:rsidRPr="00F04A75">
        <w:rPr>
          <w:snapToGrid/>
        </w:rPr>
        <w:t>compar</w:t>
      </w:r>
      <w:r w:rsidR="00BF3EDB" w:rsidRPr="00F04A75">
        <w:rPr>
          <w:snapToGrid/>
        </w:rPr>
        <w:t>ed</w:t>
      </w:r>
      <w:r w:rsidRPr="00F04A75">
        <w:rPr>
          <w:snapToGrid/>
        </w:rPr>
        <w:t xml:space="preserve"> Cd with Bd (N=929).</w:t>
      </w:r>
      <w:r w:rsidRPr="00F04A75">
        <w:t xml:space="preserve"> </w:t>
      </w:r>
      <w:r w:rsidRPr="00F04A75">
        <w:rPr>
          <w:snapToGrid/>
        </w:rPr>
        <w:t xml:space="preserve">In forming this comparison, the </w:t>
      </w:r>
      <w:r w:rsidR="00C007E5" w:rsidRPr="00F04A75">
        <w:rPr>
          <w:snapToGrid/>
        </w:rPr>
        <w:t>re</w:t>
      </w:r>
      <w:r w:rsidRPr="00F04A75">
        <w:rPr>
          <w:snapToGrid/>
        </w:rPr>
        <w:t xml:space="preserve">submission utilised </w:t>
      </w:r>
      <w:proofErr w:type="spellStart"/>
      <w:r w:rsidRPr="00F04A75">
        <w:t>Ld</w:t>
      </w:r>
      <w:proofErr w:type="spellEnd"/>
      <w:r w:rsidRPr="00F04A75">
        <w:t xml:space="preserve"> and Bd as the common reference, assuming their equivalence</w:t>
      </w:r>
      <w:r w:rsidR="00C007E5" w:rsidRPr="00F04A75">
        <w:t xml:space="preserve"> and </w:t>
      </w:r>
      <w:r w:rsidRPr="00F04A75">
        <w:rPr>
          <w:color w:val="000000" w:themeColor="text1"/>
        </w:rPr>
        <w:t xml:space="preserve">did not adjust for any potential difference in their outcomes. </w:t>
      </w:r>
      <w:r w:rsidRPr="00F04A75">
        <w:rPr>
          <w:snapToGrid/>
        </w:rPr>
        <w:t>The PBAC has previously stated</w:t>
      </w:r>
      <w:r w:rsidR="007C3253">
        <w:rPr>
          <w:snapToGrid/>
        </w:rPr>
        <w:t xml:space="preserve"> that</w:t>
      </w:r>
      <w:r w:rsidRPr="00F04A75">
        <w:rPr>
          <w:snapToGrid/>
        </w:rPr>
        <w:t xml:space="preserve"> it may not be reasonable to assume non-inferior efficacy between </w:t>
      </w:r>
      <w:proofErr w:type="spellStart"/>
      <w:r w:rsidRPr="00F04A75">
        <w:rPr>
          <w:snapToGrid/>
        </w:rPr>
        <w:t>Ld</w:t>
      </w:r>
      <w:proofErr w:type="spellEnd"/>
      <w:r w:rsidRPr="00F04A75">
        <w:rPr>
          <w:snapToGrid/>
        </w:rPr>
        <w:t xml:space="preserve"> and Bd (paragraph 5.3, carfilzomib PSD, November 2016)</w:t>
      </w:r>
      <w:r w:rsidR="007C3253">
        <w:rPr>
          <w:snapToGrid/>
        </w:rPr>
        <w:t>, noting</w:t>
      </w:r>
      <w:r w:rsidRPr="00F04A75">
        <w:rPr>
          <w:snapToGrid/>
        </w:rPr>
        <w:t xml:space="preserve"> at the time of considering </w:t>
      </w:r>
      <w:proofErr w:type="spellStart"/>
      <w:r w:rsidRPr="00F04A75">
        <w:rPr>
          <w:snapToGrid/>
        </w:rPr>
        <w:t>Ld</w:t>
      </w:r>
      <w:proofErr w:type="spellEnd"/>
      <w:r w:rsidRPr="00F04A75">
        <w:rPr>
          <w:snapToGrid/>
        </w:rPr>
        <w:t xml:space="preserve"> versus Bd that </w:t>
      </w:r>
      <w:r w:rsidR="00C007E5" w:rsidRPr="00F04A75">
        <w:rPr>
          <w:snapToGrid/>
        </w:rPr>
        <w:t>overall survival (</w:t>
      </w:r>
      <w:r w:rsidRPr="00F04A75">
        <w:rPr>
          <w:snapToGrid/>
        </w:rPr>
        <w:t>OS</w:t>
      </w:r>
      <w:r w:rsidR="00C007E5" w:rsidRPr="00F04A75">
        <w:rPr>
          <w:snapToGrid/>
        </w:rPr>
        <w:t>)</w:t>
      </w:r>
      <w:r w:rsidRPr="00F04A75">
        <w:rPr>
          <w:snapToGrid/>
        </w:rPr>
        <w:t xml:space="preserve"> may possibl</w:t>
      </w:r>
      <w:r w:rsidR="00C007E5" w:rsidRPr="00F04A75">
        <w:rPr>
          <w:snapToGrid/>
        </w:rPr>
        <w:t>y</w:t>
      </w:r>
      <w:r w:rsidRPr="00F04A75">
        <w:rPr>
          <w:snapToGrid/>
        </w:rPr>
        <w:t xml:space="preserve"> favour </w:t>
      </w:r>
      <w:proofErr w:type="spellStart"/>
      <w:r w:rsidRPr="00F04A75">
        <w:rPr>
          <w:snapToGrid/>
        </w:rPr>
        <w:t>Ld</w:t>
      </w:r>
      <w:proofErr w:type="spellEnd"/>
      <w:r w:rsidRPr="00F04A75">
        <w:rPr>
          <w:snapToGrid/>
        </w:rPr>
        <w:t xml:space="preserve"> (Lenalidomide PSD, November 2008).  </w:t>
      </w:r>
    </w:p>
    <w:p w14:paraId="5BD8E702" w14:textId="77777777" w:rsidR="00F97782" w:rsidRPr="00F04A75" w:rsidRDefault="00F97782" w:rsidP="0016658B">
      <w:pPr>
        <w:pStyle w:val="3-BodyText"/>
      </w:pPr>
      <w:r w:rsidRPr="00F04A75">
        <w:rPr>
          <w:snapToGrid/>
        </w:rPr>
        <w:t xml:space="preserve">The ITC of </w:t>
      </w:r>
      <w:proofErr w:type="spellStart"/>
      <w:r w:rsidRPr="00F04A75">
        <w:rPr>
          <w:snapToGrid/>
        </w:rPr>
        <w:t>CLd</w:t>
      </w:r>
      <w:proofErr w:type="spellEnd"/>
      <w:r w:rsidRPr="00F04A75">
        <w:rPr>
          <w:snapToGrid/>
        </w:rPr>
        <w:t xml:space="preserve"> versus </w:t>
      </w:r>
      <w:proofErr w:type="spellStart"/>
      <w:r w:rsidRPr="00F04A75">
        <w:rPr>
          <w:snapToGrid/>
        </w:rPr>
        <w:t>PB</w:t>
      </w:r>
      <w:r w:rsidRPr="00F04A75">
        <w:t>d</w:t>
      </w:r>
      <w:proofErr w:type="spellEnd"/>
      <w:r w:rsidRPr="00F04A75">
        <w:t xml:space="preserve"> </w:t>
      </w:r>
      <w:r w:rsidRPr="00F04A75">
        <w:rPr>
          <w:snapToGrid/>
        </w:rPr>
        <w:t>was informed by two RCTs: ASPIRE and OPTIMISMM,</w:t>
      </w:r>
      <w:r w:rsidR="00796787" w:rsidRPr="00F04A75">
        <w:rPr>
          <w:snapToGrid/>
        </w:rPr>
        <w:t xml:space="preserve"> which</w:t>
      </w:r>
      <w:r w:rsidRPr="00F04A75">
        <w:rPr>
          <w:snapToGrid/>
        </w:rPr>
        <w:t xml:space="preserve"> compar</w:t>
      </w:r>
      <w:r w:rsidR="00796787" w:rsidRPr="00F04A75">
        <w:rPr>
          <w:snapToGrid/>
        </w:rPr>
        <w:t>ed</w:t>
      </w:r>
      <w:r w:rsidRPr="00F04A75">
        <w:rPr>
          <w:snapToGrid/>
        </w:rPr>
        <w:t xml:space="preserve"> </w:t>
      </w:r>
      <w:proofErr w:type="spellStart"/>
      <w:r w:rsidRPr="00F04A75">
        <w:rPr>
          <w:snapToGrid/>
        </w:rPr>
        <w:t>PBd</w:t>
      </w:r>
      <w:proofErr w:type="spellEnd"/>
      <w:r w:rsidRPr="00F04A75">
        <w:rPr>
          <w:snapToGrid/>
        </w:rPr>
        <w:t xml:space="preserve"> with Bd (N=559).</w:t>
      </w:r>
      <w:r w:rsidRPr="00F04A75">
        <w:t xml:space="preserve"> </w:t>
      </w:r>
      <w:r w:rsidRPr="00F04A75">
        <w:rPr>
          <w:snapToGrid/>
        </w:rPr>
        <w:t xml:space="preserve">In forming this comparison, the resubmission utilised </w:t>
      </w:r>
      <w:proofErr w:type="spellStart"/>
      <w:r w:rsidRPr="00F04A75">
        <w:t>Ld</w:t>
      </w:r>
      <w:proofErr w:type="spellEnd"/>
      <w:r w:rsidRPr="00F04A75">
        <w:t xml:space="preserve"> and Bd as the common reference, assuming </w:t>
      </w:r>
      <w:r w:rsidR="006501E8" w:rsidRPr="00F04A75">
        <w:t xml:space="preserve">therapeutic </w:t>
      </w:r>
      <w:r w:rsidRPr="00F04A75">
        <w:t>equivalence.</w:t>
      </w:r>
      <w:r w:rsidRPr="00F04A75">
        <w:rPr>
          <w:snapToGrid/>
        </w:rPr>
        <w:t xml:space="preserve"> </w:t>
      </w:r>
      <w:r w:rsidR="006C1D50" w:rsidRPr="00F04A75">
        <w:t xml:space="preserve">However, as stated above, this assumption may not be appropriate. </w:t>
      </w:r>
    </w:p>
    <w:p w14:paraId="2B232593" w14:textId="77777777" w:rsidR="00F97782" w:rsidRPr="00F04A75" w:rsidRDefault="00F97782" w:rsidP="0016658B">
      <w:pPr>
        <w:pStyle w:val="3-BodyText"/>
      </w:pPr>
      <w:r w:rsidRPr="00F04A75">
        <w:rPr>
          <w:snapToGrid/>
        </w:rPr>
        <w:t xml:space="preserve">The ITC of </w:t>
      </w:r>
      <w:proofErr w:type="spellStart"/>
      <w:r w:rsidRPr="00F04A75">
        <w:rPr>
          <w:snapToGrid/>
        </w:rPr>
        <w:t>CLd</w:t>
      </w:r>
      <w:proofErr w:type="spellEnd"/>
      <w:r w:rsidRPr="00F04A75">
        <w:rPr>
          <w:snapToGrid/>
        </w:rPr>
        <w:t xml:space="preserve"> versus El</w:t>
      </w:r>
      <w:r w:rsidRPr="00F04A75">
        <w:t xml:space="preserve">d </w:t>
      </w:r>
      <w:r w:rsidRPr="00F04A75">
        <w:rPr>
          <w:snapToGrid/>
        </w:rPr>
        <w:t>was informed by two RCTs: ASPIRE and ELOQUENT-2,</w:t>
      </w:r>
      <w:r w:rsidR="00796787" w:rsidRPr="00F04A75">
        <w:rPr>
          <w:snapToGrid/>
        </w:rPr>
        <w:t xml:space="preserve"> which </w:t>
      </w:r>
      <w:r w:rsidRPr="00F04A75">
        <w:rPr>
          <w:snapToGrid/>
        </w:rPr>
        <w:t>compar</w:t>
      </w:r>
      <w:r w:rsidR="00796787" w:rsidRPr="00F04A75">
        <w:rPr>
          <w:snapToGrid/>
        </w:rPr>
        <w:t>ed</w:t>
      </w:r>
      <w:r w:rsidRPr="00F04A75">
        <w:rPr>
          <w:snapToGrid/>
        </w:rPr>
        <w:t xml:space="preserve"> </w:t>
      </w:r>
      <w:proofErr w:type="spellStart"/>
      <w:r w:rsidRPr="00F04A75">
        <w:rPr>
          <w:snapToGrid/>
        </w:rPr>
        <w:t>ELd</w:t>
      </w:r>
      <w:proofErr w:type="spellEnd"/>
      <w:r w:rsidRPr="00F04A75">
        <w:rPr>
          <w:snapToGrid/>
        </w:rPr>
        <w:t xml:space="preserve"> with </w:t>
      </w:r>
      <w:proofErr w:type="spellStart"/>
      <w:r w:rsidRPr="00F04A75">
        <w:rPr>
          <w:snapToGrid/>
        </w:rPr>
        <w:t>Ld</w:t>
      </w:r>
      <w:proofErr w:type="spellEnd"/>
      <w:r w:rsidRPr="00F04A75">
        <w:rPr>
          <w:snapToGrid/>
        </w:rPr>
        <w:t xml:space="preserve"> (N=646).</w:t>
      </w:r>
      <w:r w:rsidRPr="00F04A75">
        <w:t xml:space="preserve"> </w:t>
      </w:r>
      <w:r w:rsidRPr="00F04A75">
        <w:rPr>
          <w:snapToGrid/>
        </w:rPr>
        <w:t xml:space="preserve">In forming this comparison, the resubmission utilised </w:t>
      </w:r>
      <w:proofErr w:type="spellStart"/>
      <w:r w:rsidRPr="00F04A75">
        <w:t>Ld</w:t>
      </w:r>
      <w:proofErr w:type="spellEnd"/>
      <w:r w:rsidRPr="00F04A75">
        <w:t xml:space="preserve"> </w:t>
      </w:r>
      <w:r w:rsidR="006C1D50" w:rsidRPr="00F04A75">
        <w:t xml:space="preserve">as the </w:t>
      </w:r>
      <w:r w:rsidRPr="00F04A75">
        <w:t xml:space="preserve">common comparator arm. </w:t>
      </w:r>
    </w:p>
    <w:p w14:paraId="7E6536D0" w14:textId="4471C27C" w:rsidR="00F97782" w:rsidRPr="00F04A75" w:rsidRDefault="00F97782" w:rsidP="0016658B">
      <w:pPr>
        <w:pStyle w:val="3-BodyText"/>
        <w:rPr>
          <w:rFonts w:cstheme="minorHAnsi"/>
        </w:rPr>
      </w:pPr>
      <w:r w:rsidRPr="00F04A75">
        <w:rPr>
          <w:snapToGrid/>
        </w:rPr>
        <w:t xml:space="preserve">Details of the trials presented in the resubmission are provided in </w:t>
      </w:r>
      <w:r w:rsidR="00C8791A">
        <w:rPr>
          <w:rFonts w:cstheme="minorHAnsi"/>
          <w:snapToGrid/>
        </w:rPr>
        <w:t xml:space="preserve">Table 3 </w:t>
      </w:r>
      <w:r w:rsidRPr="00F04A75">
        <w:rPr>
          <w:rFonts w:cstheme="minorHAnsi"/>
          <w:snapToGrid/>
        </w:rPr>
        <w:t xml:space="preserve">below. </w:t>
      </w:r>
    </w:p>
    <w:p w14:paraId="0BF4D588" w14:textId="18E8D109" w:rsidR="00F97782" w:rsidRPr="00F04A75" w:rsidRDefault="00F97782" w:rsidP="00273039">
      <w:pPr>
        <w:pStyle w:val="Caption"/>
        <w:keepNext/>
        <w:spacing w:after="0"/>
        <w:jc w:val="left"/>
        <w:rPr>
          <w:rStyle w:val="CommentReference"/>
          <w:b/>
          <w:bCs w:val="0"/>
          <w:color w:val="auto"/>
          <w:szCs w:val="20"/>
        </w:rPr>
      </w:pPr>
      <w:r w:rsidRPr="00F04A75">
        <w:rPr>
          <w:rFonts w:ascii="Arial Narrow" w:hAnsi="Arial Narrow"/>
          <w:color w:val="auto"/>
          <w:sz w:val="20"/>
          <w:szCs w:val="20"/>
        </w:rPr>
        <w:lastRenderedPageBreak/>
        <w:t xml:space="preserve">Table </w:t>
      </w:r>
      <w:r w:rsidRPr="00F04A75">
        <w:rPr>
          <w:rFonts w:ascii="Arial Narrow" w:hAnsi="Arial Narrow"/>
          <w:color w:val="auto"/>
          <w:sz w:val="20"/>
          <w:szCs w:val="20"/>
        </w:rPr>
        <w:fldChar w:fldCharType="begin"/>
      </w:r>
      <w:r w:rsidRPr="00F04A75">
        <w:rPr>
          <w:rFonts w:ascii="Arial Narrow" w:hAnsi="Arial Narrow"/>
          <w:color w:val="auto"/>
          <w:sz w:val="20"/>
          <w:szCs w:val="20"/>
        </w:rPr>
        <w:instrText xml:space="preserve"> SEQ Table \* ARABIC </w:instrText>
      </w:r>
      <w:r w:rsidRPr="00F04A75">
        <w:rPr>
          <w:rFonts w:ascii="Arial Narrow" w:hAnsi="Arial Narrow"/>
          <w:color w:val="auto"/>
          <w:sz w:val="20"/>
          <w:szCs w:val="20"/>
        </w:rPr>
        <w:fldChar w:fldCharType="separate"/>
      </w:r>
      <w:r w:rsidR="00443BC9">
        <w:rPr>
          <w:rFonts w:ascii="Arial Narrow" w:hAnsi="Arial Narrow"/>
          <w:noProof/>
          <w:color w:val="auto"/>
          <w:sz w:val="20"/>
          <w:szCs w:val="20"/>
        </w:rPr>
        <w:t>3</w:t>
      </w:r>
      <w:r w:rsidRPr="00F04A75">
        <w:rPr>
          <w:rFonts w:ascii="Arial Narrow" w:hAnsi="Arial Narrow"/>
          <w:color w:val="auto"/>
          <w:sz w:val="20"/>
          <w:szCs w:val="20"/>
        </w:rPr>
        <w:fldChar w:fldCharType="end"/>
      </w:r>
      <w:r w:rsidRPr="00F04A75">
        <w:rPr>
          <w:rFonts w:ascii="Arial Narrow" w:hAnsi="Arial Narrow"/>
          <w:color w:val="auto"/>
          <w:sz w:val="20"/>
          <w:szCs w:val="20"/>
        </w:rPr>
        <w:t xml:space="preserve">: </w:t>
      </w:r>
      <w:r w:rsidRPr="00F04A75">
        <w:rPr>
          <w:rStyle w:val="CommentReference"/>
          <w:b/>
          <w:bCs w:val="0"/>
          <w:color w:val="auto"/>
          <w:szCs w:val="20"/>
        </w:rPr>
        <w:t>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376"/>
        <w:gridCol w:w="5425"/>
        <w:gridCol w:w="2216"/>
      </w:tblGrid>
      <w:tr w:rsidR="00F97782" w:rsidRPr="00F04A75" w14:paraId="6B7EF8B8" w14:textId="77777777" w:rsidTr="00EB3700">
        <w:trPr>
          <w:tblHeader/>
        </w:trPr>
        <w:tc>
          <w:tcPr>
            <w:tcW w:w="763" w:type="pct"/>
            <w:tcBorders>
              <w:bottom w:val="nil"/>
            </w:tcBorders>
            <w:shd w:val="clear" w:color="auto" w:fill="auto"/>
            <w:vAlign w:val="center"/>
          </w:tcPr>
          <w:p w14:paraId="4AB08192" w14:textId="77777777" w:rsidR="00F97782" w:rsidRPr="00F04A75" w:rsidRDefault="00F97782" w:rsidP="00273039">
            <w:pPr>
              <w:pStyle w:val="TableText0"/>
              <w:rPr>
                <w:b/>
                <w:bCs w:val="0"/>
                <w:szCs w:val="20"/>
              </w:rPr>
            </w:pPr>
            <w:r w:rsidRPr="00F04A75">
              <w:rPr>
                <w:b/>
                <w:bCs w:val="0"/>
                <w:szCs w:val="20"/>
              </w:rPr>
              <w:t>Trial ID</w:t>
            </w:r>
          </w:p>
        </w:tc>
        <w:tc>
          <w:tcPr>
            <w:tcW w:w="3008" w:type="pct"/>
            <w:tcBorders>
              <w:bottom w:val="nil"/>
            </w:tcBorders>
            <w:shd w:val="clear" w:color="auto" w:fill="auto"/>
            <w:vAlign w:val="center"/>
          </w:tcPr>
          <w:p w14:paraId="70679C99" w14:textId="77777777" w:rsidR="00F97782" w:rsidRPr="00F04A75" w:rsidRDefault="00F97782" w:rsidP="00273039">
            <w:pPr>
              <w:keepNext/>
              <w:jc w:val="left"/>
              <w:rPr>
                <w:rFonts w:ascii="Arial Narrow" w:hAnsi="Arial Narrow"/>
                <w:b/>
                <w:sz w:val="20"/>
                <w:szCs w:val="20"/>
              </w:rPr>
            </w:pPr>
            <w:r w:rsidRPr="00F04A75">
              <w:rPr>
                <w:rFonts w:ascii="Arial Narrow" w:hAnsi="Arial Narrow"/>
                <w:b/>
                <w:sz w:val="20"/>
                <w:szCs w:val="20"/>
              </w:rPr>
              <w:t>Protocol title/ Publication title</w:t>
            </w:r>
          </w:p>
        </w:tc>
        <w:tc>
          <w:tcPr>
            <w:tcW w:w="1229" w:type="pct"/>
            <w:tcBorders>
              <w:bottom w:val="nil"/>
            </w:tcBorders>
            <w:shd w:val="clear" w:color="auto" w:fill="auto"/>
            <w:vAlign w:val="center"/>
          </w:tcPr>
          <w:p w14:paraId="51EF7C43" w14:textId="77777777" w:rsidR="00F97782" w:rsidRPr="00F04A75" w:rsidRDefault="00F97782" w:rsidP="00273039">
            <w:pPr>
              <w:keepNext/>
              <w:jc w:val="left"/>
              <w:rPr>
                <w:rFonts w:ascii="Arial Narrow" w:hAnsi="Arial Narrow"/>
                <w:b/>
                <w:sz w:val="20"/>
                <w:szCs w:val="20"/>
              </w:rPr>
            </w:pPr>
            <w:r w:rsidRPr="00F04A75">
              <w:rPr>
                <w:rFonts w:ascii="Arial Narrow" w:hAnsi="Arial Narrow"/>
                <w:b/>
                <w:sz w:val="20"/>
                <w:szCs w:val="20"/>
              </w:rPr>
              <w:t>Publication citation</w:t>
            </w:r>
          </w:p>
        </w:tc>
      </w:tr>
      <w:tr w:rsidR="006C1D50" w:rsidRPr="00F04A75" w14:paraId="5130E480" w14:textId="77777777" w:rsidTr="00EB3700">
        <w:tc>
          <w:tcPr>
            <w:tcW w:w="763" w:type="pct"/>
            <w:vMerge w:val="restart"/>
            <w:shd w:val="clear" w:color="auto" w:fill="B8CCE4" w:themeFill="accent1" w:themeFillTint="66"/>
          </w:tcPr>
          <w:p w14:paraId="011897A5" w14:textId="77777777" w:rsidR="006C1D50" w:rsidRPr="00F04A75" w:rsidRDefault="006C1D50" w:rsidP="00273039">
            <w:pPr>
              <w:pStyle w:val="TableText0"/>
              <w:rPr>
                <w:szCs w:val="20"/>
              </w:rPr>
            </w:pPr>
            <w:r w:rsidRPr="00F04A75">
              <w:rPr>
                <w:szCs w:val="20"/>
              </w:rPr>
              <w:t>ASPIRE</w:t>
            </w:r>
          </w:p>
          <w:p w14:paraId="277E3E87" w14:textId="77777777" w:rsidR="006C1D50" w:rsidRPr="00F04A75" w:rsidRDefault="006C1D50" w:rsidP="00273039">
            <w:pPr>
              <w:pStyle w:val="TableText0"/>
              <w:rPr>
                <w:szCs w:val="20"/>
              </w:rPr>
            </w:pPr>
            <w:r w:rsidRPr="00F04A75">
              <w:rPr>
                <w:szCs w:val="20"/>
              </w:rPr>
              <w:t>NCT0108039</w:t>
            </w:r>
          </w:p>
        </w:tc>
        <w:tc>
          <w:tcPr>
            <w:tcW w:w="3008" w:type="pct"/>
            <w:tcBorders>
              <w:bottom w:val="nil"/>
            </w:tcBorders>
            <w:shd w:val="clear" w:color="auto" w:fill="B8CCE4" w:themeFill="accent1" w:themeFillTint="66"/>
            <w:vAlign w:val="center"/>
          </w:tcPr>
          <w:p w14:paraId="3131939E" w14:textId="77777777" w:rsidR="006C1D50" w:rsidRPr="00F04A75" w:rsidRDefault="006C1D50" w:rsidP="00273039">
            <w:pPr>
              <w:keepNext/>
              <w:jc w:val="left"/>
              <w:rPr>
                <w:rFonts w:ascii="Arial Narrow" w:hAnsi="Arial Narrow"/>
                <w:sz w:val="20"/>
                <w:szCs w:val="20"/>
              </w:rPr>
            </w:pPr>
            <w:r w:rsidRPr="00F04A75">
              <w:rPr>
                <w:rFonts w:ascii="Arial Narrow" w:hAnsi="Arial Narrow"/>
                <w:sz w:val="20"/>
                <w:szCs w:val="20"/>
              </w:rPr>
              <w:t xml:space="preserve">A Randomised, </w:t>
            </w:r>
            <w:proofErr w:type="spellStart"/>
            <w:r w:rsidRPr="00F04A75">
              <w:rPr>
                <w:rFonts w:ascii="Arial Narrow" w:hAnsi="Arial Narrow"/>
                <w:sz w:val="20"/>
                <w:szCs w:val="20"/>
              </w:rPr>
              <w:t>Multicenter</w:t>
            </w:r>
            <w:proofErr w:type="spellEnd"/>
            <w:r w:rsidRPr="00F04A75">
              <w:rPr>
                <w:rFonts w:ascii="Arial Narrow" w:hAnsi="Arial Narrow"/>
                <w:sz w:val="20"/>
                <w:szCs w:val="20"/>
              </w:rPr>
              <w:t>, Phase 3 Study Comparing Carfilzomib, Lenalidomide, and Dexamethasone vs. Lenalidomide and Dexamethasone in Patients with Relapsed Multiple Myeloma</w:t>
            </w:r>
          </w:p>
          <w:p w14:paraId="55F8D9D2" w14:textId="77777777" w:rsidR="006C1D50" w:rsidRPr="00F04A75" w:rsidRDefault="006C1D50" w:rsidP="00273039">
            <w:pPr>
              <w:pStyle w:val="TableText0"/>
              <w:rPr>
                <w:szCs w:val="20"/>
              </w:rPr>
            </w:pPr>
          </w:p>
        </w:tc>
        <w:tc>
          <w:tcPr>
            <w:tcW w:w="1229" w:type="pct"/>
            <w:tcBorders>
              <w:bottom w:val="nil"/>
            </w:tcBorders>
            <w:shd w:val="clear" w:color="auto" w:fill="B8CCE4" w:themeFill="accent1" w:themeFillTint="66"/>
            <w:vAlign w:val="center"/>
          </w:tcPr>
          <w:p w14:paraId="46C91F13" w14:textId="77777777" w:rsidR="006C1D50" w:rsidRPr="00F04A75" w:rsidRDefault="006C1D50" w:rsidP="00273039">
            <w:pPr>
              <w:keepNext/>
              <w:jc w:val="left"/>
              <w:rPr>
                <w:rFonts w:ascii="Arial Narrow" w:hAnsi="Arial Narrow"/>
                <w:sz w:val="20"/>
                <w:szCs w:val="20"/>
              </w:rPr>
            </w:pPr>
            <w:r w:rsidRPr="00F04A75">
              <w:rPr>
                <w:rFonts w:ascii="Arial Narrow" w:hAnsi="Arial Narrow"/>
                <w:sz w:val="20"/>
                <w:szCs w:val="20"/>
              </w:rPr>
              <w:t>14 October 2014</w:t>
            </w:r>
          </w:p>
          <w:p w14:paraId="2CB9EC87" w14:textId="77777777" w:rsidR="006C1D50" w:rsidRPr="00F04A75" w:rsidRDefault="006C1D50" w:rsidP="00273039">
            <w:pPr>
              <w:pStyle w:val="TableText0"/>
              <w:rPr>
                <w:iCs/>
                <w:szCs w:val="20"/>
              </w:rPr>
            </w:pPr>
            <w:r w:rsidRPr="00F04A75">
              <w:rPr>
                <w:iCs/>
                <w:szCs w:val="20"/>
              </w:rPr>
              <w:t>24 September 2017 [data cut-off 28 April 2017</w:t>
            </w:r>
          </w:p>
          <w:p w14:paraId="73B3BB99" w14:textId="77777777" w:rsidR="006C1D50" w:rsidRPr="00F04A75" w:rsidRDefault="006C1D50" w:rsidP="00273039">
            <w:pPr>
              <w:pStyle w:val="TableText0"/>
              <w:rPr>
                <w:szCs w:val="20"/>
              </w:rPr>
            </w:pPr>
          </w:p>
        </w:tc>
      </w:tr>
      <w:tr w:rsidR="006C1D50" w:rsidRPr="00F04A75" w14:paraId="18FCB536" w14:textId="77777777" w:rsidTr="00EB3700">
        <w:tc>
          <w:tcPr>
            <w:tcW w:w="763" w:type="pct"/>
            <w:vMerge/>
            <w:shd w:val="clear" w:color="auto" w:fill="B8CCE4" w:themeFill="accent1" w:themeFillTint="66"/>
          </w:tcPr>
          <w:p w14:paraId="5BBAEF85" w14:textId="77777777" w:rsidR="006C1D50" w:rsidRPr="00F04A75" w:rsidRDefault="006C1D50" w:rsidP="00273039">
            <w:pPr>
              <w:pStyle w:val="TableText0"/>
              <w:rPr>
                <w:szCs w:val="20"/>
              </w:rPr>
            </w:pPr>
          </w:p>
        </w:tc>
        <w:tc>
          <w:tcPr>
            <w:tcW w:w="3008" w:type="pct"/>
            <w:tcBorders>
              <w:top w:val="nil"/>
              <w:bottom w:val="nil"/>
            </w:tcBorders>
            <w:shd w:val="clear" w:color="auto" w:fill="B8CCE4" w:themeFill="accent1" w:themeFillTint="66"/>
            <w:vAlign w:val="center"/>
          </w:tcPr>
          <w:p w14:paraId="2D83A62C" w14:textId="77777777" w:rsidR="006C1D50" w:rsidRPr="00F04A75" w:rsidRDefault="006C1D50" w:rsidP="00273039">
            <w:pPr>
              <w:pStyle w:val="TableText0"/>
              <w:rPr>
                <w:szCs w:val="20"/>
              </w:rPr>
            </w:pPr>
            <w:r w:rsidRPr="00F04A75">
              <w:rPr>
                <w:szCs w:val="20"/>
              </w:rPr>
              <w:t xml:space="preserve">Stewart K, Rajkumar V, </w:t>
            </w:r>
            <w:proofErr w:type="spellStart"/>
            <w:r w:rsidRPr="00F04A75">
              <w:rPr>
                <w:szCs w:val="20"/>
              </w:rPr>
              <w:t>Dimopoulos</w:t>
            </w:r>
            <w:proofErr w:type="spellEnd"/>
            <w:r w:rsidRPr="00F04A75">
              <w:rPr>
                <w:szCs w:val="20"/>
              </w:rPr>
              <w:t xml:space="preserve"> M, </w:t>
            </w:r>
            <w:r w:rsidRPr="00F04A75">
              <w:rPr>
                <w:i/>
                <w:szCs w:val="20"/>
              </w:rPr>
              <w:t>et al</w:t>
            </w:r>
            <w:r w:rsidRPr="00F04A75">
              <w:rPr>
                <w:szCs w:val="20"/>
              </w:rPr>
              <w:t>. Carfilzomib, lenalidomide, and dexamethasone for relapsed multiple myeloma</w:t>
            </w:r>
          </w:p>
        </w:tc>
        <w:tc>
          <w:tcPr>
            <w:tcW w:w="1229" w:type="pct"/>
            <w:tcBorders>
              <w:top w:val="nil"/>
              <w:bottom w:val="nil"/>
            </w:tcBorders>
            <w:shd w:val="clear" w:color="auto" w:fill="B8CCE4" w:themeFill="accent1" w:themeFillTint="66"/>
            <w:vAlign w:val="center"/>
          </w:tcPr>
          <w:p w14:paraId="2E8AAC32" w14:textId="77777777" w:rsidR="006C1D50" w:rsidRPr="00F04A75" w:rsidRDefault="006C1D50" w:rsidP="00273039">
            <w:pPr>
              <w:pStyle w:val="TableText0"/>
              <w:rPr>
                <w:iCs/>
                <w:szCs w:val="20"/>
              </w:rPr>
            </w:pPr>
            <w:r w:rsidRPr="00F04A75">
              <w:rPr>
                <w:iCs/>
                <w:szCs w:val="20"/>
              </w:rPr>
              <w:t xml:space="preserve">N </w:t>
            </w:r>
            <w:proofErr w:type="spellStart"/>
            <w:r w:rsidRPr="00F04A75">
              <w:rPr>
                <w:iCs/>
                <w:szCs w:val="20"/>
              </w:rPr>
              <w:t>Engl</w:t>
            </w:r>
            <w:proofErr w:type="spellEnd"/>
            <w:r w:rsidRPr="00F04A75">
              <w:rPr>
                <w:iCs/>
                <w:szCs w:val="20"/>
              </w:rPr>
              <w:t xml:space="preserve"> J Med 2015; 372(2):142-52</w:t>
            </w:r>
          </w:p>
        </w:tc>
      </w:tr>
      <w:tr w:rsidR="006C1D50" w:rsidRPr="00F04A75" w14:paraId="347005DC" w14:textId="77777777" w:rsidTr="00EB3700">
        <w:tc>
          <w:tcPr>
            <w:tcW w:w="763" w:type="pct"/>
            <w:vMerge/>
            <w:shd w:val="clear" w:color="auto" w:fill="auto"/>
          </w:tcPr>
          <w:p w14:paraId="31C09130" w14:textId="77777777" w:rsidR="006C1D50" w:rsidRPr="00F04A75" w:rsidRDefault="006C1D50" w:rsidP="00273039">
            <w:pPr>
              <w:pStyle w:val="TableText0"/>
              <w:rPr>
                <w:szCs w:val="20"/>
              </w:rPr>
            </w:pPr>
          </w:p>
        </w:tc>
        <w:tc>
          <w:tcPr>
            <w:tcW w:w="3008" w:type="pct"/>
            <w:tcBorders>
              <w:top w:val="nil"/>
              <w:bottom w:val="nil"/>
            </w:tcBorders>
            <w:shd w:val="clear" w:color="auto" w:fill="auto"/>
            <w:vAlign w:val="center"/>
          </w:tcPr>
          <w:p w14:paraId="438EBD99" w14:textId="77777777" w:rsidR="006C1D50" w:rsidRPr="00F04A75" w:rsidRDefault="006C1D50" w:rsidP="00273039">
            <w:pPr>
              <w:pStyle w:val="TableText0"/>
              <w:rPr>
                <w:szCs w:val="20"/>
              </w:rPr>
            </w:pPr>
            <w:r w:rsidRPr="00F04A75">
              <w:rPr>
                <w:szCs w:val="20"/>
              </w:rPr>
              <w:t xml:space="preserve">Siegel DS et al. Improvement in Overall Survival </w:t>
            </w:r>
            <w:proofErr w:type="gramStart"/>
            <w:r w:rsidRPr="00F04A75">
              <w:rPr>
                <w:szCs w:val="20"/>
              </w:rPr>
              <w:t>With</w:t>
            </w:r>
            <w:proofErr w:type="gramEnd"/>
            <w:r w:rsidRPr="00F04A75">
              <w:rPr>
                <w:szCs w:val="20"/>
              </w:rPr>
              <w:t xml:space="preserve"> Carfilzomib, Lenalidomide, and Dexamethasone in Patients With Relapsed or Refractory Multiple Myeloma.</w:t>
            </w:r>
          </w:p>
        </w:tc>
        <w:tc>
          <w:tcPr>
            <w:tcW w:w="1229" w:type="pct"/>
            <w:tcBorders>
              <w:top w:val="nil"/>
              <w:bottom w:val="nil"/>
            </w:tcBorders>
            <w:shd w:val="clear" w:color="auto" w:fill="auto"/>
            <w:vAlign w:val="center"/>
          </w:tcPr>
          <w:p w14:paraId="560C6448" w14:textId="77777777" w:rsidR="006C1D50" w:rsidRPr="00F04A75" w:rsidRDefault="006C1D50" w:rsidP="00273039">
            <w:pPr>
              <w:pStyle w:val="TableText0"/>
              <w:rPr>
                <w:rFonts w:cstheme="minorHAnsi"/>
                <w:szCs w:val="20"/>
              </w:rPr>
            </w:pPr>
            <w:r w:rsidRPr="00F04A75">
              <w:rPr>
                <w:rFonts w:cstheme="minorHAnsi"/>
                <w:szCs w:val="20"/>
              </w:rPr>
              <w:t xml:space="preserve">J Clin Oncol </w:t>
            </w:r>
            <w:proofErr w:type="gramStart"/>
            <w:r w:rsidRPr="00F04A75">
              <w:rPr>
                <w:rFonts w:cstheme="minorHAnsi"/>
                <w:szCs w:val="20"/>
              </w:rPr>
              <w:t>2018;36:728</w:t>
            </w:r>
            <w:proofErr w:type="gramEnd"/>
            <w:r w:rsidRPr="00F04A75">
              <w:rPr>
                <w:rFonts w:cstheme="minorHAnsi"/>
                <w:szCs w:val="20"/>
              </w:rPr>
              <w:t>-34</w:t>
            </w:r>
          </w:p>
        </w:tc>
      </w:tr>
      <w:tr w:rsidR="006C1D50" w:rsidRPr="00F04A75" w14:paraId="2E210226" w14:textId="77777777" w:rsidTr="00EB3700">
        <w:tc>
          <w:tcPr>
            <w:tcW w:w="763" w:type="pct"/>
            <w:vMerge/>
            <w:shd w:val="clear" w:color="auto" w:fill="auto"/>
          </w:tcPr>
          <w:p w14:paraId="489D8B62" w14:textId="77777777" w:rsidR="006C1D50" w:rsidRPr="00F04A75" w:rsidRDefault="006C1D50" w:rsidP="00273039">
            <w:pPr>
              <w:pStyle w:val="TableText0"/>
              <w:rPr>
                <w:szCs w:val="20"/>
              </w:rPr>
            </w:pPr>
          </w:p>
        </w:tc>
        <w:tc>
          <w:tcPr>
            <w:tcW w:w="3008" w:type="pct"/>
            <w:tcBorders>
              <w:top w:val="nil"/>
              <w:bottom w:val="nil"/>
            </w:tcBorders>
            <w:shd w:val="clear" w:color="auto" w:fill="auto"/>
            <w:vAlign w:val="center"/>
          </w:tcPr>
          <w:p w14:paraId="5EF90CDC" w14:textId="77777777" w:rsidR="006C1D50" w:rsidRPr="00F04A75" w:rsidRDefault="006C1D50" w:rsidP="00273039">
            <w:pPr>
              <w:pStyle w:val="TableText0"/>
              <w:rPr>
                <w:b/>
                <w:bCs w:val="0"/>
                <w:szCs w:val="20"/>
              </w:rPr>
            </w:pPr>
            <w:r w:rsidRPr="00F04A75">
              <w:rPr>
                <w:b/>
                <w:bCs w:val="0"/>
                <w:szCs w:val="20"/>
              </w:rPr>
              <w:t>Secondary publications</w:t>
            </w:r>
          </w:p>
        </w:tc>
        <w:tc>
          <w:tcPr>
            <w:tcW w:w="1229" w:type="pct"/>
            <w:tcBorders>
              <w:top w:val="nil"/>
              <w:bottom w:val="nil"/>
            </w:tcBorders>
            <w:shd w:val="clear" w:color="auto" w:fill="auto"/>
            <w:vAlign w:val="center"/>
          </w:tcPr>
          <w:p w14:paraId="136F4118" w14:textId="77777777" w:rsidR="006C1D50" w:rsidRPr="00F04A75" w:rsidRDefault="006C1D50" w:rsidP="00273039">
            <w:pPr>
              <w:pStyle w:val="TableText0"/>
              <w:rPr>
                <w:rFonts w:cstheme="minorHAnsi"/>
                <w:szCs w:val="20"/>
              </w:rPr>
            </w:pPr>
          </w:p>
        </w:tc>
      </w:tr>
      <w:tr w:rsidR="006C1D50" w:rsidRPr="00F04A75" w14:paraId="157DF466" w14:textId="77777777" w:rsidTr="00EB3700">
        <w:tc>
          <w:tcPr>
            <w:tcW w:w="763" w:type="pct"/>
            <w:vMerge/>
            <w:shd w:val="clear" w:color="auto" w:fill="auto"/>
          </w:tcPr>
          <w:p w14:paraId="435C29C5" w14:textId="77777777" w:rsidR="006C1D50" w:rsidRPr="00F04A75" w:rsidRDefault="006C1D50" w:rsidP="00273039">
            <w:pPr>
              <w:pStyle w:val="TableText0"/>
              <w:rPr>
                <w:szCs w:val="20"/>
              </w:rPr>
            </w:pPr>
          </w:p>
        </w:tc>
        <w:tc>
          <w:tcPr>
            <w:tcW w:w="3008" w:type="pct"/>
            <w:tcBorders>
              <w:top w:val="nil"/>
              <w:bottom w:val="nil"/>
            </w:tcBorders>
            <w:shd w:val="clear" w:color="auto" w:fill="auto"/>
            <w:vAlign w:val="center"/>
          </w:tcPr>
          <w:p w14:paraId="41BB4CB9" w14:textId="77777777" w:rsidR="006C1D50" w:rsidRPr="00F04A75" w:rsidRDefault="006C1D50" w:rsidP="00273039">
            <w:pPr>
              <w:pStyle w:val="TableText0"/>
              <w:rPr>
                <w:bCs w:val="0"/>
                <w:szCs w:val="20"/>
              </w:rPr>
            </w:pPr>
            <w:proofErr w:type="spellStart"/>
            <w:r w:rsidRPr="00F04A75">
              <w:rPr>
                <w:rFonts w:cstheme="minorHAnsi"/>
                <w:bCs w:val="0"/>
                <w:szCs w:val="20"/>
              </w:rPr>
              <w:t>Weisel</w:t>
            </w:r>
            <w:proofErr w:type="spellEnd"/>
            <w:r w:rsidRPr="00F04A75">
              <w:rPr>
                <w:rFonts w:cstheme="minorHAnsi"/>
                <w:bCs w:val="0"/>
                <w:szCs w:val="20"/>
              </w:rPr>
              <w:t xml:space="preserve"> K, </w:t>
            </w:r>
            <w:proofErr w:type="spellStart"/>
            <w:r w:rsidRPr="00F04A75">
              <w:rPr>
                <w:rFonts w:cstheme="minorHAnsi"/>
                <w:bCs w:val="0"/>
                <w:szCs w:val="20"/>
              </w:rPr>
              <w:t>Mateos</w:t>
            </w:r>
            <w:proofErr w:type="spellEnd"/>
            <w:r w:rsidRPr="00F04A75">
              <w:rPr>
                <w:rFonts w:cstheme="minorHAnsi"/>
                <w:bCs w:val="0"/>
                <w:szCs w:val="20"/>
              </w:rPr>
              <w:t xml:space="preserve"> MV, Gay F, </w:t>
            </w:r>
            <w:proofErr w:type="spellStart"/>
            <w:r w:rsidRPr="00F04A75">
              <w:rPr>
                <w:rFonts w:cstheme="minorHAnsi"/>
                <w:bCs w:val="0"/>
                <w:szCs w:val="20"/>
              </w:rPr>
              <w:t>Delforge</w:t>
            </w:r>
            <w:proofErr w:type="spellEnd"/>
            <w:r w:rsidRPr="00F04A75">
              <w:rPr>
                <w:rFonts w:cstheme="minorHAnsi"/>
                <w:bCs w:val="0"/>
                <w:szCs w:val="20"/>
              </w:rPr>
              <w:t xml:space="preserve"> M, Cook G, Szabo Z, </w:t>
            </w:r>
            <w:proofErr w:type="spellStart"/>
            <w:r w:rsidRPr="00F04A75">
              <w:rPr>
                <w:rFonts w:cstheme="minorHAnsi"/>
                <w:bCs w:val="0"/>
                <w:szCs w:val="20"/>
              </w:rPr>
              <w:t>Desgraz</w:t>
            </w:r>
            <w:proofErr w:type="spellEnd"/>
            <w:r w:rsidRPr="00F04A75">
              <w:rPr>
                <w:rFonts w:cstheme="minorHAnsi"/>
                <w:bCs w:val="0"/>
                <w:szCs w:val="20"/>
              </w:rPr>
              <w:t xml:space="preserve"> R, </w:t>
            </w:r>
            <w:proofErr w:type="spellStart"/>
            <w:r w:rsidRPr="00F04A75">
              <w:rPr>
                <w:rFonts w:cstheme="minorHAnsi"/>
                <w:bCs w:val="0"/>
                <w:szCs w:val="20"/>
              </w:rPr>
              <w:t>DeCosta</w:t>
            </w:r>
            <w:proofErr w:type="spellEnd"/>
            <w:r w:rsidRPr="00F04A75">
              <w:rPr>
                <w:rFonts w:cstheme="minorHAnsi"/>
                <w:bCs w:val="0"/>
                <w:szCs w:val="20"/>
              </w:rPr>
              <w:t xml:space="preserve"> L, Moreau P. </w:t>
            </w:r>
            <w:proofErr w:type="gramStart"/>
            <w:r w:rsidRPr="00F04A75">
              <w:rPr>
                <w:rFonts w:cstheme="minorHAnsi"/>
                <w:bCs w:val="0"/>
                <w:szCs w:val="20"/>
              </w:rPr>
              <w:t>Efficacy</w:t>
            </w:r>
            <w:proofErr w:type="gramEnd"/>
            <w:r w:rsidRPr="00F04A75">
              <w:rPr>
                <w:rFonts w:cstheme="minorHAnsi"/>
                <w:bCs w:val="0"/>
                <w:szCs w:val="20"/>
              </w:rPr>
              <w:t xml:space="preserve"> and safety profile of deep responders to carfilzomib-based therapy: a subgroup analysis from ASPIRE and ENDEAVOR. </w:t>
            </w:r>
          </w:p>
        </w:tc>
        <w:tc>
          <w:tcPr>
            <w:tcW w:w="1229" w:type="pct"/>
            <w:tcBorders>
              <w:top w:val="nil"/>
              <w:bottom w:val="nil"/>
            </w:tcBorders>
            <w:shd w:val="clear" w:color="auto" w:fill="auto"/>
            <w:vAlign w:val="center"/>
          </w:tcPr>
          <w:p w14:paraId="497B2D19" w14:textId="77777777" w:rsidR="006C1D50" w:rsidRPr="00F04A75" w:rsidRDefault="006C1D50" w:rsidP="00273039">
            <w:pPr>
              <w:pStyle w:val="TableText0"/>
              <w:rPr>
                <w:rFonts w:cstheme="minorHAnsi"/>
                <w:szCs w:val="20"/>
              </w:rPr>
            </w:pPr>
            <w:r w:rsidRPr="00F04A75">
              <w:rPr>
                <w:rFonts w:cstheme="minorHAnsi"/>
                <w:bCs w:val="0"/>
                <w:szCs w:val="20"/>
              </w:rPr>
              <w:t>Leukemia. 2021 Jun;35(6):1732-1744</w:t>
            </w:r>
          </w:p>
        </w:tc>
      </w:tr>
      <w:tr w:rsidR="006C1D50" w:rsidRPr="00F04A75" w14:paraId="06B8878D" w14:textId="77777777" w:rsidTr="00EB3700">
        <w:tc>
          <w:tcPr>
            <w:tcW w:w="763" w:type="pct"/>
            <w:vMerge/>
            <w:shd w:val="clear" w:color="auto" w:fill="auto"/>
          </w:tcPr>
          <w:p w14:paraId="1C159824" w14:textId="77777777" w:rsidR="006C1D50" w:rsidRPr="00F04A75" w:rsidRDefault="006C1D50" w:rsidP="00273039">
            <w:pPr>
              <w:pStyle w:val="TableText0"/>
              <w:rPr>
                <w:szCs w:val="20"/>
              </w:rPr>
            </w:pPr>
          </w:p>
        </w:tc>
        <w:tc>
          <w:tcPr>
            <w:tcW w:w="3008" w:type="pct"/>
            <w:tcBorders>
              <w:top w:val="nil"/>
              <w:bottom w:val="nil"/>
            </w:tcBorders>
            <w:shd w:val="clear" w:color="auto" w:fill="auto"/>
            <w:vAlign w:val="center"/>
          </w:tcPr>
          <w:p w14:paraId="037A6191" w14:textId="77777777" w:rsidR="006C1D50" w:rsidRPr="00F04A75" w:rsidRDefault="006C1D50" w:rsidP="00273039">
            <w:pPr>
              <w:pStyle w:val="TableText0"/>
              <w:rPr>
                <w:bCs w:val="0"/>
                <w:szCs w:val="20"/>
              </w:rPr>
            </w:pPr>
            <w:r w:rsidRPr="00F04A75">
              <w:rPr>
                <w:rFonts w:cstheme="minorHAnsi"/>
                <w:bCs w:val="0"/>
                <w:szCs w:val="20"/>
              </w:rPr>
              <w:t xml:space="preserve">Siegel DS, </w:t>
            </w:r>
            <w:proofErr w:type="spellStart"/>
            <w:r w:rsidRPr="00F04A75">
              <w:rPr>
                <w:rFonts w:cstheme="minorHAnsi"/>
                <w:bCs w:val="0"/>
                <w:szCs w:val="20"/>
              </w:rPr>
              <w:t>Dimopoulos</w:t>
            </w:r>
            <w:proofErr w:type="spellEnd"/>
            <w:r w:rsidRPr="00F04A75">
              <w:rPr>
                <w:rFonts w:cstheme="minorHAnsi"/>
                <w:bCs w:val="0"/>
                <w:szCs w:val="20"/>
              </w:rPr>
              <w:t xml:space="preserve"> MA, Ludwig H, </w:t>
            </w:r>
            <w:proofErr w:type="spellStart"/>
            <w:r w:rsidRPr="00F04A75">
              <w:rPr>
                <w:rFonts w:cstheme="minorHAnsi"/>
                <w:bCs w:val="0"/>
                <w:szCs w:val="20"/>
              </w:rPr>
              <w:t>Facon</w:t>
            </w:r>
            <w:proofErr w:type="spellEnd"/>
            <w:r w:rsidRPr="00F04A75">
              <w:rPr>
                <w:rFonts w:cstheme="minorHAnsi"/>
                <w:bCs w:val="0"/>
                <w:szCs w:val="20"/>
              </w:rPr>
              <w:t xml:space="preserve"> T, Goldschmidt H, </w:t>
            </w:r>
            <w:proofErr w:type="spellStart"/>
            <w:r w:rsidRPr="00F04A75">
              <w:rPr>
                <w:rFonts w:cstheme="minorHAnsi"/>
                <w:bCs w:val="0"/>
                <w:szCs w:val="20"/>
              </w:rPr>
              <w:t>Jakubowiak</w:t>
            </w:r>
            <w:proofErr w:type="spellEnd"/>
            <w:r w:rsidRPr="00F04A75">
              <w:rPr>
                <w:rFonts w:cstheme="minorHAnsi"/>
                <w:bCs w:val="0"/>
                <w:szCs w:val="20"/>
              </w:rPr>
              <w:t xml:space="preserve"> A, San-Miguel J, Obreja M, </w:t>
            </w:r>
            <w:proofErr w:type="spellStart"/>
            <w:r w:rsidRPr="00F04A75">
              <w:rPr>
                <w:rFonts w:cstheme="minorHAnsi"/>
                <w:bCs w:val="0"/>
                <w:szCs w:val="20"/>
              </w:rPr>
              <w:t>Blaedel</w:t>
            </w:r>
            <w:proofErr w:type="spellEnd"/>
            <w:r w:rsidRPr="00F04A75">
              <w:rPr>
                <w:rFonts w:cstheme="minorHAnsi"/>
                <w:bCs w:val="0"/>
                <w:szCs w:val="20"/>
              </w:rPr>
              <w:t xml:space="preserve"> J, Stewart AK. Improvement in overall survival with carfilzomib, lenalidomide, and dexamethasone in patients with relapsed or refractory multiple myeloma. </w:t>
            </w:r>
          </w:p>
        </w:tc>
        <w:tc>
          <w:tcPr>
            <w:tcW w:w="1229" w:type="pct"/>
            <w:tcBorders>
              <w:top w:val="nil"/>
              <w:bottom w:val="nil"/>
            </w:tcBorders>
            <w:shd w:val="clear" w:color="auto" w:fill="auto"/>
            <w:vAlign w:val="center"/>
          </w:tcPr>
          <w:p w14:paraId="08FDABE8" w14:textId="77777777" w:rsidR="006C1D50" w:rsidRPr="00F04A75" w:rsidRDefault="006C1D50" w:rsidP="00273039">
            <w:pPr>
              <w:pStyle w:val="TableText0"/>
              <w:rPr>
                <w:rFonts w:cstheme="minorHAnsi"/>
                <w:szCs w:val="20"/>
              </w:rPr>
            </w:pPr>
            <w:r w:rsidRPr="00F04A75">
              <w:rPr>
                <w:rFonts w:cstheme="minorHAnsi"/>
                <w:bCs w:val="0"/>
                <w:szCs w:val="20"/>
              </w:rPr>
              <w:t>Journal of Clinical Oncology (2018) 36:8 (728-734)</w:t>
            </w:r>
          </w:p>
        </w:tc>
      </w:tr>
      <w:tr w:rsidR="006C1D50" w:rsidRPr="00F04A75" w14:paraId="096A68EB" w14:textId="77777777" w:rsidTr="00EB3700">
        <w:tc>
          <w:tcPr>
            <w:tcW w:w="763" w:type="pct"/>
            <w:vMerge/>
            <w:shd w:val="clear" w:color="auto" w:fill="auto"/>
          </w:tcPr>
          <w:p w14:paraId="7034DC66" w14:textId="77777777" w:rsidR="006C1D50" w:rsidRPr="00F04A75" w:rsidRDefault="006C1D50" w:rsidP="00EB3700">
            <w:pPr>
              <w:pStyle w:val="TableText0"/>
              <w:keepNext w:val="0"/>
              <w:rPr>
                <w:szCs w:val="20"/>
              </w:rPr>
            </w:pPr>
          </w:p>
        </w:tc>
        <w:tc>
          <w:tcPr>
            <w:tcW w:w="3008" w:type="pct"/>
            <w:tcBorders>
              <w:top w:val="nil"/>
              <w:bottom w:val="nil"/>
            </w:tcBorders>
            <w:shd w:val="clear" w:color="auto" w:fill="auto"/>
            <w:vAlign w:val="center"/>
          </w:tcPr>
          <w:p w14:paraId="36F82D64" w14:textId="77777777" w:rsidR="006C1D50" w:rsidRPr="00F04A75" w:rsidRDefault="006C1D50" w:rsidP="00EB3700">
            <w:pPr>
              <w:pStyle w:val="TableText0"/>
              <w:keepNext w:val="0"/>
              <w:rPr>
                <w:bCs w:val="0"/>
                <w:szCs w:val="20"/>
              </w:rPr>
            </w:pPr>
            <w:proofErr w:type="spellStart"/>
            <w:r w:rsidRPr="00F04A75">
              <w:rPr>
                <w:rFonts w:cstheme="minorHAnsi"/>
                <w:bCs w:val="0"/>
                <w:szCs w:val="20"/>
              </w:rPr>
              <w:t>Mateos</w:t>
            </w:r>
            <w:proofErr w:type="spellEnd"/>
            <w:r w:rsidRPr="00F04A75">
              <w:rPr>
                <w:rFonts w:cstheme="minorHAnsi"/>
                <w:bCs w:val="0"/>
                <w:szCs w:val="20"/>
              </w:rPr>
              <w:t xml:space="preserve"> M-V, Goldschmidt H, San-Miguel J, </w:t>
            </w:r>
            <w:proofErr w:type="spellStart"/>
            <w:r w:rsidRPr="00F04A75">
              <w:rPr>
                <w:rFonts w:cstheme="minorHAnsi"/>
                <w:bCs w:val="0"/>
                <w:szCs w:val="20"/>
              </w:rPr>
              <w:t>Mikhael</w:t>
            </w:r>
            <w:proofErr w:type="spellEnd"/>
            <w:r w:rsidRPr="00F04A75">
              <w:rPr>
                <w:rFonts w:cstheme="minorHAnsi"/>
                <w:bCs w:val="0"/>
                <w:szCs w:val="20"/>
              </w:rPr>
              <w:t xml:space="preserve"> J, </w:t>
            </w:r>
            <w:proofErr w:type="spellStart"/>
            <w:r w:rsidRPr="00F04A75">
              <w:rPr>
                <w:rFonts w:cstheme="minorHAnsi"/>
                <w:bCs w:val="0"/>
                <w:szCs w:val="20"/>
              </w:rPr>
              <w:t>DeCosta</w:t>
            </w:r>
            <w:proofErr w:type="spellEnd"/>
            <w:r w:rsidRPr="00F04A75">
              <w:rPr>
                <w:rFonts w:cstheme="minorHAnsi"/>
                <w:bCs w:val="0"/>
                <w:szCs w:val="20"/>
              </w:rPr>
              <w:t xml:space="preserve"> L, Zhou L, Obreja M, </w:t>
            </w:r>
            <w:proofErr w:type="spellStart"/>
            <w:r w:rsidRPr="00F04A75">
              <w:rPr>
                <w:rFonts w:cstheme="minorHAnsi"/>
                <w:bCs w:val="0"/>
                <w:szCs w:val="20"/>
              </w:rPr>
              <w:t>Blaedel</w:t>
            </w:r>
            <w:proofErr w:type="spellEnd"/>
            <w:r w:rsidRPr="00F04A75">
              <w:rPr>
                <w:rFonts w:cstheme="minorHAnsi"/>
                <w:bCs w:val="0"/>
                <w:szCs w:val="20"/>
              </w:rPr>
              <w:t xml:space="preserve"> J, Szabo Z, </w:t>
            </w:r>
            <w:proofErr w:type="spellStart"/>
            <w:r w:rsidRPr="00F04A75">
              <w:rPr>
                <w:rFonts w:cstheme="minorHAnsi"/>
                <w:bCs w:val="0"/>
                <w:szCs w:val="20"/>
              </w:rPr>
              <w:t>Leleu</w:t>
            </w:r>
            <w:proofErr w:type="spellEnd"/>
            <w:r w:rsidRPr="00F04A75">
              <w:rPr>
                <w:rFonts w:cstheme="minorHAnsi"/>
                <w:bCs w:val="0"/>
                <w:szCs w:val="20"/>
              </w:rPr>
              <w:t xml:space="preserve"> X. Carfilzomib in relapsed or refractory multiple myeloma patients with early or late relapse following prior therapy: A subgroup analysis of the randomized phase 3 ASPIRE and ENDEAVOR trials. </w:t>
            </w:r>
          </w:p>
        </w:tc>
        <w:tc>
          <w:tcPr>
            <w:tcW w:w="1229" w:type="pct"/>
            <w:tcBorders>
              <w:top w:val="nil"/>
              <w:bottom w:val="nil"/>
            </w:tcBorders>
            <w:shd w:val="clear" w:color="auto" w:fill="auto"/>
            <w:vAlign w:val="center"/>
          </w:tcPr>
          <w:p w14:paraId="69F22460" w14:textId="77777777" w:rsidR="006C1D50" w:rsidRPr="00F04A75" w:rsidRDefault="006C1D50" w:rsidP="00EB3700">
            <w:pPr>
              <w:pStyle w:val="TableText0"/>
              <w:keepNext w:val="0"/>
              <w:rPr>
                <w:rFonts w:cstheme="minorHAnsi"/>
                <w:szCs w:val="20"/>
              </w:rPr>
            </w:pPr>
            <w:proofErr w:type="spellStart"/>
            <w:r w:rsidRPr="00F04A75">
              <w:rPr>
                <w:rFonts w:cstheme="minorHAnsi"/>
                <w:bCs w:val="0"/>
                <w:szCs w:val="20"/>
              </w:rPr>
              <w:t>Hematological</w:t>
            </w:r>
            <w:proofErr w:type="spellEnd"/>
            <w:r w:rsidRPr="00F04A75">
              <w:rPr>
                <w:rFonts w:cstheme="minorHAnsi"/>
                <w:bCs w:val="0"/>
                <w:szCs w:val="20"/>
              </w:rPr>
              <w:t xml:space="preserve"> Oncology (2018) 36:2 (463-470)</w:t>
            </w:r>
          </w:p>
        </w:tc>
      </w:tr>
      <w:tr w:rsidR="006C1D50" w:rsidRPr="00F04A75" w14:paraId="0DE9914A" w14:textId="77777777" w:rsidTr="00EB3700">
        <w:tc>
          <w:tcPr>
            <w:tcW w:w="763" w:type="pct"/>
            <w:vMerge/>
            <w:shd w:val="clear" w:color="auto" w:fill="auto"/>
          </w:tcPr>
          <w:p w14:paraId="5247C461" w14:textId="77777777" w:rsidR="006C1D50" w:rsidRPr="00F04A75" w:rsidRDefault="006C1D50" w:rsidP="00EB3700">
            <w:pPr>
              <w:pStyle w:val="TableText0"/>
              <w:keepNext w:val="0"/>
              <w:rPr>
                <w:szCs w:val="20"/>
              </w:rPr>
            </w:pPr>
          </w:p>
        </w:tc>
        <w:tc>
          <w:tcPr>
            <w:tcW w:w="3008" w:type="pct"/>
            <w:tcBorders>
              <w:top w:val="nil"/>
              <w:bottom w:val="nil"/>
            </w:tcBorders>
            <w:shd w:val="clear" w:color="auto" w:fill="auto"/>
            <w:vAlign w:val="center"/>
          </w:tcPr>
          <w:p w14:paraId="2645A23E" w14:textId="77777777" w:rsidR="006C1D50" w:rsidRPr="00F04A75" w:rsidRDefault="006C1D50" w:rsidP="00EB3700">
            <w:pPr>
              <w:pStyle w:val="TableText0"/>
              <w:keepNext w:val="0"/>
              <w:rPr>
                <w:bCs w:val="0"/>
                <w:szCs w:val="20"/>
              </w:rPr>
            </w:pPr>
            <w:r w:rsidRPr="00F04A75">
              <w:rPr>
                <w:rFonts w:cstheme="minorHAnsi"/>
                <w:bCs w:val="0"/>
                <w:szCs w:val="20"/>
              </w:rPr>
              <w:t xml:space="preserve">Stewart AK, </w:t>
            </w:r>
            <w:proofErr w:type="spellStart"/>
            <w:r w:rsidRPr="00F04A75">
              <w:rPr>
                <w:rFonts w:cstheme="minorHAnsi"/>
                <w:bCs w:val="0"/>
                <w:szCs w:val="20"/>
              </w:rPr>
              <w:t>Dimopoulos</w:t>
            </w:r>
            <w:proofErr w:type="spellEnd"/>
            <w:r w:rsidRPr="00F04A75">
              <w:rPr>
                <w:rFonts w:cstheme="minorHAnsi"/>
                <w:bCs w:val="0"/>
                <w:szCs w:val="20"/>
              </w:rPr>
              <w:t xml:space="preserve"> MA, </w:t>
            </w:r>
            <w:proofErr w:type="spellStart"/>
            <w:r w:rsidRPr="00F04A75">
              <w:rPr>
                <w:rFonts w:cstheme="minorHAnsi"/>
                <w:bCs w:val="0"/>
                <w:szCs w:val="20"/>
              </w:rPr>
              <w:t>Masszi</w:t>
            </w:r>
            <w:proofErr w:type="spellEnd"/>
            <w:r w:rsidRPr="00F04A75">
              <w:rPr>
                <w:rFonts w:cstheme="minorHAnsi"/>
                <w:bCs w:val="0"/>
                <w:szCs w:val="20"/>
              </w:rPr>
              <w:t xml:space="preserve"> T, </w:t>
            </w:r>
            <w:proofErr w:type="spellStart"/>
            <w:r w:rsidRPr="00F04A75">
              <w:rPr>
                <w:rFonts w:cstheme="minorHAnsi"/>
                <w:bCs w:val="0"/>
                <w:szCs w:val="20"/>
              </w:rPr>
              <w:t>Špička</w:t>
            </w:r>
            <w:proofErr w:type="spellEnd"/>
            <w:r w:rsidRPr="00F04A75">
              <w:rPr>
                <w:rFonts w:cstheme="minorHAnsi"/>
                <w:bCs w:val="0"/>
                <w:szCs w:val="20"/>
              </w:rPr>
              <w:t xml:space="preserve"> I, Oriol A, </w:t>
            </w:r>
            <w:proofErr w:type="spellStart"/>
            <w:r w:rsidRPr="00F04A75">
              <w:rPr>
                <w:rFonts w:cstheme="minorHAnsi"/>
                <w:bCs w:val="0"/>
                <w:szCs w:val="20"/>
              </w:rPr>
              <w:t>Hájek</w:t>
            </w:r>
            <w:proofErr w:type="spellEnd"/>
            <w:r w:rsidRPr="00F04A75">
              <w:rPr>
                <w:rFonts w:cstheme="minorHAnsi"/>
                <w:bCs w:val="0"/>
                <w:szCs w:val="20"/>
              </w:rPr>
              <w:t xml:space="preserve"> R, </w:t>
            </w:r>
            <w:proofErr w:type="spellStart"/>
            <w:r w:rsidRPr="00F04A75">
              <w:rPr>
                <w:rFonts w:cstheme="minorHAnsi"/>
                <w:bCs w:val="0"/>
                <w:szCs w:val="20"/>
              </w:rPr>
              <w:t>Rosiñol</w:t>
            </w:r>
            <w:proofErr w:type="spellEnd"/>
            <w:r w:rsidRPr="00F04A75">
              <w:rPr>
                <w:rFonts w:cstheme="minorHAnsi"/>
                <w:bCs w:val="0"/>
                <w:szCs w:val="20"/>
              </w:rPr>
              <w:t xml:space="preserve"> L, Siegel DS, </w:t>
            </w:r>
            <w:proofErr w:type="spellStart"/>
            <w:r w:rsidRPr="00F04A75">
              <w:rPr>
                <w:rFonts w:cstheme="minorHAnsi"/>
                <w:bCs w:val="0"/>
                <w:szCs w:val="20"/>
              </w:rPr>
              <w:t>Niesvizky</w:t>
            </w:r>
            <w:proofErr w:type="spellEnd"/>
            <w:r w:rsidRPr="00F04A75">
              <w:rPr>
                <w:rFonts w:cstheme="minorHAnsi"/>
                <w:bCs w:val="0"/>
                <w:szCs w:val="20"/>
              </w:rPr>
              <w:t xml:space="preserve"> R, </w:t>
            </w:r>
            <w:proofErr w:type="spellStart"/>
            <w:r w:rsidRPr="00F04A75">
              <w:rPr>
                <w:rFonts w:cstheme="minorHAnsi"/>
                <w:bCs w:val="0"/>
                <w:szCs w:val="20"/>
              </w:rPr>
              <w:t>Jakubowiak</w:t>
            </w:r>
            <w:proofErr w:type="spellEnd"/>
            <w:r w:rsidRPr="00F04A75">
              <w:rPr>
                <w:rFonts w:cstheme="minorHAnsi"/>
                <w:bCs w:val="0"/>
                <w:szCs w:val="20"/>
              </w:rPr>
              <w:t xml:space="preserve"> AJ, San-Miguel JF, Ludwig H, Buchanan J, Cocks K, Yang X, Xing B, </w:t>
            </w:r>
            <w:proofErr w:type="spellStart"/>
            <w:r w:rsidRPr="00F04A75">
              <w:rPr>
                <w:rFonts w:cstheme="minorHAnsi"/>
                <w:bCs w:val="0"/>
                <w:szCs w:val="20"/>
              </w:rPr>
              <w:t>Zojwalla</w:t>
            </w:r>
            <w:proofErr w:type="spellEnd"/>
            <w:r w:rsidRPr="00F04A75">
              <w:rPr>
                <w:rFonts w:cstheme="minorHAnsi"/>
                <w:bCs w:val="0"/>
                <w:szCs w:val="20"/>
              </w:rPr>
              <w:t xml:space="preserve"> N, </w:t>
            </w:r>
            <w:proofErr w:type="spellStart"/>
            <w:r w:rsidRPr="00F04A75">
              <w:rPr>
                <w:rFonts w:cstheme="minorHAnsi"/>
                <w:bCs w:val="0"/>
                <w:szCs w:val="20"/>
              </w:rPr>
              <w:t>Tonda</w:t>
            </w:r>
            <w:proofErr w:type="spellEnd"/>
            <w:r w:rsidRPr="00F04A75">
              <w:rPr>
                <w:rFonts w:cstheme="minorHAnsi"/>
                <w:bCs w:val="0"/>
                <w:szCs w:val="20"/>
              </w:rPr>
              <w:t xml:space="preserve"> M, Moreau P, Palumbo A. Health-related quality-of-life results from the open-label, randomized, phase III ASPIRE trial evaluating carfilzomib, lenalidomide, and dexamethasone versus lenalidomide and dexamethasone in patients with relapsed multiple myeloma. </w:t>
            </w:r>
          </w:p>
        </w:tc>
        <w:tc>
          <w:tcPr>
            <w:tcW w:w="1229" w:type="pct"/>
            <w:tcBorders>
              <w:top w:val="nil"/>
              <w:bottom w:val="nil"/>
            </w:tcBorders>
            <w:shd w:val="clear" w:color="auto" w:fill="auto"/>
            <w:vAlign w:val="center"/>
          </w:tcPr>
          <w:p w14:paraId="586DF8AB" w14:textId="77777777" w:rsidR="006C1D50" w:rsidRPr="00F04A75" w:rsidRDefault="006C1D50" w:rsidP="00EB3700">
            <w:pPr>
              <w:pStyle w:val="TableText0"/>
              <w:keepNext w:val="0"/>
              <w:rPr>
                <w:rFonts w:cstheme="minorHAnsi"/>
                <w:szCs w:val="20"/>
              </w:rPr>
            </w:pPr>
            <w:r w:rsidRPr="00F04A75">
              <w:rPr>
                <w:rFonts w:cstheme="minorHAnsi"/>
                <w:bCs w:val="0"/>
                <w:szCs w:val="20"/>
              </w:rPr>
              <w:t>Journal of Clinical Oncology (2016) 34:32 (3921-3930)</w:t>
            </w:r>
          </w:p>
        </w:tc>
      </w:tr>
      <w:tr w:rsidR="006C1D50" w:rsidRPr="00F04A75" w14:paraId="03D6E037" w14:textId="77777777" w:rsidTr="00EB3700">
        <w:tc>
          <w:tcPr>
            <w:tcW w:w="763" w:type="pct"/>
            <w:vMerge/>
            <w:tcBorders>
              <w:bottom w:val="nil"/>
            </w:tcBorders>
            <w:shd w:val="clear" w:color="auto" w:fill="auto"/>
          </w:tcPr>
          <w:p w14:paraId="54777D34" w14:textId="77777777" w:rsidR="006C1D50" w:rsidRPr="00F04A75" w:rsidRDefault="006C1D50" w:rsidP="00EB3700">
            <w:pPr>
              <w:pStyle w:val="TableText0"/>
              <w:keepNext w:val="0"/>
              <w:rPr>
                <w:szCs w:val="20"/>
              </w:rPr>
            </w:pPr>
          </w:p>
        </w:tc>
        <w:tc>
          <w:tcPr>
            <w:tcW w:w="3008" w:type="pct"/>
            <w:tcBorders>
              <w:top w:val="nil"/>
              <w:bottom w:val="nil"/>
            </w:tcBorders>
            <w:shd w:val="clear" w:color="auto" w:fill="auto"/>
            <w:vAlign w:val="center"/>
          </w:tcPr>
          <w:p w14:paraId="070B0C03" w14:textId="77777777" w:rsidR="006C1D50" w:rsidRPr="00F04A75" w:rsidRDefault="006C1D50" w:rsidP="00EB3700">
            <w:pPr>
              <w:pStyle w:val="TableText0"/>
              <w:keepNext w:val="0"/>
              <w:rPr>
                <w:szCs w:val="20"/>
              </w:rPr>
            </w:pPr>
            <w:proofErr w:type="spellStart"/>
            <w:r w:rsidRPr="00F04A75">
              <w:rPr>
                <w:rFonts w:cstheme="minorHAnsi"/>
                <w:bCs w:val="0"/>
                <w:szCs w:val="20"/>
              </w:rPr>
              <w:t>Avet</w:t>
            </w:r>
            <w:proofErr w:type="spellEnd"/>
            <w:r w:rsidRPr="00F04A75">
              <w:rPr>
                <w:rFonts w:cstheme="minorHAnsi"/>
                <w:bCs w:val="0"/>
                <w:szCs w:val="20"/>
              </w:rPr>
              <w:t>-Loiseau H, F</w:t>
            </w:r>
            <w:r w:rsidRPr="00F04A75">
              <w:rPr>
                <w:rFonts w:cstheme="minorHAnsi"/>
                <w:szCs w:val="20"/>
              </w:rPr>
              <w:t xml:space="preserve">onseca R, Siegel D, </w:t>
            </w:r>
            <w:proofErr w:type="spellStart"/>
            <w:r w:rsidRPr="00F04A75">
              <w:rPr>
                <w:rFonts w:cstheme="minorHAnsi"/>
                <w:szCs w:val="20"/>
              </w:rPr>
              <w:t>Dimopoulos</w:t>
            </w:r>
            <w:proofErr w:type="spellEnd"/>
            <w:r w:rsidRPr="00F04A75">
              <w:rPr>
                <w:rFonts w:cstheme="minorHAnsi"/>
                <w:szCs w:val="20"/>
              </w:rPr>
              <w:t xml:space="preserve"> MA, </w:t>
            </w:r>
            <w:proofErr w:type="spellStart"/>
            <w:r w:rsidRPr="00F04A75">
              <w:rPr>
                <w:rFonts w:cstheme="minorHAnsi"/>
                <w:szCs w:val="20"/>
              </w:rPr>
              <w:t>Špička</w:t>
            </w:r>
            <w:proofErr w:type="spellEnd"/>
            <w:r w:rsidRPr="00F04A75">
              <w:rPr>
                <w:rFonts w:cstheme="minorHAnsi"/>
                <w:szCs w:val="20"/>
              </w:rPr>
              <w:t xml:space="preserve"> I, </w:t>
            </w:r>
            <w:proofErr w:type="spellStart"/>
            <w:r w:rsidRPr="00F04A75">
              <w:rPr>
                <w:rFonts w:cstheme="minorHAnsi"/>
                <w:szCs w:val="20"/>
              </w:rPr>
              <w:t>Masszi</w:t>
            </w:r>
            <w:proofErr w:type="spellEnd"/>
            <w:r w:rsidRPr="00F04A75">
              <w:rPr>
                <w:rFonts w:cstheme="minorHAnsi"/>
                <w:szCs w:val="20"/>
              </w:rPr>
              <w:t xml:space="preserve"> T, </w:t>
            </w:r>
            <w:proofErr w:type="spellStart"/>
            <w:r w:rsidRPr="00F04A75">
              <w:rPr>
                <w:rFonts w:cstheme="minorHAnsi"/>
                <w:szCs w:val="20"/>
              </w:rPr>
              <w:t>Hájek</w:t>
            </w:r>
            <w:proofErr w:type="spellEnd"/>
            <w:r w:rsidRPr="00F04A75">
              <w:rPr>
                <w:rFonts w:cstheme="minorHAnsi"/>
                <w:szCs w:val="20"/>
              </w:rPr>
              <w:t xml:space="preserve"> R, </w:t>
            </w:r>
            <w:proofErr w:type="spellStart"/>
            <w:r w:rsidRPr="00F04A75">
              <w:rPr>
                <w:rFonts w:cstheme="minorHAnsi"/>
                <w:szCs w:val="20"/>
              </w:rPr>
              <w:t>Rosiñol</w:t>
            </w:r>
            <w:proofErr w:type="spellEnd"/>
            <w:r w:rsidRPr="00F04A75">
              <w:rPr>
                <w:rFonts w:cstheme="minorHAnsi"/>
                <w:szCs w:val="20"/>
              </w:rPr>
              <w:t xml:space="preserve"> L, </w:t>
            </w:r>
            <w:proofErr w:type="spellStart"/>
            <w:r w:rsidRPr="00F04A75">
              <w:rPr>
                <w:rFonts w:cstheme="minorHAnsi"/>
                <w:szCs w:val="20"/>
              </w:rPr>
              <w:t>Goranova-Marinova</w:t>
            </w:r>
            <w:proofErr w:type="spellEnd"/>
            <w:r w:rsidRPr="00F04A75">
              <w:rPr>
                <w:rFonts w:cstheme="minorHAnsi"/>
                <w:szCs w:val="20"/>
              </w:rPr>
              <w:t xml:space="preserve"> V, </w:t>
            </w:r>
            <w:proofErr w:type="spellStart"/>
            <w:r w:rsidRPr="00F04A75">
              <w:rPr>
                <w:rFonts w:cstheme="minorHAnsi"/>
                <w:szCs w:val="20"/>
              </w:rPr>
              <w:t>Mihaylov</w:t>
            </w:r>
            <w:proofErr w:type="spellEnd"/>
            <w:r w:rsidRPr="00F04A75">
              <w:rPr>
                <w:rFonts w:cstheme="minorHAnsi"/>
                <w:szCs w:val="20"/>
              </w:rPr>
              <w:t xml:space="preserve"> G, </w:t>
            </w:r>
            <w:proofErr w:type="spellStart"/>
            <w:r w:rsidRPr="00F04A75">
              <w:rPr>
                <w:rFonts w:cstheme="minorHAnsi"/>
                <w:szCs w:val="20"/>
              </w:rPr>
              <w:t>Maisnar</w:t>
            </w:r>
            <w:proofErr w:type="spellEnd"/>
            <w:r w:rsidRPr="00F04A75">
              <w:rPr>
                <w:rFonts w:cstheme="minorHAnsi"/>
                <w:szCs w:val="20"/>
              </w:rPr>
              <w:t xml:space="preserve"> V, </w:t>
            </w:r>
            <w:proofErr w:type="spellStart"/>
            <w:r w:rsidRPr="00F04A75">
              <w:rPr>
                <w:rFonts w:cstheme="minorHAnsi"/>
                <w:szCs w:val="20"/>
              </w:rPr>
              <w:t>Mateos</w:t>
            </w:r>
            <w:proofErr w:type="spellEnd"/>
            <w:r w:rsidRPr="00F04A75">
              <w:rPr>
                <w:rFonts w:cstheme="minorHAnsi"/>
                <w:szCs w:val="20"/>
              </w:rPr>
              <w:t xml:space="preserve"> M-V, Wang M, </w:t>
            </w:r>
            <w:proofErr w:type="spellStart"/>
            <w:r w:rsidRPr="00F04A75">
              <w:rPr>
                <w:rFonts w:cstheme="minorHAnsi"/>
                <w:szCs w:val="20"/>
              </w:rPr>
              <w:t>Niesvizky</w:t>
            </w:r>
            <w:proofErr w:type="spellEnd"/>
            <w:r w:rsidRPr="00F04A75">
              <w:rPr>
                <w:rFonts w:cstheme="minorHAnsi"/>
                <w:szCs w:val="20"/>
              </w:rPr>
              <w:t xml:space="preserve"> R, Oriol A, </w:t>
            </w:r>
            <w:proofErr w:type="spellStart"/>
            <w:r w:rsidRPr="00F04A75">
              <w:rPr>
                <w:rFonts w:cstheme="minorHAnsi"/>
                <w:szCs w:val="20"/>
              </w:rPr>
              <w:t>Jakubowiak</w:t>
            </w:r>
            <w:proofErr w:type="spellEnd"/>
            <w:r w:rsidRPr="00F04A75">
              <w:rPr>
                <w:rFonts w:cstheme="minorHAnsi"/>
                <w:szCs w:val="20"/>
              </w:rPr>
              <w:t xml:space="preserve"> A, </w:t>
            </w:r>
            <w:proofErr w:type="spellStart"/>
            <w:r w:rsidRPr="00F04A75">
              <w:rPr>
                <w:rFonts w:cstheme="minorHAnsi"/>
                <w:szCs w:val="20"/>
              </w:rPr>
              <w:t>Minarik</w:t>
            </w:r>
            <w:proofErr w:type="spellEnd"/>
            <w:r w:rsidRPr="00F04A75">
              <w:rPr>
                <w:rFonts w:cstheme="minorHAnsi"/>
                <w:szCs w:val="20"/>
              </w:rPr>
              <w:t xml:space="preserve"> J, Palumbo A, </w:t>
            </w:r>
            <w:proofErr w:type="spellStart"/>
            <w:r w:rsidRPr="00F04A75">
              <w:rPr>
                <w:rFonts w:cstheme="minorHAnsi"/>
                <w:szCs w:val="20"/>
              </w:rPr>
              <w:t>Bensinger</w:t>
            </w:r>
            <w:proofErr w:type="spellEnd"/>
            <w:r w:rsidRPr="00F04A75">
              <w:rPr>
                <w:rFonts w:cstheme="minorHAnsi"/>
                <w:szCs w:val="20"/>
              </w:rPr>
              <w:t xml:space="preserve"> W, </w:t>
            </w:r>
            <w:proofErr w:type="spellStart"/>
            <w:r w:rsidRPr="00F04A75">
              <w:rPr>
                <w:rFonts w:cstheme="minorHAnsi"/>
                <w:szCs w:val="20"/>
              </w:rPr>
              <w:t>Kukreti</w:t>
            </w:r>
            <w:proofErr w:type="spellEnd"/>
            <w:r w:rsidRPr="00F04A75">
              <w:rPr>
                <w:rFonts w:cstheme="minorHAnsi"/>
                <w:szCs w:val="20"/>
              </w:rPr>
              <w:t xml:space="preserve"> V, Ben-Yehuda D, Stewart AK, Obreja M, Moreau P. Carfilzomib significantly improves the progression-free survival of high-risk patients in multiple myeloma. </w:t>
            </w:r>
          </w:p>
        </w:tc>
        <w:tc>
          <w:tcPr>
            <w:tcW w:w="1229" w:type="pct"/>
            <w:tcBorders>
              <w:top w:val="nil"/>
              <w:bottom w:val="nil"/>
            </w:tcBorders>
            <w:shd w:val="clear" w:color="auto" w:fill="auto"/>
            <w:vAlign w:val="center"/>
          </w:tcPr>
          <w:p w14:paraId="4DD87394" w14:textId="77777777" w:rsidR="006C1D50" w:rsidRPr="00F04A75" w:rsidRDefault="006C1D50" w:rsidP="00EB3700">
            <w:pPr>
              <w:pStyle w:val="TableText0"/>
              <w:keepNext w:val="0"/>
              <w:rPr>
                <w:rFonts w:cstheme="minorHAnsi"/>
                <w:szCs w:val="20"/>
              </w:rPr>
            </w:pPr>
            <w:r w:rsidRPr="00F04A75">
              <w:rPr>
                <w:rFonts w:cstheme="minorHAnsi"/>
                <w:szCs w:val="20"/>
              </w:rPr>
              <w:t>Blood (2016) 128:9 (1174-1180)</w:t>
            </w:r>
          </w:p>
        </w:tc>
      </w:tr>
      <w:tr w:rsidR="006C1D50" w:rsidRPr="00F04A75" w14:paraId="6A3E89C1" w14:textId="77777777" w:rsidTr="00EB3700">
        <w:tc>
          <w:tcPr>
            <w:tcW w:w="763" w:type="pct"/>
            <w:vMerge w:val="restart"/>
            <w:shd w:val="clear" w:color="auto" w:fill="B8CCE4" w:themeFill="accent1" w:themeFillTint="66"/>
          </w:tcPr>
          <w:p w14:paraId="65646396" w14:textId="77777777" w:rsidR="006C1D50" w:rsidRPr="00F04A75" w:rsidRDefault="006C1D50" w:rsidP="00EB3700">
            <w:pPr>
              <w:pStyle w:val="TableText0"/>
              <w:keepNext w:val="0"/>
              <w:rPr>
                <w:szCs w:val="20"/>
              </w:rPr>
            </w:pPr>
            <w:r w:rsidRPr="00F04A75">
              <w:rPr>
                <w:szCs w:val="20"/>
              </w:rPr>
              <w:t>ENDEAVOR</w:t>
            </w:r>
          </w:p>
          <w:p w14:paraId="574D67E1" w14:textId="77777777" w:rsidR="006C1D50" w:rsidRPr="00F04A75" w:rsidRDefault="006C1D50" w:rsidP="00EB3700">
            <w:pPr>
              <w:pStyle w:val="TableText0"/>
              <w:keepNext w:val="0"/>
              <w:rPr>
                <w:szCs w:val="20"/>
              </w:rPr>
            </w:pPr>
            <w:r w:rsidRPr="00F04A75">
              <w:rPr>
                <w:szCs w:val="20"/>
              </w:rPr>
              <w:t>NCT01568866</w:t>
            </w:r>
          </w:p>
        </w:tc>
        <w:tc>
          <w:tcPr>
            <w:tcW w:w="3008" w:type="pct"/>
            <w:tcBorders>
              <w:bottom w:val="nil"/>
            </w:tcBorders>
            <w:shd w:val="clear" w:color="auto" w:fill="B8CCE4" w:themeFill="accent1" w:themeFillTint="66"/>
            <w:vAlign w:val="center"/>
          </w:tcPr>
          <w:p w14:paraId="4F96FC47" w14:textId="77777777" w:rsidR="006C1D50" w:rsidRPr="00F04A75" w:rsidRDefault="006C1D50" w:rsidP="00EB3700">
            <w:pPr>
              <w:jc w:val="left"/>
              <w:rPr>
                <w:rFonts w:ascii="Arial Narrow" w:hAnsi="Arial Narrow"/>
                <w:sz w:val="20"/>
                <w:szCs w:val="20"/>
              </w:rPr>
            </w:pPr>
            <w:r w:rsidRPr="00F04A75">
              <w:rPr>
                <w:rFonts w:ascii="Arial Narrow" w:hAnsi="Arial Narrow"/>
                <w:sz w:val="20"/>
                <w:szCs w:val="20"/>
              </w:rPr>
              <w:t xml:space="preserve">A Randomised, Open-label, Phase 3 Study of Carfilzomib Plus Dexamethasone vs. Bortezomib Plus Dexamethasone in Patients with Relapsed Multiple Myeloma. </w:t>
            </w:r>
          </w:p>
          <w:p w14:paraId="6E590BF4" w14:textId="77777777" w:rsidR="006C1D50" w:rsidRPr="00F04A75" w:rsidRDefault="006C1D50" w:rsidP="00EB3700">
            <w:pPr>
              <w:pStyle w:val="TableText0"/>
              <w:keepNext w:val="0"/>
              <w:rPr>
                <w:szCs w:val="20"/>
              </w:rPr>
            </w:pPr>
          </w:p>
        </w:tc>
        <w:tc>
          <w:tcPr>
            <w:tcW w:w="1229" w:type="pct"/>
            <w:tcBorders>
              <w:bottom w:val="nil"/>
            </w:tcBorders>
            <w:shd w:val="clear" w:color="auto" w:fill="B8CCE4" w:themeFill="accent1" w:themeFillTint="66"/>
            <w:vAlign w:val="center"/>
          </w:tcPr>
          <w:p w14:paraId="692C7983" w14:textId="77777777" w:rsidR="006C1D50" w:rsidRPr="00F04A75" w:rsidRDefault="006C1D50" w:rsidP="00EB3700">
            <w:pPr>
              <w:pStyle w:val="TableText0"/>
              <w:keepNext w:val="0"/>
              <w:rPr>
                <w:szCs w:val="20"/>
              </w:rPr>
            </w:pPr>
            <w:r w:rsidRPr="00F04A75">
              <w:rPr>
                <w:szCs w:val="20"/>
              </w:rPr>
              <w:t>26 May 2015</w:t>
            </w:r>
          </w:p>
        </w:tc>
      </w:tr>
      <w:tr w:rsidR="006C1D50" w:rsidRPr="00F04A75" w14:paraId="51A9952B" w14:textId="77777777" w:rsidTr="00EB3700">
        <w:tc>
          <w:tcPr>
            <w:tcW w:w="763" w:type="pct"/>
            <w:vMerge/>
            <w:shd w:val="clear" w:color="auto" w:fill="auto"/>
          </w:tcPr>
          <w:p w14:paraId="7C3791EB" w14:textId="77777777" w:rsidR="006C1D50" w:rsidRPr="00F04A75" w:rsidRDefault="006C1D50" w:rsidP="00EB3700">
            <w:pPr>
              <w:pStyle w:val="TableText0"/>
              <w:keepNext w:val="0"/>
              <w:rPr>
                <w:szCs w:val="20"/>
              </w:rPr>
            </w:pPr>
          </w:p>
        </w:tc>
        <w:tc>
          <w:tcPr>
            <w:tcW w:w="3008" w:type="pct"/>
            <w:tcBorders>
              <w:top w:val="nil"/>
              <w:bottom w:val="nil"/>
            </w:tcBorders>
            <w:shd w:val="clear" w:color="auto" w:fill="B8CCE4" w:themeFill="accent1" w:themeFillTint="66"/>
            <w:vAlign w:val="center"/>
          </w:tcPr>
          <w:p w14:paraId="7AE5D848" w14:textId="77777777" w:rsidR="006C1D50" w:rsidRPr="00F04A75" w:rsidRDefault="006C1D50" w:rsidP="00EB3700">
            <w:pPr>
              <w:pStyle w:val="TableText0"/>
              <w:keepNext w:val="0"/>
              <w:rPr>
                <w:szCs w:val="20"/>
              </w:rPr>
            </w:pPr>
            <w:proofErr w:type="spellStart"/>
            <w:r w:rsidRPr="00F04A75">
              <w:rPr>
                <w:szCs w:val="20"/>
              </w:rPr>
              <w:t>Dimopoulos</w:t>
            </w:r>
            <w:proofErr w:type="spellEnd"/>
            <w:r w:rsidRPr="00F04A75">
              <w:rPr>
                <w:szCs w:val="20"/>
              </w:rPr>
              <w:t xml:space="preserve"> MA, Moreau P, Palumbo A, </w:t>
            </w:r>
            <w:r w:rsidRPr="00F04A75">
              <w:rPr>
                <w:i/>
                <w:szCs w:val="20"/>
              </w:rPr>
              <w:t>et al</w:t>
            </w:r>
            <w:r w:rsidRPr="00F04A75">
              <w:rPr>
                <w:szCs w:val="20"/>
              </w:rPr>
              <w:t>. Carfilzomib and dexamethasone versus bortezomib and dexamethasone for patients with relapsed or refractory multiple myeloma (ENDEAVOR): a randomised, phase 3, open-label, multicentre study</w:t>
            </w:r>
          </w:p>
        </w:tc>
        <w:tc>
          <w:tcPr>
            <w:tcW w:w="1229" w:type="pct"/>
            <w:tcBorders>
              <w:top w:val="nil"/>
              <w:bottom w:val="nil"/>
            </w:tcBorders>
            <w:shd w:val="clear" w:color="auto" w:fill="B8CCE4" w:themeFill="accent1" w:themeFillTint="66"/>
            <w:vAlign w:val="center"/>
          </w:tcPr>
          <w:p w14:paraId="5EA7425B" w14:textId="77777777" w:rsidR="006C1D50" w:rsidRPr="00F04A75" w:rsidRDefault="006C1D50" w:rsidP="00EB3700">
            <w:pPr>
              <w:pStyle w:val="TableText0"/>
              <w:keepNext w:val="0"/>
              <w:rPr>
                <w:iCs/>
                <w:szCs w:val="20"/>
              </w:rPr>
            </w:pPr>
            <w:r w:rsidRPr="00F04A75">
              <w:rPr>
                <w:iCs/>
                <w:szCs w:val="20"/>
              </w:rPr>
              <w:t>Lancet Oncol 2016; 17:27–38.</w:t>
            </w:r>
          </w:p>
        </w:tc>
      </w:tr>
      <w:tr w:rsidR="006C1D50" w:rsidRPr="00F04A75" w14:paraId="501BAB6A" w14:textId="77777777" w:rsidTr="00EB3700">
        <w:tc>
          <w:tcPr>
            <w:tcW w:w="763" w:type="pct"/>
            <w:vMerge/>
            <w:tcBorders>
              <w:bottom w:val="nil"/>
            </w:tcBorders>
            <w:shd w:val="clear" w:color="auto" w:fill="auto"/>
          </w:tcPr>
          <w:p w14:paraId="71CC72FA" w14:textId="77777777" w:rsidR="006C1D50" w:rsidRPr="00F04A75" w:rsidRDefault="006C1D50" w:rsidP="00EB3700">
            <w:pPr>
              <w:pStyle w:val="TableText0"/>
              <w:keepNext w:val="0"/>
              <w:rPr>
                <w:szCs w:val="20"/>
              </w:rPr>
            </w:pPr>
          </w:p>
        </w:tc>
        <w:tc>
          <w:tcPr>
            <w:tcW w:w="3008" w:type="pct"/>
            <w:tcBorders>
              <w:top w:val="nil"/>
              <w:bottom w:val="single" w:sz="4" w:space="0" w:color="auto"/>
            </w:tcBorders>
            <w:shd w:val="clear" w:color="auto" w:fill="auto"/>
            <w:vAlign w:val="center"/>
          </w:tcPr>
          <w:p w14:paraId="4B63D14A" w14:textId="77777777" w:rsidR="006C1D50" w:rsidRPr="00F04A75" w:rsidRDefault="006C1D50" w:rsidP="00EB3700">
            <w:pPr>
              <w:pStyle w:val="TableText0"/>
              <w:keepNext w:val="0"/>
              <w:rPr>
                <w:szCs w:val="20"/>
              </w:rPr>
            </w:pPr>
            <w:proofErr w:type="spellStart"/>
            <w:r w:rsidRPr="00F04A75">
              <w:rPr>
                <w:szCs w:val="20"/>
              </w:rPr>
              <w:t>Dimopoulos</w:t>
            </w:r>
            <w:proofErr w:type="spellEnd"/>
            <w:r w:rsidRPr="00F04A75">
              <w:rPr>
                <w:szCs w:val="20"/>
              </w:rPr>
              <w:t xml:space="preserve"> MA, et al. Carfilzomib or bortezomib in relapsed or refractory multiple myeloma (ENDEAVOR): an interim overall survival analysis of an </w:t>
            </w:r>
            <w:proofErr w:type="gramStart"/>
            <w:r w:rsidRPr="00F04A75">
              <w:rPr>
                <w:szCs w:val="20"/>
              </w:rPr>
              <w:t>open-label</w:t>
            </w:r>
            <w:proofErr w:type="gramEnd"/>
            <w:r w:rsidRPr="00F04A75">
              <w:rPr>
                <w:szCs w:val="20"/>
              </w:rPr>
              <w:t>, randomised, phase 3 trial</w:t>
            </w:r>
          </w:p>
        </w:tc>
        <w:tc>
          <w:tcPr>
            <w:tcW w:w="1229" w:type="pct"/>
            <w:tcBorders>
              <w:top w:val="nil"/>
              <w:bottom w:val="single" w:sz="4" w:space="0" w:color="auto"/>
            </w:tcBorders>
            <w:shd w:val="clear" w:color="auto" w:fill="auto"/>
            <w:vAlign w:val="center"/>
          </w:tcPr>
          <w:p w14:paraId="4F60D016" w14:textId="77777777" w:rsidR="006C1D50" w:rsidRPr="00F04A75" w:rsidRDefault="006C1D50" w:rsidP="00EB3700">
            <w:pPr>
              <w:pStyle w:val="TableText0"/>
              <w:keepNext w:val="0"/>
              <w:rPr>
                <w:szCs w:val="20"/>
              </w:rPr>
            </w:pPr>
            <w:r w:rsidRPr="00F04A75">
              <w:rPr>
                <w:szCs w:val="20"/>
              </w:rPr>
              <w:t xml:space="preserve">Lancet Oncol </w:t>
            </w:r>
            <w:proofErr w:type="gramStart"/>
            <w:r w:rsidRPr="00F04A75">
              <w:rPr>
                <w:szCs w:val="20"/>
              </w:rPr>
              <w:t>2017;18:1327</w:t>
            </w:r>
            <w:proofErr w:type="gramEnd"/>
            <w:r w:rsidRPr="00F04A75">
              <w:rPr>
                <w:szCs w:val="20"/>
              </w:rPr>
              <w:t>-37</w:t>
            </w:r>
          </w:p>
        </w:tc>
      </w:tr>
      <w:tr w:rsidR="00EB3700" w:rsidRPr="00F04A75" w14:paraId="30E7844E" w14:textId="77777777" w:rsidTr="00EB3700">
        <w:tc>
          <w:tcPr>
            <w:tcW w:w="763" w:type="pct"/>
            <w:vMerge w:val="restart"/>
            <w:shd w:val="clear" w:color="auto" w:fill="auto"/>
          </w:tcPr>
          <w:p w14:paraId="508BF007" w14:textId="629C28B4" w:rsidR="00EB3700" w:rsidRPr="00F04A75" w:rsidRDefault="00EB3700" w:rsidP="00EB3700">
            <w:pPr>
              <w:pStyle w:val="TableText0"/>
              <w:keepNext w:val="0"/>
              <w:rPr>
                <w:szCs w:val="20"/>
              </w:rPr>
            </w:pPr>
            <w:r w:rsidRPr="00F04A75">
              <w:rPr>
                <w:szCs w:val="20"/>
              </w:rPr>
              <w:t>ARROW</w:t>
            </w:r>
          </w:p>
        </w:tc>
        <w:tc>
          <w:tcPr>
            <w:tcW w:w="3008" w:type="pct"/>
            <w:tcBorders>
              <w:bottom w:val="nil"/>
            </w:tcBorders>
            <w:shd w:val="clear" w:color="auto" w:fill="auto"/>
            <w:vAlign w:val="center"/>
          </w:tcPr>
          <w:p w14:paraId="23841350" w14:textId="77777777" w:rsidR="00EB3700" w:rsidRPr="00F04A75" w:rsidRDefault="00EB3700" w:rsidP="00EB3700">
            <w:pPr>
              <w:pStyle w:val="TableText0"/>
              <w:keepNext w:val="0"/>
              <w:rPr>
                <w:szCs w:val="20"/>
              </w:rPr>
            </w:pPr>
            <w:r w:rsidRPr="00F04A75">
              <w:rPr>
                <w:szCs w:val="20"/>
              </w:rPr>
              <w:t xml:space="preserve">A Randomized, Open-label, Phase 3 Study in Subjects </w:t>
            </w:r>
            <w:proofErr w:type="gramStart"/>
            <w:r w:rsidRPr="00F04A75">
              <w:rPr>
                <w:szCs w:val="20"/>
              </w:rPr>
              <w:t>With</w:t>
            </w:r>
            <w:proofErr w:type="gramEnd"/>
            <w:r w:rsidRPr="00F04A75">
              <w:rPr>
                <w:szCs w:val="20"/>
              </w:rPr>
              <w:t xml:space="preserve"> Relapsed and Refractory Multiple Myeloma Receiving Carfilzomib in Combination With Dexamethasone, Comparing Once-weekly Versus Twice-weekly Carfilzomib Dosing</w:t>
            </w:r>
          </w:p>
        </w:tc>
        <w:tc>
          <w:tcPr>
            <w:tcW w:w="1229" w:type="pct"/>
            <w:tcBorders>
              <w:bottom w:val="nil"/>
            </w:tcBorders>
            <w:shd w:val="clear" w:color="auto" w:fill="auto"/>
            <w:vAlign w:val="center"/>
          </w:tcPr>
          <w:p w14:paraId="1CE5A494" w14:textId="77777777" w:rsidR="00EB3700" w:rsidRPr="00F04A75" w:rsidRDefault="00EB3700" w:rsidP="00EB3700">
            <w:pPr>
              <w:pStyle w:val="TableText0"/>
              <w:keepNext w:val="0"/>
              <w:rPr>
                <w:szCs w:val="20"/>
              </w:rPr>
            </w:pPr>
            <w:r w:rsidRPr="00F04A75">
              <w:rPr>
                <w:szCs w:val="20"/>
              </w:rPr>
              <w:t>June 2019</w:t>
            </w:r>
          </w:p>
        </w:tc>
      </w:tr>
      <w:tr w:rsidR="00EB3700" w:rsidRPr="00F04A75" w14:paraId="7880117B" w14:textId="77777777" w:rsidTr="00EB3700">
        <w:tc>
          <w:tcPr>
            <w:tcW w:w="763" w:type="pct"/>
            <w:vMerge/>
            <w:tcBorders>
              <w:bottom w:val="single" w:sz="4" w:space="0" w:color="auto"/>
            </w:tcBorders>
            <w:shd w:val="clear" w:color="auto" w:fill="auto"/>
          </w:tcPr>
          <w:p w14:paraId="3CCB6334" w14:textId="21E17D99" w:rsidR="00EB3700" w:rsidRPr="00F04A75" w:rsidRDefault="00EB3700" w:rsidP="00EB3700">
            <w:pPr>
              <w:pStyle w:val="TableText0"/>
              <w:keepNext w:val="0"/>
              <w:rPr>
                <w:szCs w:val="20"/>
              </w:rPr>
            </w:pPr>
          </w:p>
        </w:tc>
        <w:tc>
          <w:tcPr>
            <w:tcW w:w="3008" w:type="pct"/>
            <w:tcBorders>
              <w:top w:val="nil"/>
              <w:bottom w:val="single" w:sz="4" w:space="0" w:color="auto"/>
            </w:tcBorders>
            <w:shd w:val="clear" w:color="auto" w:fill="auto"/>
            <w:vAlign w:val="center"/>
          </w:tcPr>
          <w:p w14:paraId="61A98493" w14:textId="77777777" w:rsidR="00EB3700" w:rsidRPr="00F04A75" w:rsidRDefault="00EB3700" w:rsidP="00EB3700">
            <w:pPr>
              <w:pStyle w:val="TableText0"/>
              <w:keepNext w:val="0"/>
              <w:rPr>
                <w:szCs w:val="20"/>
              </w:rPr>
            </w:pPr>
            <w:r w:rsidRPr="00F04A75">
              <w:rPr>
                <w:szCs w:val="20"/>
              </w:rPr>
              <w:t>Moreau P, et al. Once weekly versus twice weekly carfilzomib dosing in patients with relapsed and refractory multiple myeloma (A.R.R.O.W.): interim analysis results of a randomised, phase 3 study.</w:t>
            </w:r>
          </w:p>
        </w:tc>
        <w:tc>
          <w:tcPr>
            <w:tcW w:w="1229" w:type="pct"/>
            <w:tcBorders>
              <w:top w:val="nil"/>
              <w:bottom w:val="single" w:sz="4" w:space="0" w:color="auto"/>
            </w:tcBorders>
            <w:shd w:val="clear" w:color="auto" w:fill="auto"/>
            <w:vAlign w:val="center"/>
          </w:tcPr>
          <w:p w14:paraId="3F4FEE91" w14:textId="77777777" w:rsidR="00EB3700" w:rsidRPr="00F04A75" w:rsidRDefault="00EB3700" w:rsidP="00EB3700">
            <w:pPr>
              <w:pStyle w:val="TableText0"/>
              <w:keepNext w:val="0"/>
              <w:rPr>
                <w:szCs w:val="20"/>
              </w:rPr>
            </w:pPr>
            <w:r w:rsidRPr="00F04A75">
              <w:rPr>
                <w:szCs w:val="20"/>
              </w:rPr>
              <w:t xml:space="preserve">Lancet Oncol </w:t>
            </w:r>
            <w:proofErr w:type="gramStart"/>
            <w:r w:rsidRPr="00F04A75">
              <w:rPr>
                <w:szCs w:val="20"/>
              </w:rPr>
              <w:t>2018;19:953</w:t>
            </w:r>
            <w:proofErr w:type="gramEnd"/>
            <w:r w:rsidRPr="00F04A75">
              <w:rPr>
                <w:szCs w:val="20"/>
              </w:rPr>
              <w:t>-64</w:t>
            </w:r>
          </w:p>
        </w:tc>
      </w:tr>
      <w:tr w:rsidR="006C1D50" w:rsidRPr="00F04A75" w14:paraId="4E4CA7D2" w14:textId="77777777" w:rsidTr="00EB3700">
        <w:tc>
          <w:tcPr>
            <w:tcW w:w="763" w:type="pct"/>
            <w:vMerge w:val="restart"/>
            <w:tcBorders>
              <w:top w:val="single" w:sz="4" w:space="0" w:color="auto"/>
              <w:left w:val="single" w:sz="4" w:space="0" w:color="auto"/>
              <w:right w:val="single" w:sz="4" w:space="0" w:color="auto"/>
            </w:tcBorders>
            <w:shd w:val="clear" w:color="auto" w:fill="B8CCE4" w:themeFill="accent1" w:themeFillTint="66"/>
          </w:tcPr>
          <w:p w14:paraId="642B8F99" w14:textId="77777777" w:rsidR="006C1D50" w:rsidRPr="00F04A75" w:rsidRDefault="006C1D50" w:rsidP="00EB3700">
            <w:pPr>
              <w:pStyle w:val="TableText0"/>
              <w:keepNext w:val="0"/>
              <w:rPr>
                <w:szCs w:val="20"/>
              </w:rPr>
            </w:pPr>
            <w:r w:rsidRPr="00F04A75">
              <w:rPr>
                <w:szCs w:val="20"/>
              </w:rPr>
              <w:t xml:space="preserve">ELOQUENT-2 </w:t>
            </w:r>
          </w:p>
        </w:tc>
        <w:tc>
          <w:tcPr>
            <w:tcW w:w="3008" w:type="pct"/>
            <w:tcBorders>
              <w:top w:val="single" w:sz="4" w:space="0" w:color="auto"/>
              <w:left w:val="single" w:sz="4" w:space="0" w:color="auto"/>
              <w:bottom w:val="nil"/>
              <w:right w:val="single" w:sz="4" w:space="0" w:color="auto"/>
            </w:tcBorders>
            <w:shd w:val="clear" w:color="auto" w:fill="B8CCE4" w:themeFill="accent1" w:themeFillTint="66"/>
            <w:vAlign w:val="center"/>
          </w:tcPr>
          <w:p w14:paraId="7630BA6B" w14:textId="77777777" w:rsidR="006C1D50" w:rsidRPr="00F04A75" w:rsidRDefault="006C1D50" w:rsidP="00EB3700">
            <w:pPr>
              <w:pStyle w:val="TableText0"/>
              <w:keepNext w:val="0"/>
              <w:rPr>
                <w:szCs w:val="20"/>
              </w:rPr>
            </w:pPr>
            <w:proofErr w:type="spellStart"/>
            <w:r w:rsidRPr="00F04A75">
              <w:rPr>
                <w:szCs w:val="20"/>
              </w:rPr>
              <w:t>Lonial</w:t>
            </w:r>
            <w:proofErr w:type="spellEnd"/>
            <w:r w:rsidRPr="00F04A75">
              <w:rPr>
                <w:szCs w:val="20"/>
              </w:rPr>
              <w:t xml:space="preserve"> S, et al. </w:t>
            </w:r>
            <w:proofErr w:type="spellStart"/>
            <w:r w:rsidRPr="00F04A75">
              <w:rPr>
                <w:szCs w:val="20"/>
              </w:rPr>
              <w:t>Elotuzumab</w:t>
            </w:r>
            <w:proofErr w:type="spellEnd"/>
            <w:r w:rsidRPr="00F04A75">
              <w:rPr>
                <w:szCs w:val="20"/>
              </w:rPr>
              <w:t xml:space="preserve"> Therapy for Relapsed or Refractory Multiple Myeloma.</w:t>
            </w:r>
          </w:p>
        </w:tc>
        <w:tc>
          <w:tcPr>
            <w:tcW w:w="1229" w:type="pct"/>
            <w:tcBorders>
              <w:top w:val="single" w:sz="4" w:space="0" w:color="auto"/>
              <w:left w:val="single" w:sz="4" w:space="0" w:color="auto"/>
              <w:bottom w:val="nil"/>
              <w:right w:val="single" w:sz="4" w:space="0" w:color="auto"/>
            </w:tcBorders>
            <w:shd w:val="clear" w:color="auto" w:fill="B8CCE4" w:themeFill="accent1" w:themeFillTint="66"/>
            <w:vAlign w:val="center"/>
          </w:tcPr>
          <w:p w14:paraId="466C92E8" w14:textId="77777777" w:rsidR="006C1D50" w:rsidRPr="00F04A75" w:rsidRDefault="006C1D50" w:rsidP="00EB3700">
            <w:pPr>
              <w:pStyle w:val="TableText0"/>
              <w:keepNext w:val="0"/>
              <w:rPr>
                <w:iCs/>
                <w:szCs w:val="20"/>
              </w:rPr>
            </w:pPr>
            <w:r w:rsidRPr="00F04A75">
              <w:rPr>
                <w:iCs/>
                <w:szCs w:val="20"/>
              </w:rPr>
              <w:t xml:space="preserve">N </w:t>
            </w:r>
            <w:proofErr w:type="spellStart"/>
            <w:r w:rsidRPr="00F04A75">
              <w:rPr>
                <w:iCs/>
                <w:szCs w:val="20"/>
              </w:rPr>
              <w:t>Engl</w:t>
            </w:r>
            <w:proofErr w:type="spellEnd"/>
            <w:r w:rsidRPr="00F04A75">
              <w:rPr>
                <w:iCs/>
                <w:szCs w:val="20"/>
              </w:rPr>
              <w:t xml:space="preserve"> J Med </w:t>
            </w:r>
            <w:proofErr w:type="gramStart"/>
            <w:r w:rsidRPr="00F04A75">
              <w:rPr>
                <w:iCs/>
                <w:szCs w:val="20"/>
              </w:rPr>
              <w:t>2015;373:621</w:t>
            </w:r>
            <w:proofErr w:type="gramEnd"/>
            <w:r w:rsidRPr="00F04A75">
              <w:rPr>
                <w:iCs/>
                <w:szCs w:val="20"/>
              </w:rPr>
              <w:t>-31</w:t>
            </w:r>
          </w:p>
        </w:tc>
      </w:tr>
      <w:tr w:rsidR="006C1D50" w:rsidRPr="00F04A75" w14:paraId="456D8B67" w14:textId="77777777" w:rsidTr="00EB3700">
        <w:tc>
          <w:tcPr>
            <w:tcW w:w="763" w:type="pct"/>
            <w:vMerge/>
            <w:tcBorders>
              <w:left w:val="single" w:sz="4" w:space="0" w:color="auto"/>
              <w:bottom w:val="single" w:sz="4" w:space="0" w:color="auto"/>
              <w:right w:val="single" w:sz="4" w:space="0" w:color="auto"/>
            </w:tcBorders>
            <w:shd w:val="clear" w:color="auto" w:fill="auto"/>
          </w:tcPr>
          <w:p w14:paraId="6DCEFF73" w14:textId="77777777" w:rsidR="006C1D50" w:rsidRPr="00F04A75" w:rsidRDefault="006C1D50" w:rsidP="00EB3700">
            <w:pPr>
              <w:pStyle w:val="TableText0"/>
              <w:keepNext w:val="0"/>
              <w:rPr>
                <w:szCs w:val="20"/>
              </w:rPr>
            </w:pPr>
          </w:p>
        </w:tc>
        <w:tc>
          <w:tcPr>
            <w:tcW w:w="3008" w:type="pct"/>
            <w:tcBorders>
              <w:top w:val="nil"/>
              <w:left w:val="single" w:sz="4" w:space="0" w:color="auto"/>
              <w:bottom w:val="single" w:sz="4" w:space="0" w:color="auto"/>
              <w:right w:val="single" w:sz="4" w:space="0" w:color="auto"/>
            </w:tcBorders>
            <w:shd w:val="clear" w:color="auto" w:fill="auto"/>
            <w:vAlign w:val="center"/>
          </w:tcPr>
          <w:p w14:paraId="392AC8A7" w14:textId="77777777" w:rsidR="006C1D50" w:rsidRPr="00F04A75" w:rsidRDefault="006C1D50" w:rsidP="00EB3700">
            <w:pPr>
              <w:pStyle w:val="TableText0"/>
              <w:keepNext w:val="0"/>
              <w:rPr>
                <w:szCs w:val="20"/>
              </w:rPr>
            </w:pPr>
            <w:proofErr w:type="spellStart"/>
            <w:r w:rsidRPr="00F04A75">
              <w:rPr>
                <w:szCs w:val="20"/>
              </w:rPr>
              <w:t>Dimopoulos</w:t>
            </w:r>
            <w:proofErr w:type="spellEnd"/>
            <w:r w:rsidRPr="00F04A75">
              <w:rPr>
                <w:szCs w:val="20"/>
              </w:rPr>
              <w:t xml:space="preserve"> MA, et al. </w:t>
            </w:r>
            <w:proofErr w:type="spellStart"/>
            <w:r w:rsidRPr="00F04A75">
              <w:rPr>
                <w:szCs w:val="20"/>
              </w:rPr>
              <w:t>Elotuzumab</w:t>
            </w:r>
            <w:proofErr w:type="spellEnd"/>
            <w:r w:rsidRPr="00F04A75">
              <w:rPr>
                <w:szCs w:val="20"/>
              </w:rPr>
              <w:t>, lenalidomide, and dexamethasone in RRMM: final overall survival results from the phase 3 randomized ELOQUENT-2 study</w:t>
            </w:r>
          </w:p>
        </w:tc>
        <w:tc>
          <w:tcPr>
            <w:tcW w:w="1229" w:type="pct"/>
            <w:tcBorders>
              <w:top w:val="nil"/>
              <w:left w:val="single" w:sz="4" w:space="0" w:color="auto"/>
              <w:bottom w:val="single" w:sz="4" w:space="0" w:color="auto"/>
              <w:right w:val="single" w:sz="4" w:space="0" w:color="auto"/>
            </w:tcBorders>
            <w:shd w:val="clear" w:color="auto" w:fill="auto"/>
            <w:vAlign w:val="center"/>
          </w:tcPr>
          <w:p w14:paraId="39607B78" w14:textId="77777777" w:rsidR="006C1D50" w:rsidRPr="00F04A75" w:rsidRDefault="006C1D50" w:rsidP="00EB3700">
            <w:pPr>
              <w:pStyle w:val="TableText0"/>
              <w:keepNext w:val="0"/>
              <w:rPr>
                <w:iCs/>
                <w:szCs w:val="20"/>
              </w:rPr>
            </w:pPr>
            <w:r w:rsidRPr="00F04A75">
              <w:rPr>
                <w:iCs/>
                <w:szCs w:val="20"/>
              </w:rPr>
              <w:t xml:space="preserve">Blood Cancer Journal </w:t>
            </w:r>
            <w:proofErr w:type="gramStart"/>
            <w:r w:rsidRPr="00F04A75">
              <w:rPr>
                <w:iCs/>
                <w:szCs w:val="20"/>
              </w:rPr>
              <w:t>2020;10:91</w:t>
            </w:r>
            <w:proofErr w:type="gramEnd"/>
          </w:p>
        </w:tc>
      </w:tr>
      <w:tr w:rsidR="00F97782" w:rsidRPr="00F04A75" w14:paraId="74D453A2" w14:textId="77777777" w:rsidTr="00EB3700">
        <w:tc>
          <w:tcPr>
            <w:tcW w:w="763" w:type="pct"/>
            <w:tcBorders>
              <w:top w:val="single" w:sz="4" w:space="0" w:color="auto"/>
              <w:bottom w:val="single" w:sz="4" w:space="0" w:color="auto"/>
            </w:tcBorders>
            <w:shd w:val="clear" w:color="auto" w:fill="auto"/>
          </w:tcPr>
          <w:p w14:paraId="1689BBF9" w14:textId="77777777" w:rsidR="00F97782" w:rsidRPr="00F04A75" w:rsidRDefault="00F97782" w:rsidP="00EB3700">
            <w:pPr>
              <w:pStyle w:val="TableText0"/>
              <w:keepNext w:val="0"/>
              <w:rPr>
                <w:szCs w:val="20"/>
              </w:rPr>
            </w:pPr>
            <w:r w:rsidRPr="00F04A75">
              <w:rPr>
                <w:szCs w:val="20"/>
              </w:rPr>
              <w:t>OPTIMISMM</w:t>
            </w:r>
          </w:p>
        </w:tc>
        <w:tc>
          <w:tcPr>
            <w:tcW w:w="3008" w:type="pct"/>
            <w:tcBorders>
              <w:top w:val="single" w:sz="4" w:space="0" w:color="auto"/>
              <w:bottom w:val="single" w:sz="4" w:space="0" w:color="auto"/>
            </w:tcBorders>
            <w:shd w:val="clear" w:color="auto" w:fill="auto"/>
            <w:vAlign w:val="center"/>
          </w:tcPr>
          <w:p w14:paraId="3CFCF2DC" w14:textId="77777777" w:rsidR="00F97782" w:rsidRPr="00F04A75" w:rsidRDefault="00F97782" w:rsidP="00EB3700">
            <w:pPr>
              <w:pStyle w:val="TableText0"/>
              <w:keepNext w:val="0"/>
              <w:rPr>
                <w:szCs w:val="20"/>
              </w:rPr>
            </w:pPr>
            <w:r w:rsidRPr="00F04A75">
              <w:rPr>
                <w:szCs w:val="20"/>
              </w:rPr>
              <w:t>Richardson PG, et al. Pomalidomide, bortezomib, and dexamethasone for patients with relapsed or refractory multiple myeloma previously treated with lenalidomide (OPTIMISMM): a randomised, open-label, phase 3 trial.</w:t>
            </w:r>
          </w:p>
        </w:tc>
        <w:tc>
          <w:tcPr>
            <w:tcW w:w="1229" w:type="pct"/>
            <w:tcBorders>
              <w:top w:val="single" w:sz="4" w:space="0" w:color="auto"/>
              <w:bottom w:val="single" w:sz="4" w:space="0" w:color="auto"/>
            </w:tcBorders>
            <w:shd w:val="clear" w:color="auto" w:fill="auto"/>
            <w:vAlign w:val="center"/>
          </w:tcPr>
          <w:p w14:paraId="4EFDACA0" w14:textId="77777777" w:rsidR="00F97782" w:rsidRPr="00F04A75" w:rsidRDefault="00F97782" w:rsidP="00EB3700">
            <w:pPr>
              <w:pStyle w:val="TableText0"/>
              <w:keepNext w:val="0"/>
              <w:rPr>
                <w:iCs/>
                <w:szCs w:val="20"/>
              </w:rPr>
            </w:pPr>
            <w:r w:rsidRPr="00F04A75">
              <w:rPr>
                <w:iCs/>
                <w:szCs w:val="20"/>
              </w:rPr>
              <w:t xml:space="preserve">Lancet Oncol </w:t>
            </w:r>
            <w:proofErr w:type="gramStart"/>
            <w:r w:rsidRPr="00F04A75">
              <w:rPr>
                <w:iCs/>
                <w:szCs w:val="20"/>
              </w:rPr>
              <w:t>2019;20:781</w:t>
            </w:r>
            <w:proofErr w:type="gramEnd"/>
            <w:r w:rsidRPr="00F04A75">
              <w:rPr>
                <w:iCs/>
                <w:szCs w:val="20"/>
              </w:rPr>
              <w:t>-94</w:t>
            </w:r>
          </w:p>
        </w:tc>
      </w:tr>
    </w:tbl>
    <w:p w14:paraId="10996212" w14:textId="513EE5E6" w:rsidR="00F97782" w:rsidRDefault="00F97782" w:rsidP="0016658B">
      <w:pPr>
        <w:pStyle w:val="TableFigureFooter"/>
        <w:keepNext/>
        <w:rPr>
          <w:szCs w:val="18"/>
        </w:rPr>
      </w:pPr>
      <w:r w:rsidRPr="00F04A75">
        <w:rPr>
          <w:szCs w:val="18"/>
        </w:rPr>
        <w:t>Source: Table 2.2.2 p27-30, Table 2.2.3 p32 of the resubmission</w:t>
      </w:r>
      <w:r w:rsidR="006C1D50" w:rsidRPr="00F04A75">
        <w:rPr>
          <w:szCs w:val="18"/>
        </w:rPr>
        <w:t>.</w:t>
      </w:r>
    </w:p>
    <w:p w14:paraId="75067CB2" w14:textId="0D57E169" w:rsidR="00DF5512" w:rsidRPr="00DF5512" w:rsidRDefault="00DF5512" w:rsidP="00DF5512">
      <w:pPr>
        <w:pStyle w:val="TableFigureFooter"/>
      </w:pPr>
      <w:r w:rsidRPr="00F04A75">
        <w:t xml:space="preserve">Blue shading </w:t>
      </w:r>
      <w:r>
        <w:t>represents</w:t>
      </w:r>
      <w:r w:rsidRPr="00F04A75">
        <w:t xml:space="preserve"> information presented in carfilzomib November 2016 submission </w:t>
      </w:r>
    </w:p>
    <w:p w14:paraId="6753F586" w14:textId="524F498E" w:rsidR="00F97782" w:rsidRPr="00F04A75" w:rsidRDefault="00F97782" w:rsidP="0016658B">
      <w:pPr>
        <w:pStyle w:val="3-BodyText"/>
        <w:rPr>
          <w:color w:val="0066FF"/>
        </w:rPr>
      </w:pPr>
      <w:r w:rsidRPr="00F04A75">
        <w:t xml:space="preserve">The key features of the direct randomised trials included in the ITC are summarised in the </w:t>
      </w:r>
      <w:r w:rsidR="0087690A" w:rsidRPr="00F04A75">
        <w:rPr>
          <w:rFonts w:cstheme="minorHAnsi"/>
        </w:rPr>
        <w:t xml:space="preserve">Table </w:t>
      </w:r>
      <w:r w:rsidR="00C8791A">
        <w:rPr>
          <w:rFonts w:cstheme="minorHAnsi"/>
        </w:rPr>
        <w:t>4</w:t>
      </w:r>
      <w:r w:rsidR="00C8791A" w:rsidRPr="00F04A75">
        <w:rPr>
          <w:rFonts w:cstheme="minorHAnsi"/>
        </w:rPr>
        <w:t xml:space="preserve"> </w:t>
      </w:r>
      <w:r w:rsidRPr="00F04A75">
        <w:rPr>
          <w:rFonts w:cstheme="minorHAnsi"/>
        </w:rPr>
        <w:t>be</w:t>
      </w:r>
      <w:r w:rsidRPr="00F04A75">
        <w:t xml:space="preserve">low. </w:t>
      </w:r>
      <w:r w:rsidR="001060E6" w:rsidRPr="00F04A75">
        <w:t xml:space="preserve">Of the trials listed </w:t>
      </w:r>
      <w:r w:rsidR="00DB2800" w:rsidRPr="00F04A75">
        <w:t>above</w:t>
      </w:r>
      <w:r w:rsidR="001060E6" w:rsidRPr="00F04A75">
        <w:t xml:space="preserve">, </w:t>
      </w:r>
      <w:r w:rsidR="000C51B0" w:rsidRPr="00F04A75">
        <w:t>ARROW</w:t>
      </w:r>
      <w:r w:rsidR="001060E6" w:rsidRPr="00F04A75">
        <w:t xml:space="preserve"> was the only trial not used to inform the ITC</w:t>
      </w:r>
      <w:r w:rsidR="00DB2800" w:rsidRPr="00F04A75">
        <w:t>. ARROW was</w:t>
      </w:r>
      <w:r w:rsidR="001060E6" w:rsidRPr="00F04A75">
        <w:t xml:space="preserve"> used to inform the CMA</w:t>
      </w:r>
      <w:r w:rsidR="00DB2800" w:rsidRPr="00F04A75">
        <w:t xml:space="preserve"> and</w:t>
      </w:r>
      <w:r w:rsidR="001060E6" w:rsidRPr="00F04A75">
        <w:t xml:space="preserve"> to account for differences in </w:t>
      </w:r>
      <w:r w:rsidR="00616BFA" w:rsidRPr="00F04A75">
        <w:t>the available dose re</w:t>
      </w:r>
      <w:r w:rsidR="00DB2800" w:rsidRPr="00F04A75">
        <w:t>g</w:t>
      </w:r>
      <w:r w:rsidR="00616BFA" w:rsidRPr="00F04A75">
        <w:t>imens of carfilzomib</w:t>
      </w:r>
      <w:r w:rsidR="00085736" w:rsidRPr="00F04A75">
        <w:t xml:space="preserve"> </w:t>
      </w:r>
      <w:r w:rsidR="001060E6" w:rsidRPr="00F04A75">
        <w:t xml:space="preserve">and </w:t>
      </w:r>
      <w:r w:rsidR="00DB2800" w:rsidRPr="00F04A75">
        <w:t xml:space="preserve">was </w:t>
      </w:r>
      <w:r w:rsidR="0087690A" w:rsidRPr="00F04A75">
        <w:t xml:space="preserve">previously </w:t>
      </w:r>
      <w:r w:rsidR="00DB2800" w:rsidRPr="00F04A75">
        <w:t>considered by the PBAC in relation to the</w:t>
      </w:r>
      <w:r w:rsidR="001060E6" w:rsidRPr="00F04A75">
        <w:t xml:space="preserve"> once weekly </w:t>
      </w:r>
      <w:r w:rsidR="00273039">
        <w:t xml:space="preserve">(QW) </w:t>
      </w:r>
      <w:r w:rsidR="001060E6" w:rsidRPr="00F04A75">
        <w:t>regimen of Cd</w:t>
      </w:r>
      <w:r w:rsidR="00DB2800" w:rsidRPr="00F04A75">
        <w:t xml:space="preserve"> submission</w:t>
      </w:r>
      <w:r w:rsidR="001060E6" w:rsidRPr="00F04A75">
        <w:t>.</w:t>
      </w:r>
      <w:r w:rsidR="007233AD" w:rsidRPr="00F04A75">
        <w:rPr>
          <w:rFonts w:cstheme="minorHAnsi"/>
          <w:szCs w:val="22"/>
        </w:rPr>
        <w:t xml:space="preserve">  </w:t>
      </w:r>
    </w:p>
    <w:p w14:paraId="1AFEFD3C" w14:textId="1B94D608" w:rsidR="00F97782" w:rsidRPr="00F04A75" w:rsidRDefault="00F97782" w:rsidP="0016658B">
      <w:pPr>
        <w:pStyle w:val="Caption"/>
        <w:keepNext/>
        <w:spacing w:after="0"/>
        <w:jc w:val="left"/>
        <w:rPr>
          <w:rStyle w:val="CommentReference"/>
          <w:b/>
          <w:bCs w:val="0"/>
          <w:szCs w:val="20"/>
        </w:rPr>
      </w:pPr>
      <w:r w:rsidRPr="00F04A75">
        <w:rPr>
          <w:rFonts w:ascii="Arial Narrow" w:hAnsi="Arial Narrow"/>
          <w:bCs w:val="0"/>
          <w:color w:val="auto"/>
          <w:sz w:val="20"/>
          <w:szCs w:val="20"/>
        </w:rPr>
        <w:t xml:space="preserve">Table </w:t>
      </w:r>
      <w:r w:rsidRPr="00F04A75">
        <w:rPr>
          <w:rFonts w:ascii="Arial Narrow" w:hAnsi="Arial Narrow"/>
          <w:bCs w:val="0"/>
          <w:color w:val="auto"/>
          <w:sz w:val="20"/>
          <w:szCs w:val="20"/>
        </w:rPr>
        <w:fldChar w:fldCharType="begin"/>
      </w:r>
      <w:r w:rsidRPr="00F04A75">
        <w:rPr>
          <w:rFonts w:ascii="Arial Narrow" w:hAnsi="Arial Narrow"/>
          <w:bCs w:val="0"/>
          <w:color w:val="auto"/>
          <w:sz w:val="20"/>
          <w:szCs w:val="20"/>
        </w:rPr>
        <w:instrText xml:space="preserve"> SEQ Table \* ARABIC </w:instrText>
      </w:r>
      <w:r w:rsidRPr="00F04A75">
        <w:rPr>
          <w:rFonts w:ascii="Arial Narrow" w:hAnsi="Arial Narrow"/>
          <w:bCs w:val="0"/>
          <w:color w:val="auto"/>
          <w:sz w:val="20"/>
          <w:szCs w:val="20"/>
        </w:rPr>
        <w:fldChar w:fldCharType="separate"/>
      </w:r>
      <w:r w:rsidR="00443BC9">
        <w:rPr>
          <w:rFonts w:ascii="Arial Narrow" w:hAnsi="Arial Narrow"/>
          <w:bCs w:val="0"/>
          <w:noProof/>
          <w:color w:val="auto"/>
          <w:sz w:val="20"/>
          <w:szCs w:val="20"/>
        </w:rPr>
        <w:t>4</w:t>
      </w:r>
      <w:r w:rsidRPr="00F04A75">
        <w:rPr>
          <w:rFonts w:ascii="Arial Narrow" w:hAnsi="Arial Narrow"/>
          <w:bCs w:val="0"/>
          <w:color w:val="auto"/>
          <w:sz w:val="20"/>
          <w:szCs w:val="20"/>
        </w:rPr>
        <w:fldChar w:fldCharType="end"/>
      </w:r>
      <w:r w:rsidRPr="00F04A75">
        <w:rPr>
          <w:rFonts w:ascii="Arial Narrow" w:hAnsi="Arial Narrow"/>
          <w:bCs w:val="0"/>
          <w:color w:val="auto"/>
          <w:sz w:val="20"/>
          <w:szCs w:val="20"/>
        </w:rPr>
        <w:t>:</w:t>
      </w:r>
      <w:r w:rsidRPr="00F04A75">
        <w:rPr>
          <w:rFonts w:ascii="Arial Narrow" w:hAnsi="Arial Narrow"/>
          <w:b w:val="0"/>
          <w:bCs w:val="0"/>
          <w:color w:val="auto"/>
          <w:sz w:val="20"/>
          <w:szCs w:val="20"/>
        </w:rPr>
        <w:t xml:space="preserve"> </w:t>
      </w:r>
      <w:r w:rsidRPr="00F04A75">
        <w:rPr>
          <w:rStyle w:val="CommentReference"/>
          <w:b/>
          <w:bCs w:val="0"/>
          <w:color w:val="auto"/>
          <w:szCs w:val="20"/>
        </w:rPr>
        <w:t>Key features of the included evidence</w:t>
      </w:r>
      <w:r w:rsidR="006C1D50" w:rsidRPr="00F04A75">
        <w:rPr>
          <w:rStyle w:val="CommentReference"/>
          <w:b/>
          <w:bCs w:val="0"/>
          <w:color w:val="auto"/>
          <w:szCs w:val="20"/>
        </w:rPr>
        <w:t xml:space="preserve"> to inform the</w:t>
      </w:r>
      <w:r w:rsidRPr="00F04A75">
        <w:rPr>
          <w:rStyle w:val="CommentReference"/>
          <w:b/>
          <w:bCs w:val="0"/>
          <w:color w:val="auto"/>
          <w:szCs w:val="20"/>
        </w:rPr>
        <w:t xml:space="preserve"> indirect </w:t>
      </w:r>
      <w:r w:rsidR="006C1D50" w:rsidRPr="00F04A75">
        <w:rPr>
          <w:rStyle w:val="CommentReference"/>
          <w:b/>
          <w:bCs w:val="0"/>
          <w:color w:val="auto"/>
          <w:szCs w:val="20"/>
        </w:rPr>
        <w:t xml:space="preserve">treatment </w:t>
      </w:r>
      <w:r w:rsidRPr="00F04A75">
        <w:rPr>
          <w:rStyle w:val="CommentReference"/>
          <w:b/>
          <w:bCs w:val="0"/>
          <w:color w:val="auto"/>
          <w:szCs w:val="20"/>
        </w:rPr>
        <w:t>comparison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72"/>
        <w:gridCol w:w="709"/>
        <w:gridCol w:w="2126"/>
        <w:gridCol w:w="851"/>
        <w:gridCol w:w="2353"/>
        <w:gridCol w:w="1706"/>
      </w:tblGrid>
      <w:tr w:rsidR="00F97782" w:rsidRPr="00F04A75" w14:paraId="74787B3E" w14:textId="77777777" w:rsidTr="00085736">
        <w:trPr>
          <w:cantSplit/>
          <w:trHeight w:val="220"/>
          <w:tblHeader/>
        </w:trPr>
        <w:tc>
          <w:tcPr>
            <w:tcW w:w="705" w:type="pct"/>
            <w:shd w:val="clear" w:color="auto" w:fill="auto"/>
            <w:vAlign w:val="center"/>
          </w:tcPr>
          <w:p w14:paraId="43459B52" w14:textId="77777777" w:rsidR="00F97782" w:rsidRPr="00F04A75" w:rsidRDefault="00F97782" w:rsidP="0016658B">
            <w:pPr>
              <w:pStyle w:val="In-tableHeading"/>
              <w:rPr>
                <w:lang w:val="en-AU"/>
              </w:rPr>
            </w:pPr>
            <w:r w:rsidRPr="00F04A75">
              <w:rPr>
                <w:lang w:val="en-AU"/>
              </w:rPr>
              <w:t>Trial</w:t>
            </w:r>
          </w:p>
        </w:tc>
        <w:tc>
          <w:tcPr>
            <w:tcW w:w="393" w:type="pct"/>
            <w:shd w:val="clear" w:color="auto" w:fill="auto"/>
            <w:vAlign w:val="center"/>
          </w:tcPr>
          <w:p w14:paraId="60647F4A" w14:textId="77777777" w:rsidR="00F97782" w:rsidRPr="00F04A75" w:rsidRDefault="00F97782" w:rsidP="0016658B">
            <w:pPr>
              <w:pStyle w:val="In-tableHeading"/>
              <w:jc w:val="center"/>
              <w:rPr>
                <w:lang w:val="en-AU"/>
              </w:rPr>
            </w:pPr>
            <w:r w:rsidRPr="00F04A75">
              <w:rPr>
                <w:lang w:val="en-AU"/>
              </w:rPr>
              <w:t>N</w:t>
            </w:r>
          </w:p>
        </w:tc>
        <w:tc>
          <w:tcPr>
            <w:tcW w:w="1179" w:type="pct"/>
            <w:shd w:val="clear" w:color="auto" w:fill="auto"/>
            <w:vAlign w:val="center"/>
          </w:tcPr>
          <w:p w14:paraId="0A74264F" w14:textId="2CB7648E" w:rsidR="00F97782" w:rsidRPr="00F04A75" w:rsidRDefault="00F97782" w:rsidP="0016658B">
            <w:pPr>
              <w:pStyle w:val="In-tableHeading"/>
              <w:jc w:val="center"/>
              <w:rPr>
                <w:lang w:val="en-AU"/>
              </w:rPr>
            </w:pPr>
            <w:r w:rsidRPr="00F04A75">
              <w:rPr>
                <w:lang w:val="en-AU"/>
              </w:rPr>
              <w:t>Design/duration</w:t>
            </w:r>
          </w:p>
        </w:tc>
        <w:tc>
          <w:tcPr>
            <w:tcW w:w="472" w:type="pct"/>
            <w:shd w:val="clear" w:color="auto" w:fill="auto"/>
            <w:vAlign w:val="center"/>
          </w:tcPr>
          <w:p w14:paraId="24EE51CF" w14:textId="77777777" w:rsidR="00F97782" w:rsidRPr="00F04A75" w:rsidRDefault="00F97782" w:rsidP="0016658B">
            <w:pPr>
              <w:pStyle w:val="In-tableHeading"/>
              <w:jc w:val="center"/>
              <w:rPr>
                <w:lang w:val="en-AU"/>
              </w:rPr>
            </w:pPr>
            <w:r w:rsidRPr="00F04A75">
              <w:rPr>
                <w:lang w:val="en-AU"/>
              </w:rPr>
              <w:t>Risk of bias</w:t>
            </w:r>
          </w:p>
        </w:tc>
        <w:tc>
          <w:tcPr>
            <w:tcW w:w="1305" w:type="pct"/>
            <w:shd w:val="clear" w:color="auto" w:fill="auto"/>
            <w:vAlign w:val="center"/>
          </w:tcPr>
          <w:p w14:paraId="65C53303" w14:textId="77777777" w:rsidR="00F97782" w:rsidRPr="00F04A75" w:rsidRDefault="00F97782" w:rsidP="0016658B">
            <w:pPr>
              <w:pStyle w:val="In-tableHeading"/>
              <w:jc w:val="center"/>
              <w:rPr>
                <w:lang w:val="en-AU"/>
              </w:rPr>
            </w:pPr>
            <w:r w:rsidRPr="00F04A75">
              <w:rPr>
                <w:lang w:val="en-AU"/>
              </w:rPr>
              <w:t>Patient population</w:t>
            </w:r>
          </w:p>
        </w:tc>
        <w:tc>
          <w:tcPr>
            <w:tcW w:w="946" w:type="pct"/>
            <w:shd w:val="clear" w:color="auto" w:fill="auto"/>
            <w:vAlign w:val="center"/>
          </w:tcPr>
          <w:p w14:paraId="5942D880" w14:textId="3F110EC0" w:rsidR="00F97782" w:rsidRPr="00F04A75" w:rsidRDefault="00F97782" w:rsidP="0016658B">
            <w:pPr>
              <w:pStyle w:val="In-tableHeading"/>
              <w:jc w:val="center"/>
              <w:rPr>
                <w:lang w:val="en-AU"/>
              </w:rPr>
            </w:pPr>
            <w:r w:rsidRPr="00F04A75">
              <w:rPr>
                <w:lang w:val="en-AU"/>
              </w:rPr>
              <w:t>Outcomes</w:t>
            </w:r>
          </w:p>
        </w:tc>
      </w:tr>
      <w:tr w:rsidR="00F97782" w:rsidRPr="00F04A75" w14:paraId="68666BC4" w14:textId="77777777" w:rsidTr="00DB2800">
        <w:trPr>
          <w:cantSplit/>
          <w:trHeight w:val="207"/>
          <w:tblHeader/>
        </w:trPr>
        <w:tc>
          <w:tcPr>
            <w:tcW w:w="5000" w:type="pct"/>
            <w:gridSpan w:val="6"/>
            <w:shd w:val="clear" w:color="auto" w:fill="auto"/>
            <w:vAlign w:val="center"/>
          </w:tcPr>
          <w:p w14:paraId="4D1CE412" w14:textId="77777777" w:rsidR="00F97782" w:rsidRPr="00F04A75" w:rsidRDefault="00F97782" w:rsidP="0016658B">
            <w:pPr>
              <w:pStyle w:val="In-tableHeading"/>
              <w:rPr>
                <w:lang w:val="en-AU"/>
              </w:rPr>
            </w:pPr>
            <w:proofErr w:type="spellStart"/>
            <w:r w:rsidRPr="00F04A75">
              <w:rPr>
                <w:lang w:val="en-AU"/>
              </w:rPr>
              <w:t>CLd</w:t>
            </w:r>
            <w:proofErr w:type="spellEnd"/>
            <w:r w:rsidRPr="00F04A75">
              <w:rPr>
                <w:lang w:val="en-AU"/>
              </w:rPr>
              <w:t xml:space="preserve"> vs Cd</w:t>
            </w:r>
          </w:p>
        </w:tc>
      </w:tr>
      <w:tr w:rsidR="00F97782" w:rsidRPr="00F04A75" w14:paraId="3583A959" w14:textId="77777777" w:rsidTr="00085736">
        <w:trPr>
          <w:cantSplit/>
          <w:trHeight w:val="1256"/>
        </w:trPr>
        <w:tc>
          <w:tcPr>
            <w:tcW w:w="705" w:type="pct"/>
            <w:shd w:val="clear" w:color="auto" w:fill="B8CCE4" w:themeFill="accent1" w:themeFillTint="66"/>
            <w:vAlign w:val="center"/>
          </w:tcPr>
          <w:p w14:paraId="3C412741" w14:textId="77777777" w:rsidR="00F97782" w:rsidRPr="00F04A75" w:rsidRDefault="00F97782" w:rsidP="0016658B">
            <w:pPr>
              <w:pStyle w:val="TableText0"/>
            </w:pPr>
            <w:r w:rsidRPr="00F04A75">
              <w:t>ASPIRE</w:t>
            </w:r>
          </w:p>
        </w:tc>
        <w:tc>
          <w:tcPr>
            <w:tcW w:w="393" w:type="pct"/>
            <w:shd w:val="clear" w:color="auto" w:fill="B8CCE4" w:themeFill="accent1" w:themeFillTint="66"/>
            <w:vAlign w:val="center"/>
          </w:tcPr>
          <w:p w14:paraId="2A8BB56B" w14:textId="77777777" w:rsidR="00F97782" w:rsidRPr="00F04A75" w:rsidRDefault="00F97782" w:rsidP="0016658B">
            <w:pPr>
              <w:pStyle w:val="TableText0"/>
              <w:jc w:val="center"/>
            </w:pPr>
            <w:r w:rsidRPr="00F04A75">
              <w:t>792</w:t>
            </w:r>
          </w:p>
        </w:tc>
        <w:tc>
          <w:tcPr>
            <w:tcW w:w="1179" w:type="pct"/>
            <w:shd w:val="clear" w:color="auto" w:fill="B8CCE4" w:themeFill="accent1" w:themeFillTint="66"/>
            <w:vAlign w:val="center"/>
          </w:tcPr>
          <w:p w14:paraId="4CBB8451" w14:textId="77777777" w:rsidR="00F97782" w:rsidRPr="00F04A75" w:rsidRDefault="00F97782" w:rsidP="0016658B">
            <w:pPr>
              <w:pStyle w:val="TableText0"/>
              <w:jc w:val="center"/>
            </w:pPr>
            <w:r w:rsidRPr="00F04A75">
              <w:t>Phase III, R, OL</w:t>
            </w:r>
          </w:p>
          <w:p w14:paraId="50CFE4FA" w14:textId="77777777" w:rsidR="00F97782" w:rsidRPr="00F04A75" w:rsidRDefault="00F97782" w:rsidP="0016658B">
            <w:pPr>
              <w:pStyle w:val="TableText0"/>
              <w:jc w:val="center"/>
            </w:pPr>
          </w:p>
          <w:p w14:paraId="52902495" w14:textId="77777777" w:rsidR="00F97782" w:rsidRPr="00F04A75" w:rsidRDefault="00F97782" w:rsidP="0016658B">
            <w:pPr>
              <w:pStyle w:val="TableText0"/>
              <w:jc w:val="center"/>
            </w:pPr>
            <w:r w:rsidRPr="00F04A75">
              <w:t>PFS: 48 months</w:t>
            </w:r>
          </w:p>
          <w:p w14:paraId="7ED85931" w14:textId="77777777" w:rsidR="00F97782" w:rsidRPr="00F04A75" w:rsidRDefault="00F97782" w:rsidP="0016658B">
            <w:pPr>
              <w:pStyle w:val="TableText0"/>
              <w:jc w:val="center"/>
            </w:pPr>
            <w:r w:rsidRPr="00F04A75">
              <w:t>OS: 67 months</w:t>
            </w:r>
          </w:p>
          <w:p w14:paraId="2FA0AAB3" w14:textId="142587E9" w:rsidR="00F97782" w:rsidRPr="00F04A75" w:rsidRDefault="00F97782" w:rsidP="00B26A7F">
            <w:pPr>
              <w:pStyle w:val="TableText0"/>
              <w:jc w:val="center"/>
              <w:rPr>
                <w:vertAlign w:val="superscript"/>
              </w:rPr>
            </w:pPr>
            <w:r w:rsidRPr="00F04A75">
              <w:t xml:space="preserve">(cut-off 28 April </w:t>
            </w:r>
            <w:proofErr w:type="gramStart"/>
            <w:r w:rsidRPr="00F04A75">
              <w:t>2017)</w:t>
            </w:r>
            <w:r w:rsidRPr="00F04A75">
              <w:rPr>
                <w:vertAlign w:val="superscript"/>
              </w:rPr>
              <w:t>a</w:t>
            </w:r>
            <w:proofErr w:type="gramEnd"/>
          </w:p>
        </w:tc>
        <w:tc>
          <w:tcPr>
            <w:tcW w:w="472" w:type="pct"/>
            <w:shd w:val="clear" w:color="auto" w:fill="B8CCE4" w:themeFill="accent1" w:themeFillTint="66"/>
            <w:vAlign w:val="center"/>
          </w:tcPr>
          <w:p w14:paraId="41C1644D" w14:textId="77777777" w:rsidR="00F97782" w:rsidRPr="00F04A75" w:rsidRDefault="00F97782" w:rsidP="0016658B">
            <w:pPr>
              <w:pStyle w:val="TableText0"/>
              <w:jc w:val="center"/>
            </w:pPr>
            <w:r w:rsidRPr="00F04A75">
              <w:t>Low</w:t>
            </w:r>
          </w:p>
        </w:tc>
        <w:tc>
          <w:tcPr>
            <w:tcW w:w="1305" w:type="pct"/>
            <w:shd w:val="clear" w:color="auto" w:fill="B8CCE4" w:themeFill="accent1" w:themeFillTint="66"/>
            <w:vAlign w:val="center"/>
          </w:tcPr>
          <w:p w14:paraId="3331BE8E" w14:textId="26CC383E" w:rsidR="00F97782" w:rsidRPr="00F04A75" w:rsidRDefault="00AA14EA" w:rsidP="0016658B">
            <w:pPr>
              <w:pStyle w:val="TableText0"/>
              <w:jc w:val="center"/>
            </w:pPr>
            <w:r w:rsidRPr="00F04A75">
              <w:t>RRMM p</w:t>
            </w:r>
            <w:r w:rsidR="00F97782" w:rsidRPr="00F04A75">
              <w:t>atients who had received 1-3 prior line</w:t>
            </w:r>
            <w:r w:rsidRPr="00F04A75">
              <w:t>s</w:t>
            </w:r>
            <w:r w:rsidR="00F97782" w:rsidRPr="00F04A75">
              <w:t xml:space="preserve"> of therapy</w:t>
            </w:r>
          </w:p>
        </w:tc>
        <w:tc>
          <w:tcPr>
            <w:tcW w:w="946" w:type="pct"/>
            <w:shd w:val="clear" w:color="auto" w:fill="B8CCE4" w:themeFill="accent1" w:themeFillTint="66"/>
            <w:vAlign w:val="center"/>
          </w:tcPr>
          <w:p w14:paraId="16682C99" w14:textId="7714CDB7" w:rsidR="00F97782" w:rsidRPr="00F04A75" w:rsidRDefault="00F97782" w:rsidP="0016658B">
            <w:pPr>
              <w:pStyle w:val="TableText0"/>
              <w:jc w:val="center"/>
            </w:pPr>
            <w:r w:rsidRPr="00F04A75">
              <w:t xml:space="preserve">Primary: PFS </w:t>
            </w:r>
            <w:r w:rsidRPr="00F04A75">
              <w:br/>
              <w:t xml:space="preserve">Secondary: OS, ORR, Safety, </w:t>
            </w:r>
            <w:proofErr w:type="spellStart"/>
            <w:r w:rsidR="00DB420E" w:rsidRPr="00F04A75">
              <w:t>HRQoL</w:t>
            </w:r>
            <w:proofErr w:type="spellEnd"/>
          </w:p>
        </w:tc>
      </w:tr>
      <w:tr w:rsidR="00F97782" w:rsidRPr="00F04A75" w14:paraId="236BC6B9" w14:textId="77777777" w:rsidTr="00DB2800">
        <w:trPr>
          <w:cantSplit/>
          <w:trHeight w:val="207"/>
        </w:trPr>
        <w:tc>
          <w:tcPr>
            <w:tcW w:w="5000" w:type="pct"/>
            <w:gridSpan w:val="6"/>
            <w:shd w:val="clear" w:color="auto" w:fill="auto"/>
            <w:vAlign w:val="center"/>
          </w:tcPr>
          <w:p w14:paraId="170484EA" w14:textId="77777777" w:rsidR="00F97782" w:rsidRPr="00F04A75" w:rsidRDefault="00F97782" w:rsidP="0016658B">
            <w:pPr>
              <w:pStyle w:val="TableText0"/>
              <w:rPr>
                <w:b/>
                <w:bCs w:val="0"/>
              </w:rPr>
            </w:pPr>
            <w:r w:rsidRPr="00F04A75">
              <w:rPr>
                <w:b/>
                <w:bCs w:val="0"/>
              </w:rPr>
              <w:t>Cd vs Bd</w:t>
            </w:r>
          </w:p>
        </w:tc>
      </w:tr>
      <w:tr w:rsidR="00F97782" w:rsidRPr="00F04A75" w14:paraId="60EEDF63" w14:textId="77777777" w:rsidTr="00085736">
        <w:trPr>
          <w:cantSplit/>
          <w:trHeight w:val="441"/>
        </w:trPr>
        <w:tc>
          <w:tcPr>
            <w:tcW w:w="705" w:type="pct"/>
            <w:shd w:val="clear" w:color="auto" w:fill="B8CCE4" w:themeFill="accent1" w:themeFillTint="66"/>
            <w:vAlign w:val="center"/>
          </w:tcPr>
          <w:p w14:paraId="78B36625" w14:textId="77777777" w:rsidR="00F97782" w:rsidRPr="00F04A75" w:rsidRDefault="00F97782" w:rsidP="0016658B">
            <w:pPr>
              <w:pStyle w:val="TableText0"/>
            </w:pPr>
            <w:r w:rsidRPr="00F04A75">
              <w:t>ENDEAVOR</w:t>
            </w:r>
          </w:p>
        </w:tc>
        <w:tc>
          <w:tcPr>
            <w:tcW w:w="393" w:type="pct"/>
            <w:shd w:val="clear" w:color="auto" w:fill="B8CCE4" w:themeFill="accent1" w:themeFillTint="66"/>
            <w:vAlign w:val="center"/>
          </w:tcPr>
          <w:p w14:paraId="15628976" w14:textId="77777777" w:rsidR="00F97782" w:rsidRPr="00F04A75" w:rsidRDefault="00F97782" w:rsidP="0016658B">
            <w:pPr>
              <w:pStyle w:val="TableText0"/>
              <w:jc w:val="center"/>
            </w:pPr>
            <w:r w:rsidRPr="00F04A75">
              <w:t>929</w:t>
            </w:r>
          </w:p>
        </w:tc>
        <w:tc>
          <w:tcPr>
            <w:tcW w:w="1179" w:type="pct"/>
            <w:shd w:val="clear" w:color="auto" w:fill="B8CCE4" w:themeFill="accent1" w:themeFillTint="66"/>
            <w:vAlign w:val="center"/>
          </w:tcPr>
          <w:p w14:paraId="00403CA0" w14:textId="77777777" w:rsidR="00F97782" w:rsidRPr="00F04A75" w:rsidRDefault="00F97782" w:rsidP="0016658B">
            <w:pPr>
              <w:pStyle w:val="Tabletext"/>
              <w:jc w:val="center"/>
            </w:pPr>
            <w:r w:rsidRPr="00F04A75">
              <w:t>Phase III, R, OL, MC</w:t>
            </w:r>
          </w:p>
          <w:p w14:paraId="3B6287EA" w14:textId="77777777" w:rsidR="00F97782" w:rsidRPr="00F04A75" w:rsidRDefault="00F97782" w:rsidP="0016658B">
            <w:pPr>
              <w:pStyle w:val="TableText0"/>
              <w:jc w:val="center"/>
            </w:pPr>
          </w:p>
          <w:p w14:paraId="4E04E1EB" w14:textId="77777777" w:rsidR="00F97782" w:rsidRPr="00F04A75" w:rsidRDefault="00F97782" w:rsidP="0016658B">
            <w:pPr>
              <w:pStyle w:val="TableText0"/>
              <w:jc w:val="center"/>
            </w:pPr>
            <w:r w:rsidRPr="00F04A75">
              <w:t xml:space="preserve">PFS: </w:t>
            </w:r>
            <w:r w:rsidR="00AE1634" w:rsidRPr="00F04A75">
              <w:t>16.6</w:t>
            </w:r>
            <w:r w:rsidR="005617C2" w:rsidRPr="00F04A75">
              <w:t xml:space="preserve"> months (cut-off </w:t>
            </w:r>
            <w:r w:rsidR="0015768F" w:rsidRPr="00F04A75">
              <w:t>3 Mar 2016)</w:t>
            </w:r>
          </w:p>
          <w:p w14:paraId="2C5BC84B" w14:textId="77777777" w:rsidR="00F97782" w:rsidRPr="00F04A75" w:rsidRDefault="00F97782" w:rsidP="0016658B">
            <w:pPr>
              <w:pStyle w:val="TableText0"/>
              <w:jc w:val="center"/>
            </w:pPr>
            <w:r w:rsidRPr="00F04A75">
              <w:t xml:space="preserve">OS: 44.3 months (Cd) and 43.7 months (Bd) (cut-off 19 July </w:t>
            </w:r>
            <w:proofErr w:type="gramStart"/>
            <w:r w:rsidRPr="00F04A75">
              <w:t>2017)</w:t>
            </w:r>
            <w:r w:rsidRPr="00F04A75">
              <w:rPr>
                <w:vertAlign w:val="superscript"/>
              </w:rPr>
              <w:t>a</w:t>
            </w:r>
            <w:proofErr w:type="gramEnd"/>
          </w:p>
        </w:tc>
        <w:tc>
          <w:tcPr>
            <w:tcW w:w="472" w:type="pct"/>
            <w:shd w:val="clear" w:color="auto" w:fill="B8CCE4" w:themeFill="accent1" w:themeFillTint="66"/>
            <w:vAlign w:val="center"/>
          </w:tcPr>
          <w:p w14:paraId="581FA981" w14:textId="77777777" w:rsidR="00F97782" w:rsidRPr="00F04A75" w:rsidRDefault="00F97782" w:rsidP="0016658B">
            <w:pPr>
              <w:pStyle w:val="Tabletext"/>
              <w:jc w:val="center"/>
            </w:pPr>
            <w:r w:rsidRPr="00F04A75">
              <w:t>Low</w:t>
            </w:r>
          </w:p>
          <w:p w14:paraId="51B6A5E9" w14:textId="77777777" w:rsidR="00F97782" w:rsidRPr="00F04A75" w:rsidRDefault="00F97782" w:rsidP="0016658B">
            <w:pPr>
              <w:pStyle w:val="TableText0"/>
              <w:jc w:val="center"/>
            </w:pPr>
          </w:p>
        </w:tc>
        <w:tc>
          <w:tcPr>
            <w:tcW w:w="1305" w:type="pct"/>
            <w:shd w:val="clear" w:color="auto" w:fill="B8CCE4" w:themeFill="accent1" w:themeFillTint="66"/>
            <w:vAlign w:val="center"/>
          </w:tcPr>
          <w:p w14:paraId="6707B2A2" w14:textId="5D2DA9A1" w:rsidR="00F97782" w:rsidRPr="00F04A75" w:rsidRDefault="00AA14EA" w:rsidP="0016658B">
            <w:pPr>
              <w:pStyle w:val="TableText0"/>
              <w:jc w:val="center"/>
            </w:pPr>
            <w:r w:rsidRPr="00F04A75">
              <w:t>RRMM p</w:t>
            </w:r>
            <w:r w:rsidR="00F97782" w:rsidRPr="00F04A75">
              <w:t xml:space="preserve">atients who had received </w:t>
            </w:r>
            <w:r w:rsidRPr="00F04A75">
              <w:t>2-3</w:t>
            </w:r>
            <w:r w:rsidR="00F97782" w:rsidRPr="00F04A75">
              <w:t xml:space="preserve"> prior lines of therapy and achieved at least a partial response to at least </w:t>
            </w:r>
            <w:r w:rsidRPr="00F04A75">
              <w:t>1</w:t>
            </w:r>
            <w:r w:rsidR="00F97782" w:rsidRPr="00F04A75">
              <w:t xml:space="preserve"> previous treatment</w:t>
            </w:r>
          </w:p>
        </w:tc>
        <w:tc>
          <w:tcPr>
            <w:tcW w:w="946" w:type="pct"/>
            <w:shd w:val="clear" w:color="auto" w:fill="B8CCE4" w:themeFill="accent1" w:themeFillTint="66"/>
            <w:vAlign w:val="center"/>
          </w:tcPr>
          <w:p w14:paraId="2D5CECA2" w14:textId="77777777" w:rsidR="00F97782" w:rsidRPr="00F04A75" w:rsidRDefault="00F97782" w:rsidP="0016658B">
            <w:pPr>
              <w:pStyle w:val="TableText0"/>
              <w:jc w:val="center"/>
            </w:pPr>
            <w:r w:rsidRPr="00F04A75">
              <w:t xml:space="preserve">Primary: PFS </w:t>
            </w:r>
            <w:r w:rsidRPr="00F04A75">
              <w:br/>
              <w:t xml:space="preserve">Secondary: OS, </w:t>
            </w:r>
            <w:proofErr w:type="gramStart"/>
            <w:r w:rsidRPr="00F04A75">
              <w:t>ORR</w:t>
            </w:r>
            <w:proofErr w:type="gramEnd"/>
            <w:r w:rsidRPr="00F04A75">
              <w:t xml:space="preserve"> and Safety</w:t>
            </w:r>
          </w:p>
        </w:tc>
      </w:tr>
      <w:tr w:rsidR="00F97782" w:rsidRPr="00F04A75" w14:paraId="694464E8" w14:textId="77777777" w:rsidTr="00DB2800">
        <w:trPr>
          <w:cantSplit/>
          <w:trHeight w:val="179"/>
        </w:trPr>
        <w:tc>
          <w:tcPr>
            <w:tcW w:w="5000" w:type="pct"/>
            <w:gridSpan w:val="6"/>
            <w:shd w:val="clear" w:color="auto" w:fill="auto"/>
            <w:vAlign w:val="center"/>
          </w:tcPr>
          <w:p w14:paraId="46FCBF51" w14:textId="77777777" w:rsidR="00F97782" w:rsidRPr="00F04A75" w:rsidRDefault="00F97782" w:rsidP="0016658B">
            <w:pPr>
              <w:pStyle w:val="TableText0"/>
              <w:rPr>
                <w:b/>
                <w:bCs w:val="0"/>
              </w:rPr>
            </w:pPr>
            <w:r w:rsidRPr="00F04A75">
              <w:rPr>
                <w:b/>
                <w:bCs w:val="0"/>
              </w:rPr>
              <w:t xml:space="preserve">Eld vs </w:t>
            </w:r>
            <w:proofErr w:type="spellStart"/>
            <w:r w:rsidRPr="00F04A75">
              <w:rPr>
                <w:b/>
                <w:bCs w:val="0"/>
              </w:rPr>
              <w:t>Ld</w:t>
            </w:r>
            <w:proofErr w:type="spellEnd"/>
          </w:p>
        </w:tc>
      </w:tr>
      <w:tr w:rsidR="00F97782" w:rsidRPr="00F04A75" w14:paraId="51E5FB82" w14:textId="77777777" w:rsidTr="00085736">
        <w:trPr>
          <w:cantSplit/>
          <w:trHeight w:val="427"/>
        </w:trPr>
        <w:tc>
          <w:tcPr>
            <w:tcW w:w="705" w:type="pct"/>
            <w:shd w:val="clear" w:color="auto" w:fill="B8CCE4" w:themeFill="accent1" w:themeFillTint="66"/>
            <w:vAlign w:val="center"/>
          </w:tcPr>
          <w:p w14:paraId="7FE01A5A" w14:textId="77777777" w:rsidR="00F97782" w:rsidRPr="00F04A75" w:rsidRDefault="00F97782" w:rsidP="0016658B">
            <w:pPr>
              <w:pStyle w:val="TableText0"/>
              <w:rPr>
                <w:vertAlign w:val="superscript"/>
              </w:rPr>
            </w:pPr>
            <w:r w:rsidRPr="00F04A75">
              <w:t>ELOQUENT-2</w:t>
            </w:r>
            <w:r w:rsidR="006C1D50" w:rsidRPr="00F04A75">
              <w:rPr>
                <w:vertAlign w:val="superscript"/>
              </w:rPr>
              <w:t>b</w:t>
            </w:r>
          </w:p>
        </w:tc>
        <w:tc>
          <w:tcPr>
            <w:tcW w:w="393" w:type="pct"/>
            <w:shd w:val="clear" w:color="auto" w:fill="B8CCE4" w:themeFill="accent1" w:themeFillTint="66"/>
            <w:vAlign w:val="center"/>
          </w:tcPr>
          <w:p w14:paraId="535FFB7C" w14:textId="77777777" w:rsidR="00F97782" w:rsidRPr="00F04A75" w:rsidRDefault="00F97782" w:rsidP="0016658B">
            <w:pPr>
              <w:pStyle w:val="TableText0"/>
              <w:jc w:val="center"/>
            </w:pPr>
            <w:r w:rsidRPr="00F04A75">
              <w:t>646</w:t>
            </w:r>
          </w:p>
        </w:tc>
        <w:tc>
          <w:tcPr>
            <w:tcW w:w="1179" w:type="pct"/>
            <w:shd w:val="clear" w:color="auto" w:fill="B8CCE4" w:themeFill="accent1" w:themeFillTint="66"/>
            <w:vAlign w:val="center"/>
          </w:tcPr>
          <w:p w14:paraId="243FA994" w14:textId="77777777" w:rsidR="00F97782" w:rsidRPr="00F04A75" w:rsidRDefault="00F97782" w:rsidP="0016658B">
            <w:pPr>
              <w:pStyle w:val="TableText0"/>
              <w:jc w:val="center"/>
            </w:pPr>
            <w:r w:rsidRPr="00F04A75">
              <w:t>Phase III, R, OL</w:t>
            </w:r>
          </w:p>
          <w:p w14:paraId="1E39A8E5" w14:textId="77777777" w:rsidR="00085736" w:rsidRPr="00F04A75" w:rsidRDefault="00085736" w:rsidP="0016658B">
            <w:pPr>
              <w:pStyle w:val="TableText0"/>
              <w:jc w:val="center"/>
            </w:pPr>
          </w:p>
          <w:p w14:paraId="39594AF6" w14:textId="6F4AA8C6" w:rsidR="00F97782" w:rsidRPr="00F04A75" w:rsidRDefault="00F97782" w:rsidP="0016658B">
            <w:pPr>
              <w:pStyle w:val="TableText0"/>
              <w:jc w:val="center"/>
            </w:pPr>
            <w:r w:rsidRPr="00F04A75">
              <w:t>PFS: 46.8 months</w:t>
            </w:r>
          </w:p>
          <w:p w14:paraId="319DA20D" w14:textId="77777777" w:rsidR="00F97782" w:rsidRPr="00F04A75" w:rsidRDefault="00F97782" w:rsidP="0016658B">
            <w:pPr>
              <w:pStyle w:val="TableText0"/>
              <w:jc w:val="center"/>
              <w:rPr>
                <w:vertAlign w:val="superscript"/>
              </w:rPr>
            </w:pPr>
            <w:r w:rsidRPr="00F04A75">
              <w:t>OS: 70.</w:t>
            </w:r>
            <w:r w:rsidR="00CE05FD" w:rsidRPr="00F04A75">
              <w:t>6</w:t>
            </w:r>
            <w:r w:rsidR="00DB2800" w:rsidRPr="00F04A75">
              <w:t xml:space="preserve"> </w:t>
            </w:r>
            <w:r w:rsidRPr="00F04A75">
              <w:t xml:space="preserve">months (cut-off 3 Oct </w:t>
            </w:r>
            <w:proofErr w:type="gramStart"/>
            <w:r w:rsidRPr="00F04A75">
              <w:t>2018)</w:t>
            </w:r>
            <w:r w:rsidRPr="00F04A75">
              <w:rPr>
                <w:vertAlign w:val="superscript"/>
              </w:rPr>
              <w:t>a</w:t>
            </w:r>
            <w:proofErr w:type="gramEnd"/>
          </w:p>
        </w:tc>
        <w:tc>
          <w:tcPr>
            <w:tcW w:w="472" w:type="pct"/>
            <w:shd w:val="clear" w:color="auto" w:fill="B8CCE4" w:themeFill="accent1" w:themeFillTint="66"/>
            <w:vAlign w:val="center"/>
          </w:tcPr>
          <w:p w14:paraId="075E88AB" w14:textId="77777777" w:rsidR="00F97782" w:rsidRPr="00F04A75" w:rsidRDefault="00F97782" w:rsidP="0016658B">
            <w:pPr>
              <w:pStyle w:val="TableText0"/>
              <w:jc w:val="center"/>
            </w:pPr>
            <w:r w:rsidRPr="00F04A75">
              <w:t>Low</w:t>
            </w:r>
          </w:p>
        </w:tc>
        <w:tc>
          <w:tcPr>
            <w:tcW w:w="1305" w:type="pct"/>
            <w:shd w:val="clear" w:color="auto" w:fill="B8CCE4" w:themeFill="accent1" w:themeFillTint="66"/>
            <w:vAlign w:val="center"/>
          </w:tcPr>
          <w:p w14:paraId="50ADC796" w14:textId="30077828" w:rsidR="00F97782" w:rsidRPr="00F04A75" w:rsidRDefault="00AA14EA" w:rsidP="0016658B">
            <w:pPr>
              <w:pStyle w:val="TableText0"/>
              <w:jc w:val="center"/>
            </w:pPr>
            <w:r w:rsidRPr="00F04A75">
              <w:t>RRMM p</w:t>
            </w:r>
            <w:r w:rsidR="00F97782" w:rsidRPr="00F04A75">
              <w:t xml:space="preserve">atients who had received </w:t>
            </w:r>
            <w:r w:rsidRPr="00F04A75">
              <w:t xml:space="preserve">≥ 1 </w:t>
            </w:r>
            <w:r w:rsidR="00F97782" w:rsidRPr="00F04A75">
              <w:t>prior line of therapy</w:t>
            </w:r>
          </w:p>
        </w:tc>
        <w:tc>
          <w:tcPr>
            <w:tcW w:w="946" w:type="pct"/>
            <w:shd w:val="clear" w:color="auto" w:fill="B8CCE4" w:themeFill="accent1" w:themeFillTint="66"/>
            <w:vAlign w:val="center"/>
          </w:tcPr>
          <w:p w14:paraId="35CE9990" w14:textId="77777777" w:rsidR="00F97782" w:rsidRPr="00F04A75" w:rsidRDefault="00F97782" w:rsidP="0016658B">
            <w:pPr>
              <w:pStyle w:val="TableText0"/>
              <w:jc w:val="center"/>
            </w:pPr>
            <w:r w:rsidRPr="00F04A75">
              <w:t xml:space="preserve">Co-primary endpoints: PFS and ORR Secondary: OS and BPI-SF Exploratory: Safety, </w:t>
            </w:r>
            <w:proofErr w:type="spellStart"/>
            <w:r w:rsidRPr="00F04A75">
              <w:t>HRQoL</w:t>
            </w:r>
            <w:proofErr w:type="spellEnd"/>
          </w:p>
        </w:tc>
      </w:tr>
      <w:tr w:rsidR="00F97782" w:rsidRPr="00F04A75" w14:paraId="20CBA0A6" w14:textId="77777777" w:rsidTr="00DB2800">
        <w:trPr>
          <w:cantSplit/>
          <w:trHeight w:val="116"/>
        </w:trPr>
        <w:tc>
          <w:tcPr>
            <w:tcW w:w="5000" w:type="pct"/>
            <w:gridSpan w:val="6"/>
            <w:shd w:val="clear" w:color="auto" w:fill="auto"/>
            <w:vAlign w:val="center"/>
          </w:tcPr>
          <w:p w14:paraId="7EEE8E07" w14:textId="77777777" w:rsidR="00F97782" w:rsidRPr="00F04A75" w:rsidRDefault="00F97782" w:rsidP="0016658B">
            <w:pPr>
              <w:pStyle w:val="TableText0"/>
              <w:rPr>
                <w:b/>
                <w:bCs w:val="0"/>
              </w:rPr>
            </w:pPr>
            <w:proofErr w:type="spellStart"/>
            <w:r w:rsidRPr="00F04A75">
              <w:rPr>
                <w:b/>
                <w:bCs w:val="0"/>
              </w:rPr>
              <w:t>PBd</w:t>
            </w:r>
            <w:proofErr w:type="spellEnd"/>
            <w:r w:rsidRPr="00F04A75">
              <w:rPr>
                <w:b/>
                <w:bCs w:val="0"/>
              </w:rPr>
              <w:t xml:space="preserve"> vs Bd</w:t>
            </w:r>
          </w:p>
        </w:tc>
      </w:tr>
      <w:tr w:rsidR="00F97782" w:rsidRPr="00F04A75" w14:paraId="1DBB4E89" w14:textId="77777777" w:rsidTr="00085736">
        <w:trPr>
          <w:cantSplit/>
          <w:trHeight w:val="220"/>
        </w:trPr>
        <w:tc>
          <w:tcPr>
            <w:tcW w:w="705" w:type="pct"/>
            <w:shd w:val="clear" w:color="auto" w:fill="auto"/>
            <w:vAlign w:val="center"/>
          </w:tcPr>
          <w:p w14:paraId="3EDECEC1" w14:textId="77777777" w:rsidR="00F97782" w:rsidRPr="00F04A75" w:rsidRDefault="00F97782" w:rsidP="0016658B">
            <w:pPr>
              <w:pStyle w:val="TableText0"/>
            </w:pPr>
            <w:r w:rsidRPr="00F04A75">
              <w:t>OPTIMISMM</w:t>
            </w:r>
          </w:p>
        </w:tc>
        <w:tc>
          <w:tcPr>
            <w:tcW w:w="393" w:type="pct"/>
            <w:shd w:val="clear" w:color="auto" w:fill="auto"/>
            <w:vAlign w:val="center"/>
          </w:tcPr>
          <w:p w14:paraId="04AEA2C6" w14:textId="77777777" w:rsidR="00F97782" w:rsidRPr="00F04A75" w:rsidRDefault="00F97782" w:rsidP="0016658B">
            <w:pPr>
              <w:pStyle w:val="TableText0"/>
              <w:jc w:val="center"/>
            </w:pPr>
            <w:r w:rsidRPr="00F04A75">
              <w:t>559</w:t>
            </w:r>
          </w:p>
        </w:tc>
        <w:tc>
          <w:tcPr>
            <w:tcW w:w="1179" w:type="pct"/>
            <w:shd w:val="clear" w:color="auto" w:fill="auto"/>
            <w:vAlign w:val="center"/>
          </w:tcPr>
          <w:p w14:paraId="1D3EE9D8" w14:textId="77777777" w:rsidR="00085736" w:rsidRPr="00F04A75" w:rsidRDefault="00F97782" w:rsidP="0016658B">
            <w:pPr>
              <w:pStyle w:val="TableText0"/>
              <w:jc w:val="center"/>
            </w:pPr>
            <w:r w:rsidRPr="00F04A75">
              <w:t xml:space="preserve">Phase III, R, OL, MC </w:t>
            </w:r>
            <w:r w:rsidR="00085736" w:rsidRPr="00F04A75">
              <w:br/>
            </w:r>
          </w:p>
          <w:p w14:paraId="3AA7458B" w14:textId="119DBBBE" w:rsidR="00F97782" w:rsidRPr="00F04A75" w:rsidRDefault="00F97782" w:rsidP="0016658B">
            <w:pPr>
              <w:pStyle w:val="TableText0"/>
              <w:jc w:val="center"/>
            </w:pPr>
            <w:r w:rsidRPr="00F04A75">
              <w:t>15.9 months (cut-off 26 Oct 2017); 26.2 months (cut-off 15 Sep 2018)</w:t>
            </w:r>
          </w:p>
        </w:tc>
        <w:tc>
          <w:tcPr>
            <w:tcW w:w="472" w:type="pct"/>
            <w:shd w:val="clear" w:color="auto" w:fill="auto"/>
            <w:vAlign w:val="center"/>
          </w:tcPr>
          <w:p w14:paraId="3E23C781" w14:textId="77777777" w:rsidR="00F97782" w:rsidRPr="00F04A75" w:rsidRDefault="00F97782" w:rsidP="0016658B">
            <w:pPr>
              <w:pStyle w:val="TableText0"/>
              <w:jc w:val="center"/>
            </w:pPr>
            <w:r w:rsidRPr="00F04A75">
              <w:t>Low</w:t>
            </w:r>
          </w:p>
        </w:tc>
        <w:tc>
          <w:tcPr>
            <w:tcW w:w="1305" w:type="pct"/>
            <w:shd w:val="clear" w:color="auto" w:fill="auto"/>
            <w:vAlign w:val="center"/>
          </w:tcPr>
          <w:p w14:paraId="7DA969D0" w14:textId="208AE021" w:rsidR="00F97782" w:rsidRPr="00F04A75" w:rsidRDefault="00F97782" w:rsidP="0016658B">
            <w:pPr>
              <w:pStyle w:val="TableText0"/>
              <w:jc w:val="center"/>
            </w:pPr>
            <w:r w:rsidRPr="00F04A75">
              <w:t xml:space="preserve">RRMM patients who have undergone or are ineligible for an SCT, and who have received </w:t>
            </w:r>
            <w:r w:rsidR="00AA14EA" w:rsidRPr="00F04A75">
              <w:t xml:space="preserve">≥ 1 </w:t>
            </w:r>
            <w:r w:rsidRPr="00F04A75">
              <w:t xml:space="preserve">prior treatment regimen including lenalidomide for at least </w:t>
            </w:r>
            <w:r w:rsidR="00AA14EA" w:rsidRPr="00F04A75">
              <w:t>2</w:t>
            </w:r>
            <w:r w:rsidRPr="00F04A75">
              <w:t xml:space="preserve"> consecutive cycles</w:t>
            </w:r>
          </w:p>
        </w:tc>
        <w:tc>
          <w:tcPr>
            <w:tcW w:w="946" w:type="pct"/>
            <w:shd w:val="clear" w:color="auto" w:fill="auto"/>
            <w:vAlign w:val="center"/>
          </w:tcPr>
          <w:p w14:paraId="674D5B7A" w14:textId="445035FB" w:rsidR="00F97782" w:rsidRPr="00F04A75" w:rsidRDefault="00F97782" w:rsidP="0016658B">
            <w:pPr>
              <w:pStyle w:val="TableText0"/>
              <w:jc w:val="center"/>
            </w:pPr>
            <w:r w:rsidRPr="00F04A75">
              <w:t xml:space="preserve">Primary: PFS, </w:t>
            </w:r>
            <w:r w:rsidR="00DB420E" w:rsidRPr="00F04A75">
              <w:t>Secondary</w:t>
            </w:r>
            <w:r w:rsidRPr="00F04A75">
              <w:t>: OS, ORR, DOR, Safety</w:t>
            </w:r>
          </w:p>
        </w:tc>
      </w:tr>
    </w:tbl>
    <w:p w14:paraId="35C090DF" w14:textId="77777777" w:rsidR="00F97782" w:rsidRPr="00F04A75" w:rsidRDefault="00F97782" w:rsidP="0016658B">
      <w:pPr>
        <w:pStyle w:val="TableFigureFooter"/>
      </w:pPr>
      <w:r w:rsidRPr="00F04A75">
        <w:t>Source: Compiled by the commentary based on the resubmission.</w:t>
      </w:r>
    </w:p>
    <w:p w14:paraId="37829035" w14:textId="41D8FBD5" w:rsidR="00F97782" w:rsidRPr="00F04A75" w:rsidRDefault="00F97782" w:rsidP="0016658B">
      <w:pPr>
        <w:pStyle w:val="TableFigureFooter"/>
        <w:rPr>
          <w:szCs w:val="18"/>
        </w:rPr>
      </w:pPr>
      <w:r w:rsidRPr="00F04A75">
        <w:lastRenderedPageBreak/>
        <w:t>Bd</w:t>
      </w:r>
      <w:r w:rsidR="00AA14EA" w:rsidRPr="00F04A75">
        <w:t xml:space="preserve"> </w:t>
      </w:r>
      <w:r w:rsidRPr="00F04A75">
        <w:t>=</w:t>
      </w:r>
      <w:r w:rsidR="00AA14EA" w:rsidRPr="00F04A75">
        <w:t xml:space="preserve"> </w:t>
      </w:r>
      <w:r w:rsidRPr="00F04A75">
        <w:t xml:space="preserve">bortezomib and dexamethasone; </w:t>
      </w:r>
      <w:r w:rsidR="00AA14EA" w:rsidRPr="00F04A75">
        <w:rPr>
          <w:szCs w:val="18"/>
        </w:rPr>
        <w:t xml:space="preserve">BPI-SF = </w:t>
      </w:r>
      <w:r w:rsidR="00AA14EA" w:rsidRPr="00F04A75">
        <w:rPr>
          <w:rFonts w:cstheme="minorHAnsi"/>
          <w:szCs w:val="18"/>
        </w:rPr>
        <w:t xml:space="preserve">Brief Pain Inventory-Short Form; </w:t>
      </w:r>
      <w:r w:rsidRPr="00F04A75">
        <w:t>Cd</w:t>
      </w:r>
      <w:r w:rsidR="00AA14EA" w:rsidRPr="00F04A75">
        <w:t xml:space="preserve"> </w:t>
      </w:r>
      <w:r w:rsidRPr="00F04A75">
        <w:t xml:space="preserve">= carfilzomib and dexamethasone; </w:t>
      </w:r>
      <w:proofErr w:type="spellStart"/>
      <w:r w:rsidRPr="00F04A75">
        <w:t>CLd</w:t>
      </w:r>
      <w:proofErr w:type="spellEnd"/>
      <w:r w:rsidR="00AA14EA" w:rsidRPr="00F04A75">
        <w:t xml:space="preserve"> </w:t>
      </w:r>
      <w:r w:rsidRPr="00F04A75">
        <w:t>= carfilzomib</w:t>
      </w:r>
      <w:r w:rsidR="00AA14EA" w:rsidRPr="00F04A75">
        <w:t>,</w:t>
      </w:r>
      <w:r w:rsidRPr="00F04A75">
        <w:t xml:space="preserve"> lenalidomide and dexamethasone;</w:t>
      </w:r>
      <w:r w:rsidR="00334CF5" w:rsidRPr="00F04A75">
        <w:t xml:space="preserve"> DOR = duration of response;</w:t>
      </w:r>
      <w:r w:rsidRPr="00F04A75">
        <w:t xml:space="preserve"> </w:t>
      </w:r>
      <w:proofErr w:type="spellStart"/>
      <w:r w:rsidRPr="00F04A75">
        <w:t>ELd</w:t>
      </w:r>
      <w:proofErr w:type="spellEnd"/>
      <w:r w:rsidR="00AA14EA" w:rsidRPr="00F04A75">
        <w:t xml:space="preserve"> </w:t>
      </w:r>
      <w:r w:rsidRPr="00F04A75">
        <w:t>=</w:t>
      </w:r>
      <w:r w:rsidR="00AA14EA" w:rsidRPr="00F04A75">
        <w:t xml:space="preserve"> </w:t>
      </w:r>
      <w:proofErr w:type="spellStart"/>
      <w:r w:rsidRPr="00F04A75">
        <w:t>elotuzumab</w:t>
      </w:r>
      <w:proofErr w:type="spellEnd"/>
      <w:r w:rsidR="00AA14EA" w:rsidRPr="00F04A75">
        <w:t>,</w:t>
      </w:r>
      <w:r w:rsidRPr="00F04A75">
        <w:t xml:space="preserve"> lenalidomide and dexamethasone; </w:t>
      </w:r>
      <w:proofErr w:type="spellStart"/>
      <w:r w:rsidRPr="00F04A75">
        <w:t>HRQoL</w:t>
      </w:r>
      <w:proofErr w:type="spellEnd"/>
      <w:r w:rsidRPr="00F04A75">
        <w:t>=health related quality of life; MC = multi-centre; OL = open label; OS = overall survival; ORR</w:t>
      </w:r>
      <w:r w:rsidR="00AA14EA" w:rsidRPr="00F04A75">
        <w:t xml:space="preserve"> </w:t>
      </w:r>
      <w:r w:rsidRPr="00F04A75">
        <w:t xml:space="preserve">= overall response rate, </w:t>
      </w:r>
      <w:proofErr w:type="spellStart"/>
      <w:r w:rsidRPr="00F04A75">
        <w:t>PBd</w:t>
      </w:r>
      <w:proofErr w:type="spellEnd"/>
      <w:r w:rsidR="00AA14EA" w:rsidRPr="00F04A75">
        <w:t xml:space="preserve"> </w:t>
      </w:r>
      <w:r w:rsidRPr="00F04A75">
        <w:t>=</w:t>
      </w:r>
      <w:r w:rsidR="00AA14EA" w:rsidRPr="00F04A75">
        <w:t xml:space="preserve"> </w:t>
      </w:r>
      <w:r w:rsidRPr="00F04A75">
        <w:t>pomalidomide</w:t>
      </w:r>
      <w:r w:rsidR="00AA14EA" w:rsidRPr="00F04A75">
        <w:t>,</w:t>
      </w:r>
      <w:r w:rsidRPr="00F04A75">
        <w:t xml:space="preserve"> bortezomib and dexamethasone; PFS = progression-free survival; R = randomised; RRMM</w:t>
      </w:r>
      <w:r w:rsidR="00AA14EA" w:rsidRPr="00F04A75">
        <w:t xml:space="preserve"> </w:t>
      </w:r>
      <w:r w:rsidRPr="00F04A75">
        <w:t>=</w:t>
      </w:r>
      <w:r w:rsidR="00AA14EA" w:rsidRPr="00F04A75">
        <w:t xml:space="preserve"> </w:t>
      </w:r>
      <w:r w:rsidRPr="00F04A75">
        <w:t xml:space="preserve">relapsed </w:t>
      </w:r>
      <w:r w:rsidR="00AA14EA" w:rsidRPr="00F04A75">
        <w:t>and/</w:t>
      </w:r>
      <w:r w:rsidRPr="00F04A75">
        <w:t>or refractory multiple myeloma</w:t>
      </w:r>
    </w:p>
    <w:p w14:paraId="5B6CBD67" w14:textId="0F0CDC7C" w:rsidR="00DF5512" w:rsidRPr="00F04A75" w:rsidRDefault="00DF5512" w:rsidP="00DF5512">
      <w:pPr>
        <w:pStyle w:val="TableFigureFooter"/>
      </w:pPr>
      <w:r w:rsidRPr="00F04A75">
        <w:t xml:space="preserve">Blue shading </w:t>
      </w:r>
      <w:proofErr w:type="spellStart"/>
      <w:r>
        <w:t>representes</w:t>
      </w:r>
      <w:proofErr w:type="spellEnd"/>
      <w:r w:rsidRPr="00F04A75">
        <w:t xml:space="preserve"> information presented in carfilzomib November 2016 submission </w:t>
      </w:r>
    </w:p>
    <w:p w14:paraId="6ED8B8D0" w14:textId="7F6F3888" w:rsidR="00F97782" w:rsidRPr="00F04A75" w:rsidRDefault="00334CF5" w:rsidP="00334CF5">
      <w:pPr>
        <w:pStyle w:val="TableFigureFooter"/>
      </w:pPr>
      <w:r w:rsidRPr="00F04A75">
        <w:t xml:space="preserve">a. </w:t>
      </w:r>
      <w:r w:rsidR="00F97782" w:rsidRPr="00F04A75">
        <w:t>The details of the follow-up are provided for the latest data cut-off</w:t>
      </w:r>
      <w:r w:rsidR="006C1D50" w:rsidRPr="00F04A75">
        <w:t xml:space="preserve"> available. </w:t>
      </w:r>
    </w:p>
    <w:p w14:paraId="0B37074A" w14:textId="4637FE17" w:rsidR="006C1D50" w:rsidRPr="00F04A75" w:rsidRDefault="00334CF5" w:rsidP="00334CF5">
      <w:pPr>
        <w:pStyle w:val="TableFigureFooter"/>
        <w:rPr>
          <w:sz w:val="20"/>
        </w:rPr>
      </w:pPr>
      <w:r w:rsidRPr="00F04A75">
        <w:t xml:space="preserve">b. </w:t>
      </w:r>
      <w:r w:rsidR="006C1D50" w:rsidRPr="00F04A75">
        <w:t xml:space="preserve">ELOQUENT-2 was presented in the original submission but not considered by ESC or the PBAC. </w:t>
      </w:r>
    </w:p>
    <w:p w14:paraId="23FD665E" w14:textId="7926136C" w:rsidR="00F97782" w:rsidRPr="00F04A75" w:rsidRDefault="00F97782" w:rsidP="0016658B">
      <w:pPr>
        <w:pStyle w:val="3-BodyText"/>
        <w:rPr>
          <w:color w:val="000000" w:themeColor="text1"/>
        </w:rPr>
      </w:pPr>
      <w:bookmarkStart w:id="30" w:name="_Ref95397054"/>
      <w:r w:rsidRPr="00F04A75">
        <w:rPr>
          <w:snapToGrid/>
          <w:color w:val="000000" w:themeColor="text1"/>
        </w:rPr>
        <w:t>The demographic characteristics across the trials were similar, with the following exceptions: more patients in ASPIRE had</w:t>
      </w:r>
      <w:r w:rsidRPr="00F04A75">
        <w:t xml:space="preserve"> an Eastern Cooperative Oncology Group (ECOG) performance status of 2 (10.1%), compared with ENDEAVOR (6.9%), ARROW (0.4%) and OPTIMISMM (3.9%). Patients in ASPIRE had higher levels of creatinine clearance compared to ENDEAVOR, ELOQUENT-2 and OPTIMISMM. </w:t>
      </w:r>
      <w:r w:rsidR="00665AAD" w:rsidRPr="00F04A75">
        <w:t xml:space="preserve">The ESC noted that demographics were similar across the trials and </w:t>
      </w:r>
      <w:r w:rsidR="0087690A" w:rsidRPr="00F04A75">
        <w:t xml:space="preserve">considered </w:t>
      </w:r>
      <w:r w:rsidR="00665AAD" w:rsidRPr="00F04A75">
        <w:t xml:space="preserve">that </w:t>
      </w:r>
      <w:r w:rsidR="0087690A" w:rsidRPr="00F04A75">
        <w:t xml:space="preserve">the </w:t>
      </w:r>
      <w:r w:rsidRPr="00F04A75">
        <w:t xml:space="preserve">differences were </w:t>
      </w:r>
      <w:r w:rsidR="0087690A" w:rsidRPr="00F04A75">
        <w:t xml:space="preserve">minor and were </w:t>
      </w:r>
      <w:r w:rsidRPr="00F04A75">
        <w:t>not anticipated to affect the comparability of these trials.</w:t>
      </w:r>
      <w:bookmarkEnd w:id="30"/>
      <w:r w:rsidRPr="00F04A75">
        <w:t xml:space="preserve"> </w:t>
      </w:r>
      <w:r w:rsidR="00665AAD" w:rsidRPr="00F04A75">
        <w:t xml:space="preserve"> </w:t>
      </w:r>
    </w:p>
    <w:p w14:paraId="45114162" w14:textId="04B77740" w:rsidR="00665AAD" w:rsidRPr="00F04A75" w:rsidRDefault="00665AAD" w:rsidP="00665AAD">
      <w:pPr>
        <w:pStyle w:val="3-BodyText"/>
        <w:rPr>
          <w:color w:val="000000" w:themeColor="text1"/>
        </w:rPr>
      </w:pPr>
      <w:bookmarkStart w:id="31" w:name="_Ref95397063"/>
      <w:r w:rsidRPr="00F04A75">
        <w:rPr>
          <w:color w:val="000000" w:themeColor="text1"/>
        </w:rPr>
        <w:t xml:space="preserve">The </w:t>
      </w:r>
      <w:r w:rsidR="00B80B76" w:rsidRPr="00F04A75">
        <w:rPr>
          <w:color w:val="000000" w:themeColor="text1"/>
        </w:rPr>
        <w:t xml:space="preserve">ESC noted that the </w:t>
      </w:r>
      <w:r w:rsidRPr="00F04A75">
        <w:rPr>
          <w:color w:val="000000" w:themeColor="text1"/>
        </w:rPr>
        <w:t xml:space="preserve">trials included in the ITC had different durations of follow-up for both </w:t>
      </w:r>
      <w:r w:rsidR="00C007E5" w:rsidRPr="00F04A75">
        <w:rPr>
          <w:color w:val="000000" w:themeColor="text1"/>
        </w:rPr>
        <w:t>progression free survival (</w:t>
      </w:r>
      <w:r w:rsidRPr="00F04A75">
        <w:rPr>
          <w:color w:val="000000" w:themeColor="text1"/>
        </w:rPr>
        <w:t>PFS</w:t>
      </w:r>
      <w:r w:rsidR="00C007E5" w:rsidRPr="00F04A75">
        <w:rPr>
          <w:color w:val="000000" w:themeColor="text1"/>
        </w:rPr>
        <w:t>)</w:t>
      </w:r>
      <w:r w:rsidRPr="00F04A75">
        <w:rPr>
          <w:color w:val="000000" w:themeColor="text1"/>
        </w:rPr>
        <w:t xml:space="preserve"> and OS. The follow-up time for PFS in ASPIRE was 31 months, compared with 11.5 months in ENDEAVOR, 24.5 months in ELOQUENT-2 and 15.9 months in OPTIMISMM. Similarly, the follow-up time for OS was 32 months in ASPIRE, compared with 37 months in ENDEAVOR, 38.7 months in ELOQUENT-2 and 26.2 months in OPTIMISMM. The comparability of the trials may be impacted by the differences in follow-up. </w:t>
      </w:r>
    </w:p>
    <w:p w14:paraId="4B4CFBBD" w14:textId="77777777" w:rsidR="00F97782" w:rsidRPr="00F04A75" w:rsidRDefault="00F97782" w:rsidP="0016658B">
      <w:pPr>
        <w:pStyle w:val="3-BodyText"/>
        <w:rPr>
          <w:color w:val="000000" w:themeColor="text1"/>
        </w:rPr>
      </w:pPr>
      <w:bookmarkStart w:id="32" w:name="_Ref95397414"/>
      <w:r w:rsidRPr="00F04A75">
        <w:rPr>
          <w:color w:val="000000" w:themeColor="text1"/>
        </w:rPr>
        <w:t>The key differences between the eligibility criteria of the trials with respect to prior exposure to either lenalidomide or bortezomib</w:t>
      </w:r>
      <w:r w:rsidR="00703584" w:rsidRPr="00F04A75">
        <w:rPr>
          <w:color w:val="000000" w:themeColor="text1"/>
        </w:rPr>
        <w:t xml:space="preserve"> were</w:t>
      </w:r>
      <w:r w:rsidRPr="00F04A75">
        <w:rPr>
          <w:color w:val="000000" w:themeColor="text1"/>
        </w:rPr>
        <w:t>:</w:t>
      </w:r>
      <w:bookmarkEnd w:id="31"/>
      <w:bookmarkEnd w:id="32"/>
    </w:p>
    <w:p w14:paraId="63626876" w14:textId="4680E0F2" w:rsidR="00F97782" w:rsidRPr="00F04A75" w:rsidRDefault="00F97782" w:rsidP="00D9233D">
      <w:pPr>
        <w:pStyle w:val="3-BodyText"/>
        <w:numPr>
          <w:ilvl w:val="0"/>
          <w:numId w:val="12"/>
        </w:numPr>
        <w:ind w:left="1077" w:hanging="357"/>
        <w:rPr>
          <w:color w:val="000000" w:themeColor="text1"/>
        </w:rPr>
      </w:pPr>
      <w:r w:rsidRPr="00F04A75">
        <w:rPr>
          <w:color w:val="000000" w:themeColor="text1"/>
        </w:rPr>
        <w:t xml:space="preserve">In ASPIRE, patients were allowed prior lenalidomide unless </w:t>
      </w:r>
      <w:r w:rsidR="00D823E4">
        <w:rPr>
          <w:color w:val="000000" w:themeColor="text1"/>
        </w:rPr>
        <w:t xml:space="preserve">either </w:t>
      </w:r>
      <w:r w:rsidRPr="00F04A75">
        <w:rPr>
          <w:color w:val="000000" w:themeColor="text1"/>
        </w:rPr>
        <w:t xml:space="preserve">the patient </w:t>
      </w:r>
      <w:r w:rsidR="00D823E4">
        <w:rPr>
          <w:color w:val="000000" w:themeColor="text1"/>
        </w:rPr>
        <w:t>(</w:t>
      </w:r>
      <w:proofErr w:type="spellStart"/>
      <w:r w:rsidR="00D823E4">
        <w:rPr>
          <w:color w:val="000000" w:themeColor="text1"/>
        </w:rPr>
        <w:t>i</w:t>
      </w:r>
      <w:proofErr w:type="spellEnd"/>
      <w:r w:rsidR="00D823E4">
        <w:rPr>
          <w:color w:val="000000" w:themeColor="text1"/>
        </w:rPr>
        <w:t xml:space="preserve">) </w:t>
      </w:r>
      <w:r w:rsidRPr="00F04A75">
        <w:rPr>
          <w:color w:val="000000" w:themeColor="text1"/>
        </w:rPr>
        <w:t xml:space="preserve">progressed during the </w:t>
      </w:r>
      <w:r w:rsidR="00DD25AC" w:rsidRPr="00F04A75">
        <w:rPr>
          <w:color w:val="000000" w:themeColor="text1"/>
        </w:rPr>
        <w:t xml:space="preserve">first </w:t>
      </w:r>
      <w:r w:rsidRPr="00F04A75">
        <w:rPr>
          <w:color w:val="000000" w:themeColor="text1"/>
        </w:rPr>
        <w:t xml:space="preserve">3 months of </w:t>
      </w:r>
      <w:r w:rsidR="00DD25AC" w:rsidRPr="00F04A75">
        <w:rPr>
          <w:color w:val="000000" w:themeColor="text1"/>
        </w:rPr>
        <w:t xml:space="preserve">initiating </w:t>
      </w:r>
      <w:proofErr w:type="spellStart"/>
      <w:r w:rsidRPr="00F04A75">
        <w:rPr>
          <w:color w:val="000000" w:themeColor="text1"/>
        </w:rPr>
        <w:t>Ld</w:t>
      </w:r>
      <w:proofErr w:type="spellEnd"/>
      <w:r w:rsidRPr="00F04A75">
        <w:rPr>
          <w:color w:val="000000" w:themeColor="text1"/>
        </w:rPr>
        <w:t xml:space="preserve"> treatment</w:t>
      </w:r>
      <w:r w:rsidR="00D823E4">
        <w:rPr>
          <w:color w:val="000000" w:themeColor="text1"/>
        </w:rPr>
        <w:t>, or (ii)</w:t>
      </w:r>
      <w:r w:rsidRPr="00F04A75">
        <w:rPr>
          <w:color w:val="000000" w:themeColor="text1"/>
        </w:rPr>
        <w:t xml:space="preserve"> progressed a</w:t>
      </w:r>
      <w:r w:rsidR="001060E6" w:rsidRPr="00F04A75">
        <w:rPr>
          <w:color w:val="000000" w:themeColor="text1"/>
        </w:rPr>
        <w:t>t</w:t>
      </w:r>
      <w:r w:rsidRPr="00F04A75">
        <w:rPr>
          <w:color w:val="000000" w:themeColor="text1"/>
        </w:rPr>
        <w:t xml:space="preserve"> </w:t>
      </w:r>
      <w:r w:rsidR="00DB420E" w:rsidRPr="00F04A75">
        <w:rPr>
          <w:color w:val="000000" w:themeColor="text1"/>
        </w:rPr>
        <w:t>any time</w:t>
      </w:r>
      <w:r w:rsidRPr="00F04A75">
        <w:rPr>
          <w:color w:val="000000" w:themeColor="text1"/>
        </w:rPr>
        <w:t xml:space="preserve"> during </w:t>
      </w:r>
      <w:proofErr w:type="spellStart"/>
      <w:r w:rsidRPr="00F04A75">
        <w:rPr>
          <w:color w:val="000000" w:themeColor="text1"/>
        </w:rPr>
        <w:t>Ld</w:t>
      </w:r>
      <w:proofErr w:type="spellEnd"/>
      <w:r w:rsidRPr="00F04A75">
        <w:rPr>
          <w:color w:val="000000" w:themeColor="text1"/>
        </w:rPr>
        <w:t xml:space="preserve"> treatment if that was the most recent </w:t>
      </w:r>
      <w:proofErr w:type="gramStart"/>
      <w:r w:rsidRPr="00F04A75">
        <w:rPr>
          <w:color w:val="000000" w:themeColor="text1"/>
        </w:rPr>
        <w:t>therapy;</w:t>
      </w:r>
      <w:proofErr w:type="gramEnd"/>
      <w:r w:rsidRPr="00F04A75">
        <w:rPr>
          <w:color w:val="000000" w:themeColor="text1"/>
        </w:rPr>
        <w:t xml:space="preserve"> </w:t>
      </w:r>
    </w:p>
    <w:p w14:paraId="514E58CC" w14:textId="31AEFC09" w:rsidR="00F97782" w:rsidRPr="00F04A75" w:rsidRDefault="00F97782" w:rsidP="00D9233D">
      <w:pPr>
        <w:pStyle w:val="3-BodyText"/>
        <w:numPr>
          <w:ilvl w:val="0"/>
          <w:numId w:val="12"/>
        </w:numPr>
        <w:ind w:left="1077" w:hanging="357"/>
        <w:rPr>
          <w:color w:val="000000" w:themeColor="text1"/>
        </w:rPr>
      </w:pPr>
      <w:r w:rsidRPr="00F04A75">
        <w:rPr>
          <w:color w:val="000000" w:themeColor="text1"/>
        </w:rPr>
        <w:t xml:space="preserve">In ARROW, patients received 2-3 prior regimens including proteasome inhibitor and an </w:t>
      </w:r>
      <w:r w:rsidR="00C007E5" w:rsidRPr="00F04A75">
        <w:rPr>
          <w:color w:val="000000" w:themeColor="text1"/>
        </w:rPr>
        <w:t>i</w:t>
      </w:r>
      <w:r w:rsidR="00963BCA" w:rsidRPr="00F04A75">
        <w:rPr>
          <w:color w:val="000000" w:themeColor="text1"/>
        </w:rPr>
        <w:t>mmunomodulatory imide drug (</w:t>
      </w:r>
      <w:proofErr w:type="spellStart"/>
      <w:r w:rsidRPr="00F04A75">
        <w:rPr>
          <w:color w:val="000000" w:themeColor="text1"/>
        </w:rPr>
        <w:t>IMiD</w:t>
      </w:r>
      <w:proofErr w:type="spellEnd"/>
      <w:proofErr w:type="gramStart"/>
      <w:r w:rsidR="00963BCA" w:rsidRPr="00F04A75">
        <w:rPr>
          <w:color w:val="000000" w:themeColor="text1"/>
        </w:rPr>
        <w:t>)</w:t>
      </w:r>
      <w:r w:rsidRPr="00F04A75">
        <w:rPr>
          <w:color w:val="000000" w:themeColor="text1"/>
        </w:rPr>
        <w:t>;</w:t>
      </w:r>
      <w:proofErr w:type="gramEnd"/>
    </w:p>
    <w:p w14:paraId="45B17375" w14:textId="77777777" w:rsidR="00F97782" w:rsidRPr="00F04A75" w:rsidRDefault="00F97782" w:rsidP="00D9233D">
      <w:pPr>
        <w:pStyle w:val="3-BodyText"/>
        <w:numPr>
          <w:ilvl w:val="0"/>
          <w:numId w:val="12"/>
        </w:numPr>
        <w:ind w:left="1077" w:hanging="357"/>
        <w:rPr>
          <w:color w:val="000000" w:themeColor="text1"/>
        </w:rPr>
      </w:pPr>
      <w:r w:rsidRPr="00F04A75">
        <w:rPr>
          <w:color w:val="000000" w:themeColor="text1"/>
        </w:rPr>
        <w:t xml:space="preserve">In ENDEAVOR, patients had to have at least a partial response to bortezomib, had discontinued bortezomib therapy due to toxicity, and were to have had at least a 6-month bortezomib free period prior to study </w:t>
      </w:r>
      <w:proofErr w:type="gramStart"/>
      <w:r w:rsidRPr="00F04A75">
        <w:rPr>
          <w:color w:val="000000" w:themeColor="text1"/>
        </w:rPr>
        <w:t>initiation</w:t>
      </w:r>
      <w:r w:rsidR="00963BCA" w:rsidRPr="00F04A75">
        <w:rPr>
          <w:color w:val="000000" w:themeColor="text1"/>
        </w:rPr>
        <w:t>;</w:t>
      </w:r>
      <w:proofErr w:type="gramEnd"/>
    </w:p>
    <w:p w14:paraId="43A7382E" w14:textId="73A0D159" w:rsidR="00F97782" w:rsidRPr="00F04A75" w:rsidRDefault="00F97782" w:rsidP="00D9233D">
      <w:pPr>
        <w:pStyle w:val="3-BodyText"/>
        <w:numPr>
          <w:ilvl w:val="0"/>
          <w:numId w:val="12"/>
        </w:numPr>
        <w:ind w:left="1077" w:hanging="357"/>
        <w:rPr>
          <w:color w:val="000000" w:themeColor="text1"/>
        </w:rPr>
      </w:pPr>
      <w:r w:rsidRPr="00F04A75">
        <w:rPr>
          <w:color w:val="000000" w:themeColor="text1"/>
        </w:rPr>
        <w:t>In ELOQUENT-2, patients had to have achieved at least a partial response, not be refractory, not having discontinued due to a grade ≥3 related adverse event (AE) and not received more than 9 cycles of lenalidomide</w:t>
      </w:r>
      <w:r w:rsidR="00D823E4">
        <w:rPr>
          <w:color w:val="000000" w:themeColor="text1"/>
        </w:rPr>
        <w:t>,</w:t>
      </w:r>
      <w:r w:rsidRPr="00F04A75">
        <w:rPr>
          <w:color w:val="000000" w:themeColor="text1"/>
        </w:rPr>
        <w:t xml:space="preserve"> and had at least 9 months between the last dose of lenalidomide and </w:t>
      </w:r>
      <w:proofErr w:type="gramStart"/>
      <w:r w:rsidRPr="00F04A75">
        <w:rPr>
          <w:color w:val="000000" w:themeColor="text1"/>
        </w:rPr>
        <w:t>progression</w:t>
      </w:r>
      <w:r w:rsidR="00963BCA" w:rsidRPr="00F04A75">
        <w:rPr>
          <w:color w:val="000000" w:themeColor="text1"/>
        </w:rPr>
        <w:t>;</w:t>
      </w:r>
      <w:proofErr w:type="gramEnd"/>
      <w:r w:rsidRPr="00F04A75">
        <w:rPr>
          <w:color w:val="000000" w:themeColor="text1"/>
        </w:rPr>
        <w:t xml:space="preserve"> </w:t>
      </w:r>
    </w:p>
    <w:p w14:paraId="01230D0A" w14:textId="594278C5" w:rsidR="00F97782" w:rsidRPr="00F04A75" w:rsidRDefault="00F97782" w:rsidP="00D9233D">
      <w:pPr>
        <w:pStyle w:val="ListParagraph"/>
        <w:widowControl w:val="0"/>
        <w:numPr>
          <w:ilvl w:val="0"/>
          <w:numId w:val="12"/>
        </w:numPr>
        <w:tabs>
          <w:tab w:val="left" w:pos="1530"/>
        </w:tabs>
        <w:spacing w:after="160"/>
        <w:ind w:left="1077" w:hanging="357"/>
        <w:rPr>
          <w:color w:val="000000" w:themeColor="text1"/>
        </w:rPr>
      </w:pPr>
      <w:r w:rsidRPr="00F04A75">
        <w:rPr>
          <w:color w:val="000000" w:themeColor="text1"/>
        </w:rPr>
        <w:t xml:space="preserve">In OPTIMISMM, all patients were required to have received prior treatment with lenalidomide; patients </w:t>
      </w:r>
      <w:r w:rsidRPr="00F04A75">
        <w:t xml:space="preserve">with prior bortezomib use, were included provided they did not have progressive disease during therapy or within 60 days of the last dose of bortezomib containing therapy. </w:t>
      </w:r>
    </w:p>
    <w:p w14:paraId="38B7E152" w14:textId="661FFF6C" w:rsidR="00F97782" w:rsidRPr="00F04A75" w:rsidRDefault="00F97782" w:rsidP="0016658B">
      <w:pPr>
        <w:pStyle w:val="3-BodyText"/>
        <w:numPr>
          <w:ilvl w:val="0"/>
          <w:numId w:val="0"/>
        </w:numPr>
        <w:ind w:left="720"/>
        <w:rPr>
          <w:color w:val="000000" w:themeColor="text1"/>
        </w:rPr>
      </w:pPr>
      <w:r w:rsidRPr="00F04A75">
        <w:rPr>
          <w:color w:val="000000" w:themeColor="text1"/>
        </w:rPr>
        <w:lastRenderedPageBreak/>
        <w:t xml:space="preserve">The noted differences in eligibility criteria specific to prior use of lenalidomide (ASPIRE and ELOQUENT-2) and bortezomib (ENDEAVOR and OPTIMISMM) may </w:t>
      </w:r>
      <w:r w:rsidR="00D823E4">
        <w:rPr>
          <w:color w:val="000000" w:themeColor="text1"/>
        </w:rPr>
        <w:t>impact</w:t>
      </w:r>
      <w:r w:rsidRPr="00F04A75">
        <w:rPr>
          <w:color w:val="000000" w:themeColor="text1"/>
        </w:rPr>
        <w:t xml:space="preserve"> on the exchangeability of the trials for the quantitative ITC.</w:t>
      </w:r>
    </w:p>
    <w:p w14:paraId="014BD279" w14:textId="2D3BAD54" w:rsidR="00F97782" w:rsidRPr="00F04A75" w:rsidRDefault="00F97782" w:rsidP="00475EB2">
      <w:pPr>
        <w:pStyle w:val="3-BodyText"/>
        <w:rPr>
          <w:color w:val="000000" w:themeColor="text1"/>
        </w:rPr>
      </w:pPr>
      <w:bookmarkStart w:id="33" w:name="_Ref95397256"/>
      <w:r w:rsidRPr="00F04A75">
        <w:t xml:space="preserve">The </w:t>
      </w:r>
      <w:r w:rsidR="00DB2800" w:rsidRPr="00F04A75">
        <w:t xml:space="preserve">differences in </w:t>
      </w:r>
      <w:r w:rsidRPr="00F04A75">
        <w:t>prior exposure to lenalidomide and bortezomib</w:t>
      </w:r>
      <w:r w:rsidR="00306254" w:rsidRPr="00F04A75">
        <w:t xml:space="preserve"> </w:t>
      </w:r>
      <w:r w:rsidR="00DB2800" w:rsidRPr="00F04A75">
        <w:t xml:space="preserve">across the trials are presented in </w:t>
      </w:r>
      <w:r w:rsidR="00306254" w:rsidRPr="00F04A75">
        <w:rPr>
          <w:rFonts w:cstheme="minorHAnsi"/>
        </w:rPr>
        <w:fldChar w:fldCharType="begin"/>
      </w:r>
      <w:r w:rsidR="00306254" w:rsidRPr="00F04A75">
        <w:rPr>
          <w:rFonts w:cstheme="minorHAnsi"/>
        </w:rPr>
        <w:instrText xml:space="preserve"> REF _Ref91792410 \h  \* MERGEFORMAT </w:instrText>
      </w:r>
      <w:r w:rsidR="00306254" w:rsidRPr="00F04A75">
        <w:rPr>
          <w:rFonts w:cstheme="minorHAnsi"/>
        </w:rPr>
      </w:r>
      <w:r w:rsidR="00306254" w:rsidRPr="00F04A75">
        <w:rPr>
          <w:rFonts w:cstheme="minorHAnsi"/>
        </w:rPr>
        <w:fldChar w:fldCharType="separate"/>
      </w:r>
      <w:r w:rsidR="00443BC9" w:rsidRPr="00443BC9">
        <w:rPr>
          <w:rFonts w:cstheme="minorHAnsi"/>
        </w:rPr>
        <w:t>Table 5</w:t>
      </w:r>
      <w:r w:rsidR="00306254" w:rsidRPr="00F04A75">
        <w:rPr>
          <w:rFonts w:cstheme="minorHAnsi"/>
        </w:rPr>
        <w:fldChar w:fldCharType="end"/>
      </w:r>
      <w:r w:rsidRPr="00F04A75">
        <w:rPr>
          <w:rFonts w:cstheme="minorHAnsi"/>
        </w:rPr>
        <w:t>.</w:t>
      </w:r>
      <w:bookmarkEnd w:id="33"/>
      <w:r w:rsidR="00B80B76" w:rsidRPr="00F04A75">
        <w:t xml:space="preserve">The ESC </w:t>
      </w:r>
      <w:r w:rsidR="00D823E4">
        <w:t>noted</w:t>
      </w:r>
      <w:r w:rsidR="00D823E4" w:rsidRPr="00F04A75">
        <w:t xml:space="preserve"> </w:t>
      </w:r>
      <w:r w:rsidR="00B80B76" w:rsidRPr="00F04A75">
        <w:t>that</w:t>
      </w:r>
      <w:r w:rsidR="00B80B76" w:rsidRPr="00F04A75">
        <w:rPr>
          <w:rFonts w:cstheme="minorHAnsi"/>
        </w:rPr>
        <w:t xml:space="preserve"> prior exposure to lenalidomide was the most significant difference between the trials.</w:t>
      </w:r>
    </w:p>
    <w:p w14:paraId="54D61611" w14:textId="26E913C1" w:rsidR="00D5542A" w:rsidRPr="00F04A75" w:rsidRDefault="00D5542A" w:rsidP="00DB2800">
      <w:pPr>
        <w:pStyle w:val="Caption"/>
        <w:keepNext/>
        <w:spacing w:after="0"/>
        <w:rPr>
          <w:rFonts w:ascii="Arial Narrow" w:hAnsi="Arial Narrow"/>
          <w:sz w:val="20"/>
          <w:szCs w:val="20"/>
        </w:rPr>
      </w:pPr>
      <w:bookmarkStart w:id="34" w:name="_Ref91792410"/>
      <w:r w:rsidRPr="00F04A75">
        <w:rPr>
          <w:rFonts w:ascii="Arial Narrow" w:hAnsi="Arial Narrow"/>
          <w:color w:val="auto"/>
          <w:sz w:val="20"/>
          <w:szCs w:val="20"/>
        </w:rPr>
        <w:t xml:space="preserve">Table </w:t>
      </w:r>
      <w:r w:rsidRPr="00F04A75">
        <w:rPr>
          <w:rFonts w:ascii="Arial Narrow" w:hAnsi="Arial Narrow"/>
          <w:color w:val="auto"/>
          <w:sz w:val="20"/>
          <w:szCs w:val="20"/>
        </w:rPr>
        <w:fldChar w:fldCharType="begin"/>
      </w:r>
      <w:r w:rsidRPr="00F04A75">
        <w:rPr>
          <w:rFonts w:ascii="Arial Narrow" w:hAnsi="Arial Narrow"/>
          <w:color w:val="auto"/>
          <w:sz w:val="20"/>
          <w:szCs w:val="20"/>
        </w:rPr>
        <w:instrText xml:space="preserve"> SEQ Table \* ARABIC </w:instrText>
      </w:r>
      <w:r w:rsidRPr="00F04A75">
        <w:rPr>
          <w:rFonts w:ascii="Arial Narrow" w:hAnsi="Arial Narrow"/>
          <w:color w:val="auto"/>
          <w:sz w:val="20"/>
          <w:szCs w:val="20"/>
        </w:rPr>
        <w:fldChar w:fldCharType="separate"/>
      </w:r>
      <w:r w:rsidR="00443BC9">
        <w:rPr>
          <w:rFonts w:ascii="Arial Narrow" w:hAnsi="Arial Narrow"/>
          <w:noProof/>
          <w:color w:val="auto"/>
          <w:sz w:val="20"/>
          <w:szCs w:val="20"/>
        </w:rPr>
        <w:t>5</w:t>
      </w:r>
      <w:r w:rsidRPr="00F04A75">
        <w:rPr>
          <w:rFonts w:ascii="Arial Narrow" w:hAnsi="Arial Narrow"/>
          <w:color w:val="auto"/>
          <w:sz w:val="20"/>
          <w:szCs w:val="20"/>
        </w:rPr>
        <w:fldChar w:fldCharType="end"/>
      </w:r>
      <w:bookmarkEnd w:id="34"/>
      <w:r w:rsidRPr="00F04A75">
        <w:rPr>
          <w:rFonts w:ascii="Arial Narrow" w:hAnsi="Arial Narrow"/>
          <w:color w:val="auto"/>
          <w:sz w:val="20"/>
          <w:szCs w:val="20"/>
        </w:rPr>
        <w:t xml:space="preserve">: Prior treatment exposure in the included trials </w:t>
      </w:r>
    </w:p>
    <w:tbl>
      <w:tblPr>
        <w:tblStyle w:val="TableGrid"/>
        <w:tblW w:w="9067" w:type="dxa"/>
        <w:tblLayout w:type="fixed"/>
        <w:tblLook w:val="04A0" w:firstRow="1" w:lastRow="0" w:firstColumn="1" w:lastColumn="0" w:noHBand="0" w:noVBand="1"/>
      </w:tblPr>
      <w:tblGrid>
        <w:gridCol w:w="1980"/>
        <w:gridCol w:w="709"/>
        <w:gridCol w:w="708"/>
        <w:gridCol w:w="709"/>
        <w:gridCol w:w="709"/>
        <w:gridCol w:w="709"/>
        <w:gridCol w:w="708"/>
        <w:gridCol w:w="709"/>
        <w:gridCol w:w="709"/>
        <w:gridCol w:w="709"/>
        <w:gridCol w:w="708"/>
      </w:tblGrid>
      <w:tr w:rsidR="00DB2800" w:rsidRPr="00F04A75" w14:paraId="002A8FD0" w14:textId="77777777" w:rsidTr="00334CF5">
        <w:trPr>
          <w:trHeight w:val="172"/>
        </w:trPr>
        <w:tc>
          <w:tcPr>
            <w:tcW w:w="1980" w:type="dxa"/>
            <w:vMerge w:val="restart"/>
            <w:tcMar>
              <w:left w:w="28" w:type="dxa"/>
              <w:right w:w="28" w:type="dxa"/>
            </w:tcMar>
            <w:vAlign w:val="center"/>
          </w:tcPr>
          <w:p w14:paraId="3419672A" w14:textId="77777777" w:rsidR="00DB2800" w:rsidRPr="00F04A75" w:rsidRDefault="00DB2800" w:rsidP="00DB2800">
            <w:pPr>
              <w:keepNext/>
              <w:jc w:val="left"/>
              <w:rPr>
                <w:rFonts w:ascii="Arial Narrow" w:hAnsi="Arial Narrow"/>
                <w:sz w:val="20"/>
                <w:szCs w:val="20"/>
              </w:rPr>
            </w:pPr>
          </w:p>
        </w:tc>
        <w:tc>
          <w:tcPr>
            <w:tcW w:w="1417" w:type="dxa"/>
            <w:gridSpan w:val="2"/>
            <w:tcMar>
              <w:left w:w="28" w:type="dxa"/>
              <w:right w:w="28" w:type="dxa"/>
            </w:tcMar>
            <w:vAlign w:val="center"/>
          </w:tcPr>
          <w:p w14:paraId="4D978528" w14:textId="77777777" w:rsidR="00DB2800" w:rsidRPr="00F04A75" w:rsidRDefault="00DB2800" w:rsidP="00DB2800">
            <w:pPr>
              <w:keepNext/>
              <w:jc w:val="center"/>
              <w:rPr>
                <w:rFonts w:ascii="Arial Narrow" w:hAnsi="Arial Narrow"/>
                <w:b/>
                <w:bCs/>
                <w:sz w:val="20"/>
                <w:szCs w:val="20"/>
              </w:rPr>
            </w:pPr>
            <w:r w:rsidRPr="00F04A75">
              <w:rPr>
                <w:rFonts w:ascii="Arial Narrow" w:hAnsi="Arial Narrow"/>
                <w:b/>
                <w:bCs/>
                <w:sz w:val="20"/>
                <w:szCs w:val="20"/>
              </w:rPr>
              <w:t>ASPIRE</w:t>
            </w:r>
          </w:p>
        </w:tc>
        <w:tc>
          <w:tcPr>
            <w:tcW w:w="1418" w:type="dxa"/>
            <w:gridSpan w:val="2"/>
            <w:tcMar>
              <w:left w:w="28" w:type="dxa"/>
              <w:right w:w="28" w:type="dxa"/>
            </w:tcMar>
            <w:vAlign w:val="center"/>
          </w:tcPr>
          <w:p w14:paraId="48DC33A3" w14:textId="77777777" w:rsidR="00DB2800" w:rsidRPr="00F04A75" w:rsidRDefault="00DB2800" w:rsidP="00DB2800">
            <w:pPr>
              <w:keepNext/>
              <w:jc w:val="center"/>
              <w:rPr>
                <w:rFonts w:ascii="Arial Narrow" w:hAnsi="Arial Narrow"/>
                <w:b/>
                <w:bCs/>
                <w:sz w:val="20"/>
                <w:szCs w:val="20"/>
              </w:rPr>
            </w:pPr>
            <w:r w:rsidRPr="00F04A75">
              <w:rPr>
                <w:rFonts w:ascii="Arial Narrow" w:hAnsi="Arial Narrow"/>
                <w:b/>
                <w:bCs/>
                <w:sz w:val="20"/>
                <w:szCs w:val="20"/>
              </w:rPr>
              <w:t>ENDEAVOR</w:t>
            </w:r>
          </w:p>
        </w:tc>
        <w:tc>
          <w:tcPr>
            <w:tcW w:w="1417" w:type="dxa"/>
            <w:gridSpan w:val="2"/>
            <w:tcMar>
              <w:left w:w="28" w:type="dxa"/>
              <w:right w:w="28" w:type="dxa"/>
            </w:tcMar>
            <w:vAlign w:val="center"/>
          </w:tcPr>
          <w:p w14:paraId="42B5C177" w14:textId="77777777" w:rsidR="00DB2800" w:rsidRPr="00F04A75" w:rsidRDefault="00DB2800" w:rsidP="00DB2800">
            <w:pPr>
              <w:keepNext/>
              <w:jc w:val="center"/>
              <w:rPr>
                <w:rFonts w:ascii="Arial Narrow" w:hAnsi="Arial Narrow"/>
                <w:b/>
                <w:bCs/>
                <w:sz w:val="20"/>
                <w:szCs w:val="20"/>
              </w:rPr>
            </w:pPr>
            <w:r w:rsidRPr="00F04A75">
              <w:rPr>
                <w:rFonts w:ascii="Arial Narrow" w:hAnsi="Arial Narrow"/>
                <w:b/>
                <w:bCs/>
                <w:sz w:val="20"/>
                <w:szCs w:val="20"/>
              </w:rPr>
              <w:t>ARROW</w:t>
            </w:r>
          </w:p>
        </w:tc>
        <w:tc>
          <w:tcPr>
            <w:tcW w:w="1418" w:type="dxa"/>
            <w:gridSpan w:val="2"/>
            <w:tcMar>
              <w:left w:w="28" w:type="dxa"/>
              <w:right w:w="28" w:type="dxa"/>
            </w:tcMar>
            <w:vAlign w:val="center"/>
          </w:tcPr>
          <w:p w14:paraId="51CBD67C" w14:textId="77777777" w:rsidR="00DB2800" w:rsidRPr="00F04A75" w:rsidRDefault="00DB2800" w:rsidP="00DB2800">
            <w:pPr>
              <w:keepNext/>
              <w:jc w:val="center"/>
              <w:rPr>
                <w:rFonts w:ascii="Arial Narrow" w:hAnsi="Arial Narrow"/>
                <w:b/>
                <w:bCs/>
                <w:sz w:val="20"/>
                <w:szCs w:val="20"/>
              </w:rPr>
            </w:pPr>
            <w:r w:rsidRPr="00F04A75">
              <w:rPr>
                <w:rFonts w:ascii="Arial Narrow" w:hAnsi="Arial Narrow"/>
                <w:b/>
                <w:bCs/>
                <w:sz w:val="20"/>
                <w:szCs w:val="20"/>
              </w:rPr>
              <w:t>ELOQUENT-2</w:t>
            </w:r>
          </w:p>
        </w:tc>
        <w:tc>
          <w:tcPr>
            <w:tcW w:w="1417" w:type="dxa"/>
            <w:gridSpan w:val="2"/>
            <w:tcMar>
              <w:left w:w="28" w:type="dxa"/>
              <w:right w:w="28" w:type="dxa"/>
            </w:tcMar>
            <w:vAlign w:val="center"/>
          </w:tcPr>
          <w:p w14:paraId="13F02E3D" w14:textId="77777777" w:rsidR="00DB2800" w:rsidRPr="00F04A75" w:rsidRDefault="00DB2800" w:rsidP="00DB2800">
            <w:pPr>
              <w:keepNext/>
              <w:jc w:val="center"/>
              <w:rPr>
                <w:rFonts w:ascii="Arial Narrow" w:hAnsi="Arial Narrow"/>
                <w:b/>
                <w:bCs/>
                <w:sz w:val="20"/>
                <w:szCs w:val="20"/>
              </w:rPr>
            </w:pPr>
            <w:r w:rsidRPr="00F04A75">
              <w:rPr>
                <w:rFonts w:ascii="Arial Narrow" w:hAnsi="Arial Narrow"/>
                <w:b/>
                <w:bCs/>
                <w:sz w:val="20"/>
                <w:szCs w:val="20"/>
              </w:rPr>
              <w:t>OPTIMISMM</w:t>
            </w:r>
          </w:p>
        </w:tc>
      </w:tr>
      <w:tr w:rsidR="00DB2800" w:rsidRPr="00F04A75" w14:paraId="08D44D1E" w14:textId="77777777" w:rsidTr="00334CF5">
        <w:trPr>
          <w:trHeight w:val="440"/>
        </w:trPr>
        <w:tc>
          <w:tcPr>
            <w:tcW w:w="1980" w:type="dxa"/>
            <w:vMerge/>
            <w:tcMar>
              <w:left w:w="28" w:type="dxa"/>
              <w:right w:w="28" w:type="dxa"/>
            </w:tcMar>
            <w:vAlign w:val="center"/>
          </w:tcPr>
          <w:p w14:paraId="7BDBD422" w14:textId="77777777" w:rsidR="00DB2800" w:rsidRPr="00F04A75" w:rsidRDefault="00DB2800" w:rsidP="00DB2800">
            <w:pPr>
              <w:keepNext/>
              <w:jc w:val="left"/>
              <w:rPr>
                <w:rFonts w:ascii="Arial Narrow" w:hAnsi="Arial Narrow"/>
                <w:sz w:val="20"/>
                <w:szCs w:val="20"/>
              </w:rPr>
            </w:pPr>
          </w:p>
        </w:tc>
        <w:tc>
          <w:tcPr>
            <w:tcW w:w="709" w:type="dxa"/>
            <w:tcMar>
              <w:left w:w="28" w:type="dxa"/>
              <w:right w:w="28" w:type="dxa"/>
            </w:tcMar>
            <w:vAlign w:val="center"/>
          </w:tcPr>
          <w:p w14:paraId="3B6617B0" w14:textId="77777777" w:rsidR="00DB2800" w:rsidRPr="00F04A75" w:rsidRDefault="00DB2800" w:rsidP="00DB2800">
            <w:pPr>
              <w:keepNext/>
              <w:jc w:val="center"/>
              <w:rPr>
                <w:rFonts w:ascii="Arial Narrow" w:hAnsi="Arial Narrow"/>
                <w:b/>
                <w:bCs/>
                <w:sz w:val="20"/>
                <w:szCs w:val="20"/>
              </w:rPr>
            </w:pPr>
            <w:proofErr w:type="spellStart"/>
            <w:r w:rsidRPr="00F04A75">
              <w:rPr>
                <w:rFonts w:ascii="Arial Narrow" w:hAnsi="Arial Narrow"/>
                <w:b/>
                <w:bCs/>
                <w:sz w:val="20"/>
                <w:szCs w:val="20"/>
              </w:rPr>
              <w:t>CLd</w:t>
            </w:r>
            <w:proofErr w:type="spellEnd"/>
          </w:p>
        </w:tc>
        <w:tc>
          <w:tcPr>
            <w:tcW w:w="708" w:type="dxa"/>
            <w:tcMar>
              <w:left w:w="28" w:type="dxa"/>
              <w:right w:w="28" w:type="dxa"/>
            </w:tcMar>
            <w:vAlign w:val="center"/>
          </w:tcPr>
          <w:p w14:paraId="56A77C0D" w14:textId="77777777" w:rsidR="00DB2800" w:rsidRPr="00F04A75" w:rsidRDefault="00DB2800" w:rsidP="00DB2800">
            <w:pPr>
              <w:keepNext/>
              <w:jc w:val="center"/>
              <w:rPr>
                <w:rFonts w:ascii="Arial Narrow" w:hAnsi="Arial Narrow"/>
                <w:b/>
                <w:bCs/>
                <w:sz w:val="20"/>
                <w:szCs w:val="20"/>
              </w:rPr>
            </w:pPr>
            <w:proofErr w:type="spellStart"/>
            <w:r w:rsidRPr="00F04A75">
              <w:rPr>
                <w:rFonts w:ascii="Arial Narrow" w:hAnsi="Arial Narrow"/>
                <w:b/>
                <w:bCs/>
                <w:sz w:val="20"/>
                <w:szCs w:val="20"/>
              </w:rPr>
              <w:t>Ld</w:t>
            </w:r>
            <w:proofErr w:type="spellEnd"/>
          </w:p>
        </w:tc>
        <w:tc>
          <w:tcPr>
            <w:tcW w:w="709" w:type="dxa"/>
            <w:tcMar>
              <w:left w:w="28" w:type="dxa"/>
              <w:right w:w="28" w:type="dxa"/>
            </w:tcMar>
            <w:vAlign w:val="center"/>
          </w:tcPr>
          <w:p w14:paraId="724ED2A4" w14:textId="77777777" w:rsidR="00DB2800" w:rsidRPr="00F04A75" w:rsidRDefault="00DB2800" w:rsidP="00DB2800">
            <w:pPr>
              <w:keepNext/>
              <w:jc w:val="center"/>
              <w:rPr>
                <w:rFonts w:ascii="Arial Narrow" w:hAnsi="Arial Narrow"/>
                <w:b/>
                <w:bCs/>
                <w:sz w:val="20"/>
                <w:szCs w:val="20"/>
              </w:rPr>
            </w:pPr>
            <w:r w:rsidRPr="00F04A75">
              <w:rPr>
                <w:rFonts w:ascii="Arial Narrow" w:hAnsi="Arial Narrow"/>
                <w:b/>
                <w:bCs/>
                <w:sz w:val="20"/>
                <w:szCs w:val="20"/>
              </w:rPr>
              <w:t>Cd</w:t>
            </w:r>
            <w:r w:rsidRPr="00F04A75">
              <w:rPr>
                <w:rFonts w:ascii="Arial Narrow" w:hAnsi="Arial Narrow"/>
                <w:b/>
                <w:bCs/>
                <w:sz w:val="20"/>
                <w:szCs w:val="20"/>
                <w:vertAlign w:val="superscript"/>
              </w:rPr>
              <w:t xml:space="preserve"> </w:t>
            </w:r>
            <w:r w:rsidRPr="00F04A75">
              <w:rPr>
                <w:rFonts w:ascii="Arial Narrow" w:hAnsi="Arial Narrow"/>
                <w:b/>
                <w:bCs/>
                <w:sz w:val="20"/>
                <w:szCs w:val="20"/>
              </w:rPr>
              <w:t>56 BIW</w:t>
            </w:r>
          </w:p>
        </w:tc>
        <w:tc>
          <w:tcPr>
            <w:tcW w:w="709" w:type="dxa"/>
            <w:tcMar>
              <w:left w:w="28" w:type="dxa"/>
              <w:right w:w="28" w:type="dxa"/>
            </w:tcMar>
            <w:vAlign w:val="center"/>
          </w:tcPr>
          <w:p w14:paraId="54F3C833" w14:textId="77777777" w:rsidR="00DB2800" w:rsidRPr="00F04A75" w:rsidRDefault="00DB2800" w:rsidP="00DB2800">
            <w:pPr>
              <w:keepNext/>
              <w:jc w:val="center"/>
              <w:rPr>
                <w:rFonts w:ascii="Arial Narrow" w:hAnsi="Arial Narrow"/>
                <w:b/>
                <w:bCs/>
                <w:sz w:val="20"/>
                <w:szCs w:val="20"/>
              </w:rPr>
            </w:pPr>
            <w:r w:rsidRPr="00F04A75">
              <w:rPr>
                <w:rFonts w:ascii="Arial Narrow" w:hAnsi="Arial Narrow"/>
                <w:b/>
                <w:bCs/>
                <w:sz w:val="20"/>
                <w:szCs w:val="20"/>
              </w:rPr>
              <w:t>Bd</w:t>
            </w:r>
          </w:p>
        </w:tc>
        <w:tc>
          <w:tcPr>
            <w:tcW w:w="709" w:type="dxa"/>
            <w:tcMar>
              <w:left w:w="28" w:type="dxa"/>
              <w:right w:w="28" w:type="dxa"/>
            </w:tcMar>
            <w:vAlign w:val="center"/>
          </w:tcPr>
          <w:p w14:paraId="275438A7" w14:textId="77777777" w:rsidR="00DB2800" w:rsidRPr="00F04A75" w:rsidRDefault="00DB2800" w:rsidP="00DB2800">
            <w:pPr>
              <w:keepNext/>
              <w:jc w:val="center"/>
              <w:rPr>
                <w:rFonts w:ascii="Arial Narrow" w:hAnsi="Arial Narrow"/>
                <w:b/>
                <w:bCs/>
                <w:sz w:val="20"/>
                <w:szCs w:val="20"/>
              </w:rPr>
            </w:pPr>
            <w:r w:rsidRPr="00F04A75">
              <w:rPr>
                <w:rFonts w:ascii="Arial Narrow" w:hAnsi="Arial Narrow"/>
                <w:b/>
                <w:bCs/>
                <w:sz w:val="20"/>
                <w:szCs w:val="20"/>
              </w:rPr>
              <w:t>Cd70 QW</w:t>
            </w:r>
          </w:p>
        </w:tc>
        <w:tc>
          <w:tcPr>
            <w:tcW w:w="708" w:type="dxa"/>
            <w:tcMar>
              <w:left w:w="28" w:type="dxa"/>
              <w:right w:w="28" w:type="dxa"/>
            </w:tcMar>
            <w:vAlign w:val="center"/>
          </w:tcPr>
          <w:p w14:paraId="650E1643" w14:textId="77777777" w:rsidR="00DB2800" w:rsidRPr="00F04A75" w:rsidRDefault="00DB2800" w:rsidP="00DB2800">
            <w:pPr>
              <w:keepNext/>
              <w:jc w:val="center"/>
              <w:rPr>
                <w:rFonts w:ascii="Arial Narrow" w:hAnsi="Arial Narrow"/>
                <w:b/>
                <w:bCs/>
                <w:sz w:val="20"/>
                <w:szCs w:val="20"/>
              </w:rPr>
            </w:pPr>
            <w:r w:rsidRPr="00F04A75">
              <w:rPr>
                <w:rFonts w:ascii="Arial Narrow" w:hAnsi="Arial Narrow"/>
                <w:b/>
                <w:bCs/>
                <w:sz w:val="20"/>
                <w:szCs w:val="20"/>
              </w:rPr>
              <w:t>Cd27 BIW</w:t>
            </w:r>
          </w:p>
        </w:tc>
        <w:tc>
          <w:tcPr>
            <w:tcW w:w="709" w:type="dxa"/>
            <w:tcMar>
              <w:left w:w="28" w:type="dxa"/>
              <w:right w:w="28" w:type="dxa"/>
            </w:tcMar>
            <w:vAlign w:val="center"/>
          </w:tcPr>
          <w:p w14:paraId="68790000" w14:textId="77777777" w:rsidR="00DB2800" w:rsidRPr="00F04A75" w:rsidRDefault="00DB2800" w:rsidP="00DB2800">
            <w:pPr>
              <w:keepNext/>
              <w:jc w:val="center"/>
              <w:rPr>
                <w:rFonts w:ascii="Arial Narrow" w:hAnsi="Arial Narrow"/>
                <w:b/>
                <w:bCs/>
                <w:sz w:val="20"/>
                <w:szCs w:val="20"/>
              </w:rPr>
            </w:pPr>
            <w:proofErr w:type="spellStart"/>
            <w:r w:rsidRPr="00F04A75">
              <w:rPr>
                <w:rFonts w:ascii="Arial Narrow" w:hAnsi="Arial Narrow"/>
                <w:b/>
                <w:bCs/>
                <w:sz w:val="20"/>
                <w:szCs w:val="20"/>
              </w:rPr>
              <w:t>ELd</w:t>
            </w:r>
            <w:proofErr w:type="spellEnd"/>
          </w:p>
        </w:tc>
        <w:tc>
          <w:tcPr>
            <w:tcW w:w="709" w:type="dxa"/>
            <w:tcMar>
              <w:left w:w="28" w:type="dxa"/>
              <w:right w:w="28" w:type="dxa"/>
            </w:tcMar>
            <w:vAlign w:val="center"/>
          </w:tcPr>
          <w:p w14:paraId="0501DCEA" w14:textId="77777777" w:rsidR="00DB2800" w:rsidRPr="00F04A75" w:rsidRDefault="00DB2800" w:rsidP="00DB2800">
            <w:pPr>
              <w:keepNext/>
              <w:jc w:val="center"/>
              <w:rPr>
                <w:rFonts w:ascii="Arial Narrow" w:hAnsi="Arial Narrow"/>
                <w:b/>
                <w:bCs/>
                <w:sz w:val="20"/>
                <w:szCs w:val="20"/>
              </w:rPr>
            </w:pPr>
            <w:proofErr w:type="spellStart"/>
            <w:r w:rsidRPr="00F04A75">
              <w:rPr>
                <w:rFonts w:ascii="Arial Narrow" w:hAnsi="Arial Narrow"/>
                <w:b/>
                <w:bCs/>
                <w:sz w:val="20"/>
                <w:szCs w:val="20"/>
              </w:rPr>
              <w:t>Ld</w:t>
            </w:r>
            <w:proofErr w:type="spellEnd"/>
          </w:p>
        </w:tc>
        <w:tc>
          <w:tcPr>
            <w:tcW w:w="709" w:type="dxa"/>
            <w:tcMar>
              <w:left w:w="28" w:type="dxa"/>
              <w:right w:w="28" w:type="dxa"/>
            </w:tcMar>
            <w:vAlign w:val="center"/>
          </w:tcPr>
          <w:p w14:paraId="3384B97A" w14:textId="77777777" w:rsidR="00DB2800" w:rsidRPr="00F04A75" w:rsidRDefault="00DB2800" w:rsidP="00DB2800">
            <w:pPr>
              <w:keepNext/>
              <w:jc w:val="center"/>
              <w:rPr>
                <w:rFonts w:ascii="Arial Narrow" w:hAnsi="Arial Narrow"/>
                <w:b/>
                <w:bCs/>
                <w:sz w:val="20"/>
                <w:szCs w:val="20"/>
              </w:rPr>
            </w:pPr>
            <w:proofErr w:type="spellStart"/>
            <w:r w:rsidRPr="00F04A75">
              <w:rPr>
                <w:rFonts w:ascii="Arial Narrow" w:hAnsi="Arial Narrow"/>
                <w:b/>
                <w:bCs/>
                <w:sz w:val="20"/>
                <w:szCs w:val="20"/>
              </w:rPr>
              <w:t>PBd</w:t>
            </w:r>
            <w:proofErr w:type="spellEnd"/>
          </w:p>
        </w:tc>
        <w:tc>
          <w:tcPr>
            <w:tcW w:w="708" w:type="dxa"/>
            <w:tcMar>
              <w:left w:w="28" w:type="dxa"/>
              <w:right w:w="28" w:type="dxa"/>
            </w:tcMar>
            <w:vAlign w:val="center"/>
          </w:tcPr>
          <w:p w14:paraId="05CC4734" w14:textId="77777777" w:rsidR="00DB2800" w:rsidRPr="00F04A75" w:rsidRDefault="00DB2800" w:rsidP="00DB2800">
            <w:pPr>
              <w:keepNext/>
              <w:jc w:val="center"/>
              <w:rPr>
                <w:rFonts w:ascii="Arial Narrow" w:hAnsi="Arial Narrow"/>
                <w:b/>
                <w:bCs/>
                <w:sz w:val="20"/>
                <w:szCs w:val="20"/>
              </w:rPr>
            </w:pPr>
            <w:r w:rsidRPr="00F04A75">
              <w:rPr>
                <w:rFonts w:ascii="Arial Narrow" w:hAnsi="Arial Narrow"/>
                <w:b/>
                <w:bCs/>
                <w:sz w:val="20"/>
                <w:szCs w:val="20"/>
              </w:rPr>
              <w:t>Bd</w:t>
            </w:r>
          </w:p>
        </w:tc>
      </w:tr>
      <w:tr w:rsidR="009755D9" w:rsidRPr="00F04A75" w14:paraId="110D802D" w14:textId="77777777" w:rsidTr="00334CF5">
        <w:trPr>
          <w:trHeight w:val="255"/>
        </w:trPr>
        <w:tc>
          <w:tcPr>
            <w:tcW w:w="1980" w:type="dxa"/>
            <w:tcMar>
              <w:left w:w="28" w:type="dxa"/>
              <w:right w:w="28" w:type="dxa"/>
            </w:tcMar>
            <w:vAlign w:val="center"/>
          </w:tcPr>
          <w:p w14:paraId="539F265A" w14:textId="77777777" w:rsidR="009755D9" w:rsidRPr="00F04A75" w:rsidRDefault="009755D9" w:rsidP="00DB2800">
            <w:pPr>
              <w:keepNext/>
              <w:jc w:val="left"/>
              <w:rPr>
                <w:rFonts w:ascii="Arial Narrow" w:hAnsi="Arial Narrow"/>
                <w:sz w:val="20"/>
                <w:szCs w:val="20"/>
              </w:rPr>
            </w:pPr>
            <w:r w:rsidRPr="00F04A75">
              <w:rPr>
                <w:rFonts w:ascii="Arial Narrow" w:hAnsi="Arial Narrow"/>
                <w:sz w:val="20"/>
                <w:szCs w:val="20"/>
              </w:rPr>
              <w:t>Number of patients</w:t>
            </w:r>
          </w:p>
        </w:tc>
        <w:tc>
          <w:tcPr>
            <w:tcW w:w="709" w:type="dxa"/>
            <w:tcMar>
              <w:left w:w="28" w:type="dxa"/>
              <w:right w:w="28" w:type="dxa"/>
            </w:tcMar>
            <w:vAlign w:val="center"/>
          </w:tcPr>
          <w:p w14:paraId="1B8F3C37" w14:textId="77777777" w:rsidR="009755D9" w:rsidRPr="00F04A75" w:rsidRDefault="009755D9" w:rsidP="00DB2800">
            <w:pPr>
              <w:keepNext/>
              <w:jc w:val="center"/>
              <w:rPr>
                <w:rFonts w:ascii="Arial Narrow" w:hAnsi="Arial Narrow"/>
                <w:sz w:val="20"/>
                <w:szCs w:val="20"/>
              </w:rPr>
            </w:pPr>
            <w:r w:rsidRPr="00F04A75">
              <w:rPr>
                <w:rFonts w:ascii="Arial Narrow" w:hAnsi="Arial Narrow" w:cstheme="minorHAnsi"/>
                <w:sz w:val="20"/>
                <w:szCs w:val="20"/>
              </w:rPr>
              <w:t>396</w:t>
            </w:r>
          </w:p>
        </w:tc>
        <w:tc>
          <w:tcPr>
            <w:tcW w:w="708" w:type="dxa"/>
            <w:tcMar>
              <w:left w:w="28" w:type="dxa"/>
              <w:right w:w="28" w:type="dxa"/>
            </w:tcMar>
            <w:vAlign w:val="center"/>
          </w:tcPr>
          <w:p w14:paraId="6105C493" w14:textId="77777777" w:rsidR="009755D9" w:rsidRPr="00F04A75" w:rsidRDefault="009755D9" w:rsidP="00DB2800">
            <w:pPr>
              <w:keepNext/>
              <w:jc w:val="center"/>
              <w:rPr>
                <w:rFonts w:ascii="Arial Narrow" w:hAnsi="Arial Narrow"/>
                <w:sz w:val="20"/>
                <w:szCs w:val="20"/>
              </w:rPr>
            </w:pPr>
            <w:r w:rsidRPr="00F04A75">
              <w:rPr>
                <w:rFonts w:ascii="Arial Narrow" w:hAnsi="Arial Narrow" w:cstheme="minorHAnsi"/>
                <w:sz w:val="20"/>
                <w:szCs w:val="20"/>
              </w:rPr>
              <w:t>396</w:t>
            </w:r>
          </w:p>
        </w:tc>
        <w:tc>
          <w:tcPr>
            <w:tcW w:w="709" w:type="dxa"/>
            <w:tcMar>
              <w:left w:w="28" w:type="dxa"/>
              <w:right w:w="28" w:type="dxa"/>
            </w:tcMar>
            <w:vAlign w:val="center"/>
          </w:tcPr>
          <w:p w14:paraId="355316E4" w14:textId="77777777" w:rsidR="009755D9" w:rsidRPr="00F04A75" w:rsidRDefault="0035213C" w:rsidP="00DB2800">
            <w:pPr>
              <w:keepNext/>
              <w:jc w:val="center"/>
              <w:rPr>
                <w:rFonts w:ascii="Arial Narrow" w:hAnsi="Arial Narrow"/>
                <w:sz w:val="20"/>
                <w:szCs w:val="20"/>
              </w:rPr>
            </w:pPr>
            <w:r w:rsidRPr="00F04A75">
              <w:rPr>
                <w:rFonts w:ascii="Arial Narrow" w:hAnsi="Arial Narrow"/>
                <w:sz w:val="20"/>
                <w:szCs w:val="20"/>
              </w:rPr>
              <w:t>464</w:t>
            </w:r>
          </w:p>
        </w:tc>
        <w:tc>
          <w:tcPr>
            <w:tcW w:w="709" w:type="dxa"/>
            <w:tcMar>
              <w:left w:w="28" w:type="dxa"/>
              <w:right w:w="28" w:type="dxa"/>
            </w:tcMar>
            <w:vAlign w:val="center"/>
          </w:tcPr>
          <w:p w14:paraId="4FA1FA59" w14:textId="77777777" w:rsidR="009755D9" w:rsidRPr="00F04A75" w:rsidRDefault="00BB1B33" w:rsidP="00DB2800">
            <w:pPr>
              <w:keepNext/>
              <w:jc w:val="center"/>
              <w:rPr>
                <w:rFonts w:ascii="Arial Narrow" w:hAnsi="Arial Narrow"/>
                <w:sz w:val="20"/>
                <w:szCs w:val="20"/>
              </w:rPr>
            </w:pPr>
            <w:r w:rsidRPr="00F04A75">
              <w:rPr>
                <w:rFonts w:ascii="Arial Narrow" w:hAnsi="Arial Narrow"/>
                <w:sz w:val="20"/>
                <w:szCs w:val="20"/>
              </w:rPr>
              <w:t>465</w:t>
            </w:r>
          </w:p>
        </w:tc>
        <w:tc>
          <w:tcPr>
            <w:tcW w:w="709" w:type="dxa"/>
            <w:tcMar>
              <w:left w:w="28" w:type="dxa"/>
              <w:right w:w="28" w:type="dxa"/>
            </w:tcMar>
            <w:vAlign w:val="center"/>
          </w:tcPr>
          <w:p w14:paraId="140E1A27" w14:textId="77777777" w:rsidR="009755D9" w:rsidRPr="00F04A75" w:rsidRDefault="00BB1B33" w:rsidP="00DB2800">
            <w:pPr>
              <w:keepNext/>
              <w:jc w:val="center"/>
              <w:rPr>
                <w:rFonts w:ascii="Arial Narrow" w:hAnsi="Arial Narrow"/>
                <w:sz w:val="20"/>
                <w:szCs w:val="20"/>
              </w:rPr>
            </w:pPr>
            <w:r w:rsidRPr="00F04A75">
              <w:rPr>
                <w:rFonts w:ascii="Arial Narrow" w:hAnsi="Arial Narrow"/>
                <w:sz w:val="20"/>
                <w:szCs w:val="20"/>
              </w:rPr>
              <w:t>240</w:t>
            </w:r>
          </w:p>
        </w:tc>
        <w:tc>
          <w:tcPr>
            <w:tcW w:w="708" w:type="dxa"/>
            <w:tcMar>
              <w:left w:w="28" w:type="dxa"/>
              <w:right w:w="28" w:type="dxa"/>
            </w:tcMar>
            <w:vAlign w:val="center"/>
          </w:tcPr>
          <w:p w14:paraId="7C0DFA45" w14:textId="77777777" w:rsidR="009755D9" w:rsidRPr="00F04A75" w:rsidRDefault="00BB1B33" w:rsidP="00DB2800">
            <w:pPr>
              <w:keepNext/>
              <w:jc w:val="center"/>
              <w:rPr>
                <w:rFonts w:ascii="Arial Narrow" w:hAnsi="Arial Narrow"/>
                <w:sz w:val="20"/>
                <w:szCs w:val="20"/>
              </w:rPr>
            </w:pPr>
            <w:r w:rsidRPr="00F04A75">
              <w:rPr>
                <w:rFonts w:ascii="Arial Narrow" w:hAnsi="Arial Narrow"/>
                <w:sz w:val="20"/>
                <w:szCs w:val="20"/>
              </w:rPr>
              <w:t>238</w:t>
            </w:r>
          </w:p>
        </w:tc>
        <w:tc>
          <w:tcPr>
            <w:tcW w:w="709" w:type="dxa"/>
            <w:tcMar>
              <w:left w:w="28" w:type="dxa"/>
              <w:right w:w="28" w:type="dxa"/>
            </w:tcMar>
            <w:vAlign w:val="center"/>
          </w:tcPr>
          <w:p w14:paraId="3F471A6F" w14:textId="77777777" w:rsidR="009755D9" w:rsidRPr="00F04A75" w:rsidRDefault="00BB1B33" w:rsidP="00DB2800">
            <w:pPr>
              <w:keepNext/>
              <w:jc w:val="center"/>
              <w:rPr>
                <w:rFonts w:ascii="Arial Narrow" w:hAnsi="Arial Narrow"/>
                <w:sz w:val="20"/>
                <w:szCs w:val="20"/>
              </w:rPr>
            </w:pPr>
            <w:r w:rsidRPr="00F04A75">
              <w:rPr>
                <w:rFonts w:ascii="Arial Narrow" w:hAnsi="Arial Narrow"/>
                <w:sz w:val="20"/>
                <w:szCs w:val="20"/>
              </w:rPr>
              <w:t>321</w:t>
            </w:r>
          </w:p>
        </w:tc>
        <w:tc>
          <w:tcPr>
            <w:tcW w:w="709" w:type="dxa"/>
            <w:tcMar>
              <w:left w:w="28" w:type="dxa"/>
              <w:right w:w="28" w:type="dxa"/>
            </w:tcMar>
            <w:vAlign w:val="center"/>
          </w:tcPr>
          <w:p w14:paraId="25CDE76C" w14:textId="77777777" w:rsidR="009755D9" w:rsidRPr="00F04A75" w:rsidRDefault="00BB1B33" w:rsidP="00DB2800">
            <w:pPr>
              <w:keepNext/>
              <w:jc w:val="center"/>
              <w:rPr>
                <w:rFonts w:ascii="Arial Narrow" w:hAnsi="Arial Narrow"/>
                <w:sz w:val="20"/>
                <w:szCs w:val="20"/>
              </w:rPr>
            </w:pPr>
            <w:r w:rsidRPr="00F04A75">
              <w:rPr>
                <w:rFonts w:ascii="Arial Narrow" w:hAnsi="Arial Narrow"/>
                <w:sz w:val="20"/>
                <w:szCs w:val="20"/>
              </w:rPr>
              <w:t>325</w:t>
            </w:r>
          </w:p>
        </w:tc>
        <w:tc>
          <w:tcPr>
            <w:tcW w:w="709" w:type="dxa"/>
            <w:tcMar>
              <w:left w:w="28" w:type="dxa"/>
              <w:right w:w="28" w:type="dxa"/>
            </w:tcMar>
            <w:vAlign w:val="center"/>
          </w:tcPr>
          <w:p w14:paraId="6733DE91" w14:textId="77777777" w:rsidR="009755D9" w:rsidRPr="00F04A75" w:rsidRDefault="00BB1B33" w:rsidP="00DB2800">
            <w:pPr>
              <w:keepNext/>
              <w:jc w:val="center"/>
              <w:rPr>
                <w:rFonts w:ascii="Arial Narrow" w:hAnsi="Arial Narrow"/>
                <w:sz w:val="20"/>
                <w:szCs w:val="20"/>
              </w:rPr>
            </w:pPr>
            <w:r w:rsidRPr="00F04A75">
              <w:rPr>
                <w:rFonts w:ascii="Arial Narrow" w:hAnsi="Arial Narrow"/>
                <w:sz w:val="20"/>
                <w:szCs w:val="20"/>
              </w:rPr>
              <w:t>281</w:t>
            </w:r>
          </w:p>
        </w:tc>
        <w:tc>
          <w:tcPr>
            <w:tcW w:w="708" w:type="dxa"/>
            <w:tcMar>
              <w:left w:w="28" w:type="dxa"/>
              <w:right w:w="28" w:type="dxa"/>
            </w:tcMar>
            <w:vAlign w:val="center"/>
          </w:tcPr>
          <w:p w14:paraId="4BEE53B1" w14:textId="77777777" w:rsidR="009755D9" w:rsidRPr="00F04A75" w:rsidRDefault="00BB1B33" w:rsidP="00DB2800">
            <w:pPr>
              <w:keepNext/>
              <w:jc w:val="center"/>
              <w:rPr>
                <w:rFonts w:ascii="Arial Narrow" w:hAnsi="Arial Narrow"/>
                <w:sz w:val="20"/>
                <w:szCs w:val="20"/>
              </w:rPr>
            </w:pPr>
            <w:r w:rsidRPr="00F04A75">
              <w:rPr>
                <w:rFonts w:ascii="Arial Narrow" w:hAnsi="Arial Narrow"/>
                <w:sz w:val="20"/>
                <w:szCs w:val="20"/>
              </w:rPr>
              <w:t>278</w:t>
            </w:r>
          </w:p>
        </w:tc>
      </w:tr>
      <w:tr w:rsidR="00AF7993" w:rsidRPr="00F04A75" w14:paraId="336DF103" w14:textId="77777777" w:rsidTr="00334CF5">
        <w:trPr>
          <w:trHeight w:val="361"/>
        </w:trPr>
        <w:tc>
          <w:tcPr>
            <w:tcW w:w="1980" w:type="dxa"/>
            <w:tcMar>
              <w:left w:w="28" w:type="dxa"/>
              <w:right w:w="28" w:type="dxa"/>
            </w:tcMar>
            <w:vAlign w:val="center"/>
          </w:tcPr>
          <w:p w14:paraId="4DFAEDC7" w14:textId="77777777" w:rsidR="00396CFA" w:rsidRPr="00F04A75" w:rsidRDefault="00396CFA" w:rsidP="00DB2800">
            <w:pPr>
              <w:keepNext/>
              <w:jc w:val="left"/>
              <w:rPr>
                <w:rFonts w:ascii="Arial Narrow" w:hAnsi="Arial Narrow"/>
                <w:sz w:val="20"/>
                <w:szCs w:val="20"/>
              </w:rPr>
            </w:pPr>
            <w:r w:rsidRPr="00F04A75">
              <w:rPr>
                <w:rFonts w:ascii="Arial Narrow" w:hAnsi="Arial Narrow"/>
                <w:sz w:val="20"/>
                <w:szCs w:val="20"/>
              </w:rPr>
              <w:t>Prior exposure to lenalidomide</w:t>
            </w:r>
            <w:r w:rsidR="009755D9" w:rsidRPr="00F04A75">
              <w:rPr>
                <w:rFonts w:ascii="Arial Narrow" w:hAnsi="Arial Narrow"/>
                <w:sz w:val="20"/>
                <w:szCs w:val="20"/>
              </w:rPr>
              <w:t>; n</w:t>
            </w:r>
            <w:r w:rsidR="00DB2800" w:rsidRPr="00F04A75">
              <w:rPr>
                <w:rFonts w:ascii="Arial Narrow" w:hAnsi="Arial Narrow"/>
                <w:sz w:val="20"/>
                <w:szCs w:val="20"/>
              </w:rPr>
              <w:t xml:space="preserve"> </w:t>
            </w:r>
            <w:r w:rsidR="009755D9" w:rsidRPr="00F04A75">
              <w:rPr>
                <w:rFonts w:ascii="Arial Narrow" w:hAnsi="Arial Narrow"/>
                <w:sz w:val="20"/>
                <w:szCs w:val="20"/>
              </w:rPr>
              <w:t>(%)</w:t>
            </w:r>
            <w:r w:rsidRPr="00F04A75">
              <w:rPr>
                <w:rFonts w:ascii="Arial Narrow" w:hAnsi="Arial Narrow"/>
                <w:sz w:val="20"/>
                <w:szCs w:val="20"/>
              </w:rPr>
              <w:t xml:space="preserve"> </w:t>
            </w:r>
          </w:p>
        </w:tc>
        <w:tc>
          <w:tcPr>
            <w:tcW w:w="709" w:type="dxa"/>
            <w:tcMar>
              <w:left w:w="28" w:type="dxa"/>
              <w:right w:w="28" w:type="dxa"/>
            </w:tcMar>
            <w:vAlign w:val="center"/>
          </w:tcPr>
          <w:p w14:paraId="2E80C44F" w14:textId="77777777" w:rsidR="00396CFA" w:rsidRPr="00F04A75" w:rsidRDefault="00396CFA" w:rsidP="00DB2800">
            <w:pPr>
              <w:keepNext/>
              <w:jc w:val="center"/>
              <w:rPr>
                <w:rFonts w:ascii="Arial Narrow" w:hAnsi="Arial Narrow"/>
                <w:sz w:val="20"/>
                <w:szCs w:val="20"/>
              </w:rPr>
            </w:pPr>
            <w:r w:rsidRPr="00F04A75">
              <w:rPr>
                <w:rFonts w:ascii="Arial Narrow" w:hAnsi="Arial Narrow" w:cstheme="minorHAnsi"/>
                <w:sz w:val="20"/>
                <w:szCs w:val="20"/>
              </w:rPr>
              <w:t>79 (19.9)</w:t>
            </w:r>
          </w:p>
        </w:tc>
        <w:tc>
          <w:tcPr>
            <w:tcW w:w="708" w:type="dxa"/>
            <w:tcMar>
              <w:left w:w="28" w:type="dxa"/>
              <w:right w:w="28" w:type="dxa"/>
            </w:tcMar>
            <w:vAlign w:val="center"/>
          </w:tcPr>
          <w:p w14:paraId="1CF7DC73" w14:textId="77777777" w:rsidR="00396CFA" w:rsidRPr="00F04A75" w:rsidRDefault="00396CFA" w:rsidP="00DB2800">
            <w:pPr>
              <w:keepNext/>
              <w:jc w:val="center"/>
              <w:rPr>
                <w:rFonts w:ascii="Arial Narrow" w:hAnsi="Arial Narrow"/>
                <w:sz w:val="20"/>
                <w:szCs w:val="20"/>
              </w:rPr>
            </w:pPr>
            <w:r w:rsidRPr="00F04A75">
              <w:rPr>
                <w:rFonts w:ascii="Arial Narrow" w:hAnsi="Arial Narrow" w:cstheme="minorHAnsi"/>
                <w:sz w:val="20"/>
                <w:szCs w:val="20"/>
              </w:rPr>
              <w:t>78 (19.7)</w:t>
            </w:r>
          </w:p>
        </w:tc>
        <w:tc>
          <w:tcPr>
            <w:tcW w:w="709" w:type="dxa"/>
            <w:tcMar>
              <w:left w:w="28" w:type="dxa"/>
              <w:right w:w="28" w:type="dxa"/>
            </w:tcMar>
            <w:vAlign w:val="center"/>
          </w:tcPr>
          <w:p w14:paraId="6BD0E1C5" w14:textId="77777777" w:rsidR="00396CFA" w:rsidRPr="00F04A75" w:rsidRDefault="00396CFA" w:rsidP="00DB2800">
            <w:pPr>
              <w:keepNext/>
              <w:jc w:val="center"/>
              <w:rPr>
                <w:rFonts w:ascii="Arial Narrow" w:hAnsi="Arial Narrow"/>
                <w:sz w:val="20"/>
                <w:szCs w:val="20"/>
              </w:rPr>
            </w:pPr>
            <w:r w:rsidRPr="00F04A75">
              <w:rPr>
                <w:rFonts w:ascii="Arial Narrow" w:hAnsi="Arial Narrow" w:cstheme="minorHAnsi"/>
                <w:sz w:val="20"/>
                <w:szCs w:val="20"/>
              </w:rPr>
              <w:t>177 (38.1)</w:t>
            </w:r>
          </w:p>
        </w:tc>
        <w:tc>
          <w:tcPr>
            <w:tcW w:w="709" w:type="dxa"/>
            <w:tcMar>
              <w:left w:w="28" w:type="dxa"/>
              <w:right w:w="28" w:type="dxa"/>
            </w:tcMar>
            <w:vAlign w:val="center"/>
          </w:tcPr>
          <w:p w14:paraId="47723309" w14:textId="77777777" w:rsidR="00396CFA" w:rsidRPr="00F04A75" w:rsidRDefault="00396CFA" w:rsidP="00DB2800">
            <w:pPr>
              <w:keepNext/>
              <w:jc w:val="center"/>
              <w:rPr>
                <w:rFonts w:ascii="Arial Narrow" w:hAnsi="Arial Narrow"/>
                <w:sz w:val="20"/>
                <w:szCs w:val="20"/>
              </w:rPr>
            </w:pPr>
            <w:r w:rsidRPr="00F04A75">
              <w:rPr>
                <w:rFonts w:ascii="Arial Narrow" w:hAnsi="Arial Narrow" w:cstheme="minorHAnsi"/>
                <w:sz w:val="20"/>
                <w:szCs w:val="20"/>
              </w:rPr>
              <w:t>177 (38.1)</w:t>
            </w:r>
          </w:p>
        </w:tc>
        <w:tc>
          <w:tcPr>
            <w:tcW w:w="709" w:type="dxa"/>
            <w:tcMar>
              <w:left w:w="28" w:type="dxa"/>
              <w:right w:w="28" w:type="dxa"/>
            </w:tcMar>
            <w:vAlign w:val="center"/>
          </w:tcPr>
          <w:p w14:paraId="031CAC7A" w14:textId="77777777" w:rsidR="00396CFA" w:rsidRPr="00F04A75" w:rsidRDefault="00396CFA" w:rsidP="00DB2800">
            <w:pPr>
              <w:keepNext/>
              <w:jc w:val="center"/>
              <w:rPr>
                <w:rFonts w:ascii="Arial Narrow" w:hAnsi="Arial Narrow"/>
                <w:sz w:val="20"/>
                <w:szCs w:val="20"/>
              </w:rPr>
            </w:pPr>
            <w:r w:rsidRPr="00F04A75">
              <w:rPr>
                <w:rFonts w:ascii="Arial Narrow" w:hAnsi="Arial Narrow" w:cstheme="minorHAnsi"/>
                <w:sz w:val="20"/>
                <w:szCs w:val="20"/>
              </w:rPr>
              <w:t>207 (86.3)</w:t>
            </w:r>
          </w:p>
        </w:tc>
        <w:tc>
          <w:tcPr>
            <w:tcW w:w="708" w:type="dxa"/>
            <w:tcMar>
              <w:left w:w="28" w:type="dxa"/>
              <w:right w:w="28" w:type="dxa"/>
            </w:tcMar>
            <w:vAlign w:val="center"/>
          </w:tcPr>
          <w:p w14:paraId="7E116D61" w14:textId="77777777" w:rsidR="00396CFA" w:rsidRPr="00F04A75" w:rsidRDefault="00396CFA" w:rsidP="00DB2800">
            <w:pPr>
              <w:keepNext/>
              <w:jc w:val="center"/>
              <w:rPr>
                <w:rFonts w:ascii="Arial Narrow" w:hAnsi="Arial Narrow"/>
                <w:sz w:val="20"/>
                <w:szCs w:val="20"/>
              </w:rPr>
            </w:pPr>
            <w:r w:rsidRPr="00F04A75">
              <w:rPr>
                <w:rFonts w:ascii="Arial Narrow" w:hAnsi="Arial Narrow" w:cstheme="minorHAnsi"/>
                <w:sz w:val="20"/>
                <w:szCs w:val="20"/>
              </w:rPr>
              <w:t>194 (81.5)</w:t>
            </w:r>
          </w:p>
        </w:tc>
        <w:tc>
          <w:tcPr>
            <w:tcW w:w="709" w:type="dxa"/>
            <w:tcMar>
              <w:left w:w="28" w:type="dxa"/>
              <w:right w:w="28" w:type="dxa"/>
            </w:tcMar>
            <w:vAlign w:val="center"/>
          </w:tcPr>
          <w:p w14:paraId="7D9E10C2" w14:textId="77777777" w:rsidR="00396CFA" w:rsidRPr="00F04A75" w:rsidRDefault="00396CFA" w:rsidP="00DB2800">
            <w:pPr>
              <w:keepNext/>
              <w:jc w:val="center"/>
              <w:rPr>
                <w:rFonts w:ascii="Arial Narrow" w:hAnsi="Arial Narrow"/>
                <w:sz w:val="20"/>
                <w:szCs w:val="20"/>
              </w:rPr>
            </w:pPr>
            <w:r w:rsidRPr="00F04A75">
              <w:rPr>
                <w:rFonts w:ascii="Arial Narrow" w:hAnsi="Arial Narrow" w:cstheme="minorHAnsi"/>
                <w:sz w:val="20"/>
                <w:szCs w:val="20"/>
              </w:rPr>
              <w:t xml:space="preserve">16 </w:t>
            </w:r>
            <w:r w:rsidR="00DB2800" w:rsidRPr="00F04A75">
              <w:rPr>
                <w:rFonts w:ascii="Arial Narrow" w:hAnsi="Arial Narrow" w:cstheme="minorHAnsi"/>
                <w:sz w:val="20"/>
                <w:szCs w:val="20"/>
              </w:rPr>
              <w:br/>
            </w:r>
            <w:r w:rsidRPr="00F04A75">
              <w:rPr>
                <w:rFonts w:ascii="Arial Narrow" w:hAnsi="Arial Narrow" w:cstheme="minorHAnsi"/>
                <w:sz w:val="20"/>
                <w:szCs w:val="20"/>
              </w:rPr>
              <w:t>(5.0)</w:t>
            </w:r>
          </w:p>
        </w:tc>
        <w:tc>
          <w:tcPr>
            <w:tcW w:w="709" w:type="dxa"/>
            <w:tcMar>
              <w:left w:w="28" w:type="dxa"/>
              <w:right w:w="28" w:type="dxa"/>
            </w:tcMar>
            <w:vAlign w:val="center"/>
          </w:tcPr>
          <w:p w14:paraId="33F5D03F" w14:textId="77777777" w:rsidR="00396CFA" w:rsidRPr="00F04A75" w:rsidRDefault="00396CFA" w:rsidP="00DB2800">
            <w:pPr>
              <w:keepNext/>
              <w:jc w:val="center"/>
              <w:rPr>
                <w:rFonts w:ascii="Arial Narrow" w:hAnsi="Arial Narrow"/>
                <w:sz w:val="20"/>
                <w:szCs w:val="20"/>
              </w:rPr>
            </w:pPr>
            <w:r w:rsidRPr="00F04A75">
              <w:rPr>
                <w:rFonts w:ascii="Arial Narrow" w:hAnsi="Arial Narrow" w:cstheme="minorHAnsi"/>
                <w:sz w:val="20"/>
                <w:szCs w:val="20"/>
              </w:rPr>
              <w:t xml:space="preserve">21 </w:t>
            </w:r>
            <w:r w:rsidR="00DB2800" w:rsidRPr="00F04A75">
              <w:rPr>
                <w:rFonts w:ascii="Arial Narrow" w:hAnsi="Arial Narrow" w:cstheme="minorHAnsi"/>
                <w:sz w:val="20"/>
                <w:szCs w:val="20"/>
              </w:rPr>
              <w:br/>
            </w:r>
            <w:r w:rsidRPr="00F04A75">
              <w:rPr>
                <w:rFonts w:ascii="Arial Narrow" w:hAnsi="Arial Narrow" w:cstheme="minorHAnsi"/>
                <w:sz w:val="20"/>
                <w:szCs w:val="20"/>
              </w:rPr>
              <w:t>(6.5)</w:t>
            </w:r>
          </w:p>
        </w:tc>
        <w:tc>
          <w:tcPr>
            <w:tcW w:w="709" w:type="dxa"/>
            <w:tcMar>
              <w:left w:w="28" w:type="dxa"/>
              <w:right w:w="28" w:type="dxa"/>
            </w:tcMar>
            <w:vAlign w:val="center"/>
          </w:tcPr>
          <w:p w14:paraId="7842DEC5" w14:textId="77777777" w:rsidR="00396CFA" w:rsidRPr="00F04A75" w:rsidRDefault="00396CFA" w:rsidP="00DB2800">
            <w:pPr>
              <w:keepNext/>
              <w:jc w:val="center"/>
              <w:rPr>
                <w:rFonts w:ascii="Arial Narrow" w:hAnsi="Arial Narrow"/>
                <w:sz w:val="20"/>
                <w:szCs w:val="20"/>
              </w:rPr>
            </w:pPr>
            <w:r w:rsidRPr="00F04A75">
              <w:rPr>
                <w:rFonts w:ascii="Arial Narrow" w:hAnsi="Arial Narrow" w:cstheme="minorHAnsi"/>
                <w:sz w:val="20"/>
                <w:szCs w:val="20"/>
              </w:rPr>
              <w:t>281 (100)</w:t>
            </w:r>
          </w:p>
        </w:tc>
        <w:tc>
          <w:tcPr>
            <w:tcW w:w="708" w:type="dxa"/>
            <w:tcMar>
              <w:left w:w="28" w:type="dxa"/>
              <w:right w:w="28" w:type="dxa"/>
            </w:tcMar>
            <w:vAlign w:val="center"/>
          </w:tcPr>
          <w:p w14:paraId="38691C42" w14:textId="77777777" w:rsidR="00396CFA" w:rsidRPr="00F04A75" w:rsidRDefault="00396CFA" w:rsidP="00DB2800">
            <w:pPr>
              <w:keepNext/>
              <w:jc w:val="center"/>
              <w:rPr>
                <w:rFonts w:ascii="Arial Narrow" w:hAnsi="Arial Narrow"/>
                <w:sz w:val="20"/>
                <w:szCs w:val="20"/>
              </w:rPr>
            </w:pPr>
            <w:r w:rsidRPr="00F04A75">
              <w:rPr>
                <w:rFonts w:ascii="Arial Narrow" w:hAnsi="Arial Narrow" w:cstheme="minorHAnsi"/>
                <w:sz w:val="20"/>
                <w:szCs w:val="20"/>
              </w:rPr>
              <w:t>278 (100)</w:t>
            </w:r>
          </w:p>
        </w:tc>
      </w:tr>
      <w:tr w:rsidR="00AF7993" w:rsidRPr="00F04A75" w14:paraId="714E2E75" w14:textId="77777777" w:rsidTr="00334CF5">
        <w:trPr>
          <w:trHeight w:val="207"/>
        </w:trPr>
        <w:tc>
          <w:tcPr>
            <w:tcW w:w="1980" w:type="dxa"/>
            <w:tcMar>
              <w:left w:w="28" w:type="dxa"/>
              <w:right w:w="28" w:type="dxa"/>
            </w:tcMar>
            <w:vAlign w:val="center"/>
          </w:tcPr>
          <w:p w14:paraId="1BC3BC2F" w14:textId="77777777" w:rsidR="00CB4AA8" w:rsidRPr="00F04A75" w:rsidRDefault="00CB4AA8" w:rsidP="00DB2800">
            <w:pPr>
              <w:keepNext/>
              <w:jc w:val="left"/>
              <w:rPr>
                <w:rFonts w:ascii="Arial Narrow" w:hAnsi="Arial Narrow"/>
                <w:sz w:val="20"/>
                <w:szCs w:val="20"/>
              </w:rPr>
            </w:pPr>
            <w:r w:rsidRPr="00F04A75">
              <w:rPr>
                <w:rFonts w:ascii="Arial Narrow" w:hAnsi="Arial Narrow"/>
                <w:sz w:val="20"/>
                <w:szCs w:val="20"/>
              </w:rPr>
              <w:t>Prior exposure to bortezomib</w:t>
            </w:r>
            <w:r w:rsidR="009755D9" w:rsidRPr="00F04A75">
              <w:rPr>
                <w:rFonts w:ascii="Arial Narrow" w:hAnsi="Arial Narrow"/>
                <w:sz w:val="20"/>
                <w:szCs w:val="20"/>
              </w:rPr>
              <w:t>;</w:t>
            </w:r>
            <w:r w:rsidR="00DB2800" w:rsidRPr="00F04A75">
              <w:rPr>
                <w:rFonts w:ascii="Arial Narrow" w:hAnsi="Arial Narrow"/>
                <w:sz w:val="20"/>
                <w:szCs w:val="20"/>
              </w:rPr>
              <w:t xml:space="preserve"> </w:t>
            </w:r>
            <w:r w:rsidR="00AF7993" w:rsidRPr="00F04A75">
              <w:rPr>
                <w:rFonts w:ascii="Arial Narrow" w:hAnsi="Arial Narrow" w:cstheme="minorHAnsi"/>
                <w:sz w:val="20"/>
                <w:szCs w:val="20"/>
              </w:rPr>
              <w:t>n</w:t>
            </w:r>
            <w:r w:rsidR="00DB2800" w:rsidRPr="00F04A75">
              <w:rPr>
                <w:rFonts w:ascii="Arial Narrow" w:hAnsi="Arial Narrow" w:cstheme="minorHAnsi"/>
                <w:sz w:val="20"/>
                <w:szCs w:val="20"/>
              </w:rPr>
              <w:t xml:space="preserve"> </w:t>
            </w:r>
            <w:r w:rsidR="00AF7993" w:rsidRPr="00F04A75">
              <w:rPr>
                <w:rFonts w:ascii="Arial Narrow" w:hAnsi="Arial Narrow" w:cstheme="minorHAnsi"/>
                <w:sz w:val="20"/>
                <w:szCs w:val="20"/>
              </w:rPr>
              <w:t>(%)</w:t>
            </w:r>
          </w:p>
        </w:tc>
        <w:tc>
          <w:tcPr>
            <w:tcW w:w="709" w:type="dxa"/>
            <w:tcMar>
              <w:left w:w="28" w:type="dxa"/>
              <w:right w:w="28" w:type="dxa"/>
            </w:tcMar>
            <w:vAlign w:val="center"/>
          </w:tcPr>
          <w:p w14:paraId="3F17247A" w14:textId="77777777" w:rsidR="00CB4AA8" w:rsidRPr="00F04A75" w:rsidRDefault="00CB4AA8" w:rsidP="00DB2800">
            <w:pPr>
              <w:keepNext/>
              <w:jc w:val="center"/>
              <w:rPr>
                <w:rFonts w:ascii="Arial Narrow" w:hAnsi="Arial Narrow"/>
                <w:sz w:val="20"/>
                <w:szCs w:val="20"/>
              </w:rPr>
            </w:pPr>
            <w:r w:rsidRPr="00F04A75">
              <w:rPr>
                <w:rFonts w:ascii="Arial Narrow" w:hAnsi="Arial Narrow" w:cstheme="minorHAnsi"/>
                <w:sz w:val="20"/>
                <w:szCs w:val="20"/>
              </w:rPr>
              <w:t>261 (65.9)</w:t>
            </w:r>
          </w:p>
        </w:tc>
        <w:tc>
          <w:tcPr>
            <w:tcW w:w="708" w:type="dxa"/>
            <w:tcMar>
              <w:left w:w="28" w:type="dxa"/>
              <w:right w:w="28" w:type="dxa"/>
            </w:tcMar>
            <w:vAlign w:val="center"/>
          </w:tcPr>
          <w:p w14:paraId="75DF2825" w14:textId="77777777" w:rsidR="00CB4AA8" w:rsidRPr="00F04A75" w:rsidRDefault="00CB4AA8" w:rsidP="00DB2800">
            <w:pPr>
              <w:keepNext/>
              <w:jc w:val="center"/>
              <w:rPr>
                <w:rFonts w:ascii="Arial Narrow" w:hAnsi="Arial Narrow"/>
                <w:sz w:val="20"/>
                <w:szCs w:val="20"/>
              </w:rPr>
            </w:pPr>
            <w:r w:rsidRPr="00F04A75">
              <w:rPr>
                <w:rFonts w:ascii="Arial Narrow" w:hAnsi="Arial Narrow" w:cstheme="minorHAnsi"/>
                <w:sz w:val="20"/>
                <w:szCs w:val="20"/>
              </w:rPr>
              <w:t>260 (65.7)</w:t>
            </w:r>
          </w:p>
        </w:tc>
        <w:tc>
          <w:tcPr>
            <w:tcW w:w="709" w:type="dxa"/>
            <w:tcMar>
              <w:left w:w="28" w:type="dxa"/>
              <w:right w:w="28" w:type="dxa"/>
            </w:tcMar>
            <w:vAlign w:val="center"/>
          </w:tcPr>
          <w:p w14:paraId="0D140CC1" w14:textId="77777777" w:rsidR="00CB4AA8" w:rsidRPr="00F04A75" w:rsidRDefault="00CB4AA8" w:rsidP="00DB2800">
            <w:pPr>
              <w:keepNext/>
              <w:jc w:val="center"/>
              <w:rPr>
                <w:rFonts w:ascii="Arial Narrow" w:hAnsi="Arial Narrow"/>
                <w:sz w:val="20"/>
                <w:szCs w:val="20"/>
              </w:rPr>
            </w:pPr>
            <w:r w:rsidRPr="00F04A75">
              <w:rPr>
                <w:rFonts w:ascii="Arial Narrow" w:hAnsi="Arial Narrow" w:cstheme="minorHAnsi"/>
                <w:sz w:val="20"/>
                <w:szCs w:val="20"/>
              </w:rPr>
              <w:t>250 (53.9)</w:t>
            </w:r>
          </w:p>
        </w:tc>
        <w:tc>
          <w:tcPr>
            <w:tcW w:w="709" w:type="dxa"/>
            <w:tcMar>
              <w:left w:w="28" w:type="dxa"/>
              <w:right w:w="28" w:type="dxa"/>
            </w:tcMar>
            <w:vAlign w:val="center"/>
          </w:tcPr>
          <w:p w14:paraId="5539FE96" w14:textId="77777777" w:rsidR="00CB4AA8" w:rsidRPr="00F04A75" w:rsidRDefault="00CB4AA8" w:rsidP="00DB2800">
            <w:pPr>
              <w:keepNext/>
              <w:jc w:val="center"/>
              <w:rPr>
                <w:rFonts w:ascii="Arial Narrow" w:hAnsi="Arial Narrow"/>
                <w:sz w:val="20"/>
                <w:szCs w:val="20"/>
              </w:rPr>
            </w:pPr>
            <w:r w:rsidRPr="00F04A75">
              <w:rPr>
                <w:rFonts w:ascii="Arial Narrow" w:hAnsi="Arial Narrow" w:cstheme="minorHAnsi"/>
                <w:sz w:val="20"/>
                <w:szCs w:val="20"/>
              </w:rPr>
              <w:t>252 (54.2)</w:t>
            </w:r>
          </w:p>
        </w:tc>
        <w:tc>
          <w:tcPr>
            <w:tcW w:w="709" w:type="dxa"/>
            <w:tcMar>
              <w:left w:w="28" w:type="dxa"/>
              <w:right w:w="28" w:type="dxa"/>
            </w:tcMar>
            <w:vAlign w:val="center"/>
          </w:tcPr>
          <w:p w14:paraId="2CE89C5B" w14:textId="77777777" w:rsidR="00CB4AA8" w:rsidRPr="00F04A75" w:rsidRDefault="00CB4AA8" w:rsidP="00DB2800">
            <w:pPr>
              <w:keepNext/>
              <w:jc w:val="center"/>
              <w:rPr>
                <w:rFonts w:ascii="Arial Narrow" w:hAnsi="Arial Narrow"/>
                <w:sz w:val="20"/>
                <w:szCs w:val="20"/>
              </w:rPr>
            </w:pPr>
            <w:r w:rsidRPr="00F04A75">
              <w:rPr>
                <w:rFonts w:ascii="Arial Narrow" w:hAnsi="Arial Narrow" w:cstheme="minorHAnsi"/>
                <w:sz w:val="20"/>
                <w:szCs w:val="20"/>
              </w:rPr>
              <w:t>236 (98.3)</w:t>
            </w:r>
          </w:p>
        </w:tc>
        <w:tc>
          <w:tcPr>
            <w:tcW w:w="708" w:type="dxa"/>
            <w:tcMar>
              <w:left w:w="28" w:type="dxa"/>
              <w:right w:w="28" w:type="dxa"/>
            </w:tcMar>
            <w:vAlign w:val="center"/>
          </w:tcPr>
          <w:p w14:paraId="72C31D0E" w14:textId="77777777" w:rsidR="00CB4AA8" w:rsidRPr="00F04A75" w:rsidRDefault="00CB4AA8" w:rsidP="00DB2800">
            <w:pPr>
              <w:keepNext/>
              <w:jc w:val="center"/>
              <w:rPr>
                <w:rFonts w:ascii="Arial Narrow" w:hAnsi="Arial Narrow"/>
                <w:sz w:val="20"/>
                <w:szCs w:val="20"/>
              </w:rPr>
            </w:pPr>
            <w:r w:rsidRPr="00F04A75">
              <w:rPr>
                <w:rFonts w:ascii="Arial Narrow" w:hAnsi="Arial Narrow" w:cstheme="minorHAnsi"/>
                <w:sz w:val="20"/>
                <w:szCs w:val="20"/>
              </w:rPr>
              <w:t>237 (99.6)</w:t>
            </w:r>
          </w:p>
        </w:tc>
        <w:tc>
          <w:tcPr>
            <w:tcW w:w="709" w:type="dxa"/>
            <w:tcMar>
              <w:left w:w="28" w:type="dxa"/>
              <w:right w:w="28" w:type="dxa"/>
            </w:tcMar>
            <w:vAlign w:val="center"/>
          </w:tcPr>
          <w:p w14:paraId="423EA5A9" w14:textId="77777777" w:rsidR="00CB4AA8" w:rsidRPr="00F04A75" w:rsidRDefault="00CB4AA8" w:rsidP="00DB2800">
            <w:pPr>
              <w:keepNext/>
              <w:jc w:val="center"/>
              <w:rPr>
                <w:rFonts w:ascii="Arial Narrow" w:hAnsi="Arial Narrow"/>
                <w:sz w:val="20"/>
                <w:szCs w:val="20"/>
              </w:rPr>
            </w:pPr>
            <w:r w:rsidRPr="00F04A75">
              <w:rPr>
                <w:rFonts w:ascii="Arial Narrow" w:hAnsi="Arial Narrow" w:cstheme="minorHAnsi"/>
                <w:sz w:val="20"/>
                <w:szCs w:val="20"/>
              </w:rPr>
              <w:t>219 (68.2)</w:t>
            </w:r>
          </w:p>
        </w:tc>
        <w:tc>
          <w:tcPr>
            <w:tcW w:w="709" w:type="dxa"/>
            <w:tcMar>
              <w:left w:w="28" w:type="dxa"/>
              <w:right w:w="28" w:type="dxa"/>
            </w:tcMar>
            <w:vAlign w:val="center"/>
          </w:tcPr>
          <w:p w14:paraId="78661CBB" w14:textId="77777777" w:rsidR="00CB4AA8" w:rsidRPr="00F04A75" w:rsidRDefault="00CB4AA8" w:rsidP="00DB2800">
            <w:pPr>
              <w:keepNext/>
              <w:jc w:val="center"/>
              <w:rPr>
                <w:rFonts w:ascii="Arial Narrow" w:hAnsi="Arial Narrow"/>
                <w:sz w:val="20"/>
                <w:szCs w:val="20"/>
              </w:rPr>
            </w:pPr>
            <w:r w:rsidRPr="00F04A75">
              <w:rPr>
                <w:rFonts w:ascii="Arial Narrow" w:hAnsi="Arial Narrow" w:cstheme="minorHAnsi"/>
                <w:sz w:val="20"/>
                <w:szCs w:val="20"/>
              </w:rPr>
              <w:t>231 (71.1)</w:t>
            </w:r>
          </w:p>
        </w:tc>
        <w:tc>
          <w:tcPr>
            <w:tcW w:w="709" w:type="dxa"/>
            <w:tcMar>
              <w:left w:w="28" w:type="dxa"/>
              <w:right w:w="28" w:type="dxa"/>
            </w:tcMar>
            <w:vAlign w:val="center"/>
          </w:tcPr>
          <w:p w14:paraId="0069380F" w14:textId="77777777" w:rsidR="00CB4AA8" w:rsidRPr="00F04A75" w:rsidRDefault="00CB4AA8" w:rsidP="00DB2800">
            <w:pPr>
              <w:keepNext/>
              <w:jc w:val="center"/>
              <w:rPr>
                <w:rFonts w:ascii="Arial Narrow" w:hAnsi="Arial Narrow"/>
                <w:sz w:val="20"/>
                <w:szCs w:val="20"/>
              </w:rPr>
            </w:pPr>
            <w:r w:rsidRPr="00F04A75">
              <w:rPr>
                <w:rFonts w:ascii="Arial Narrow" w:hAnsi="Arial Narrow" w:cstheme="minorHAnsi"/>
                <w:sz w:val="20"/>
                <w:szCs w:val="20"/>
              </w:rPr>
              <w:t>201 (71.8)</w:t>
            </w:r>
          </w:p>
        </w:tc>
        <w:tc>
          <w:tcPr>
            <w:tcW w:w="708" w:type="dxa"/>
            <w:tcMar>
              <w:left w:w="28" w:type="dxa"/>
              <w:right w:w="28" w:type="dxa"/>
            </w:tcMar>
            <w:vAlign w:val="center"/>
          </w:tcPr>
          <w:p w14:paraId="5F985051" w14:textId="77777777" w:rsidR="00CB4AA8" w:rsidRPr="00F04A75" w:rsidRDefault="00CB4AA8" w:rsidP="00DB2800">
            <w:pPr>
              <w:keepNext/>
              <w:jc w:val="center"/>
              <w:rPr>
                <w:rFonts w:ascii="Arial Narrow" w:hAnsi="Arial Narrow"/>
                <w:sz w:val="20"/>
                <w:szCs w:val="20"/>
              </w:rPr>
            </w:pPr>
            <w:r w:rsidRPr="00F04A75">
              <w:rPr>
                <w:rFonts w:ascii="Arial Narrow" w:hAnsi="Arial Narrow" w:cstheme="minorHAnsi"/>
                <w:sz w:val="20"/>
                <w:szCs w:val="20"/>
              </w:rPr>
              <w:t>203 (73.0)</w:t>
            </w:r>
          </w:p>
        </w:tc>
      </w:tr>
    </w:tbl>
    <w:p w14:paraId="5F593078" w14:textId="77777777" w:rsidR="00D5542A" w:rsidRPr="00F04A75" w:rsidRDefault="00304789" w:rsidP="00DB2800">
      <w:pPr>
        <w:keepNext/>
        <w:rPr>
          <w:rFonts w:ascii="Arial Narrow" w:hAnsi="Arial Narrow"/>
          <w:sz w:val="18"/>
          <w:szCs w:val="18"/>
        </w:rPr>
      </w:pPr>
      <w:r w:rsidRPr="00F04A75">
        <w:rPr>
          <w:rFonts w:ascii="Arial Narrow" w:hAnsi="Arial Narrow"/>
          <w:sz w:val="18"/>
          <w:szCs w:val="18"/>
        </w:rPr>
        <w:t xml:space="preserve">Source: Table </w:t>
      </w:r>
      <w:r w:rsidR="00B5179F" w:rsidRPr="00F04A75">
        <w:rPr>
          <w:rFonts w:ascii="Arial Narrow" w:hAnsi="Arial Narrow"/>
          <w:sz w:val="18"/>
          <w:szCs w:val="18"/>
        </w:rPr>
        <w:t>2.4.3 p45-46 of the resubmission</w:t>
      </w:r>
    </w:p>
    <w:p w14:paraId="4C37E710" w14:textId="7DD02F32" w:rsidR="00656FA5" w:rsidRPr="00F04A75" w:rsidRDefault="008B2B9E" w:rsidP="00B80B76">
      <w:pPr>
        <w:keepNext/>
      </w:pPr>
      <w:r w:rsidRPr="00F04A75">
        <w:rPr>
          <w:rFonts w:ascii="Arial Narrow" w:hAnsi="Arial Narrow"/>
          <w:sz w:val="18"/>
          <w:szCs w:val="18"/>
        </w:rPr>
        <w:t>Bd</w:t>
      </w:r>
      <w:r w:rsidR="00334CF5" w:rsidRPr="00F04A75">
        <w:rPr>
          <w:rFonts w:ascii="Arial Narrow" w:hAnsi="Arial Narrow"/>
          <w:sz w:val="18"/>
          <w:szCs w:val="18"/>
        </w:rPr>
        <w:t xml:space="preserve"> </w:t>
      </w:r>
      <w:r w:rsidRPr="00F04A75">
        <w:rPr>
          <w:rFonts w:ascii="Arial Narrow" w:hAnsi="Arial Narrow"/>
          <w:sz w:val="18"/>
          <w:szCs w:val="18"/>
        </w:rPr>
        <w:t>= bortezomib and dexamethasone;</w:t>
      </w:r>
      <w:r w:rsidR="0001232C" w:rsidRPr="00F04A75">
        <w:rPr>
          <w:rFonts w:ascii="Arial Narrow" w:hAnsi="Arial Narrow"/>
          <w:sz w:val="18"/>
          <w:szCs w:val="18"/>
        </w:rPr>
        <w:t xml:space="preserve"> </w:t>
      </w:r>
      <w:r w:rsidR="00334CF5" w:rsidRPr="00F04A75">
        <w:rPr>
          <w:rFonts w:ascii="Arial Narrow" w:hAnsi="Arial Narrow"/>
          <w:sz w:val="18"/>
          <w:szCs w:val="18"/>
        </w:rPr>
        <w:t>Cd27 BIW = carfilzomib 27 mg/m</w:t>
      </w:r>
      <w:r w:rsidR="00334CF5" w:rsidRPr="00F04A75">
        <w:rPr>
          <w:rFonts w:ascii="Arial Narrow" w:hAnsi="Arial Narrow"/>
          <w:sz w:val="18"/>
          <w:szCs w:val="18"/>
          <w:vertAlign w:val="superscript"/>
        </w:rPr>
        <w:t xml:space="preserve">2 </w:t>
      </w:r>
      <w:r w:rsidR="00334CF5" w:rsidRPr="00F04A75">
        <w:rPr>
          <w:rFonts w:ascii="Arial Narrow" w:hAnsi="Arial Narrow"/>
          <w:sz w:val="18"/>
          <w:szCs w:val="18"/>
        </w:rPr>
        <w:t>twice weekly and dexamethasone; Cd56 BIW = carfilzomib 56 mg/m</w:t>
      </w:r>
      <w:r w:rsidR="00334CF5" w:rsidRPr="00F04A75">
        <w:rPr>
          <w:rFonts w:ascii="Arial Narrow" w:hAnsi="Arial Narrow"/>
          <w:sz w:val="18"/>
          <w:szCs w:val="18"/>
          <w:vertAlign w:val="superscript"/>
        </w:rPr>
        <w:t xml:space="preserve">2 </w:t>
      </w:r>
      <w:r w:rsidR="00334CF5" w:rsidRPr="00F04A75">
        <w:rPr>
          <w:rFonts w:ascii="Arial Narrow" w:hAnsi="Arial Narrow"/>
          <w:sz w:val="18"/>
          <w:szCs w:val="18"/>
        </w:rPr>
        <w:t>twice weekly and dexamethasone; Cd70 = carfilzomib 70 mg/m</w:t>
      </w:r>
      <w:r w:rsidR="00334CF5" w:rsidRPr="00F04A75">
        <w:rPr>
          <w:rFonts w:ascii="Arial Narrow" w:hAnsi="Arial Narrow"/>
          <w:sz w:val="18"/>
          <w:szCs w:val="18"/>
          <w:vertAlign w:val="superscript"/>
        </w:rPr>
        <w:t>2</w:t>
      </w:r>
      <w:r w:rsidR="00334CF5" w:rsidRPr="00F04A75">
        <w:rPr>
          <w:rFonts w:ascii="Arial Narrow" w:hAnsi="Arial Narrow"/>
          <w:sz w:val="18"/>
          <w:szCs w:val="18"/>
        </w:rPr>
        <w:t xml:space="preserve"> weekly and dexamethasone; </w:t>
      </w:r>
      <w:proofErr w:type="spellStart"/>
      <w:r w:rsidR="007B6AB7" w:rsidRPr="00F04A75">
        <w:rPr>
          <w:rFonts w:ascii="Arial Narrow" w:hAnsi="Arial Narrow"/>
          <w:sz w:val="18"/>
          <w:szCs w:val="18"/>
        </w:rPr>
        <w:t>CLd</w:t>
      </w:r>
      <w:proofErr w:type="spellEnd"/>
      <w:r w:rsidR="00334CF5" w:rsidRPr="00F04A75">
        <w:rPr>
          <w:rFonts w:ascii="Arial Narrow" w:hAnsi="Arial Narrow"/>
          <w:sz w:val="18"/>
          <w:szCs w:val="18"/>
        </w:rPr>
        <w:t xml:space="preserve"> </w:t>
      </w:r>
      <w:r w:rsidR="007B6AB7" w:rsidRPr="00F04A75">
        <w:rPr>
          <w:rFonts w:ascii="Arial Narrow" w:hAnsi="Arial Narrow"/>
          <w:sz w:val="18"/>
          <w:szCs w:val="18"/>
        </w:rPr>
        <w:t>= carfilzomib</w:t>
      </w:r>
      <w:r w:rsidR="00334CF5" w:rsidRPr="00F04A75">
        <w:rPr>
          <w:rFonts w:ascii="Arial Narrow" w:hAnsi="Arial Narrow"/>
          <w:sz w:val="18"/>
          <w:szCs w:val="18"/>
        </w:rPr>
        <w:t>,</w:t>
      </w:r>
      <w:r w:rsidR="007B6AB7" w:rsidRPr="00F04A75">
        <w:rPr>
          <w:rFonts w:ascii="Arial Narrow" w:hAnsi="Arial Narrow"/>
          <w:sz w:val="18"/>
          <w:szCs w:val="18"/>
        </w:rPr>
        <w:t xml:space="preserve"> lenalidomide and dexamethasone;</w:t>
      </w:r>
      <w:r w:rsidRPr="00F04A75">
        <w:rPr>
          <w:rFonts w:ascii="Arial Narrow" w:hAnsi="Arial Narrow"/>
          <w:sz w:val="18"/>
          <w:szCs w:val="18"/>
        </w:rPr>
        <w:t xml:space="preserve"> </w:t>
      </w:r>
      <w:proofErr w:type="spellStart"/>
      <w:r w:rsidRPr="00F04A75">
        <w:rPr>
          <w:rFonts w:ascii="Arial Narrow" w:hAnsi="Arial Narrow"/>
          <w:sz w:val="18"/>
          <w:szCs w:val="18"/>
        </w:rPr>
        <w:t>ELd</w:t>
      </w:r>
      <w:proofErr w:type="spellEnd"/>
      <w:r w:rsidR="00334CF5" w:rsidRPr="00F04A75">
        <w:rPr>
          <w:rFonts w:ascii="Arial Narrow" w:hAnsi="Arial Narrow"/>
          <w:sz w:val="18"/>
          <w:szCs w:val="18"/>
        </w:rPr>
        <w:t xml:space="preserve"> </w:t>
      </w:r>
      <w:r w:rsidRPr="00F04A75">
        <w:rPr>
          <w:rFonts w:ascii="Arial Narrow" w:hAnsi="Arial Narrow"/>
          <w:sz w:val="18"/>
          <w:szCs w:val="18"/>
        </w:rPr>
        <w:t xml:space="preserve">= </w:t>
      </w:r>
      <w:proofErr w:type="spellStart"/>
      <w:r w:rsidRPr="00F04A75">
        <w:rPr>
          <w:rFonts w:ascii="Arial Narrow" w:hAnsi="Arial Narrow"/>
          <w:sz w:val="18"/>
          <w:szCs w:val="18"/>
        </w:rPr>
        <w:t>elotuzumab</w:t>
      </w:r>
      <w:proofErr w:type="spellEnd"/>
      <w:r w:rsidR="00334CF5" w:rsidRPr="00F04A75">
        <w:rPr>
          <w:rFonts w:ascii="Arial Narrow" w:hAnsi="Arial Narrow"/>
          <w:sz w:val="18"/>
          <w:szCs w:val="18"/>
        </w:rPr>
        <w:t xml:space="preserve">, </w:t>
      </w:r>
      <w:r w:rsidRPr="00F04A75">
        <w:rPr>
          <w:rFonts w:ascii="Arial Narrow" w:hAnsi="Arial Narrow"/>
          <w:sz w:val="18"/>
          <w:szCs w:val="18"/>
        </w:rPr>
        <w:t xml:space="preserve">lenalidomide and dexamethasone; </w:t>
      </w:r>
      <w:proofErr w:type="spellStart"/>
      <w:r w:rsidR="00537964" w:rsidRPr="00F04A75">
        <w:rPr>
          <w:rFonts w:ascii="Arial Narrow" w:hAnsi="Arial Narrow"/>
          <w:sz w:val="18"/>
          <w:szCs w:val="18"/>
        </w:rPr>
        <w:t>Ld</w:t>
      </w:r>
      <w:proofErr w:type="spellEnd"/>
      <w:r w:rsidR="00334CF5" w:rsidRPr="00F04A75">
        <w:rPr>
          <w:rFonts w:ascii="Arial Narrow" w:hAnsi="Arial Narrow"/>
          <w:sz w:val="18"/>
          <w:szCs w:val="18"/>
        </w:rPr>
        <w:t xml:space="preserve"> </w:t>
      </w:r>
      <w:r w:rsidR="00537964" w:rsidRPr="00F04A75">
        <w:rPr>
          <w:rFonts w:ascii="Arial Narrow" w:hAnsi="Arial Narrow"/>
          <w:sz w:val="18"/>
          <w:szCs w:val="18"/>
        </w:rPr>
        <w:t xml:space="preserve">= </w:t>
      </w:r>
      <w:r w:rsidR="00DB420E" w:rsidRPr="00F04A75">
        <w:rPr>
          <w:rFonts w:ascii="Arial Narrow" w:hAnsi="Arial Narrow"/>
          <w:sz w:val="18"/>
          <w:szCs w:val="18"/>
        </w:rPr>
        <w:t>lenalidomide</w:t>
      </w:r>
      <w:r w:rsidR="00537964" w:rsidRPr="00F04A75">
        <w:rPr>
          <w:rFonts w:ascii="Arial Narrow" w:hAnsi="Arial Narrow"/>
          <w:sz w:val="18"/>
          <w:szCs w:val="18"/>
        </w:rPr>
        <w:t xml:space="preserve"> and dexamethasone;</w:t>
      </w:r>
      <w:r w:rsidR="006B4021" w:rsidRPr="00F04A75">
        <w:rPr>
          <w:rFonts w:ascii="Arial Narrow" w:hAnsi="Arial Narrow"/>
          <w:sz w:val="18"/>
          <w:szCs w:val="18"/>
        </w:rPr>
        <w:t xml:space="preserve"> </w:t>
      </w:r>
      <w:proofErr w:type="spellStart"/>
      <w:r w:rsidR="00537964" w:rsidRPr="00F04A75">
        <w:rPr>
          <w:rFonts w:ascii="Arial Narrow" w:hAnsi="Arial Narrow"/>
          <w:sz w:val="18"/>
          <w:szCs w:val="18"/>
        </w:rPr>
        <w:t>PBd</w:t>
      </w:r>
      <w:proofErr w:type="spellEnd"/>
      <w:r w:rsidR="00334CF5" w:rsidRPr="00F04A75">
        <w:rPr>
          <w:rFonts w:ascii="Arial Narrow" w:hAnsi="Arial Narrow"/>
          <w:sz w:val="18"/>
          <w:szCs w:val="18"/>
        </w:rPr>
        <w:t xml:space="preserve"> </w:t>
      </w:r>
      <w:r w:rsidR="00537964" w:rsidRPr="00F04A75">
        <w:rPr>
          <w:rFonts w:ascii="Arial Narrow" w:hAnsi="Arial Narrow"/>
          <w:sz w:val="18"/>
          <w:szCs w:val="18"/>
        </w:rPr>
        <w:t>= pomalidomide</w:t>
      </w:r>
      <w:r w:rsidR="00334CF5" w:rsidRPr="00F04A75">
        <w:rPr>
          <w:rFonts w:ascii="Arial Narrow" w:hAnsi="Arial Narrow"/>
          <w:sz w:val="18"/>
          <w:szCs w:val="18"/>
        </w:rPr>
        <w:t xml:space="preserve">, </w:t>
      </w:r>
      <w:r w:rsidR="00DB420E" w:rsidRPr="00F04A75">
        <w:rPr>
          <w:rFonts w:ascii="Arial Narrow" w:hAnsi="Arial Narrow"/>
          <w:sz w:val="18"/>
          <w:szCs w:val="18"/>
        </w:rPr>
        <w:t>lenalidomide</w:t>
      </w:r>
      <w:r w:rsidR="00537964" w:rsidRPr="00F04A75">
        <w:rPr>
          <w:rFonts w:ascii="Arial Narrow" w:hAnsi="Arial Narrow"/>
          <w:sz w:val="18"/>
          <w:szCs w:val="18"/>
        </w:rPr>
        <w:t xml:space="preserve"> and dexamethasone</w:t>
      </w:r>
    </w:p>
    <w:p w14:paraId="0FFDB2A3" w14:textId="77777777" w:rsidR="00F97782" w:rsidRPr="00F04A75" w:rsidRDefault="00F97782" w:rsidP="00DB2800">
      <w:pPr>
        <w:pStyle w:val="4-SubsectionHeading"/>
      </w:pPr>
      <w:bookmarkStart w:id="35" w:name="_Toc90455925"/>
      <w:bookmarkStart w:id="36" w:name="_Toc93412429"/>
      <w:r w:rsidRPr="00F04A75">
        <w:t>Comparative effectiveness</w:t>
      </w:r>
      <w:bookmarkEnd w:id="35"/>
      <w:bookmarkEnd w:id="36"/>
    </w:p>
    <w:p w14:paraId="12BAC081" w14:textId="23C25435" w:rsidR="002D5ED0" w:rsidRPr="00F04A75" w:rsidRDefault="00703584" w:rsidP="004D5B81">
      <w:pPr>
        <w:pStyle w:val="3-BodyText"/>
      </w:pPr>
      <w:r w:rsidRPr="00F04A75">
        <w:rPr>
          <w:snapToGrid/>
        </w:rPr>
        <w:t xml:space="preserve">The </w:t>
      </w:r>
      <w:r w:rsidR="00F97782" w:rsidRPr="00F04A75">
        <w:rPr>
          <w:snapToGrid/>
        </w:rPr>
        <w:t xml:space="preserve">ASPIRE and ENDEAVOR trials </w:t>
      </w:r>
      <w:r w:rsidR="00DB2800" w:rsidRPr="00F04A75">
        <w:rPr>
          <w:snapToGrid/>
        </w:rPr>
        <w:t xml:space="preserve">were </w:t>
      </w:r>
      <w:r w:rsidR="00F97782" w:rsidRPr="00F04A75">
        <w:rPr>
          <w:snapToGrid/>
        </w:rPr>
        <w:t>pre</w:t>
      </w:r>
      <w:r w:rsidR="00DB2800" w:rsidRPr="00F04A75">
        <w:rPr>
          <w:snapToGrid/>
        </w:rPr>
        <w:t>sented in the November 2016 submission</w:t>
      </w:r>
      <w:r w:rsidR="00020BE8" w:rsidRPr="00F04A75">
        <w:rPr>
          <w:snapToGrid/>
        </w:rPr>
        <w:t>.</w:t>
      </w:r>
      <w:r w:rsidR="008463D1" w:rsidRPr="00F04A75">
        <w:rPr>
          <w:snapToGrid/>
        </w:rPr>
        <w:t xml:space="preserve"> </w:t>
      </w:r>
      <w:r w:rsidR="00020BE8" w:rsidRPr="00F04A75">
        <w:rPr>
          <w:snapToGrid/>
        </w:rPr>
        <w:t xml:space="preserve">Updated data was presented for both ASPIRE </w:t>
      </w:r>
      <w:r w:rsidR="00020BE8" w:rsidRPr="00F04A75">
        <w:rPr>
          <w:iCs/>
          <w:snapToGrid/>
        </w:rPr>
        <w:t xml:space="preserve">(28 April 2017 data cut; median follow up 67 months) </w:t>
      </w:r>
      <w:r w:rsidR="00020BE8" w:rsidRPr="00F04A75">
        <w:rPr>
          <w:snapToGrid/>
        </w:rPr>
        <w:t xml:space="preserve">and ENDEAVOR </w:t>
      </w:r>
      <w:r w:rsidR="00020BE8" w:rsidRPr="00F04A75">
        <w:rPr>
          <w:iCs/>
          <w:snapToGrid/>
        </w:rPr>
        <w:t xml:space="preserve">(July 2017 data cut; median follow-up 44 months) in the resubmission. </w:t>
      </w:r>
      <w:r w:rsidR="00020BE8" w:rsidRPr="00F04A75">
        <w:rPr>
          <w:snapToGrid/>
        </w:rPr>
        <w:t>T</w:t>
      </w:r>
      <w:r w:rsidR="008463D1" w:rsidRPr="00F04A75">
        <w:rPr>
          <w:snapToGrid/>
        </w:rPr>
        <w:t xml:space="preserve">he data informing </w:t>
      </w:r>
      <w:r w:rsidR="00C007E5" w:rsidRPr="00F04A75">
        <w:rPr>
          <w:snapToGrid/>
        </w:rPr>
        <w:t xml:space="preserve">the </w:t>
      </w:r>
      <w:r w:rsidR="00020BE8" w:rsidRPr="00F04A75">
        <w:rPr>
          <w:snapToGrid/>
        </w:rPr>
        <w:t xml:space="preserve">PFS </w:t>
      </w:r>
      <w:r w:rsidR="008463D1" w:rsidRPr="00F04A75">
        <w:rPr>
          <w:snapToGrid/>
        </w:rPr>
        <w:t xml:space="preserve">ITC </w:t>
      </w:r>
      <w:r w:rsidR="00020BE8" w:rsidRPr="00F04A75">
        <w:rPr>
          <w:snapToGrid/>
        </w:rPr>
        <w:t xml:space="preserve">was not updated in the resubmission. For the OS ITC data from the original submission was presented and compared with </w:t>
      </w:r>
      <w:r w:rsidR="008463D1" w:rsidRPr="00F04A75">
        <w:rPr>
          <w:iCs/>
          <w:snapToGrid/>
        </w:rPr>
        <w:t xml:space="preserve">updated data-cut offs for ASPIRE and ENDEAVOR. </w:t>
      </w:r>
    </w:p>
    <w:p w14:paraId="2177CB90" w14:textId="77777777" w:rsidR="00F97782" w:rsidRPr="00F04A75" w:rsidRDefault="00F97782" w:rsidP="0016658B">
      <w:pPr>
        <w:pStyle w:val="3-BodyText"/>
        <w:numPr>
          <w:ilvl w:val="0"/>
          <w:numId w:val="0"/>
        </w:numPr>
        <w:rPr>
          <w:u w:val="single"/>
        </w:rPr>
      </w:pPr>
      <w:proofErr w:type="spellStart"/>
      <w:r w:rsidRPr="00F04A75">
        <w:rPr>
          <w:snapToGrid/>
          <w:u w:val="single"/>
        </w:rPr>
        <w:t>CLd</w:t>
      </w:r>
      <w:proofErr w:type="spellEnd"/>
      <w:r w:rsidRPr="00F04A75">
        <w:rPr>
          <w:snapToGrid/>
          <w:u w:val="single"/>
        </w:rPr>
        <w:t xml:space="preserve"> versus </w:t>
      </w:r>
      <w:proofErr w:type="spellStart"/>
      <w:r w:rsidRPr="00F04A75">
        <w:rPr>
          <w:snapToGrid/>
          <w:u w:val="single"/>
        </w:rPr>
        <w:t>Ld</w:t>
      </w:r>
      <w:proofErr w:type="spellEnd"/>
      <w:r w:rsidRPr="00F04A75">
        <w:rPr>
          <w:snapToGrid/>
          <w:u w:val="single"/>
        </w:rPr>
        <w:t xml:space="preserve"> (ASPIRE trial)</w:t>
      </w:r>
    </w:p>
    <w:p w14:paraId="0BC91DB8" w14:textId="549BD7D5" w:rsidR="00F97782" w:rsidRPr="00F04A75" w:rsidRDefault="00F97782" w:rsidP="0016658B">
      <w:pPr>
        <w:pStyle w:val="3-BodyText"/>
        <w:rPr>
          <w:color w:val="0066FF"/>
        </w:rPr>
      </w:pPr>
      <w:r w:rsidRPr="00F04A75">
        <w:rPr>
          <w:snapToGrid/>
          <w:color w:val="000000" w:themeColor="text1"/>
        </w:rPr>
        <w:t xml:space="preserve">The summary of </w:t>
      </w:r>
      <w:r w:rsidR="00020BE8" w:rsidRPr="00F04A75">
        <w:rPr>
          <w:snapToGrid/>
          <w:color w:val="000000" w:themeColor="text1"/>
        </w:rPr>
        <w:t xml:space="preserve">PFS and OS results from </w:t>
      </w:r>
      <w:r w:rsidRPr="00F04A75">
        <w:rPr>
          <w:snapToGrid/>
          <w:color w:val="000000" w:themeColor="text1"/>
        </w:rPr>
        <w:t xml:space="preserve">ASPIRE </w:t>
      </w:r>
      <w:r w:rsidR="00020BE8" w:rsidRPr="00F04A75">
        <w:rPr>
          <w:snapToGrid/>
          <w:color w:val="000000" w:themeColor="text1"/>
        </w:rPr>
        <w:t>are</w:t>
      </w:r>
      <w:r w:rsidRPr="00F04A75">
        <w:rPr>
          <w:snapToGrid/>
          <w:color w:val="000000" w:themeColor="text1"/>
        </w:rPr>
        <w:t xml:space="preserve"> presented in </w:t>
      </w:r>
      <w:r w:rsidR="0087690A" w:rsidRPr="00F04A75">
        <w:rPr>
          <w:rFonts w:cstheme="minorHAnsi"/>
          <w:snapToGrid/>
          <w:color w:val="000000" w:themeColor="text1"/>
        </w:rPr>
        <w:t xml:space="preserve">Table </w:t>
      </w:r>
      <w:r w:rsidR="00C8791A">
        <w:rPr>
          <w:rFonts w:cstheme="minorHAnsi"/>
          <w:snapToGrid/>
          <w:color w:val="000000" w:themeColor="text1"/>
        </w:rPr>
        <w:t>6</w:t>
      </w:r>
      <w:r w:rsidRPr="00F04A75">
        <w:rPr>
          <w:snapToGrid/>
          <w:color w:val="000000" w:themeColor="text1"/>
        </w:rPr>
        <w:t>, with the corresponding Kaplan-Meier plots reported in</w:t>
      </w:r>
      <w:r w:rsidR="0087690A" w:rsidRPr="00F04A75">
        <w:rPr>
          <w:rFonts w:cstheme="minorHAnsi"/>
          <w:b/>
          <w:bCs/>
          <w:snapToGrid/>
          <w:color w:val="000000" w:themeColor="text1"/>
        </w:rPr>
        <w:t xml:space="preserve"> </w:t>
      </w:r>
      <w:r w:rsidR="0087690A" w:rsidRPr="00F04A75">
        <w:rPr>
          <w:rFonts w:cstheme="minorHAnsi"/>
          <w:snapToGrid/>
          <w:color w:val="000000" w:themeColor="text1"/>
        </w:rPr>
        <w:t>Figure 2</w:t>
      </w:r>
      <w:r w:rsidRPr="00F04A75">
        <w:rPr>
          <w:rFonts w:cstheme="minorHAnsi"/>
          <w:snapToGrid/>
          <w:color w:val="000000" w:themeColor="text1"/>
        </w:rPr>
        <w:t xml:space="preserve">. </w:t>
      </w:r>
      <w:r w:rsidR="00A31D4F" w:rsidRPr="00F04A75">
        <w:rPr>
          <w:rFonts w:cstheme="minorHAnsi"/>
          <w:snapToGrid/>
          <w:color w:val="000000" w:themeColor="text1"/>
        </w:rPr>
        <w:t>P</w:t>
      </w:r>
      <w:r w:rsidRPr="00F04A75">
        <w:rPr>
          <w:rFonts w:cstheme="minorHAnsi"/>
          <w:snapToGrid/>
          <w:color w:val="000000" w:themeColor="text1"/>
        </w:rPr>
        <w:t xml:space="preserve">atients in the </w:t>
      </w:r>
      <w:proofErr w:type="spellStart"/>
      <w:r w:rsidRPr="00F04A75">
        <w:rPr>
          <w:rFonts w:cstheme="minorHAnsi"/>
          <w:snapToGrid/>
          <w:color w:val="000000" w:themeColor="text1"/>
        </w:rPr>
        <w:t>CLd</w:t>
      </w:r>
      <w:proofErr w:type="spellEnd"/>
      <w:r w:rsidRPr="00F04A75">
        <w:rPr>
          <w:rFonts w:cstheme="minorHAnsi"/>
          <w:snapToGrid/>
          <w:color w:val="000000" w:themeColor="text1"/>
        </w:rPr>
        <w:t xml:space="preserve"> arm had statistically significantly </w:t>
      </w:r>
      <w:r w:rsidRPr="00F04A75">
        <w:rPr>
          <w:snapToGrid/>
          <w:color w:val="000000" w:themeColor="text1"/>
        </w:rPr>
        <w:t xml:space="preserve">longer PFS and OS compared to Ld. The </w:t>
      </w:r>
      <w:r w:rsidR="00D823E4">
        <w:rPr>
          <w:snapToGrid/>
          <w:color w:val="000000" w:themeColor="text1"/>
        </w:rPr>
        <w:t>efficacy estimates</w:t>
      </w:r>
      <w:r w:rsidR="00D823E4" w:rsidRPr="00F04A75">
        <w:rPr>
          <w:snapToGrid/>
          <w:color w:val="000000" w:themeColor="text1"/>
        </w:rPr>
        <w:t xml:space="preserve"> </w:t>
      </w:r>
      <w:r w:rsidR="007B4551" w:rsidRPr="00F04A75">
        <w:rPr>
          <w:snapToGrid/>
          <w:color w:val="000000" w:themeColor="text1"/>
        </w:rPr>
        <w:t xml:space="preserve">for the OS </w:t>
      </w:r>
      <w:r w:rsidRPr="00F04A75">
        <w:rPr>
          <w:snapToGrid/>
          <w:color w:val="000000" w:themeColor="text1"/>
        </w:rPr>
        <w:t>did not change substantially between the two data-cuts</w:t>
      </w:r>
      <w:r w:rsidR="001060E6" w:rsidRPr="00F04A75">
        <w:rPr>
          <w:snapToGrid/>
          <w:color w:val="000000" w:themeColor="text1"/>
        </w:rPr>
        <w:t xml:space="preserve"> </w:t>
      </w:r>
      <w:r w:rsidR="00235C08" w:rsidRPr="00F04A75">
        <w:rPr>
          <w:snapToGrid/>
          <w:color w:val="000000" w:themeColor="text1"/>
        </w:rPr>
        <w:t>(</w:t>
      </w:r>
      <w:r w:rsidR="007B4551" w:rsidRPr="00F04A75">
        <w:rPr>
          <w:snapToGrid/>
          <w:color w:val="000000" w:themeColor="text1"/>
        </w:rPr>
        <w:t>16 June 2014</w:t>
      </w:r>
      <w:r w:rsidR="00235C08" w:rsidRPr="00F04A75">
        <w:rPr>
          <w:snapToGrid/>
          <w:color w:val="000000" w:themeColor="text1"/>
        </w:rPr>
        <w:t>, median follow up = 32 months</w:t>
      </w:r>
      <w:r w:rsidR="007B4551" w:rsidRPr="00F04A75">
        <w:rPr>
          <w:snapToGrid/>
          <w:color w:val="000000" w:themeColor="text1"/>
        </w:rPr>
        <w:t xml:space="preserve"> and 28 April 2017</w:t>
      </w:r>
      <w:r w:rsidR="001060E6" w:rsidRPr="00F04A75">
        <w:rPr>
          <w:snapToGrid/>
          <w:color w:val="000000" w:themeColor="text1"/>
        </w:rPr>
        <w:t xml:space="preserve"> data cut, </w:t>
      </w:r>
      <w:r w:rsidR="00235C08" w:rsidRPr="00F04A75">
        <w:rPr>
          <w:snapToGrid/>
          <w:color w:val="000000" w:themeColor="text1"/>
        </w:rPr>
        <w:t>median follow up = 67 months)</w:t>
      </w:r>
      <w:r w:rsidRPr="00F04A75">
        <w:rPr>
          <w:color w:val="0066FF"/>
        </w:rPr>
        <w:t xml:space="preserve">. </w:t>
      </w:r>
    </w:p>
    <w:p w14:paraId="3D85DD7B" w14:textId="65E92934" w:rsidR="00F97782" w:rsidRPr="00F04A75" w:rsidRDefault="00F97782" w:rsidP="0016658B">
      <w:pPr>
        <w:pStyle w:val="Caption"/>
        <w:keepNext/>
        <w:spacing w:after="0"/>
        <w:jc w:val="left"/>
        <w:rPr>
          <w:szCs w:val="20"/>
        </w:rPr>
      </w:pPr>
      <w:bookmarkStart w:id="37" w:name="_Ref95398779"/>
      <w:r w:rsidRPr="00F04A75">
        <w:rPr>
          <w:rFonts w:ascii="Arial Narrow" w:hAnsi="Arial Narrow"/>
          <w:color w:val="auto"/>
          <w:sz w:val="20"/>
          <w:szCs w:val="20"/>
        </w:rPr>
        <w:lastRenderedPageBreak/>
        <w:t xml:space="preserve">Table </w:t>
      </w:r>
      <w:r w:rsidRPr="00F04A75">
        <w:rPr>
          <w:rFonts w:ascii="Arial Narrow" w:hAnsi="Arial Narrow"/>
          <w:color w:val="auto"/>
          <w:sz w:val="20"/>
          <w:szCs w:val="20"/>
        </w:rPr>
        <w:fldChar w:fldCharType="begin"/>
      </w:r>
      <w:r w:rsidRPr="00F04A75">
        <w:rPr>
          <w:rFonts w:ascii="Arial Narrow" w:hAnsi="Arial Narrow"/>
          <w:color w:val="auto"/>
          <w:sz w:val="20"/>
          <w:szCs w:val="20"/>
        </w:rPr>
        <w:instrText xml:space="preserve"> SEQ Table \* ARABIC </w:instrText>
      </w:r>
      <w:r w:rsidRPr="00F04A75">
        <w:rPr>
          <w:rFonts w:ascii="Arial Narrow" w:hAnsi="Arial Narrow"/>
          <w:color w:val="auto"/>
          <w:sz w:val="20"/>
          <w:szCs w:val="20"/>
        </w:rPr>
        <w:fldChar w:fldCharType="separate"/>
      </w:r>
      <w:r w:rsidR="00443BC9">
        <w:rPr>
          <w:rFonts w:ascii="Arial Narrow" w:hAnsi="Arial Narrow"/>
          <w:noProof/>
          <w:color w:val="auto"/>
          <w:sz w:val="20"/>
          <w:szCs w:val="20"/>
        </w:rPr>
        <w:t>6</w:t>
      </w:r>
      <w:r w:rsidRPr="00F04A75">
        <w:rPr>
          <w:rFonts w:ascii="Arial Narrow" w:hAnsi="Arial Narrow"/>
          <w:color w:val="auto"/>
          <w:sz w:val="20"/>
          <w:szCs w:val="20"/>
        </w:rPr>
        <w:fldChar w:fldCharType="end"/>
      </w:r>
      <w:bookmarkEnd w:id="37"/>
      <w:r w:rsidRPr="00F04A75">
        <w:rPr>
          <w:rFonts w:ascii="Arial Narrow" w:hAnsi="Arial Narrow"/>
          <w:color w:val="auto"/>
          <w:sz w:val="20"/>
          <w:szCs w:val="20"/>
        </w:rPr>
        <w:t xml:space="preserve">: PFS and OS </w:t>
      </w:r>
      <w:r w:rsidR="00020BE8" w:rsidRPr="00F04A75">
        <w:rPr>
          <w:rFonts w:ascii="Arial Narrow" w:hAnsi="Arial Narrow"/>
          <w:color w:val="auto"/>
          <w:sz w:val="20"/>
          <w:szCs w:val="20"/>
        </w:rPr>
        <w:t xml:space="preserve">results from </w:t>
      </w:r>
      <w:r w:rsidRPr="00F04A75">
        <w:rPr>
          <w:rFonts w:ascii="Arial Narrow" w:hAnsi="Arial Narrow"/>
          <w:color w:val="auto"/>
          <w:sz w:val="20"/>
          <w:szCs w:val="20"/>
        </w:rPr>
        <w:t xml:space="preserve">ASPIRE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71"/>
        <w:gridCol w:w="1134"/>
        <w:gridCol w:w="851"/>
        <w:gridCol w:w="992"/>
        <w:gridCol w:w="849"/>
        <w:gridCol w:w="994"/>
        <w:gridCol w:w="992"/>
        <w:gridCol w:w="830"/>
        <w:gridCol w:w="1104"/>
      </w:tblGrid>
      <w:tr w:rsidR="009C610D" w:rsidRPr="00F04A75" w14:paraId="4CD93591" w14:textId="77777777" w:rsidTr="00020BE8">
        <w:trPr>
          <w:cantSplit/>
          <w:tblHeader/>
        </w:trPr>
        <w:tc>
          <w:tcPr>
            <w:tcW w:w="705" w:type="pct"/>
            <w:vMerge w:val="restart"/>
            <w:vAlign w:val="center"/>
          </w:tcPr>
          <w:p w14:paraId="538E9604" w14:textId="77777777" w:rsidR="009C610D" w:rsidRPr="00F04A75" w:rsidRDefault="009C610D" w:rsidP="00EF2EF4">
            <w:pPr>
              <w:pStyle w:val="In-tableHeading"/>
              <w:jc w:val="center"/>
              <w:rPr>
                <w:szCs w:val="20"/>
                <w:lang w:val="en-AU"/>
              </w:rPr>
            </w:pPr>
          </w:p>
        </w:tc>
        <w:tc>
          <w:tcPr>
            <w:tcW w:w="629" w:type="pct"/>
            <w:vMerge w:val="restart"/>
            <w:vAlign w:val="center"/>
          </w:tcPr>
          <w:p w14:paraId="201E0B98" w14:textId="77777777" w:rsidR="009C610D" w:rsidRPr="00F04A75" w:rsidRDefault="009C610D" w:rsidP="00EF2EF4">
            <w:pPr>
              <w:pStyle w:val="TableText0"/>
              <w:jc w:val="center"/>
              <w:rPr>
                <w:szCs w:val="20"/>
              </w:rPr>
            </w:pPr>
            <w:r w:rsidRPr="00F04A75">
              <w:rPr>
                <w:b/>
                <w:bCs w:val="0"/>
                <w:szCs w:val="20"/>
              </w:rPr>
              <w:t>Median time to follow up (months)</w:t>
            </w:r>
          </w:p>
        </w:tc>
        <w:tc>
          <w:tcPr>
            <w:tcW w:w="1022" w:type="pct"/>
            <w:gridSpan w:val="2"/>
            <w:vAlign w:val="center"/>
          </w:tcPr>
          <w:p w14:paraId="3BAF8E86" w14:textId="77777777" w:rsidR="009C610D" w:rsidRPr="00F04A75" w:rsidRDefault="009C610D" w:rsidP="00EF2EF4">
            <w:pPr>
              <w:pStyle w:val="In-tableHeading"/>
              <w:jc w:val="center"/>
              <w:rPr>
                <w:szCs w:val="20"/>
                <w:lang w:val="en-AU"/>
              </w:rPr>
            </w:pPr>
            <w:proofErr w:type="spellStart"/>
            <w:r w:rsidRPr="00F04A75">
              <w:rPr>
                <w:szCs w:val="20"/>
                <w:lang w:val="en-AU"/>
              </w:rPr>
              <w:t>CLd</w:t>
            </w:r>
            <w:proofErr w:type="spellEnd"/>
            <w:r w:rsidRPr="00F04A75">
              <w:rPr>
                <w:szCs w:val="20"/>
                <w:lang w:val="en-AU"/>
              </w:rPr>
              <w:t xml:space="preserve"> (N=396)</w:t>
            </w:r>
          </w:p>
        </w:tc>
        <w:tc>
          <w:tcPr>
            <w:tcW w:w="1022" w:type="pct"/>
            <w:gridSpan w:val="2"/>
            <w:vAlign w:val="center"/>
          </w:tcPr>
          <w:p w14:paraId="58FB8F62" w14:textId="77777777" w:rsidR="009C610D" w:rsidRPr="00F04A75" w:rsidRDefault="009C610D" w:rsidP="00EF2EF4">
            <w:pPr>
              <w:pStyle w:val="In-tableHeading"/>
              <w:jc w:val="center"/>
              <w:rPr>
                <w:szCs w:val="20"/>
                <w:lang w:val="en-AU"/>
              </w:rPr>
            </w:pPr>
            <w:proofErr w:type="spellStart"/>
            <w:r w:rsidRPr="00F04A75">
              <w:rPr>
                <w:szCs w:val="20"/>
                <w:lang w:val="en-AU"/>
              </w:rPr>
              <w:t>Ld</w:t>
            </w:r>
            <w:proofErr w:type="spellEnd"/>
            <w:r w:rsidRPr="00F04A75">
              <w:rPr>
                <w:szCs w:val="20"/>
                <w:lang w:val="en-AU"/>
              </w:rPr>
              <w:t xml:space="preserve"> (N=396)</w:t>
            </w:r>
          </w:p>
        </w:tc>
        <w:tc>
          <w:tcPr>
            <w:tcW w:w="550" w:type="pct"/>
            <w:vMerge w:val="restart"/>
            <w:vAlign w:val="center"/>
          </w:tcPr>
          <w:p w14:paraId="45B8813C" w14:textId="77777777" w:rsidR="009C610D" w:rsidRPr="00F04A75" w:rsidRDefault="009C610D" w:rsidP="00EF2EF4">
            <w:pPr>
              <w:pStyle w:val="In-tableHeading"/>
              <w:jc w:val="center"/>
              <w:rPr>
                <w:szCs w:val="20"/>
                <w:lang w:val="en-AU"/>
              </w:rPr>
            </w:pPr>
            <w:r w:rsidRPr="00F04A75">
              <w:rPr>
                <w:szCs w:val="20"/>
                <w:lang w:val="en-AU"/>
              </w:rPr>
              <w:t>Difference in median</w:t>
            </w:r>
          </w:p>
        </w:tc>
        <w:tc>
          <w:tcPr>
            <w:tcW w:w="460" w:type="pct"/>
            <w:vMerge w:val="restart"/>
            <w:vAlign w:val="center"/>
          </w:tcPr>
          <w:p w14:paraId="5242C472" w14:textId="77777777" w:rsidR="009C610D" w:rsidRPr="00F04A75" w:rsidRDefault="009C610D" w:rsidP="00EF2EF4">
            <w:pPr>
              <w:pStyle w:val="In-tableHeading"/>
              <w:jc w:val="center"/>
              <w:rPr>
                <w:szCs w:val="20"/>
                <w:lang w:val="en-AU"/>
              </w:rPr>
            </w:pPr>
            <w:r w:rsidRPr="00F04A75">
              <w:rPr>
                <w:szCs w:val="20"/>
                <w:lang w:val="en-AU"/>
              </w:rPr>
              <w:t>P value</w:t>
            </w:r>
          </w:p>
          <w:p w14:paraId="66772799" w14:textId="77777777" w:rsidR="009C610D" w:rsidRPr="00F04A75" w:rsidRDefault="009C610D" w:rsidP="00EF2EF4">
            <w:pPr>
              <w:pStyle w:val="In-tableHeading"/>
              <w:jc w:val="center"/>
              <w:rPr>
                <w:szCs w:val="20"/>
                <w:lang w:val="en-AU"/>
              </w:rPr>
            </w:pPr>
            <w:r w:rsidRPr="00F04A75">
              <w:rPr>
                <w:szCs w:val="20"/>
                <w:lang w:val="en-AU"/>
              </w:rPr>
              <w:t>(log rank test)</w:t>
            </w:r>
          </w:p>
        </w:tc>
        <w:tc>
          <w:tcPr>
            <w:tcW w:w="612" w:type="pct"/>
            <w:vMerge w:val="restart"/>
            <w:vAlign w:val="center"/>
          </w:tcPr>
          <w:p w14:paraId="0436FECA" w14:textId="77777777" w:rsidR="009C610D" w:rsidRPr="00F04A75" w:rsidRDefault="009C610D" w:rsidP="00EF2EF4">
            <w:pPr>
              <w:pStyle w:val="In-tableHeading"/>
              <w:jc w:val="center"/>
              <w:rPr>
                <w:szCs w:val="20"/>
                <w:lang w:val="en-AU"/>
              </w:rPr>
            </w:pPr>
            <w:r w:rsidRPr="00F04A75">
              <w:rPr>
                <w:szCs w:val="20"/>
                <w:lang w:val="en-AU"/>
              </w:rPr>
              <w:t>Hazard ratio (95% CI)</w:t>
            </w:r>
          </w:p>
        </w:tc>
      </w:tr>
      <w:tr w:rsidR="009C610D" w:rsidRPr="00F04A75" w14:paraId="3F6B848D" w14:textId="77777777" w:rsidTr="00020BE8">
        <w:trPr>
          <w:cantSplit/>
        </w:trPr>
        <w:tc>
          <w:tcPr>
            <w:tcW w:w="705" w:type="pct"/>
            <w:vMerge/>
            <w:vAlign w:val="center"/>
          </w:tcPr>
          <w:p w14:paraId="43E8DFA1" w14:textId="77777777" w:rsidR="009C610D" w:rsidRPr="00F04A75" w:rsidRDefault="009C610D" w:rsidP="0016658B">
            <w:pPr>
              <w:pStyle w:val="TableText0"/>
              <w:rPr>
                <w:szCs w:val="20"/>
              </w:rPr>
            </w:pPr>
          </w:p>
        </w:tc>
        <w:tc>
          <w:tcPr>
            <w:tcW w:w="629" w:type="pct"/>
            <w:vMerge/>
            <w:vAlign w:val="center"/>
          </w:tcPr>
          <w:p w14:paraId="57D8092A" w14:textId="77777777" w:rsidR="009C610D" w:rsidRPr="00F04A75" w:rsidRDefault="009C610D" w:rsidP="001060E6">
            <w:pPr>
              <w:pStyle w:val="TableText0"/>
              <w:jc w:val="center"/>
              <w:rPr>
                <w:b/>
                <w:bCs w:val="0"/>
                <w:szCs w:val="20"/>
              </w:rPr>
            </w:pPr>
          </w:p>
        </w:tc>
        <w:tc>
          <w:tcPr>
            <w:tcW w:w="472" w:type="pct"/>
            <w:vAlign w:val="center"/>
          </w:tcPr>
          <w:p w14:paraId="15E47CC2" w14:textId="77777777" w:rsidR="009C610D" w:rsidRPr="00F04A75" w:rsidRDefault="0076010E" w:rsidP="0016658B">
            <w:pPr>
              <w:pStyle w:val="TableText0"/>
              <w:jc w:val="center"/>
              <w:rPr>
                <w:b/>
                <w:bCs w:val="0"/>
                <w:szCs w:val="20"/>
              </w:rPr>
            </w:pPr>
            <w:r w:rsidRPr="00F04A75">
              <w:rPr>
                <w:rFonts w:eastAsia="TimesNewRoman" w:cs="Times New Roman"/>
                <w:b/>
                <w:color w:val="000000"/>
                <w:szCs w:val="20"/>
              </w:rPr>
              <w:t xml:space="preserve">Patients with events, </w:t>
            </w:r>
            <w:r w:rsidR="00020BE8" w:rsidRPr="00F04A75">
              <w:rPr>
                <w:rFonts w:eastAsia="TimesNewRoman" w:cs="Times New Roman"/>
                <w:b/>
                <w:color w:val="000000"/>
                <w:szCs w:val="20"/>
              </w:rPr>
              <w:br/>
            </w:r>
            <w:r w:rsidRPr="00F04A75">
              <w:rPr>
                <w:rFonts w:eastAsia="TimesNewRoman" w:cs="Times New Roman"/>
                <w:b/>
                <w:color w:val="000000"/>
                <w:szCs w:val="20"/>
              </w:rPr>
              <w:t>n (%)</w:t>
            </w:r>
          </w:p>
        </w:tc>
        <w:tc>
          <w:tcPr>
            <w:tcW w:w="550" w:type="pct"/>
            <w:vAlign w:val="center"/>
          </w:tcPr>
          <w:p w14:paraId="7992D28C" w14:textId="77777777" w:rsidR="009C610D" w:rsidRPr="00F04A75" w:rsidRDefault="009C610D" w:rsidP="0016658B">
            <w:pPr>
              <w:pStyle w:val="TableText0"/>
              <w:jc w:val="center"/>
              <w:rPr>
                <w:b/>
                <w:bCs w:val="0"/>
                <w:szCs w:val="20"/>
              </w:rPr>
            </w:pPr>
            <w:r w:rsidRPr="00F04A75">
              <w:rPr>
                <w:b/>
                <w:bCs w:val="0"/>
                <w:szCs w:val="20"/>
              </w:rPr>
              <w:t>Median months (95% CI)</w:t>
            </w:r>
          </w:p>
        </w:tc>
        <w:tc>
          <w:tcPr>
            <w:tcW w:w="471" w:type="pct"/>
            <w:vAlign w:val="center"/>
          </w:tcPr>
          <w:p w14:paraId="10A44E48" w14:textId="77777777" w:rsidR="009C610D" w:rsidRPr="00F04A75" w:rsidRDefault="0076010E" w:rsidP="0016658B">
            <w:pPr>
              <w:pStyle w:val="TableText0"/>
              <w:jc w:val="center"/>
              <w:rPr>
                <w:b/>
                <w:bCs w:val="0"/>
                <w:szCs w:val="20"/>
              </w:rPr>
            </w:pPr>
            <w:r w:rsidRPr="00F04A75">
              <w:rPr>
                <w:rFonts w:eastAsia="TimesNewRoman" w:cs="Times New Roman"/>
                <w:b/>
                <w:color w:val="000000"/>
                <w:szCs w:val="20"/>
              </w:rPr>
              <w:t xml:space="preserve">Patients with events, </w:t>
            </w:r>
            <w:r w:rsidR="00020BE8" w:rsidRPr="00F04A75">
              <w:rPr>
                <w:rFonts w:eastAsia="TimesNewRoman" w:cs="Times New Roman"/>
                <w:b/>
                <w:color w:val="000000"/>
                <w:szCs w:val="20"/>
              </w:rPr>
              <w:br/>
            </w:r>
            <w:r w:rsidRPr="00F04A75">
              <w:rPr>
                <w:rFonts w:eastAsia="TimesNewRoman" w:cs="Times New Roman"/>
                <w:b/>
                <w:color w:val="000000"/>
                <w:szCs w:val="20"/>
              </w:rPr>
              <w:t>n (%)</w:t>
            </w:r>
          </w:p>
        </w:tc>
        <w:tc>
          <w:tcPr>
            <w:tcW w:w="551" w:type="pct"/>
            <w:vAlign w:val="center"/>
          </w:tcPr>
          <w:p w14:paraId="0A5BD8BB" w14:textId="77777777" w:rsidR="009C610D" w:rsidRPr="00F04A75" w:rsidRDefault="009C610D" w:rsidP="0016658B">
            <w:pPr>
              <w:pStyle w:val="TableText0"/>
              <w:jc w:val="center"/>
              <w:rPr>
                <w:b/>
                <w:bCs w:val="0"/>
                <w:szCs w:val="20"/>
              </w:rPr>
            </w:pPr>
            <w:r w:rsidRPr="00F04A75">
              <w:rPr>
                <w:b/>
                <w:bCs w:val="0"/>
                <w:szCs w:val="20"/>
              </w:rPr>
              <w:t>Median months (95% CI)</w:t>
            </w:r>
          </w:p>
        </w:tc>
        <w:tc>
          <w:tcPr>
            <w:tcW w:w="550" w:type="pct"/>
            <w:vMerge/>
            <w:vAlign w:val="center"/>
          </w:tcPr>
          <w:p w14:paraId="009636BC" w14:textId="77777777" w:rsidR="009C610D" w:rsidRPr="00F04A75" w:rsidRDefault="009C610D" w:rsidP="0016658B">
            <w:pPr>
              <w:pStyle w:val="TableText0"/>
              <w:jc w:val="center"/>
              <w:rPr>
                <w:szCs w:val="20"/>
              </w:rPr>
            </w:pPr>
          </w:p>
        </w:tc>
        <w:tc>
          <w:tcPr>
            <w:tcW w:w="460" w:type="pct"/>
            <w:vMerge/>
            <w:vAlign w:val="center"/>
          </w:tcPr>
          <w:p w14:paraId="1DBE71A3" w14:textId="77777777" w:rsidR="009C610D" w:rsidRPr="00F04A75" w:rsidRDefault="009C610D" w:rsidP="0016658B">
            <w:pPr>
              <w:pStyle w:val="TableText0"/>
              <w:jc w:val="center"/>
              <w:rPr>
                <w:szCs w:val="20"/>
              </w:rPr>
            </w:pPr>
          </w:p>
        </w:tc>
        <w:tc>
          <w:tcPr>
            <w:tcW w:w="612" w:type="pct"/>
            <w:vMerge/>
            <w:vAlign w:val="center"/>
          </w:tcPr>
          <w:p w14:paraId="2E1A3B8E" w14:textId="77777777" w:rsidR="009C610D" w:rsidRPr="00F04A75" w:rsidRDefault="009C610D" w:rsidP="0016658B">
            <w:pPr>
              <w:pStyle w:val="TableText0"/>
              <w:jc w:val="center"/>
              <w:rPr>
                <w:szCs w:val="20"/>
              </w:rPr>
            </w:pPr>
          </w:p>
        </w:tc>
      </w:tr>
      <w:tr w:rsidR="001060E6" w:rsidRPr="00F04A75" w14:paraId="26A3DBC0" w14:textId="77777777" w:rsidTr="001060E6">
        <w:trPr>
          <w:cantSplit/>
        </w:trPr>
        <w:tc>
          <w:tcPr>
            <w:tcW w:w="5000" w:type="pct"/>
            <w:gridSpan w:val="9"/>
          </w:tcPr>
          <w:p w14:paraId="1AC8DBC5" w14:textId="77777777" w:rsidR="001060E6" w:rsidRPr="00F04A75" w:rsidRDefault="001060E6" w:rsidP="0016658B">
            <w:pPr>
              <w:pStyle w:val="TableText0"/>
              <w:rPr>
                <w:b/>
                <w:bCs w:val="0"/>
                <w:szCs w:val="20"/>
              </w:rPr>
            </w:pPr>
            <w:r w:rsidRPr="00F04A75">
              <w:rPr>
                <w:b/>
                <w:bCs w:val="0"/>
                <w:szCs w:val="20"/>
              </w:rPr>
              <w:t>PFS</w:t>
            </w:r>
          </w:p>
        </w:tc>
      </w:tr>
      <w:tr w:rsidR="001060E6" w:rsidRPr="00F04A75" w14:paraId="620C1AD4" w14:textId="77777777" w:rsidTr="00020BE8">
        <w:trPr>
          <w:cantSplit/>
        </w:trPr>
        <w:tc>
          <w:tcPr>
            <w:tcW w:w="705" w:type="pct"/>
            <w:shd w:val="clear" w:color="auto" w:fill="B8CCE4" w:themeFill="accent1" w:themeFillTint="66"/>
            <w:vAlign w:val="center"/>
          </w:tcPr>
          <w:p w14:paraId="77321DA7" w14:textId="77777777" w:rsidR="001060E6" w:rsidRPr="00F04A75" w:rsidRDefault="001060E6" w:rsidP="0016658B">
            <w:pPr>
              <w:pStyle w:val="TableText0"/>
              <w:rPr>
                <w:szCs w:val="20"/>
              </w:rPr>
            </w:pPr>
            <w:r w:rsidRPr="00F04A75">
              <w:t>16 Jun</w:t>
            </w:r>
            <w:r w:rsidR="00020BE8" w:rsidRPr="00F04A75">
              <w:t xml:space="preserve"> </w:t>
            </w:r>
            <w:r w:rsidRPr="00F04A75">
              <w:t>2014</w:t>
            </w:r>
            <w:r w:rsidRPr="00F04A75">
              <w:br/>
            </w:r>
            <w:r w:rsidRPr="00F04A75">
              <w:rPr>
                <w:szCs w:val="20"/>
              </w:rPr>
              <w:t xml:space="preserve">IRC </w:t>
            </w:r>
          </w:p>
        </w:tc>
        <w:tc>
          <w:tcPr>
            <w:tcW w:w="629" w:type="pct"/>
            <w:shd w:val="clear" w:color="auto" w:fill="B8CCE4" w:themeFill="accent1" w:themeFillTint="66"/>
            <w:vAlign w:val="center"/>
          </w:tcPr>
          <w:p w14:paraId="58A885C1" w14:textId="77777777" w:rsidR="001060E6" w:rsidRPr="00F04A75" w:rsidRDefault="001060E6" w:rsidP="001060E6">
            <w:pPr>
              <w:pStyle w:val="TableText0"/>
              <w:jc w:val="center"/>
              <w:rPr>
                <w:rFonts w:cstheme="minorHAnsi"/>
                <w:szCs w:val="20"/>
              </w:rPr>
            </w:pPr>
            <w:r w:rsidRPr="00F04A75">
              <w:rPr>
                <w:rFonts w:cstheme="minorHAnsi"/>
                <w:szCs w:val="20"/>
              </w:rPr>
              <w:t>31</w:t>
            </w:r>
          </w:p>
        </w:tc>
        <w:tc>
          <w:tcPr>
            <w:tcW w:w="472" w:type="pct"/>
            <w:shd w:val="clear" w:color="auto" w:fill="B8CCE4" w:themeFill="accent1" w:themeFillTint="66"/>
            <w:vAlign w:val="center"/>
          </w:tcPr>
          <w:p w14:paraId="54202124" w14:textId="77777777" w:rsidR="001060E6" w:rsidRPr="00F04A75" w:rsidRDefault="001060E6" w:rsidP="001060E6">
            <w:pPr>
              <w:pStyle w:val="TableText0"/>
              <w:jc w:val="center"/>
              <w:rPr>
                <w:szCs w:val="20"/>
              </w:rPr>
            </w:pPr>
            <w:r w:rsidRPr="00F04A75">
              <w:rPr>
                <w:rFonts w:cstheme="minorHAnsi"/>
                <w:szCs w:val="20"/>
              </w:rPr>
              <w:t>207 (52.3%)</w:t>
            </w:r>
          </w:p>
        </w:tc>
        <w:tc>
          <w:tcPr>
            <w:tcW w:w="550" w:type="pct"/>
            <w:shd w:val="clear" w:color="auto" w:fill="B8CCE4" w:themeFill="accent1" w:themeFillTint="66"/>
            <w:vAlign w:val="center"/>
          </w:tcPr>
          <w:p w14:paraId="6FA44EB9" w14:textId="77777777" w:rsidR="001060E6" w:rsidRPr="00F04A75" w:rsidRDefault="001060E6" w:rsidP="001060E6">
            <w:pPr>
              <w:pStyle w:val="TableText0"/>
              <w:jc w:val="center"/>
              <w:rPr>
                <w:szCs w:val="20"/>
              </w:rPr>
            </w:pPr>
            <w:r w:rsidRPr="00F04A75">
              <w:rPr>
                <w:rFonts w:cstheme="minorHAnsi"/>
                <w:szCs w:val="20"/>
              </w:rPr>
              <w:t>26.3 (23.3,</w:t>
            </w:r>
            <w:r w:rsidRPr="00F04A75">
              <w:rPr>
                <w:rFonts w:ascii="Arial" w:hAnsi="Arial" w:cs="Arial"/>
                <w:szCs w:val="20"/>
              </w:rPr>
              <w:t> </w:t>
            </w:r>
            <w:r w:rsidRPr="00F04A75">
              <w:rPr>
                <w:rFonts w:cstheme="minorHAnsi"/>
                <w:szCs w:val="20"/>
              </w:rPr>
              <w:t>30.5)</w:t>
            </w:r>
          </w:p>
        </w:tc>
        <w:tc>
          <w:tcPr>
            <w:tcW w:w="471" w:type="pct"/>
            <w:shd w:val="clear" w:color="auto" w:fill="B8CCE4" w:themeFill="accent1" w:themeFillTint="66"/>
            <w:vAlign w:val="center"/>
          </w:tcPr>
          <w:p w14:paraId="0D6CF796" w14:textId="77777777" w:rsidR="001060E6" w:rsidRPr="00F04A75" w:rsidRDefault="001060E6" w:rsidP="001060E6">
            <w:pPr>
              <w:pStyle w:val="TableText0"/>
              <w:jc w:val="center"/>
              <w:rPr>
                <w:szCs w:val="20"/>
              </w:rPr>
            </w:pPr>
            <w:r w:rsidRPr="00F04A75">
              <w:rPr>
                <w:rFonts w:cstheme="minorHAnsi"/>
                <w:szCs w:val="20"/>
              </w:rPr>
              <w:t>224 (56.6%)</w:t>
            </w:r>
          </w:p>
        </w:tc>
        <w:tc>
          <w:tcPr>
            <w:tcW w:w="551" w:type="pct"/>
            <w:shd w:val="clear" w:color="auto" w:fill="B8CCE4" w:themeFill="accent1" w:themeFillTint="66"/>
            <w:vAlign w:val="center"/>
          </w:tcPr>
          <w:p w14:paraId="2862EA05" w14:textId="77777777" w:rsidR="001060E6" w:rsidRPr="00F04A75" w:rsidRDefault="001060E6" w:rsidP="001060E6">
            <w:pPr>
              <w:jc w:val="center"/>
              <w:rPr>
                <w:rFonts w:ascii="Arial Narrow" w:hAnsi="Arial Narrow" w:cstheme="minorHAnsi"/>
                <w:sz w:val="20"/>
                <w:szCs w:val="20"/>
              </w:rPr>
            </w:pPr>
            <w:r w:rsidRPr="00F04A75">
              <w:rPr>
                <w:rFonts w:ascii="Arial Narrow" w:hAnsi="Arial Narrow" w:cstheme="minorHAnsi"/>
                <w:sz w:val="20"/>
                <w:szCs w:val="20"/>
              </w:rPr>
              <w:t>17.6</w:t>
            </w:r>
          </w:p>
          <w:p w14:paraId="75B881F4" w14:textId="77777777" w:rsidR="001060E6" w:rsidRPr="00F04A75" w:rsidRDefault="001060E6" w:rsidP="001060E6">
            <w:pPr>
              <w:pStyle w:val="TableText0"/>
              <w:jc w:val="center"/>
              <w:rPr>
                <w:szCs w:val="20"/>
              </w:rPr>
            </w:pPr>
            <w:r w:rsidRPr="00F04A75">
              <w:rPr>
                <w:rFonts w:cstheme="minorHAnsi"/>
                <w:szCs w:val="20"/>
              </w:rPr>
              <w:t>(15.0, 20.6)</w:t>
            </w:r>
          </w:p>
        </w:tc>
        <w:tc>
          <w:tcPr>
            <w:tcW w:w="550" w:type="pct"/>
            <w:shd w:val="clear" w:color="auto" w:fill="B8CCE4" w:themeFill="accent1" w:themeFillTint="66"/>
            <w:vAlign w:val="center"/>
          </w:tcPr>
          <w:p w14:paraId="425E5A10" w14:textId="77777777" w:rsidR="001060E6" w:rsidRPr="00F04A75" w:rsidRDefault="001060E6" w:rsidP="001060E6">
            <w:pPr>
              <w:pStyle w:val="TableText0"/>
              <w:jc w:val="center"/>
              <w:rPr>
                <w:szCs w:val="20"/>
              </w:rPr>
            </w:pPr>
            <w:r w:rsidRPr="00F04A75">
              <w:rPr>
                <w:rFonts w:cstheme="minorHAnsi"/>
                <w:szCs w:val="20"/>
              </w:rPr>
              <w:t>8.7</w:t>
            </w:r>
          </w:p>
        </w:tc>
        <w:tc>
          <w:tcPr>
            <w:tcW w:w="460" w:type="pct"/>
            <w:shd w:val="clear" w:color="auto" w:fill="B8CCE4" w:themeFill="accent1" w:themeFillTint="66"/>
            <w:vAlign w:val="center"/>
          </w:tcPr>
          <w:p w14:paraId="38B1EB5C" w14:textId="77777777" w:rsidR="001060E6" w:rsidRPr="00F04A75" w:rsidRDefault="001060E6" w:rsidP="001060E6">
            <w:pPr>
              <w:pStyle w:val="TableText0"/>
              <w:jc w:val="center"/>
              <w:rPr>
                <w:szCs w:val="20"/>
              </w:rPr>
            </w:pPr>
            <w:r w:rsidRPr="00F04A75">
              <w:rPr>
                <w:rFonts w:cstheme="minorHAnsi"/>
                <w:szCs w:val="20"/>
              </w:rPr>
              <w:t>&lt;0.0001</w:t>
            </w:r>
          </w:p>
        </w:tc>
        <w:tc>
          <w:tcPr>
            <w:tcW w:w="612" w:type="pct"/>
            <w:shd w:val="clear" w:color="auto" w:fill="B8CCE4" w:themeFill="accent1" w:themeFillTint="66"/>
            <w:vAlign w:val="center"/>
          </w:tcPr>
          <w:p w14:paraId="1C9EF035" w14:textId="77777777" w:rsidR="001060E6" w:rsidRPr="00F04A75" w:rsidRDefault="001060E6" w:rsidP="001060E6">
            <w:pPr>
              <w:jc w:val="center"/>
              <w:rPr>
                <w:rFonts w:ascii="Arial Narrow" w:hAnsi="Arial Narrow" w:cstheme="minorHAnsi"/>
                <w:b/>
                <w:sz w:val="20"/>
                <w:szCs w:val="20"/>
              </w:rPr>
            </w:pPr>
            <w:r w:rsidRPr="00F04A75">
              <w:rPr>
                <w:rFonts w:ascii="Arial Narrow" w:hAnsi="Arial Narrow" w:cstheme="minorHAnsi"/>
                <w:b/>
                <w:sz w:val="20"/>
                <w:szCs w:val="20"/>
              </w:rPr>
              <w:t>0.69</w:t>
            </w:r>
          </w:p>
          <w:p w14:paraId="1871D52F" w14:textId="77777777" w:rsidR="001060E6" w:rsidRPr="00F04A75" w:rsidRDefault="001060E6" w:rsidP="001060E6">
            <w:pPr>
              <w:pStyle w:val="TableText0"/>
              <w:jc w:val="center"/>
              <w:rPr>
                <w:b/>
                <w:szCs w:val="20"/>
              </w:rPr>
            </w:pPr>
            <w:r w:rsidRPr="00F04A75">
              <w:rPr>
                <w:rFonts w:cstheme="minorHAnsi"/>
                <w:b/>
                <w:szCs w:val="20"/>
              </w:rPr>
              <w:t>(0.57, 0.83)</w:t>
            </w:r>
          </w:p>
        </w:tc>
      </w:tr>
      <w:tr w:rsidR="001060E6" w:rsidRPr="00F04A75" w14:paraId="5A9CE828" w14:textId="77777777" w:rsidTr="00020BE8">
        <w:trPr>
          <w:cantSplit/>
        </w:trPr>
        <w:tc>
          <w:tcPr>
            <w:tcW w:w="705" w:type="pct"/>
            <w:vAlign w:val="center"/>
          </w:tcPr>
          <w:p w14:paraId="056E1E0C" w14:textId="77777777" w:rsidR="001060E6" w:rsidRPr="00F04A75" w:rsidRDefault="001060E6" w:rsidP="0016658B">
            <w:pPr>
              <w:pStyle w:val="TableText0"/>
              <w:rPr>
                <w:szCs w:val="20"/>
              </w:rPr>
            </w:pPr>
            <w:r w:rsidRPr="00F04A75">
              <w:t>16 Jun 2014</w:t>
            </w:r>
            <w:r w:rsidRPr="00F04A75">
              <w:br/>
            </w:r>
            <w:r w:rsidRPr="00F04A75">
              <w:rPr>
                <w:szCs w:val="20"/>
              </w:rPr>
              <w:t>INV Interim analysis</w:t>
            </w:r>
          </w:p>
        </w:tc>
        <w:tc>
          <w:tcPr>
            <w:tcW w:w="629" w:type="pct"/>
            <w:vAlign w:val="center"/>
          </w:tcPr>
          <w:p w14:paraId="6C835C77" w14:textId="77777777" w:rsidR="001060E6" w:rsidRPr="00F04A75" w:rsidRDefault="001060E6" w:rsidP="001060E6">
            <w:pPr>
              <w:pStyle w:val="TableText0"/>
              <w:jc w:val="center"/>
              <w:rPr>
                <w:rFonts w:cstheme="minorHAnsi"/>
                <w:szCs w:val="20"/>
              </w:rPr>
            </w:pPr>
            <w:r w:rsidRPr="00F04A75">
              <w:rPr>
                <w:rFonts w:cstheme="minorHAnsi"/>
                <w:szCs w:val="20"/>
              </w:rPr>
              <w:t>31</w:t>
            </w:r>
          </w:p>
        </w:tc>
        <w:tc>
          <w:tcPr>
            <w:tcW w:w="472" w:type="pct"/>
            <w:vAlign w:val="center"/>
          </w:tcPr>
          <w:p w14:paraId="067F4495" w14:textId="77777777" w:rsidR="001060E6" w:rsidRPr="00F04A75" w:rsidRDefault="001060E6" w:rsidP="001060E6">
            <w:pPr>
              <w:pStyle w:val="TableText0"/>
              <w:jc w:val="center"/>
              <w:rPr>
                <w:szCs w:val="20"/>
              </w:rPr>
            </w:pPr>
            <w:r w:rsidRPr="00F04A75">
              <w:rPr>
                <w:rFonts w:cstheme="minorHAnsi"/>
                <w:szCs w:val="20"/>
              </w:rPr>
              <w:t>209 (52.8%)</w:t>
            </w:r>
          </w:p>
        </w:tc>
        <w:tc>
          <w:tcPr>
            <w:tcW w:w="550" w:type="pct"/>
            <w:vAlign w:val="center"/>
          </w:tcPr>
          <w:p w14:paraId="5B76CBA3" w14:textId="77777777" w:rsidR="001060E6" w:rsidRPr="00F04A75" w:rsidRDefault="001060E6" w:rsidP="001060E6">
            <w:pPr>
              <w:jc w:val="center"/>
              <w:rPr>
                <w:rFonts w:ascii="Arial Narrow" w:hAnsi="Arial Narrow" w:cstheme="minorHAnsi"/>
                <w:sz w:val="20"/>
                <w:szCs w:val="20"/>
              </w:rPr>
            </w:pPr>
            <w:r w:rsidRPr="00F04A75">
              <w:rPr>
                <w:rFonts w:ascii="Arial Narrow" w:hAnsi="Arial Narrow" w:cstheme="minorHAnsi"/>
                <w:sz w:val="20"/>
                <w:szCs w:val="20"/>
              </w:rPr>
              <w:t>26.1</w:t>
            </w:r>
          </w:p>
          <w:p w14:paraId="776F1F4D" w14:textId="77777777" w:rsidR="001060E6" w:rsidRPr="00F04A75" w:rsidRDefault="001060E6" w:rsidP="001060E6">
            <w:pPr>
              <w:pStyle w:val="TableText0"/>
              <w:jc w:val="center"/>
              <w:rPr>
                <w:szCs w:val="20"/>
              </w:rPr>
            </w:pPr>
            <w:r w:rsidRPr="00F04A75">
              <w:rPr>
                <w:rFonts w:cstheme="minorHAnsi"/>
                <w:szCs w:val="20"/>
              </w:rPr>
              <w:t>(23.2, 29.7)</w:t>
            </w:r>
          </w:p>
        </w:tc>
        <w:tc>
          <w:tcPr>
            <w:tcW w:w="471" w:type="pct"/>
            <w:vAlign w:val="center"/>
          </w:tcPr>
          <w:p w14:paraId="7D10CD2C" w14:textId="77777777" w:rsidR="001060E6" w:rsidRPr="00F04A75" w:rsidRDefault="001060E6" w:rsidP="001060E6">
            <w:pPr>
              <w:pStyle w:val="TableText0"/>
              <w:jc w:val="center"/>
              <w:rPr>
                <w:szCs w:val="20"/>
              </w:rPr>
            </w:pPr>
            <w:r w:rsidRPr="00F04A75">
              <w:rPr>
                <w:rFonts w:cstheme="minorHAnsi"/>
                <w:szCs w:val="20"/>
              </w:rPr>
              <w:t>240 (60.6%)</w:t>
            </w:r>
          </w:p>
        </w:tc>
        <w:tc>
          <w:tcPr>
            <w:tcW w:w="551" w:type="pct"/>
            <w:vAlign w:val="center"/>
          </w:tcPr>
          <w:p w14:paraId="089C0919" w14:textId="77777777" w:rsidR="001060E6" w:rsidRPr="00F04A75" w:rsidRDefault="001060E6" w:rsidP="001060E6">
            <w:pPr>
              <w:jc w:val="center"/>
              <w:rPr>
                <w:rFonts w:ascii="Arial Narrow" w:hAnsi="Arial Narrow" w:cstheme="minorHAnsi"/>
                <w:sz w:val="20"/>
                <w:szCs w:val="20"/>
              </w:rPr>
            </w:pPr>
            <w:r w:rsidRPr="00F04A75">
              <w:rPr>
                <w:rFonts w:ascii="Arial Narrow" w:hAnsi="Arial Narrow" w:cstheme="minorHAnsi"/>
                <w:sz w:val="20"/>
                <w:szCs w:val="20"/>
              </w:rPr>
              <w:t>16.6</w:t>
            </w:r>
          </w:p>
          <w:p w14:paraId="6515BE26" w14:textId="77777777" w:rsidR="001060E6" w:rsidRPr="00F04A75" w:rsidRDefault="001060E6" w:rsidP="001060E6">
            <w:pPr>
              <w:pStyle w:val="TableText0"/>
              <w:jc w:val="center"/>
              <w:rPr>
                <w:szCs w:val="20"/>
              </w:rPr>
            </w:pPr>
            <w:r w:rsidRPr="00F04A75">
              <w:rPr>
                <w:rFonts w:cstheme="minorHAnsi"/>
                <w:szCs w:val="20"/>
              </w:rPr>
              <w:t>(14.5, 19.4)</w:t>
            </w:r>
          </w:p>
        </w:tc>
        <w:tc>
          <w:tcPr>
            <w:tcW w:w="550" w:type="pct"/>
            <w:vAlign w:val="center"/>
          </w:tcPr>
          <w:p w14:paraId="0E2CAF3E" w14:textId="77777777" w:rsidR="001060E6" w:rsidRPr="00F04A75" w:rsidRDefault="001060E6" w:rsidP="001060E6">
            <w:pPr>
              <w:pStyle w:val="TableText0"/>
              <w:jc w:val="center"/>
              <w:rPr>
                <w:szCs w:val="20"/>
              </w:rPr>
            </w:pPr>
            <w:r w:rsidRPr="00F04A75">
              <w:rPr>
                <w:rFonts w:cstheme="minorHAnsi"/>
                <w:szCs w:val="20"/>
              </w:rPr>
              <w:t>9.5</w:t>
            </w:r>
          </w:p>
        </w:tc>
        <w:tc>
          <w:tcPr>
            <w:tcW w:w="460" w:type="pct"/>
            <w:vAlign w:val="center"/>
          </w:tcPr>
          <w:p w14:paraId="634BA587" w14:textId="77777777" w:rsidR="001060E6" w:rsidRPr="00F04A75" w:rsidRDefault="001060E6" w:rsidP="001060E6">
            <w:pPr>
              <w:pStyle w:val="TableText0"/>
              <w:jc w:val="center"/>
              <w:rPr>
                <w:szCs w:val="20"/>
              </w:rPr>
            </w:pPr>
            <w:r w:rsidRPr="00F04A75">
              <w:rPr>
                <w:rFonts w:cstheme="minorHAnsi"/>
                <w:szCs w:val="20"/>
              </w:rPr>
              <w:t>&lt;0.0001</w:t>
            </w:r>
          </w:p>
        </w:tc>
        <w:tc>
          <w:tcPr>
            <w:tcW w:w="612" w:type="pct"/>
            <w:vAlign w:val="center"/>
          </w:tcPr>
          <w:p w14:paraId="681A1B3C" w14:textId="77777777" w:rsidR="001060E6" w:rsidRPr="00F04A75" w:rsidRDefault="001060E6" w:rsidP="001060E6">
            <w:pPr>
              <w:jc w:val="center"/>
              <w:rPr>
                <w:rFonts w:ascii="Arial Narrow" w:hAnsi="Arial Narrow" w:cstheme="minorHAnsi"/>
                <w:b/>
                <w:sz w:val="20"/>
                <w:szCs w:val="20"/>
              </w:rPr>
            </w:pPr>
            <w:r w:rsidRPr="00F04A75">
              <w:rPr>
                <w:rFonts w:ascii="Arial Narrow" w:hAnsi="Arial Narrow" w:cstheme="minorHAnsi"/>
                <w:b/>
                <w:sz w:val="20"/>
                <w:szCs w:val="20"/>
              </w:rPr>
              <w:t>0.65</w:t>
            </w:r>
          </w:p>
          <w:p w14:paraId="4C93BBEA" w14:textId="77777777" w:rsidR="001060E6" w:rsidRPr="00F04A75" w:rsidRDefault="001060E6" w:rsidP="001060E6">
            <w:pPr>
              <w:pStyle w:val="TableText0"/>
              <w:jc w:val="center"/>
              <w:rPr>
                <w:b/>
                <w:szCs w:val="20"/>
              </w:rPr>
            </w:pPr>
            <w:r w:rsidRPr="00F04A75">
              <w:rPr>
                <w:rFonts w:cstheme="minorHAnsi"/>
                <w:b/>
                <w:szCs w:val="20"/>
              </w:rPr>
              <w:t>(0.54, 0.76)</w:t>
            </w:r>
          </w:p>
        </w:tc>
      </w:tr>
      <w:tr w:rsidR="001060E6" w:rsidRPr="00F04A75" w14:paraId="2E8D1894" w14:textId="77777777" w:rsidTr="00020BE8">
        <w:trPr>
          <w:cantSplit/>
        </w:trPr>
        <w:tc>
          <w:tcPr>
            <w:tcW w:w="705" w:type="pct"/>
            <w:vAlign w:val="center"/>
          </w:tcPr>
          <w:p w14:paraId="508332CD" w14:textId="77777777" w:rsidR="001060E6" w:rsidRPr="00F04A75" w:rsidRDefault="001060E6" w:rsidP="0016658B">
            <w:pPr>
              <w:pStyle w:val="TableText0"/>
              <w:rPr>
                <w:szCs w:val="20"/>
              </w:rPr>
            </w:pPr>
            <w:r w:rsidRPr="00F04A75">
              <w:t>28 Apr 2017</w:t>
            </w:r>
            <w:r w:rsidRPr="00F04A75">
              <w:br/>
            </w:r>
            <w:r w:rsidRPr="00F04A75">
              <w:rPr>
                <w:szCs w:val="20"/>
              </w:rPr>
              <w:t>INV Final analysis</w:t>
            </w:r>
          </w:p>
        </w:tc>
        <w:tc>
          <w:tcPr>
            <w:tcW w:w="629" w:type="pct"/>
            <w:vAlign w:val="center"/>
          </w:tcPr>
          <w:p w14:paraId="5440CE5E" w14:textId="77777777" w:rsidR="001060E6" w:rsidRPr="00F04A75" w:rsidRDefault="001060E6" w:rsidP="001060E6">
            <w:pPr>
              <w:pStyle w:val="TableText0"/>
              <w:jc w:val="center"/>
              <w:rPr>
                <w:rFonts w:cstheme="minorHAnsi"/>
                <w:szCs w:val="20"/>
              </w:rPr>
            </w:pPr>
            <w:r w:rsidRPr="00F04A75">
              <w:rPr>
                <w:rFonts w:cstheme="minorHAnsi"/>
                <w:szCs w:val="20"/>
              </w:rPr>
              <w:t>67</w:t>
            </w:r>
          </w:p>
        </w:tc>
        <w:tc>
          <w:tcPr>
            <w:tcW w:w="472" w:type="pct"/>
            <w:vAlign w:val="center"/>
          </w:tcPr>
          <w:p w14:paraId="5539DB91" w14:textId="77777777" w:rsidR="001060E6" w:rsidRPr="00F04A75" w:rsidRDefault="001060E6" w:rsidP="001060E6">
            <w:pPr>
              <w:pStyle w:val="TableText0"/>
              <w:jc w:val="center"/>
              <w:rPr>
                <w:szCs w:val="20"/>
              </w:rPr>
            </w:pPr>
            <w:r w:rsidRPr="00F04A75">
              <w:rPr>
                <w:rFonts w:cstheme="minorHAnsi"/>
                <w:szCs w:val="20"/>
              </w:rPr>
              <w:t>244 (61.6%)</w:t>
            </w:r>
          </w:p>
        </w:tc>
        <w:tc>
          <w:tcPr>
            <w:tcW w:w="550" w:type="pct"/>
            <w:vAlign w:val="center"/>
          </w:tcPr>
          <w:p w14:paraId="27A92757" w14:textId="77777777" w:rsidR="001060E6" w:rsidRPr="00F04A75" w:rsidRDefault="001060E6" w:rsidP="001060E6">
            <w:pPr>
              <w:jc w:val="center"/>
              <w:rPr>
                <w:rFonts w:ascii="Arial Narrow" w:hAnsi="Arial Narrow" w:cstheme="minorHAnsi"/>
                <w:sz w:val="20"/>
                <w:szCs w:val="20"/>
              </w:rPr>
            </w:pPr>
            <w:r w:rsidRPr="00F04A75">
              <w:rPr>
                <w:rFonts w:ascii="Arial Narrow" w:hAnsi="Arial Narrow" w:cstheme="minorHAnsi"/>
                <w:sz w:val="20"/>
                <w:szCs w:val="20"/>
              </w:rPr>
              <w:t>26.1</w:t>
            </w:r>
          </w:p>
          <w:p w14:paraId="1F56EA08" w14:textId="77777777" w:rsidR="001060E6" w:rsidRPr="00F04A75" w:rsidRDefault="001060E6" w:rsidP="001060E6">
            <w:pPr>
              <w:pStyle w:val="TableText0"/>
              <w:jc w:val="center"/>
              <w:rPr>
                <w:szCs w:val="20"/>
              </w:rPr>
            </w:pPr>
            <w:r w:rsidRPr="00F04A75">
              <w:rPr>
                <w:rFonts w:cstheme="minorHAnsi"/>
                <w:szCs w:val="20"/>
              </w:rPr>
              <w:t>(23.2, 30.3)</w:t>
            </w:r>
          </w:p>
        </w:tc>
        <w:tc>
          <w:tcPr>
            <w:tcW w:w="471" w:type="pct"/>
            <w:vAlign w:val="center"/>
          </w:tcPr>
          <w:p w14:paraId="645CFBF0" w14:textId="77777777" w:rsidR="001060E6" w:rsidRPr="00F04A75" w:rsidRDefault="001060E6" w:rsidP="001060E6">
            <w:pPr>
              <w:pStyle w:val="TableText0"/>
              <w:jc w:val="center"/>
              <w:rPr>
                <w:szCs w:val="20"/>
              </w:rPr>
            </w:pPr>
            <w:r w:rsidRPr="00F04A75">
              <w:rPr>
                <w:rFonts w:cstheme="minorHAnsi"/>
                <w:szCs w:val="20"/>
              </w:rPr>
              <w:t>272 (68.7%)</w:t>
            </w:r>
          </w:p>
        </w:tc>
        <w:tc>
          <w:tcPr>
            <w:tcW w:w="551" w:type="pct"/>
            <w:vAlign w:val="center"/>
          </w:tcPr>
          <w:p w14:paraId="5E3A0785" w14:textId="77777777" w:rsidR="001060E6" w:rsidRPr="00F04A75" w:rsidRDefault="001060E6" w:rsidP="001060E6">
            <w:pPr>
              <w:jc w:val="center"/>
              <w:rPr>
                <w:rFonts w:ascii="Arial Narrow" w:hAnsi="Arial Narrow" w:cstheme="minorHAnsi"/>
                <w:sz w:val="20"/>
                <w:szCs w:val="20"/>
              </w:rPr>
            </w:pPr>
            <w:r w:rsidRPr="00F04A75">
              <w:rPr>
                <w:rFonts w:ascii="Arial Narrow" w:hAnsi="Arial Narrow" w:cstheme="minorHAnsi"/>
                <w:sz w:val="20"/>
                <w:szCs w:val="20"/>
              </w:rPr>
              <w:t>16.6</w:t>
            </w:r>
          </w:p>
          <w:p w14:paraId="733F5148" w14:textId="77777777" w:rsidR="001060E6" w:rsidRPr="00F04A75" w:rsidRDefault="001060E6" w:rsidP="001060E6">
            <w:pPr>
              <w:pStyle w:val="TableText0"/>
              <w:jc w:val="center"/>
              <w:rPr>
                <w:szCs w:val="20"/>
              </w:rPr>
            </w:pPr>
            <w:r w:rsidRPr="00F04A75">
              <w:rPr>
                <w:rFonts w:cstheme="minorHAnsi"/>
                <w:szCs w:val="20"/>
              </w:rPr>
              <w:t>(14.5, 19.4)</w:t>
            </w:r>
          </w:p>
        </w:tc>
        <w:tc>
          <w:tcPr>
            <w:tcW w:w="550" w:type="pct"/>
            <w:vAlign w:val="center"/>
          </w:tcPr>
          <w:p w14:paraId="5F1E1A6F" w14:textId="77777777" w:rsidR="001060E6" w:rsidRPr="00F04A75" w:rsidRDefault="001060E6" w:rsidP="001060E6">
            <w:pPr>
              <w:pStyle w:val="TableText0"/>
              <w:jc w:val="center"/>
              <w:rPr>
                <w:szCs w:val="20"/>
              </w:rPr>
            </w:pPr>
            <w:r w:rsidRPr="00F04A75">
              <w:rPr>
                <w:rFonts w:cstheme="minorHAnsi"/>
                <w:szCs w:val="20"/>
              </w:rPr>
              <w:t>9.5</w:t>
            </w:r>
          </w:p>
        </w:tc>
        <w:tc>
          <w:tcPr>
            <w:tcW w:w="460" w:type="pct"/>
            <w:vAlign w:val="center"/>
          </w:tcPr>
          <w:p w14:paraId="20E90817" w14:textId="77777777" w:rsidR="001060E6" w:rsidRPr="00F04A75" w:rsidRDefault="001060E6" w:rsidP="001060E6">
            <w:pPr>
              <w:pStyle w:val="TableText0"/>
              <w:jc w:val="center"/>
              <w:rPr>
                <w:szCs w:val="20"/>
              </w:rPr>
            </w:pPr>
            <w:r w:rsidRPr="00F04A75">
              <w:rPr>
                <w:rFonts w:cstheme="minorHAnsi"/>
                <w:szCs w:val="20"/>
              </w:rPr>
              <w:t>&lt;0.001</w:t>
            </w:r>
          </w:p>
        </w:tc>
        <w:tc>
          <w:tcPr>
            <w:tcW w:w="612" w:type="pct"/>
            <w:vAlign w:val="center"/>
          </w:tcPr>
          <w:p w14:paraId="26E8262F" w14:textId="77777777" w:rsidR="001060E6" w:rsidRPr="00F04A75" w:rsidRDefault="001060E6" w:rsidP="001060E6">
            <w:pPr>
              <w:jc w:val="center"/>
              <w:rPr>
                <w:rFonts w:ascii="Arial Narrow" w:hAnsi="Arial Narrow" w:cstheme="minorHAnsi"/>
                <w:b/>
                <w:sz w:val="20"/>
                <w:szCs w:val="20"/>
              </w:rPr>
            </w:pPr>
            <w:r w:rsidRPr="00F04A75">
              <w:rPr>
                <w:rFonts w:ascii="Arial Narrow" w:hAnsi="Arial Narrow" w:cstheme="minorHAnsi"/>
                <w:b/>
                <w:sz w:val="20"/>
                <w:szCs w:val="20"/>
              </w:rPr>
              <w:t>0.66</w:t>
            </w:r>
          </w:p>
          <w:p w14:paraId="330DAC05" w14:textId="77777777" w:rsidR="001060E6" w:rsidRPr="00F04A75" w:rsidRDefault="001060E6" w:rsidP="001060E6">
            <w:pPr>
              <w:pStyle w:val="TableText0"/>
              <w:jc w:val="center"/>
              <w:rPr>
                <w:b/>
                <w:szCs w:val="20"/>
              </w:rPr>
            </w:pPr>
            <w:r w:rsidRPr="00F04A75">
              <w:rPr>
                <w:rFonts w:cstheme="minorHAnsi"/>
                <w:b/>
                <w:szCs w:val="20"/>
              </w:rPr>
              <w:t>(0.55, 0.78)</w:t>
            </w:r>
          </w:p>
        </w:tc>
      </w:tr>
      <w:tr w:rsidR="001060E6" w:rsidRPr="00F04A75" w14:paraId="48A9B784" w14:textId="77777777" w:rsidTr="001060E6">
        <w:trPr>
          <w:cantSplit/>
        </w:trPr>
        <w:tc>
          <w:tcPr>
            <w:tcW w:w="5000" w:type="pct"/>
            <w:gridSpan w:val="9"/>
            <w:vAlign w:val="center"/>
          </w:tcPr>
          <w:p w14:paraId="75F4BAA8" w14:textId="77777777" w:rsidR="001060E6" w:rsidRPr="00F04A75" w:rsidRDefault="001060E6" w:rsidP="00BA4F43">
            <w:pPr>
              <w:pStyle w:val="TableText0"/>
              <w:rPr>
                <w:b/>
                <w:bCs w:val="0"/>
                <w:szCs w:val="20"/>
              </w:rPr>
            </w:pPr>
            <w:r w:rsidRPr="00F04A75">
              <w:rPr>
                <w:b/>
                <w:bCs w:val="0"/>
                <w:szCs w:val="20"/>
              </w:rPr>
              <w:t>OS</w:t>
            </w:r>
          </w:p>
        </w:tc>
      </w:tr>
      <w:tr w:rsidR="001060E6" w:rsidRPr="00F04A75" w14:paraId="7FD3B357" w14:textId="77777777" w:rsidTr="00020BE8">
        <w:trPr>
          <w:cantSplit/>
        </w:trPr>
        <w:tc>
          <w:tcPr>
            <w:tcW w:w="705" w:type="pct"/>
            <w:shd w:val="clear" w:color="auto" w:fill="B8CCE4" w:themeFill="accent1" w:themeFillTint="66"/>
            <w:vAlign w:val="center"/>
          </w:tcPr>
          <w:p w14:paraId="31F21FCA" w14:textId="77777777" w:rsidR="001060E6" w:rsidRPr="00F04A75" w:rsidRDefault="001060E6" w:rsidP="0016658B">
            <w:pPr>
              <w:pStyle w:val="TableText0"/>
              <w:rPr>
                <w:szCs w:val="20"/>
              </w:rPr>
            </w:pPr>
            <w:r w:rsidRPr="00F04A75">
              <w:t>16 Jun 2014</w:t>
            </w:r>
            <w:r w:rsidRPr="00F04A75">
              <w:br/>
            </w:r>
            <w:r w:rsidRPr="00F04A75">
              <w:rPr>
                <w:szCs w:val="20"/>
              </w:rPr>
              <w:t>Interim analysis</w:t>
            </w:r>
          </w:p>
        </w:tc>
        <w:tc>
          <w:tcPr>
            <w:tcW w:w="629" w:type="pct"/>
            <w:shd w:val="clear" w:color="auto" w:fill="B8CCE4" w:themeFill="accent1" w:themeFillTint="66"/>
            <w:vAlign w:val="center"/>
          </w:tcPr>
          <w:p w14:paraId="30BA643F" w14:textId="77777777" w:rsidR="001060E6" w:rsidRPr="00F04A75" w:rsidRDefault="001060E6" w:rsidP="001060E6">
            <w:pPr>
              <w:pStyle w:val="TableText0"/>
              <w:jc w:val="center"/>
              <w:rPr>
                <w:rFonts w:cstheme="minorHAnsi"/>
                <w:szCs w:val="20"/>
              </w:rPr>
            </w:pPr>
            <w:r w:rsidRPr="00F04A75">
              <w:rPr>
                <w:rFonts w:cstheme="minorHAnsi"/>
                <w:szCs w:val="20"/>
              </w:rPr>
              <w:t>32</w:t>
            </w:r>
          </w:p>
        </w:tc>
        <w:tc>
          <w:tcPr>
            <w:tcW w:w="472" w:type="pct"/>
            <w:shd w:val="clear" w:color="auto" w:fill="B8CCE4" w:themeFill="accent1" w:themeFillTint="66"/>
            <w:vAlign w:val="center"/>
          </w:tcPr>
          <w:p w14:paraId="79A492E2" w14:textId="77777777" w:rsidR="001060E6" w:rsidRPr="00F04A75" w:rsidRDefault="001060E6" w:rsidP="001060E6">
            <w:pPr>
              <w:pStyle w:val="TableText0"/>
              <w:jc w:val="center"/>
              <w:rPr>
                <w:szCs w:val="20"/>
              </w:rPr>
            </w:pPr>
            <w:r w:rsidRPr="00F04A75">
              <w:rPr>
                <w:rFonts w:cstheme="minorHAnsi"/>
                <w:szCs w:val="20"/>
              </w:rPr>
              <w:t>143 (36.1%)</w:t>
            </w:r>
          </w:p>
        </w:tc>
        <w:tc>
          <w:tcPr>
            <w:tcW w:w="550" w:type="pct"/>
            <w:shd w:val="clear" w:color="auto" w:fill="B8CCE4" w:themeFill="accent1" w:themeFillTint="66"/>
            <w:vAlign w:val="center"/>
          </w:tcPr>
          <w:p w14:paraId="39A3EBAD" w14:textId="77777777" w:rsidR="001060E6" w:rsidRPr="00F04A75" w:rsidRDefault="001060E6" w:rsidP="001060E6">
            <w:pPr>
              <w:pStyle w:val="TableText0"/>
              <w:jc w:val="center"/>
              <w:rPr>
                <w:szCs w:val="20"/>
              </w:rPr>
            </w:pPr>
            <w:r w:rsidRPr="00F04A75">
              <w:rPr>
                <w:rFonts w:cstheme="minorHAnsi"/>
                <w:szCs w:val="20"/>
              </w:rPr>
              <w:t>NE</w:t>
            </w:r>
          </w:p>
        </w:tc>
        <w:tc>
          <w:tcPr>
            <w:tcW w:w="471" w:type="pct"/>
            <w:shd w:val="clear" w:color="auto" w:fill="B8CCE4" w:themeFill="accent1" w:themeFillTint="66"/>
            <w:vAlign w:val="center"/>
          </w:tcPr>
          <w:p w14:paraId="60952430" w14:textId="77777777" w:rsidR="001060E6" w:rsidRPr="00F04A75" w:rsidRDefault="001060E6" w:rsidP="001060E6">
            <w:pPr>
              <w:pStyle w:val="TableText0"/>
              <w:jc w:val="center"/>
              <w:rPr>
                <w:szCs w:val="20"/>
              </w:rPr>
            </w:pPr>
            <w:r w:rsidRPr="00F04A75">
              <w:rPr>
                <w:rFonts w:cstheme="minorHAnsi"/>
                <w:szCs w:val="20"/>
              </w:rPr>
              <w:t>162 (40.9%)</w:t>
            </w:r>
          </w:p>
        </w:tc>
        <w:tc>
          <w:tcPr>
            <w:tcW w:w="551" w:type="pct"/>
            <w:shd w:val="clear" w:color="auto" w:fill="B8CCE4" w:themeFill="accent1" w:themeFillTint="66"/>
            <w:vAlign w:val="center"/>
          </w:tcPr>
          <w:p w14:paraId="549A2532" w14:textId="77777777" w:rsidR="001060E6" w:rsidRPr="00F04A75" w:rsidRDefault="001060E6" w:rsidP="001060E6">
            <w:pPr>
              <w:pStyle w:val="TableText0"/>
              <w:jc w:val="center"/>
              <w:rPr>
                <w:szCs w:val="20"/>
              </w:rPr>
            </w:pPr>
            <w:r w:rsidRPr="00F04A75">
              <w:rPr>
                <w:rFonts w:cstheme="minorHAnsi"/>
                <w:szCs w:val="20"/>
              </w:rPr>
              <w:t>NE</w:t>
            </w:r>
          </w:p>
        </w:tc>
        <w:tc>
          <w:tcPr>
            <w:tcW w:w="550" w:type="pct"/>
            <w:shd w:val="clear" w:color="auto" w:fill="B8CCE4" w:themeFill="accent1" w:themeFillTint="66"/>
            <w:vAlign w:val="center"/>
          </w:tcPr>
          <w:p w14:paraId="3891CE40" w14:textId="77777777" w:rsidR="001060E6" w:rsidRPr="00F04A75" w:rsidRDefault="00020BE8" w:rsidP="001060E6">
            <w:pPr>
              <w:pStyle w:val="TableText0"/>
              <w:jc w:val="center"/>
              <w:rPr>
                <w:szCs w:val="20"/>
              </w:rPr>
            </w:pPr>
            <w:r w:rsidRPr="00F04A75">
              <w:rPr>
                <w:szCs w:val="20"/>
              </w:rPr>
              <w:t>-</w:t>
            </w:r>
          </w:p>
        </w:tc>
        <w:tc>
          <w:tcPr>
            <w:tcW w:w="460" w:type="pct"/>
            <w:shd w:val="clear" w:color="auto" w:fill="B8CCE4" w:themeFill="accent1" w:themeFillTint="66"/>
            <w:vAlign w:val="center"/>
          </w:tcPr>
          <w:p w14:paraId="4CA233FB" w14:textId="77777777" w:rsidR="001060E6" w:rsidRPr="00F04A75" w:rsidRDefault="001060E6" w:rsidP="001060E6">
            <w:pPr>
              <w:pStyle w:val="TableText0"/>
              <w:jc w:val="center"/>
              <w:rPr>
                <w:szCs w:val="20"/>
              </w:rPr>
            </w:pPr>
            <w:r w:rsidRPr="00F04A75">
              <w:rPr>
                <w:rFonts w:cstheme="minorHAnsi"/>
                <w:szCs w:val="20"/>
              </w:rPr>
              <w:t>0.0182</w:t>
            </w:r>
          </w:p>
        </w:tc>
        <w:tc>
          <w:tcPr>
            <w:tcW w:w="612" w:type="pct"/>
            <w:shd w:val="clear" w:color="auto" w:fill="B8CCE4" w:themeFill="accent1" w:themeFillTint="66"/>
            <w:vAlign w:val="center"/>
          </w:tcPr>
          <w:p w14:paraId="05B11002" w14:textId="77777777" w:rsidR="001060E6" w:rsidRPr="00F04A75" w:rsidRDefault="001060E6" w:rsidP="001060E6">
            <w:pPr>
              <w:jc w:val="center"/>
              <w:rPr>
                <w:rFonts w:ascii="Arial Narrow" w:hAnsi="Arial Narrow" w:cstheme="minorHAnsi"/>
                <w:b/>
                <w:sz w:val="20"/>
                <w:szCs w:val="20"/>
              </w:rPr>
            </w:pPr>
            <w:r w:rsidRPr="00F04A75">
              <w:rPr>
                <w:rFonts w:ascii="Arial Narrow" w:hAnsi="Arial Narrow" w:cstheme="minorHAnsi"/>
                <w:b/>
                <w:sz w:val="20"/>
                <w:szCs w:val="20"/>
              </w:rPr>
              <w:t>0.79</w:t>
            </w:r>
          </w:p>
          <w:p w14:paraId="74BFDECF" w14:textId="77777777" w:rsidR="001060E6" w:rsidRPr="00F04A75" w:rsidRDefault="001060E6" w:rsidP="001060E6">
            <w:pPr>
              <w:pStyle w:val="TableText0"/>
              <w:jc w:val="center"/>
              <w:rPr>
                <w:b/>
                <w:szCs w:val="20"/>
              </w:rPr>
            </w:pPr>
            <w:r w:rsidRPr="00F04A75">
              <w:rPr>
                <w:rFonts w:cstheme="minorHAnsi"/>
                <w:b/>
                <w:szCs w:val="20"/>
              </w:rPr>
              <w:t>(0.63, 0.99)</w:t>
            </w:r>
          </w:p>
        </w:tc>
      </w:tr>
      <w:tr w:rsidR="001060E6" w:rsidRPr="00F04A75" w14:paraId="56F4EC2D" w14:textId="77777777" w:rsidTr="00020BE8">
        <w:trPr>
          <w:cantSplit/>
        </w:trPr>
        <w:tc>
          <w:tcPr>
            <w:tcW w:w="705" w:type="pct"/>
            <w:vAlign w:val="center"/>
          </w:tcPr>
          <w:p w14:paraId="77941274" w14:textId="77777777" w:rsidR="001060E6" w:rsidRPr="00F04A75" w:rsidRDefault="001060E6" w:rsidP="0016658B">
            <w:pPr>
              <w:pStyle w:val="TableText0"/>
            </w:pPr>
            <w:r w:rsidRPr="00F04A75">
              <w:t>28 Apr 201</w:t>
            </w:r>
            <w:r w:rsidR="00D229EE" w:rsidRPr="00F04A75">
              <w:t>7</w:t>
            </w:r>
            <w:r w:rsidRPr="00F04A75">
              <w:br/>
            </w:r>
            <w:r w:rsidRPr="00F04A75">
              <w:rPr>
                <w:szCs w:val="20"/>
              </w:rPr>
              <w:t xml:space="preserve">Final analysis </w:t>
            </w:r>
          </w:p>
        </w:tc>
        <w:tc>
          <w:tcPr>
            <w:tcW w:w="629" w:type="pct"/>
            <w:vAlign w:val="center"/>
          </w:tcPr>
          <w:p w14:paraId="0694E41B" w14:textId="77777777" w:rsidR="001060E6" w:rsidRPr="00F04A75" w:rsidRDefault="001060E6" w:rsidP="001060E6">
            <w:pPr>
              <w:pStyle w:val="TableText0"/>
              <w:jc w:val="center"/>
              <w:rPr>
                <w:rFonts w:cstheme="minorHAnsi"/>
                <w:szCs w:val="20"/>
              </w:rPr>
            </w:pPr>
            <w:r w:rsidRPr="00F04A75">
              <w:rPr>
                <w:rFonts w:cstheme="minorHAnsi"/>
                <w:szCs w:val="20"/>
              </w:rPr>
              <w:t>67</w:t>
            </w:r>
          </w:p>
        </w:tc>
        <w:tc>
          <w:tcPr>
            <w:tcW w:w="472" w:type="pct"/>
            <w:vAlign w:val="center"/>
          </w:tcPr>
          <w:p w14:paraId="18FF8BF2" w14:textId="77777777" w:rsidR="001060E6" w:rsidRPr="00F04A75" w:rsidRDefault="001060E6" w:rsidP="001060E6">
            <w:pPr>
              <w:pStyle w:val="TableText0"/>
              <w:jc w:val="center"/>
              <w:rPr>
                <w:szCs w:val="20"/>
              </w:rPr>
            </w:pPr>
            <w:r w:rsidRPr="00F04A75">
              <w:rPr>
                <w:rFonts w:cstheme="minorHAnsi"/>
                <w:szCs w:val="20"/>
              </w:rPr>
              <w:t>246 (62.1%)</w:t>
            </w:r>
          </w:p>
        </w:tc>
        <w:tc>
          <w:tcPr>
            <w:tcW w:w="550" w:type="pct"/>
            <w:vAlign w:val="center"/>
          </w:tcPr>
          <w:p w14:paraId="1EA875DE" w14:textId="77777777" w:rsidR="001060E6" w:rsidRPr="00F04A75" w:rsidRDefault="001060E6" w:rsidP="001060E6">
            <w:pPr>
              <w:jc w:val="center"/>
              <w:rPr>
                <w:rFonts w:ascii="Arial Narrow" w:hAnsi="Arial Narrow" w:cstheme="minorHAnsi"/>
                <w:sz w:val="20"/>
                <w:szCs w:val="20"/>
              </w:rPr>
            </w:pPr>
            <w:r w:rsidRPr="00F04A75">
              <w:rPr>
                <w:rFonts w:ascii="Arial Narrow" w:hAnsi="Arial Narrow" w:cstheme="minorHAnsi"/>
                <w:sz w:val="20"/>
                <w:szCs w:val="20"/>
              </w:rPr>
              <w:t>48.3</w:t>
            </w:r>
          </w:p>
          <w:p w14:paraId="3FBE8CE8" w14:textId="77777777" w:rsidR="001060E6" w:rsidRPr="00F04A75" w:rsidRDefault="001060E6" w:rsidP="001060E6">
            <w:pPr>
              <w:pStyle w:val="TableText0"/>
              <w:jc w:val="center"/>
              <w:rPr>
                <w:szCs w:val="20"/>
              </w:rPr>
            </w:pPr>
            <w:r w:rsidRPr="00F04A75">
              <w:rPr>
                <w:rFonts w:cstheme="minorHAnsi"/>
                <w:szCs w:val="20"/>
              </w:rPr>
              <w:t>(42.4, 52.8)</w:t>
            </w:r>
          </w:p>
        </w:tc>
        <w:tc>
          <w:tcPr>
            <w:tcW w:w="471" w:type="pct"/>
            <w:vAlign w:val="center"/>
          </w:tcPr>
          <w:p w14:paraId="0C307029" w14:textId="77777777" w:rsidR="001060E6" w:rsidRPr="00F04A75" w:rsidRDefault="001060E6" w:rsidP="001060E6">
            <w:pPr>
              <w:pStyle w:val="TableText0"/>
              <w:jc w:val="center"/>
              <w:rPr>
                <w:szCs w:val="20"/>
              </w:rPr>
            </w:pPr>
            <w:r w:rsidRPr="00F04A75">
              <w:rPr>
                <w:rFonts w:cstheme="minorHAnsi"/>
                <w:szCs w:val="20"/>
              </w:rPr>
              <w:t>267 (67.4%)</w:t>
            </w:r>
          </w:p>
        </w:tc>
        <w:tc>
          <w:tcPr>
            <w:tcW w:w="551" w:type="pct"/>
            <w:vAlign w:val="center"/>
          </w:tcPr>
          <w:p w14:paraId="394B7A22" w14:textId="77777777" w:rsidR="001060E6" w:rsidRPr="00F04A75" w:rsidRDefault="001060E6" w:rsidP="001060E6">
            <w:pPr>
              <w:jc w:val="center"/>
              <w:rPr>
                <w:rFonts w:ascii="Arial Narrow" w:hAnsi="Arial Narrow" w:cstheme="minorHAnsi"/>
                <w:sz w:val="20"/>
                <w:szCs w:val="20"/>
              </w:rPr>
            </w:pPr>
            <w:r w:rsidRPr="00F04A75">
              <w:rPr>
                <w:rFonts w:ascii="Arial Narrow" w:hAnsi="Arial Narrow" w:cstheme="minorHAnsi"/>
                <w:sz w:val="20"/>
                <w:szCs w:val="20"/>
              </w:rPr>
              <w:t>40.4</w:t>
            </w:r>
          </w:p>
          <w:p w14:paraId="1F994EC2" w14:textId="77777777" w:rsidR="001060E6" w:rsidRPr="00F04A75" w:rsidRDefault="001060E6" w:rsidP="001060E6">
            <w:pPr>
              <w:pStyle w:val="TableText0"/>
              <w:jc w:val="center"/>
              <w:rPr>
                <w:szCs w:val="20"/>
              </w:rPr>
            </w:pPr>
            <w:r w:rsidRPr="00F04A75">
              <w:rPr>
                <w:rFonts w:cstheme="minorHAnsi"/>
                <w:szCs w:val="20"/>
              </w:rPr>
              <w:t>(33.6, 44.4)</w:t>
            </w:r>
          </w:p>
        </w:tc>
        <w:tc>
          <w:tcPr>
            <w:tcW w:w="550" w:type="pct"/>
            <w:vAlign w:val="center"/>
          </w:tcPr>
          <w:p w14:paraId="576F2B3D" w14:textId="77777777" w:rsidR="001060E6" w:rsidRPr="00F04A75" w:rsidRDefault="001060E6" w:rsidP="001060E6">
            <w:pPr>
              <w:pStyle w:val="TableText0"/>
              <w:jc w:val="center"/>
              <w:rPr>
                <w:szCs w:val="20"/>
              </w:rPr>
            </w:pPr>
            <w:r w:rsidRPr="00F04A75">
              <w:rPr>
                <w:rFonts w:cstheme="minorHAnsi"/>
                <w:szCs w:val="20"/>
              </w:rPr>
              <w:t>7.9</w:t>
            </w:r>
          </w:p>
        </w:tc>
        <w:tc>
          <w:tcPr>
            <w:tcW w:w="460" w:type="pct"/>
            <w:vAlign w:val="center"/>
          </w:tcPr>
          <w:p w14:paraId="5EDA96EE" w14:textId="77777777" w:rsidR="001060E6" w:rsidRPr="00F04A75" w:rsidRDefault="001060E6" w:rsidP="001060E6">
            <w:pPr>
              <w:pStyle w:val="TableText0"/>
              <w:jc w:val="center"/>
              <w:rPr>
                <w:szCs w:val="20"/>
              </w:rPr>
            </w:pPr>
            <w:r w:rsidRPr="00F04A75">
              <w:rPr>
                <w:rFonts w:cstheme="minorHAnsi"/>
                <w:szCs w:val="20"/>
              </w:rPr>
              <w:t>0.0045</w:t>
            </w:r>
          </w:p>
        </w:tc>
        <w:tc>
          <w:tcPr>
            <w:tcW w:w="612" w:type="pct"/>
            <w:vAlign w:val="center"/>
          </w:tcPr>
          <w:p w14:paraId="02DD0527" w14:textId="77777777" w:rsidR="001060E6" w:rsidRPr="00F04A75" w:rsidRDefault="001060E6" w:rsidP="001060E6">
            <w:pPr>
              <w:jc w:val="center"/>
              <w:rPr>
                <w:rFonts w:ascii="Arial Narrow" w:hAnsi="Arial Narrow" w:cstheme="minorHAnsi"/>
                <w:b/>
                <w:sz w:val="20"/>
                <w:szCs w:val="20"/>
              </w:rPr>
            </w:pPr>
            <w:r w:rsidRPr="00F04A75">
              <w:rPr>
                <w:rFonts w:ascii="Arial Narrow" w:hAnsi="Arial Narrow" w:cstheme="minorHAnsi"/>
                <w:b/>
                <w:sz w:val="20"/>
                <w:szCs w:val="20"/>
              </w:rPr>
              <w:t>0.79</w:t>
            </w:r>
          </w:p>
          <w:p w14:paraId="741B50BA" w14:textId="77777777" w:rsidR="001060E6" w:rsidRPr="00F04A75" w:rsidRDefault="001060E6" w:rsidP="001060E6">
            <w:pPr>
              <w:pStyle w:val="TableText0"/>
              <w:jc w:val="center"/>
              <w:rPr>
                <w:b/>
                <w:szCs w:val="20"/>
              </w:rPr>
            </w:pPr>
            <w:r w:rsidRPr="00F04A75">
              <w:rPr>
                <w:rFonts w:cstheme="minorHAnsi"/>
                <w:b/>
                <w:szCs w:val="20"/>
              </w:rPr>
              <w:t>(0.67, 0.95)</w:t>
            </w:r>
          </w:p>
        </w:tc>
      </w:tr>
    </w:tbl>
    <w:p w14:paraId="0D156DD1" w14:textId="59CBE682" w:rsidR="00F97782" w:rsidRPr="00F04A75" w:rsidRDefault="00F97782" w:rsidP="0016658B">
      <w:pPr>
        <w:jc w:val="left"/>
      </w:pPr>
      <w:r w:rsidRPr="00F04A75">
        <w:rPr>
          <w:rFonts w:ascii="Arial Narrow" w:hAnsi="Arial Narrow"/>
          <w:snapToGrid w:val="0"/>
          <w:sz w:val="18"/>
          <w:szCs w:val="22"/>
        </w:rPr>
        <w:t xml:space="preserve">Source: Table 2.5-4 p62 of the resubmission </w:t>
      </w:r>
      <w:r w:rsidRPr="00F04A75">
        <w:rPr>
          <w:rFonts w:ascii="Arial Narrow" w:hAnsi="Arial Narrow"/>
          <w:snapToGrid w:val="0"/>
          <w:sz w:val="18"/>
          <w:szCs w:val="22"/>
        </w:rPr>
        <w:br/>
        <w:t xml:space="preserve">CI = confidence interval; </w:t>
      </w:r>
      <w:proofErr w:type="spellStart"/>
      <w:r w:rsidR="00334CF5" w:rsidRPr="00F04A75">
        <w:rPr>
          <w:rFonts w:ascii="Arial Narrow" w:hAnsi="Arial Narrow"/>
          <w:snapToGrid w:val="0"/>
          <w:sz w:val="18"/>
          <w:szCs w:val="22"/>
        </w:rPr>
        <w:t>CLd</w:t>
      </w:r>
      <w:proofErr w:type="spellEnd"/>
      <w:r w:rsidR="00334CF5" w:rsidRPr="00F04A75">
        <w:rPr>
          <w:rFonts w:ascii="Arial Narrow" w:hAnsi="Arial Narrow"/>
          <w:snapToGrid w:val="0"/>
          <w:sz w:val="18"/>
          <w:szCs w:val="22"/>
        </w:rPr>
        <w:t xml:space="preserve"> = carfilzomib, lenalidomide and dexamethasone; </w:t>
      </w:r>
      <w:r w:rsidRPr="00F04A75">
        <w:rPr>
          <w:rFonts w:ascii="Arial Narrow" w:hAnsi="Arial Narrow"/>
          <w:snapToGrid w:val="0"/>
          <w:sz w:val="18"/>
          <w:szCs w:val="22"/>
        </w:rPr>
        <w:t>INV</w:t>
      </w:r>
      <w:r w:rsidR="00334CF5" w:rsidRPr="00F04A75">
        <w:rPr>
          <w:rFonts w:ascii="Arial Narrow" w:hAnsi="Arial Narrow"/>
          <w:snapToGrid w:val="0"/>
          <w:sz w:val="18"/>
          <w:szCs w:val="22"/>
        </w:rPr>
        <w:t xml:space="preserve"> = </w:t>
      </w:r>
      <w:r w:rsidRPr="00F04A75">
        <w:rPr>
          <w:rFonts w:ascii="Arial Narrow" w:hAnsi="Arial Narrow"/>
          <w:snapToGrid w:val="0"/>
          <w:sz w:val="18"/>
          <w:szCs w:val="22"/>
        </w:rPr>
        <w:t xml:space="preserve">investigator-assessed; </w:t>
      </w:r>
      <w:r w:rsidR="002921CB" w:rsidRPr="00F04A75">
        <w:rPr>
          <w:rFonts w:ascii="Arial Narrow" w:hAnsi="Arial Narrow"/>
          <w:snapToGrid w:val="0"/>
          <w:sz w:val="18"/>
          <w:szCs w:val="22"/>
        </w:rPr>
        <w:t xml:space="preserve">IRC = </w:t>
      </w:r>
      <w:r w:rsidR="00B301D3" w:rsidRPr="00F04A75">
        <w:rPr>
          <w:rFonts w:ascii="Arial Narrow" w:hAnsi="Arial Narrow"/>
          <w:snapToGrid w:val="0"/>
          <w:sz w:val="18"/>
          <w:szCs w:val="22"/>
        </w:rPr>
        <w:t xml:space="preserve">independent review committee; </w:t>
      </w:r>
      <w:proofErr w:type="spellStart"/>
      <w:r w:rsidR="00334CF5" w:rsidRPr="00F04A75">
        <w:rPr>
          <w:rFonts w:ascii="Arial Narrow" w:hAnsi="Arial Narrow"/>
          <w:snapToGrid w:val="0"/>
          <w:sz w:val="18"/>
          <w:szCs w:val="22"/>
        </w:rPr>
        <w:t>Ld</w:t>
      </w:r>
      <w:proofErr w:type="spellEnd"/>
      <w:r w:rsidR="00334CF5" w:rsidRPr="00F04A75">
        <w:rPr>
          <w:rFonts w:ascii="Arial Narrow" w:hAnsi="Arial Narrow"/>
          <w:snapToGrid w:val="0"/>
          <w:sz w:val="18"/>
          <w:szCs w:val="22"/>
        </w:rPr>
        <w:t xml:space="preserve"> = lenalidomide and dexamethasone; </w:t>
      </w:r>
      <w:r w:rsidRPr="00F04A75">
        <w:rPr>
          <w:rFonts w:ascii="Arial Narrow" w:hAnsi="Arial Narrow"/>
          <w:snapToGrid w:val="0"/>
          <w:sz w:val="18"/>
          <w:szCs w:val="22"/>
        </w:rPr>
        <w:t>NE</w:t>
      </w:r>
      <w:r w:rsidR="00334CF5" w:rsidRPr="00F04A75">
        <w:rPr>
          <w:rFonts w:ascii="Arial Narrow" w:hAnsi="Arial Narrow"/>
          <w:snapToGrid w:val="0"/>
          <w:sz w:val="18"/>
          <w:szCs w:val="22"/>
        </w:rPr>
        <w:t xml:space="preserve"> </w:t>
      </w:r>
      <w:r w:rsidRPr="00F04A75">
        <w:rPr>
          <w:rFonts w:ascii="Arial Narrow" w:hAnsi="Arial Narrow"/>
          <w:snapToGrid w:val="0"/>
          <w:sz w:val="18"/>
          <w:szCs w:val="22"/>
        </w:rPr>
        <w:t>=</w:t>
      </w:r>
      <w:r w:rsidR="00334CF5" w:rsidRPr="00F04A75">
        <w:rPr>
          <w:rFonts w:ascii="Arial Narrow" w:hAnsi="Arial Narrow"/>
          <w:snapToGrid w:val="0"/>
          <w:sz w:val="18"/>
          <w:szCs w:val="22"/>
        </w:rPr>
        <w:t xml:space="preserve"> </w:t>
      </w:r>
      <w:r w:rsidRPr="00F04A75">
        <w:rPr>
          <w:rFonts w:ascii="Arial Narrow" w:hAnsi="Arial Narrow"/>
          <w:snapToGrid w:val="0"/>
          <w:sz w:val="18"/>
          <w:szCs w:val="22"/>
        </w:rPr>
        <w:t>not estimable; OS</w:t>
      </w:r>
      <w:r w:rsidR="00334CF5" w:rsidRPr="00F04A75">
        <w:rPr>
          <w:rFonts w:ascii="Arial Narrow" w:hAnsi="Arial Narrow"/>
          <w:snapToGrid w:val="0"/>
          <w:sz w:val="18"/>
          <w:szCs w:val="22"/>
        </w:rPr>
        <w:t xml:space="preserve"> </w:t>
      </w:r>
      <w:r w:rsidRPr="00F04A75">
        <w:rPr>
          <w:rFonts w:ascii="Arial Narrow" w:hAnsi="Arial Narrow"/>
          <w:snapToGrid w:val="0"/>
          <w:sz w:val="18"/>
          <w:szCs w:val="22"/>
        </w:rPr>
        <w:t>=</w:t>
      </w:r>
      <w:r w:rsidR="00334CF5" w:rsidRPr="00F04A75">
        <w:rPr>
          <w:rFonts w:ascii="Arial Narrow" w:hAnsi="Arial Narrow"/>
          <w:snapToGrid w:val="0"/>
          <w:sz w:val="18"/>
          <w:szCs w:val="22"/>
        </w:rPr>
        <w:t xml:space="preserve"> </w:t>
      </w:r>
      <w:r w:rsidRPr="00F04A75">
        <w:rPr>
          <w:rFonts w:ascii="Arial Narrow" w:hAnsi="Arial Narrow"/>
          <w:snapToGrid w:val="0"/>
          <w:sz w:val="18"/>
          <w:szCs w:val="22"/>
        </w:rPr>
        <w:t>overall survival</w:t>
      </w:r>
      <w:r w:rsidR="00334CF5" w:rsidRPr="00F04A75">
        <w:rPr>
          <w:rFonts w:ascii="Arial Narrow" w:hAnsi="Arial Narrow"/>
          <w:snapToGrid w:val="0"/>
          <w:sz w:val="18"/>
          <w:szCs w:val="22"/>
        </w:rPr>
        <w:t>; PFS = progression free survival</w:t>
      </w:r>
    </w:p>
    <w:p w14:paraId="0A229AE2" w14:textId="77777777" w:rsidR="00F97782" w:rsidRPr="00F04A75" w:rsidRDefault="00F97782" w:rsidP="0016658B">
      <w:pPr>
        <w:pStyle w:val="TableFigureFooter"/>
      </w:pPr>
      <w:r w:rsidRPr="00F04A75">
        <w:t>Note: ASPIRE median follow for PFS: 31 months (data cut 16 Jun</w:t>
      </w:r>
      <w:r w:rsidR="002921CB" w:rsidRPr="00F04A75">
        <w:t xml:space="preserve"> </w:t>
      </w:r>
      <w:r w:rsidRPr="00F04A75">
        <w:t>2014); OS: 32 months (data cut 16 Jun 2014); 67 months (data cut 28 April 2018).</w:t>
      </w:r>
    </w:p>
    <w:p w14:paraId="6C9C8D2A" w14:textId="77777777" w:rsidR="00F97782" w:rsidRPr="00F04A75" w:rsidRDefault="00F97782" w:rsidP="0016658B">
      <w:pPr>
        <w:pStyle w:val="TableFigureFooter"/>
      </w:pPr>
      <w:r w:rsidRPr="00F04A75">
        <w:rPr>
          <w:b/>
          <w:bCs/>
        </w:rPr>
        <w:t>Bold</w:t>
      </w:r>
      <w:r w:rsidRPr="00F04A75">
        <w:t xml:space="preserve"> = statistically significant</w:t>
      </w:r>
    </w:p>
    <w:p w14:paraId="0F28798B" w14:textId="77777777" w:rsidR="00DF5512" w:rsidRPr="00F04A75" w:rsidRDefault="00DF5512" w:rsidP="00DF5512">
      <w:pPr>
        <w:pStyle w:val="TableFigureFooter"/>
      </w:pPr>
      <w:r w:rsidRPr="00F04A75">
        <w:t xml:space="preserve">Blue shading </w:t>
      </w:r>
      <w:proofErr w:type="spellStart"/>
      <w:r>
        <w:t>representes</w:t>
      </w:r>
      <w:proofErr w:type="spellEnd"/>
      <w:r w:rsidRPr="00F04A75">
        <w:t xml:space="preserve"> information presented in carfilzomib November 2016 submission </w:t>
      </w:r>
    </w:p>
    <w:p w14:paraId="5C7D123B" w14:textId="28DEE8AC" w:rsidR="00F97782" w:rsidRPr="00F04A75" w:rsidRDefault="00F97782" w:rsidP="00491150">
      <w:pPr>
        <w:pStyle w:val="Caption"/>
        <w:keepNext/>
        <w:spacing w:after="0"/>
        <w:rPr>
          <w:b w:val="0"/>
          <w:bCs w:val="0"/>
        </w:rPr>
      </w:pPr>
      <w:r w:rsidRPr="00F04A75">
        <w:rPr>
          <w:rFonts w:ascii="Arial Narrow" w:hAnsi="Arial Narrow"/>
          <w:color w:val="auto"/>
          <w:sz w:val="20"/>
          <w:szCs w:val="20"/>
        </w:rPr>
        <w:lastRenderedPageBreak/>
        <w:t xml:space="preserve">Figure </w:t>
      </w:r>
      <w:r w:rsidRPr="00F04A75">
        <w:rPr>
          <w:rFonts w:ascii="Arial Narrow" w:hAnsi="Arial Narrow"/>
          <w:color w:val="auto"/>
          <w:sz w:val="20"/>
          <w:szCs w:val="20"/>
        </w:rPr>
        <w:fldChar w:fldCharType="begin"/>
      </w:r>
      <w:r w:rsidRPr="00F04A75">
        <w:rPr>
          <w:rFonts w:ascii="Arial Narrow" w:hAnsi="Arial Narrow"/>
          <w:color w:val="auto"/>
          <w:sz w:val="20"/>
          <w:szCs w:val="20"/>
        </w:rPr>
        <w:instrText xml:space="preserve"> SEQ Figure \* ARABIC </w:instrText>
      </w:r>
      <w:r w:rsidRPr="00F04A75">
        <w:rPr>
          <w:rFonts w:ascii="Arial Narrow" w:hAnsi="Arial Narrow"/>
          <w:color w:val="auto"/>
          <w:sz w:val="20"/>
          <w:szCs w:val="20"/>
        </w:rPr>
        <w:fldChar w:fldCharType="separate"/>
      </w:r>
      <w:r w:rsidR="00443BC9">
        <w:rPr>
          <w:rFonts w:ascii="Arial Narrow" w:hAnsi="Arial Narrow"/>
          <w:noProof/>
          <w:color w:val="auto"/>
          <w:sz w:val="20"/>
          <w:szCs w:val="20"/>
        </w:rPr>
        <w:t>2</w:t>
      </w:r>
      <w:r w:rsidRPr="00F04A75">
        <w:rPr>
          <w:rFonts w:ascii="Arial Narrow" w:hAnsi="Arial Narrow"/>
          <w:color w:val="auto"/>
          <w:sz w:val="20"/>
          <w:szCs w:val="20"/>
        </w:rPr>
        <w:fldChar w:fldCharType="end"/>
      </w:r>
      <w:r w:rsidRPr="00F04A75">
        <w:rPr>
          <w:rFonts w:ascii="Arial Narrow" w:hAnsi="Arial Narrow"/>
          <w:color w:val="auto"/>
          <w:sz w:val="20"/>
          <w:szCs w:val="20"/>
        </w:rPr>
        <w:t xml:space="preserve">: Kaplan-Meier curves for (A) PFS and (B) OS, ASPIRE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7"/>
      </w:tblGrid>
      <w:tr w:rsidR="00F97782" w:rsidRPr="00F04A75" w14:paraId="730C0AA3" w14:textId="77777777" w:rsidTr="0016658B">
        <w:tc>
          <w:tcPr>
            <w:tcW w:w="9360" w:type="dxa"/>
          </w:tcPr>
          <w:p w14:paraId="45314730" w14:textId="77777777" w:rsidR="00F97782" w:rsidRPr="00F04A75" w:rsidRDefault="00F97782" w:rsidP="0016658B">
            <w:pPr>
              <w:pStyle w:val="TableFigureFooter"/>
              <w:keepNext/>
              <w:shd w:val="clear" w:color="auto" w:fill="B8CCE4" w:themeFill="accent1" w:themeFillTint="66"/>
            </w:pPr>
            <w:r w:rsidRPr="00F04A75">
              <w:rPr>
                <w:b/>
                <w:sz w:val="20"/>
                <w:szCs w:val="20"/>
              </w:rPr>
              <w:t>A: PFS (median duration of follow-up = 31 months)</w:t>
            </w:r>
          </w:p>
          <w:p w14:paraId="0E84C98B" w14:textId="77777777" w:rsidR="00F97782" w:rsidRPr="00F04A75" w:rsidRDefault="00F97782" w:rsidP="0016658B">
            <w:pPr>
              <w:pStyle w:val="TableFigureFooter"/>
            </w:pPr>
            <w:r w:rsidRPr="00F04A75">
              <w:rPr>
                <w:noProof/>
                <w:sz w:val="22"/>
              </w:rPr>
              <w:drawing>
                <wp:inline distT="0" distB="0" distL="0" distR="0" wp14:anchorId="5E33DF28" wp14:editId="2D6789A4">
                  <wp:extent cx="5790949" cy="2907672"/>
                  <wp:effectExtent l="19050" t="19050" r="19685" b="26035"/>
                  <wp:docPr id="8" name="Picture 8" descr="Figure 2: Kaplan-Meier curves for (A) PFS and (B) OS, ASPI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Figure 2: Kaplan-Meier curves for (A) PFS and (B) OS, ASPIRE "/>
                          <pic:cNvPicPr/>
                        </pic:nvPicPr>
                        <pic:blipFill>
                          <a:blip r:embed="rId9"/>
                          <a:stretch>
                            <a:fillRect/>
                          </a:stretch>
                        </pic:blipFill>
                        <pic:spPr>
                          <a:xfrm>
                            <a:off x="0" y="0"/>
                            <a:ext cx="5857240" cy="2940957"/>
                          </a:xfrm>
                          <a:prstGeom prst="rect">
                            <a:avLst/>
                          </a:prstGeom>
                          <a:ln>
                            <a:solidFill>
                              <a:schemeClr val="tx1"/>
                            </a:solidFill>
                          </a:ln>
                        </pic:spPr>
                      </pic:pic>
                    </a:graphicData>
                  </a:graphic>
                </wp:inline>
              </w:drawing>
            </w:r>
          </w:p>
          <w:p w14:paraId="17348974" w14:textId="77777777" w:rsidR="00F97782" w:rsidRPr="00F04A75" w:rsidRDefault="00F97782" w:rsidP="0016658B">
            <w:pPr>
              <w:pStyle w:val="TableFigureFooter"/>
            </w:pPr>
          </w:p>
          <w:p w14:paraId="5589E435" w14:textId="77777777" w:rsidR="00F97782" w:rsidRPr="00F04A75" w:rsidRDefault="00F97782" w:rsidP="0016658B">
            <w:pPr>
              <w:pStyle w:val="TableFigureFooter"/>
              <w:keepNext/>
            </w:pPr>
            <w:r w:rsidRPr="00F04A75">
              <w:rPr>
                <w:b/>
                <w:sz w:val="20"/>
              </w:rPr>
              <w:t>B: OS (median duration of follow-up = 67 months)</w:t>
            </w:r>
          </w:p>
          <w:p w14:paraId="2604A085" w14:textId="77777777" w:rsidR="00F97782" w:rsidRPr="00F04A75" w:rsidRDefault="00F97782" w:rsidP="0016658B">
            <w:pPr>
              <w:pStyle w:val="TableFigureFooter"/>
            </w:pPr>
            <w:r w:rsidRPr="00F04A75">
              <w:rPr>
                <w:rFonts w:cstheme="minorHAnsi"/>
                <w:noProof/>
              </w:rPr>
              <w:drawing>
                <wp:inline distT="0" distB="0" distL="0" distR="0" wp14:anchorId="61B6ADCB" wp14:editId="7BAF5E89">
                  <wp:extent cx="5727700" cy="2907665"/>
                  <wp:effectExtent l="19050" t="19050" r="25400" b="26035"/>
                  <wp:docPr id="9" name="Picture 9" descr="Figure 2: Kaplan-Meier curves for (A) PFS and (B) OS, ASPI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Figure 2: Kaplan-Meier curves for (A) PFS and (B) OS, ASPIRE "/>
                          <pic:cNvPicPr/>
                        </pic:nvPicPr>
                        <pic:blipFill>
                          <a:blip r:embed="rId10"/>
                          <a:stretch>
                            <a:fillRect/>
                          </a:stretch>
                        </pic:blipFill>
                        <pic:spPr>
                          <a:xfrm>
                            <a:off x="0" y="0"/>
                            <a:ext cx="5727700" cy="2907665"/>
                          </a:xfrm>
                          <a:prstGeom prst="rect">
                            <a:avLst/>
                          </a:prstGeom>
                          <a:ln>
                            <a:solidFill>
                              <a:schemeClr val="tx1"/>
                            </a:solidFill>
                          </a:ln>
                        </pic:spPr>
                      </pic:pic>
                    </a:graphicData>
                  </a:graphic>
                </wp:inline>
              </w:drawing>
            </w:r>
          </w:p>
          <w:p w14:paraId="1A8ECAF0" w14:textId="77777777" w:rsidR="00F97782" w:rsidRPr="00F04A75" w:rsidRDefault="00F97782" w:rsidP="0016658B">
            <w:pPr>
              <w:pStyle w:val="TableFigureFooter"/>
            </w:pPr>
          </w:p>
        </w:tc>
      </w:tr>
    </w:tbl>
    <w:p w14:paraId="30010AEC" w14:textId="7634401A" w:rsidR="00F97782" w:rsidRPr="00F04A75" w:rsidRDefault="00F97782" w:rsidP="0016658B">
      <w:pPr>
        <w:pStyle w:val="TableFigureFooter"/>
        <w:jc w:val="left"/>
      </w:pPr>
      <w:r w:rsidRPr="00F04A75">
        <w:rPr>
          <w:szCs w:val="18"/>
        </w:rPr>
        <w:t xml:space="preserve">Source: Figure 2.5.1 p59, Figure 2.5.2 p62 of the resubmission </w:t>
      </w:r>
      <w:r w:rsidRPr="00F04A75">
        <w:rPr>
          <w:szCs w:val="18"/>
        </w:rPr>
        <w:br/>
      </w:r>
      <w:r w:rsidRPr="00F04A75">
        <w:t xml:space="preserve">CI = confidence interval; HR = hazard ratio; </w:t>
      </w:r>
      <w:proofErr w:type="spellStart"/>
      <w:r w:rsidRPr="00F04A75">
        <w:t>KRd</w:t>
      </w:r>
      <w:proofErr w:type="spellEnd"/>
      <w:r w:rsidRPr="00F04A75">
        <w:t xml:space="preserve"> = carfilzomib, lenalidomide, and dexamethasone; </w:t>
      </w:r>
      <w:proofErr w:type="spellStart"/>
      <w:r w:rsidR="00334CF5" w:rsidRPr="00F04A75">
        <w:t>mo</w:t>
      </w:r>
      <w:proofErr w:type="spellEnd"/>
      <w:r w:rsidR="00334CF5" w:rsidRPr="00F04A75">
        <w:t xml:space="preserve"> = months; </w:t>
      </w:r>
      <w:r w:rsidRPr="00F04A75">
        <w:t xml:space="preserve">OS = overall survival; </w:t>
      </w:r>
      <w:r w:rsidR="00334CF5" w:rsidRPr="00F04A75">
        <w:t xml:space="preserve">PFS = progression free survival; </w:t>
      </w:r>
      <w:r w:rsidRPr="00F04A75">
        <w:t>Rd = lenalidomide and dexamethasone</w:t>
      </w:r>
    </w:p>
    <w:p w14:paraId="330CD561" w14:textId="5E81FE14" w:rsidR="00F97782" w:rsidRPr="00F04A75" w:rsidRDefault="00F97782" w:rsidP="0016658B">
      <w:pPr>
        <w:pStyle w:val="TableFigureFooter"/>
        <w:rPr>
          <w:szCs w:val="18"/>
        </w:rPr>
      </w:pPr>
      <w:r w:rsidRPr="00F04A75">
        <w:rPr>
          <w:szCs w:val="18"/>
        </w:rPr>
        <w:t>Notes: Medians were estimated using the Kaplan-Meier method. HR</w:t>
      </w:r>
      <w:r w:rsidR="00334CF5" w:rsidRPr="00F04A75">
        <w:rPr>
          <w:szCs w:val="18"/>
        </w:rPr>
        <w:t>s</w:t>
      </w:r>
      <w:r w:rsidRPr="00F04A75">
        <w:rPr>
          <w:szCs w:val="18"/>
        </w:rPr>
        <w:t xml:space="preserve"> and </w:t>
      </w:r>
      <w:r w:rsidR="00334CF5" w:rsidRPr="00F04A75">
        <w:rPr>
          <w:szCs w:val="18"/>
        </w:rPr>
        <w:t>p-</w:t>
      </w:r>
      <w:r w:rsidRPr="00F04A75">
        <w:rPr>
          <w:szCs w:val="18"/>
        </w:rPr>
        <w:t>value</w:t>
      </w:r>
      <w:r w:rsidR="00334CF5" w:rsidRPr="00F04A75">
        <w:rPr>
          <w:szCs w:val="18"/>
        </w:rPr>
        <w:t>s</w:t>
      </w:r>
      <w:r w:rsidRPr="00F04A75">
        <w:rPr>
          <w:szCs w:val="18"/>
        </w:rPr>
        <w:t xml:space="preserve"> were obtained from stratified Cox regression and stratified log-rank test, respectively</w:t>
      </w:r>
    </w:p>
    <w:p w14:paraId="1ECB7DE0" w14:textId="77777777" w:rsidR="00DF5512" w:rsidRPr="00F04A75" w:rsidRDefault="00DF5512" w:rsidP="00DF5512">
      <w:pPr>
        <w:pStyle w:val="TableFigureFooter"/>
      </w:pPr>
      <w:r w:rsidRPr="00F04A75">
        <w:t xml:space="preserve">Blue shading </w:t>
      </w:r>
      <w:proofErr w:type="spellStart"/>
      <w:r>
        <w:t>representes</w:t>
      </w:r>
      <w:proofErr w:type="spellEnd"/>
      <w:r w:rsidRPr="00F04A75">
        <w:t xml:space="preserve"> information presented in carfilzomib November 2016 submission </w:t>
      </w:r>
    </w:p>
    <w:p w14:paraId="7BD2BE69" w14:textId="77777777" w:rsidR="00F97782" w:rsidRPr="00F04A75" w:rsidRDefault="00F97782" w:rsidP="0016658B">
      <w:pPr>
        <w:pStyle w:val="TableFigureFooter"/>
        <w:rPr>
          <w:szCs w:val="18"/>
        </w:rPr>
      </w:pPr>
    </w:p>
    <w:p w14:paraId="5EDFC81D" w14:textId="7705CDBC" w:rsidR="00F97782" w:rsidRPr="00F04A75" w:rsidRDefault="00F97782" w:rsidP="0016658B">
      <w:pPr>
        <w:pStyle w:val="3-BodyText"/>
        <w:rPr>
          <w:color w:val="000000" w:themeColor="text1"/>
        </w:rPr>
      </w:pPr>
      <w:r w:rsidRPr="00F04A75">
        <w:rPr>
          <w:snapToGrid/>
          <w:color w:val="000000" w:themeColor="text1"/>
        </w:rPr>
        <w:lastRenderedPageBreak/>
        <w:t xml:space="preserve">The results for objective response rate (ORR) are presented </w:t>
      </w:r>
      <w:r w:rsidRPr="00F04A75">
        <w:rPr>
          <w:rFonts w:cstheme="minorHAnsi"/>
          <w:snapToGrid/>
          <w:color w:val="000000" w:themeColor="text1"/>
        </w:rPr>
        <w:t xml:space="preserve">in </w:t>
      </w:r>
      <w:r w:rsidR="00235C08" w:rsidRPr="00F04A75">
        <w:rPr>
          <w:rFonts w:cstheme="minorHAnsi"/>
          <w:snapToGrid/>
          <w:color w:val="000000" w:themeColor="text1"/>
        </w:rPr>
        <w:t xml:space="preserve">Table </w:t>
      </w:r>
      <w:r w:rsidR="00C8791A">
        <w:rPr>
          <w:rFonts w:cstheme="minorHAnsi"/>
          <w:snapToGrid/>
          <w:color w:val="000000" w:themeColor="text1"/>
        </w:rPr>
        <w:t>7</w:t>
      </w:r>
      <w:r w:rsidRPr="00F04A75">
        <w:rPr>
          <w:rFonts w:cstheme="minorHAnsi"/>
          <w:snapToGrid/>
          <w:color w:val="000000" w:themeColor="text1"/>
        </w:rPr>
        <w:t xml:space="preserve">. Patients in the </w:t>
      </w:r>
      <w:proofErr w:type="spellStart"/>
      <w:r w:rsidRPr="00F04A75">
        <w:rPr>
          <w:rFonts w:cstheme="minorHAnsi"/>
          <w:snapToGrid/>
          <w:color w:val="000000" w:themeColor="text1"/>
        </w:rPr>
        <w:t>CLd</w:t>
      </w:r>
      <w:proofErr w:type="spellEnd"/>
      <w:r w:rsidRPr="00F04A75">
        <w:rPr>
          <w:rFonts w:cstheme="minorHAnsi"/>
          <w:snapToGrid/>
          <w:color w:val="000000" w:themeColor="text1"/>
        </w:rPr>
        <w:t xml:space="preserve"> arm had a statistically significantly higher ORR compared to Ld. </w:t>
      </w:r>
      <w:r w:rsidRPr="00F04A75">
        <w:rPr>
          <w:snapToGrid/>
          <w:color w:val="000000" w:themeColor="text1"/>
        </w:rPr>
        <w:t xml:space="preserve"> </w:t>
      </w:r>
    </w:p>
    <w:p w14:paraId="4A0CF80C" w14:textId="07F4C428" w:rsidR="00F97782" w:rsidRPr="00F04A75" w:rsidRDefault="00F97782" w:rsidP="0016658B">
      <w:pPr>
        <w:pStyle w:val="Caption"/>
        <w:keepNext/>
        <w:spacing w:after="0"/>
        <w:jc w:val="left"/>
        <w:rPr>
          <w:szCs w:val="20"/>
        </w:rPr>
      </w:pPr>
      <w:bookmarkStart w:id="38" w:name="_Ref95398781"/>
      <w:r w:rsidRPr="00F04A75">
        <w:rPr>
          <w:rFonts w:ascii="Arial Narrow" w:hAnsi="Arial Narrow"/>
          <w:color w:val="auto"/>
          <w:sz w:val="20"/>
          <w:szCs w:val="20"/>
        </w:rPr>
        <w:t xml:space="preserve">Table </w:t>
      </w:r>
      <w:r w:rsidRPr="00F04A75">
        <w:rPr>
          <w:rFonts w:ascii="Arial Narrow" w:hAnsi="Arial Narrow"/>
          <w:color w:val="auto"/>
          <w:sz w:val="20"/>
          <w:szCs w:val="20"/>
        </w:rPr>
        <w:fldChar w:fldCharType="begin"/>
      </w:r>
      <w:r w:rsidRPr="00F04A75">
        <w:rPr>
          <w:rFonts w:ascii="Arial Narrow" w:hAnsi="Arial Narrow"/>
          <w:color w:val="auto"/>
          <w:sz w:val="20"/>
          <w:szCs w:val="20"/>
        </w:rPr>
        <w:instrText xml:space="preserve"> SEQ Table \* ARABIC </w:instrText>
      </w:r>
      <w:r w:rsidRPr="00F04A75">
        <w:rPr>
          <w:rFonts w:ascii="Arial Narrow" w:hAnsi="Arial Narrow"/>
          <w:color w:val="auto"/>
          <w:sz w:val="20"/>
          <w:szCs w:val="20"/>
        </w:rPr>
        <w:fldChar w:fldCharType="separate"/>
      </w:r>
      <w:r w:rsidR="00443BC9">
        <w:rPr>
          <w:rFonts w:ascii="Arial Narrow" w:hAnsi="Arial Narrow"/>
          <w:noProof/>
          <w:color w:val="auto"/>
          <w:sz w:val="20"/>
          <w:szCs w:val="20"/>
        </w:rPr>
        <w:t>7</w:t>
      </w:r>
      <w:r w:rsidRPr="00F04A75">
        <w:rPr>
          <w:rFonts w:ascii="Arial Narrow" w:hAnsi="Arial Narrow"/>
          <w:color w:val="auto"/>
          <w:sz w:val="20"/>
          <w:szCs w:val="20"/>
        </w:rPr>
        <w:fldChar w:fldCharType="end"/>
      </w:r>
      <w:bookmarkEnd w:id="38"/>
      <w:r w:rsidRPr="00F04A75">
        <w:rPr>
          <w:rFonts w:ascii="Arial Narrow" w:hAnsi="Arial Narrow"/>
          <w:color w:val="auto"/>
          <w:sz w:val="20"/>
          <w:szCs w:val="20"/>
        </w:rPr>
        <w:t xml:space="preserve">: ORR </w:t>
      </w:r>
      <w:r w:rsidR="00020BE8" w:rsidRPr="00F04A75">
        <w:rPr>
          <w:rFonts w:ascii="Arial Narrow" w:hAnsi="Arial Narrow"/>
          <w:color w:val="auto"/>
          <w:sz w:val="20"/>
          <w:szCs w:val="20"/>
        </w:rPr>
        <w:t xml:space="preserve">results from </w:t>
      </w:r>
      <w:r w:rsidRPr="00F04A75">
        <w:rPr>
          <w:rFonts w:ascii="Arial Narrow" w:hAnsi="Arial Narrow"/>
          <w:color w:val="auto"/>
          <w:sz w:val="20"/>
          <w:szCs w:val="20"/>
        </w:rPr>
        <w:t xml:space="preserve">ASPIRE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70"/>
        <w:gridCol w:w="994"/>
        <w:gridCol w:w="1134"/>
        <w:gridCol w:w="994"/>
        <w:gridCol w:w="1134"/>
        <w:gridCol w:w="1134"/>
        <w:gridCol w:w="1275"/>
        <w:gridCol w:w="1082"/>
      </w:tblGrid>
      <w:tr w:rsidR="00F97782" w:rsidRPr="00F04A75" w14:paraId="788F522B" w14:textId="77777777" w:rsidTr="00020BE8">
        <w:trPr>
          <w:cantSplit/>
          <w:tblHeader/>
        </w:trPr>
        <w:tc>
          <w:tcPr>
            <w:tcW w:w="704" w:type="pct"/>
            <w:vMerge w:val="restart"/>
            <w:vAlign w:val="center"/>
          </w:tcPr>
          <w:p w14:paraId="6E94B355" w14:textId="77777777" w:rsidR="00F97782" w:rsidRPr="00F04A75" w:rsidRDefault="00F97782" w:rsidP="0016658B">
            <w:pPr>
              <w:pStyle w:val="In-tableHeading"/>
              <w:rPr>
                <w:b w:val="0"/>
                <w:bCs/>
                <w:lang w:val="en-AU"/>
              </w:rPr>
            </w:pPr>
          </w:p>
        </w:tc>
        <w:tc>
          <w:tcPr>
            <w:tcW w:w="1180" w:type="pct"/>
            <w:gridSpan w:val="2"/>
            <w:vAlign w:val="center"/>
          </w:tcPr>
          <w:p w14:paraId="59B0AEF3" w14:textId="77777777" w:rsidR="00F97782" w:rsidRPr="00F04A75" w:rsidRDefault="00F97782" w:rsidP="0016658B">
            <w:pPr>
              <w:pStyle w:val="In-tableHeading"/>
              <w:jc w:val="center"/>
              <w:rPr>
                <w:lang w:val="en-AU"/>
              </w:rPr>
            </w:pPr>
            <w:proofErr w:type="spellStart"/>
            <w:r w:rsidRPr="00F04A75">
              <w:rPr>
                <w:lang w:val="en-AU"/>
              </w:rPr>
              <w:t>CLd</w:t>
            </w:r>
            <w:proofErr w:type="spellEnd"/>
            <w:r w:rsidR="0076010E" w:rsidRPr="00F04A75">
              <w:rPr>
                <w:lang w:val="en-AU"/>
              </w:rPr>
              <w:t xml:space="preserve"> (N=</w:t>
            </w:r>
            <w:r w:rsidR="00347B07" w:rsidRPr="00F04A75">
              <w:rPr>
                <w:lang w:val="en-AU"/>
              </w:rPr>
              <w:t>396)</w:t>
            </w:r>
          </w:p>
        </w:tc>
        <w:tc>
          <w:tcPr>
            <w:tcW w:w="1180" w:type="pct"/>
            <w:gridSpan w:val="2"/>
            <w:vAlign w:val="center"/>
          </w:tcPr>
          <w:p w14:paraId="6A348FD8" w14:textId="77777777" w:rsidR="00F97782" w:rsidRPr="00F04A75" w:rsidRDefault="00F97782" w:rsidP="0016658B">
            <w:pPr>
              <w:pStyle w:val="In-tableHeading"/>
              <w:jc w:val="center"/>
              <w:rPr>
                <w:lang w:val="en-AU"/>
              </w:rPr>
            </w:pPr>
            <w:proofErr w:type="spellStart"/>
            <w:r w:rsidRPr="00F04A75">
              <w:rPr>
                <w:lang w:val="en-AU"/>
              </w:rPr>
              <w:t>Ld</w:t>
            </w:r>
            <w:proofErr w:type="spellEnd"/>
            <w:r w:rsidR="00347B07" w:rsidRPr="00F04A75">
              <w:rPr>
                <w:lang w:val="en-AU"/>
              </w:rPr>
              <w:t xml:space="preserve"> (N=396)</w:t>
            </w:r>
          </w:p>
        </w:tc>
        <w:tc>
          <w:tcPr>
            <w:tcW w:w="629" w:type="pct"/>
            <w:vMerge w:val="restart"/>
            <w:vAlign w:val="center"/>
          </w:tcPr>
          <w:p w14:paraId="7D7F3D10" w14:textId="77777777" w:rsidR="00F97782" w:rsidRPr="00F04A75" w:rsidRDefault="00F97782" w:rsidP="0016658B">
            <w:pPr>
              <w:pStyle w:val="In-tableHeading"/>
              <w:jc w:val="center"/>
              <w:rPr>
                <w:lang w:val="en-AU"/>
              </w:rPr>
            </w:pPr>
            <w:r w:rsidRPr="00F04A75">
              <w:rPr>
                <w:lang w:val="en-AU"/>
              </w:rPr>
              <w:t>Difference in median</w:t>
            </w:r>
            <w:r w:rsidR="00020BE8" w:rsidRPr="00F04A75">
              <w:rPr>
                <w:lang w:val="en-AU"/>
              </w:rPr>
              <w:t>, months</w:t>
            </w:r>
          </w:p>
        </w:tc>
        <w:tc>
          <w:tcPr>
            <w:tcW w:w="707" w:type="pct"/>
            <w:vMerge w:val="restart"/>
            <w:vAlign w:val="center"/>
          </w:tcPr>
          <w:p w14:paraId="155688B9" w14:textId="77777777" w:rsidR="00F97782" w:rsidRPr="00F04A75" w:rsidRDefault="00F97782" w:rsidP="0016658B">
            <w:pPr>
              <w:pStyle w:val="In-tableHeading"/>
              <w:jc w:val="center"/>
              <w:rPr>
                <w:lang w:val="en-AU"/>
              </w:rPr>
            </w:pPr>
            <w:r w:rsidRPr="00F04A75">
              <w:rPr>
                <w:lang w:val="en-AU"/>
              </w:rPr>
              <w:t>P value</w:t>
            </w:r>
          </w:p>
          <w:p w14:paraId="33C7E910" w14:textId="77777777" w:rsidR="00F97782" w:rsidRPr="00F04A75" w:rsidRDefault="00F97782" w:rsidP="0016658B">
            <w:pPr>
              <w:pStyle w:val="In-tableHeading"/>
              <w:jc w:val="center"/>
              <w:rPr>
                <w:lang w:val="en-AU"/>
              </w:rPr>
            </w:pPr>
            <w:r w:rsidRPr="00F04A75">
              <w:rPr>
                <w:lang w:val="en-AU"/>
              </w:rPr>
              <w:t>(log rank test)</w:t>
            </w:r>
          </w:p>
        </w:tc>
        <w:tc>
          <w:tcPr>
            <w:tcW w:w="601" w:type="pct"/>
            <w:vMerge w:val="restart"/>
            <w:vAlign w:val="center"/>
          </w:tcPr>
          <w:p w14:paraId="1744EC12" w14:textId="77777777" w:rsidR="00F97782" w:rsidRPr="00F04A75" w:rsidRDefault="00F97782" w:rsidP="0016658B">
            <w:pPr>
              <w:pStyle w:val="In-tableHeading"/>
              <w:jc w:val="center"/>
              <w:rPr>
                <w:lang w:val="en-AU"/>
              </w:rPr>
            </w:pPr>
            <w:r w:rsidRPr="00F04A75">
              <w:rPr>
                <w:lang w:val="en-AU"/>
              </w:rPr>
              <w:t xml:space="preserve">Odds ratio </w:t>
            </w:r>
          </w:p>
          <w:p w14:paraId="4A213F89" w14:textId="77777777" w:rsidR="00F97782" w:rsidRPr="00F04A75" w:rsidRDefault="00F97782" w:rsidP="0016658B">
            <w:pPr>
              <w:pStyle w:val="In-tableHeading"/>
              <w:jc w:val="center"/>
              <w:rPr>
                <w:lang w:val="en-AU"/>
              </w:rPr>
            </w:pPr>
            <w:r w:rsidRPr="00F04A75">
              <w:rPr>
                <w:lang w:val="en-AU"/>
              </w:rPr>
              <w:t>(95% CI)</w:t>
            </w:r>
          </w:p>
        </w:tc>
      </w:tr>
      <w:tr w:rsidR="00020BE8" w:rsidRPr="00F04A75" w14:paraId="76C739A1" w14:textId="77777777" w:rsidTr="00020BE8">
        <w:trPr>
          <w:cantSplit/>
        </w:trPr>
        <w:tc>
          <w:tcPr>
            <w:tcW w:w="704" w:type="pct"/>
            <w:vMerge/>
            <w:vAlign w:val="center"/>
          </w:tcPr>
          <w:p w14:paraId="2D502EF0" w14:textId="77777777" w:rsidR="00F97782" w:rsidRPr="00F04A75" w:rsidRDefault="00F97782" w:rsidP="0016658B">
            <w:pPr>
              <w:pStyle w:val="TableText0"/>
            </w:pPr>
          </w:p>
        </w:tc>
        <w:tc>
          <w:tcPr>
            <w:tcW w:w="551" w:type="pct"/>
            <w:vAlign w:val="center"/>
          </w:tcPr>
          <w:p w14:paraId="782575A4" w14:textId="77777777" w:rsidR="00F97782" w:rsidRPr="00F04A75" w:rsidRDefault="00F97782" w:rsidP="0016658B">
            <w:pPr>
              <w:pStyle w:val="TableText0"/>
              <w:jc w:val="center"/>
              <w:rPr>
                <w:b/>
              </w:rPr>
            </w:pPr>
            <w:r w:rsidRPr="00F04A75">
              <w:rPr>
                <w:b/>
              </w:rPr>
              <w:t>n/N (%)</w:t>
            </w:r>
          </w:p>
        </w:tc>
        <w:tc>
          <w:tcPr>
            <w:tcW w:w="629" w:type="pct"/>
            <w:vAlign w:val="center"/>
          </w:tcPr>
          <w:p w14:paraId="501F0738" w14:textId="77777777" w:rsidR="00F97782" w:rsidRPr="00F04A75" w:rsidRDefault="00F97782" w:rsidP="0016658B">
            <w:pPr>
              <w:pStyle w:val="TableText0"/>
              <w:jc w:val="center"/>
              <w:rPr>
                <w:b/>
              </w:rPr>
            </w:pPr>
            <w:r w:rsidRPr="00F04A75">
              <w:rPr>
                <w:b/>
              </w:rPr>
              <w:t>Median, months</w:t>
            </w:r>
          </w:p>
        </w:tc>
        <w:tc>
          <w:tcPr>
            <w:tcW w:w="551" w:type="pct"/>
            <w:vAlign w:val="center"/>
          </w:tcPr>
          <w:p w14:paraId="5164C5E3" w14:textId="77777777" w:rsidR="00F97782" w:rsidRPr="00F04A75" w:rsidRDefault="00F97782" w:rsidP="0016658B">
            <w:pPr>
              <w:pStyle w:val="TableText0"/>
              <w:jc w:val="center"/>
              <w:rPr>
                <w:b/>
              </w:rPr>
            </w:pPr>
            <w:r w:rsidRPr="00F04A75">
              <w:rPr>
                <w:b/>
              </w:rPr>
              <w:t>n/N (%)</w:t>
            </w:r>
          </w:p>
        </w:tc>
        <w:tc>
          <w:tcPr>
            <w:tcW w:w="629" w:type="pct"/>
            <w:vAlign w:val="center"/>
          </w:tcPr>
          <w:p w14:paraId="22086770" w14:textId="77777777" w:rsidR="00F97782" w:rsidRPr="00F04A75" w:rsidRDefault="00F97782" w:rsidP="0016658B">
            <w:pPr>
              <w:pStyle w:val="TableText0"/>
              <w:jc w:val="center"/>
              <w:rPr>
                <w:b/>
              </w:rPr>
            </w:pPr>
            <w:r w:rsidRPr="00F04A75">
              <w:rPr>
                <w:b/>
              </w:rPr>
              <w:t xml:space="preserve">Median, months </w:t>
            </w:r>
          </w:p>
        </w:tc>
        <w:tc>
          <w:tcPr>
            <w:tcW w:w="629" w:type="pct"/>
            <w:vMerge/>
            <w:vAlign w:val="center"/>
          </w:tcPr>
          <w:p w14:paraId="37750296" w14:textId="77777777" w:rsidR="00F97782" w:rsidRPr="00F04A75" w:rsidRDefault="00F97782" w:rsidP="0016658B">
            <w:pPr>
              <w:pStyle w:val="TableText0"/>
              <w:jc w:val="center"/>
            </w:pPr>
          </w:p>
        </w:tc>
        <w:tc>
          <w:tcPr>
            <w:tcW w:w="707" w:type="pct"/>
            <w:vMerge/>
            <w:vAlign w:val="center"/>
          </w:tcPr>
          <w:p w14:paraId="1EF11899" w14:textId="77777777" w:rsidR="00F97782" w:rsidRPr="00F04A75" w:rsidRDefault="00F97782" w:rsidP="0016658B">
            <w:pPr>
              <w:pStyle w:val="TableText0"/>
              <w:jc w:val="center"/>
            </w:pPr>
          </w:p>
        </w:tc>
        <w:tc>
          <w:tcPr>
            <w:tcW w:w="601" w:type="pct"/>
            <w:vMerge/>
            <w:vAlign w:val="center"/>
          </w:tcPr>
          <w:p w14:paraId="224972D6" w14:textId="77777777" w:rsidR="00F97782" w:rsidRPr="00F04A75" w:rsidRDefault="00F97782" w:rsidP="0016658B">
            <w:pPr>
              <w:pStyle w:val="TableText0"/>
              <w:jc w:val="center"/>
            </w:pPr>
          </w:p>
        </w:tc>
      </w:tr>
      <w:tr w:rsidR="00020BE8" w:rsidRPr="00F04A75" w14:paraId="1E395607" w14:textId="77777777" w:rsidTr="00020BE8">
        <w:trPr>
          <w:cantSplit/>
          <w:trHeight w:val="465"/>
        </w:trPr>
        <w:tc>
          <w:tcPr>
            <w:tcW w:w="704" w:type="pct"/>
            <w:shd w:val="clear" w:color="auto" w:fill="B8CCE4" w:themeFill="accent1" w:themeFillTint="66"/>
            <w:vAlign w:val="center"/>
          </w:tcPr>
          <w:p w14:paraId="53FAD70A" w14:textId="77777777" w:rsidR="00F97782" w:rsidRPr="00F04A75" w:rsidRDefault="00F97782" w:rsidP="00020BE8">
            <w:pPr>
              <w:keepNext/>
              <w:spacing w:before="20" w:after="20"/>
              <w:jc w:val="left"/>
              <w:rPr>
                <w:rFonts w:ascii="Arial Narrow" w:eastAsia="TimesNewRoman" w:hAnsi="Arial Narrow" w:cs="Times New Roman"/>
                <w:color w:val="000000"/>
                <w:sz w:val="20"/>
                <w:szCs w:val="20"/>
              </w:rPr>
            </w:pPr>
            <w:r w:rsidRPr="00F04A75">
              <w:rPr>
                <w:rFonts w:ascii="Arial Narrow" w:eastAsia="TimesNewRoman" w:hAnsi="Arial Narrow" w:cs="Times New Roman"/>
                <w:color w:val="000000"/>
                <w:sz w:val="20"/>
                <w:szCs w:val="20"/>
              </w:rPr>
              <w:t>16 June 2014 IRC</w:t>
            </w:r>
          </w:p>
        </w:tc>
        <w:tc>
          <w:tcPr>
            <w:tcW w:w="551" w:type="pct"/>
            <w:shd w:val="clear" w:color="auto" w:fill="B8CCE4" w:themeFill="accent1" w:themeFillTint="66"/>
            <w:vAlign w:val="center"/>
          </w:tcPr>
          <w:p w14:paraId="591876B8" w14:textId="77777777" w:rsidR="00F97782" w:rsidRPr="00F04A75" w:rsidRDefault="00F97782" w:rsidP="0016658B">
            <w:pPr>
              <w:pStyle w:val="TableText0"/>
              <w:jc w:val="center"/>
            </w:pPr>
            <w:r w:rsidRPr="00F04A75">
              <w:rPr>
                <w:rFonts w:cstheme="minorHAnsi"/>
                <w:szCs w:val="20"/>
              </w:rPr>
              <w:t>345/396 (87.1)</w:t>
            </w:r>
          </w:p>
        </w:tc>
        <w:tc>
          <w:tcPr>
            <w:tcW w:w="629" w:type="pct"/>
            <w:shd w:val="clear" w:color="auto" w:fill="B8CCE4" w:themeFill="accent1" w:themeFillTint="66"/>
            <w:vAlign w:val="center"/>
          </w:tcPr>
          <w:p w14:paraId="1A8F53C0" w14:textId="77777777" w:rsidR="00F97782" w:rsidRPr="00DF5512" w:rsidRDefault="00F97782" w:rsidP="0016658B">
            <w:pPr>
              <w:pStyle w:val="TableText0"/>
              <w:jc w:val="center"/>
              <w:rPr>
                <w:iCs/>
              </w:rPr>
            </w:pPr>
            <w:r w:rsidRPr="00DF5512">
              <w:rPr>
                <w:rFonts w:eastAsia="TimesNewRoman" w:cs="Times New Roman"/>
                <w:iCs/>
                <w:color w:val="000000"/>
                <w:szCs w:val="20"/>
              </w:rPr>
              <w:t>NR</w:t>
            </w:r>
          </w:p>
        </w:tc>
        <w:tc>
          <w:tcPr>
            <w:tcW w:w="551" w:type="pct"/>
            <w:shd w:val="clear" w:color="auto" w:fill="B8CCE4" w:themeFill="accent1" w:themeFillTint="66"/>
            <w:vAlign w:val="center"/>
          </w:tcPr>
          <w:p w14:paraId="078CBD9A" w14:textId="77777777" w:rsidR="00F97782" w:rsidRPr="00F04A75" w:rsidRDefault="00F97782" w:rsidP="0016658B">
            <w:pPr>
              <w:pStyle w:val="TableText0"/>
              <w:jc w:val="center"/>
            </w:pPr>
            <w:r w:rsidRPr="00F04A75">
              <w:rPr>
                <w:rFonts w:cstheme="minorHAnsi"/>
                <w:szCs w:val="20"/>
              </w:rPr>
              <w:t>264/396 (66.7)</w:t>
            </w:r>
          </w:p>
        </w:tc>
        <w:tc>
          <w:tcPr>
            <w:tcW w:w="629" w:type="pct"/>
            <w:shd w:val="clear" w:color="auto" w:fill="B8CCE4" w:themeFill="accent1" w:themeFillTint="66"/>
            <w:vAlign w:val="center"/>
          </w:tcPr>
          <w:p w14:paraId="3D52700C" w14:textId="77777777" w:rsidR="00F97782" w:rsidRPr="00DF5512" w:rsidRDefault="00F97782" w:rsidP="0016658B">
            <w:pPr>
              <w:pStyle w:val="TableText0"/>
              <w:jc w:val="center"/>
              <w:rPr>
                <w:iCs/>
              </w:rPr>
            </w:pPr>
            <w:r w:rsidRPr="00DF5512">
              <w:rPr>
                <w:rFonts w:eastAsia="TimesNewRoman" w:cs="Times New Roman"/>
                <w:iCs/>
                <w:color w:val="000000"/>
                <w:szCs w:val="20"/>
              </w:rPr>
              <w:t>NR</w:t>
            </w:r>
          </w:p>
        </w:tc>
        <w:tc>
          <w:tcPr>
            <w:tcW w:w="629" w:type="pct"/>
            <w:shd w:val="clear" w:color="auto" w:fill="B8CCE4" w:themeFill="accent1" w:themeFillTint="66"/>
            <w:vAlign w:val="center"/>
          </w:tcPr>
          <w:p w14:paraId="1EA1518E" w14:textId="77777777" w:rsidR="00F97782" w:rsidRPr="00DF5512" w:rsidRDefault="00F97782" w:rsidP="0016658B">
            <w:pPr>
              <w:pStyle w:val="TableText0"/>
              <w:jc w:val="center"/>
              <w:rPr>
                <w:iCs/>
              </w:rPr>
            </w:pPr>
            <w:r w:rsidRPr="00DF5512">
              <w:rPr>
                <w:rFonts w:eastAsia="TimesNewRoman" w:cs="Times New Roman"/>
                <w:iCs/>
                <w:color w:val="000000"/>
                <w:szCs w:val="20"/>
              </w:rPr>
              <w:t>NR</w:t>
            </w:r>
          </w:p>
        </w:tc>
        <w:tc>
          <w:tcPr>
            <w:tcW w:w="707" w:type="pct"/>
            <w:shd w:val="clear" w:color="auto" w:fill="B8CCE4" w:themeFill="accent1" w:themeFillTint="66"/>
            <w:vAlign w:val="center"/>
          </w:tcPr>
          <w:p w14:paraId="2DC27C38" w14:textId="77777777" w:rsidR="00F97782" w:rsidRPr="00DF5512" w:rsidRDefault="00F97782" w:rsidP="0016658B">
            <w:pPr>
              <w:pStyle w:val="TableText0"/>
              <w:jc w:val="center"/>
              <w:rPr>
                <w:b/>
                <w:bCs w:val="0"/>
                <w:iCs/>
              </w:rPr>
            </w:pPr>
            <w:r w:rsidRPr="00DF5512">
              <w:rPr>
                <w:rFonts w:eastAsia="TimesNewRoman" w:cs="Times New Roman"/>
                <w:b/>
                <w:iCs/>
                <w:color w:val="000000"/>
                <w:szCs w:val="20"/>
              </w:rPr>
              <w:t>&lt;0.0001</w:t>
            </w:r>
          </w:p>
        </w:tc>
        <w:tc>
          <w:tcPr>
            <w:tcW w:w="601" w:type="pct"/>
            <w:shd w:val="clear" w:color="auto" w:fill="B8CCE4" w:themeFill="accent1" w:themeFillTint="66"/>
            <w:vAlign w:val="center"/>
          </w:tcPr>
          <w:p w14:paraId="19243CB3" w14:textId="77777777" w:rsidR="00F97782" w:rsidRPr="00DF5512" w:rsidRDefault="00F97782" w:rsidP="0016658B">
            <w:pPr>
              <w:pStyle w:val="TableText0"/>
              <w:jc w:val="center"/>
              <w:rPr>
                <w:b/>
                <w:bCs w:val="0"/>
                <w:iCs/>
              </w:rPr>
            </w:pPr>
            <w:r w:rsidRPr="00DF5512">
              <w:rPr>
                <w:rFonts w:cstheme="minorHAnsi"/>
                <w:b/>
                <w:iCs/>
                <w:szCs w:val="20"/>
              </w:rPr>
              <w:t>3.47</w:t>
            </w:r>
            <w:r w:rsidRPr="00DF5512">
              <w:rPr>
                <w:rFonts w:cstheme="minorHAnsi"/>
                <w:b/>
                <w:iCs/>
                <w:szCs w:val="20"/>
              </w:rPr>
              <w:br/>
              <w:t xml:space="preserve"> (2.41, 5.00)</w:t>
            </w:r>
          </w:p>
        </w:tc>
      </w:tr>
    </w:tbl>
    <w:p w14:paraId="18A60A76" w14:textId="77777777" w:rsidR="00F97782" w:rsidRPr="00F04A75" w:rsidRDefault="00F97782" w:rsidP="0016658B">
      <w:pPr>
        <w:pStyle w:val="Normalbeforebullet"/>
        <w:snapToGrid w:val="0"/>
        <w:spacing w:before="0" w:after="0" w:line="240" w:lineRule="auto"/>
        <w:rPr>
          <w:rFonts w:ascii="Arial Narrow" w:hAnsi="Arial Narrow" w:cstheme="minorHAnsi"/>
          <w:sz w:val="18"/>
          <w:szCs w:val="18"/>
        </w:rPr>
      </w:pPr>
      <w:r w:rsidRPr="00F04A75">
        <w:rPr>
          <w:rFonts w:ascii="Arial Narrow" w:hAnsi="Arial Narrow" w:cstheme="minorHAnsi"/>
          <w:sz w:val="18"/>
          <w:szCs w:val="18"/>
        </w:rPr>
        <w:t>Source: Table 2.5-8 p64-65 of the resubmission</w:t>
      </w:r>
      <w:r w:rsidR="00963BCA" w:rsidRPr="00F04A75">
        <w:rPr>
          <w:rFonts w:ascii="Arial Narrow" w:hAnsi="Arial Narrow" w:cstheme="minorHAnsi"/>
          <w:sz w:val="18"/>
          <w:szCs w:val="18"/>
        </w:rPr>
        <w:t>.</w:t>
      </w:r>
      <w:r w:rsidRPr="00F04A75">
        <w:rPr>
          <w:rFonts w:ascii="Arial Narrow" w:hAnsi="Arial Narrow" w:cstheme="minorHAnsi"/>
          <w:sz w:val="18"/>
          <w:szCs w:val="18"/>
        </w:rPr>
        <w:t xml:space="preserve"> </w:t>
      </w:r>
    </w:p>
    <w:p w14:paraId="3D83881E" w14:textId="77777777" w:rsidR="00DF5512" w:rsidRDefault="00F97782" w:rsidP="00DF5512">
      <w:pPr>
        <w:jc w:val="left"/>
        <w:rPr>
          <w:rFonts w:ascii="Arial Narrow" w:hAnsi="Arial Narrow"/>
          <w:sz w:val="18"/>
          <w:szCs w:val="18"/>
        </w:rPr>
      </w:pPr>
      <w:r w:rsidRPr="00F04A75">
        <w:rPr>
          <w:rFonts w:ascii="Arial Narrow" w:hAnsi="Arial Narrow"/>
          <w:bCs/>
          <w:sz w:val="18"/>
          <w:szCs w:val="18"/>
        </w:rPr>
        <w:t>CI</w:t>
      </w:r>
      <w:r w:rsidR="00334CF5" w:rsidRPr="00F04A75">
        <w:rPr>
          <w:rFonts w:ascii="Arial Narrow" w:hAnsi="Arial Narrow"/>
          <w:bCs/>
          <w:sz w:val="18"/>
          <w:szCs w:val="18"/>
        </w:rPr>
        <w:t xml:space="preserve"> </w:t>
      </w:r>
      <w:r w:rsidRPr="00F04A75">
        <w:rPr>
          <w:rFonts w:ascii="Arial Narrow" w:hAnsi="Arial Narrow"/>
          <w:bCs/>
          <w:sz w:val="18"/>
          <w:szCs w:val="18"/>
        </w:rPr>
        <w:t>=</w:t>
      </w:r>
      <w:r w:rsidR="00334CF5" w:rsidRPr="00F04A75">
        <w:rPr>
          <w:rFonts w:ascii="Arial Narrow" w:hAnsi="Arial Narrow"/>
          <w:bCs/>
          <w:sz w:val="18"/>
          <w:szCs w:val="18"/>
        </w:rPr>
        <w:t xml:space="preserve"> </w:t>
      </w:r>
      <w:r w:rsidRPr="00F04A75">
        <w:rPr>
          <w:rFonts w:ascii="Arial Narrow" w:hAnsi="Arial Narrow"/>
          <w:bCs/>
          <w:sz w:val="18"/>
          <w:szCs w:val="18"/>
        </w:rPr>
        <w:t xml:space="preserve">confidence interval; </w:t>
      </w:r>
      <w:proofErr w:type="spellStart"/>
      <w:r w:rsidRPr="00F04A75">
        <w:rPr>
          <w:rFonts w:ascii="Arial Narrow" w:hAnsi="Arial Narrow"/>
          <w:bCs/>
          <w:sz w:val="18"/>
          <w:szCs w:val="18"/>
        </w:rPr>
        <w:t>CLd</w:t>
      </w:r>
      <w:proofErr w:type="spellEnd"/>
      <w:r w:rsidR="00334CF5" w:rsidRPr="00F04A75">
        <w:rPr>
          <w:rFonts w:ascii="Arial Narrow" w:hAnsi="Arial Narrow"/>
          <w:bCs/>
          <w:sz w:val="18"/>
          <w:szCs w:val="18"/>
        </w:rPr>
        <w:t xml:space="preserve"> </w:t>
      </w:r>
      <w:r w:rsidRPr="00F04A75">
        <w:rPr>
          <w:rFonts w:ascii="Arial Narrow" w:hAnsi="Arial Narrow"/>
          <w:bCs/>
          <w:sz w:val="18"/>
          <w:szCs w:val="18"/>
        </w:rPr>
        <w:t>=</w:t>
      </w:r>
      <w:r w:rsidR="00334CF5" w:rsidRPr="00F04A75">
        <w:rPr>
          <w:rFonts w:ascii="Arial Narrow" w:hAnsi="Arial Narrow"/>
          <w:bCs/>
          <w:sz w:val="18"/>
          <w:szCs w:val="18"/>
        </w:rPr>
        <w:t xml:space="preserve"> </w:t>
      </w:r>
      <w:r w:rsidRPr="00F04A75">
        <w:rPr>
          <w:rFonts w:ascii="Arial Narrow" w:hAnsi="Arial Narrow"/>
          <w:bCs/>
          <w:sz w:val="18"/>
          <w:szCs w:val="18"/>
        </w:rPr>
        <w:t>carfilzomib</w:t>
      </w:r>
      <w:r w:rsidR="00334CF5" w:rsidRPr="00F04A75">
        <w:rPr>
          <w:rFonts w:ascii="Arial Narrow" w:hAnsi="Arial Narrow"/>
          <w:bCs/>
          <w:sz w:val="18"/>
          <w:szCs w:val="18"/>
        </w:rPr>
        <w:t xml:space="preserve">, </w:t>
      </w:r>
      <w:r w:rsidRPr="00F04A75">
        <w:rPr>
          <w:rFonts w:ascii="Arial Narrow" w:hAnsi="Arial Narrow"/>
          <w:bCs/>
          <w:sz w:val="18"/>
          <w:szCs w:val="18"/>
        </w:rPr>
        <w:t>lenalidomide and dexamethasone; IRC</w:t>
      </w:r>
      <w:r w:rsidR="00334CF5" w:rsidRPr="00F04A75">
        <w:rPr>
          <w:rFonts w:ascii="Arial Narrow" w:hAnsi="Arial Narrow"/>
          <w:bCs/>
          <w:sz w:val="18"/>
          <w:szCs w:val="18"/>
        </w:rPr>
        <w:t xml:space="preserve"> </w:t>
      </w:r>
      <w:r w:rsidRPr="00F04A75">
        <w:rPr>
          <w:rFonts w:ascii="Arial Narrow" w:hAnsi="Arial Narrow"/>
          <w:bCs/>
          <w:sz w:val="18"/>
          <w:szCs w:val="18"/>
        </w:rPr>
        <w:t>=</w:t>
      </w:r>
      <w:r w:rsidRPr="00F04A75">
        <w:t xml:space="preserve"> </w:t>
      </w:r>
      <w:r w:rsidRPr="00F04A75">
        <w:rPr>
          <w:rFonts w:ascii="Arial Narrow" w:hAnsi="Arial Narrow"/>
          <w:bCs/>
          <w:sz w:val="18"/>
          <w:szCs w:val="18"/>
        </w:rPr>
        <w:t xml:space="preserve">Independent Review Committee; </w:t>
      </w:r>
      <w:proofErr w:type="spellStart"/>
      <w:r w:rsidRPr="00F04A75">
        <w:rPr>
          <w:rFonts w:ascii="Arial Narrow" w:hAnsi="Arial Narrow"/>
          <w:bCs/>
          <w:sz w:val="18"/>
          <w:szCs w:val="18"/>
        </w:rPr>
        <w:t>Ld</w:t>
      </w:r>
      <w:proofErr w:type="spellEnd"/>
      <w:r w:rsidR="00334CF5" w:rsidRPr="00F04A75">
        <w:rPr>
          <w:rFonts w:ascii="Arial Narrow" w:hAnsi="Arial Narrow"/>
          <w:bCs/>
          <w:sz w:val="18"/>
          <w:szCs w:val="18"/>
        </w:rPr>
        <w:t xml:space="preserve"> </w:t>
      </w:r>
      <w:r w:rsidRPr="00F04A75">
        <w:rPr>
          <w:rFonts w:ascii="Arial Narrow" w:hAnsi="Arial Narrow"/>
          <w:bCs/>
          <w:sz w:val="18"/>
          <w:szCs w:val="18"/>
        </w:rPr>
        <w:t>=</w:t>
      </w:r>
      <w:r w:rsidR="00334CF5" w:rsidRPr="00F04A75">
        <w:rPr>
          <w:rFonts w:ascii="Arial Narrow" w:hAnsi="Arial Narrow"/>
          <w:bCs/>
          <w:sz w:val="18"/>
          <w:szCs w:val="18"/>
        </w:rPr>
        <w:t xml:space="preserve"> </w:t>
      </w:r>
      <w:r w:rsidRPr="00F04A75">
        <w:rPr>
          <w:rFonts w:ascii="Arial Narrow" w:hAnsi="Arial Narrow"/>
          <w:bCs/>
          <w:sz w:val="18"/>
          <w:szCs w:val="18"/>
        </w:rPr>
        <w:t>lenalidomide and dexamethasone; NR</w:t>
      </w:r>
      <w:r w:rsidR="00334CF5" w:rsidRPr="00F04A75">
        <w:rPr>
          <w:rFonts w:ascii="Arial Narrow" w:hAnsi="Arial Narrow"/>
          <w:bCs/>
          <w:sz w:val="18"/>
          <w:szCs w:val="18"/>
        </w:rPr>
        <w:t xml:space="preserve"> </w:t>
      </w:r>
      <w:r w:rsidRPr="00F04A75">
        <w:rPr>
          <w:rFonts w:ascii="Arial Narrow" w:hAnsi="Arial Narrow"/>
          <w:bCs/>
          <w:sz w:val="18"/>
          <w:szCs w:val="18"/>
        </w:rPr>
        <w:t>=</w:t>
      </w:r>
      <w:r w:rsidR="00334CF5" w:rsidRPr="00F04A75">
        <w:rPr>
          <w:rFonts w:ascii="Arial Narrow" w:hAnsi="Arial Narrow"/>
          <w:bCs/>
          <w:sz w:val="18"/>
          <w:szCs w:val="18"/>
        </w:rPr>
        <w:t xml:space="preserve"> </w:t>
      </w:r>
      <w:r w:rsidRPr="00F04A75">
        <w:rPr>
          <w:rFonts w:ascii="Arial Narrow" w:hAnsi="Arial Narrow"/>
          <w:bCs/>
          <w:sz w:val="18"/>
          <w:szCs w:val="18"/>
        </w:rPr>
        <w:t>not reported</w:t>
      </w:r>
      <w:r w:rsidR="00334CF5" w:rsidRPr="00F04A75">
        <w:rPr>
          <w:rFonts w:ascii="Arial Narrow" w:hAnsi="Arial Narrow"/>
          <w:bCs/>
          <w:sz w:val="18"/>
          <w:szCs w:val="18"/>
        </w:rPr>
        <w:t>; ORR = objective response rate</w:t>
      </w:r>
      <w:r w:rsidRPr="00F04A75">
        <w:rPr>
          <w:rFonts w:ascii="Arial Narrow" w:hAnsi="Arial Narrow"/>
          <w:bCs/>
          <w:sz w:val="18"/>
          <w:szCs w:val="18"/>
        </w:rPr>
        <w:br/>
      </w:r>
      <w:r w:rsidRPr="00F04A75">
        <w:rPr>
          <w:rFonts w:ascii="Arial Narrow" w:hAnsi="Arial Narrow"/>
          <w:b/>
          <w:sz w:val="18"/>
          <w:szCs w:val="18"/>
        </w:rPr>
        <w:t>Bold</w:t>
      </w:r>
      <w:r w:rsidRPr="00F04A75">
        <w:rPr>
          <w:rFonts w:ascii="Arial Narrow" w:hAnsi="Arial Narrow"/>
          <w:sz w:val="18"/>
          <w:szCs w:val="18"/>
        </w:rPr>
        <w:t xml:space="preserve"> =</w:t>
      </w:r>
      <w:r w:rsidR="00334CF5" w:rsidRPr="00F04A75">
        <w:rPr>
          <w:rFonts w:ascii="Arial Narrow" w:hAnsi="Arial Narrow"/>
          <w:sz w:val="18"/>
          <w:szCs w:val="18"/>
        </w:rPr>
        <w:t xml:space="preserve"> </w:t>
      </w:r>
      <w:r w:rsidRPr="00F04A75">
        <w:rPr>
          <w:rFonts w:ascii="Arial Narrow" w:hAnsi="Arial Narrow"/>
          <w:sz w:val="18"/>
          <w:szCs w:val="18"/>
        </w:rPr>
        <w:t>statistically significant</w:t>
      </w:r>
      <w:bookmarkStart w:id="39" w:name="_Ref95398176"/>
    </w:p>
    <w:p w14:paraId="7FA8AC93" w14:textId="7A09C0F6" w:rsidR="00DF5512" w:rsidRPr="00DF5512" w:rsidRDefault="00DF5512" w:rsidP="00DF5512">
      <w:pPr>
        <w:jc w:val="left"/>
        <w:rPr>
          <w:rFonts w:ascii="Arial Narrow" w:hAnsi="Arial Narrow"/>
          <w:sz w:val="18"/>
          <w:szCs w:val="18"/>
        </w:rPr>
      </w:pPr>
      <w:r w:rsidRPr="00DF5512">
        <w:rPr>
          <w:rFonts w:ascii="Arial Narrow" w:hAnsi="Arial Narrow"/>
          <w:sz w:val="18"/>
          <w:szCs w:val="18"/>
        </w:rPr>
        <w:t xml:space="preserve">Blue shading </w:t>
      </w:r>
      <w:proofErr w:type="spellStart"/>
      <w:r w:rsidRPr="00DF5512">
        <w:rPr>
          <w:rFonts w:ascii="Arial Narrow" w:hAnsi="Arial Narrow"/>
          <w:sz w:val="18"/>
          <w:szCs w:val="18"/>
        </w:rPr>
        <w:t>representes</w:t>
      </w:r>
      <w:proofErr w:type="spellEnd"/>
      <w:r w:rsidRPr="00DF5512">
        <w:rPr>
          <w:rFonts w:ascii="Arial Narrow" w:hAnsi="Arial Narrow"/>
          <w:sz w:val="18"/>
          <w:szCs w:val="18"/>
        </w:rPr>
        <w:t xml:space="preserve"> information presented in carfilzomib November 2016 submission </w:t>
      </w:r>
    </w:p>
    <w:p w14:paraId="633C83F1" w14:textId="77777777" w:rsidR="00DF5512" w:rsidRPr="00DF5512" w:rsidRDefault="00DF5512" w:rsidP="00DF5512">
      <w:pPr>
        <w:jc w:val="left"/>
        <w:rPr>
          <w:rFonts w:ascii="Arial Narrow" w:hAnsi="Arial Narrow"/>
          <w:sz w:val="18"/>
          <w:szCs w:val="18"/>
        </w:rPr>
      </w:pPr>
    </w:p>
    <w:p w14:paraId="3D7A1B5C" w14:textId="6488DFBC" w:rsidR="007252AB" w:rsidRPr="00F04A75" w:rsidRDefault="007252AB" w:rsidP="007252AB">
      <w:pPr>
        <w:pStyle w:val="3-BodyText"/>
        <w:rPr>
          <w:color w:val="000000" w:themeColor="text1"/>
        </w:rPr>
      </w:pPr>
      <w:r w:rsidRPr="00F04A75">
        <w:rPr>
          <w:snapToGrid/>
          <w:color w:val="000000" w:themeColor="text1"/>
        </w:rPr>
        <w:t>The results for</w:t>
      </w:r>
      <w:r w:rsidR="00B50ABF" w:rsidRPr="00F04A75">
        <w:rPr>
          <w:snapToGrid/>
          <w:color w:val="000000" w:themeColor="text1"/>
        </w:rPr>
        <w:t xml:space="preserve"> </w:t>
      </w:r>
      <w:r w:rsidR="00C007E5" w:rsidRPr="00F04A75">
        <w:rPr>
          <w:snapToGrid/>
          <w:color w:val="000000" w:themeColor="text1"/>
        </w:rPr>
        <w:t>health-related quality of life (</w:t>
      </w:r>
      <w:proofErr w:type="spellStart"/>
      <w:r w:rsidR="00B50ABF" w:rsidRPr="00F04A75">
        <w:rPr>
          <w:snapToGrid/>
          <w:color w:val="000000" w:themeColor="text1"/>
        </w:rPr>
        <w:t>HRQoL</w:t>
      </w:r>
      <w:proofErr w:type="spellEnd"/>
      <w:r w:rsidR="00C007E5" w:rsidRPr="00F04A75">
        <w:rPr>
          <w:snapToGrid/>
          <w:color w:val="000000" w:themeColor="text1"/>
        </w:rPr>
        <w:t>)</w:t>
      </w:r>
      <w:r w:rsidR="00B50ABF" w:rsidRPr="00F04A75">
        <w:rPr>
          <w:snapToGrid/>
          <w:color w:val="000000" w:themeColor="text1"/>
        </w:rPr>
        <w:t xml:space="preserve"> in ASPIRE </w:t>
      </w:r>
      <w:r w:rsidR="003475FD" w:rsidRPr="00F04A75">
        <w:rPr>
          <w:snapToGrid/>
          <w:color w:val="000000" w:themeColor="text1"/>
        </w:rPr>
        <w:t>showed that the</w:t>
      </w:r>
      <w:r w:rsidR="00317C01" w:rsidRPr="00F04A75">
        <w:rPr>
          <w:rFonts w:cstheme="minorHAnsi"/>
          <w:szCs w:val="22"/>
          <w:lang w:eastAsia="ko-KR"/>
        </w:rPr>
        <w:t xml:space="preserve"> minimal clinically important difference (MCID) for between-group differences on the QLQ-C30 Global Health Status and Quality of Life scale of 5.0 points was met at </w:t>
      </w:r>
      <w:r w:rsidR="00020BE8" w:rsidRPr="00F04A75">
        <w:rPr>
          <w:rFonts w:cstheme="minorHAnsi"/>
          <w:szCs w:val="22"/>
          <w:lang w:eastAsia="ko-KR"/>
        </w:rPr>
        <w:t>C</w:t>
      </w:r>
      <w:r w:rsidR="00317C01" w:rsidRPr="00F04A75">
        <w:rPr>
          <w:rFonts w:cstheme="minorHAnsi"/>
          <w:szCs w:val="22"/>
          <w:lang w:eastAsia="ko-KR"/>
        </w:rPr>
        <w:t xml:space="preserve">ycle 12 (5.6 points) and approached at </w:t>
      </w:r>
      <w:r w:rsidR="00020BE8" w:rsidRPr="00F04A75">
        <w:rPr>
          <w:rFonts w:cstheme="minorHAnsi"/>
          <w:szCs w:val="22"/>
          <w:lang w:eastAsia="ko-KR"/>
        </w:rPr>
        <w:t>C</w:t>
      </w:r>
      <w:r w:rsidR="00317C01" w:rsidRPr="00F04A75">
        <w:rPr>
          <w:rFonts w:cstheme="minorHAnsi"/>
          <w:szCs w:val="22"/>
          <w:lang w:eastAsia="ko-KR"/>
        </w:rPr>
        <w:t>ycle 18 (4.8 points)</w:t>
      </w:r>
      <w:bookmarkEnd w:id="39"/>
      <w:r w:rsidR="00235C08" w:rsidRPr="00F04A75">
        <w:rPr>
          <w:rFonts w:cstheme="minorHAnsi"/>
          <w:szCs w:val="22"/>
          <w:lang w:eastAsia="ko-KR"/>
        </w:rPr>
        <w:t>.</w:t>
      </w:r>
      <w:r w:rsidR="0089389C" w:rsidRPr="00F04A75">
        <w:rPr>
          <w:rFonts w:cstheme="minorHAnsi"/>
          <w:szCs w:val="22"/>
          <w:lang w:eastAsia="ko-KR"/>
        </w:rPr>
        <w:t xml:space="preserve"> </w:t>
      </w:r>
    </w:p>
    <w:p w14:paraId="10785B09" w14:textId="29583F5F" w:rsidR="00F97782" w:rsidRPr="00F04A75" w:rsidRDefault="00F97782" w:rsidP="00B80B76">
      <w:pPr>
        <w:pStyle w:val="3-BodyText"/>
        <w:numPr>
          <w:ilvl w:val="0"/>
          <w:numId w:val="0"/>
        </w:numPr>
        <w:ind w:left="720" w:hanging="720"/>
        <w:rPr>
          <w:color w:val="000000" w:themeColor="text1"/>
          <w:u w:val="single"/>
        </w:rPr>
      </w:pPr>
      <w:r w:rsidRPr="00F04A75">
        <w:rPr>
          <w:color w:val="000000" w:themeColor="text1"/>
          <w:u w:val="single"/>
        </w:rPr>
        <w:t>Cd versus Bd (ENDEAVOR trial)</w:t>
      </w:r>
    </w:p>
    <w:p w14:paraId="74492E1A" w14:textId="058EBD89" w:rsidR="00F97782" w:rsidRPr="00F04A75" w:rsidRDefault="00F97782" w:rsidP="0016658B">
      <w:pPr>
        <w:pStyle w:val="3-BodyText"/>
        <w:rPr>
          <w:rFonts w:cstheme="minorHAnsi"/>
          <w:snapToGrid/>
        </w:rPr>
      </w:pPr>
      <w:r w:rsidRPr="00F04A75">
        <w:rPr>
          <w:snapToGrid/>
        </w:rPr>
        <w:t xml:space="preserve">The summary of survival outcomes from ENDEAVOR are presented </w:t>
      </w:r>
      <w:r w:rsidRPr="00F04A75">
        <w:rPr>
          <w:rFonts w:cstheme="minorHAnsi"/>
          <w:snapToGrid/>
        </w:rPr>
        <w:t xml:space="preserve">in </w:t>
      </w:r>
      <w:r w:rsidR="00235C08" w:rsidRPr="00F04A75">
        <w:rPr>
          <w:rFonts w:cstheme="minorHAnsi"/>
          <w:snapToGrid/>
        </w:rPr>
        <w:t xml:space="preserve">Table </w:t>
      </w:r>
      <w:r w:rsidR="00C8791A">
        <w:rPr>
          <w:rFonts w:cstheme="minorHAnsi"/>
          <w:snapToGrid/>
        </w:rPr>
        <w:t>8</w:t>
      </w:r>
      <w:r w:rsidRPr="00F04A75">
        <w:rPr>
          <w:rFonts w:cstheme="minorHAnsi"/>
          <w:snapToGrid/>
        </w:rPr>
        <w:t>.</w:t>
      </w:r>
    </w:p>
    <w:p w14:paraId="367A8060" w14:textId="71E5E2CD" w:rsidR="00F97782" w:rsidRPr="00F04A75" w:rsidRDefault="00F97782" w:rsidP="0016658B">
      <w:pPr>
        <w:pStyle w:val="Caption"/>
        <w:keepNext/>
        <w:spacing w:after="0"/>
        <w:jc w:val="left"/>
        <w:rPr>
          <w:szCs w:val="20"/>
        </w:rPr>
      </w:pPr>
      <w:r w:rsidRPr="00F04A75">
        <w:rPr>
          <w:rFonts w:ascii="Arial Narrow" w:hAnsi="Arial Narrow"/>
          <w:color w:val="auto"/>
          <w:sz w:val="20"/>
          <w:szCs w:val="20"/>
        </w:rPr>
        <w:t xml:space="preserve">Table </w:t>
      </w:r>
      <w:r w:rsidRPr="00F04A75">
        <w:rPr>
          <w:rFonts w:ascii="Arial Narrow" w:hAnsi="Arial Narrow"/>
          <w:color w:val="auto"/>
          <w:sz w:val="20"/>
          <w:szCs w:val="20"/>
        </w:rPr>
        <w:fldChar w:fldCharType="begin"/>
      </w:r>
      <w:r w:rsidRPr="00F04A75">
        <w:rPr>
          <w:rFonts w:ascii="Arial Narrow" w:hAnsi="Arial Narrow"/>
          <w:color w:val="auto"/>
          <w:sz w:val="20"/>
          <w:szCs w:val="20"/>
        </w:rPr>
        <w:instrText xml:space="preserve"> SEQ Table \* ARABIC </w:instrText>
      </w:r>
      <w:r w:rsidRPr="00F04A75">
        <w:rPr>
          <w:rFonts w:ascii="Arial Narrow" w:hAnsi="Arial Narrow"/>
          <w:color w:val="auto"/>
          <w:sz w:val="20"/>
          <w:szCs w:val="20"/>
        </w:rPr>
        <w:fldChar w:fldCharType="separate"/>
      </w:r>
      <w:r w:rsidR="00443BC9">
        <w:rPr>
          <w:rFonts w:ascii="Arial Narrow" w:hAnsi="Arial Narrow"/>
          <w:noProof/>
          <w:color w:val="auto"/>
          <w:sz w:val="20"/>
          <w:szCs w:val="20"/>
        </w:rPr>
        <w:t>8</w:t>
      </w:r>
      <w:r w:rsidRPr="00F04A75">
        <w:rPr>
          <w:rFonts w:ascii="Arial Narrow" w:hAnsi="Arial Narrow"/>
          <w:color w:val="auto"/>
          <w:sz w:val="20"/>
          <w:szCs w:val="20"/>
        </w:rPr>
        <w:fldChar w:fldCharType="end"/>
      </w:r>
      <w:r w:rsidRPr="00F04A75">
        <w:rPr>
          <w:rFonts w:ascii="Arial Narrow" w:hAnsi="Arial Narrow"/>
          <w:color w:val="auto"/>
          <w:sz w:val="20"/>
          <w:szCs w:val="20"/>
        </w:rPr>
        <w:t>: Results of PFS and OS in ENDEAVOR</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136"/>
        <w:gridCol w:w="1136"/>
        <w:gridCol w:w="992"/>
        <w:gridCol w:w="992"/>
        <w:gridCol w:w="992"/>
        <w:gridCol w:w="992"/>
        <w:gridCol w:w="992"/>
        <w:gridCol w:w="785"/>
        <w:gridCol w:w="1005"/>
      </w:tblGrid>
      <w:tr w:rsidR="00347B07" w:rsidRPr="00F04A75" w14:paraId="12DF0D7B" w14:textId="77777777" w:rsidTr="00020BE8">
        <w:trPr>
          <w:trHeight w:val="113"/>
          <w:tblHeader/>
        </w:trPr>
        <w:tc>
          <w:tcPr>
            <w:tcW w:w="629" w:type="pct"/>
            <w:vMerge w:val="restart"/>
            <w:tcBorders>
              <w:left w:val="single" w:sz="4" w:space="0" w:color="auto"/>
              <w:right w:val="single" w:sz="4" w:space="0" w:color="auto"/>
            </w:tcBorders>
            <w:vAlign w:val="center"/>
          </w:tcPr>
          <w:p w14:paraId="149BB021" w14:textId="77777777" w:rsidR="00347B07" w:rsidRPr="00F04A75" w:rsidRDefault="00347B07" w:rsidP="00020BE8">
            <w:pPr>
              <w:keepNext/>
              <w:keepLines/>
              <w:jc w:val="center"/>
              <w:rPr>
                <w:rFonts w:ascii="Arial Narrow" w:eastAsia="TimesNewRoman" w:hAnsi="Arial Narrow" w:cs="Times New Roman"/>
                <w:color w:val="000000"/>
                <w:sz w:val="20"/>
                <w:szCs w:val="20"/>
              </w:rPr>
            </w:pPr>
          </w:p>
        </w:tc>
        <w:tc>
          <w:tcPr>
            <w:tcW w:w="629" w:type="pct"/>
            <w:vMerge w:val="restart"/>
            <w:tcBorders>
              <w:left w:val="single" w:sz="4" w:space="0" w:color="auto"/>
              <w:right w:val="single" w:sz="4" w:space="0" w:color="auto"/>
            </w:tcBorders>
            <w:vAlign w:val="center"/>
          </w:tcPr>
          <w:p w14:paraId="33C09FE1" w14:textId="77777777" w:rsidR="00347B07" w:rsidRPr="00F04A75" w:rsidRDefault="00347B07" w:rsidP="00020BE8">
            <w:pPr>
              <w:keepNext/>
              <w:keepLines/>
              <w:jc w:val="center"/>
              <w:rPr>
                <w:rFonts w:ascii="Arial Narrow" w:eastAsia="TimesNewRoman" w:hAnsi="Arial Narrow" w:cs="Times New Roman"/>
                <w:b/>
                <w:color w:val="000000"/>
                <w:sz w:val="20"/>
                <w:szCs w:val="20"/>
              </w:rPr>
            </w:pPr>
            <w:r w:rsidRPr="00F04A75">
              <w:rPr>
                <w:rFonts w:ascii="Arial Narrow" w:hAnsi="Arial Narrow"/>
                <w:b/>
                <w:bCs/>
                <w:sz w:val="20"/>
                <w:szCs w:val="20"/>
              </w:rPr>
              <w:t>Median time to follow up (months)</w:t>
            </w:r>
          </w:p>
        </w:tc>
        <w:tc>
          <w:tcPr>
            <w:tcW w:w="1100" w:type="pct"/>
            <w:gridSpan w:val="2"/>
            <w:tcBorders>
              <w:top w:val="single" w:sz="4" w:space="0" w:color="auto"/>
              <w:left w:val="single" w:sz="4" w:space="0" w:color="auto"/>
              <w:bottom w:val="single" w:sz="4" w:space="0" w:color="auto"/>
              <w:right w:val="single" w:sz="4" w:space="0" w:color="auto"/>
            </w:tcBorders>
            <w:vAlign w:val="center"/>
          </w:tcPr>
          <w:p w14:paraId="7FC255EC" w14:textId="77777777" w:rsidR="00347B07" w:rsidRPr="00F04A75" w:rsidRDefault="00347B07" w:rsidP="00020BE8">
            <w:pPr>
              <w:keepNext/>
              <w:keepLines/>
              <w:jc w:val="center"/>
              <w:rPr>
                <w:rFonts w:ascii="Arial Narrow" w:eastAsia="TimesNewRoman" w:hAnsi="Arial Narrow" w:cs="Times New Roman"/>
                <w:b/>
                <w:color w:val="000000"/>
                <w:sz w:val="20"/>
                <w:szCs w:val="20"/>
              </w:rPr>
            </w:pPr>
            <w:r w:rsidRPr="00F04A75">
              <w:rPr>
                <w:rFonts w:ascii="Arial Narrow" w:eastAsia="TimesNewRoman" w:hAnsi="Arial Narrow" w:cs="Times New Roman"/>
                <w:b/>
                <w:color w:val="000000"/>
                <w:sz w:val="20"/>
                <w:szCs w:val="20"/>
              </w:rPr>
              <w:t>Cd 56 BIW (N=464)</w:t>
            </w:r>
          </w:p>
        </w:tc>
        <w:tc>
          <w:tcPr>
            <w:tcW w:w="1100" w:type="pct"/>
            <w:gridSpan w:val="2"/>
            <w:tcBorders>
              <w:top w:val="single" w:sz="4" w:space="0" w:color="auto"/>
              <w:left w:val="single" w:sz="4" w:space="0" w:color="auto"/>
              <w:bottom w:val="single" w:sz="4" w:space="0" w:color="auto"/>
              <w:right w:val="single" w:sz="4" w:space="0" w:color="auto"/>
            </w:tcBorders>
            <w:vAlign w:val="center"/>
          </w:tcPr>
          <w:p w14:paraId="5D67411C" w14:textId="77777777" w:rsidR="00347B07" w:rsidRPr="00F04A75" w:rsidRDefault="00347B07" w:rsidP="00020BE8">
            <w:pPr>
              <w:keepNext/>
              <w:keepLines/>
              <w:jc w:val="center"/>
              <w:rPr>
                <w:rFonts w:ascii="Arial Narrow" w:eastAsia="TimesNewRoman" w:hAnsi="Arial Narrow" w:cs="Times New Roman"/>
                <w:b/>
                <w:color w:val="000000"/>
                <w:sz w:val="20"/>
                <w:szCs w:val="20"/>
              </w:rPr>
            </w:pPr>
            <w:r w:rsidRPr="00F04A75">
              <w:rPr>
                <w:rFonts w:ascii="Arial Narrow" w:eastAsia="TimesNewRoman" w:hAnsi="Arial Narrow" w:cs="Times New Roman"/>
                <w:b/>
                <w:color w:val="000000"/>
                <w:sz w:val="20"/>
                <w:szCs w:val="20"/>
              </w:rPr>
              <w:t>Bd (N=465)</w:t>
            </w:r>
          </w:p>
        </w:tc>
        <w:tc>
          <w:tcPr>
            <w:tcW w:w="550" w:type="pct"/>
            <w:vMerge w:val="restart"/>
            <w:tcBorders>
              <w:left w:val="single" w:sz="4" w:space="0" w:color="auto"/>
              <w:right w:val="single" w:sz="4" w:space="0" w:color="auto"/>
            </w:tcBorders>
            <w:vAlign w:val="center"/>
          </w:tcPr>
          <w:p w14:paraId="5D39AB1C" w14:textId="77777777" w:rsidR="00347B07" w:rsidRPr="00F04A75" w:rsidRDefault="00347B07" w:rsidP="00020BE8">
            <w:pPr>
              <w:keepNext/>
              <w:keepLines/>
              <w:jc w:val="center"/>
              <w:rPr>
                <w:rFonts w:ascii="Arial Narrow" w:eastAsia="TimesNewRoman" w:hAnsi="Arial Narrow" w:cs="Times New Roman"/>
                <w:b/>
                <w:bCs/>
                <w:color w:val="000000"/>
                <w:sz w:val="20"/>
                <w:szCs w:val="20"/>
              </w:rPr>
            </w:pPr>
            <w:r w:rsidRPr="00F04A75">
              <w:rPr>
                <w:rFonts w:ascii="Arial Narrow" w:hAnsi="Arial Narrow"/>
                <w:b/>
                <w:bCs/>
                <w:sz w:val="20"/>
                <w:szCs w:val="20"/>
              </w:rPr>
              <w:t>Difference in median</w:t>
            </w:r>
          </w:p>
        </w:tc>
        <w:tc>
          <w:tcPr>
            <w:tcW w:w="435" w:type="pct"/>
            <w:vMerge w:val="restart"/>
            <w:tcBorders>
              <w:left w:val="single" w:sz="4" w:space="0" w:color="auto"/>
              <w:right w:val="single" w:sz="4" w:space="0" w:color="auto"/>
            </w:tcBorders>
            <w:vAlign w:val="center"/>
          </w:tcPr>
          <w:p w14:paraId="08662625" w14:textId="77777777" w:rsidR="00347B07" w:rsidRPr="00F04A75" w:rsidRDefault="00347B07" w:rsidP="00020BE8">
            <w:pPr>
              <w:pStyle w:val="In-tableHeading"/>
              <w:jc w:val="center"/>
              <w:rPr>
                <w:szCs w:val="20"/>
                <w:lang w:val="en-AU"/>
              </w:rPr>
            </w:pPr>
            <w:r w:rsidRPr="00F04A75">
              <w:rPr>
                <w:szCs w:val="20"/>
                <w:lang w:val="en-AU"/>
              </w:rPr>
              <w:t>P value</w:t>
            </w:r>
          </w:p>
          <w:p w14:paraId="51D20C2B" w14:textId="77777777" w:rsidR="00347B07" w:rsidRPr="00F04A75" w:rsidRDefault="00347B07" w:rsidP="00020BE8">
            <w:pPr>
              <w:keepNext/>
              <w:keepLines/>
              <w:jc w:val="center"/>
              <w:rPr>
                <w:rFonts w:ascii="Arial Narrow" w:eastAsia="TimesNewRoman" w:hAnsi="Arial Narrow" w:cs="Times New Roman"/>
                <w:b/>
                <w:color w:val="000000"/>
                <w:sz w:val="20"/>
                <w:szCs w:val="20"/>
              </w:rPr>
            </w:pPr>
            <w:r w:rsidRPr="00F04A75">
              <w:rPr>
                <w:rFonts w:ascii="Arial Narrow" w:hAnsi="Arial Narrow"/>
                <w:b/>
                <w:sz w:val="20"/>
                <w:szCs w:val="20"/>
              </w:rPr>
              <w:t>(log rank test)</w:t>
            </w:r>
          </w:p>
        </w:tc>
        <w:tc>
          <w:tcPr>
            <w:tcW w:w="558" w:type="pct"/>
            <w:vMerge w:val="restart"/>
            <w:tcBorders>
              <w:left w:val="single" w:sz="4" w:space="0" w:color="auto"/>
              <w:right w:val="single" w:sz="4" w:space="0" w:color="auto"/>
            </w:tcBorders>
            <w:vAlign w:val="center"/>
          </w:tcPr>
          <w:p w14:paraId="0229A657" w14:textId="77777777" w:rsidR="00347B07" w:rsidRPr="00F04A75" w:rsidRDefault="00347B07" w:rsidP="00020BE8">
            <w:pPr>
              <w:keepNext/>
              <w:keepLines/>
              <w:jc w:val="center"/>
              <w:rPr>
                <w:rFonts w:ascii="Arial Narrow" w:eastAsia="TimesNewRoman" w:hAnsi="Arial Narrow" w:cs="Times New Roman"/>
                <w:b/>
                <w:bCs/>
                <w:color w:val="000000"/>
                <w:sz w:val="20"/>
                <w:szCs w:val="20"/>
              </w:rPr>
            </w:pPr>
            <w:r w:rsidRPr="00F04A75">
              <w:rPr>
                <w:rFonts w:ascii="Arial Narrow" w:hAnsi="Arial Narrow"/>
                <w:b/>
                <w:bCs/>
                <w:sz w:val="20"/>
                <w:szCs w:val="20"/>
              </w:rPr>
              <w:t>Hazard ratio (95% CI)</w:t>
            </w:r>
          </w:p>
        </w:tc>
      </w:tr>
      <w:tr w:rsidR="00347B07" w:rsidRPr="00F04A75" w14:paraId="1C491F57" w14:textId="77777777" w:rsidTr="00020BE8">
        <w:trPr>
          <w:trHeight w:val="113"/>
          <w:tblHeader/>
        </w:trPr>
        <w:tc>
          <w:tcPr>
            <w:tcW w:w="629" w:type="pct"/>
            <w:vMerge/>
            <w:tcBorders>
              <w:left w:val="single" w:sz="4" w:space="0" w:color="auto"/>
              <w:bottom w:val="single" w:sz="4" w:space="0" w:color="auto"/>
              <w:right w:val="single" w:sz="4" w:space="0" w:color="auto"/>
            </w:tcBorders>
          </w:tcPr>
          <w:p w14:paraId="1214F22B" w14:textId="77777777" w:rsidR="00347B07" w:rsidRPr="00F04A75" w:rsidRDefault="00347B07" w:rsidP="009C610D">
            <w:pPr>
              <w:keepNext/>
              <w:keepLines/>
              <w:jc w:val="left"/>
              <w:rPr>
                <w:rFonts w:ascii="Arial Narrow" w:eastAsia="TimesNewRoman" w:hAnsi="Arial Narrow" w:cs="Times New Roman"/>
                <w:color w:val="000000"/>
                <w:sz w:val="20"/>
                <w:szCs w:val="20"/>
              </w:rPr>
            </w:pPr>
          </w:p>
        </w:tc>
        <w:tc>
          <w:tcPr>
            <w:tcW w:w="629" w:type="pct"/>
            <w:vMerge/>
            <w:tcBorders>
              <w:left w:val="single" w:sz="4" w:space="0" w:color="auto"/>
              <w:bottom w:val="single" w:sz="4" w:space="0" w:color="auto"/>
              <w:right w:val="single" w:sz="4" w:space="0" w:color="auto"/>
            </w:tcBorders>
          </w:tcPr>
          <w:p w14:paraId="489B14DE" w14:textId="77777777" w:rsidR="00347B07" w:rsidRPr="00F04A75" w:rsidRDefault="00347B07" w:rsidP="009C610D">
            <w:pPr>
              <w:keepNext/>
              <w:keepLines/>
              <w:jc w:val="center"/>
              <w:rPr>
                <w:rFonts w:ascii="Arial Narrow" w:eastAsia="TimesNewRoman" w:hAnsi="Arial Narrow" w:cs="Times New Roman"/>
                <w:b/>
                <w:color w:val="000000"/>
                <w:sz w:val="20"/>
                <w:szCs w:val="20"/>
              </w:rPr>
            </w:pPr>
          </w:p>
        </w:tc>
        <w:tc>
          <w:tcPr>
            <w:tcW w:w="550" w:type="pct"/>
            <w:tcBorders>
              <w:top w:val="single" w:sz="4" w:space="0" w:color="auto"/>
              <w:left w:val="single" w:sz="4" w:space="0" w:color="auto"/>
              <w:bottom w:val="single" w:sz="4" w:space="0" w:color="auto"/>
              <w:right w:val="single" w:sz="4" w:space="0" w:color="auto"/>
            </w:tcBorders>
            <w:vAlign w:val="center"/>
          </w:tcPr>
          <w:p w14:paraId="007C59CD" w14:textId="77777777" w:rsidR="00347B07" w:rsidRPr="00F04A75" w:rsidRDefault="00347B07" w:rsidP="00020BE8">
            <w:pPr>
              <w:keepNext/>
              <w:keepLines/>
              <w:jc w:val="center"/>
              <w:rPr>
                <w:rFonts w:ascii="Arial Narrow" w:eastAsia="TimesNewRoman" w:hAnsi="Arial Narrow" w:cs="Times New Roman"/>
                <w:b/>
                <w:color w:val="000000"/>
                <w:sz w:val="20"/>
                <w:szCs w:val="20"/>
              </w:rPr>
            </w:pPr>
            <w:r w:rsidRPr="00F04A75">
              <w:rPr>
                <w:rFonts w:ascii="Arial Narrow" w:eastAsia="TimesNewRoman" w:hAnsi="Arial Narrow" w:cs="Times New Roman"/>
                <w:b/>
                <w:color w:val="000000"/>
                <w:sz w:val="20"/>
                <w:szCs w:val="20"/>
              </w:rPr>
              <w:t xml:space="preserve">Patients with events, </w:t>
            </w:r>
            <w:r w:rsidR="00020BE8" w:rsidRPr="00F04A75">
              <w:rPr>
                <w:rFonts w:ascii="Arial Narrow" w:eastAsia="TimesNewRoman" w:hAnsi="Arial Narrow" w:cs="Times New Roman"/>
                <w:b/>
                <w:color w:val="000000"/>
                <w:sz w:val="20"/>
                <w:szCs w:val="20"/>
              </w:rPr>
              <w:br/>
            </w:r>
            <w:r w:rsidRPr="00F04A75">
              <w:rPr>
                <w:rFonts w:ascii="Arial Narrow" w:eastAsia="TimesNewRoman" w:hAnsi="Arial Narrow" w:cs="Times New Roman"/>
                <w:b/>
                <w:color w:val="000000"/>
                <w:sz w:val="20"/>
                <w:szCs w:val="20"/>
              </w:rPr>
              <w:t>n (%)</w:t>
            </w:r>
          </w:p>
        </w:tc>
        <w:tc>
          <w:tcPr>
            <w:tcW w:w="550" w:type="pct"/>
            <w:tcBorders>
              <w:top w:val="single" w:sz="4" w:space="0" w:color="auto"/>
              <w:left w:val="single" w:sz="4" w:space="0" w:color="auto"/>
              <w:bottom w:val="single" w:sz="4" w:space="0" w:color="auto"/>
              <w:right w:val="single" w:sz="4" w:space="0" w:color="auto"/>
            </w:tcBorders>
            <w:vAlign w:val="center"/>
          </w:tcPr>
          <w:p w14:paraId="3D8DB616" w14:textId="77777777" w:rsidR="00347B07" w:rsidRPr="00F04A75" w:rsidRDefault="00347B07" w:rsidP="00020BE8">
            <w:pPr>
              <w:keepNext/>
              <w:keepLines/>
              <w:jc w:val="center"/>
              <w:rPr>
                <w:rFonts w:ascii="Arial Narrow" w:eastAsia="TimesNewRoman" w:hAnsi="Arial Narrow" w:cs="Times New Roman"/>
                <w:b/>
                <w:color w:val="000000"/>
                <w:sz w:val="20"/>
                <w:szCs w:val="20"/>
              </w:rPr>
            </w:pPr>
            <w:r w:rsidRPr="00F04A75">
              <w:rPr>
                <w:rFonts w:ascii="Arial Narrow" w:eastAsia="TimesNewRoman" w:hAnsi="Arial Narrow" w:cs="Times New Roman"/>
                <w:b/>
                <w:color w:val="000000"/>
                <w:sz w:val="20"/>
                <w:szCs w:val="20"/>
              </w:rPr>
              <w:t>Median, months</w:t>
            </w:r>
            <w:r w:rsidRPr="00F04A75">
              <w:rPr>
                <w:rFonts w:ascii="Arial Narrow" w:eastAsia="TimesNewRoman" w:hAnsi="Arial Narrow" w:cs="Times New Roman"/>
                <w:b/>
                <w:color w:val="000000"/>
                <w:sz w:val="20"/>
                <w:szCs w:val="20"/>
              </w:rPr>
              <w:br/>
              <w:t>(95% CI)</w:t>
            </w:r>
          </w:p>
        </w:tc>
        <w:tc>
          <w:tcPr>
            <w:tcW w:w="550" w:type="pct"/>
            <w:tcBorders>
              <w:top w:val="single" w:sz="4" w:space="0" w:color="auto"/>
              <w:left w:val="single" w:sz="4" w:space="0" w:color="auto"/>
              <w:bottom w:val="single" w:sz="4" w:space="0" w:color="auto"/>
              <w:right w:val="single" w:sz="4" w:space="0" w:color="auto"/>
            </w:tcBorders>
            <w:vAlign w:val="center"/>
          </w:tcPr>
          <w:p w14:paraId="008F2EB5" w14:textId="77777777" w:rsidR="00347B07" w:rsidRPr="00F04A75" w:rsidRDefault="00347B07" w:rsidP="00020BE8">
            <w:pPr>
              <w:keepNext/>
              <w:keepLines/>
              <w:jc w:val="center"/>
              <w:rPr>
                <w:rFonts w:ascii="Arial Narrow" w:eastAsia="TimesNewRoman" w:hAnsi="Arial Narrow" w:cs="Times New Roman"/>
                <w:b/>
                <w:color w:val="000000"/>
                <w:sz w:val="20"/>
                <w:szCs w:val="20"/>
              </w:rPr>
            </w:pPr>
            <w:r w:rsidRPr="00F04A75">
              <w:rPr>
                <w:rFonts w:ascii="Arial Narrow" w:eastAsia="TimesNewRoman" w:hAnsi="Arial Narrow" w:cs="Times New Roman"/>
                <w:b/>
                <w:color w:val="000000"/>
                <w:sz w:val="20"/>
                <w:szCs w:val="20"/>
              </w:rPr>
              <w:t xml:space="preserve">Patients with events, </w:t>
            </w:r>
            <w:r w:rsidR="00020BE8" w:rsidRPr="00F04A75">
              <w:rPr>
                <w:rFonts w:ascii="Arial Narrow" w:eastAsia="TimesNewRoman" w:hAnsi="Arial Narrow" w:cs="Times New Roman"/>
                <w:b/>
                <w:color w:val="000000"/>
                <w:sz w:val="20"/>
                <w:szCs w:val="20"/>
              </w:rPr>
              <w:br/>
            </w:r>
            <w:r w:rsidRPr="00F04A75">
              <w:rPr>
                <w:rFonts w:ascii="Arial Narrow" w:eastAsia="TimesNewRoman" w:hAnsi="Arial Narrow" w:cs="Times New Roman"/>
                <w:b/>
                <w:color w:val="000000"/>
                <w:sz w:val="20"/>
                <w:szCs w:val="20"/>
              </w:rPr>
              <w:t>n (%)</w:t>
            </w:r>
          </w:p>
        </w:tc>
        <w:tc>
          <w:tcPr>
            <w:tcW w:w="550" w:type="pct"/>
            <w:tcBorders>
              <w:top w:val="single" w:sz="4" w:space="0" w:color="auto"/>
              <w:left w:val="single" w:sz="4" w:space="0" w:color="auto"/>
              <w:bottom w:val="single" w:sz="4" w:space="0" w:color="auto"/>
              <w:right w:val="single" w:sz="4" w:space="0" w:color="auto"/>
            </w:tcBorders>
            <w:vAlign w:val="center"/>
          </w:tcPr>
          <w:p w14:paraId="0FFF83FD" w14:textId="77777777" w:rsidR="00347B07" w:rsidRPr="00F04A75" w:rsidRDefault="00347B07" w:rsidP="00020BE8">
            <w:pPr>
              <w:keepNext/>
              <w:keepLines/>
              <w:jc w:val="center"/>
              <w:rPr>
                <w:rFonts w:ascii="Arial Narrow" w:eastAsia="TimesNewRoman" w:hAnsi="Arial Narrow" w:cs="Times New Roman"/>
                <w:b/>
                <w:color w:val="000000"/>
                <w:sz w:val="20"/>
                <w:szCs w:val="20"/>
              </w:rPr>
            </w:pPr>
            <w:r w:rsidRPr="00F04A75">
              <w:rPr>
                <w:rFonts w:ascii="Arial Narrow" w:eastAsia="TimesNewRoman" w:hAnsi="Arial Narrow" w:cs="Times New Roman"/>
                <w:b/>
                <w:color w:val="000000"/>
                <w:sz w:val="20"/>
                <w:szCs w:val="20"/>
              </w:rPr>
              <w:t>Median, months</w:t>
            </w:r>
            <w:r w:rsidRPr="00F04A75">
              <w:rPr>
                <w:rFonts w:ascii="Arial Narrow" w:eastAsia="TimesNewRoman" w:hAnsi="Arial Narrow" w:cs="Times New Roman"/>
                <w:b/>
                <w:color w:val="000000"/>
                <w:sz w:val="20"/>
                <w:szCs w:val="20"/>
              </w:rPr>
              <w:br/>
              <w:t>(95% CI)</w:t>
            </w:r>
          </w:p>
        </w:tc>
        <w:tc>
          <w:tcPr>
            <w:tcW w:w="550" w:type="pct"/>
            <w:vMerge/>
            <w:tcBorders>
              <w:left w:val="single" w:sz="4" w:space="0" w:color="auto"/>
              <w:bottom w:val="single" w:sz="4" w:space="0" w:color="auto"/>
              <w:right w:val="single" w:sz="4" w:space="0" w:color="auto"/>
            </w:tcBorders>
            <w:vAlign w:val="center"/>
          </w:tcPr>
          <w:p w14:paraId="58773729" w14:textId="77777777" w:rsidR="00347B07" w:rsidRPr="00F04A75" w:rsidRDefault="00347B07" w:rsidP="009C610D">
            <w:pPr>
              <w:keepNext/>
              <w:keepLines/>
              <w:jc w:val="center"/>
              <w:rPr>
                <w:rFonts w:ascii="Arial Narrow" w:eastAsia="TimesNewRoman" w:hAnsi="Arial Narrow" w:cs="Times New Roman"/>
                <w:color w:val="000000"/>
                <w:sz w:val="20"/>
                <w:szCs w:val="20"/>
              </w:rPr>
            </w:pPr>
          </w:p>
        </w:tc>
        <w:tc>
          <w:tcPr>
            <w:tcW w:w="435" w:type="pct"/>
            <w:vMerge/>
            <w:tcBorders>
              <w:left w:val="single" w:sz="4" w:space="0" w:color="auto"/>
              <w:bottom w:val="single" w:sz="4" w:space="0" w:color="auto"/>
              <w:right w:val="single" w:sz="4" w:space="0" w:color="auto"/>
            </w:tcBorders>
            <w:vAlign w:val="center"/>
          </w:tcPr>
          <w:p w14:paraId="708BF25A" w14:textId="77777777" w:rsidR="00347B07" w:rsidRPr="00F04A75" w:rsidRDefault="00347B07" w:rsidP="009C610D">
            <w:pPr>
              <w:keepNext/>
              <w:keepLines/>
              <w:jc w:val="center"/>
              <w:rPr>
                <w:rFonts w:ascii="Arial Narrow" w:eastAsia="TimesNewRoman" w:hAnsi="Arial Narrow" w:cs="Times New Roman"/>
                <w:color w:val="000000"/>
                <w:sz w:val="20"/>
                <w:szCs w:val="20"/>
              </w:rPr>
            </w:pPr>
          </w:p>
        </w:tc>
        <w:tc>
          <w:tcPr>
            <w:tcW w:w="558" w:type="pct"/>
            <w:vMerge/>
            <w:tcBorders>
              <w:left w:val="single" w:sz="4" w:space="0" w:color="auto"/>
              <w:bottom w:val="single" w:sz="4" w:space="0" w:color="auto"/>
              <w:right w:val="single" w:sz="4" w:space="0" w:color="auto"/>
            </w:tcBorders>
            <w:vAlign w:val="center"/>
          </w:tcPr>
          <w:p w14:paraId="43DD4FBF" w14:textId="77777777" w:rsidR="00347B07" w:rsidRPr="00F04A75" w:rsidRDefault="00347B07" w:rsidP="009C610D">
            <w:pPr>
              <w:keepNext/>
              <w:keepLines/>
              <w:jc w:val="center"/>
              <w:rPr>
                <w:rFonts w:ascii="Arial Narrow" w:eastAsia="TimesNewRoman" w:hAnsi="Arial Narrow" w:cs="Times New Roman"/>
                <w:color w:val="000000"/>
                <w:sz w:val="20"/>
                <w:szCs w:val="20"/>
              </w:rPr>
            </w:pPr>
          </w:p>
        </w:tc>
      </w:tr>
      <w:tr w:rsidR="00347B07" w:rsidRPr="00F04A75" w14:paraId="1AE5F339" w14:textId="77777777" w:rsidTr="00347B07">
        <w:trPr>
          <w:trHeight w:val="113"/>
          <w:tblHeader/>
        </w:trPr>
        <w:tc>
          <w:tcPr>
            <w:tcW w:w="5000" w:type="pct"/>
            <w:gridSpan w:val="9"/>
            <w:tcBorders>
              <w:left w:val="single" w:sz="4" w:space="0" w:color="auto"/>
              <w:bottom w:val="single" w:sz="4" w:space="0" w:color="auto"/>
              <w:right w:val="single" w:sz="4" w:space="0" w:color="auto"/>
            </w:tcBorders>
          </w:tcPr>
          <w:p w14:paraId="3C4414FD" w14:textId="77777777" w:rsidR="00347B07" w:rsidRPr="00F04A75" w:rsidRDefault="00347B07" w:rsidP="00347B07">
            <w:pPr>
              <w:keepNext/>
              <w:keepLines/>
              <w:jc w:val="left"/>
              <w:rPr>
                <w:rFonts w:ascii="Arial Narrow" w:hAnsi="Arial Narrow"/>
                <w:b/>
                <w:bCs/>
                <w:sz w:val="20"/>
                <w:szCs w:val="20"/>
              </w:rPr>
            </w:pPr>
            <w:r w:rsidRPr="00F04A75">
              <w:rPr>
                <w:rFonts w:ascii="Arial Narrow" w:eastAsia="TimesNewRoman" w:hAnsi="Arial Narrow" w:cs="Times New Roman"/>
                <w:b/>
                <w:bCs/>
                <w:color w:val="000000"/>
                <w:sz w:val="20"/>
                <w:szCs w:val="20"/>
              </w:rPr>
              <w:t>PFS</w:t>
            </w:r>
          </w:p>
        </w:tc>
      </w:tr>
      <w:tr w:rsidR="00DB653D" w:rsidRPr="00F04A75" w14:paraId="3D44E453" w14:textId="77777777" w:rsidTr="00020BE8">
        <w:trPr>
          <w:trHeight w:val="113"/>
        </w:trPr>
        <w:tc>
          <w:tcPr>
            <w:tcW w:w="629"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02B085DC" w14:textId="77777777" w:rsidR="00DB653D" w:rsidRPr="00F04A75" w:rsidRDefault="00DB653D" w:rsidP="0016658B">
            <w:pPr>
              <w:keepNext/>
              <w:keepLines/>
              <w:jc w:val="left"/>
              <w:rPr>
                <w:rFonts w:ascii="Arial Narrow" w:eastAsia="TimesNewRoman" w:hAnsi="Arial Narrow" w:cs="Times New Roman"/>
                <w:color w:val="000000"/>
                <w:sz w:val="20"/>
                <w:szCs w:val="20"/>
              </w:rPr>
            </w:pPr>
            <w:r w:rsidRPr="00F04A75">
              <w:rPr>
                <w:rFonts w:ascii="Arial Narrow" w:eastAsia="TimesNewRoman" w:hAnsi="Arial Narrow" w:cs="Times New Roman"/>
                <w:color w:val="000000"/>
                <w:sz w:val="20"/>
                <w:szCs w:val="20"/>
              </w:rPr>
              <w:t>10 Nov 2014</w:t>
            </w:r>
            <w:r w:rsidR="00020BE8" w:rsidRPr="00F04A75">
              <w:rPr>
                <w:rFonts w:ascii="Arial Narrow" w:eastAsia="TimesNewRoman" w:hAnsi="Arial Narrow" w:cs="Times New Roman"/>
                <w:color w:val="000000"/>
                <w:sz w:val="20"/>
                <w:szCs w:val="20"/>
              </w:rPr>
              <w:br/>
            </w:r>
            <w:r w:rsidRPr="00F04A75">
              <w:rPr>
                <w:rFonts w:ascii="Arial Narrow" w:eastAsia="TimesNewRoman" w:hAnsi="Arial Narrow" w:cs="Times New Roman"/>
                <w:color w:val="000000"/>
                <w:sz w:val="20"/>
                <w:szCs w:val="20"/>
              </w:rPr>
              <w:t>IRC</w:t>
            </w:r>
          </w:p>
        </w:tc>
        <w:tc>
          <w:tcPr>
            <w:tcW w:w="62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90C0C95" w14:textId="77777777" w:rsidR="00DB653D" w:rsidRPr="00F04A75" w:rsidRDefault="00D25004" w:rsidP="00EF2EF4">
            <w:pPr>
              <w:keepNext/>
              <w:keepLines/>
              <w:jc w:val="center"/>
              <w:rPr>
                <w:rFonts w:ascii="Arial Narrow" w:eastAsia="TimesNewRoman" w:hAnsi="Arial Narrow" w:cs="Times New Roman"/>
                <w:color w:val="000000"/>
                <w:sz w:val="20"/>
                <w:szCs w:val="20"/>
              </w:rPr>
            </w:pPr>
            <w:r w:rsidRPr="00F04A75">
              <w:rPr>
                <w:rFonts w:ascii="Arial Narrow" w:eastAsia="TimesNewRoman" w:hAnsi="Arial Narrow" w:cs="Times New Roman"/>
                <w:color w:val="000000"/>
                <w:sz w:val="20"/>
                <w:szCs w:val="20"/>
              </w:rPr>
              <w:t>11.5</w:t>
            </w:r>
          </w:p>
        </w:tc>
        <w:tc>
          <w:tcPr>
            <w:tcW w:w="550"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E4B8ACB" w14:textId="77777777" w:rsidR="00DB653D" w:rsidRPr="00F04A75" w:rsidRDefault="00DB653D" w:rsidP="0016658B">
            <w:pPr>
              <w:keepNext/>
              <w:keepLines/>
              <w:jc w:val="center"/>
              <w:rPr>
                <w:rFonts w:ascii="Arial Narrow" w:eastAsia="TimesNewRoman" w:hAnsi="Arial Narrow" w:cs="Times New Roman"/>
                <w:color w:val="000000"/>
                <w:sz w:val="20"/>
                <w:szCs w:val="20"/>
              </w:rPr>
            </w:pPr>
            <w:r w:rsidRPr="00F04A75">
              <w:rPr>
                <w:rFonts w:ascii="Arial Narrow" w:eastAsia="TimesNewRoman" w:hAnsi="Arial Narrow" w:cs="Times New Roman"/>
                <w:color w:val="000000"/>
                <w:sz w:val="20"/>
                <w:szCs w:val="20"/>
              </w:rPr>
              <w:t>171 (36.9%)</w:t>
            </w:r>
          </w:p>
        </w:tc>
        <w:tc>
          <w:tcPr>
            <w:tcW w:w="550"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3187658" w14:textId="77777777" w:rsidR="00DB653D" w:rsidRPr="00F04A75" w:rsidRDefault="00DB653D" w:rsidP="0016658B">
            <w:pPr>
              <w:keepNext/>
              <w:keepLines/>
              <w:jc w:val="center"/>
              <w:rPr>
                <w:rFonts w:ascii="Arial Narrow" w:eastAsia="TimesNewRoman" w:hAnsi="Arial Narrow" w:cs="Times New Roman"/>
                <w:color w:val="000000"/>
                <w:sz w:val="20"/>
                <w:szCs w:val="20"/>
              </w:rPr>
            </w:pPr>
            <w:r w:rsidRPr="00F04A75">
              <w:rPr>
                <w:rFonts w:ascii="Arial Narrow" w:eastAsia="TimesNewRoman" w:hAnsi="Arial Narrow" w:cs="Times New Roman"/>
                <w:color w:val="000000"/>
                <w:sz w:val="20"/>
                <w:szCs w:val="20"/>
              </w:rPr>
              <w:t xml:space="preserve">18.7 </w:t>
            </w:r>
            <w:r w:rsidRPr="00F04A75">
              <w:rPr>
                <w:rFonts w:ascii="Arial Narrow" w:eastAsia="TimesNewRoman" w:hAnsi="Arial Narrow" w:cs="Times New Roman"/>
                <w:color w:val="000000"/>
                <w:sz w:val="20"/>
                <w:szCs w:val="20"/>
              </w:rPr>
              <w:br/>
              <w:t>(15.6, NE)</w:t>
            </w:r>
          </w:p>
        </w:tc>
        <w:tc>
          <w:tcPr>
            <w:tcW w:w="550"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C80FDB0" w14:textId="77777777" w:rsidR="00DB653D" w:rsidRPr="00F04A75" w:rsidRDefault="00DB653D" w:rsidP="0016658B">
            <w:pPr>
              <w:keepNext/>
              <w:keepLines/>
              <w:jc w:val="center"/>
              <w:rPr>
                <w:rFonts w:ascii="Arial Narrow" w:eastAsia="TimesNewRoman" w:hAnsi="Arial Narrow" w:cs="Times New Roman"/>
                <w:color w:val="000000"/>
                <w:sz w:val="20"/>
                <w:szCs w:val="20"/>
              </w:rPr>
            </w:pPr>
            <w:r w:rsidRPr="00F04A75">
              <w:rPr>
                <w:rFonts w:ascii="Arial Narrow" w:eastAsia="TimesNewRoman" w:hAnsi="Arial Narrow" w:cs="Times New Roman"/>
                <w:color w:val="000000"/>
                <w:sz w:val="20"/>
                <w:szCs w:val="20"/>
              </w:rPr>
              <w:t>243 (52.3%)</w:t>
            </w:r>
          </w:p>
        </w:tc>
        <w:tc>
          <w:tcPr>
            <w:tcW w:w="550"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B911C1C" w14:textId="77777777" w:rsidR="00DB653D" w:rsidRPr="00F04A75" w:rsidRDefault="00DB653D" w:rsidP="0016658B">
            <w:pPr>
              <w:keepNext/>
              <w:keepLines/>
              <w:jc w:val="center"/>
              <w:rPr>
                <w:rFonts w:ascii="Arial Narrow" w:eastAsia="TimesNewRoman" w:hAnsi="Arial Narrow" w:cs="Times New Roman"/>
                <w:color w:val="000000"/>
                <w:sz w:val="20"/>
                <w:szCs w:val="20"/>
              </w:rPr>
            </w:pPr>
            <w:r w:rsidRPr="00F04A75">
              <w:rPr>
                <w:rFonts w:ascii="Arial Narrow" w:eastAsia="TimesNewRoman" w:hAnsi="Arial Narrow" w:cs="Times New Roman"/>
                <w:color w:val="000000"/>
                <w:sz w:val="20"/>
                <w:szCs w:val="20"/>
              </w:rPr>
              <w:t>9.4</w:t>
            </w:r>
            <w:r w:rsidRPr="00F04A75">
              <w:rPr>
                <w:rFonts w:ascii="Arial Narrow" w:eastAsia="TimesNewRoman" w:hAnsi="Arial Narrow" w:cs="Times New Roman"/>
                <w:color w:val="000000"/>
                <w:sz w:val="20"/>
                <w:szCs w:val="20"/>
              </w:rPr>
              <w:br/>
              <w:t>(8.4, 10.4)</w:t>
            </w:r>
          </w:p>
        </w:tc>
        <w:tc>
          <w:tcPr>
            <w:tcW w:w="550"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8F02979" w14:textId="77777777" w:rsidR="00DB653D" w:rsidRPr="00F04A75" w:rsidRDefault="00DB653D" w:rsidP="0016658B">
            <w:pPr>
              <w:keepNext/>
              <w:keepLines/>
              <w:jc w:val="center"/>
              <w:rPr>
                <w:rFonts w:ascii="Arial Narrow" w:eastAsia="TimesNewRoman" w:hAnsi="Arial Narrow" w:cs="Times New Roman"/>
                <w:color w:val="000000"/>
                <w:sz w:val="20"/>
                <w:szCs w:val="20"/>
              </w:rPr>
            </w:pPr>
            <w:r w:rsidRPr="00F04A75">
              <w:rPr>
                <w:rFonts w:ascii="Arial Narrow" w:eastAsia="TimesNewRoman" w:hAnsi="Arial Narrow" w:cs="Times New Roman"/>
                <w:color w:val="000000"/>
                <w:sz w:val="20"/>
                <w:szCs w:val="20"/>
              </w:rPr>
              <w:t>9.3</w:t>
            </w:r>
          </w:p>
        </w:tc>
        <w:tc>
          <w:tcPr>
            <w:tcW w:w="435"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073F5DA" w14:textId="77777777" w:rsidR="00DB653D" w:rsidRPr="00F04A75" w:rsidRDefault="00DB653D" w:rsidP="0016658B">
            <w:pPr>
              <w:keepNext/>
              <w:keepLines/>
              <w:jc w:val="center"/>
              <w:rPr>
                <w:rFonts w:ascii="Arial Narrow" w:eastAsia="TimesNewRoman" w:hAnsi="Arial Narrow" w:cs="Times New Roman"/>
                <w:b/>
                <w:color w:val="000000"/>
                <w:sz w:val="20"/>
                <w:szCs w:val="20"/>
              </w:rPr>
            </w:pPr>
            <w:r w:rsidRPr="00F04A75">
              <w:rPr>
                <w:rFonts w:ascii="Arial Narrow" w:eastAsia="TimesNewRoman" w:hAnsi="Arial Narrow" w:cs="Times New Roman"/>
                <w:b/>
                <w:color w:val="000000"/>
                <w:sz w:val="20"/>
                <w:szCs w:val="20"/>
              </w:rPr>
              <w:t>&lt; 0.0001</w:t>
            </w:r>
          </w:p>
        </w:tc>
        <w:tc>
          <w:tcPr>
            <w:tcW w:w="55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BAB7F71" w14:textId="77777777" w:rsidR="00DB653D" w:rsidRPr="00F04A75" w:rsidRDefault="00DB653D" w:rsidP="0016658B">
            <w:pPr>
              <w:keepNext/>
              <w:keepLines/>
              <w:jc w:val="center"/>
              <w:rPr>
                <w:rFonts w:ascii="Arial Narrow" w:eastAsia="TimesNewRoman" w:hAnsi="Arial Narrow" w:cs="Times New Roman"/>
                <w:b/>
                <w:color w:val="000000"/>
                <w:sz w:val="20"/>
                <w:szCs w:val="20"/>
              </w:rPr>
            </w:pPr>
            <w:r w:rsidRPr="00F04A75">
              <w:rPr>
                <w:rFonts w:ascii="Arial Narrow" w:eastAsia="TimesNewRoman" w:hAnsi="Arial Narrow" w:cs="Times New Roman"/>
                <w:b/>
                <w:color w:val="000000"/>
                <w:sz w:val="20"/>
                <w:szCs w:val="20"/>
              </w:rPr>
              <w:t>0.53</w:t>
            </w:r>
            <w:r w:rsidRPr="00F04A75">
              <w:rPr>
                <w:rFonts w:ascii="Arial Narrow" w:eastAsia="TimesNewRoman" w:hAnsi="Arial Narrow" w:cs="Times New Roman"/>
                <w:b/>
                <w:color w:val="000000"/>
                <w:sz w:val="20"/>
                <w:szCs w:val="20"/>
              </w:rPr>
              <w:br/>
              <w:t>(0.44, 0.65)</w:t>
            </w:r>
          </w:p>
        </w:tc>
      </w:tr>
      <w:tr w:rsidR="00DB653D" w:rsidRPr="00F04A75" w14:paraId="7DF51978" w14:textId="77777777" w:rsidTr="00020BE8">
        <w:trPr>
          <w:trHeight w:val="113"/>
        </w:trPr>
        <w:tc>
          <w:tcPr>
            <w:tcW w:w="629" w:type="pct"/>
            <w:tcBorders>
              <w:top w:val="single" w:sz="4" w:space="0" w:color="auto"/>
              <w:left w:val="single" w:sz="4" w:space="0" w:color="auto"/>
              <w:bottom w:val="single" w:sz="4" w:space="0" w:color="auto"/>
              <w:right w:val="single" w:sz="4" w:space="0" w:color="auto"/>
            </w:tcBorders>
            <w:hideMark/>
          </w:tcPr>
          <w:p w14:paraId="16F80891" w14:textId="77777777" w:rsidR="00DB653D" w:rsidRPr="00F04A75" w:rsidRDefault="00DB653D" w:rsidP="0016658B">
            <w:pPr>
              <w:keepNext/>
              <w:keepLines/>
              <w:jc w:val="left"/>
              <w:rPr>
                <w:rFonts w:ascii="Arial Narrow" w:eastAsia="TimesNewRoman" w:hAnsi="Arial Narrow" w:cs="Times New Roman"/>
                <w:i/>
                <w:color w:val="000000"/>
                <w:sz w:val="20"/>
                <w:szCs w:val="20"/>
              </w:rPr>
            </w:pPr>
            <w:r w:rsidRPr="00F04A75">
              <w:rPr>
                <w:rFonts w:ascii="Arial Narrow" w:eastAsia="TimesNewRoman" w:hAnsi="Arial Narrow" w:cs="Times New Roman"/>
                <w:color w:val="000000"/>
                <w:sz w:val="20"/>
                <w:szCs w:val="20"/>
              </w:rPr>
              <w:t>3 Mar 2016</w:t>
            </w:r>
            <w:r w:rsidR="00020BE8" w:rsidRPr="00F04A75">
              <w:rPr>
                <w:rFonts w:ascii="Arial Narrow" w:eastAsia="TimesNewRoman" w:hAnsi="Arial Narrow" w:cs="Times New Roman"/>
                <w:color w:val="000000"/>
                <w:sz w:val="20"/>
                <w:szCs w:val="20"/>
              </w:rPr>
              <w:br/>
            </w:r>
            <w:r w:rsidRPr="00F04A75">
              <w:rPr>
                <w:rFonts w:ascii="Arial Narrow" w:eastAsia="TimesNewRoman" w:hAnsi="Arial Narrow" w:cs="Times New Roman"/>
                <w:color w:val="000000"/>
                <w:sz w:val="20"/>
                <w:szCs w:val="20"/>
              </w:rPr>
              <w:t>ORCA</w:t>
            </w:r>
          </w:p>
        </w:tc>
        <w:tc>
          <w:tcPr>
            <w:tcW w:w="629" w:type="pct"/>
            <w:tcBorders>
              <w:top w:val="single" w:sz="4" w:space="0" w:color="auto"/>
              <w:left w:val="single" w:sz="4" w:space="0" w:color="auto"/>
              <w:bottom w:val="single" w:sz="4" w:space="0" w:color="auto"/>
              <w:right w:val="single" w:sz="4" w:space="0" w:color="auto"/>
            </w:tcBorders>
            <w:vAlign w:val="center"/>
          </w:tcPr>
          <w:p w14:paraId="446D4FEF" w14:textId="77777777" w:rsidR="00DB653D" w:rsidRPr="00F04A75" w:rsidRDefault="00D25004" w:rsidP="00EF2EF4">
            <w:pPr>
              <w:keepNext/>
              <w:keepLines/>
              <w:jc w:val="center"/>
              <w:rPr>
                <w:rFonts w:ascii="Arial Narrow" w:eastAsia="TimesNewRoman" w:hAnsi="Arial Narrow" w:cs="Times New Roman"/>
                <w:color w:val="000000"/>
                <w:sz w:val="20"/>
                <w:szCs w:val="20"/>
              </w:rPr>
            </w:pPr>
            <w:r w:rsidRPr="00F04A75">
              <w:rPr>
                <w:rFonts w:ascii="Arial Narrow" w:eastAsia="TimesNewRoman" w:hAnsi="Arial Narrow" w:cs="Times New Roman"/>
                <w:color w:val="000000"/>
                <w:sz w:val="20"/>
                <w:szCs w:val="20"/>
              </w:rPr>
              <w:t>11.5</w:t>
            </w:r>
          </w:p>
        </w:tc>
        <w:tc>
          <w:tcPr>
            <w:tcW w:w="550" w:type="pct"/>
            <w:tcBorders>
              <w:top w:val="single" w:sz="4" w:space="0" w:color="auto"/>
              <w:left w:val="single" w:sz="4" w:space="0" w:color="auto"/>
              <w:bottom w:val="single" w:sz="4" w:space="0" w:color="auto"/>
              <w:right w:val="single" w:sz="4" w:space="0" w:color="auto"/>
            </w:tcBorders>
            <w:vAlign w:val="center"/>
            <w:hideMark/>
          </w:tcPr>
          <w:p w14:paraId="30A05293" w14:textId="77777777" w:rsidR="00DB653D" w:rsidRPr="00F04A75" w:rsidRDefault="00DB653D" w:rsidP="0016658B">
            <w:pPr>
              <w:keepNext/>
              <w:keepLines/>
              <w:jc w:val="center"/>
              <w:rPr>
                <w:rFonts w:ascii="Arial Narrow" w:eastAsia="TimesNewRoman" w:hAnsi="Arial Narrow" w:cs="Times New Roman"/>
                <w:color w:val="000000"/>
                <w:sz w:val="20"/>
                <w:szCs w:val="20"/>
              </w:rPr>
            </w:pPr>
            <w:r w:rsidRPr="00F04A75">
              <w:rPr>
                <w:rFonts w:ascii="Arial Narrow" w:eastAsia="TimesNewRoman" w:hAnsi="Arial Narrow" w:cs="Times New Roman"/>
                <w:color w:val="000000"/>
                <w:sz w:val="20"/>
                <w:szCs w:val="20"/>
              </w:rPr>
              <w:t>232 (50.0%)</w:t>
            </w:r>
          </w:p>
        </w:tc>
        <w:tc>
          <w:tcPr>
            <w:tcW w:w="550" w:type="pct"/>
            <w:tcBorders>
              <w:top w:val="single" w:sz="4" w:space="0" w:color="auto"/>
              <w:left w:val="single" w:sz="4" w:space="0" w:color="auto"/>
              <w:bottom w:val="single" w:sz="4" w:space="0" w:color="auto"/>
              <w:right w:val="single" w:sz="4" w:space="0" w:color="auto"/>
            </w:tcBorders>
            <w:vAlign w:val="center"/>
            <w:hideMark/>
          </w:tcPr>
          <w:p w14:paraId="118CA793" w14:textId="77777777" w:rsidR="00DB653D" w:rsidRPr="00F04A75" w:rsidRDefault="00DB653D" w:rsidP="0016658B">
            <w:pPr>
              <w:keepNext/>
              <w:keepLines/>
              <w:jc w:val="center"/>
              <w:rPr>
                <w:rFonts w:ascii="Arial Narrow" w:eastAsia="TimesNewRoman" w:hAnsi="Arial Narrow" w:cs="Times New Roman"/>
                <w:color w:val="000000"/>
                <w:sz w:val="20"/>
                <w:szCs w:val="20"/>
              </w:rPr>
            </w:pPr>
            <w:r w:rsidRPr="00F04A75">
              <w:rPr>
                <w:rFonts w:ascii="Arial Narrow" w:eastAsia="TimesNewRoman" w:hAnsi="Arial Narrow" w:cs="Times New Roman"/>
                <w:color w:val="000000"/>
                <w:sz w:val="20"/>
                <w:szCs w:val="20"/>
              </w:rPr>
              <w:t>16.8</w:t>
            </w:r>
            <w:r w:rsidRPr="00F04A75">
              <w:rPr>
                <w:rFonts w:ascii="Arial Narrow" w:eastAsia="TimesNewRoman" w:hAnsi="Arial Narrow" w:cs="Times New Roman"/>
                <w:color w:val="000000"/>
                <w:sz w:val="20"/>
                <w:szCs w:val="20"/>
              </w:rPr>
              <w:br/>
              <w:t>(14.8, 20.3)</w:t>
            </w:r>
          </w:p>
        </w:tc>
        <w:tc>
          <w:tcPr>
            <w:tcW w:w="550" w:type="pct"/>
            <w:tcBorders>
              <w:top w:val="single" w:sz="4" w:space="0" w:color="auto"/>
              <w:left w:val="single" w:sz="4" w:space="0" w:color="auto"/>
              <w:bottom w:val="single" w:sz="4" w:space="0" w:color="auto"/>
              <w:right w:val="single" w:sz="4" w:space="0" w:color="auto"/>
            </w:tcBorders>
            <w:vAlign w:val="center"/>
            <w:hideMark/>
          </w:tcPr>
          <w:p w14:paraId="5C056188" w14:textId="77777777" w:rsidR="00DB653D" w:rsidRPr="00F04A75" w:rsidRDefault="00DB653D" w:rsidP="0016658B">
            <w:pPr>
              <w:keepNext/>
              <w:keepLines/>
              <w:jc w:val="center"/>
              <w:rPr>
                <w:rFonts w:ascii="Arial Narrow" w:eastAsia="TimesNewRoman" w:hAnsi="Arial Narrow" w:cs="Times New Roman"/>
                <w:color w:val="000000"/>
                <w:sz w:val="20"/>
                <w:szCs w:val="20"/>
              </w:rPr>
            </w:pPr>
            <w:r w:rsidRPr="00F04A75">
              <w:rPr>
                <w:rFonts w:ascii="Arial Narrow" w:eastAsia="TimesNewRoman" w:hAnsi="Arial Narrow" w:cs="Times New Roman"/>
                <w:color w:val="000000"/>
                <w:sz w:val="20"/>
                <w:szCs w:val="20"/>
              </w:rPr>
              <w:t>288 (61.9%)</w:t>
            </w:r>
          </w:p>
        </w:tc>
        <w:tc>
          <w:tcPr>
            <w:tcW w:w="550" w:type="pct"/>
            <w:tcBorders>
              <w:top w:val="single" w:sz="4" w:space="0" w:color="auto"/>
              <w:left w:val="single" w:sz="4" w:space="0" w:color="auto"/>
              <w:bottom w:val="single" w:sz="4" w:space="0" w:color="auto"/>
              <w:right w:val="single" w:sz="4" w:space="0" w:color="auto"/>
            </w:tcBorders>
            <w:vAlign w:val="center"/>
            <w:hideMark/>
          </w:tcPr>
          <w:p w14:paraId="557B81E9" w14:textId="77777777" w:rsidR="00DB653D" w:rsidRPr="00F04A75" w:rsidRDefault="00DB653D" w:rsidP="0016658B">
            <w:pPr>
              <w:keepNext/>
              <w:keepLines/>
              <w:jc w:val="center"/>
              <w:rPr>
                <w:rFonts w:ascii="Arial Narrow" w:eastAsia="TimesNewRoman" w:hAnsi="Arial Narrow" w:cs="Times New Roman"/>
                <w:color w:val="000000"/>
                <w:sz w:val="20"/>
                <w:szCs w:val="20"/>
              </w:rPr>
            </w:pPr>
            <w:r w:rsidRPr="00F04A75">
              <w:rPr>
                <w:rFonts w:ascii="Arial Narrow" w:eastAsia="TimesNewRoman" w:hAnsi="Arial Narrow" w:cs="Times New Roman"/>
                <w:color w:val="000000"/>
                <w:sz w:val="20"/>
                <w:szCs w:val="20"/>
              </w:rPr>
              <w:t>9.3</w:t>
            </w:r>
            <w:r w:rsidRPr="00F04A75">
              <w:rPr>
                <w:rFonts w:ascii="Arial Narrow" w:eastAsia="TimesNewRoman" w:hAnsi="Arial Narrow" w:cs="Times New Roman"/>
                <w:color w:val="000000"/>
                <w:sz w:val="20"/>
                <w:szCs w:val="20"/>
              </w:rPr>
              <w:br/>
              <w:t>(8.3, 10.4)</w:t>
            </w:r>
          </w:p>
        </w:tc>
        <w:tc>
          <w:tcPr>
            <w:tcW w:w="550" w:type="pct"/>
            <w:tcBorders>
              <w:top w:val="single" w:sz="4" w:space="0" w:color="auto"/>
              <w:left w:val="single" w:sz="4" w:space="0" w:color="auto"/>
              <w:bottom w:val="single" w:sz="4" w:space="0" w:color="auto"/>
              <w:right w:val="single" w:sz="4" w:space="0" w:color="auto"/>
            </w:tcBorders>
            <w:vAlign w:val="center"/>
            <w:hideMark/>
          </w:tcPr>
          <w:p w14:paraId="7E33A9DF" w14:textId="77777777" w:rsidR="00DB653D" w:rsidRPr="00F04A75" w:rsidRDefault="00DB653D" w:rsidP="0016658B">
            <w:pPr>
              <w:keepNext/>
              <w:keepLines/>
              <w:jc w:val="center"/>
              <w:rPr>
                <w:rFonts w:ascii="Arial Narrow" w:eastAsia="TimesNewRoman" w:hAnsi="Arial Narrow" w:cs="Times New Roman"/>
                <w:color w:val="000000"/>
                <w:sz w:val="20"/>
                <w:szCs w:val="20"/>
              </w:rPr>
            </w:pPr>
            <w:r w:rsidRPr="00F04A75">
              <w:rPr>
                <w:rFonts w:ascii="Arial Narrow" w:eastAsia="TimesNewRoman" w:hAnsi="Arial Narrow" w:cs="Times New Roman"/>
                <w:color w:val="000000"/>
                <w:sz w:val="20"/>
                <w:szCs w:val="20"/>
              </w:rPr>
              <w:t>7.5</w:t>
            </w:r>
          </w:p>
        </w:tc>
        <w:tc>
          <w:tcPr>
            <w:tcW w:w="435" w:type="pct"/>
            <w:tcBorders>
              <w:top w:val="single" w:sz="4" w:space="0" w:color="auto"/>
              <w:left w:val="single" w:sz="4" w:space="0" w:color="auto"/>
              <w:bottom w:val="single" w:sz="4" w:space="0" w:color="auto"/>
              <w:right w:val="single" w:sz="4" w:space="0" w:color="auto"/>
            </w:tcBorders>
            <w:vAlign w:val="center"/>
            <w:hideMark/>
          </w:tcPr>
          <w:p w14:paraId="1F08D53D" w14:textId="77777777" w:rsidR="00DB653D" w:rsidRPr="00F04A75" w:rsidRDefault="00DB653D" w:rsidP="0016658B">
            <w:pPr>
              <w:keepNext/>
              <w:keepLines/>
              <w:jc w:val="center"/>
              <w:rPr>
                <w:rFonts w:ascii="Arial Narrow" w:eastAsia="TimesNewRoman" w:hAnsi="Arial Narrow" w:cs="Times New Roman"/>
                <w:b/>
                <w:color w:val="000000"/>
                <w:sz w:val="20"/>
                <w:szCs w:val="20"/>
              </w:rPr>
            </w:pPr>
            <w:r w:rsidRPr="00F04A75">
              <w:rPr>
                <w:rFonts w:ascii="Arial Narrow" w:eastAsia="TimesNewRoman" w:hAnsi="Arial Narrow" w:cs="Times New Roman"/>
                <w:b/>
                <w:color w:val="000000"/>
                <w:sz w:val="20"/>
                <w:szCs w:val="20"/>
              </w:rPr>
              <w:t>&lt; 0.0001</w:t>
            </w:r>
          </w:p>
        </w:tc>
        <w:tc>
          <w:tcPr>
            <w:tcW w:w="558" w:type="pct"/>
            <w:tcBorders>
              <w:top w:val="single" w:sz="4" w:space="0" w:color="auto"/>
              <w:left w:val="single" w:sz="4" w:space="0" w:color="auto"/>
              <w:bottom w:val="single" w:sz="4" w:space="0" w:color="auto"/>
              <w:right w:val="single" w:sz="4" w:space="0" w:color="auto"/>
            </w:tcBorders>
            <w:vAlign w:val="center"/>
            <w:hideMark/>
          </w:tcPr>
          <w:p w14:paraId="30E93723" w14:textId="77777777" w:rsidR="00DB653D" w:rsidRPr="00F04A75" w:rsidRDefault="00DB653D" w:rsidP="0016658B">
            <w:pPr>
              <w:keepNext/>
              <w:keepLines/>
              <w:jc w:val="center"/>
              <w:rPr>
                <w:rFonts w:ascii="Arial Narrow" w:eastAsia="TimesNewRoman" w:hAnsi="Arial Narrow" w:cs="Times New Roman"/>
                <w:b/>
                <w:color w:val="000000"/>
                <w:sz w:val="20"/>
                <w:szCs w:val="20"/>
              </w:rPr>
            </w:pPr>
            <w:r w:rsidRPr="00F04A75">
              <w:rPr>
                <w:rFonts w:ascii="Arial Narrow" w:eastAsia="TimesNewRoman" w:hAnsi="Arial Narrow" w:cs="Times New Roman"/>
                <w:b/>
                <w:color w:val="000000"/>
                <w:sz w:val="20"/>
                <w:szCs w:val="20"/>
              </w:rPr>
              <w:t>0.55</w:t>
            </w:r>
            <w:r w:rsidRPr="00F04A75">
              <w:rPr>
                <w:rFonts w:ascii="Arial Narrow" w:eastAsia="TimesNewRoman" w:hAnsi="Arial Narrow" w:cs="Times New Roman"/>
                <w:b/>
                <w:color w:val="000000"/>
                <w:sz w:val="20"/>
                <w:szCs w:val="20"/>
              </w:rPr>
              <w:br/>
              <w:t>(0.46, 0.65)</w:t>
            </w:r>
          </w:p>
        </w:tc>
      </w:tr>
      <w:tr w:rsidR="00347B07" w:rsidRPr="00F04A75" w14:paraId="0F5D6ACE" w14:textId="77777777" w:rsidTr="00EF2EF4">
        <w:trPr>
          <w:trHeight w:val="113"/>
        </w:trPr>
        <w:tc>
          <w:tcPr>
            <w:tcW w:w="5000" w:type="pct"/>
            <w:gridSpan w:val="9"/>
            <w:tcBorders>
              <w:top w:val="single" w:sz="4" w:space="0" w:color="auto"/>
              <w:left w:val="single" w:sz="4" w:space="0" w:color="auto"/>
              <w:bottom w:val="single" w:sz="4" w:space="0" w:color="auto"/>
              <w:right w:val="single" w:sz="4" w:space="0" w:color="auto"/>
            </w:tcBorders>
            <w:vAlign w:val="center"/>
          </w:tcPr>
          <w:p w14:paraId="3EDF160B" w14:textId="77777777" w:rsidR="00347B07" w:rsidRPr="00F04A75" w:rsidRDefault="00347B07" w:rsidP="00EF2EF4">
            <w:pPr>
              <w:keepNext/>
              <w:keepLines/>
              <w:rPr>
                <w:rFonts w:ascii="Arial Narrow" w:eastAsia="TimesNewRoman" w:hAnsi="Arial Narrow" w:cs="Times New Roman"/>
                <w:b/>
                <w:bCs/>
                <w:color w:val="000000"/>
                <w:sz w:val="20"/>
                <w:szCs w:val="20"/>
              </w:rPr>
            </w:pPr>
            <w:r w:rsidRPr="00F04A75">
              <w:rPr>
                <w:rFonts w:ascii="Arial Narrow" w:eastAsia="TimesNewRoman" w:hAnsi="Arial Narrow" w:cs="Times New Roman"/>
                <w:b/>
                <w:bCs/>
                <w:color w:val="000000"/>
                <w:sz w:val="20"/>
                <w:szCs w:val="20"/>
              </w:rPr>
              <w:t>OS</w:t>
            </w:r>
          </w:p>
        </w:tc>
      </w:tr>
      <w:tr w:rsidR="00DB653D" w:rsidRPr="00F04A75" w14:paraId="760BB6D7" w14:textId="77777777" w:rsidTr="00020BE8">
        <w:trPr>
          <w:trHeight w:val="113"/>
        </w:trPr>
        <w:tc>
          <w:tcPr>
            <w:tcW w:w="62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DD72D44" w14:textId="77777777" w:rsidR="00DB653D" w:rsidRPr="00F04A75" w:rsidRDefault="00DB653D" w:rsidP="0016658B">
            <w:pPr>
              <w:keepNext/>
              <w:keepLines/>
              <w:jc w:val="left"/>
              <w:rPr>
                <w:rFonts w:ascii="Arial Narrow" w:eastAsia="TimesNewRoman" w:hAnsi="Arial Narrow" w:cs="Times New Roman"/>
                <w:color w:val="000000"/>
                <w:sz w:val="20"/>
                <w:szCs w:val="20"/>
              </w:rPr>
            </w:pPr>
            <w:r w:rsidRPr="00F04A75">
              <w:rPr>
                <w:rFonts w:ascii="Arial Narrow" w:eastAsia="TimesNewRoman" w:hAnsi="Arial Narrow" w:cs="Times New Roman"/>
                <w:color w:val="000000"/>
                <w:sz w:val="20"/>
                <w:szCs w:val="20"/>
              </w:rPr>
              <w:t>10 Nov 2014</w:t>
            </w:r>
          </w:p>
        </w:tc>
        <w:tc>
          <w:tcPr>
            <w:tcW w:w="62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2F047AC" w14:textId="77777777" w:rsidR="00DB653D" w:rsidRPr="00F04A75" w:rsidRDefault="00124F10" w:rsidP="00EF2EF4">
            <w:pPr>
              <w:keepNext/>
              <w:keepLines/>
              <w:jc w:val="center"/>
              <w:rPr>
                <w:rFonts w:ascii="Arial Narrow" w:eastAsia="TimesNewRoman" w:hAnsi="Arial Narrow" w:cs="Times New Roman"/>
                <w:color w:val="000000"/>
                <w:sz w:val="20"/>
                <w:szCs w:val="20"/>
              </w:rPr>
            </w:pPr>
            <w:r w:rsidRPr="00F04A75">
              <w:rPr>
                <w:rFonts w:ascii="Arial Narrow" w:eastAsia="TimesNewRoman" w:hAnsi="Arial Narrow" w:cs="Times New Roman"/>
                <w:color w:val="000000"/>
                <w:sz w:val="20"/>
                <w:szCs w:val="20"/>
              </w:rPr>
              <w:t>12.2</w:t>
            </w:r>
          </w:p>
        </w:tc>
        <w:tc>
          <w:tcPr>
            <w:tcW w:w="550"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6FA4D47" w14:textId="77777777" w:rsidR="00DB653D" w:rsidRPr="00F04A75" w:rsidRDefault="00DB653D" w:rsidP="0016658B">
            <w:pPr>
              <w:keepNext/>
              <w:keepLines/>
              <w:jc w:val="center"/>
              <w:rPr>
                <w:rFonts w:ascii="Arial Narrow" w:eastAsia="Calibri" w:hAnsi="Arial Narrow"/>
                <w:color w:val="000000"/>
                <w:sz w:val="20"/>
                <w:szCs w:val="20"/>
              </w:rPr>
            </w:pPr>
            <w:r w:rsidRPr="00F04A75">
              <w:rPr>
                <w:rFonts w:ascii="Arial Narrow" w:eastAsia="TimesNewRoman" w:hAnsi="Arial Narrow" w:cs="Times New Roman"/>
                <w:color w:val="000000"/>
                <w:sz w:val="20"/>
                <w:szCs w:val="20"/>
              </w:rPr>
              <w:t>75 (16.2)</w:t>
            </w:r>
            <w:r w:rsidRPr="00F04A75">
              <w:rPr>
                <w:rFonts w:ascii="Arial Narrow" w:eastAsia="TimesNewRoman" w:hAnsi="Arial Narrow" w:cs="Times New Roman"/>
                <w:color w:val="000000"/>
                <w:sz w:val="20"/>
                <w:szCs w:val="20"/>
              </w:rPr>
              <w:tab/>
            </w:r>
          </w:p>
        </w:tc>
        <w:tc>
          <w:tcPr>
            <w:tcW w:w="550"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B7374AE" w14:textId="77777777" w:rsidR="00DB653D" w:rsidRPr="00F04A75" w:rsidRDefault="00DB653D" w:rsidP="0016658B">
            <w:pPr>
              <w:keepNext/>
              <w:keepLines/>
              <w:jc w:val="center"/>
              <w:rPr>
                <w:rFonts w:ascii="Arial Narrow" w:eastAsia="Calibri" w:hAnsi="Arial Narrow"/>
                <w:sz w:val="20"/>
                <w:szCs w:val="20"/>
              </w:rPr>
            </w:pPr>
            <w:r w:rsidRPr="00F04A75">
              <w:rPr>
                <w:rFonts w:ascii="Arial Narrow" w:eastAsia="TimesNewRoman" w:hAnsi="Arial Narrow" w:cs="Times New Roman"/>
                <w:color w:val="000000"/>
                <w:sz w:val="20"/>
                <w:szCs w:val="20"/>
              </w:rPr>
              <w:t>NE</w:t>
            </w:r>
          </w:p>
        </w:tc>
        <w:tc>
          <w:tcPr>
            <w:tcW w:w="550"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75039E3" w14:textId="77777777" w:rsidR="00DB653D" w:rsidRPr="00F04A75" w:rsidRDefault="00DB653D" w:rsidP="0016658B">
            <w:pPr>
              <w:keepNext/>
              <w:keepLines/>
              <w:jc w:val="center"/>
              <w:rPr>
                <w:rFonts w:ascii="Arial Narrow" w:eastAsia="Calibri" w:hAnsi="Arial Narrow"/>
                <w:color w:val="000000"/>
                <w:sz w:val="20"/>
                <w:szCs w:val="20"/>
              </w:rPr>
            </w:pPr>
            <w:r w:rsidRPr="00F04A75">
              <w:rPr>
                <w:rFonts w:ascii="Arial Narrow" w:eastAsia="TimesNewRoman" w:hAnsi="Arial Narrow" w:cs="Times New Roman"/>
                <w:color w:val="000000"/>
                <w:sz w:val="20"/>
                <w:szCs w:val="20"/>
              </w:rPr>
              <w:t>88 (18.9)</w:t>
            </w:r>
          </w:p>
        </w:tc>
        <w:tc>
          <w:tcPr>
            <w:tcW w:w="550"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BC98AE9" w14:textId="77777777" w:rsidR="00DB653D" w:rsidRPr="00F04A75" w:rsidRDefault="00DB653D" w:rsidP="0016658B">
            <w:pPr>
              <w:keepNext/>
              <w:keepLines/>
              <w:spacing w:before="20" w:after="20"/>
              <w:jc w:val="center"/>
              <w:rPr>
                <w:rFonts w:ascii="Arial Narrow" w:eastAsia="TimesNewRoman" w:hAnsi="Arial Narrow" w:cs="Times New Roman"/>
                <w:color w:val="000000"/>
                <w:sz w:val="20"/>
                <w:szCs w:val="20"/>
              </w:rPr>
            </w:pPr>
            <w:r w:rsidRPr="00F04A75">
              <w:rPr>
                <w:rFonts w:ascii="Arial Narrow" w:eastAsia="TimesNewRoman" w:hAnsi="Arial Narrow" w:cs="Times New Roman"/>
                <w:color w:val="000000"/>
                <w:sz w:val="20"/>
                <w:szCs w:val="20"/>
              </w:rPr>
              <w:t xml:space="preserve">24.3 </w:t>
            </w:r>
          </w:p>
          <w:p w14:paraId="2DE2F77E" w14:textId="77777777" w:rsidR="00DB653D" w:rsidRPr="00F04A75" w:rsidRDefault="00DB653D" w:rsidP="0016658B">
            <w:pPr>
              <w:keepNext/>
              <w:keepLines/>
              <w:jc w:val="center"/>
              <w:rPr>
                <w:rFonts w:ascii="Arial Narrow" w:eastAsia="Calibri" w:hAnsi="Arial Narrow"/>
                <w:sz w:val="20"/>
                <w:szCs w:val="20"/>
              </w:rPr>
            </w:pPr>
            <w:r w:rsidRPr="00F04A75">
              <w:rPr>
                <w:rFonts w:ascii="Arial Narrow" w:eastAsia="TimesNewRoman" w:hAnsi="Arial Narrow" w:cs="Times New Roman"/>
                <w:color w:val="000000"/>
                <w:sz w:val="20"/>
                <w:szCs w:val="20"/>
              </w:rPr>
              <w:t>(24.3, NE)</w:t>
            </w:r>
          </w:p>
        </w:tc>
        <w:tc>
          <w:tcPr>
            <w:tcW w:w="550"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73D7782" w14:textId="77777777" w:rsidR="00DB653D" w:rsidRPr="00F04A75" w:rsidRDefault="00DB653D" w:rsidP="0016658B">
            <w:pPr>
              <w:keepNext/>
              <w:keepLines/>
              <w:jc w:val="center"/>
              <w:rPr>
                <w:rFonts w:ascii="Arial Narrow" w:eastAsia="Calibri" w:hAnsi="Arial Narrow"/>
                <w:color w:val="000000"/>
                <w:sz w:val="20"/>
                <w:szCs w:val="20"/>
              </w:rPr>
            </w:pPr>
            <w:r w:rsidRPr="00F04A75">
              <w:rPr>
                <w:rFonts w:ascii="Arial Narrow" w:eastAsia="TimesNewRoman" w:hAnsi="Arial Narrow" w:cs="Times New Roman"/>
                <w:color w:val="000000"/>
                <w:sz w:val="20"/>
                <w:szCs w:val="20"/>
              </w:rPr>
              <w:t>NE</w:t>
            </w:r>
          </w:p>
        </w:tc>
        <w:tc>
          <w:tcPr>
            <w:tcW w:w="435"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C1EB529" w14:textId="77777777" w:rsidR="00DB653D" w:rsidRPr="00F04A75" w:rsidRDefault="00DB653D" w:rsidP="0016658B">
            <w:pPr>
              <w:keepNext/>
              <w:keepLines/>
              <w:jc w:val="center"/>
              <w:rPr>
                <w:rFonts w:ascii="Arial Narrow" w:eastAsia="Calibri" w:hAnsi="Arial Narrow"/>
                <w:b/>
                <w:color w:val="000000"/>
                <w:sz w:val="20"/>
                <w:szCs w:val="20"/>
              </w:rPr>
            </w:pPr>
            <w:r w:rsidRPr="00F04A75">
              <w:rPr>
                <w:rFonts w:ascii="Arial Narrow" w:hAnsi="Arial Narrow" w:cstheme="minorHAnsi"/>
                <w:b/>
                <w:bCs/>
                <w:sz w:val="20"/>
                <w:szCs w:val="20"/>
              </w:rPr>
              <w:t>0.0650</w:t>
            </w:r>
          </w:p>
        </w:tc>
        <w:tc>
          <w:tcPr>
            <w:tcW w:w="55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1188DFC" w14:textId="77777777" w:rsidR="00DB653D" w:rsidRPr="00F04A75" w:rsidRDefault="00DB653D" w:rsidP="0016658B">
            <w:pPr>
              <w:keepNext/>
              <w:keepLines/>
              <w:jc w:val="center"/>
              <w:rPr>
                <w:rFonts w:ascii="Arial Narrow" w:eastAsia="Calibri" w:hAnsi="Arial Narrow"/>
                <w:b/>
                <w:sz w:val="20"/>
                <w:szCs w:val="20"/>
              </w:rPr>
            </w:pPr>
            <w:r w:rsidRPr="00F04A75">
              <w:rPr>
                <w:rFonts w:ascii="Arial Narrow" w:hAnsi="Arial Narrow" w:cstheme="minorHAnsi"/>
                <w:sz w:val="20"/>
                <w:szCs w:val="20"/>
              </w:rPr>
              <w:t>0.79</w:t>
            </w:r>
            <w:r w:rsidRPr="00F04A75">
              <w:rPr>
                <w:rFonts w:ascii="Arial Narrow" w:hAnsi="Arial Narrow" w:cstheme="minorHAnsi"/>
                <w:sz w:val="20"/>
                <w:szCs w:val="20"/>
              </w:rPr>
              <w:br/>
              <w:t xml:space="preserve"> (0.58, 1.08)</w:t>
            </w:r>
          </w:p>
        </w:tc>
      </w:tr>
      <w:tr w:rsidR="00DB653D" w:rsidRPr="00F04A75" w14:paraId="34B1B8A8" w14:textId="77777777" w:rsidTr="00020BE8">
        <w:trPr>
          <w:trHeight w:val="113"/>
        </w:trPr>
        <w:tc>
          <w:tcPr>
            <w:tcW w:w="629" w:type="pct"/>
            <w:tcBorders>
              <w:top w:val="single" w:sz="4" w:space="0" w:color="auto"/>
              <w:left w:val="single" w:sz="4" w:space="0" w:color="auto"/>
              <w:bottom w:val="single" w:sz="4" w:space="0" w:color="auto"/>
              <w:right w:val="single" w:sz="4" w:space="0" w:color="auto"/>
            </w:tcBorders>
            <w:vAlign w:val="center"/>
          </w:tcPr>
          <w:p w14:paraId="3A723C15" w14:textId="77777777" w:rsidR="00DB653D" w:rsidRPr="00F04A75" w:rsidRDefault="00DB653D" w:rsidP="002921CB">
            <w:pPr>
              <w:keepNext/>
              <w:keepLines/>
              <w:jc w:val="left"/>
              <w:rPr>
                <w:rFonts w:ascii="Arial Narrow" w:eastAsia="TimesNewRoman" w:hAnsi="Arial Narrow" w:cs="Times New Roman"/>
                <w:color w:val="000000"/>
                <w:sz w:val="20"/>
                <w:szCs w:val="20"/>
              </w:rPr>
            </w:pPr>
            <w:r w:rsidRPr="00F04A75">
              <w:rPr>
                <w:rFonts w:ascii="Arial Narrow" w:eastAsia="TimesNewRoman" w:hAnsi="Arial Narrow" w:cs="Times New Roman"/>
                <w:color w:val="000000"/>
                <w:sz w:val="20"/>
                <w:szCs w:val="20"/>
              </w:rPr>
              <w:t>3 Jan 2017</w:t>
            </w:r>
          </w:p>
        </w:tc>
        <w:tc>
          <w:tcPr>
            <w:tcW w:w="629" w:type="pct"/>
            <w:tcBorders>
              <w:top w:val="single" w:sz="4" w:space="0" w:color="auto"/>
              <w:left w:val="single" w:sz="4" w:space="0" w:color="auto"/>
              <w:bottom w:val="single" w:sz="4" w:space="0" w:color="auto"/>
              <w:right w:val="single" w:sz="4" w:space="0" w:color="auto"/>
            </w:tcBorders>
            <w:vAlign w:val="center"/>
          </w:tcPr>
          <w:p w14:paraId="4B77D3B6" w14:textId="77777777" w:rsidR="00DB653D" w:rsidRPr="00F04A75" w:rsidRDefault="00124F10" w:rsidP="00EF2EF4">
            <w:pPr>
              <w:keepNext/>
              <w:keepLines/>
              <w:jc w:val="center"/>
              <w:rPr>
                <w:rFonts w:ascii="Arial Narrow" w:eastAsia="Calibri" w:hAnsi="Arial Narrow"/>
                <w:color w:val="000000"/>
                <w:sz w:val="20"/>
                <w:szCs w:val="20"/>
              </w:rPr>
            </w:pPr>
            <w:r w:rsidRPr="00F04A75">
              <w:rPr>
                <w:rFonts w:ascii="Arial Narrow" w:eastAsia="Calibri" w:hAnsi="Arial Narrow"/>
                <w:color w:val="000000"/>
                <w:sz w:val="20"/>
                <w:szCs w:val="20"/>
              </w:rPr>
              <w:t>37</w:t>
            </w:r>
          </w:p>
        </w:tc>
        <w:tc>
          <w:tcPr>
            <w:tcW w:w="550" w:type="pct"/>
            <w:tcBorders>
              <w:top w:val="single" w:sz="4" w:space="0" w:color="auto"/>
              <w:left w:val="single" w:sz="4" w:space="0" w:color="auto"/>
              <w:bottom w:val="single" w:sz="4" w:space="0" w:color="auto"/>
              <w:right w:val="single" w:sz="4" w:space="0" w:color="auto"/>
            </w:tcBorders>
            <w:vAlign w:val="center"/>
          </w:tcPr>
          <w:p w14:paraId="4F01BE0A" w14:textId="77777777" w:rsidR="00DB653D" w:rsidRPr="00F04A75" w:rsidRDefault="00DB653D" w:rsidP="0016658B">
            <w:pPr>
              <w:keepNext/>
              <w:keepLines/>
              <w:jc w:val="center"/>
              <w:rPr>
                <w:rFonts w:ascii="Arial Narrow" w:eastAsia="TimesNewRoman" w:hAnsi="Arial Narrow" w:cs="Times New Roman"/>
                <w:b/>
                <w:color w:val="000000"/>
                <w:sz w:val="20"/>
                <w:szCs w:val="20"/>
              </w:rPr>
            </w:pPr>
            <w:r w:rsidRPr="00F04A75">
              <w:rPr>
                <w:rFonts w:ascii="Arial Narrow" w:eastAsia="Calibri" w:hAnsi="Arial Narrow"/>
                <w:color w:val="000000"/>
                <w:sz w:val="20"/>
                <w:szCs w:val="20"/>
              </w:rPr>
              <w:t>189 (40.7%)</w:t>
            </w:r>
          </w:p>
        </w:tc>
        <w:tc>
          <w:tcPr>
            <w:tcW w:w="550" w:type="pct"/>
            <w:tcBorders>
              <w:top w:val="single" w:sz="4" w:space="0" w:color="auto"/>
              <w:left w:val="single" w:sz="4" w:space="0" w:color="auto"/>
              <w:bottom w:val="single" w:sz="4" w:space="0" w:color="auto"/>
              <w:right w:val="single" w:sz="4" w:space="0" w:color="auto"/>
            </w:tcBorders>
            <w:vAlign w:val="center"/>
          </w:tcPr>
          <w:p w14:paraId="10E46612" w14:textId="77777777" w:rsidR="00DB653D" w:rsidRPr="00F04A75" w:rsidRDefault="00DB653D" w:rsidP="0016658B">
            <w:pPr>
              <w:keepNext/>
              <w:keepLines/>
              <w:jc w:val="center"/>
              <w:rPr>
                <w:rFonts w:ascii="Arial Narrow" w:eastAsia="TimesNewRoman" w:hAnsi="Arial Narrow" w:cs="Times New Roman"/>
                <w:b/>
                <w:color w:val="000000"/>
                <w:sz w:val="20"/>
                <w:szCs w:val="20"/>
              </w:rPr>
            </w:pPr>
            <w:r w:rsidRPr="00F04A75">
              <w:rPr>
                <w:rFonts w:ascii="Arial Narrow" w:eastAsia="Calibri" w:hAnsi="Arial Narrow"/>
                <w:sz w:val="20"/>
                <w:szCs w:val="20"/>
              </w:rPr>
              <w:t>47.6</w:t>
            </w:r>
            <w:r w:rsidRPr="00F04A75">
              <w:rPr>
                <w:rFonts w:ascii="Arial Narrow" w:eastAsia="Calibri" w:hAnsi="Arial Narrow"/>
                <w:sz w:val="20"/>
                <w:szCs w:val="20"/>
              </w:rPr>
              <w:br/>
              <w:t>(42.5, NE)</w:t>
            </w:r>
          </w:p>
        </w:tc>
        <w:tc>
          <w:tcPr>
            <w:tcW w:w="550" w:type="pct"/>
            <w:tcBorders>
              <w:top w:val="single" w:sz="4" w:space="0" w:color="auto"/>
              <w:left w:val="single" w:sz="4" w:space="0" w:color="auto"/>
              <w:bottom w:val="single" w:sz="4" w:space="0" w:color="auto"/>
              <w:right w:val="single" w:sz="4" w:space="0" w:color="auto"/>
            </w:tcBorders>
            <w:vAlign w:val="center"/>
          </w:tcPr>
          <w:p w14:paraId="252C6B40" w14:textId="77777777" w:rsidR="00DB653D" w:rsidRPr="00F04A75" w:rsidRDefault="00DB653D" w:rsidP="0016658B">
            <w:pPr>
              <w:keepNext/>
              <w:keepLines/>
              <w:jc w:val="center"/>
              <w:rPr>
                <w:rFonts w:ascii="Arial Narrow" w:eastAsia="TimesNewRoman" w:hAnsi="Arial Narrow" w:cs="Times New Roman"/>
                <w:b/>
                <w:color w:val="000000"/>
                <w:sz w:val="20"/>
                <w:szCs w:val="20"/>
              </w:rPr>
            </w:pPr>
            <w:r w:rsidRPr="00F04A75">
              <w:rPr>
                <w:rFonts w:ascii="Arial Narrow" w:eastAsia="Calibri" w:hAnsi="Arial Narrow"/>
                <w:color w:val="000000"/>
                <w:sz w:val="20"/>
                <w:szCs w:val="20"/>
              </w:rPr>
              <w:t>209 (44.9%)</w:t>
            </w:r>
          </w:p>
        </w:tc>
        <w:tc>
          <w:tcPr>
            <w:tcW w:w="550" w:type="pct"/>
            <w:tcBorders>
              <w:top w:val="single" w:sz="4" w:space="0" w:color="auto"/>
              <w:left w:val="single" w:sz="4" w:space="0" w:color="auto"/>
              <w:bottom w:val="single" w:sz="4" w:space="0" w:color="auto"/>
              <w:right w:val="single" w:sz="4" w:space="0" w:color="auto"/>
            </w:tcBorders>
            <w:vAlign w:val="center"/>
          </w:tcPr>
          <w:p w14:paraId="341B3E42" w14:textId="77777777" w:rsidR="00DB653D" w:rsidRPr="00F04A75" w:rsidRDefault="00DB653D" w:rsidP="0016658B">
            <w:pPr>
              <w:keepNext/>
              <w:keepLines/>
              <w:jc w:val="center"/>
              <w:rPr>
                <w:rFonts w:ascii="Arial Narrow" w:eastAsia="TimesNewRoman" w:hAnsi="Arial Narrow" w:cs="Times New Roman"/>
                <w:b/>
                <w:color w:val="000000"/>
                <w:sz w:val="20"/>
                <w:szCs w:val="20"/>
              </w:rPr>
            </w:pPr>
            <w:r w:rsidRPr="00F04A75">
              <w:rPr>
                <w:rFonts w:ascii="Arial Narrow" w:eastAsia="Calibri" w:hAnsi="Arial Narrow"/>
                <w:sz w:val="20"/>
                <w:szCs w:val="20"/>
              </w:rPr>
              <w:t>40.0</w:t>
            </w:r>
            <w:r w:rsidRPr="00F04A75">
              <w:rPr>
                <w:rFonts w:ascii="Arial Narrow" w:eastAsia="Calibri" w:hAnsi="Arial Narrow"/>
                <w:sz w:val="20"/>
                <w:szCs w:val="20"/>
              </w:rPr>
              <w:br/>
              <w:t>(32.6, 42.3)</w:t>
            </w:r>
          </w:p>
        </w:tc>
        <w:tc>
          <w:tcPr>
            <w:tcW w:w="550" w:type="pct"/>
            <w:tcBorders>
              <w:top w:val="single" w:sz="4" w:space="0" w:color="auto"/>
              <w:left w:val="single" w:sz="4" w:space="0" w:color="auto"/>
              <w:bottom w:val="single" w:sz="4" w:space="0" w:color="auto"/>
              <w:right w:val="single" w:sz="4" w:space="0" w:color="auto"/>
            </w:tcBorders>
            <w:vAlign w:val="center"/>
          </w:tcPr>
          <w:p w14:paraId="143032CF" w14:textId="77777777" w:rsidR="00DB653D" w:rsidRPr="00F04A75" w:rsidRDefault="00DB653D" w:rsidP="0016658B">
            <w:pPr>
              <w:keepNext/>
              <w:keepLines/>
              <w:jc w:val="center"/>
              <w:rPr>
                <w:rFonts w:ascii="Arial Narrow" w:eastAsia="TimesNewRoman" w:hAnsi="Arial Narrow" w:cs="Times New Roman"/>
                <w:b/>
                <w:color w:val="000000"/>
                <w:sz w:val="20"/>
                <w:szCs w:val="20"/>
              </w:rPr>
            </w:pPr>
            <w:r w:rsidRPr="00F04A75">
              <w:rPr>
                <w:rFonts w:ascii="Arial Narrow" w:eastAsia="Calibri" w:hAnsi="Arial Narrow"/>
                <w:color w:val="000000"/>
                <w:sz w:val="20"/>
                <w:szCs w:val="20"/>
              </w:rPr>
              <w:t>7.6</w:t>
            </w:r>
          </w:p>
        </w:tc>
        <w:tc>
          <w:tcPr>
            <w:tcW w:w="435" w:type="pct"/>
            <w:tcBorders>
              <w:top w:val="single" w:sz="4" w:space="0" w:color="auto"/>
              <w:left w:val="single" w:sz="4" w:space="0" w:color="auto"/>
              <w:bottom w:val="single" w:sz="4" w:space="0" w:color="auto"/>
              <w:right w:val="single" w:sz="4" w:space="0" w:color="auto"/>
            </w:tcBorders>
            <w:vAlign w:val="center"/>
          </w:tcPr>
          <w:p w14:paraId="1819F7F5" w14:textId="77777777" w:rsidR="00DB653D" w:rsidRPr="00F04A75" w:rsidRDefault="00DB653D" w:rsidP="0016658B">
            <w:pPr>
              <w:keepNext/>
              <w:keepLines/>
              <w:jc w:val="center"/>
              <w:rPr>
                <w:rFonts w:ascii="Arial Narrow" w:eastAsia="TimesNewRoman" w:hAnsi="Arial Narrow" w:cs="Times New Roman"/>
                <w:b/>
                <w:color w:val="000000"/>
                <w:sz w:val="20"/>
                <w:szCs w:val="20"/>
              </w:rPr>
            </w:pPr>
            <w:r w:rsidRPr="00F04A75">
              <w:rPr>
                <w:rFonts w:ascii="Arial Narrow" w:eastAsia="Calibri" w:hAnsi="Arial Narrow"/>
                <w:b/>
                <w:color w:val="000000"/>
                <w:sz w:val="20"/>
                <w:szCs w:val="20"/>
              </w:rPr>
              <w:t>0.010</w:t>
            </w:r>
          </w:p>
        </w:tc>
        <w:tc>
          <w:tcPr>
            <w:tcW w:w="558" w:type="pct"/>
            <w:tcBorders>
              <w:top w:val="single" w:sz="4" w:space="0" w:color="auto"/>
              <w:left w:val="single" w:sz="4" w:space="0" w:color="auto"/>
              <w:bottom w:val="single" w:sz="4" w:space="0" w:color="auto"/>
              <w:right w:val="single" w:sz="4" w:space="0" w:color="auto"/>
            </w:tcBorders>
            <w:vAlign w:val="center"/>
          </w:tcPr>
          <w:p w14:paraId="374A33CB" w14:textId="77777777" w:rsidR="00DB653D" w:rsidRPr="00F04A75" w:rsidRDefault="00DB653D" w:rsidP="0016658B">
            <w:pPr>
              <w:keepNext/>
              <w:keepLines/>
              <w:jc w:val="center"/>
              <w:rPr>
                <w:rFonts w:ascii="Arial Narrow" w:eastAsia="TimesNewRoman" w:hAnsi="Arial Narrow" w:cs="Times New Roman"/>
                <w:b/>
                <w:color w:val="000000"/>
                <w:sz w:val="20"/>
                <w:szCs w:val="20"/>
              </w:rPr>
            </w:pPr>
            <w:r w:rsidRPr="00F04A75">
              <w:rPr>
                <w:rFonts w:ascii="Arial Narrow" w:eastAsia="Calibri" w:hAnsi="Arial Narrow"/>
                <w:b/>
                <w:sz w:val="20"/>
                <w:szCs w:val="20"/>
              </w:rPr>
              <w:t xml:space="preserve">0.79 </w:t>
            </w:r>
            <w:r w:rsidRPr="00F04A75">
              <w:rPr>
                <w:rFonts w:ascii="Arial Narrow" w:eastAsia="Calibri" w:hAnsi="Arial Narrow"/>
                <w:b/>
                <w:sz w:val="20"/>
                <w:szCs w:val="20"/>
              </w:rPr>
              <w:br/>
              <w:t>(0.65, 0.96)</w:t>
            </w:r>
          </w:p>
        </w:tc>
      </w:tr>
      <w:tr w:rsidR="00DB653D" w:rsidRPr="00F04A75" w14:paraId="49DA42CA" w14:textId="77777777" w:rsidTr="00020BE8">
        <w:trPr>
          <w:trHeight w:val="113"/>
        </w:trPr>
        <w:tc>
          <w:tcPr>
            <w:tcW w:w="629" w:type="pct"/>
            <w:tcBorders>
              <w:top w:val="single" w:sz="4" w:space="0" w:color="auto"/>
              <w:left w:val="single" w:sz="4" w:space="0" w:color="auto"/>
              <w:bottom w:val="single" w:sz="4" w:space="0" w:color="auto"/>
              <w:right w:val="single" w:sz="4" w:space="0" w:color="auto"/>
            </w:tcBorders>
            <w:vAlign w:val="center"/>
          </w:tcPr>
          <w:p w14:paraId="2105CA91" w14:textId="77777777" w:rsidR="00DB653D" w:rsidRPr="00F04A75" w:rsidRDefault="00DB653D" w:rsidP="002921CB">
            <w:pPr>
              <w:keepNext/>
              <w:keepLines/>
              <w:jc w:val="left"/>
              <w:rPr>
                <w:rFonts w:ascii="Arial Narrow" w:eastAsia="TimesNewRoman" w:hAnsi="Arial Narrow" w:cs="Times New Roman"/>
                <w:bCs/>
                <w:color w:val="000000"/>
                <w:sz w:val="20"/>
                <w:szCs w:val="20"/>
              </w:rPr>
            </w:pPr>
            <w:r w:rsidRPr="00F04A75">
              <w:rPr>
                <w:rFonts w:ascii="Arial Narrow" w:eastAsia="TimesNewRoman" w:hAnsi="Arial Narrow" w:cs="Times New Roman"/>
                <w:bCs/>
                <w:color w:val="000000"/>
                <w:sz w:val="20"/>
                <w:szCs w:val="20"/>
              </w:rPr>
              <w:t>19 July 2017</w:t>
            </w:r>
          </w:p>
        </w:tc>
        <w:tc>
          <w:tcPr>
            <w:tcW w:w="629" w:type="pct"/>
            <w:tcBorders>
              <w:top w:val="single" w:sz="4" w:space="0" w:color="auto"/>
              <w:left w:val="single" w:sz="4" w:space="0" w:color="auto"/>
              <w:bottom w:val="single" w:sz="4" w:space="0" w:color="auto"/>
              <w:right w:val="single" w:sz="4" w:space="0" w:color="auto"/>
            </w:tcBorders>
            <w:vAlign w:val="center"/>
          </w:tcPr>
          <w:p w14:paraId="7638E5BA" w14:textId="77777777" w:rsidR="00DB653D" w:rsidRPr="00F04A75" w:rsidRDefault="00124F10" w:rsidP="00EF2EF4">
            <w:pPr>
              <w:keepNext/>
              <w:keepLines/>
              <w:jc w:val="center"/>
              <w:rPr>
                <w:rFonts w:ascii="Arial Narrow" w:hAnsi="Arial Narrow"/>
                <w:sz w:val="20"/>
                <w:szCs w:val="20"/>
              </w:rPr>
            </w:pPr>
            <w:r w:rsidRPr="00F04A75">
              <w:rPr>
                <w:rFonts w:ascii="Arial Narrow" w:hAnsi="Arial Narrow"/>
                <w:sz w:val="20"/>
                <w:szCs w:val="20"/>
              </w:rPr>
              <w:t>44</w:t>
            </w:r>
          </w:p>
        </w:tc>
        <w:tc>
          <w:tcPr>
            <w:tcW w:w="550" w:type="pct"/>
            <w:tcBorders>
              <w:top w:val="single" w:sz="4" w:space="0" w:color="auto"/>
              <w:left w:val="single" w:sz="4" w:space="0" w:color="auto"/>
              <w:bottom w:val="single" w:sz="4" w:space="0" w:color="auto"/>
              <w:right w:val="single" w:sz="4" w:space="0" w:color="auto"/>
            </w:tcBorders>
            <w:vAlign w:val="center"/>
          </w:tcPr>
          <w:p w14:paraId="7FD21497" w14:textId="77777777" w:rsidR="00DB653D" w:rsidRPr="00F04A75" w:rsidRDefault="00DB653D" w:rsidP="0016658B">
            <w:pPr>
              <w:keepNext/>
              <w:keepLines/>
              <w:jc w:val="center"/>
              <w:rPr>
                <w:rFonts w:ascii="Arial Narrow" w:eastAsia="TimesNewRoman" w:hAnsi="Arial Narrow" w:cs="Times New Roman"/>
                <w:b/>
                <w:color w:val="000000"/>
                <w:sz w:val="20"/>
                <w:szCs w:val="20"/>
              </w:rPr>
            </w:pPr>
            <w:r w:rsidRPr="00F04A75">
              <w:rPr>
                <w:rFonts w:ascii="Arial Narrow" w:hAnsi="Arial Narrow"/>
                <w:sz w:val="20"/>
                <w:szCs w:val="20"/>
              </w:rPr>
              <w:t>214 (46.1%)</w:t>
            </w:r>
          </w:p>
        </w:tc>
        <w:tc>
          <w:tcPr>
            <w:tcW w:w="550" w:type="pct"/>
            <w:tcBorders>
              <w:top w:val="single" w:sz="4" w:space="0" w:color="auto"/>
              <w:left w:val="single" w:sz="4" w:space="0" w:color="auto"/>
              <w:bottom w:val="single" w:sz="4" w:space="0" w:color="auto"/>
              <w:right w:val="single" w:sz="4" w:space="0" w:color="auto"/>
            </w:tcBorders>
            <w:vAlign w:val="center"/>
          </w:tcPr>
          <w:p w14:paraId="396CE728" w14:textId="77777777" w:rsidR="00DB653D" w:rsidRPr="00F04A75" w:rsidRDefault="00DB653D" w:rsidP="0016658B">
            <w:pPr>
              <w:keepNext/>
              <w:keepLines/>
              <w:jc w:val="center"/>
              <w:rPr>
                <w:rFonts w:ascii="Arial Narrow" w:eastAsia="TimesNewRoman" w:hAnsi="Arial Narrow" w:cs="Times New Roman"/>
                <w:b/>
                <w:color w:val="000000"/>
                <w:sz w:val="20"/>
                <w:szCs w:val="20"/>
              </w:rPr>
            </w:pPr>
            <w:r w:rsidRPr="00F04A75">
              <w:rPr>
                <w:rFonts w:ascii="Arial Narrow" w:hAnsi="Arial Narrow"/>
                <w:sz w:val="20"/>
                <w:szCs w:val="20"/>
              </w:rPr>
              <w:t xml:space="preserve">47.8 </w:t>
            </w:r>
            <w:r w:rsidRPr="00F04A75">
              <w:rPr>
                <w:rFonts w:ascii="Arial Narrow" w:hAnsi="Arial Narrow"/>
                <w:sz w:val="20"/>
                <w:szCs w:val="20"/>
              </w:rPr>
              <w:br/>
              <w:t>(41.9, NE)</w:t>
            </w:r>
          </w:p>
        </w:tc>
        <w:tc>
          <w:tcPr>
            <w:tcW w:w="550" w:type="pct"/>
            <w:tcBorders>
              <w:top w:val="single" w:sz="4" w:space="0" w:color="auto"/>
              <w:left w:val="single" w:sz="4" w:space="0" w:color="auto"/>
              <w:bottom w:val="single" w:sz="4" w:space="0" w:color="auto"/>
              <w:right w:val="single" w:sz="4" w:space="0" w:color="auto"/>
            </w:tcBorders>
            <w:vAlign w:val="center"/>
          </w:tcPr>
          <w:p w14:paraId="21ECBE94" w14:textId="77777777" w:rsidR="00DB653D" w:rsidRPr="00F04A75" w:rsidRDefault="00DB653D" w:rsidP="0016658B">
            <w:pPr>
              <w:keepNext/>
              <w:keepLines/>
              <w:jc w:val="center"/>
              <w:rPr>
                <w:rFonts w:ascii="Arial Narrow" w:eastAsia="TimesNewRoman" w:hAnsi="Arial Narrow" w:cs="Times New Roman"/>
                <w:b/>
                <w:color w:val="000000"/>
                <w:sz w:val="20"/>
                <w:szCs w:val="20"/>
              </w:rPr>
            </w:pPr>
            <w:r w:rsidRPr="00F04A75">
              <w:rPr>
                <w:rFonts w:ascii="Arial Narrow" w:hAnsi="Arial Narrow"/>
                <w:sz w:val="20"/>
                <w:szCs w:val="20"/>
              </w:rPr>
              <w:t>248 (53.3%)</w:t>
            </w:r>
          </w:p>
        </w:tc>
        <w:tc>
          <w:tcPr>
            <w:tcW w:w="550" w:type="pct"/>
            <w:tcBorders>
              <w:top w:val="single" w:sz="4" w:space="0" w:color="auto"/>
              <w:left w:val="single" w:sz="4" w:space="0" w:color="auto"/>
              <w:bottom w:val="single" w:sz="4" w:space="0" w:color="auto"/>
              <w:right w:val="single" w:sz="4" w:space="0" w:color="auto"/>
            </w:tcBorders>
            <w:vAlign w:val="center"/>
          </w:tcPr>
          <w:p w14:paraId="1257ED77" w14:textId="77777777" w:rsidR="00DB653D" w:rsidRPr="00F04A75" w:rsidRDefault="00DB653D" w:rsidP="0016658B">
            <w:pPr>
              <w:keepNext/>
              <w:keepLines/>
              <w:jc w:val="center"/>
              <w:rPr>
                <w:rFonts w:ascii="Arial Narrow" w:eastAsia="TimesNewRoman" w:hAnsi="Arial Narrow" w:cs="Times New Roman"/>
                <w:b/>
                <w:color w:val="000000"/>
                <w:sz w:val="20"/>
                <w:szCs w:val="20"/>
              </w:rPr>
            </w:pPr>
            <w:r w:rsidRPr="00F04A75">
              <w:rPr>
                <w:rFonts w:ascii="Arial Narrow" w:hAnsi="Arial Narrow"/>
                <w:sz w:val="20"/>
                <w:szCs w:val="20"/>
              </w:rPr>
              <w:t xml:space="preserve">38.8 </w:t>
            </w:r>
            <w:r w:rsidRPr="00F04A75">
              <w:rPr>
                <w:rFonts w:ascii="Arial Narrow" w:hAnsi="Arial Narrow"/>
                <w:sz w:val="20"/>
                <w:szCs w:val="20"/>
              </w:rPr>
              <w:br/>
              <w:t>(31.7, 42.7)</w:t>
            </w:r>
          </w:p>
        </w:tc>
        <w:tc>
          <w:tcPr>
            <w:tcW w:w="550" w:type="pct"/>
            <w:tcBorders>
              <w:top w:val="single" w:sz="4" w:space="0" w:color="auto"/>
              <w:left w:val="single" w:sz="4" w:space="0" w:color="auto"/>
              <w:bottom w:val="single" w:sz="4" w:space="0" w:color="auto"/>
              <w:right w:val="single" w:sz="4" w:space="0" w:color="auto"/>
            </w:tcBorders>
            <w:vAlign w:val="center"/>
          </w:tcPr>
          <w:p w14:paraId="523D9C76" w14:textId="77777777" w:rsidR="00DB653D" w:rsidRPr="00F04A75" w:rsidRDefault="00DB653D" w:rsidP="0016658B">
            <w:pPr>
              <w:keepNext/>
              <w:keepLines/>
              <w:jc w:val="center"/>
              <w:rPr>
                <w:rFonts w:ascii="Arial Narrow" w:eastAsia="TimesNewRoman" w:hAnsi="Arial Narrow" w:cs="Times New Roman"/>
                <w:bCs/>
                <w:color w:val="000000"/>
                <w:sz w:val="20"/>
                <w:szCs w:val="20"/>
              </w:rPr>
            </w:pPr>
            <w:r w:rsidRPr="00F04A75">
              <w:rPr>
                <w:rFonts w:ascii="Arial Narrow" w:eastAsia="TimesNewRoman" w:hAnsi="Arial Narrow" w:cs="Times New Roman"/>
                <w:bCs/>
                <w:color w:val="000000"/>
                <w:sz w:val="20"/>
                <w:szCs w:val="20"/>
              </w:rPr>
              <w:t>9.0</w:t>
            </w:r>
          </w:p>
        </w:tc>
        <w:tc>
          <w:tcPr>
            <w:tcW w:w="435" w:type="pct"/>
            <w:tcBorders>
              <w:top w:val="single" w:sz="4" w:space="0" w:color="auto"/>
              <w:left w:val="single" w:sz="4" w:space="0" w:color="auto"/>
              <w:bottom w:val="single" w:sz="4" w:space="0" w:color="auto"/>
              <w:right w:val="single" w:sz="4" w:space="0" w:color="auto"/>
            </w:tcBorders>
            <w:vAlign w:val="center"/>
          </w:tcPr>
          <w:p w14:paraId="20A8377B" w14:textId="77777777" w:rsidR="00DB653D" w:rsidRPr="00F04A75" w:rsidRDefault="00DB653D" w:rsidP="0016658B">
            <w:pPr>
              <w:keepNext/>
              <w:keepLines/>
              <w:jc w:val="center"/>
              <w:rPr>
                <w:rFonts w:ascii="Arial Narrow" w:eastAsia="TimesNewRoman" w:hAnsi="Arial Narrow" w:cs="Times New Roman"/>
                <w:b/>
                <w:color w:val="000000"/>
                <w:sz w:val="20"/>
                <w:szCs w:val="20"/>
              </w:rPr>
            </w:pPr>
            <w:r w:rsidRPr="00F04A75">
              <w:rPr>
                <w:rFonts w:ascii="Arial Narrow" w:eastAsia="TimesNewRoman" w:hAnsi="Arial Narrow" w:cs="Times New Roman"/>
                <w:b/>
                <w:color w:val="000000"/>
                <w:sz w:val="20"/>
                <w:szCs w:val="20"/>
              </w:rPr>
              <w:t>0.0017</w:t>
            </w:r>
          </w:p>
        </w:tc>
        <w:tc>
          <w:tcPr>
            <w:tcW w:w="558" w:type="pct"/>
            <w:tcBorders>
              <w:top w:val="single" w:sz="4" w:space="0" w:color="auto"/>
              <w:left w:val="single" w:sz="4" w:space="0" w:color="auto"/>
              <w:bottom w:val="single" w:sz="4" w:space="0" w:color="auto"/>
              <w:right w:val="single" w:sz="4" w:space="0" w:color="auto"/>
            </w:tcBorders>
            <w:vAlign w:val="center"/>
          </w:tcPr>
          <w:p w14:paraId="706530A3" w14:textId="77777777" w:rsidR="00DB653D" w:rsidRPr="00F04A75" w:rsidRDefault="00DB653D" w:rsidP="0016658B">
            <w:pPr>
              <w:keepNext/>
              <w:keepLines/>
              <w:jc w:val="center"/>
              <w:rPr>
                <w:rFonts w:ascii="Arial Narrow" w:eastAsia="TimesNewRoman" w:hAnsi="Arial Narrow" w:cs="Times New Roman"/>
                <w:b/>
                <w:color w:val="000000"/>
                <w:sz w:val="20"/>
                <w:szCs w:val="20"/>
              </w:rPr>
            </w:pPr>
            <w:r w:rsidRPr="00F04A75">
              <w:rPr>
                <w:rFonts w:ascii="Arial Narrow" w:eastAsia="TimesNewRoman" w:hAnsi="Arial Narrow" w:cs="Times New Roman"/>
                <w:b/>
                <w:color w:val="000000"/>
                <w:sz w:val="20"/>
                <w:szCs w:val="20"/>
              </w:rPr>
              <w:t xml:space="preserve">0.76 </w:t>
            </w:r>
          </w:p>
          <w:p w14:paraId="7507DDF0" w14:textId="77777777" w:rsidR="00DB653D" w:rsidRPr="00F04A75" w:rsidRDefault="00DB653D" w:rsidP="0016658B">
            <w:pPr>
              <w:keepNext/>
              <w:keepLines/>
              <w:jc w:val="center"/>
              <w:rPr>
                <w:rFonts w:ascii="Arial Narrow" w:eastAsia="TimesNewRoman" w:hAnsi="Arial Narrow" w:cs="Times New Roman"/>
                <w:b/>
                <w:color w:val="000000"/>
                <w:sz w:val="20"/>
                <w:szCs w:val="20"/>
              </w:rPr>
            </w:pPr>
            <w:r w:rsidRPr="00F04A75">
              <w:rPr>
                <w:rFonts w:ascii="Arial Narrow" w:eastAsia="TimesNewRoman" w:hAnsi="Arial Narrow" w:cs="Times New Roman"/>
                <w:b/>
                <w:color w:val="000000"/>
                <w:sz w:val="20"/>
                <w:szCs w:val="20"/>
              </w:rPr>
              <w:t>(0.63, 0.92)</w:t>
            </w:r>
          </w:p>
        </w:tc>
      </w:tr>
    </w:tbl>
    <w:p w14:paraId="554109EF" w14:textId="183258FA" w:rsidR="00F97782" w:rsidRPr="00F04A75" w:rsidRDefault="00F97782" w:rsidP="001A3825">
      <w:pPr>
        <w:tabs>
          <w:tab w:val="left" w:pos="6573"/>
        </w:tabs>
        <w:spacing w:line="259" w:lineRule="auto"/>
        <w:jc w:val="left"/>
        <w:rPr>
          <w:rFonts w:ascii="Arial Narrow" w:hAnsi="Arial Narrow"/>
          <w:sz w:val="18"/>
          <w:szCs w:val="18"/>
        </w:rPr>
      </w:pPr>
      <w:r w:rsidRPr="00F04A75">
        <w:rPr>
          <w:rFonts w:ascii="Arial Narrow" w:hAnsi="Arial Narrow"/>
          <w:sz w:val="18"/>
          <w:szCs w:val="18"/>
        </w:rPr>
        <w:t xml:space="preserve">Source: Table 2.5.5 p62 of the resubmission </w:t>
      </w:r>
      <w:r w:rsidR="001A3825" w:rsidRPr="00F04A75">
        <w:rPr>
          <w:rFonts w:ascii="Arial Narrow" w:hAnsi="Arial Narrow"/>
          <w:sz w:val="18"/>
          <w:szCs w:val="18"/>
        </w:rPr>
        <w:tab/>
      </w:r>
      <w:r w:rsidRPr="00F04A75">
        <w:rPr>
          <w:rFonts w:ascii="Arial Narrow" w:hAnsi="Arial Narrow"/>
          <w:sz w:val="18"/>
          <w:szCs w:val="18"/>
        </w:rPr>
        <w:br/>
      </w:r>
      <w:r w:rsidR="002A1FAD" w:rsidRPr="00F04A75">
        <w:rPr>
          <w:rFonts w:ascii="Arial Narrow" w:hAnsi="Arial Narrow"/>
          <w:sz w:val="18"/>
          <w:szCs w:val="18"/>
        </w:rPr>
        <w:t xml:space="preserve">Bd = bortezomib and dexamethasone; </w:t>
      </w:r>
      <w:r w:rsidR="00334CF5" w:rsidRPr="00F04A75">
        <w:rPr>
          <w:rFonts w:ascii="Arial Narrow" w:hAnsi="Arial Narrow"/>
          <w:sz w:val="18"/>
          <w:szCs w:val="18"/>
        </w:rPr>
        <w:t>Cd56 BIW = carfilzomib 56 mg/m</w:t>
      </w:r>
      <w:r w:rsidR="00334CF5" w:rsidRPr="00F04A75">
        <w:rPr>
          <w:rFonts w:ascii="Arial Narrow" w:hAnsi="Arial Narrow"/>
          <w:sz w:val="18"/>
          <w:szCs w:val="18"/>
          <w:vertAlign w:val="superscript"/>
        </w:rPr>
        <w:t xml:space="preserve">2 </w:t>
      </w:r>
      <w:r w:rsidR="00334CF5" w:rsidRPr="00F04A75">
        <w:rPr>
          <w:rFonts w:ascii="Arial Narrow" w:hAnsi="Arial Narrow"/>
          <w:sz w:val="18"/>
          <w:szCs w:val="18"/>
        </w:rPr>
        <w:t>twice weekly and dexamethasone;</w:t>
      </w:r>
      <w:r w:rsidR="00334CF5" w:rsidRPr="00F04A75">
        <w:t xml:space="preserve"> </w:t>
      </w:r>
      <w:r w:rsidR="002A1FAD" w:rsidRPr="00F04A75">
        <w:rPr>
          <w:rFonts w:ascii="Arial Narrow" w:hAnsi="Arial Narrow"/>
          <w:sz w:val="18"/>
          <w:szCs w:val="18"/>
        </w:rPr>
        <w:t xml:space="preserve">CI = confidence interval; </w:t>
      </w:r>
      <w:r w:rsidRPr="00F04A75">
        <w:rPr>
          <w:rFonts w:ascii="Arial Narrow" w:hAnsi="Arial Narrow"/>
          <w:sz w:val="18"/>
          <w:szCs w:val="18"/>
        </w:rPr>
        <w:t>IRC</w:t>
      </w:r>
      <w:r w:rsidR="002A1FAD" w:rsidRPr="00F04A75">
        <w:rPr>
          <w:rFonts w:ascii="Arial Narrow" w:hAnsi="Arial Narrow"/>
          <w:sz w:val="18"/>
          <w:szCs w:val="18"/>
        </w:rPr>
        <w:t xml:space="preserve"> </w:t>
      </w:r>
      <w:r w:rsidRPr="00F04A75">
        <w:rPr>
          <w:rFonts w:ascii="Arial Narrow" w:hAnsi="Arial Narrow"/>
          <w:sz w:val="18"/>
          <w:szCs w:val="18"/>
        </w:rPr>
        <w:t>= Independent Review Committee; NE</w:t>
      </w:r>
      <w:r w:rsidR="002A1FAD" w:rsidRPr="00F04A75">
        <w:rPr>
          <w:rFonts w:ascii="Arial Narrow" w:hAnsi="Arial Narrow"/>
          <w:sz w:val="18"/>
          <w:szCs w:val="18"/>
        </w:rPr>
        <w:t xml:space="preserve"> </w:t>
      </w:r>
      <w:r w:rsidRPr="00F04A75">
        <w:rPr>
          <w:rFonts w:ascii="Arial Narrow" w:hAnsi="Arial Narrow"/>
          <w:sz w:val="18"/>
          <w:szCs w:val="18"/>
        </w:rPr>
        <w:t>= not estimable; ORCA</w:t>
      </w:r>
      <w:r w:rsidR="002A1FAD" w:rsidRPr="00F04A75">
        <w:rPr>
          <w:rFonts w:ascii="Arial Narrow" w:hAnsi="Arial Narrow"/>
          <w:sz w:val="18"/>
          <w:szCs w:val="18"/>
        </w:rPr>
        <w:t xml:space="preserve"> </w:t>
      </w:r>
      <w:r w:rsidRPr="00F04A75">
        <w:rPr>
          <w:rFonts w:ascii="Arial Narrow" w:hAnsi="Arial Narrow"/>
          <w:sz w:val="18"/>
          <w:szCs w:val="18"/>
        </w:rPr>
        <w:t xml:space="preserve">= Onyx response computation assessment; </w:t>
      </w:r>
      <w:r w:rsidR="002A1FAD" w:rsidRPr="00F04A75">
        <w:rPr>
          <w:rFonts w:ascii="Arial Narrow" w:hAnsi="Arial Narrow"/>
          <w:sz w:val="18"/>
          <w:szCs w:val="18"/>
        </w:rPr>
        <w:t xml:space="preserve">OS = overall survival; </w:t>
      </w:r>
      <w:r w:rsidRPr="00F04A75">
        <w:rPr>
          <w:rFonts w:ascii="Arial Narrow" w:hAnsi="Arial Narrow"/>
          <w:sz w:val="18"/>
          <w:szCs w:val="18"/>
        </w:rPr>
        <w:t>PFS</w:t>
      </w:r>
      <w:r w:rsidR="002A1FAD" w:rsidRPr="00F04A75">
        <w:rPr>
          <w:rFonts w:ascii="Arial Narrow" w:hAnsi="Arial Narrow"/>
          <w:sz w:val="18"/>
          <w:szCs w:val="18"/>
        </w:rPr>
        <w:t xml:space="preserve"> </w:t>
      </w:r>
      <w:r w:rsidRPr="00F04A75">
        <w:rPr>
          <w:rFonts w:ascii="Arial Narrow" w:hAnsi="Arial Narrow"/>
          <w:sz w:val="18"/>
          <w:szCs w:val="18"/>
        </w:rPr>
        <w:t>=</w:t>
      </w:r>
      <w:r w:rsidR="002A1FAD" w:rsidRPr="00F04A75">
        <w:rPr>
          <w:rFonts w:ascii="Arial Narrow" w:hAnsi="Arial Narrow"/>
          <w:sz w:val="18"/>
          <w:szCs w:val="18"/>
        </w:rPr>
        <w:t xml:space="preserve"> </w:t>
      </w:r>
      <w:r w:rsidRPr="00F04A75">
        <w:rPr>
          <w:rFonts w:ascii="Arial Narrow" w:hAnsi="Arial Narrow"/>
          <w:sz w:val="18"/>
          <w:szCs w:val="18"/>
        </w:rPr>
        <w:t>progression free survival</w:t>
      </w:r>
      <w:r w:rsidR="004A3507" w:rsidRPr="00F04A75">
        <w:rPr>
          <w:rFonts w:ascii="Arial Narrow" w:hAnsi="Arial Narrow"/>
          <w:sz w:val="18"/>
          <w:szCs w:val="18"/>
        </w:rPr>
        <w:t>.</w:t>
      </w:r>
      <w:r w:rsidRPr="00F04A75">
        <w:rPr>
          <w:rFonts w:ascii="Arial Narrow" w:hAnsi="Arial Narrow"/>
          <w:sz w:val="18"/>
          <w:szCs w:val="18"/>
        </w:rPr>
        <w:br/>
        <w:t xml:space="preserve">Note: ENDEAVOR median follow for PFS: 11.5 months (data cut </w:t>
      </w:r>
      <w:r w:rsidR="00485E85" w:rsidRPr="00F04A75">
        <w:rPr>
          <w:rFonts w:ascii="Arial Narrow" w:hAnsi="Arial Narrow"/>
          <w:sz w:val="18"/>
          <w:szCs w:val="18"/>
        </w:rPr>
        <w:t>10 Nov</w:t>
      </w:r>
      <w:r w:rsidRPr="00F04A75">
        <w:rPr>
          <w:rFonts w:ascii="Arial Narrow" w:hAnsi="Arial Narrow"/>
          <w:sz w:val="18"/>
          <w:szCs w:val="18"/>
        </w:rPr>
        <w:t xml:space="preserve"> 2014); 16.6 months (data cut 3 March 2016); OS: 37 months (data cut 3 Jan 2017); 44 months (data cut 19 July 2017).</w:t>
      </w:r>
      <w:r w:rsidRPr="00F04A75">
        <w:rPr>
          <w:rFonts w:ascii="Arial Narrow" w:hAnsi="Arial Narrow"/>
          <w:sz w:val="18"/>
          <w:szCs w:val="18"/>
        </w:rPr>
        <w:br/>
      </w:r>
      <w:r w:rsidRPr="00F04A75">
        <w:rPr>
          <w:rFonts w:ascii="Arial Narrow" w:hAnsi="Arial Narrow"/>
          <w:b/>
          <w:bCs/>
          <w:sz w:val="18"/>
          <w:szCs w:val="18"/>
        </w:rPr>
        <w:t>Bold</w:t>
      </w:r>
      <w:r w:rsidRPr="00F04A75">
        <w:rPr>
          <w:rFonts w:ascii="Arial Narrow" w:hAnsi="Arial Narrow"/>
          <w:sz w:val="18"/>
          <w:szCs w:val="18"/>
        </w:rPr>
        <w:t xml:space="preserve"> = statistically significant</w:t>
      </w:r>
    </w:p>
    <w:p w14:paraId="5FCD85F3" w14:textId="77777777" w:rsidR="00DF5512" w:rsidRPr="00F04A75" w:rsidRDefault="00DF5512" w:rsidP="00DF5512">
      <w:pPr>
        <w:pStyle w:val="TableFigureFooter"/>
      </w:pPr>
      <w:r w:rsidRPr="00F04A75">
        <w:t xml:space="preserve">Blue shading </w:t>
      </w:r>
      <w:proofErr w:type="spellStart"/>
      <w:r>
        <w:t>representes</w:t>
      </w:r>
      <w:proofErr w:type="spellEnd"/>
      <w:r w:rsidRPr="00F04A75">
        <w:t xml:space="preserve"> information presented in carfilzomib November 2016 submission </w:t>
      </w:r>
    </w:p>
    <w:p w14:paraId="2F8FAB92" w14:textId="4C0B6227" w:rsidR="00B854F5" w:rsidRPr="00F04A75" w:rsidRDefault="00F97782" w:rsidP="00B854F5">
      <w:pPr>
        <w:pStyle w:val="ListParagraph"/>
        <w:widowControl w:val="0"/>
        <w:numPr>
          <w:ilvl w:val="1"/>
          <w:numId w:val="1"/>
        </w:numPr>
        <w:spacing w:after="160"/>
        <w:ind w:left="810" w:hanging="810"/>
        <w:rPr>
          <w:rFonts w:cstheme="minorHAnsi"/>
        </w:rPr>
      </w:pPr>
      <w:r w:rsidRPr="00F04A75">
        <w:rPr>
          <w:rFonts w:cstheme="minorHAnsi"/>
        </w:rPr>
        <w:t xml:space="preserve">The patients in the Cd arm of ENDEAVOR had statistically significant improvements in PFS and OS compared to Bd. The PBAC previously considered that Cd demonstrated </w:t>
      </w:r>
      <w:r w:rsidRPr="00F04A75">
        <w:rPr>
          <w:rFonts w:cstheme="minorHAnsi"/>
        </w:rPr>
        <w:lastRenderedPageBreak/>
        <w:t xml:space="preserve">a statistically significant improvement in </w:t>
      </w:r>
      <w:proofErr w:type="gramStart"/>
      <w:r w:rsidRPr="00F04A75">
        <w:rPr>
          <w:rFonts w:cstheme="minorHAnsi"/>
        </w:rPr>
        <w:t>PFS</w:t>
      </w:r>
      <w:proofErr w:type="gramEnd"/>
      <w:r w:rsidRPr="00F04A75">
        <w:rPr>
          <w:rFonts w:cstheme="minorHAnsi"/>
        </w:rPr>
        <w:t xml:space="preserve"> and OS compared to Bd (paragraph 6.12, </w:t>
      </w:r>
      <w:r w:rsidR="00813BD7" w:rsidRPr="00F04A75">
        <w:rPr>
          <w:rFonts w:cstheme="minorHAnsi"/>
        </w:rPr>
        <w:t>c</w:t>
      </w:r>
      <w:r w:rsidRPr="00F04A75">
        <w:rPr>
          <w:rFonts w:cstheme="minorHAnsi"/>
        </w:rPr>
        <w:t xml:space="preserve">arfilzomib PSD, July 2017). </w:t>
      </w:r>
    </w:p>
    <w:p w14:paraId="3F1435F5" w14:textId="0F210C17" w:rsidR="00F97782" w:rsidRPr="00F04A75" w:rsidRDefault="00F97782" w:rsidP="0016658B">
      <w:pPr>
        <w:pStyle w:val="ListParagraph"/>
        <w:widowControl w:val="0"/>
        <w:numPr>
          <w:ilvl w:val="1"/>
          <w:numId w:val="1"/>
        </w:numPr>
        <w:spacing w:after="160"/>
        <w:ind w:left="810" w:hanging="810"/>
        <w:rPr>
          <w:rFonts w:cstheme="minorHAnsi"/>
        </w:rPr>
      </w:pPr>
      <w:r w:rsidRPr="00F04A75">
        <w:t xml:space="preserve">The ORR was statistically significantly higher for patients receiving Cd compared with Bd </w:t>
      </w:r>
      <w:r w:rsidRPr="00F04A75">
        <w:rPr>
          <w:rFonts w:cstheme="minorHAnsi"/>
        </w:rPr>
        <w:t>(</w:t>
      </w:r>
      <w:r w:rsidR="00235C08" w:rsidRPr="00F04A75">
        <w:rPr>
          <w:rFonts w:cstheme="minorHAnsi"/>
        </w:rPr>
        <w:t xml:space="preserve">Table </w:t>
      </w:r>
      <w:r w:rsidR="00C8791A">
        <w:rPr>
          <w:rFonts w:cstheme="minorHAnsi"/>
        </w:rPr>
        <w:t>9</w:t>
      </w:r>
      <w:r w:rsidRPr="00F04A75">
        <w:rPr>
          <w:rFonts w:cstheme="minorHAnsi"/>
        </w:rPr>
        <w:t xml:space="preserve">). </w:t>
      </w:r>
    </w:p>
    <w:p w14:paraId="0566D9DD" w14:textId="45256CAF" w:rsidR="00F97782" w:rsidRPr="00F04A75" w:rsidRDefault="00F97782" w:rsidP="00020BE8">
      <w:pPr>
        <w:pStyle w:val="Caption"/>
        <w:keepNext/>
        <w:spacing w:after="0"/>
        <w:rPr>
          <w:rFonts w:ascii="Arial Narrow" w:hAnsi="Arial Narrow"/>
          <w:sz w:val="20"/>
          <w:szCs w:val="20"/>
        </w:rPr>
      </w:pPr>
      <w:r w:rsidRPr="00F04A75">
        <w:rPr>
          <w:rFonts w:ascii="Arial Narrow" w:hAnsi="Arial Narrow"/>
          <w:color w:val="auto"/>
          <w:sz w:val="20"/>
          <w:szCs w:val="20"/>
        </w:rPr>
        <w:t xml:space="preserve">Table </w:t>
      </w:r>
      <w:r w:rsidRPr="00F04A75">
        <w:rPr>
          <w:rFonts w:ascii="Arial Narrow" w:hAnsi="Arial Narrow"/>
          <w:color w:val="auto"/>
          <w:sz w:val="20"/>
          <w:szCs w:val="20"/>
        </w:rPr>
        <w:fldChar w:fldCharType="begin"/>
      </w:r>
      <w:r w:rsidRPr="00F04A75">
        <w:rPr>
          <w:rFonts w:ascii="Arial Narrow" w:hAnsi="Arial Narrow"/>
          <w:color w:val="auto"/>
          <w:sz w:val="20"/>
          <w:szCs w:val="20"/>
        </w:rPr>
        <w:instrText xml:space="preserve"> SEQ Table \* ARABIC </w:instrText>
      </w:r>
      <w:r w:rsidRPr="00F04A75">
        <w:rPr>
          <w:rFonts w:ascii="Arial Narrow" w:hAnsi="Arial Narrow"/>
          <w:color w:val="auto"/>
          <w:sz w:val="20"/>
          <w:szCs w:val="20"/>
        </w:rPr>
        <w:fldChar w:fldCharType="separate"/>
      </w:r>
      <w:r w:rsidR="00443BC9">
        <w:rPr>
          <w:rFonts w:ascii="Arial Narrow" w:hAnsi="Arial Narrow"/>
          <w:noProof/>
          <w:color w:val="auto"/>
          <w:sz w:val="20"/>
          <w:szCs w:val="20"/>
        </w:rPr>
        <w:t>9</w:t>
      </w:r>
      <w:r w:rsidRPr="00F04A75">
        <w:rPr>
          <w:rFonts w:ascii="Arial Narrow" w:hAnsi="Arial Narrow"/>
          <w:color w:val="auto"/>
          <w:sz w:val="20"/>
          <w:szCs w:val="20"/>
        </w:rPr>
        <w:fldChar w:fldCharType="end"/>
      </w:r>
      <w:r w:rsidRPr="00F04A75">
        <w:rPr>
          <w:rFonts w:ascii="Arial Narrow" w:hAnsi="Arial Narrow"/>
          <w:color w:val="auto"/>
          <w:sz w:val="20"/>
          <w:szCs w:val="20"/>
        </w:rPr>
        <w:t>:</w:t>
      </w:r>
      <w:r w:rsidR="00081FB4" w:rsidRPr="00F04A75">
        <w:rPr>
          <w:rFonts w:ascii="Arial Narrow" w:hAnsi="Arial Narrow"/>
          <w:color w:val="auto"/>
          <w:sz w:val="20"/>
          <w:szCs w:val="20"/>
        </w:rPr>
        <w:t xml:space="preserve"> </w:t>
      </w:r>
      <w:r w:rsidRPr="00F04A75">
        <w:rPr>
          <w:rFonts w:ascii="Arial Narrow" w:hAnsi="Arial Narrow"/>
          <w:color w:val="auto"/>
          <w:sz w:val="20"/>
          <w:szCs w:val="20"/>
        </w:rPr>
        <w:t>Summary of efficacy results: ORR, ENDEAVOR (10 Nov 2014 data-cut; median follow up = 11.5 months)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845"/>
        <w:gridCol w:w="1277"/>
        <w:gridCol w:w="992"/>
        <w:gridCol w:w="1275"/>
        <w:gridCol w:w="994"/>
        <w:gridCol w:w="1275"/>
        <w:gridCol w:w="1275"/>
        <w:gridCol w:w="1084"/>
      </w:tblGrid>
      <w:tr w:rsidR="00F97782" w:rsidRPr="00F04A75" w14:paraId="69AE52E5" w14:textId="77777777" w:rsidTr="00020BE8">
        <w:trPr>
          <w:trHeight w:val="115"/>
        </w:trPr>
        <w:tc>
          <w:tcPr>
            <w:tcW w:w="469" w:type="pct"/>
            <w:vMerge w:val="restart"/>
            <w:tcBorders>
              <w:top w:val="single" w:sz="4" w:space="0" w:color="auto"/>
              <w:left w:val="single" w:sz="4" w:space="0" w:color="auto"/>
              <w:right w:val="single" w:sz="4" w:space="0" w:color="auto"/>
            </w:tcBorders>
            <w:hideMark/>
          </w:tcPr>
          <w:p w14:paraId="55C0AF4D" w14:textId="77777777" w:rsidR="00F97782" w:rsidRPr="00F04A75" w:rsidRDefault="00F97782" w:rsidP="0016658B">
            <w:pPr>
              <w:keepNext/>
              <w:keepLines/>
              <w:jc w:val="left"/>
              <w:rPr>
                <w:rFonts w:ascii="Arial Narrow" w:eastAsia="TimesNewRoman" w:hAnsi="Arial Narrow" w:cs="Times New Roman"/>
                <w:b/>
                <w:color w:val="000000"/>
                <w:sz w:val="20"/>
                <w:szCs w:val="20"/>
              </w:rPr>
            </w:pPr>
          </w:p>
        </w:tc>
        <w:tc>
          <w:tcPr>
            <w:tcW w:w="1258" w:type="pct"/>
            <w:gridSpan w:val="2"/>
            <w:tcBorders>
              <w:top w:val="single" w:sz="4" w:space="0" w:color="auto"/>
              <w:left w:val="single" w:sz="4" w:space="0" w:color="auto"/>
              <w:right w:val="single" w:sz="4" w:space="0" w:color="auto"/>
            </w:tcBorders>
          </w:tcPr>
          <w:p w14:paraId="5C1209C4" w14:textId="77777777" w:rsidR="00F97782" w:rsidRPr="00F04A75" w:rsidRDefault="00F97782" w:rsidP="0016658B">
            <w:pPr>
              <w:keepNext/>
              <w:keepLines/>
              <w:jc w:val="center"/>
              <w:rPr>
                <w:rFonts w:ascii="Arial Narrow" w:eastAsia="TimesNewRoman" w:hAnsi="Arial Narrow" w:cs="Times New Roman"/>
                <w:b/>
                <w:color w:val="000000"/>
                <w:sz w:val="20"/>
                <w:szCs w:val="20"/>
              </w:rPr>
            </w:pPr>
            <w:r w:rsidRPr="00F04A75">
              <w:rPr>
                <w:rFonts w:ascii="Arial Narrow" w:eastAsia="TimesNewRoman" w:hAnsi="Arial Narrow" w:cs="Times New Roman"/>
                <w:b/>
                <w:color w:val="000000"/>
                <w:sz w:val="20"/>
                <w:szCs w:val="20"/>
              </w:rPr>
              <w:t>Cd</w:t>
            </w:r>
            <w:r w:rsidR="00347B07" w:rsidRPr="00F04A75">
              <w:rPr>
                <w:rFonts w:ascii="Arial Narrow" w:eastAsia="TimesNewRoman" w:hAnsi="Arial Narrow" w:cs="Times New Roman"/>
                <w:b/>
                <w:color w:val="000000"/>
                <w:sz w:val="20"/>
                <w:szCs w:val="20"/>
              </w:rPr>
              <w:t>56 BIW (N=</w:t>
            </w:r>
            <w:r w:rsidR="00B94827" w:rsidRPr="00F04A75">
              <w:rPr>
                <w:rFonts w:ascii="Arial Narrow" w:eastAsia="TimesNewRoman" w:hAnsi="Arial Narrow" w:cs="Times New Roman"/>
                <w:b/>
                <w:color w:val="000000"/>
                <w:sz w:val="20"/>
                <w:szCs w:val="20"/>
              </w:rPr>
              <w:t>464)</w:t>
            </w:r>
          </w:p>
        </w:tc>
        <w:tc>
          <w:tcPr>
            <w:tcW w:w="1258" w:type="pct"/>
            <w:gridSpan w:val="2"/>
            <w:tcBorders>
              <w:top w:val="single" w:sz="4" w:space="0" w:color="auto"/>
              <w:left w:val="single" w:sz="4" w:space="0" w:color="auto"/>
              <w:right w:val="single" w:sz="4" w:space="0" w:color="auto"/>
            </w:tcBorders>
          </w:tcPr>
          <w:p w14:paraId="3B0D9A84" w14:textId="77777777" w:rsidR="00F97782" w:rsidRPr="00F04A75" w:rsidRDefault="00F97782" w:rsidP="0016658B">
            <w:pPr>
              <w:keepNext/>
              <w:keepLines/>
              <w:jc w:val="center"/>
              <w:rPr>
                <w:rFonts w:ascii="Arial Narrow" w:eastAsia="TimesNewRoman" w:hAnsi="Arial Narrow" w:cs="Times New Roman"/>
                <w:b/>
                <w:color w:val="000000"/>
                <w:sz w:val="20"/>
                <w:szCs w:val="20"/>
              </w:rPr>
            </w:pPr>
            <w:r w:rsidRPr="00F04A75">
              <w:rPr>
                <w:rFonts w:ascii="Arial Narrow" w:eastAsia="TimesNewRoman" w:hAnsi="Arial Narrow" w:cs="Times New Roman"/>
                <w:b/>
                <w:color w:val="000000"/>
                <w:sz w:val="20"/>
                <w:szCs w:val="20"/>
              </w:rPr>
              <w:t>Bd</w:t>
            </w:r>
            <w:r w:rsidR="00B94827" w:rsidRPr="00F04A75">
              <w:rPr>
                <w:rFonts w:ascii="Arial Narrow" w:eastAsia="TimesNewRoman" w:hAnsi="Arial Narrow" w:cs="Times New Roman"/>
                <w:b/>
                <w:color w:val="000000"/>
                <w:sz w:val="20"/>
                <w:szCs w:val="20"/>
              </w:rPr>
              <w:t xml:space="preserve"> (N=465)</w:t>
            </w:r>
          </w:p>
        </w:tc>
        <w:tc>
          <w:tcPr>
            <w:tcW w:w="707" w:type="pct"/>
            <w:vMerge w:val="restart"/>
            <w:tcBorders>
              <w:top w:val="single" w:sz="4" w:space="0" w:color="auto"/>
              <w:left w:val="single" w:sz="4" w:space="0" w:color="auto"/>
              <w:right w:val="single" w:sz="4" w:space="0" w:color="auto"/>
            </w:tcBorders>
          </w:tcPr>
          <w:p w14:paraId="13ED8C87" w14:textId="77777777" w:rsidR="00F97782" w:rsidRPr="00F04A75" w:rsidRDefault="00F97782" w:rsidP="0016658B">
            <w:pPr>
              <w:keepNext/>
              <w:keepLines/>
              <w:jc w:val="center"/>
              <w:rPr>
                <w:rFonts w:ascii="Arial Narrow" w:eastAsia="TimesNewRoman" w:hAnsi="Arial Narrow" w:cs="Times New Roman"/>
                <w:b/>
                <w:color w:val="000000"/>
                <w:sz w:val="20"/>
                <w:szCs w:val="20"/>
              </w:rPr>
            </w:pPr>
            <w:r w:rsidRPr="00F04A75">
              <w:rPr>
                <w:rFonts w:ascii="Arial Narrow" w:eastAsia="TimesNewRoman" w:hAnsi="Arial Narrow" w:cs="Times New Roman"/>
                <w:b/>
                <w:color w:val="000000"/>
                <w:sz w:val="20"/>
                <w:szCs w:val="20"/>
              </w:rPr>
              <w:t>Difference in median, months</w:t>
            </w:r>
          </w:p>
        </w:tc>
        <w:tc>
          <w:tcPr>
            <w:tcW w:w="707" w:type="pct"/>
            <w:vMerge w:val="restart"/>
            <w:tcBorders>
              <w:top w:val="single" w:sz="4" w:space="0" w:color="auto"/>
              <w:left w:val="single" w:sz="4" w:space="0" w:color="auto"/>
              <w:right w:val="single" w:sz="4" w:space="0" w:color="auto"/>
            </w:tcBorders>
          </w:tcPr>
          <w:p w14:paraId="1B34D0F7" w14:textId="77777777" w:rsidR="00F97782" w:rsidRPr="00F04A75" w:rsidRDefault="00F97782" w:rsidP="0016658B">
            <w:pPr>
              <w:keepNext/>
              <w:keepLines/>
              <w:jc w:val="center"/>
              <w:rPr>
                <w:rFonts w:ascii="Arial Narrow" w:eastAsia="TimesNewRoman" w:hAnsi="Arial Narrow" w:cs="Times New Roman"/>
                <w:b/>
                <w:color w:val="000000"/>
                <w:sz w:val="20"/>
                <w:szCs w:val="20"/>
              </w:rPr>
            </w:pPr>
            <w:r w:rsidRPr="00F04A75">
              <w:rPr>
                <w:rFonts w:ascii="Arial Narrow" w:eastAsia="TimesNewRoman" w:hAnsi="Arial Narrow" w:cs="Times New Roman"/>
                <w:b/>
                <w:color w:val="000000"/>
                <w:sz w:val="20"/>
                <w:szCs w:val="20"/>
              </w:rPr>
              <w:t xml:space="preserve">P value </w:t>
            </w:r>
            <w:r w:rsidR="00020BE8" w:rsidRPr="00F04A75">
              <w:rPr>
                <w:rFonts w:ascii="Arial Narrow" w:eastAsia="TimesNewRoman" w:hAnsi="Arial Narrow" w:cs="Times New Roman"/>
                <w:b/>
                <w:color w:val="000000"/>
                <w:sz w:val="20"/>
                <w:szCs w:val="20"/>
              </w:rPr>
              <w:br/>
            </w:r>
            <w:r w:rsidRPr="00F04A75">
              <w:rPr>
                <w:rFonts w:ascii="Arial Narrow" w:eastAsia="TimesNewRoman" w:hAnsi="Arial Narrow" w:cs="Times New Roman"/>
                <w:b/>
                <w:color w:val="000000"/>
                <w:sz w:val="20"/>
                <w:szCs w:val="20"/>
              </w:rPr>
              <w:t>(log rank test)</w:t>
            </w:r>
          </w:p>
        </w:tc>
        <w:tc>
          <w:tcPr>
            <w:tcW w:w="601" w:type="pct"/>
            <w:vMerge w:val="restart"/>
            <w:tcBorders>
              <w:top w:val="single" w:sz="4" w:space="0" w:color="auto"/>
              <w:left w:val="single" w:sz="4" w:space="0" w:color="auto"/>
              <w:right w:val="single" w:sz="4" w:space="0" w:color="auto"/>
            </w:tcBorders>
          </w:tcPr>
          <w:p w14:paraId="544156DE" w14:textId="77777777" w:rsidR="00F97782" w:rsidRPr="00F04A75" w:rsidRDefault="00F97782" w:rsidP="0016658B">
            <w:pPr>
              <w:keepNext/>
              <w:keepLines/>
              <w:jc w:val="center"/>
              <w:rPr>
                <w:rFonts w:ascii="Arial Narrow" w:eastAsia="TimesNewRoman" w:hAnsi="Arial Narrow" w:cs="Times New Roman"/>
                <w:b/>
                <w:color w:val="000000"/>
                <w:sz w:val="20"/>
                <w:szCs w:val="20"/>
                <w:vertAlign w:val="superscript"/>
              </w:rPr>
            </w:pPr>
            <w:r w:rsidRPr="00F04A75">
              <w:rPr>
                <w:rFonts w:ascii="Arial Narrow" w:eastAsia="TimesNewRoman" w:hAnsi="Arial Narrow" w:cs="Times New Roman"/>
                <w:b/>
                <w:color w:val="000000"/>
                <w:sz w:val="20"/>
                <w:szCs w:val="20"/>
              </w:rPr>
              <w:t>Odds ratio</w:t>
            </w:r>
            <w:r w:rsidRPr="00F04A75">
              <w:rPr>
                <w:rFonts w:ascii="Arial Narrow" w:eastAsia="TimesNewRoman" w:hAnsi="Arial Narrow" w:cs="Times New Roman"/>
                <w:b/>
                <w:color w:val="000000"/>
                <w:sz w:val="20"/>
                <w:szCs w:val="20"/>
              </w:rPr>
              <w:br/>
              <w:t>(95% CI)</w:t>
            </w:r>
          </w:p>
        </w:tc>
      </w:tr>
      <w:tr w:rsidR="00F97782" w:rsidRPr="00F04A75" w14:paraId="0D6478DD" w14:textId="77777777" w:rsidTr="00020BE8">
        <w:trPr>
          <w:trHeight w:val="303"/>
        </w:trPr>
        <w:tc>
          <w:tcPr>
            <w:tcW w:w="469" w:type="pct"/>
            <w:vMerge/>
            <w:tcBorders>
              <w:left w:val="single" w:sz="4" w:space="0" w:color="auto"/>
              <w:bottom w:val="single" w:sz="4" w:space="0" w:color="auto"/>
              <w:right w:val="single" w:sz="4" w:space="0" w:color="auto"/>
            </w:tcBorders>
            <w:vAlign w:val="center"/>
          </w:tcPr>
          <w:p w14:paraId="5FAF09A2" w14:textId="77777777" w:rsidR="00F97782" w:rsidRPr="00F04A75" w:rsidRDefault="00F97782" w:rsidP="0016658B">
            <w:pPr>
              <w:keepNext/>
              <w:keepLines/>
              <w:jc w:val="left"/>
              <w:rPr>
                <w:rFonts w:ascii="Arial Narrow" w:eastAsia="TimesNewRoman" w:hAnsi="Arial Narrow" w:cs="Times New Roman"/>
                <w:color w:val="000000"/>
                <w:sz w:val="20"/>
                <w:szCs w:val="20"/>
              </w:rPr>
            </w:pPr>
          </w:p>
        </w:tc>
        <w:tc>
          <w:tcPr>
            <w:tcW w:w="708" w:type="pct"/>
            <w:tcBorders>
              <w:top w:val="single" w:sz="4" w:space="0" w:color="auto"/>
              <w:left w:val="single" w:sz="4" w:space="0" w:color="auto"/>
              <w:bottom w:val="single" w:sz="4" w:space="0" w:color="auto"/>
              <w:right w:val="single" w:sz="4" w:space="0" w:color="auto"/>
            </w:tcBorders>
          </w:tcPr>
          <w:p w14:paraId="59118203" w14:textId="77777777" w:rsidR="00F97782" w:rsidRPr="00F04A75" w:rsidRDefault="00F97782" w:rsidP="0016658B">
            <w:pPr>
              <w:keepNext/>
              <w:keepLines/>
              <w:jc w:val="center"/>
              <w:rPr>
                <w:rFonts w:ascii="Arial Narrow" w:eastAsia="TimesNewRoman" w:hAnsi="Arial Narrow" w:cs="Times New Roman"/>
                <w:b/>
                <w:color w:val="000000"/>
                <w:sz w:val="20"/>
                <w:szCs w:val="20"/>
              </w:rPr>
            </w:pPr>
            <w:r w:rsidRPr="00F04A75">
              <w:rPr>
                <w:rFonts w:ascii="Arial Narrow" w:eastAsia="TimesNewRoman" w:hAnsi="Arial Narrow" w:cs="Times New Roman"/>
                <w:b/>
                <w:color w:val="000000"/>
                <w:sz w:val="20"/>
                <w:szCs w:val="20"/>
              </w:rPr>
              <w:t>Patients with events, n (%)</w:t>
            </w:r>
          </w:p>
        </w:tc>
        <w:tc>
          <w:tcPr>
            <w:tcW w:w="550" w:type="pct"/>
            <w:tcBorders>
              <w:top w:val="single" w:sz="4" w:space="0" w:color="auto"/>
              <w:left w:val="single" w:sz="4" w:space="0" w:color="auto"/>
              <w:bottom w:val="single" w:sz="4" w:space="0" w:color="auto"/>
              <w:right w:val="single" w:sz="4" w:space="0" w:color="auto"/>
            </w:tcBorders>
          </w:tcPr>
          <w:p w14:paraId="0FB59817" w14:textId="77777777" w:rsidR="00F97782" w:rsidRPr="00F04A75" w:rsidRDefault="00F97782" w:rsidP="0016658B">
            <w:pPr>
              <w:keepNext/>
              <w:keepLines/>
              <w:jc w:val="center"/>
              <w:rPr>
                <w:rFonts w:ascii="Arial Narrow" w:eastAsia="TimesNewRoman" w:hAnsi="Arial Narrow" w:cs="Times New Roman"/>
                <w:b/>
                <w:color w:val="000000"/>
                <w:sz w:val="20"/>
                <w:szCs w:val="20"/>
              </w:rPr>
            </w:pPr>
            <w:r w:rsidRPr="00F04A75">
              <w:rPr>
                <w:rFonts w:ascii="Arial Narrow" w:eastAsia="TimesNewRoman" w:hAnsi="Arial Narrow" w:cs="Times New Roman"/>
                <w:b/>
                <w:color w:val="000000"/>
                <w:sz w:val="20"/>
                <w:szCs w:val="20"/>
              </w:rPr>
              <w:t>Median, months</w:t>
            </w:r>
          </w:p>
        </w:tc>
        <w:tc>
          <w:tcPr>
            <w:tcW w:w="707" w:type="pct"/>
            <w:tcBorders>
              <w:top w:val="single" w:sz="4" w:space="0" w:color="auto"/>
              <w:left w:val="single" w:sz="4" w:space="0" w:color="auto"/>
              <w:bottom w:val="single" w:sz="4" w:space="0" w:color="auto"/>
              <w:right w:val="single" w:sz="4" w:space="0" w:color="auto"/>
            </w:tcBorders>
          </w:tcPr>
          <w:p w14:paraId="44986C84" w14:textId="77777777" w:rsidR="00F97782" w:rsidRPr="00F04A75" w:rsidRDefault="00F97782" w:rsidP="0016658B">
            <w:pPr>
              <w:keepNext/>
              <w:keepLines/>
              <w:jc w:val="center"/>
              <w:rPr>
                <w:rFonts w:ascii="Arial Narrow" w:eastAsia="TimesNewRoman" w:hAnsi="Arial Narrow" w:cs="Times New Roman"/>
                <w:b/>
                <w:color w:val="000000"/>
                <w:sz w:val="20"/>
                <w:szCs w:val="20"/>
              </w:rPr>
            </w:pPr>
            <w:r w:rsidRPr="00F04A75">
              <w:rPr>
                <w:rFonts w:ascii="Arial Narrow" w:eastAsia="TimesNewRoman" w:hAnsi="Arial Narrow" w:cs="Times New Roman"/>
                <w:b/>
                <w:color w:val="000000"/>
                <w:sz w:val="20"/>
                <w:szCs w:val="20"/>
              </w:rPr>
              <w:t>Patients with events, n (%)</w:t>
            </w:r>
          </w:p>
        </w:tc>
        <w:tc>
          <w:tcPr>
            <w:tcW w:w="551" w:type="pct"/>
            <w:tcBorders>
              <w:top w:val="single" w:sz="4" w:space="0" w:color="auto"/>
              <w:left w:val="single" w:sz="4" w:space="0" w:color="auto"/>
              <w:bottom w:val="single" w:sz="4" w:space="0" w:color="auto"/>
              <w:right w:val="single" w:sz="4" w:space="0" w:color="auto"/>
            </w:tcBorders>
          </w:tcPr>
          <w:p w14:paraId="2687ECB4" w14:textId="77777777" w:rsidR="00F97782" w:rsidRPr="00F04A75" w:rsidRDefault="00F97782" w:rsidP="0016658B">
            <w:pPr>
              <w:keepNext/>
              <w:keepLines/>
              <w:jc w:val="center"/>
              <w:rPr>
                <w:rFonts w:ascii="Arial Narrow" w:eastAsia="TimesNewRoman" w:hAnsi="Arial Narrow" w:cs="Times New Roman"/>
                <w:b/>
                <w:color w:val="000000"/>
                <w:sz w:val="20"/>
                <w:szCs w:val="20"/>
              </w:rPr>
            </w:pPr>
            <w:r w:rsidRPr="00F04A75">
              <w:rPr>
                <w:rFonts w:ascii="Arial Narrow" w:eastAsia="TimesNewRoman" w:hAnsi="Arial Narrow" w:cs="Times New Roman"/>
                <w:b/>
                <w:color w:val="000000"/>
                <w:sz w:val="20"/>
                <w:szCs w:val="20"/>
              </w:rPr>
              <w:t>Median, months</w:t>
            </w:r>
          </w:p>
        </w:tc>
        <w:tc>
          <w:tcPr>
            <w:tcW w:w="707" w:type="pct"/>
            <w:vMerge/>
            <w:tcBorders>
              <w:left w:val="single" w:sz="4" w:space="0" w:color="auto"/>
              <w:bottom w:val="single" w:sz="4" w:space="0" w:color="auto"/>
              <w:right w:val="single" w:sz="4" w:space="0" w:color="auto"/>
            </w:tcBorders>
          </w:tcPr>
          <w:p w14:paraId="47908CAF" w14:textId="77777777" w:rsidR="00F97782" w:rsidRPr="00F04A75" w:rsidRDefault="00F97782" w:rsidP="0016658B">
            <w:pPr>
              <w:keepNext/>
              <w:keepLines/>
              <w:jc w:val="center"/>
              <w:rPr>
                <w:rFonts w:ascii="Arial Narrow" w:eastAsia="TimesNewRoman" w:hAnsi="Arial Narrow" w:cs="Times New Roman"/>
                <w:color w:val="000000"/>
                <w:sz w:val="20"/>
                <w:szCs w:val="20"/>
              </w:rPr>
            </w:pPr>
          </w:p>
        </w:tc>
        <w:tc>
          <w:tcPr>
            <w:tcW w:w="707" w:type="pct"/>
            <w:vMerge/>
            <w:tcBorders>
              <w:left w:val="single" w:sz="4" w:space="0" w:color="auto"/>
              <w:bottom w:val="single" w:sz="4" w:space="0" w:color="auto"/>
              <w:right w:val="single" w:sz="4" w:space="0" w:color="auto"/>
            </w:tcBorders>
          </w:tcPr>
          <w:p w14:paraId="0F71E081" w14:textId="77777777" w:rsidR="00F97782" w:rsidRPr="00F04A75" w:rsidRDefault="00F97782" w:rsidP="0016658B">
            <w:pPr>
              <w:keepNext/>
              <w:keepLines/>
              <w:jc w:val="center"/>
              <w:rPr>
                <w:rFonts w:ascii="Arial Narrow" w:eastAsia="TimesNewRoman" w:hAnsi="Arial Narrow" w:cs="Times New Roman"/>
                <w:color w:val="000000"/>
                <w:sz w:val="20"/>
                <w:szCs w:val="20"/>
              </w:rPr>
            </w:pPr>
          </w:p>
        </w:tc>
        <w:tc>
          <w:tcPr>
            <w:tcW w:w="601" w:type="pct"/>
            <w:vMerge/>
            <w:tcBorders>
              <w:left w:val="single" w:sz="4" w:space="0" w:color="auto"/>
              <w:bottom w:val="single" w:sz="4" w:space="0" w:color="auto"/>
              <w:right w:val="single" w:sz="4" w:space="0" w:color="auto"/>
            </w:tcBorders>
          </w:tcPr>
          <w:p w14:paraId="1EBE80EB" w14:textId="77777777" w:rsidR="00F97782" w:rsidRPr="00F04A75" w:rsidRDefault="00F97782" w:rsidP="0016658B">
            <w:pPr>
              <w:keepNext/>
              <w:keepLines/>
              <w:jc w:val="center"/>
              <w:rPr>
                <w:rFonts w:ascii="Arial Narrow" w:eastAsia="TimesNewRoman" w:hAnsi="Arial Narrow" w:cs="Times New Roman"/>
                <w:color w:val="000000"/>
                <w:sz w:val="20"/>
                <w:szCs w:val="20"/>
              </w:rPr>
            </w:pPr>
          </w:p>
        </w:tc>
      </w:tr>
      <w:tr w:rsidR="00F97782" w:rsidRPr="00F04A75" w14:paraId="633798EB" w14:textId="77777777" w:rsidTr="00020BE8">
        <w:trPr>
          <w:trHeight w:val="487"/>
        </w:trPr>
        <w:tc>
          <w:tcPr>
            <w:tcW w:w="46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27D6051" w14:textId="77777777" w:rsidR="00F97782" w:rsidRPr="00F04A75" w:rsidRDefault="00F97782" w:rsidP="0016658B">
            <w:pPr>
              <w:keepNext/>
              <w:keepLines/>
              <w:jc w:val="left"/>
              <w:rPr>
                <w:rFonts w:ascii="Arial Narrow" w:eastAsia="TimesNewRoman" w:hAnsi="Arial Narrow" w:cs="Times New Roman"/>
                <w:color w:val="000000"/>
                <w:sz w:val="20"/>
                <w:szCs w:val="20"/>
              </w:rPr>
            </w:pPr>
            <w:r w:rsidRPr="00F04A75">
              <w:rPr>
                <w:rFonts w:ascii="Arial Narrow" w:eastAsia="TimesNewRoman" w:hAnsi="Arial Narrow" w:cs="Times New Roman"/>
                <w:color w:val="000000"/>
                <w:sz w:val="20"/>
                <w:szCs w:val="20"/>
              </w:rPr>
              <w:t>ORR</w:t>
            </w:r>
          </w:p>
        </w:tc>
        <w:tc>
          <w:tcPr>
            <w:tcW w:w="70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EE4FFCE" w14:textId="77777777" w:rsidR="00F97782" w:rsidRPr="00F04A75" w:rsidRDefault="00F97782" w:rsidP="0016658B">
            <w:pPr>
              <w:keepNext/>
              <w:keepLines/>
              <w:jc w:val="center"/>
              <w:rPr>
                <w:rFonts w:ascii="Arial Narrow" w:eastAsia="TimesNewRoman" w:hAnsi="Arial Narrow" w:cs="Times New Roman"/>
                <w:i/>
                <w:color w:val="000000"/>
                <w:sz w:val="20"/>
                <w:szCs w:val="20"/>
              </w:rPr>
            </w:pPr>
            <w:r w:rsidRPr="00F04A75">
              <w:rPr>
                <w:rFonts w:ascii="Arial Narrow" w:hAnsi="Arial Narrow"/>
                <w:sz w:val="20"/>
                <w:szCs w:val="20"/>
              </w:rPr>
              <w:t>357 (76.9%)</w:t>
            </w:r>
          </w:p>
        </w:tc>
        <w:tc>
          <w:tcPr>
            <w:tcW w:w="550"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2366FC2" w14:textId="77777777" w:rsidR="00F97782" w:rsidRPr="00F04A75" w:rsidRDefault="00F97782" w:rsidP="0016658B">
            <w:pPr>
              <w:keepNext/>
              <w:keepLines/>
              <w:jc w:val="center"/>
              <w:rPr>
                <w:rFonts w:ascii="Arial Narrow" w:eastAsia="TimesNewRoman" w:hAnsi="Arial Narrow" w:cs="Times New Roman"/>
                <w:iCs/>
                <w:color w:val="000000" w:themeColor="text1"/>
                <w:sz w:val="20"/>
                <w:szCs w:val="20"/>
              </w:rPr>
            </w:pPr>
            <w:r w:rsidRPr="00F04A75">
              <w:rPr>
                <w:rFonts w:ascii="Arial Narrow" w:eastAsia="TimesNewRoman" w:hAnsi="Arial Narrow" w:cs="Times New Roman"/>
                <w:iCs/>
                <w:color w:val="000000" w:themeColor="text1"/>
                <w:sz w:val="20"/>
                <w:szCs w:val="20"/>
              </w:rPr>
              <w:t>1.1</w:t>
            </w:r>
          </w:p>
        </w:tc>
        <w:tc>
          <w:tcPr>
            <w:tcW w:w="707"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D6A2AEF" w14:textId="77777777" w:rsidR="00F97782" w:rsidRPr="00F04A75" w:rsidRDefault="00F97782" w:rsidP="0016658B">
            <w:pPr>
              <w:keepNext/>
              <w:keepLines/>
              <w:jc w:val="center"/>
              <w:rPr>
                <w:rFonts w:ascii="Arial Narrow" w:eastAsia="TimesNewRoman" w:hAnsi="Arial Narrow" w:cs="Times New Roman"/>
                <w:i/>
                <w:color w:val="000000" w:themeColor="text1"/>
                <w:sz w:val="20"/>
                <w:szCs w:val="20"/>
              </w:rPr>
            </w:pPr>
            <w:r w:rsidRPr="00F04A75">
              <w:rPr>
                <w:rFonts w:ascii="Arial Narrow" w:hAnsi="Arial Narrow"/>
                <w:color w:val="000000" w:themeColor="text1"/>
                <w:sz w:val="20"/>
                <w:szCs w:val="20"/>
              </w:rPr>
              <w:t>291 (63.0%)</w:t>
            </w:r>
          </w:p>
        </w:tc>
        <w:tc>
          <w:tcPr>
            <w:tcW w:w="551"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CFDFB47" w14:textId="77777777" w:rsidR="00F97782" w:rsidRPr="00F04A75" w:rsidRDefault="00F97782" w:rsidP="0016658B">
            <w:pPr>
              <w:keepNext/>
              <w:keepLines/>
              <w:jc w:val="center"/>
              <w:rPr>
                <w:rFonts w:ascii="Arial Narrow" w:eastAsia="TimesNewRoman" w:hAnsi="Arial Narrow" w:cs="Times New Roman"/>
                <w:iCs/>
                <w:color w:val="000000" w:themeColor="text1"/>
                <w:sz w:val="20"/>
                <w:szCs w:val="20"/>
              </w:rPr>
            </w:pPr>
            <w:r w:rsidRPr="00F04A75">
              <w:rPr>
                <w:rFonts w:ascii="Arial Narrow" w:eastAsia="TimesNewRoman" w:hAnsi="Arial Narrow" w:cs="Times New Roman"/>
                <w:iCs/>
                <w:color w:val="000000" w:themeColor="text1"/>
                <w:sz w:val="20"/>
                <w:szCs w:val="20"/>
              </w:rPr>
              <w:t>1.1</w:t>
            </w:r>
          </w:p>
        </w:tc>
        <w:tc>
          <w:tcPr>
            <w:tcW w:w="707"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69D8E5C" w14:textId="77777777" w:rsidR="00F97782" w:rsidRPr="00F04A75" w:rsidRDefault="00F97782" w:rsidP="0016658B">
            <w:pPr>
              <w:keepNext/>
              <w:keepLines/>
              <w:jc w:val="center"/>
              <w:rPr>
                <w:rFonts w:ascii="Arial Narrow" w:eastAsia="TimesNewRoman" w:hAnsi="Arial Narrow" w:cs="Times New Roman"/>
                <w:iCs/>
                <w:color w:val="000000"/>
                <w:sz w:val="20"/>
                <w:szCs w:val="20"/>
              </w:rPr>
            </w:pPr>
            <w:r w:rsidRPr="00F04A75">
              <w:rPr>
                <w:rFonts w:ascii="Arial Narrow" w:eastAsia="TimesNewRoman" w:hAnsi="Arial Narrow" w:cs="Times New Roman"/>
                <w:iCs/>
                <w:color w:val="000000"/>
                <w:sz w:val="20"/>
                <w:szCs w:val="20"/>
              </w:rPr>
              <w:t>0</w:t>
            </w:r>
          </w:p>
        </w:tc>
        <w:tc>
          <w:tcPr>
            <w:tcW w:w="707" w:type="pct"/>
            <w:tcBorders>
              <w:top w:val="single" w:sz="4" w:space="0" w:color="auto"/>
              <w:left w:val="single" w:sz="4" w:space="0" w:color="auto"/>
              <w:right w:val="single" w:sz="4" w:space="0" w:color="auto"/>
            </w:tcBorders>
            <w:shd w:val="clear" w:color="auto" w:fill="B8CCE4" w:themeFill="accent1" w:themeFillTint="66"/>
            <w:vAlign w:val="center"/>
          </w:tcPr>
          <w:p w14:paraId="756B48C5" w14:textId="77777777" w:rsidR="00F97782" w:rsidRPr="00F04A75" w:rsidRDefault="00F97782" w:rsidP="0016658B">
            <w:pPr>
              <w:keepNext/>
              <w:keepLines/>
              <w:jc w:val="center"/>
              <w:rPr>
                <w:rFonts w:ascii="Arial Narrow" w:eastAsia="TimesNewRoman" w:hAnsi="Arial Narrow" w:cs="Times New Roman"/>
                <w:iCs/>
                <w:color w:val="000000"/>
                <w:sz w:val="20"/>
                <w:szCs w:val="20"/>
              </w:rPr>
            </w:pPr>
            <w:r w:rsidRPr="00F04A75">
              <w:rPr>
                <w:rFonts w:ascii="Arial Narrow" w:eastAsia="TimesNewRoman" w:hAnsi="Arial Narrow" w:cs="Times New Roman"/>
                <w:b/>
                <w:iCs/>
                <w:color w:val="000000"/>
                <w:sz w:val="20"/>
                <w:szCs w:val="20"/>
              </w:rPr>
              <w:t>&lt;0.0001</w:t>
            </w:r>
          </w:p>
        </w:tc>
        <w:tc>
          <w:tcPr>
            <w:tcW w:w="601" w:type="pct"/>
            <w:tcBorders>
              <w:top w:val="single" w:sz="4" w:space="0" w:color="auto"/>
              <w:left w:val="single" w:sz="4" w:space="0" w:color="auto"/>
              <w:right w:val="single" w:sz="4" w:space="0" w:color="auto"/>
            </w:tcBorders>
            <w:shd w:val="clear" w:color="auto" w:fill="B8CCE4" w:themeFill="accent1" w:themeFillTint="66"/>
            <w:vAlign w:val="center"/>
          </w:tcPr>
          <w:p w14:paraId="2FD3963E" w14:textId="77777777" w:rsidR="00F97782" w:rsidRPr="00F04A75" w:rsidRDefault="00F97782" w:rsidP="0016658B">
            <w:pPr>
              <w:keepNext/>
              <w:keepLines/>
              <w:jc w:val="center"/>
              <w:rPr>
                <w:rFonts w:ascii="Arial Narrow" w:eastAsia="TimesNewRoman" w:hAnsi="Arial Narrow" w:cs="Times New Roman"/>
                <w:color w:val="000000"/>
                <w:sz w:val="20"/>
                <w:szCs w:val="20"/>
              </w:rPr>
            </w:pPr>
            <w:r w:rsidRPr="00F04A75">
              <w:rPr>
                <w:rFonts w:ascii="Arial Narrow" w:eastAsia="TimesNewRoman" w:hAnsi="Arial Narrow" w:cs="Times New Roman"/>
                <w:b/>
                <w:color w:val="000000"/>
                <w:sz w:val="20"/>
                <w:szCs w:val="20"/>
              </w:rPr>
              <w:t xml:space="preserve">2.03 </w:t>
            </w:r>
            <w:r w:rsidR="00020BE8" w:rsidRPr="00F04A75">
              <w:rPr>
                <w:rFonts w:ascii="Arial Narrow" w:eastAsia="TimesNewRoman" w:hAnsi="Arial Narrow" w:cs="Times New Roman"/>
                <w:b/>
                <w:color w:val="000000"/>
                <w:sz w:val="20"/>
                <w:szCs w:val="20"/>
              </w:rPr>
              <w:br/>
            </w:r>
            <w:r w:rsidRPr="00F04A75">
              <w:rPr>
                <w:rFonts w:ascii="Arial Narrow" w:eastAsia="TimesNewRoman" w:hAnsi="Arial Narrow" w:cs="Times New Roman"/>
                <w:b/>
                <w:color w:val="000000"/>
                <w:sz w:val="20"/>
                <w:szCs w:val="20"/>
              </w:rPr>
              <w:t>(1.52, 2.72)</w:t>
            </w:r>
          </w:p>
        </w:tc>
      </w:tr>
    </w:tbl>
    <w:p w14:paraId="66F26BC0" w14:textId="77777777" w:rsidR="00F97782" w:rsidRPr="00F04A75" w:rsidRDefault="00F97782" w:rsidP="0016658B">
      <w:pPr>
        <w:pStyle w:val="TableFigureFooter"/>
      </w:pPr>
      <w:r w:rsidRPr="00F04A75">
        <w:t>Source: Table 2.5.8, pp64-65 of the resubmission.</w:t>
      </w:r>
    </w:p>
    <w:p w14:paraId="7D1C92AB" w14:textId="49B2DDC5" w:rsidR="00F97782" w:rsidRPr="00F04A75" w:rsidRDefault="00F97782" w:rsidP="0016658B">
      <w:pPr>
        <w:pStyle w:val="TableFigureFooter"/>
      </w:pPr>
      <w:r w:rsidRPr="00F04A75">
        <w:t>Bd = bortezomib</w:t>
      </w:r>
      <w:r w:rsidR="002A1FAD" w:rsidRPr="00F04A75">
        <w:t xml:space="preserve"> and</w:t>
      </w:r>
      <w:r w:rsidRPr="00F04A75">
        <w:t xml:space="preserve"> dexamethasone; </w:t>
      </w:r>
      <w:r w:rsidR="002A1FAD" w:rsidRPr="00F04A75">
        <w:rPr>
          <w:szCs w:val="18"/>
        </w:rPr>
        <w:t>Cd56 BIW = carfilzomib 56 mg/m</w:t>
      </w:r>
      <w:r w:rsidR="002A1FAD" w:rsidRPr="00F04A75">
        <w:rPr>
          <w:szCs w:val="18"/>
          <w:vertAlign w:val="superscript"/>
        </w:rPr>
        <w:t xml:space="preserve">2 </w:t>
      </w:r>
      <w:r w:rsidR="002A1FAD" w:rsidRPr="00F04A75">
        <w:rPr>
          <w:szCs w:val="18"/>
        </w:rPr>
        <w:t>twice weekly and dexamethasone;</w:t>
      </w:r>
      <w:r w:rsidR="002A1FAD" w:rsidRPr="00F04A75">
        <w:t xml:space="preserve"> </w:t>
      </w:r>
      <w:r w:rsidRPr="00F04A75">
        <w:t xml:space="preserve">CI = confidence interval; ORR = objective response rate. </w:t>
      </w:r>
    </w:p>
    <w:p w14:paraId="4C3395DE" w14:textId="1058F949" w:rsidR="00F97782" w:rsidRPr="00F04A75" w:rsidRDefault="00F97782" w:rsidP="0016658B">
      <w:pPr>
        <w:pStyle w:val="TableFigureFooter"/>
        <w:rPr>
          <w:szCs w:val="18"/>
        </w:rPr>
      </w:pPr>
      <w:r w:rsidRPr="00F04A75">
        <w:rPr>
          <w:b/>
          <w:bCs/>
          <w:szCs w:val="18"/>
        </w:rPr>
        <w:t>Bold</w:t>
      </w:r>
      <w:r w:rsidR="002A1FAD" w:rsidRPr="00F04A75">
        <w:rPr>
          <w:b/>
          <w:bCs/>
          <w:szCs w:val="18"/>
        </w:rPr>
        <w:t xml:space="preserve"> </w:t>
      </w:r>
      <w:r w:rsidRPr="00F04A75">
        <w:rPr>
          <w:szCs w:val="18"/>
        </w:rPr>
        <w:t>=</w:t>
      </w:r>
      <w:r w:rsidR="002A1FAD" w:rsidRPr="00F04A75">
        <w:rPr>
          <w:b/>
          <w:bCs/>
          <w:szCs w:val="18"/>
        </w:rPr>
        <w:t xml:space="preserve"> </w:t>
      </w:r>
      <w:r w:rsidRPr="00F04A75">
        <w:rPr>
          <w:szCs w:val="18"/>
        </w:rPr>
        <w:t>statistically significant</w:t>
      </w:r>
    </w:p>
    <w:p w14:paraId="690062A1" w14:textId="7F96D846" w:rsidR="00F97782" w:rsidRPr="00DF5512" w:rsidRDefault="00DF5512" w:rsidP="0016658B">
      <w:pPr>
        <w:pStyle w:val="TableFigureFooter"/>
      </w:pPr>
      <w:r w:rsidRPr="00F04A75">
        <w:t xml:space="preserve">Blue shading </w:t>
      </w:r>
      <w:proofErr w:type="spellStart"/>
      <w:r>
        <w:t>representes</w:t>
      </w:r>
      <w:proofErr w:type="spellEnd"/>
      <w:r w:rsidRPr="00F04A75">
        <w:t xml:space="preserve"> information presented in carfilzomib November 2016 submission </w:t>
      </w:r>
    </w:p>
    <w:p w14:paraId="4ED4B3CC" w14:textId="18B1524B" w:rsidR="00900F02" w:rsidRPr="00F04A75" w:rsidRDefault="00220475" w:rsidP="00900F02">
      <w:pPr>
        <w:pStyle w:val="ListParagraph"/>
        <w:widowControl w:val="0"/>
        <w:numPr>
          <w:ilvl w:val="1"/>
          <w:numId w:val="1"/>
        </w:numPr>
        <w:spacing w:after="160"/>
        <w:ind w:left="810" w:hanging="810"/>
        <w:rPr>
          <w:rFonts w:cstheme="minorHAnsi"/>
        </w:rPr>
      </w:pPr>
      <w:r w:rsidRPr="00F04A75">
        <w:rPr>
          <w:rFonts w:cstheme="minorHAnsi"/>
          <w:szCs w:val="22"/>
        </w:rPr>
        <w:t xml:space="preserve">In ENDEAVOR, treatment with Cd resulted in statistically but not clinically significant improvements in mean </w:t>
      </w:r>
      <w:r w:rsidR="00C007E5" w:rsidRPr="00F04A75">
        <w:rPr>
          <w:rFonts w:cstheme="minorHAnsi"/>
          <w:szCs w:val="22"/>
        </w:rPr>
        <w:t>global health status (</w:t>
      </w:r>
      <w:r w:rsidRPr="00F04A75">
        <w:rPr>
          <w:rFonts w:cstheme="minorHAnsi"/>
          <w:szCs w:val="22"/>
        </w:rPr>
        <w:t>GHS</w:t>
      </w:r>
      <w:r w:rsidR="00C007E5" w:rsidRPr="00F04A75">
        <w:rPr>
          <w:rFonts w:cstheme="minorHAnsi"/>
          <w:szCs w:val="22"/>
        </w:rPr>
        <w:t>)</w:t>
      </w:r>
      <w:r w:rsidRPr="00F04A75">
        <w:rPr>
          <w:rFonts w:cstheme="minorHAnsi"/>
          <w:szCs w:val="22"/>
        </w:rPr>
        <w:t>/</w:t>
      </w:r>
      <w:r w:rsidR="00C007E5" w:rsidRPr="00F04A75">
        <w:rPr>
          <w:rFonts w:cstheme="minorHAnsi"/>
          <w:szCs w:val="22"/>
        </w:rPr>
        <w:t>quality of life (</w:t>
      </w:r>
      <w:r w:rsidRPr="00F04A75">
        <w:rPr>
          <w:rFonts w:cstheme="minorHAnsi"/>
          <w:szCs w:val="22"/>
        </w:rPr>
        <w:t>QoL</w:t>
      </w:r>
      <w:r w:rsidR="00C007E5" w:rsidRPr="00F04A75">
        <w:rPr>
          <w:rFonts w:cstheme="minorHAnsi"/>
          <w:szCs w:val="22"/>
        </w:rPr>
        <w:t>)</w:t>
      </w:r>
      <w:r w:rsidRPr="00F04A75">
        <w:rPr>
          <w:rFonts w:cstheme="minorHAnsi"/>
          <w:szCs w:val="22"/>
        </w:rPr>
        <w:t xml:space="preserve"> scores versus Bd. Treatment with Cd also significantly prolonged time to deterioration in GHS/QoL (median 3.7 versus 2.8 months, p = 0.0046), physical function (5.6 versus 3.7 months, p = 0.0390), nausea/vomiting (17.6 versus 8.2 months, p = 0.0358), side effects (6.4 versus 3.7 months, p &lt; 0.0001), and FACT/GOG-</w:t>
      </w:r>
      <w:proofErr w:type="spellStart"/>
      <w:r w:rsidRPr="00F04A75">
        <w:rPr>
          <w:rFonts w:cstheme="minorHAnsi"/>
          <w:szCs w:val="22"/>
        </w:rPr>
        <w:t>Ntx</w:t>
      </w:r>
      <w:proofErr w:type="spellEnd"/>
      <w:r w:rsidRPr="00F04A75">
        <w:rPr>
          <w:rFonts w:cstheme="minorHAnsi"/>
          <w:szCs w:val="22"/>
        </w:rPr>
        <w:t xml:space="preserve"> (11.1 versus 5.5 months, p = 0.0004) compared with Bd.</w:t>
      </w:r>
    </w:p>
    <w:p w14:paraId="510275DF" w14:textId="77777777" w:rsidR="00F97782" w:rsidRPr="00F04A75" w:rsidRDefault="00F97782" w:rsidP="0016658B">
      <w:pPr>
        <w:pStyle w:val="3-BodyText"/>
        <w:numPr>
          <w:ilvl w:val="0"/>
          <w:numId w:val="0"/>
        </w:numPr>
        <w:ind w:left="720" w:hanging="720"/>
        <w:rPr>
          <w:u w:val="single"/>
        </w:rPr>
      </w:pPr>
      <w:proofErr w:type="spellStart"/>
      <w:r w:rsidRPr="00F04A75">
        <w:rPr>
          <w:u w:val="single"/>
        </w:rPr>
        <w:t>ELd</w:t>
      </w:r>
      <w:proofErr w:type="spellEnd"/>
      <w:r w:rsidRPr="00F04A75">
        <w:rPr>
          <w:u w:val="single"/>
        </w:rPr>
        <w:t xml:space="preserve"> versus </w:t>
      </w:r>
      <w:proofErr w:type="spellStart"/>
      <w:r w:rsidRPr="00F04A75">
        <w:rPr>
          <w:u w:val="single"/>
        </w:rPr>
        <w:t>Ld</w:t>
      </w:r>
      <w:proofErr w:type="spellEnd"/>
      <w:r w:rsidRPr="00F04A75">
        <w:rPr>
          <w:u w:val="single"/>
        </w:rPr>
        <w:t xml:space="preserve"> (ELOQUENT-2 trial)</w:t>
      </w:r>
    </w:p>
    <w:p w14:paraId="6670C0E7" w14:textId="4BE81EB4" w:rsidR="00F97782" w:rsidRPr="00F04A75" w:rsidRDefault="00F97782" w:rsidP="00606E1F">
      <w:pPr>
        <w:pStyle w:val="3-BodyText"/>
        <w:rPr>
          <w:rStyle w:val="CommentReference"/>
          <w:rFonts w:asciiTheme="minorHAnsi" w:hAnsiTheme="minorHAnsi"/>
          <w:b w:val="0"/>
          <w:color w:val="0066FF"/>
          <w:sz w:val="24"/>
          <w:szCs w:val="24"/>
        </w:rPr>
      </w:pPr>
      <w:r w:rsidRPr="00F04A75">
        <w:rPr>
          <w:snapToGrid/>
          <w:color w:val="000000" w:themeColor="text1"/>
        </w:rPr>
        <w:t xml:space="preserve">The summary of survival outcomes in ELOQUENT-2 is </w:t>
      </w:r>
      <w:r w:rsidRPr="00F04A75">
        <w:rPr>
          <w:rFonts w:cstheme="minorHAnsi"/>
          <w:snapToGrid/>
          <w:color w:val="000000" w:themeColor="text1"/>
        </w:rPr>
        <w:t xml:space="preserve">presented in </w:t>
      </w:r>
      <w:r w:rsidR="00235C08" w:rsidRPr="00F04A75">
        <w:rPr>
          <w:rFonts w:cstheme="minorHAnsi"/>
          <w:snapToGrid/>
          <w:color w:val="000000" w:themeColor="text1"/>
        </w:rPr>
        <w:t xml:space="preserve">Table </w:t>
      </w:r>
      <w:r w:rsidR="00C8791A">
        <w:rPr>
          <w:rFonts w:cstheme="minorHAnsi"/>
          <w:snapToGrid/>
          <w:color w:val="000000" w:themeColor="text1"/>
        </w:rPr>
        <w:t>10</w:t>
      </w:r>
      <w:r w:rsidRPr="00F04A75">
        <w:rPr>
          <w:rFonts w:cstheme="minorHAnsi"/>
          <w:snapToGrid/>
          <w:color w:val="000000" w:themeColor="text1"/>
        </w:rPr>
        <w:t xml:space="preserve">. </w:t>
      </w:r>
      <w:r w:rsidR="00A31D4F" w:rsidRPr="00F04A75">
        <w:rPr>
          <w:rFonts w:cstheme="minorHAnsi"/>
          <w:snapToGrid/>
          <w:color w:val="000000" w:themeColor="text1"/>
        </w:rPr>
        <w:t>P</w:t>
      </w:r>
      <w:r w:rsidRPr="00F04A75">
        <w:rPr>
          <w:rFonts w:cstheme="minorHAnsi"/>
          <w:snapToGrid/>
          <w:color w:val="000000" w:themeColor="text1"/>
        </w:rPr>
        <w:t xml:space="preserve">atients in the </w:t>
      </w:r>
      <w:proofErr w:type="spellStart"/>
      <w:r w:rsidRPr="00F04A75">
        <w:rPr>
          <w:rFonts w:cstheme="minorHAnsi"/>
          <w:snapToGrid/>
          <w:color w:val="000000" w:themeColor="text1"/>
        </w:rPr>
        <w:t>ELd</w:t>
      </w:r>
      <w:proofErr w:type="spellEnd"/>
      <w:r w:rsidRPr="00F04A75">
        <w:rPr>
          <w:rFonts w:cstheme="minorHAnsi"/>
          <w:snapToGrid/>
          <w:color w:val="000000" w:themeColor="text1"/>
        </w:rPr>
        <w:t xml:space="preserve"> arm had significantly longer PFS and</w:t>
      </w:r>
      <w:r w:rsidRPr="00F04A75">
        <w:rPr>
          <w:snapToGrid/>
          <w:color w:val="000000" w:themeColor="text1"/>
        </w:rPr>
        <w:t xml:space="preserve"> OS compared to Ld. </w:t>
      </w:r>
    </w:p>
    <w:p w14:paraId="0EA55668" w14:textId="4C50EF5C" w:rsidR="00F97782" w:rsidRPr="00F04A75" w:rsidRDefault="00F97782" w:rsidP="0016658B">
      <w:pPr>
        <w:pStyle w:val="Caption"/>
        <w:keepNext/>
        <w:spacing w:after="0"/>
        <w:jc w:val="left"/>
        <w:rPr>
          <w:rStyle w:val="CommentReference"/>
          <w:b/>
          <w:szCs w:val="20"/>
        </w:rPr>
      </w:pPr>
      <w:r w:rsidRPr="00F04A75">
        <w:rPr>
          <w:rFonts w:ascii="Arial Narrow" w:hAnsi="Arial Narrow"/>
          <w:color w:val="auto"/>
          <w:sz w:val="20"/>
          <w:szCs w:val="20"/>
        </w:rPr>
        <w:t xml:space="preserve">Table </w:t>
      </w:r>
      <w:r w:rsidRPr="00F04A75">
        <w:rPr>
          <w:rFonts w:ascii="Arial Narrow" w:hAnsi="Arial Narrow"/>
          <w:color w:val="auto"/>
          <w:sz w:val="20"/>
          <w:szCs w:val="20"/>
        </w:rPr>
        <w:fldChar w:fldCharType="begin"/>
      </w:r>
      <w:r w:rsidRPr="00F04A75">
        <w:rPr>
          <w:rFonts w:ascii="Arial Narrow" w:hAnsi="Arial Narrow"/>
          <w:color w:val="auto"/>
          <w:sz w:val="20"/>
          <w:szCs w:val="20"/>
        </w:rPr>
        <w:instrText xml:space="preserve"> SEQ Table \* ARABIC </w:instrText>
      </w:r>
      <w:r w:rsidRPr="00F04A75">
        <w:rPr>
          <w:rFonts w:ascii="Arial Narrow" w:hAnsi="Arial Narrow"/>
          <w:color w:val="auto"/>
          <w:sz w:val="20"/>
          <w:szCs w:val="20"/>
        </w:rPr>
        <w:fldChar w:fldCharType="separate"/>
      </w:r>
      <w:r w:rsidR="00443BC9">
        <w:rPr>
          <w:rFonts w:ascii="Arial Narrow" w:hAnsi="Arial Narrow"/>
          <w:noProof/>
          <w:color w:val="auto"/>
          <w:sz w:val="20"/>
          <w:szCs w:val="20"/>
        </w:rPr>
        <w:t>10</w:t>
      </w:r>
      <w:r w:rsidRPr="00F04A75">
        <w:rPr>
          <w:rFonts w:ascii="Arial Narrow" w:hAnsi="Arial Narrow"/>
          <w:color w:val="auto"/>
          <w:sz w:val="20"/>
          <w:szCs w:val="20"/>
        </w:rPr>
        <w:fldChar w:fldCharType="end"/>
      </w:r>
      <w:r w:rsidRPr="00F04A75">
        <w:rPr>
          <w:rStyle w:val="CommentReference"/>
          <w:b/>
          <w:color w:val="auto"/>
          <w:szCs w:val="20"/>
        </w:rPr>
        <w:t>: Results of PFS and OS in ELOQUENT-2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414"/>
        <w:gridCol w:w="1134"/>
        <w:gridCol w:w="851"/>
        <w:gridCol w:w="995"/>
        <w:gridCol w:w="849"/>
        <w:gridCol w:w="994"/>
        <w:gridCol w:w="994"/>
        <w:gridCol w:w="792"/>
        <w:gridCol w:w="994"/>
      </w:tblGrid>
      <w:tr w:rsidR="00122B38" w:rsidRPr="00F04A75" w14:paraId="68A82E8E" w14:textId="77777777" w:rsidTr="00131B83">
        <w:trPr>
          <w:trHeight w:val="85"/>
        </w:trPr>
        <w:tc>
          <w:tcPr>
            <w:tcW w:w="784" w:type="pct"/>
            <w:vMerge w:val="restart"/>
            <w:tcBorders>
              <w:top w:val="single" w:sz="4" w:space="0" w:color="auto"/>
              <w:left w:val="single" w:sz="4" w:space="0" w:color="auto"/>
              <w:right w:val="single" w:sz="4" w:space="0" w:color="auto"/>
            </w:tcBorders>
            <w:shd w:val="clear" w:color="auto" w:fill="auto"/>
            <w:vAlign w:val="center"/>
          </w:tcPr>
          <w:p w14:paraId="77F08A40" w14:textId="77777777" w:rsidR="00122B38" w:rsidRPr="00F04A75" w:rsidRDefault="00122B38" w:rsidP="00122B38">
            <w:pPr>
              <w:keepNext/>
              <w:jc w:val="left"/>
              <w:rPr>
                <w:rFonts w:ascii="Arial Narrow" w:eastAsia="TimesNewRoman" w:hAnsi="Arial Narrow" w:cs="Times New Roman"/>
                <w:color w:val="000000"/>
                <w:sz w:val="20"/>
                <w:szCs w:val="20"/>
              </w:rPr>
            </w:pPr>
          </w:p>
        </w:tc>
        <w:tc>
          <w:tcPr>
            <w:tcW w:w="629" w:type="pct"/>
            <w:vMerge w:val="restart"/>
            <w:tcBorders>
              <w:top w:val="single" w:sz="4" w:space="0" w:color="auto"/>
              <w:left w:val="single" w:sz="4" w:space="0" w:color="auto"/>
              <w:right w:val="single" w:sz="4" w:space="0" w:color="auto"/>
            </w:tcBorders>
            <w:vAlign w:val="center"/>
          </w:tcPr>
          <w:p w14:paraId="61F4BB79" w14:textId="77777777" w:rsidR="00122B38" w:rsidRPr="00F04A75" w:rsidRDefault="00122B38" w:rsidP="00131B83">
            <w:pPr>
              <w:keepNext/>
              <w:jc w:val="center"/>
              <w:rPr>
                <w:rFonts w:ascii="Arial Narrow" w:hAnsi="Arial Narrow"/>
                <w:sz w:val="20"/>
                <w:szCs w:val="20"/>
              </w:rPr>
            </w:pPr>
            <w:r w:rsidRPr="00F04A75">
              <w:rPr>
                <w:rFonts w:ascii="Arial Narrow" w:eastAsia="TimesNewRoman" w:hAnsi="Arial Narrow" w:cs="Times New Roman"/>
                <w:b/>
                <w:color w:val="000000"/>
                <w:sz w:val="20"/>
                <w:szCs w:val="20"/>
              </w:rPr>
              <w:t>Median time to follow-up (months)</w:t>
            </w:r>
          </w:p>
        </w:tc>
        <w:tc>
          <w:tcPr>
            <w:tcW w:w="102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C90579" w14:textId="419B00CD" w:rsidR="00122B38" w:rsidRPr="00F04A75" w:rsidRDefault="00122B38" w:rsidP="00131B83">
            <w:pPr>
              <w:keepNext/>
              <w:jc w:val="center"/>
              <w:rPr>
                <w:rFonts w:ascii="Arial Narrow" w:hAnsi="Arial Narrow"/>
                <w:sz w:val="20"/>
                <w:szCs w:val="20"/>
              </w:rPr>
            </w:pPr>
            <w:proofErr w:type="spellStart"/>
            <w:r w:rsidRPr="00F04A75">
              <w:rPr>
                <w:rFonts w:ascii="Arial Narrow" w:eastAsia="TimesNewRoman" w:hAnsi="Arial Narrow" w:cs="Times New Roman"/>
                <w:b/>
                <w:color w:val="000000"/>
                <w:sz w:val="20"/>
                <w:szCs w:val="20"/>
              </w:rPr>
              <w:t>E</w:t>
            </w:r>
            <w:r w:rsidR="002A1FAD" w:rsidRPr="00F04A75">
              <w:rPr>
                <w:rFonts w:ascii="Arial Narrow" w:eastAsia="TimesNewRoman" w:hAnsi="Arial Narrow" w:cs="Times New Roman"/>
                <w:b/>
                <w:color w:val="000000"/>
                <w:sz w:val="20"/>
                <w:szCs w:val="20"/>
              </w:rPr>
              <w:t>L</w:t>
            </w:r>
            <w:r w:rsidRPr="00F04A75">
              <w:rPr>
                <w:rFonts w:ascii="Arial Narrow" w:eastAsia="TimesNewRoman" w:hAnsi="Arial Narrow" w:cs="Times New Roman"/>
                <w:b/>
                <w:color w:val="000000"/>
                <w:sz w:val="20"/>
                <w:szCs w:val="20"/>
              </w:rPr>
              <w:t>d</w:t>
            </w:r>
            <w:proofErr w:type="spellEnd"/>
            <w:r w:rsidRPr="00F04A75">
              <w:rPr>
                <w:rFonts w:ascii="Arial Narrow" w:eastAsia="TimesNewRoman" w:hAnsi="Arial Narrow" w:cs="Times New Roman"/>
                <w:b/>
                <w:color w:val="000000"/>
                <w:sz w:val="20"/>
                <w:szCs w:val="20"/>
              </w:rPr>
              <w:t xml:space="preserve"> (N=321)</w:t>
            </w:r>
          </w:p>
        </w:tc>
        <w:tc>
          <w:tcPr>
            <w:tcW w:w="102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E3B7BE" w14:textId="77777777" w:rsidR="00122B38" w:rsidRPr="00F04A75" w:rsidRDefault="00122B38" w:rsidP="00131B83">
            <w:pPr>
              <w:keepNext/>
              <w:jc w:val="center"/>
              <w:rPr>
                <w:rFonts w:ascii="Arial Narrow" w:hAnsi="Arial Narrow"/>
                <w:sz w:val="20"/>
                <w:szCs w:val="20"/>
              </w:rPr>
            </w:pPr>
            <w:proofErr w:type="spellStart"/>
            <w:r w:rsidRPr="00F04A75">
              <w:rPr>
                <w:rFonts w:ascii="Arial Narrow" w:eastAsia="TimesNewRoman" w:hAnsi="Arial Narrow" w:cs="Times New Roman"/>
                <w:b/>
                <w:color w:val="000000"/>
                <w:sz w:val="20"/>
                <w:szCs w:val="20"/>
              </w:rPr>
              <w:t>Ld</w:t>
            </w:r>
            <w:proofErr w:type="spellEnd"/>
            <w:r w:rsidRPr="00F04A75">
              <w:rPr>
                <w:rFonts w:ascii="Arial Narrow" w:eastAsia="TimesNewRoman" w:hAnsi="Arial Narrow" w:cs="Times New Roman"/>
                <w:b/>
                <w:color w:val="000000"/>
                <w:sz w:val="20"/>
                <w:szCs w:val="20"/>
              </w:rPr>
              <w:t xml:space="preserve"> (N=325)</w:t>
            </w:r>
          </w:p>
        </w:tc>
        <w:tc>
          <w:tcPr>
            <w:tcW w:w="551" w:type="pct"/>
            <w:vMerge w:val="restart"/>
            <w:tcBorders>
              <w:top w:val="single" w:sz="4" w:space="0" w:color="auto"/>
              <w:left w:val="single" w:sz="4" w:space="0" w:color="auto"/>
              <w:right w:val="single" w:sz="4" w:space="0" w:color="auto"/>
            </w:tcBorders>
            <w:shd w:val="clear" w:color="auto" w:fill="auto"/>
            <w:vAlign w:val="center"/>
          </w:tcPr>
          <w:p w14:paraId="710CC41E" w14:textId="77777777" w:rsidR="00122B38" w:rsidRPr="00F04A75" w:rsidRDefault="00122B38" w:rsidP="00131B83">
            <w:pPr>
              <w:keepNext/>
              <w:jc w:val="center"/>
              <w:rPr>
                <w:rFonts w:ascii="Arial Narrow" w:eastAsia="TimesNewRoman" w:hAnsi="Arial Narrow" w:cs="Times New Roman"/>
                <w:color w:val="000000"/>
                <w:sz w:val="20"/>
                <w:szCs w:val="20"/>
              </w:rPr>
            </w:pPr>
            <w:r w:rsidRPr="00F04A75">
              <w:rPr>
                <w:rFonts w:ascii="Arial Narrow" w:eastAsia="TimesNewRoman" w:hAnsi="Arial Narrow" w:cs="Times New Roman"/>
                <w:b/>
                <w:color w:val="000000"/>
                <w:sz w:val="20"/>
                <w:szCs w:val="20"/>
              </w:rPr>
              <w:t>Difference in median, months</w:t>
            </w:r>
          </w:p>
        </w:tc>
        <w:tc>
          <w:tcPr>
            <w:tcW w:w="439" w:type="pct"/>
            <w:vMerge w:val="restart"/>
            <w:tcBorders>
              <w:top w:val="single" w:sz="4" w:space="0" w:color="auto"/>
              <w:left w:val="single" w:sz="4" w:space="0" w:color="auto"/>
              <w:right w:val="single" w:sz="4" w:space="0" w:color="auto"/>
            </w:tcBorders>
            <w:shd w:val="clear" w:color="auto" w:fill="auto"/>
            <w:vAlign w:val="center"/>
          </w:tcPr>
          <w:p w14:paraId="11CCB9C6" w14:textId="77777777" w:rsidR="00122B38" w:rsidRPr="00F04A75" w:rsidRDefault="00122B38" w:rsidP="00131B83">
            <w:pPr>
              <w:keepNext/>
              <w:jc w:val="center"/>
              <w:rPr>
                <w:rFonts w:ascii="Arial Narrow" w:eastAsia="TimesNewRoman" w:hAnsi="Arial Narrow" w:cs="Times New Roman"/>
                <w:b/>
                <w:bCs/>
                <w:color w:val="000000"/>
                <w:sz w:val="20"/>
                <w:szCs w:val="20"/>
              </w:rPr>
            </w:pPr>
            <w:r w:rsidRPr="00F04A75">
              <w:rPr>
                <w:rFonts w:ascii="Arial Narrow" w:eastAsia="TimesNewRoman" w:hAnsi="Arial Narrow" w:cs="Times New Roman"/>
                <w:b/>
                <w:color w:val="000000"/>
                <w:sz w:val="20"/>
                <w:szCs w:val="20"/>
              </w:rPr>
              <w:t>P value (log rank test)</w:t>
            </w:r>
          </w:p>
        </w:tc>
        <w:tc>
          <w:tcPr>
            <w:tcW w:w="551" w:type="pct"/>
            <w:vMerge w:val="restart"/>
            <w:tcBorders>
              <w:top w:val="single" w:sz="4" w:space="0" w:color="auto"/>
              <w:left w:val="single" w:sz="4" w:space="0" w:color="auto"/>
              <w:right w:val="single" w:sz="4" w:space="0" w:color="auto"/>
            </w:tcBorders>
            <w:shd w:val="clear" w:color="auto" w:fill="auto"/>
            <w:vAlign w:val="center"/>
          </w:tcPr>
          <w:p w14:paraId="75FF929B" w14:textId="77777777" w:rsidR="00122B38" w:rsidRPr="00F04A75" w:rsidRDefault="00122B38" w:rsidP="00131B83">
            <w:pPr>
              <w:keepNext/>
              <w:jc w:val="center"/>
              <w:rPr>
                <w:rFonts w:ascii="Arial Narrow" w:hAnsi="Arial Narrow"/>
                <w:b/>
                <w:bCs/>
                <w:sz w:val="20"/>
                <w:szCs w:val="20"/>
              </w:rPr>
            </w:pPr>
            <w:r w:rsidRPr="00F04A75">
              <w:rPr>
                <w:rFonts w:ascii="Arial Narrow" w:hAnsi="Arial Narrow"/>
                <w:b/>
                <w:bCs/>
                <w:sz w:val="20"/>
                <w:szCs w:val="20"/>
              </w:rPr>
              <w:t>Hazard ratio</w:t>
            </w:r>
            <w:r w:rsidRPr="00F04A75">
              <w:rPr>
                <w:rFonts w:ascii="Arial Narrow" w:eastAsia="TimesNewRoman" w:hAnsi="Arial Narrow" w:cs="Times New Roman"/>
                <w:b/>
                <w:color w:val="000000"/>
                <w:sz w:val="20"/>
                <w:szCs w:val="20"/>
              </w:rPr>
              <w:br/>
              <w:t>(95% CI)</w:t>
            </w:r>
          </w:p>
        </w:tc>
      </w:tr>
      <w:tr w:rsidR="00131B83" w:rsidRPr="00F04A75" w14:paraId="3F6A77B8" w14:textId="77777777" w:rsidTr="00131B83">
        <w:trPr>
          <w:trHeight w:val="85"/>
        </w:trPr>
        <w:tc>
          <w:tcPr>
            <w:tcW w:w="784" w:type="pct"/>
            <w:vMerge/>
            <w:tcBorders>
              <w:left w:val="single" w:sz="4" w:space="0" w:color="auto"/>
              <w:bottom w:val="single" w:sz="4" w:space="0" w:color="auto"/>
              <w:right w:val="single" w:sz="4" w:space="0" w:color="auto"/>
            </w:tcBorders>
            <w:shd w:val="clear" w:color="auto" w:fill="auto"/>
            <w:vAlign w:val="center"/>
          </w:tcPr>
          <w:p w14:paraId="170EED4F" w14:textId="77777777" w:rsidR="00122B38" w:rsidRPr="00F04A75" w:rsidRDefault="00122B38" w:rsidP="00122B38">
            <w:pPr>
              <w:keepNext/>
              <w:jc w:val="left"/>
              <w:rPr>
                <w:rFonts w:ascii="Arial Narrow" w:eastAsia="TimesNewRoman" w:hAnsi="Arial Narrow" w:cs="Times New Roman"/>
                <w:color w:val="000000"/>
                <w:sz w:val="20"/>
                <w:szCs w:val="20"/>
              </w:rPr>
            </w:pPr>
          </w:p>
        </w:tc>
        <w:tc>
          <w:tcPr>
            <w:tcW w:w="629" w:type="pct"/>
            <w:vMerge/>
            <w:tcBorders>
              <w:left w:val="single" w:sz="4" w:space="0" w:color="auto"/>
              <w:bottom w:val="single" w:sz="4" w:space="0" w:color="auto"/>
              <w:right w:val="single" w:sz="4" w:space="0" w:color="auto"/>
            </w:tcBorders>
          </w:tcPr>
          <w:p w14:paraId="32B29C82" w14:textId="77777777" w:rsidR="00122B38" w:rsidRPr="00F04A75" w:rsidRDefault="00122B38" w:rsidP="00122B38">
            <w:pPr>
              <w:keepNext/>
              <w:jc w:val="center"/>
              <w:rPr>
                <w:rFonts w:ascii="Arial Narrow" w:eastAsia="TimesNewRoman" w:hAnsi="Arial Narrow" w:cs="Times New Roman"/>
                <w:b/>
                <w:color w:val="000000"/>
                <w:sz w:val="20"/>
                <w:szCs w:val="20"/>
              </w:rPr>
            </w:pPr>
          </w:p>
        </w:tc>
        <w:tc>
          <w:tcPr>
            <w:tcW w:w="472" w:type="pct"/>
            <w:tcBorders>
              <w:top w:val="single" w:sz="4" w:space="0" w:color="auto"/>
              <w:left w:val="single" w:sz="4" w:space="0" w:color="auto"/>
              <w:bottom w:val="single" w:sz="4" w:space="0" w:color="auto"/>
              <w:right w:val="single" w:sz="4" w:space="0" w:color="auto"/>
            </w:tcBorders>
            <w:shd w:val="clear" w:color="auto" w:fill="auto"/>
            <w:vAlign w:val="center"/>
          </w:tcPr>
          <w:p w14:paraId="092AF288" w14:textId="77777777" w:rsidR="00122B38" w:rsidRPr="00F04A75" w:rsidRDefault="00122B38" w:rsidP="00131B83">
            <w:pPr>
              <w:keepNext/>
              <w:jc w:val="center"/>
              <w:rPr>
                <w:rFonts w:ascii="Arial Narrow" w:hAnsi="Arial Narrow"/>
                <w:sz w:val="20"/>
                <w:szCs w:val="20"/>
              </w:rPr>
            </w:pPr>
            <w:r w:rsidRPr="00F04A75">
              <w:rPr>
                <w:rFonts w:ascii="Arial Narrow" w:eastAsia="TimesNewRoman" w:hAnsi="Arial Narrow" w:cs="Times New Roman"/>
                <w:b/>
                <w:color w:val="000000"/>
                <w:sz w:val="20"/>
                <w:szCs w:val="20"/>
              </w:rPr>
              <w:t xml:space="preserve">Patients with events, </w:t>
            </w:r>
            <w:r w:rsidR="00131B83" w:rsidRPr="00F04A75">
              <w:rPr>
                <w:rFonts w:ascii="Arial Narrow" w:eastAsia="TimesNewRoman" w:hAnsi="Arial Narrow" w:cs="Times New Roman"/>
                <w:b/>
                <w:color w:val="000000"/>
                <w:sz w:val="20"/>
                <w:szCs w:val="20"/>
              </w:rPr>
              <w:br/>
            </w:r>
            <w:r w:rsidRPr="00F04A75">
              <w:rPr>
                <w:rFonts w:ascii="Arial Narrow" w:eastAsia="TimesNewRoman" w:hAnsi="Arial Narrow" w:cs="Times New Roman"/>
                <w:b/>
                <w:color w:val="000000"/>
                <w:sz w:val="20"/>
                <w:szCs w:val="20"/>
              </w:rPr>
              <w:t>n (%)</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4FA713F0" w14:textId="77777777" w:rsidR="00122B38" w:rsidRPr="00F04A75" w:rsidRDefault="00122B38" w:rsidP="00131B83">
            <w:pPr>
              <w:keepNext/>
              <w:jc w:val="center"/>
              <w:rPr>
                <w:rFonts w:ascii="Arial Narrow" w:hAnsi="Arial Narrow"/>
                <w:sz w:val="20"/>
                <w:szCs w:val="20"/>
              </w:rPr>
            </w:pPr>
            <w:r w:rsidRPr="00F04A75">
              <w:rPr>
                <w:rFonts w:ascii="Arial Narrow" w:eastAsia="TimesNewRoman" w:hAnsi="Arial Narrow" w:cs="Times New Roman"/>
                <w:b/>
                <w:color w:val="000000"/>
                <w:sz w:val="20"/>
                <w:szCs w:val="20"/>
              </w:rPr>
              <w:t>Median, months</w:t>
            </w:r>
            <w:r w:rsidRPr="00F04A75">
              <w:rPr>
                <w:rFonts w:ascii="Arial Narrow" w:eastAsia="TimesNewRoman" w:hAnsi="Arial Narrow" w:cs="Times New Roman"/>
                <w:b/>
                <w:color w:val="000000"/>
                <w:sz w:val="20"/>
                <w:szCs w:val="20"/>
              </w:rPr>
              <w:br/>
              <w:t>(95% CI)</w:t>
            </w:r>
          </w:p>
        </w:tc>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14:paraId="57B4B16F" w14:textId="77777777" w:rsidR="00122B38" w:rsidRPr="00F04A75" w:rsidRDefault="00122B38" w:rsidP="00131B83">
            <w:pPr>
              <w:keepNext/>
              <w:jc w:val="center"/>
              <w:rPr>
                <w:rFonts w:ascii="Arial Narrow" w:hAnsi="Arial Narrow"/>
                <w:sz w:val="20"/>
                <w:szCs w:val="20"/>
              </w:rPr>
            </w:pPr>
            <w:r w:rsidRPr="00F04A75">
              <w:rPr>
                <w:rFonts w:ascii="Arial Narrow" w:eastAsia="TimesNewRoman" w:hAnsi="Arial Narrow" w:cs="Times New Roman"/>
                <w:b/>
                <w:color w:val="000000"/>
                <w:sz w:val="20"/>
                <w:szCs w:val="20"/>
              </w:rPr>
              <w:t xml:space="preserve">Patients with events, </w:t>
            </w:r>
            <w:r w:rsidR="00131B83" w:rsidRPr="00F04A75">
              <w:rPr>
                <w:rFonts w:ascii="Arial Narrow" w:eastAsia="TimesNewRoman" w:hAnsi="Arial Narrow" w:cs="Times New Roman"/>
                <w:b/>
                <w:color w:val="000000"/>
                <w:sz w:val="20"/>
                <w:szCs w:val="20"/>
              </w:rPr>
              <w:br/>
            </w:r>
            <w:r w:rsidRPr="00F04A75">
              <w:rPr>
                <w:rFonts w:ascii="Arial Narrow" w:eastAsia="TimesNewRoman" w:hAnsi="Arial Narrow" w:cs="Times New Roman"/>
                <w:b/>
                <w:color w:val="000000"/>
                <w:sz w:val="20"/>
                <w:szCs w:val="20"/>
              </w:rPr>
              <w:t>n (%)</w:t>
            </w:r>
          </w:p>
        </w:tc>
        <w:tc>
          <w:tcPr>
            <w:tcW w:w="551" w:type="pct"/>
            <w:tcBorders>
              <w:top w:val="single" w:sz="4" w:space="0" w:color="auto"/>
              <w:left w:val="single" w:sz="4" w:space="0" w:color="auto"/>
              <w:bottom w:val="single" w:sz="4" w:space="0" w:color="auto"/>
              <w:right w:val="single" w:sz="4" w:space="0" w:color="auto"/>
            </w:tcBorders>
            <w:shd w:val="clear" w:color="auto" w:fill="auto"/>
            <w:vAlign w:val="center"/>
          </w:tcPr>
          <w:p w14:paraId="4A07C198" w14:textId="77777777" w:rsidR="00122B38" w:rsidRPr="00F04A75" w:rsidRDefault="00122B38" w:rsidP="00131B83">
            <w:pPr>
              <w:keepNext/>
              <w:jc w:val="center"/>
              <w:rPr>
                <w:rFonts w:ascii="Arial Narrow" w:hAnsi="Arial Narrow"/>
                <w:sz w:val="20"/>
                <w:szCs w:val="20"/>
              </w:rPr>
            </w:pPr>
            <w:r w:rsidRPr="00F04A75">
              <w:rPr>
                <w:rFonts w:ascii="Arial Narrow" w:eastAsia="TimesNewRoman" w:hAnsi="Arial Narrow" w:cs="Times New Roman"/>
                <w:b/>
                <w:color w:val="000000"/>
                <w:sz w:val="20"/>
                <w:szCs w:val="20"/>
              </w:rPr>
              <w:t>Median, months</w:t>
            </w:r>
            <w:r w:rsidRPr="00F04A75">
              <w:rPr>
                <w:rFonts w:ascii="Arial Narrow" w:eastAsia="TimesNewRoman" w:hAnsi="Arial Narrow" w:cs="Times New Roman"/>
                <w:b/>
                <w:color w:val="000000"/>
                <w:sz w:val="20"/>
                <w:szCs w:val="20"/>
              </w:rPr>
              <w:br/>
              <w:t>(95% CI)</w:t>
            </w:r>
          </w:p>
        </w:tc>
        <w:tc>
          <w:tcPr>
            <w:tcW w:w="551" w:type="pct"/>
            <w:vMerge/>
            <w:tcBorders>
              <w:left w:val="single" w:sz="4" w:space="0" w:color="auto"/>
              <w:bottom w:val="single" w:sz="4" w:space="0" w:color="auto"/>
              <w:right w:val="single" w:sz="4" w:space="0" w:color="auto"/>
            </w:tcBorders>
            <w:shd w:val="clear" w:color="auto" w:fill="auto"/>
          </w:tcPr>
          <w:p w14:paraId="269ACEFE" w14:textId="77777777" w:rsidR="00122B38" w:rsidRPr="00F04A75" w:rsidRDefault="00122B38" w:rsidP="00122B38">
            <w:pPr>
              <w:keepNext/>
              <w:jc w:val="center"/>
              <w:rPr>
                <w:rFonts w:ascii="Arial Narrow" w:eastAsia="TimesNewRoman" w:hAnsi="Arial Narrow" w:cs="Times New Roman"/>
                <w:color w:val="000000"/>
                <w:sz w:val="20"/>
                <w:szCs w:val="20"/>
              </w:rPr>
            </w:pPr>
          </w:p>
        </w:tc>
        <w:tc>
          <w:tcPr>
            <w:tcW w:w="439" w:type="pct"/>
            <w:vMerge/>
            <w:tcBorders>
              <w:left w:val="single" w:sz="4" w:space="0" w:color="auto"/>
              <w:bottom w:val="single" w:sz="4" w:space="0" w:color="auto"/>
              <w:right w:val="single" w:sz="4" w:space="0" w:color="auto"/>
            </w:tcBorders>
            <w:shd w:val="clear" w:color="auto" w:fill="auto"/>
          </w:tcPr>
          <w:p w14:paraId="1C03B9E5" w14:textId="77777777" w:rsidR="00122B38" w:rsidRPr="00F04A75" w:rsidRDefault="00122B38" w:rsidP="00122B38">
            <w:pPr>
              <w:keepNext/>
              <w:jc w:val="center"/>
              <w:rPr>
                <w:rFonts w:ascii="Arial Narrow" w:eastAsia="TimesNewRoman" w:hAnsi="Arial Narrow" w:cs="Times New Roman"/>
                <w:b/>
                <w:bCs/>
                <w:color w:val="000000"/>
                <w:sz w:val="20"/>
                <w:szCs w:val="20"/>
              </w:rPr>
            </w:pPr>
          </w:p>
        </w:tc>
        <w:tc>
          <w:tcPr>
            <w:tcW w:w="551" w:type="pct"/>
            <w:vMerge/>
            <w:tcBorders>
              <w:left w:val="single" w:sz="4" w:space="0" w:color="auto"/>
              <w:bottom w:val="single" w:sz="4" w:space="0" w:color="auto"/>
              <w:right w:val="single" w:sz="4" w:space="0" w:color="auto"/>
            </w:tcBorders>
            <w:shd w:val="clear" w:color="auto" w:fill="auto"/>
          </w:tcPr>
          <w:p w14:paraId="55FF54F1" w14:textId="77777777" w:rsidR="00122B38" w:rsidRPr="00F04A75" w:rsidRDefault="00122B38" w:rsidP="00122B38">
            <w:pPr>
              <w:keepNext/>
              <w:jc w:val="center"/>
              <w:rPr>
                <w:rFonts w:ascii="Arial Narrow" w:hAnsi="Arial Narrow"/>
                <w:b/>
                <w:bCs/>
                <w:sz w:val="20"/>
                <w:szCs w:val="20"/>
              </w:rPr>
            </w:pPr>
          </w:p>
        </w:tc>
      </w:tr>
      <w:tr w:rsidR="00122B38" w:rsidRPr="00F04A75" w14:paraId="25A9FDC0" w14:textId="77777777" w:rsidTr="00122B38">
        <w:trPr>
          <w:trHeight w:val="85"/>
        </w:trPr>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727FA356" w14:textId="77777777" w:rsidR="00122B38" w:rsidRPr="00F04A75" w:rsidRDefault="00122B38" w:rsidP="00122B38">
            <w:pPr>
              <w:keepNext/>
              <w:jc w:val="left"/>
              <w:rPr>
                <w:rFonts w:ascii="Arial Narrow" w:hAnsi="Arial Narrow"/>
                <w:b/>
                <w:bCs/>
                <w:sz w:val="20"/>
                <w:szCs w:val="20"/>
              </w:rPr>
            </w:pPr>
            <w:r w:rsidRPr="00F04A75">
              <w:rPr>
                <w:rFonts w:ascii="Arial Narrow" w:eastAsia="TimesNewRoman" w:hAnsi="Arial Narrow" w:cs="Times New Roman"/>
                <w:b/>
                <w:color w:val="000000"/>
                <w:sz w:val="20"/>
                <w:szCs w:val="20"/>
              </w:rPr>
              <w:t>PFS</w:t>
            </w:r>
          </w:p>
        </w:tc>
      </w:tr>
      <w:tr w:rsidR="00131B83" w:rsidRPr="00F04A75" w14:paraId="20CFE0A5" w14:textId="77777777" w:rsidTr="00131B83">
        <w:trPr>
          <w:trHeight w:val="85"/>
        </w:trPr>
        <w:tc>
          <w:tcPr>
            <w:tcW w:w="784" w:type="pct"/>
            <w:tcBorders>
              <w:top w:val="single" w:sz="4" w:space="0" w:color="auto"/>
              <w:left w:val="single" w:sz="4" w:space="0" w:color="auto"/>
              <w:bottom w:val="single" w:sz="4" w:space="0" w:color="auto"/>
              <w:right w:val="single" w:sz="4" w:space="0" w:color="auto"/>
            </w:tcBorders>
            <w:shd w:val="clear" w:color="auto" w:fill="auto"/>
            <w:vAlign w:val="center"/>
          </w:tcPr>
          <w:p w14:paraId="05786A9F" w14:textId="77777777" w:rsidR="00122B38" w:rsidRPr="00F04A75" w:rsidRDefault="00122B38" w:rsidP="00122B38">
            <w:pPr>
              <w:keepNext/>
              <w:jc w:val="left"/>
              <w:rPr>
                <w:rFonts w:ascii="Arial Narrow" w:eastAsia="TimesNewRoman" w:hAnsi="Arial Narrow" w:cs="Times New Roman"/>
                <w:color w:val="000000"/>
                <w:sz w:val="20"/>
                <w:szCs w:val="20"/>
              </w:rPr>
            </w:pPr>
            <w:r w:rsidRPr="00F04A75">
              <w:rPr>
                <w:rFonts w:ascii="Arial Narrow" w:eastAsia="TimesNewRoman" w:hAnsi="Arial Narrow" w:cs="Times New Roman"/>
                <w:color w:val="000000"/>
                <w:sz w:val="20"/>
                <w:szCs w:val="20"/>
              </w:rPr>
              <w:t>29 Oct 2014 – ITT (IRC)</w:t>
            </w:r>
          </w:p>
        </w:tc>
        <w:tc>
          <w:tcPr>
            <w:tcW w:w="629" w:type="pct"/>
            <w:tcBorders>
              <w:top w:val="single" w:sz="4" w:space="0" w:color="auto"/>
              <w:left w:val="single" w:sz="4" w:space="0" w:color="auto"/>
              <w:bottom w:val="single" w:sz="4" w:space="0" w:color="auto"/>
              <w:right w:val="single" w:sz="4" w:space="0" w:color="auto"/>
            </w:tcBorders>
            <w:vAlign w:val="center"/>
          </w:tcPr>
          <w:p w14:paraId="779F0E41" w14:textId="77777777" w:rsidR="00122B38" w:rsidRPr="00F04A75" w:rsidRDefault="00122B38" w:rsidP="000A397E">
            <w:pPr>
              <w:keepNext/>
              <w:jc w:val="center"/>
              <w:rPr>
                <w:rFonts w:ascii="Arial Narrow" w:hAnsi="Arial Narrow"/>
                <w:sz w:val="20"/>
                <w:szCs w:val="20"/>
              </w:rPr>
            </w:pPr>
            <w:r w:rsidRPr="00F04A75">
              <w:rPr>
                <w:rFonts w:ascii="Arial Narrow" w:hAnsi="Arial Narrow"/>
                <w:sz w:val="20"/>
                <w:szCs w:val="20"/>
              </w:rPr>
              <w:t>24.5</w:t>
            </w:r>
          </w:p>
        </w:tc>
        <w:tc>
          <w:tcPr>
            <w:tcW w:w="472" w:type="pct"/>
            <w:tcBorders>
              <w:top w:val="single" w:sz="4" w:space="0" w:color="auto"/>
              <w:left w:val="single" w:sz="4" w:space="0" w:color="auto"/>
              <w:bottom w:val="single" w:sz="4" w:space="0" w:color="auto"/>
              <w:right w:val="single" w:sz="4" w:space="0" w:color="auto"/>
            </w:tcBorders>
            <w:shd w:val="clear" w:color="auto" w:fill="auto"/>
            <w:vAlign w:val="center"/>
          </w:tcPr>
          <w:p w14:paraId="2BF2D22B" w14:textId="77777777" w:rsidR="00122B38" w:rsidRPr="00F04A75" w:rsidRDefault="00122B38" w:rsidP="00122B38">
            <w:pPr>
              <w:keepNext/>
              <w:jc w:val="center"/>
              <w:rPr>
                <w:rFonts w:ascii="Arial Narrow" w:eastAsia="TimesNewRoman" w:hAnsi="Arial Narrow" w:cs="Times New Roman"/>
                <w:color w:val="000000"/>
                <w:sz w:val="20"/>
                <w:szCs w:val="20"/>
              </w:rPr>
            </w:pPr>
            <w:r w:rsidRPr="00F04A75">
              <w:rPr>
                <w:rFonts w:ascii="Arial Narrow" w:hAnsi="Arial Narrow"/>
                <w:sz w:val="20"/>
                <w:szCs w:val="20"/>
              </w:rPr>
              <w:t>192 (59.8%)</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1D758D85" w14:textId="77777777" w:rsidR="00122B38" w:rsidRPr="00F04A75" w:rsidRDefault="00122B38" w:rsidP="00122B38">
            <w:pPr>
              <w:keepNext/>
              <w:jc w:val="center"/>
              <w:rPr>
                <w:rFonts w:ascii="Arial Narrow" w:eastAsia="TimesNewRoman" w:hAnsi="Arial Narrow" w:cs="Times New Roman"/>
                <w:color w:val="000000"/>
                <w:sz w:val="20"/>
                <w:szCs w:val="20"/>
              </w:rPr>
            </w:pPr>
            <w:r w:rsidRPr="00F04A75">
              <w:rPr>
                <w:rFonts w:ascii="Arial Narrow" w:hAnsi="Arial Narrow"/>
                <w:sz w:val="20"/>
                <w:szCs w:val="20"/>
              </w:rPr>
              <w:t xml:space="preserve">18.5 </w:t>
            </w:r>
            <w:r w:rsidRPr="00F04A75">
              <w:rPr>
                <w:rFonts w:ascii="Arial Narrow" w:hAnsi="Arial Narrow"/>
                <w:sz w:val="20"/>
                <w:szCs w:val="20"/>
              </w:rPr>
              <w:br/>
              <w:t>(16.5, 21.4)</w:t>
            </w:r>
          </w:p>
        </w:tc>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14:paraId="41C2EF3F" w14:textId="77777777" w:rsidR="00122B38" w:rsidRPr="00F04A75" w:rsidRDefault="00122B38" w:rsidP="00122B38">
            <w:pPr>
              <w:keepNext/>
              <w:jc w:val="center"/>
              <w:rPr>
                <w:rFonts w:ascii="Arial Narrow" w:eastAsia="TimesNewRoman" w:hAnsi="Arial Narrow" w:cs="Times New Roman"/>
                <w:color w:val="000000"/>
                <w:sz w:val="20"/>
                <w:szCs w:val="20"/>
              </w:rPr>
            </w:pPr>
            <w:r w:rsidRPr="00F04A75">
              <w:rPr>
                <w:rFonts w:ascii="Arial Narrow" w:hAnsi="Arial Narrow"/>
                <w:sz w:val="20"/>
                <w:szCs w:val="20"/>
              </w:rPr>
              <w:t>231 (71.1%)</w:t>
            </w:r>
          </w:p>
        </w:tc>
        <w:tc>
          <w:tcPr>
            <w:tcW w:w="551" w:type="pct"/>
            <w:tcBorders>
              <w:top w:val="single" w:sz="4" w:space="0" w:color="auto"/>
              <w:left w:val="single" w:sz="4" w:space="0" w:color="auto"/>
              <w:bottom w:val="single" w:sz="4" w:space="0" w:color="auto"/>
              <w:right w:val="single" w:sz="4" w:space="0" w:color="auto"/>
            </w:tcBorders>
            <w:shd w:val="clear" w:color="auto" w:fill="auto"/>
            <w:vAlign w:val="center"/>
          </w:tcPr>
          <w:p w14:paraId="6E612C1C" w14:textId="77777777" w:rsidR="00122B38" w:rsidRPr="00F04A75" w:rsidRDefault="00122B38" w:rsidP="00122B38">
            <w:pPr>
              <w:keepNext/>
              <w:jc w:val="center"/>
              <w:rPr>
                <w:rFonts w:ascii="Arial Narrow" w:eastAsia="TimesNewRoman" w:hAnsi="Arial Narrow" w:cs="Times New Roman"/>
                <w:color w:val="000000"/>
                <w:sz w:val="20"/>
                <w:szCs w:val="20"/>
              </w:rPr>
            </w:pPr>
            <w:r w:rsidRPr="00F04A75">
              <w:rPr>
                <w:rFonts w:ascii="Arial Narrow" w:hAnsi="Arial Narrow"/>
                <w:sz w:val="20"/>
                <w:szCs w:val="20"/>
              </w:rPr>
              <w:t xml:space="preserve">14.3 </w:t>
            </w:r>
            <w:r w:rsidRPr="00F04A75">
              <w:rPr>
                <w:rFonts w:ascii="Arial Narrow" w:hAnsi="Arial Narrow"/>
                <w:sz w:val="20"/>
                <w:szCs w:val="20"/>
              </w:rPr>
              <w:br/>
              <w:t>(12.0, 16.0)</w:t>
            </w:r>
          </w:p>
        </w:tc>
        <w:tc>
          <w:tcPr>
            <w:tcW w:w="551" w:type="pct"/>
            <w:tcBorders>
              <w:top w:val="single" w:sz="4" w:space="0" w:color="auto"/>
              <w:left w:val="single" w:sz="4" w:space="0" w:color="auto"/>
              <w:bottom w:val="single" w:sz="4" w:space="0" w:color="auto"/>
              <w:right w:val="single" w:sz="4" w:space="0" w:color="auto"/>
            </w:tcBorders>
            <w:shd w:val="clear" w:color="auto" w:fill="auto"/>
            <w:vAlign w:val="center"/>
          </w:tcPr>
          <w:p w14:paraId="20E6216A" w14:textId="77777777" w:rsidR="00122B38" w:rsidRPr="00F04A75" w:rsidRDefault="00122B38" w:rsidP="00122B38">
            <w:pPr>
              <w:keepNext/>
              <w:jc w:val="center"/>
              <w:rPr>
                <w:rFonts w:ascii="Arial Narrow" w:eastAsia="TimesNewRoman" w:hAnsi="Arial Narrow" w:cs="Times New Roman"/>
                <w:color w:val="000000"/>
                <w:sz w:val="20"/>
                <w:szCs w:val="20"/>
              </w:rPr>
            </w:pPr>
            <w:r w:rsidRPr="00F04A75">
              <w:rPr>
                <w:rFonts w:ascii="Arial Narrow" w:eastAsia="TimesNewRoman" w:hAnsi="Arial Narrow" w:cs="Times New Roman"/>
                <w:color w:val="000000"/>
                <w:sz w:val="20"/>
                <w:szCs w:val="20"/>
              </w:rPr>
              <w:t>4.2</w:t>
            </w:r>
          </w:p>
        </w:tc>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379CA112" w14:textId="77777777" w:rsidR="00122B38" w:rsidRPr="00F04A75" w:rsidRDefault="00122B38" w:rsidP="00122B38">
            <w:pPr>
              <w:keepNext/>
              <w:jc w:val="center"/>
              <w:rPr>
                <w:rFonts w:ascii="Arial Narrow" w:eastAsia="TimesNewRoman" w:hAnsi="Arial Narrow" w:cs="Times New Roman"/>
                <w:b/>
                <w:bCs/>
                <w:color w:val="000000"/>
                <w:sz w:val="20"/>
                <w:szCs w:val="20"/>
              </w:rPr>
            </w:pPr>
            <w:r w:rsidRPr="00F04A75">
              <w:rPr>
                <w:rFonts w:ascii="Arial Narrow" w:eastAsia="TimesNewRoman" w:hAnsi="Arial Narrow" w:cs="Times New Roman"/>
                <w:b/>
                <w:bCs/>
                <w:color w:val="000000"/>
                <w:sz w:val="20"/>
                <w:szCs w:val="20"/>
              </w:rPr>
              <w:t>0.0001</w:t>
            </w:r>
          </w:p>
        </w:tc>
        <w:tc>
          <w:tcPr>
            <w:tcW w:w="551" w:type="pct"/>
            <w:tcBorders>
              <w:top w:val="single" w:sz="4" w:space="0" w:color="auto"/>
              <w:left w:val="single" w:sz="4" w:space="0" w:color="auto"/>
              <w:bottom w:val="single" w:sz="4" w:space="0" w:color="auto"/>
              <w:right w:val="single" w:sz="4" w:space="0" w:color="auto"/>
            </w:tcBorders>
            <w:shd w:val="clear" w:color="auto" w:fill="auto"/>
            <w:vAlign w:val="center"/>
          </w:tcPr>
          <w:p w14:paraId="0EDC06E9" w14:textId="77777777" w:rsidR="00122B38" w:rsidRPr="00F04A75" w:rsidRDefault="00122B38" w:rsidP="00122B38">
            <w:pPr>
              <w:keepNext/>
              <w:jc w:val="center"/>
              <w:rPr>
                <w:rFonts w:ascii="Arial Narrow" w:hAnsi="Arial Narrow"/>
                <w:b/>
                <w:bCs/>
                <w:sz w:val="20"/>
                <w:szCs w:val="20"/>
              </w:rPr>
            </w:pPr>
            <w:r w:rsidRPr="00F04A75">
              <w:rPr>
                <w:rFonts w:ascii="Arial Narrow" w:hAnsi="Arial Narrow"/>
                <w:b/>
                <w:bCs/>
                <w:sz w:val="20"/>
                <w:szCs w:val="20"/>
              </w:rPr>
              <w:t xml:space="preserve">0.68 </w:t>
            </w:r>
          </w:p>
          <w:p w14:paraId="2A01C42E" w14:textId="77777777" w:rsidR="00122B38" w:rsidRPr="00F04A75" w:rsidRDefault="00122B38" w:rsidP="00122B38">
            <w:pPr>
              <w:keepNext/>
              <w:jc w:val="center"/>
              <w:rPr>
                <w:rFonts w:ascii="Arial Narrow" w:eastAsia="TimesNewRoman" w:hAnsi="Arial Narrow" w:cs="Times New Roman"/>
                <w:b/>
                <w:bCs/>
                <w:color w:val="000000"/>
                <w:sz w:val="20"/>
                <w:szCs w:val="20"/>
              </w:rPr>
            </w:pPr>
            <w:r w:rsidRPr="00F04A75">
              <w:rPr>
                <w:rFonts w:ascii="Arial Narrow" w:hAnsi="Arial Narrow"/>
                <w:b/>
                <w:bCs/>
                <w:sz w:val="20"/>
                <w:szCs w:val="20"/>
              </w:rPr>
              <w:t>(0.56, 0.83)</w:t>
            </w:r>
          </w:p>
        </w:tc>
      </w:tr>
      <w:tr w:rsidR="00131B83" w:rsidRPr="00F04A75" w14:paraId="4E8FDE0D" w14:textId="77777777" w:rsidTr="00131B83">
        <w:trPr>
          <w:trHeight w:val="155"/>
        </w:trPr>
        <w:tc>
          <w:tcPr>
            <w:tcW w:w="784" w:type="pct"/>
            <w:tcBorders>
              <w:top w:val="single" w:sz="4" w:space="0" w:color="auto"/>
              <w:left w:val="single" w:sz="4" w:space="0" w:color="auto"/>
              <w:bottom w:val="single" w:sz="4" w:space="0" w:color="auto"/>
              <w:right w:val="single" w:sz="4" w:space="0" w:color="auto"/>
            </w:tcBorders>
            <w:vAlign w:val="center"/>
          </w:tcPr>
          <w:p w14:paraId="61E9DBCD" w14:textId="77777777" w:rsidR="00122B38" w:rsidRPr="00F04A75" w:rsidRDefault="00122B38" w:rsidP="00122B38">
            <w:pPr>
              <w:keepNext/>
              <w:jc w:val="left"/>
              <w:rPr>
                <w:rFonts w:ascii="Arial Narrow" w:eastAsia="TimesNewRoman" w:hAnsi="Arial Narrow" w:cs="Times New Roman"/>
                <w:color w:val="000000"/>
                <w:sz w:val="20"/>
                <w:szCs w:val="20"/>
              </w:rPr>
            </w:pPr>
            <w:r w:rsidRPr="00F04A75">
              <w:rPr>
                <w:rFonts w:ascii="Arial Narrow" w:eastAsia="TimesNewRoman" w:hAnsi="Arial Narrow" w:cs="Times New Roman"/>
                <w:color w:val="000000"/>
                <w:sz w:val="20"/>
                <w:szCs w:val="20"/>
              </w:rPr>
              <w:t>3 Oct 2018 – ITT (IRC)</w:t>
            </w:r>
          </w:p>
        </w:tc>
        <w:tc>
          <w:tcPr>
            <w:tcW w:w="629" w:type="pct"/>
            <w:tcBorders>
              <w:top w:val="single" w:sz="4" w:space="0" w:color="auto"/>
              <w:left w:val="single" w:sz="4" w:space="0" w:color="auto"/>
              <w:bottom w:val="single" w:sz="4" w:space="0" w:color="auto"/>
              <w:right w:val="single" w:sz="4" w:space="0" w:color="auto"/>
            </w:tcBorders>
            <w:vAlign w:val="center"/>
          </w:tcPr>
          <w:p w14:paraId="63A23AB6" w14:textId="77777777" w:rsidR="00122B38" w:rsidRPr="00F04A75" w:rsidRDefault="00122B38" w:rsidP="000A397E">
            <w:pPr>
              <w:keepNext/>
              <w:jc w:val="center"/>
              <w:rPr>
                <w:rFonts w:ascii="Arial Narrow" w:hAnsi="Arial Narrow"/>
                <w:sz w:val="20"/>
                <w:szCs w:val="20"/>
              </w:rPr>
            </w:pPr>
            <w:r w:rsidRPr="00F04A75">
              <w:rPr>
                <w:rFonts w:ascii="Arial Narrow" w:hAnsi="Arial Narrow"/>
                <w:sz w:val="20"/>
                <w:szCs w:val="20"/>
              </w:rPr>
              <w:t>46.8</w:t>
            </w:r>
          </w:p>
        </w:tc>
        <w:tc>
          <w:tcPr>
            <w:tcW w:w="472" w:type="pct"/>
            <w:tcBorders>
              <w:top w:val="single" w:sz="4" w:space="0" w:color="auto"/>
              <w:left w:val="single" w:sz="4" w:space="0" w:color="auto"/>
              <w:bottom w:val="single" w:sz="4" w:space="0" w:color="auto"/>
              <w:right w:val="single" w:sz="4" w:space="0" w:color="auto"/>
            </w:tcBorders>
            <w:vAlign w:val="center"/>
          </w:tcPr>
          <w:p w14:paraId="61B33FE4" w14:textId="77777777" w:rsidR="00122B38" w:rsidRPr="00F04A75" w:rsidRDefault="00122B38" w:rsidP="00122B38">
            <w:pPr>
              <w:keepNext/>
              <w:jc w:val="center"/>
              <w:rPr>
                <w:rFonts w:ascii="Arial Narrow" w:eastAsia="TimesNewRoman" w:hAnsi="Arial Narrow" w:cs="Times New Roman"/>
                <w:color w:val="000000"/>
                <w:sz w:val="20"/>
                <w:szCs w:val="20"/>
              </w:rPr>
            </w:pPr>
            <w:r w:rsidRPr="00F04A75">
              <w:rPr>
                <w:rFonts w:ascii="Arial Narrow" w:hAnsi="Arial Narrow"/>
                <w:sz w:val="20"/>
                <w:szCs w:val="20"/>
              </w:rPr>
              <w:t>268 (83.5%)</w:t>
            </w:r>
          </w:p>
        </w:tc>
        <w:tc>
          <w:tcPr>
            <w:tcW w:w="552" w:type="pct"/>
            <w:tcBorders>
              <w:top w:val="single" w:sz="4" w:space="0" w:color="auto"/>
              <w:left w:val="single" w:sz="4" w:space="0" w:color="auto"/>
              <w:bottom w:val="single" w:sz="4" w:space="0" w:color="auto"/>
              <w:right w:val="single" w:sz="4" w:space="0" w:color="auto"/>
            </w:tcBorders>
            <w:vAlign w:val="center"/>
          </w:tcPr>
          <w:p w14:paraId="34A6FD9F" w14:textId="77777777" w:rsidR="00122B38" w:rsidRPr="00F04A75" w:rsidRDefault="00122B38" w:rsidP="00122B38">
            <w:pPr>
              <w:keepNext/>
              <w:jc w:val="center"/>
              <w:rPr>
                <w:rFonts w:ascii="Arial Narrow" w:eastAsia="TimesNewRoman" w:hAnsi="Arial Narrow" w:cs="Times New Roman"/>
                <w:color w:val="000000"/>
                <w:sz w:val="20"/>
                <w:szCs w:val="20"/>
              </w:rPr>
            </w:pPr>
            <w:r w:rsidRPr="00F04A75">
              <w:rPr>
                <w:rFonts w:ascii="Arial Narrow" w:hAnsi="Arial Narrow"/>
                <w:sz w:val="20"/>
                <w:szCs w:val="20"/>
              </w:rPr>
              <w:t xml:space="preserve">19.4 </w:t>
            </w:r>
            <w:r w:rsidRPr="00F04A75">
              <w:rPr>
                <w:rFonts w:ascii="Arial Narrow" w:hAnsi="Arial Narrow"/>
                <w:sz w:val="20"/>
                <w:szCs w:val="20"/>
              </w:rPr>
              <w:br/>
              <w:t>(16.6, 22.2)</w:t>
            </w:r>
          </w:p>
        </w:tc>
        <w:tc>
          <w:tcPr>
            <w:tcW w:w="471" w:type="pct"/>
            <w:tcBorders>
              <w:top w:val="single" w:sz="4" w:space="0" w:color="auto"/>
              <w:left w:val="single" w:sz="4" w:space="0" w:color="auto"/>
              <w:bottom w:val="single" w:sz="4" w:space="0" w:color="auto"/>
              <w:right w:val="single" w:sz="4" w:space="0" w:color="auto"/>
            </w:tcBorders>
            <w:vAlign w:val="center"/>
          </w:tcPr>
          <w:p w14:paraId="055C96E8" w14:textId="77777777" w:rsidR="00122B38" w:rsidRPr="00F04A75" w:rsidRDefault="00122B38" w:rsidP="00122B38">
            <w:pPr>
              <w:keepNext/>
              <w:jc w:val="center"/>
              <w:rPr>
                <w:rFonts w:ascii="Arial Narrow" w:eastAsia="TimesNewRoman" w:hAnsi="Arial Narrow" w:cs="Times New Roman"/>
                <w:color w:val="000000"/>
                <w:sz w:val="20"/>
                <w:szCs w:val="20"/>
              </w:rPr>
            </w:pPr>
            <w:r w:rsidRPr="00F04A75">
              <w:rPr>
                <w:rFonts w:ascii="Arial Narrow" w:hAnsi="Arial Narrow"/>
                <w:sz w:val="20"/>
                <w:szCs w:val="20"/>
              </w:rPr>
              <w:t>290 (89.2%)</w:t>
            </w:r>
          </w:p>
        </w:tc>
        <w:tc>
          <w:tcPr>
            <w:tcW w:w="551" w:type="pct"/>
            <w:tcBorders>
              <w:top w:val="single" w:sz="4" w:space="0" w:color="auto"/>
              <w:left w:val="single" w:sz="4" w:space="0" w:color="auto"/>
              <w:bottom w:val="single" w:sz="4" w:space="0" w:color="auto"/>
              <w:right w:val="single" w:sz="4" w:space="0" w:color="auto"/>
            </w:tcBorders>
            <w:vAlign w:val="center"/>
          </w:tcPr>
          <w:p w14:paraId="4C15E319" w14:textId="77777777" w:rsidR="00122B38" w:rsidRPr="00F04A75" w:rsidRDefault="00122B38" w:rsidP="00122B38">
            <w:pPr>
              <w:keepNext/>
              <w:jc w:val="center"/>
              <w:rPr>
                <w:rFonts w:ascii="Arial Narrow" w:eastAsia="TimesNewRoman" w:hAnsi="Arial Narrow" w:cs="Times New Roman"/>
                <w:color w:val="000000"/>
                <w:sz w:val="20"/>
                <w:szCs w:val="20"/>
              </w:rPr>
            </w:pPr>
            <w:r w:rsidRPr="00F04A75">
              <w:rPr>
                <w:rFonts w:ascii="Arial Narrow" w:hAnsi="Arial Narrow"/>
                <w:sz w:val="20"/>
                <w:szCs w:val="20"/>
              </w:rPr>
              <w:t xml:space="preserve">14.8 </w:t>
            </w:r>
            <w:r w:rsidRPr="00F04A75">
              <w:rPr>
                <w:rFonts w:ascii="Arial Narrow" w:hAnsi="Arial Narrow"/>
                <w:sz w:val="20"/>
                <w:szCs w:val="20"/>
              </w:rPr>
              <w:br/>
              <w:t>(12.1, 16.6)</w:t>
            </w:r>
          </w:p>
        </w:tc>
        <w:tc>
          <w:tcPr>
            <w:tcW w:w="551" w:type="pct"/>
            <w:tcBorders>
              <w:top w:val="single" w:sz="4" w:space="0" w:color="auto"/>
              <w:left w:val="single" w:sz="4" w:space="0" w:color="auto"/>
              <w:bottom w:val="single" w:sz="4" w:space="0" w:color="auto"/>
              <w:right w:val="single" w:sz="4" w:space="0" w:color="auto"/>
            </w:tcBorders>
            <w:vAlign w:val="center"/>
          </w:tcPr>
          <w:p w14:paraId="7EB62559" w14:textId="77777777" w:rsidR="00122B38" w:rsidRPr="00F04A75" w:rsidRDefault="00122B38" w:rsidP="00122B38">
            <w:pPr>
              <w:keepNext/>
              <w:jc w:val="center"/>
              <w:rPr>
                <w:rFonts w:ascii="Arial Narrow" w:eastAsia="TimesNewRoman" w:hAnsi="Arial Narrow" w:cs="Times New Roman"/>
                <w:color w:val="000000"/>
                <w:sz w:val="20"/>
                <w:szCs w:val="20"/>
              </w:rPr>
            </w:pPr>
            <w:r w:rsidRPr="00F04A75">
              <w:rPr>
                <w:rFonts w:ascii="Arial Narrow" w:eastAsia="TimesNewRoman" w:hAnsi="Arial Narrow" w:cs="Times New Roman"/>
                <w:color w:val="000000"/>
                <w:sz w:val="20"/>
                <w:szCs w:val="20"/>
              </w:rPr>
              <w:t>4.6</w:t>
            </w:r>
          </w:p>
        </w:tc>
        <w:tc>
          <w:tcPr>
            <w:tcW w:w="439" w:type="pct"/>
            <w:tcBorders>
              <w:top w:val="single" w:sz="4" w:space="0" w:color="auto"/>
              <w:left w:val="single" w:sz="4" w:space="0" w:color="auto"/>
              <w:bottom w:val="single" w:sz="4" w:space="0" w:color="auto"/>
              <w:right w:val="single" w:sz="4" w:space="0" w:color="auto"/>
            </w:tcBorders>
            <w:vAlign w:val="center"/>
          </w:tcPr>
          <w:p w14:paraId="2CC3BD6C" w14:textId="77777777" w:rsidR="00122B38" w:rsidRPr="00F04A75" w:rsidRDefault="00122B38" w:rsidP="00122B38">
            <w:pPr>
              <w:keepNext/>
              <w:jc w:val="center"/>
              <w:rPr>
                <w:rFonts w:ascii="Arial Narrow" w:eastAsia="TimesNewRoman" w:hAnsi="Arial Narrow" w:cs="Times New Roman"/>
                <w:b/>
                <w:bCs/>
                <w:color w:val="000000"/>
                <w:sz w:val="20"/>
                <w:szCs w:val="20"/>
              </w:rPr>
            </w:pPr>
            <w:r w:rsidRPr="00F04A75">
              <w:rPr>
                <w:rFonts w:ascii="Arial Narrow" w:eastAsia="TimesNewRoman" w:hAnsi="Arial Narrow" w:cs="Times New Roman"/>
                <w:b/>
                <w:bCs/>
                <w:color w:val="000000"/>
                <w:sz w:val="20"/>
                <w:szCs w:val="20"/>
              </w:rPr>
              <w:t>0.0001</w:t>
            </w:r>
          </w:p>
        </w:tc>
        <w:tc>
          <w:tcPr>
            <w:tcW w:w="551" w:type="pct"/>
            <w:tcBorders>
              <w:top w:val="single" w:sz="4" w:space="0" w:color="auto"/>
              <w:left w:val="single" w:sz="4" w:space="0" w:color="auto"/>
              <w:bottom w:val="single" w:sz="4" w:space="0" w:color="auto"/>
              <w:right w:val="single" w:sz="4" w:space="0" w:color="auto"/>
            </w:tcBorders>
            <w:vAlign w:val="center"/>
          </w:tcPr>
          <w:p w14:paraId="6C4695E6" w14:textId="77777777" w:rsidR="00122B38" w:rsidRPr="00F04A75" w:rsidRDefault="00122B38" w:rsidP="00122B38">
            <w:pPr>
              <w:keepNext/>
              <w:jc w:val="center"/>
              <w:rPr>
                <w:rFonts w:ascii="Arial Narrow" w:hAnsi="Arial Narrow"/>
                <w:b/>
                <w:bCs/>
                <w:sz w:val="20"/>
                <w:szCs w:val="20"/>
              </w:rPr>
            </w:pPr>
            <w:r w:rsidRPr="00F04A75">
              <w:rPr>
                <w:rFonts w:ascii="Arial Narrow" w:hAnsi="Arial Narrow"/>
                <w:b/>
                <w:bCs/>
                <w:sz w:val="20"/>
                <w:szCs w:val="20"/>
              </w:rPr>
              <w:t xml:space="preserve">0.72 </w:t>
            </w:r>
          </w:p>
          <w:p w14:paraId="6AF18533" w14:textId="77777777" w:rsidR="00122B38" w:rsidRPr="00F04A75" w:rsidRDefault="00122B38" w:rsidP="00122B38">
            <w:pPr>
              <w:keepNext/>
              <w:jc w:val="center"/>
              <w:rPr>
                <w:rFonts w:ascii="Arial Narrow" w:eastAsia="TimesNewRoman" w:hAnsi="Arial Narrow" w:cs="Times New Roman"/>
                <w:b/>
                <w:bCs/>
                <w:color w:val="000000"/>
                <w:sz w:val="20"/>
                <w:szCs w:val="20"/>
              </w:rPr>
            </w:pPr>
            <w:r w:rsidRPr="00F04A75">
              <w:rPr>
                <w:rFonts w:ascii="Arial Narrow" w:hAnsi="Arial Narrow"/>
                <w:b/>
                <w:bCs/>
                <w:sz w:val="20"/>
                <w:szCs w:val="20"/>
              </w:rPr>
              <w:t>(0.61, 0.85)</w:t>
            </w:r>
          </w:p>
        </w:tc>
      </w:tr>
      <w:tr w:rsidR="00122B38" w:rsidRPr="00F04A75" w14:paraId="2BE4B61F" w14:textId="77777777" w:rsidTr="00122B38">
        <w:trPr>
          <w:trHeight w:val="85"/>
        </w:trPr>
        <w:tc>
          <w:tcPr>
            <w:tcW w:w="5000" w:type="pct"/>
            <w:gridSpan w:val="9"/>
            <w:tcBorders>
              <w:top w:val="single" w:sz="4" w:space="0" w:color="auto"/>
              <w:left w:val="single" w:sz="4" w:space="0" w:color="auto"/>
              <w:bottom w:val="single" w:sz="4" w:space="0" w:color="auto"/>
              <w:right w:val="single" w:sz="4" w:space="0" w:color="auto"/>
            </w:tcBorders>
            <w:vAlign w:val="center"/>
          </w:tcPr>
          <w:p w14:paraId="0046818D" w14:textId="77777777" w:rsidR="00122B38" w:rsidRPr="00F04A75" w:rsidRDefault="00122B38" w:rsidP="00122B38">
            <w:pPr>
              <w:keepNext/>
              <w:jc w:val="left"/>
              <w:rPr>
                <w:rFonts w:ascii="Arial Narrow" w:hAnsi="Arial Narrow"/>
                <w:b/>
                <w:bCs/>
                <w:sz w:val="20"/>
                <w:szCs w:val="20"/>
              </w:rPr>
            </w:pPr>
            <w:r w:rsidRPr="00F04A75">
              <w:rPr>
                <w:rFonts w:ascii="Arial Narrow" w:eastAsia="TimesNewRoman" w:hAnsi="Arial Narrow" w:cs="Times New Roman"/>
                <w:b/>
                <w:bCs/>
                <w:color w:val="000000"/>
                <w:sz w:val="20"/>
                <w:szCs w:val="20"/>
              </w:rPr>
              <w:t>OS</w:t>
            </w:r>
          </w:p>
        </w:tc>
      </w:tr>
      <w:tr w:rsidR="00131B83" w:rsidRPr="00F04A75" w14:paraId="73E8A5C3" w14:textId="77777777" w:rsidTr="00131B83">
        <w:trPr>
          <w:trHeight w:val="85"/>
        </w:trPr>
        <w:tc>
          <w:tcPr>
            <w:tcW w:w="784" w:type="pct"/>
            <w:tcBorders>
              <w:top w:val="single" w:sz="4" w:space="0" w:color="auto"/>
              <w:left w:val="single" w:sz="4" w:space="0" w:color="auto"/>
              <w:bottom w:val="single" w:sz="4" w:space="0" w:color="auto"/>
              <w:right w:val="single" w:sz="4" w:space="0" w:color="auto"/>
            </w:tcBorders>
            <w:vAlign w:val="center"/>
          </w:tcPr>
          <w:p w14:paraId="002B8A13" w14:textId="77777777" w:rsidR="00122B38" w:rsidRPr="00F04A75" w:rsidRDefault="00122B38" w:rsidP="00122B38">
            <w:pPr>
              <w:keepNext/>
              <w:keepLines/>
              <w:jc w:val="left"/>
              <w:rPr>
                <w:rFonts w:ascii="Arial Narrow" w:eastAsia="TimesNewRoman" w:hAnsi="Arial Narrow" w:cs="Times New Roman"/>
                <w:color w:val="000000"/>
                <w:sz w:val="20"/>
                <w:szCs w:val="20"/>
              </w:rPr>
            </w:pPr>
            <w:r w:rsidRPr="00F04A75">
              <w:rPr>
                <w:rFonts w:ascii="Arial Narrow" w:eastAsia="TimesNewRoman" w:hAnsi="Arial Narrow" w:cs="Times New Roman"/>
                <w:color w:val="000000"/>
                <w:sz w:val="20"/>
                <w:szCs w:val="20"/>
              </w:rPr>
              <w:t>29 Oct 2015</w:t>
            </w:r>
          </w:p>
        </w:tc>
        <w:tc>
          <w:tcPr>
            <w:tcW w:w="629" w:type="pct"/>
            <w:tcBorders>
              <w:top w:val="single" w:sz="4" w:space="0" w:color="auto"/>
              <w:left w:val="single" w:sz="4" w:space="0" w:color="auto"/>
              <w:bottom w:val="single" w:sz="4" w:space="0" w:color="auto"/>
              <w:right w:val="single" w:sz="4" w:space="0" w:color="auto"/>
            </w:tcBorders>
            <w:vAlign w:val="center"/>
          </w:tcPr>
          <w:p w14:paraId="215CAF5B" w14:textId="77777777" w:rsidR="00122B38" w:rsidRPr="00F04A75" w:rsidRDefault="00122B38" w:rsidP="000A397E">
            <w:pPr>
              <w:keepNext/>
              <w:jc w:val="center"/>
              <w:rPr>
                <w:rFonts w:ascii="Arial Narrow" w:hAnsi="Arial Narrow"/>
                <w:sz w:val="20"/>
                <w:szCs w:val="20"/>
              </w:rPr>
            </w:pPr>
            <w:r w:rsidRPr="00F04A75">
              <w:rPr>
                <w:rFonts w:ascii="Arial Narrow" w:hAnsi="Arial Narrow"/>
                <w:sz w:val="20"/>
                <w:szCs w:val="20"/>
              </w:rPr>
              <w:t>38.7</w:t>
            </w:r>
          </w:p>
        </w:tc>
        <w:tc>
          <w:tcPr>
            <w:tcW w:w="472" w:type="pct"/>
            <w:tcBorders>
              <w:top w:val="single" w:sz="4" w:space="0" w:color="auto"/>
              <w:left w:val="single" w:sz="4" w:space="0" w:color="auto"/>
              <w:bottom w:val="single" w:sz="4" w:space="0" w:color="auto"/>
              <w:right w:val="single" w:sz="4" w:space="0" w:color="auto"/>
            </w:tcBorders>
            <w:vAlign w:val="center"/>
          </w:tcPr>
          <w:p w14:paraId="7BBFEF3A" w14:textId="77777777" w:rsidR="00122B38" w:rsidRPr="00F04A75" w:rsidRDefault="00122B38" w:rsidP="00122B38">
            <w:pPr>
              <w:keepNext/>
              <w:jc w:val="center"/>
              <w:rPr>
                <w:rFonts w:ascii="Arial Narrow" w:eastAsia="TimesNewRoman" w:hAnsi="Arial Narrow" w:cs="Times New Roman"/>
                <w:b/>
                <w:color w:val="000000"/>
                <w:sz w:val="20"/>
                <w:szCs w:val="20"/>
              </w:rPr>
            </w:pPr>
            <w:r w:rsidRPr="00F04A75">
              <w:rPr>
                <w:rFonts w:ascii="Arial Narrow" w:hAnsi="Arial Narrow"/>
                <w:sz w:val="20"/>
                <w:szCs w:val="20"/>
              </w:rPr>
              <w:t>136 (42.4%)</w:t>
            </w:r>
          </w:p>
        </w:tc>
        <w:tc>
          <w:tcPr>
            <w:tcW w:w="552" w:type="pct"/>
            <w:tcBorders>
              <w:top w:val="single" w:sz="4" w:space="0" w:color="auto"/>
              <w:left w:val="single" w:sz="4" w:space="0" w:color="auto"/>
              <w:bottom w:val="single" w:sz="4" w:space="0" w:color="auto"/>
              <w:right w:val="single" w:sz="4" w:space="0" w:color="auto"/>
            </w:tcBorders>
            <w:vAlign w:val="center"/>
          </w:tcPr>
          <w:p w14:paraId="0D498301" w14:textId="77777777" w:rsidR="00122B38" w:rsidRPr="00F04A75" w:rsidRDefault="00122B38" w:rsidP="00122B38">
            <w:pPr>
              <w:keepNext/>
              <w:jc w:val="center"/>
              <w:rPr>
                <w:rFonts w:ascii="Arial Narrow" w:eastAsia="TimesNewRoman" w:hAnsi="Arial Narrow" w:cs="Times New Roman"/>
                <w:b/>
                <w:color w:val="000000"/>
                <w:sz w:val="20"/>
                <w:szCs w:val="20"/>
              </w:rPr>
            </w:pPr>
            <w:r w:rsidRPr="00F04A75">
              <w:rPr>
                <w:rFonts w:ascii="Arial Narrow" w:hAnsi="Arial Narrow"/>
                <w:sz w:val="20"/>
                <w:szCs w:val="20"/>
              </w:rPr>
              <w:t xml:space="preserve">43.7 </w:t>
            </w:r>
            <w:r w:rsidRPr="00F04A75">
              <w:rPr>
                <w:rFonts w:ascii="Arial Narrow" w:hAnsi="Arial Narrow"/>
                <w:sz w:val="20"/>
                <w:szCs w:val="20"/>
              </w:rPr>
              <w:br/>
              <w:t>(40.3, NE)</w:t>
            </w:r>
          </w:p>
        </w:tc>
        <w:tc>
          <w:tcPr>
            <w:tcW w:w="471" w:type="pct"/>
            <w:tcBorders>
              <w:top w:val="single" w:sz="4" w:space="0" w:color="auto"/>
              <w:left w:val="single" w:sz="4" w:space="0" w:color="auto"/>
              <w:bottom w:val="single" w:sz="4" w:space="0" w:color="auto"/>
              <w:right w:val="single" w:sz="4" w:space="0" w:color="auto"/>
            </w:tcBorders>
            <w:vAlign w:val="center"/>
          </w:tcPr>
          <w:p w14:paraId="58336573" w14:textId="77777777" w:rsidR="00122B38" w:rsidRPr="00F04A75" w:rsidRDefault="00122B38" w:rsidP="00122B38">
            <w:pPr>
              <w:keepNext/>
              <w:jc w:val="center"/>
              <w:rPr>
                <w:rFonts w:ascii="Arial Narrow" w:eastAsia="TimesNewRoman" w:hAnsi="Arial Narrow" w:cs="Times New Roman"/>
                <w:b/>
                <w:color w:val="000000"/>
                <w:sz w:val="20"/>
                <w:szCs w:val="20"/>
              </w:rPr>
            </w:pPr>
            <w:r w:rsidRPr="00F04A75">
              <w:rPr>
                <w:rFonts w:ascii="Arial Narrow" w:hAnsi="Arial Narrow"/>
                <w:sz w:val="20"/>
                <w:szCs w:val="20"/>
              </w:rPr>
              <w:t>159 (48.9%)</w:t>
            </w:r>
          </w:p>
        </w:tc>
        <w:tc>
          <w:tcPr>
            <w:tcW w:w="551" w:type="pct"/>
            <w:tcBorders>
              <w:top w:val="single" w:sz="4" w:space="0" w:color="auto"/>
              <w:left w:val="single" w:sz="4" w:space="0" w:color="auto"/>
              <w:bottom w:val="single" w:sz="4" w:space="0" w:color="auto"/>
              <w:right w:val="single" w:sz="4" w:space="0" w:color="auto"/>
            </w:tcBorders>
            <w:vAlign w:val="center"/>
          </w:tcPr>
          <w:p w14:paraId="46C7CD6F" w14:textId="77777777" w:rsidR="00122B38" w:rsidRPr="00F04A75" w:rsidRDefault="00122B38" w:rsidP="00122B38">
            <w:pPr>
              <w:keepNext/>
              <w:jc w:val="center"/>
              <w:rPr>
                <w:rFonts w:ascii="Arial Narrow" w:eastAsia="TimesNewRoman" w:hAnsi="Arial Narrow" w:cs="Times New Roman"/>
                <w:color w:val="000000"/>
                <w:sz w:val="20"/>
                <w:szCs w:val="20"/>
              </w:rPr>
            </w:pPr>
            <w:r w:rsidRPr="00F04A75">
              <w:rPr>
                <w:rFonts w:ascii="Arial Narrow" w:hAnsi="Arial Narrow"/>
                <w:sz w:val="20"/>
                <w:szCs w:val="20"/>
              </w:rPr>
              <w:t xml:space="preserve">39.6 </w:t>
            </w:r>
            <w:r w:rsidRPr="00F04A75">
              <w:rPr>
                <w:rFonts w:ascii="Arial Narrow" w:hAnsi="Arial Narrow"/>
                <w:sz w:val="20"/>
                <w:szCs w:val="20"/>
              </w:rPr>
              <w:br/>
              <w:t>(33.3, NE)</w:t>
            </w:r>
          </w:p>
        </w:tc>
        <w:tc>
          <w:tcPr>
            <w:tcW w:w="551" w:type="pct"/>
            <w:tcBorders>
              <w:top w:val="single" w:sz="4" w:space="0" w:color="auto"/>
              <w:left w:val="single" w:sz="4" w:space="0" w:color="auto"/>
              <w:bottom w:val="single" w:sz="4" w:space="0" w:color="auto"/>
              <w:right w:val="single" w:sz="4" w:space="0" w:color="auto"/>
            </w:tcBorders>
            <w:vAlign w:val="center"/>
          </w:tcPr>
          <w:p w14:paraId="7A21014C" w14:textId="77777777" w:rsidR="00122B38" w:rsidRPr="00F04A75" w:rsidRDefault="00122B38" w:rsidP="00122B38">
            <w:pPr>
              <w:keepNext/>
              <w:jc w:val="center"/>
              <w:rPr>
                <w:rFonts w:ascii="Arial Narrow" w:eastAsia="TimesNewRoman" w:hAnsi="Arial Narrow" w:cs="Times New Roman"/>
                <w:color w:val="000000"/>
                <w:sz w:val="20"/>
                <w:szCs w:val="20"/>
              </w:rPr>
            </w:pPr>
            <w:r w:rsidRPr="00F04A75">
              <w:rPr>
                <w:rFonts w:ascii="Arial Narrow" w:eastAsia="TimesNewRoman" w:hAnsi="Arial Narrow" w:cs="Times New Roman"/>
                <w:color w:val="000000"/>
                <w:sz w:val="20"/>
                <w:szCs w:val="20"/>
              </w:rPr>
              <w:t>4.1</w:t>
            </w:r>
          </w:p>
        </w:tc>
        <w:tc>
          <w:tcPr>
            <w:tcW w:w="439" w:type="pct"/>
            <w:tcBorders>
              <w:top w:val="single" w:sz="4" w:space="0" w:color="auto"/>
              <w:left w:val="single" w:sz="4" w:space="0" w:color="auto"/>
              <w:bottom w:val="single" w:sz="4" w:space="0" w:color="auto"/>
              <w:right w:val="single" w:sz="4" w:space="0" w:color="auto"/>
            </w:tcBorders>
            <w:vAlign w:val="center"/>
          </w:tcPr>
          <w:p w14:paraId="5F3BC8FA" w14:textId="77777777" w:rsidR="00122B38" w:rsidRPr="00F04A75" w:rsidRDefault="00122B38" w:rsidP="00122B38">
            <w:pPr>
              <w:keepNext/>
              <w:jc w:val="center"/>
              <w:rPr>
                <w:rFonts w:ascii="Arial Narrow" w:eastAsia="TimesNewRoman" w:hAnsi="Arial Narrow" w:cs="Times New Roman"/>
                <w:b/>
                <w:bCs/>
                <w:color w:val="000000"/>
                <w:sz w:val="20"/>
                <w:szCs w:val="20"/>
              </w:rPr>
            </w:pPr>
            <w:r w:rsidRPr="00F04A75">
              <w:rPr>
                <w:rFonts w:ascii="Arial Narrow" w:hAnsi="Arial Narrow"/>
                <w:b/>
                <w:bCs/>
                <w:sz w:val="20"/>
                <w:szCs w:val="20"/>
              </w:rPr>
              <w:t>0.0257</w:t>
            </w:r>
          </w:p>
        </w:tc>
        <w:tc>
          <w:tcPr>
            <w:tcW w:w="551" w:type="pct"/>
            <w:tcBorders>
              <w:top w:val="single" w:sz="4" w:space="0" w:color="auto"/>
              <w:left w:val="single" w:sz="4" w:space="0" w:color="auto"/>
              <w:bottom w:val="single" w:sz="4" w:space="0" w:color="auto"/>
              <w:right w:val="single" w:sz="4" w:space="0" w:color="auto"/>
            </w:tcBorders>
            <w:vAlign w:val="center"/>
          </w:tcPr>
          <w:p w14:paraId="139A0F24" w14:textId="77777777" w:rsidR="00122B38" w:rsidRPr="00F04A75" w:rsidRDefault="00122B38" w:rsidP="00122B38">
            <w:pPr>
              <w:keepNext/>
              <w:jc w:val="center"/>
              <w:rPr>
                <w:rFonts w:ascii="Arial Narrow" w:hAnsi="Arial Narrow"/>
                <w:b/>
                <w:bCs/>
                <w:sz w:val="20"/>
                <w:szCs w:val="20"/>
              </w:rPr>
            </w:pPr>
            <w:r w:rsidRPr="00F04A75">
              <w:rPr>
                <w:rFonts w:ascii="Arial Narrow" w:hAnsi="Arial Narrow"/>
                <w:b/>
                <w:bCs/>
                <w:sz w:val="20"/>
                <w:szCs w:val="20"/>
              </w:rPr>
              <w:t xml:space="preserve">0.77 </w:t>
            </w:r>
          </w:p>
          <w:p w14:paraId="18439645" w14:textId="77777777" w:rsidR="00122B38" w:rsidRPr="00F04A75" w:rsidRDefault="00122B38" w:rsidP="00122B38">
            <w:pPr>
              <w:keepNext/>
              <w:jc w:val="center"/>
              <w:rPr>
                <w:rFonts w:ascii="Arial Narrow" w:eastAsia="TimesNewRoman" w:hAnsi="Arial Narrow" w:cs="Times New Roman"/>
                <w:b/>
                <w:bCs/>
                <w:color w:val="000000"/>
                <w:sz w:val="20"/>
                <w:szCs w:val="20"/>
              </w:rPr>
            </w:pPr>
            <w:r w:rsidRPr="00F04A75">
              <w:rPr>
                <w:rFonts w:ascii="Arial Narrow" w:hAnsi="Arial Narrow"/>
                <w:b/>
                <w:bCs/>
                <w:sz w:val="20"/>
                <w:szCs w:val="20"/>
              </w:rPr>
              <w:t>(0.61, 0.97)</w:t>
            </w:r>
          </w:p>
        </w:tc>
      </w:tr>
      <w:tr w:rsidR="00131B83" w:rsidRPr="00F04A75" w14:paraId="479C3E42" w14:textId="77777777" w:rsidTr="00131B83">
        <w:trPr>
          <w:trHeight w:val="85"/>
        </w:trPr>
        <w:tc>
          <w:tcPr>
            <w:tcW w:w="784" w:type="pct"/>
            <w:tcBorders>
              <w:top w:val="single" w:sz="4" w:space="0" w:color="auto"/>
              <w:left w:val="single" w:sz="4" w:space="0" w:color="auto"/>
              <w:bottom w:val="single" w:sz="4" w:space="0" w:color="auto"/>
              <w:right w:val="single" w:sz="4" w:space="0" w:color="auto"/>
            </w:tcBorders>
            <w:vAlign w:val="center"/>
          </w:tcPr>
          <w:p w14:paraId="3F2C1BBB" w14:textId="77777777" w:rsidR="00122B38" w:rsidRPr="00F04A75" w:rsidRDefault="00122B38" w:rsidP="00122B38">
            <w:pPr>
              <w:jc w:val="left"/>
              <w:rPr>
                <w:rFonts w:ascii="Arial Narrow" w:eastAsia="TimesNewRoman" w:hAnsi="Arial Narrow" w:cs="Times New Roman"/>
                <w:b/>
                <w:color w:val="000000"/>
                <w:sz w:val="20"/>
                <w:szCs w:val="20"/>
              </w:rPr>
            </w:pPr>
            <w:r w:rsidRPr="00F04A75">
              <w:rPr>
                <w:rFonts w:ascii="Arial Narrow" w:hAnsi="Arial Narrow"/>
                <w:sz w:val="20"/>
                <w:szCs w:val="20"/>
              </w:rPr>
              <w:t xml:space="preserve">3 Oct 2018  </w:t>
            </w:r>
          </w:p>
        </w:tc>
        <w:tc>
          <w:tcPr>
            <w:tcW w:w="629" w:type="pct"/>
            <w:tcBorders>
              <w:top w:val="single" w:sz="4" w:space="0" w:color="auto"/>
              <w:left w:val="single" w:sz="4" w:space="0" w:color="auto"/>
              <w:bottom w:val="single" w:sz="4" w:space="0" w:color="auto"/>
              <w:right w:val="single" w:sz="4" w:space="0" w:color="auto"/>
            </w:tcBorders>
            <w:vAlign w:val="center"/>
          </w:tcPr>
          <w:p w14:paraId="1A30B25F" w14:textId="77777777" w:rsidR="00122B38" w:rsidRPr="00F04A75" w:rsidRDefault="00122B38" w:rsidP="000A397E">
            <w:pPr>
              <w:jc w:val="center"/>
              <w:rPr>
                <w:rFonts w:ascii="Arial Narrow" w:hAnsi="Arial Narrow"/>
                <w:sz w:val="20"/>
                <w:szCs w:val="20"/>
              </w:rPr>
            </w:pPr>
            <w:r w:rsidRPr="00F04A75">
              <w:rPr>
                <w:rFonts w:ascii="Arial Narrow" w:hAnsi="Arial Narrow"/>
                <w:sz w:val="20"/>
                <w:szCs w:val="20"/>
              </w:rPr>
              <w:t>70.</w:t>
            </w:r>
            <w:r w:rsidR="00CE05FD" w:rsidRPr="00F04A75">
              <w:rPr>
                <w:rFonts w:ascii="Arial Narrow" w:hAnsi="Arial Narrow"/>
                <w:sz w:val="20"/>
                <w:szCs w:val="20"/>
              </w:rPr>
              <w:t>6</w:t>
            </w:r>
          </w:p>
        </w:tc>
        <w:tc>
          <w:tcPr>
            <w:tcW w:w="472" w:type="pct"/>
            <w:tcBorders>
              <w:top w:val="single" w:sz="4" w:space="0" w:color="auto"/>
              <w:left w:val="single" w:sz="4" w:space="0" w:color="auto"/>
              <w:bottom w:val="single" w:sz="4" w:space="0" w:color="auto"/>
              <w:right w:val="single" w:sz="4" w:space="0" w:color="auto"/>
            </w:tcBorders>
            <w:vAlign w:val="center"/>
          </w:tcPr>
          <w:p w14:paraId="5937AD65" w14:textId="77777777" w:rsidR="00122B38" w:rsidRPr="00F04A75" w:rsidRDefault="00122B38" w:rsidP="00122B38">
            <w:pPr>
              <w:jc w:val="center"/>
              <w:rPr>
                <w:rFonts w:ascii="Arial Narrow" w:eastAsia="TimesNewRoman" w:hAnsi="Arial Narrow" w:cs="Times New Roman"/>
                <w:b/>
                <w:color w:val="000000"/>
                <w:sz w:val="20"/>
                <w:szCs w:val="20"/>
              </w:rPr>
            </w:pPr>
            <w:r w:rsidRPr="00F04A75">
              <w:rPr>
                <w:rFonts w:ascii="Arial Narrow" w:hAnsi="Arial Narrow"/>
                <w:sz w:val="20"/>
                <w:szCs w:val="20"/>
              </w:rPr>
              <w:t>212 (66.0%)</w:t>
            </w:r>
          </w:p>
        </w:tc>
        <w:tc>
          <w:tcPr>
            <w:tcW w:w="552" w:type="pct"/>
            <w:tcBorders>
              <w:top w:val="single" w:sz="4" w:space="0" w:color="auto"/>
              <w:left w:val="single" w:sz="4" w:space="0" w:color="auto"/>
              <w:bottom w:val="single" w:sz="4" w:space="0" w:color="auto"/>
              <w:right w:val="single" w:sz="4" w:space="0" w:color="auto"/>
            </w:tcBorders>
            <w:vAlign w:val="center"/>
          </w:tcPr>
          <w:p w14:paraId="4803CF16" w14:textId="77777777" w:rsidR="00122B38" w:rsidRPr="00F04A75" w:rsidRDefault="00122B38" w:rsidP="00122B38">
            <w:pPr>
              <w:jc w:val="center"/>
              <w:rPr>
                <w:rFonts w:ascii="Arial Narrow" w:eastAsia="TimesNewRoman" w:hAnsi="Arial Narrow" w:cs="Times New Roman"/>
                <w:b/>
                <w:color w:val="000000"/>
                <w:sz w:val="20"/>
                <w:szCs w:val="20"/>
              </w:rPr>
            </w:pPr>
            <w:r w:rsidRPr="00F04A75">
              <w:rPr>
                <w:rFonts w:ascii="Arial Narrow" w:hAnsi="Arial Narrow"/>
                <w:sz w:val="20"/>
                <w:szCs w:val="20"/>
              </w:rPr>
              <w:t xml:space="preserve">48.3 </w:t>
            </w:r>
            <w:r w:rsidRPr="00F04A75">
              <w:rPr>
                <w:rFonts w:ascii="Arial Narrow" w:hAnsi="Arial Narrow"/>
                <w:sz w:val="20"/>
                <w:szCs w:val="20"/>
              </w:rPr>
              <w:br/>
              <w:t>(40.3, 51.9)</w:t>
            </w:r>
          </w:p>
        </w:tc>
        <w:tc>
          <w:tcPr>
            <w:tcW w:w="471" w:type="pct"/>
            <w:tcBorders>
              <w:top w:val="single" w:sz="4" w:space="0" w:color="auto"/>
              <w:left w:val="single" w:sz="4" w:space="0" w:color="auto"/>
              <w:bottom w:val="single" w:sz="4" w:space="0" w:color="auto"/>
              <w:right w:val="single" w:sz="4" w:space="0" w:color="auto"/>
            </w:tcBorders>
            <w:vAlign w:val="center"/>
          </w:tcPr>
          <w:p w14:paraId="552C5F33" w14:textId="77777777" w:rsidR="00122B38" w:rsidRPr="00F04A75" w:rsidRDefault="00122B38" w:rsidP="00122B38">
            <w:pPr>
              <w:jc w:val="center"/>
              <w:rPr>
                <w:rFonts w:ascii="Arial Narrow" w:eastAsia="TimesNewRoman" w:hAnsi="Arial Narrow" w:cs="Times New Roman"/>
                <w:b/>
                <w:color w:val="000000"/>
                <w:sz w:val="20"/>
                <w:szCs w:val="20"/>
              </w:rPr>
            </w:pPr>
            <w:r w:rsidRPr="00F04A75">
              <w:rPr>
                <w:rFonts w:ascii="Arial Narrow" w:hAnsi="Arial Narrow"/>
                <w:sz w:val="20"/>
                <w:szCs w:val="20"/>
              </w:rPr>
              <w:t>225 (69.2%)</w:t>
            </w:r>
          </w:p>
        </w:tc>
        <w:tc>
          <w:tcPr>
            <w:tcW w:w="551" w:type="pct"/>
            <w:tcBorders>
              <w:top w:val="single" w:sz="4" w:space="0" w:color="auto"/>
              <w:left w:val="single" w:sz="4" w:space="0" w:color="auto"/>
              <w:bottom w:val="single" w:sz="4" w:space="0" w:color="auto"/>
              <w:right w:val="single" w:sz="4" w:space="0" w:color="auto"/>
            </w:tcBorders>
            <w:vAlign w:val="center"/>
          </w:tcPr>
          <w:p w14:paraId="224D0A0F" w14:textId="77777777" w:rsidR="00122B38" w:rsidRPr="00F04A75" w:rsidRDefault="00122B38" w:rsidP="00122B38">
            <w:pPr>
              <w:jc w:val="center"/>
              <w:rPr>
                <w:rFonts w:ascii="Arial Narrow" w:eastAsia="TimesNewRoman" w:hAnsi="Arial Narrow" w:cs="Times New Roman"/>
                <w:color w:val="000000"/>
                <w:sz w:val="20"/>
                <w:szCs w:val="20"/>
              </w:rPr>
            </w:pPr>
            <w:r w:rsidRPr="00F04A75">
              <w:rPr>
                <w:rFonts w:ascii="Arial Narrow" w:hAnsi="Arial Narrow"/>
                <w:sz w:val="20"/>
                <w:szCs w:val="20"/>
              </w:rPr>
              <w:t xml:space="preserve">39.6 </w:t>
            </w:r>
            <w:r w:rsidRPr="00F04A75">
              <w:rPr>
                <w:rFonts w:ascii="Arial Narrow" w:hAnsi="Arial Narrow"/>
                <w:sz w:val="20"/>
                <w:szCs w:val="20"/>
              </w:rPr>
              <w:br/>
              <w:t>(33.3, 45.3)</w:t>
            </w:r>
          </w:p>
        </w:tc>
        <w:tc>
          <w:tcPr>
            <w:tcW w:w="551" w:type="pct"/>
            <w:tcBorders>
              <w:top w:val="single" w:sz="4" w:space="0" w:color="auto"/>
              <w:left w:val="single" w:sz="4" w:space="0" w:color="auto"/>
              <w:bottom w:val="single" w:sz="4" w:space="0" w:color="auto"/>
              <w:right w:val="single" w:sz="4" w:space="0" w:color="auto"/>
            </w:tcBorders>
            <w:vAlign w:val="center"/>
          </w:tcPr>
          <w:p w14:paraId="0087B5D3" w14:textId="77777777" w:rsidR="00122B38" w:rsidRPr="00F04A75" w:rsidRDefault="00122B38" w:rsidP="00122B38">
            <w:pPr>
              <w:jc w:val="center"/>
              <w:rPr>
                <w:rFonts w:ascii="Arial Narrow" w:eastAsia="TimesNewRoman" w:hAnsi="Arial Narrow" w:cs="Times New Roman"/>
                <w:color w:val="000000"/>
                <w:sz w:val="20"/>
                <w:szCs w:val="20"/>
              </w:rPr>
            </w:pPr>
            <w:r w:rsidRPr="00F04A75">
              <w:rPr>
                <w:rFonts w:ascii="Arial Narrow" w:eastAsia="TimesNewRoman" w:hAnsi="Arial Narrow" w:cs="Times New Roman"/>
                <w:color w:val="000000"/>
                <w:sz w:val="20"/>
                <w:szCs w:val="20"/>
              </w:rPr>
              <w:t>8.7</w:t>
            </w:r>
          </w:p>
        </w:tc>
        <w:tc>
          <w:tcPr>
            <w:tcW w:w="439" w:type="pct"/>
            <w:tcBorders>
              <w:top w:val="single" w:sz="4" w:space="0" w:color="auto"/>
              <w:left w:val="single" w:sz="4" w:space="0" w:color="auto"/>
              <w:bottom w:val="single" w:sz="4" w:space="0" w:color="auto"/>
              <w:right w:val="single" w:sz="4" w:space="0" w:color="auto"/>
            </w:tcBorders>
            <w:vAlign w:val="center"/>
          </w:tcPr>
          <w:p w14:paraId="715700FE" w14:textId="77777777" w:rsidR="00122B38" w:rsidRPr="00F04A75" w:rsidRDefault="00122B38" w:rsidP="00122B38">
            <w:pPr>
              <w:jc w:val="center"/>
              <w:rPr>
                <w:rFonts w:ascii="Arial Narrow" w:eastAsia="TimesNewRoman" w:hAnsi="Arial Narrow" w:cs="Times New Roman"/>
                <w:b/>
                <w:bCs/>
                <w:color w:val="000000"/>
                <w:sz w:val="20"/>
                <w:szCs w:val="20"/>
              </w:rPr>
            </w:pPr>
            <w:r w:rsidRPr="00F04A75">
              <w:rPr>
                <w:rFonts w:ascii="Arial Narrow" w:hAnsi="Arial Narrow"/>
                <w:b/>
                <w:bCs/>
                <w:sz w:val="20"/>
                <w:szCs w:val="20"/>
              </w:rPr>
              <w:t>0.0408</w:t>
            </w:r>
          </w:p>
        </w:tc>
        <w:tc>
          <w:tcPr>
            <w:tcW w:w="551" w:type="pct"/>
            <w:tcBorders>
              <w:top w:val="single" w:sz="4" w:space="0" w:color="auto"/>
              <w:left w:val="single" w:sz="4" w:space="0" w:color="auto"/>
              <w:bottom w:val="single" w:sz="4" w:space="0" w:color="auto"/>
              <w:right w:val="single" w:sz="4" w:space="0" w:color="auto"/>
            </w:tcBorders>
            <w:vAlign w:val="center"/>
          </w:tcPr>
          <w:p w14:paraId="31CE09F6" w14:textId="77777777" w:rsidR="00122B38" w:rsidRPr="00F04A75" w:rsidRDefault="00122B38" w:rsidP="00122B38">
            <w:pPr>
              <w:jc w:val="center"/>
              <w:rPr>
                <w:rFonts w:ascii="Arial Narrow" w:hAnsi="Arial Narrow"/>
                <w:b/>
                <w:bCs/>
                <w:sz w:val="20"/>
                <w:szCs w:val="20"/>
              </w:rPr>
            </w:pPr>
            <w:r w:rsidRPr="00F04A75">
              <w:rPr>
                <w:rFonts w:ascii="Arial Narrow" w:hAnsi="Arial Narrow"/>
                <w:b/>
                <w:bCs/>
                <w:sz w:val="20"/>
                <w:szCs w:val="20"/>
              </w:rPr>
              <w:t xml:space="preserve">0.82 </w:t>
            </w:r>
          </w:p>
          <w:p w14:paraId="4860E0C8" w14:textId="77777777" w:rsidR="00122B38" w:rsidRPr="00F04A75" w:rsidRDefault="00122B38" w:rsidP="00122B38">
            <w:pPr>
              <w:jc w:val="center"/>
              <w:rPr>
                <w:rFonts w:ascii="Arial Narrow" w:eastAsia="TimesNewRoman" w:hAnsi="Arial Narrow" w:cs="Times New Roman"/>
                <w:b/>
                <w:bCs/>
                <w:color w:val="000000"/>
                <w:sz w:val="20"/>
                <w:szCs w:val="20"/>
              </w:rPr>
            </w:pPr>
            <w:r w:rsidRPr="00F04A75">
              <w:rPr>
                <w:rFonts w:ascii="Arial Narrow" w:hAnsi="Arial Narrow"/>
                <w:b/>
                <w:bCs/>
                <w:sz w:val="20"/>
                <w:szCs w:val="20"/>
              </w:rPr>
              <w:t>(0.68, 0.99)</w:t>
            </w:r>
          </w:p>
        </w:tc>
      </w:tr>
    </w:tbl>
    <w:p w14:paraId="500D4F81" w14:textId="77777777" w:rsidR="00F97782" w:rsidRPr="00F04A75" w:rsidRDefault="00F97782" w:rsidP="0016658B">
      <w:pPr>
        <w:pStyle w:val="TableFigureFooter"/>
      </w:pPr>
      <w:r w:rsidRPr="00F04A75">
        <w:t>Source: Table 2.5.6, p63 of the resubmission.</w:t>
      </w:r>
    </w:p>
    <w:p w14:paraId="29AFE66D" w14:textId="5F8B89FB" w:rsidR="00F97782" w:rsidRPr="00F04A75" w:rsidRDefault="00F97782" w:rsidP="0016658B">
      <w:pPr>
        <w:pStyle w:val="TableFigureFooter"/>
      </w:pPr>
      <w:r w:rsidRPr="00F04A75">
        <w:t xml:space="preserve">CI = confidence interval; </w:t>
      </w:r>
      <w:proofErr w:type="spellStart"/>
      <w:r w:rsidRPr="00F04A75">
        <w:t>ELd</w:t>
      </w:r>
      <w:proofErr w:type="spellEnd"/>
      <w:r w:rsidRPr="00F04A75">
        <w:t xml:space="preserve"> = </w:t>
      </w:r>
      <w:proofErr w:type="spellStart"/>
      <w:r w:rsidRPr="00F04A75">
        <w:t>elotuzumab</w:t>
      </w:r>
      <w:proofErr w:type="spellEnd"/>
      <w:r w:rsidR="002A1FAD" w:rsidRPr="00F04A75">
        <w:t xml:space="preserve">, </w:t>
      </w:r>
      <w:r w:rsidRPr="00F04A75">
        <w:t xml:space="preserve">lenalidomide </w:t>
      </w:r>
      <w:r w:rsidR="002A1FAD" w:rsidRPr="00F04A75">
        <w:t>and</w:t>
      </w:r>
      <w:r w:rsidRPr="00F04A75">
        <w:t xml:space="preserve"> dexamethasone; IRC = </w:t>
      </w:r>
      <w:r w:rsidR="002A1FAD" w:rsidRPr="00F04A75">
        <w:t>i</w:t>
      </w:r>
      <w:r w:rsidRPr="00F04A75">
        <w:t xml:space="preserve">ndependent review committee; ITT = intention to treat; </w:t>
      </w:r>
      <w:proofErr w:type="spellStart"/>
      <w:r w:rsidR="002A1FAD" w:rsidRPr="00F04A75">
        <w:t>Ld</w:t>
      </w:r>
      <w:proofErr w:type="spellEnd"/>
      <w:r w:rsidR="002A1FAD" w:rsidRPr="00F04A75">
        <w:t xml:space="preserve"> = lenalidomide and dexamethasone; NE = not estimable; </w:t>
      </w:r>
      <w:r w:rsidRPr="00F04A75">
        <w:t>OS = overall survival; PFS = progression free survival</w:t>
      </w:r>
    </w:p>
    <w:p w14:paraId="5C279FEA" w14:textId="77777777" w:rsidR="00F97782" w:rsidRPr="00F04A75" w:rsidRDefault="00F97782" w:rsidP="0016658B">
      <w:pPr>
        <w:pStyle w:val="TableFigureFooter"/>
      </w:pPr>
      <w:r w:rsidRPr="00F04A75">
        <w:t>Note: ELOQUENT-2 median follow for PFS: 24.5 months (data cut 29 Oct 2014); 46.8 months (data cut 3 Oct 2018); OS: 38.7 months (data cut 29 Oct 2015); 70.</w:t>
      </w:r>
      <w:r w:rsidR="00CE05FD" w:rsidRPr="00F04A75">
        <w:t>6</w:t>
      </w:r>
      <w:r w:rsidRPr="00F04A75">
        <w:t xml:space="preserve"> months (data cut 3 Oct 2018).</w:t>
      </w:r>
    </w:p>
    <w:p w14:paraId="772EB650" w14:textId="77777777" w:rsidR="00FD0877" w:rsidRPr="00F04A75" w:rsidRDefault="00F97782" w:rsidP="00FD0877">
      <w:pPr>
        <w:pStyle w:val="TableFigureFooter"/>
      </w:pPr>
      <w:r w:rsidRPr="00F04A75">
        <w:rPr>
          <w:b/>
          <w:bCs/>
        </w:rPr>
        <w:lastRenderedPageBreak/>
        <w:t>Bold</w:t>
      </w:r>
      <w:r w:rsidRPr="00F04A75">
        <w:t xml:space="preserve"> = statistically significant</w:t>
      </w:r>
    </w:p>
    <w:p w14:paraId="561500E4" w14:textId="77777777" w:rsidR="00FD0877" w:rsidRPr="00F04A75" w:rsidRDefault="00FD0877" w:rsidP="0016658B">
      <w:pPr>
        <w:pStyle w:val="TableFigureFooter"/>
      </w:pPr>
    </w:p>
    <w:p w14:paraId="7D5D7E9C" w14:textId="77777777" w:rsidR="00F97782" w:rsidRPr="00F04A75" w:rsidRDefault="00F97782" w:rsidP="002A1FAD">
      <w:pPr>
        <w:pStyle w:val="3-BodyText"/>
        <w:keepNext/>
        <w:numPr>
          <w:ilvl w:val="0"/>
          <w:numId w:val="0"/>
        </w:numPr>
        <w:ind w:left="720" w:hanging="720"/>
        <w:rPr>
          <w:rFonts w:cstheme="minorHAnsi"/>
          <w:color w:val="000000" w:themeColor="text1"/>
          <w:u w:val="single"/>
        </w:rPr>
      </w:pPr>
      <w:proofErr w:type="spellStart"/>
      <w:r w:rsidRPr="00F04A75">
        <w:rPr>
          <w:rFonts w:cstheme="minorHAnsi"/>
          <w:color w:val="000000" w:themeColor="text1"/>
          <w:u w:val="single"/>
        </w:rPr>
        <w:t>PBd</w:t>
      </w:r>
      <w:proofErr w:type="spellEnd"/>
      <w:r w:rsidRPr="00F04A75">
        <w:rPr>
          <w:rFonts w:cstheme="minorHAnsi"/>
          <w:color w:val="000000" w:themeColor="text1"/>
          <w:u w:val="single"/>
        </w:rPr>
        <w:t xml:space="preserve"> vs Bd (OPTIMISMM trial)</w:t>
      </w:r>
    </w:p>
    <w:p w14:paraId="06CF3291" w14:textId="5856A3EA" w:rsidR="00F97782" w:rsidRPr="00F04A75" w:rsidRDefault="00F97782" w:rsidP="002A1FAD">
      <w:pPr>
        <w:pStyle w:val="3-BodyText"/>
        <w:keepNext/>
        <w:rPr>
          <w:rStyle w:val="CommentReference"/>
          <w:rFonts w:asciiTheme="minorHAnsi" w:hAnsiTheme="minorHAnsi"/>
          <w:b w:val="0"/>
          <w:color w:val="000000" w:themeColor="text1"/>
          <w:sz w:val="24"/>
          <w:szCs w:val="24"/>
        </w:rPr>
      </w:pPr>
      <w:r w:rsidRPr="00F04A75">
        <w:rPr>
          <w:snapToGrid/>
          <w:color w:val="000000" w:themeColor="text1"/>
        </w:rPr>
        <w:t xml:space="preserve">The summary of survival outcomes in OPTIMISMM </w:t>
      </w:r>
      <w:r w:rsidRPr="00F04A75">
        <w:rPr>
          <w:rFonts w:cstheme="minorHAnsi"/>
          <w:snapToGrid/>
          <w:color w:val="000000" w:themeColor="text1"/>
        </w:rPr>
        <w:t xml:space="preserve">are presented in </w:t>
      </w:r>
      <w:r w:rsidR="00235C08" w:rsidRPr="00F04A75">
        <w:rPr>
          <w:rFonts w:cstheme="minorHAnsi"/>
          <w:snapToGrid/>
          <w:color w:val="000000" w:themeColor="text1"/>
        </w:rPr>
        <w:t xml:space="preserve">Table </w:t>
      </w:r>
      <w:r w:rsidR="00C8791A">
        <w:rPr>
          <w:rFonts w:cstheme="minorHAnsi"/>
          <w:snapToGrid/>
          <w:color w:val="000000" w:themeColor="text1"/>
        </w:rPr>
        <w:t>11</w:t>
      </w:r>
      <w:r w:rsidRPr="00F04A75">
        <w:rPr>
          <w:rFonts w:cstheme="minorHAnsi"/>
          <w:snapToGrid/>
          <w:color w:val="000000" w:themeColor="text1"/>
        </w:rPr>
        <w:t xml:space="preserve">. </w:t>
      </w:r>
      <w:r w:rsidR="00A31D4F" w:rsidRPr="00F04A75">
        <w:rPr>
          <w:rFonts w:cstheme="minorHAnsi"/>
          <w:snapToGrid/>
          <w:color w:val="000000" w:themeColor="text1"/>
        </w:rPr>
        <w:t>P</w:t>
      </w:r>
      <w:r w:rsidRPr="00F04A75">
        <w:rPr>
          <w:snapToGrid/>
          <w:color w:val="000000" w:themeColor="text1"/>
        </w:rPr>
        <w:t xml:space="preserve">atients in the </w:t>
      </w:r>
      <w:proofErr w:type="spellStart"/>
      <w:r w:rsidRPr="00F04A75">
        <w:rPr>
          <w:snapToGrid/>
          <w:color w:val="000000" w:themeColor="text1"/>
        </w:rPr>
        <w:t>PBd</w:t>
      </w:r>
      <w:proofErr w:type="spellEnd"/>
      <w:r w:rsidRPr="00F04A75">
        <w:rPr>
          <w:snapToGrid/>
          <w:color w:val="000000" w:themeColor="text1"/>
        </w:rPr>
        <w:t xml:space="preserve"> arm had statistically significantly longer PFS compared to Bd. </w:t>
      </w:r>
      <w:r w:rsidRPr="00F04A75">
        <w:rPr>
          <w:rFonts w:cstheme="minorHAnsi"/>
        </w:rPr>
        <w:t xml:space="preserve">The resubmission indicated that the updated </w:t>
      </w:r>
      <w:r w:rsidR="004D5B81" w:rsidRPr="00F04A75">
        <w:rPr>
          <w:rFonts w:cstheme="minorHAnsi"/>
        </w:rPr>
        <w:t xml:space="preserve">data </w:t>
      </w:r>
      <w:r w:rsidRPr="00F04A75">
        <w:rPr>
          <w:rFonts w:cstheme="minorHAnsi"/>
        </w:rPr>
        <w:t>suggest</w:t>
      </w:r>
      <w:r w:rsidR="00A31D4F" w:rsidRPr="00F04A75">
        <w:rPr>
          <w:rFonts w:cstheme="minorHAnsi"/>
        </w:rPr>
        <w:t>ed</w:t>
      </w:r>
      <w:r w:rsidRPr="00F04A75">
        <w:rPr>
          <w:rFonts w:cstheme="minorHAnsi"/>
        </w:rPr>
        <w:t xml:space="preserve"> an emerging OS benefit for patients in the </w:t>
      </w:r>
      <w:proofErr w:type="spellStart"/>
      <w:r w:rsidRPr="00F04A75">
        <w:rPr>
          <w:rFonts w:cstheme="minorHAnsi"/>
        </w:rPr>
        <w:t>PBd</w:t>
      </w:r>
      <w:proofErr w:type="spellEnd"/>
      <w:r w:rsidRPr="00F04A75">
        <w:rPr>
          <w:rFonts w:cstheme="minorHAnsi"/>
        </w:rPr>
        <w:t xml:space="preserve"> arm compared with the Bd arm. However, the results were not statistically significant</w:t>
      </w:r>
      <w:r w:rsidRPr="00F04A75">
        <w:rPr>
          <w:snapToGrid/>
          <w:color w:val="000000" w:themeColor="text1"/>
        </w:rPr>
        <w:t xml:space="preserve"> and did not change substantially between the two data-cuts</w:t>
      </w:r>
      <w:r w:rsidR="00AE50CE" w:rsidRPr="00F04A75">
        <w:rPr>
          <w:snapToGrid/>
          <w:color w:val="000000" w:themeColor="text1"/>
        </w:rPr>
        <w:t xml:space="preserve"> cuts (where the median time to follow</w:t>
      </w:r>
      <w:r w:rsidR="000A397E" w:rsidRPr="00F04A75">
        <w:rPr>
          <w:snapToGrid/>
          <w:color w:val="000000" w:themeColor="text1"/>
        </w:rPr>
        <w:t>-</w:t>
      </w:r>
      <w:r w:rsidR="00AE50CE" w:rsidRPr="00F04A75">
        <w:rPr>
          <w:snapToGrid/>
          <w:color w:val="000000" w:themeColor="text1"/>
        </w:rPr>
        <w:t xml:space="preserve">up increased from </w:t>
      </w:r>
      <w:r w:rsidR="00107933" w:rsidRPr="00F04A75">
        <w:rPr>
          <w:snapToGrid/>
          <w:color w:val="000000" w:themeColor="text1"/>
        </w:rPr>
        <w:t>15.9</w:t>
      </w:r>
      <w:r w:rsidR="00AE50CE" w:rsidRPr="00F04A75">
        <w:rPr>
          <w:snapToGrid/>
          <w:color w:val="000000" w:themeColor="text1"/>
        </w:rPr>
        <w:t xml:space="preserve"> to </w:t>
      </w:r>
      <w:r w:rsidR="00107933" w:rsidRPr="00F04A75">
        <w:rPr>
          <w:snapToGrid/>
          <w:color w:val="000000" w:themeColor="text1"/>
        </w:rPr>
        <w:t>26.2</w:t>
      </w:r>
      <w:r w:rsidR="00AE50CE" w:rsidRPr="00F04A75">
        <w:rPr>
          <w:snapToGrid/>
          <w:color w:val="000000" w:themeColor="text1"/>
        </w:rPr>
        <w:t xml:space="preserve"> months</w:t>
      </w:r>
      <w:r w:rsidR="000A397E" w:rsidRPr="00F04A75">
        <w:rPr>
          <w:snapToGrid/>
          <w:color w:val="000000" w:themeColor="text1"/>
        </w:rPr>
        <w:t>,</w:t>
      </w:r>
      <w:r w:rsidR="00AE50CE" w:rsidRPr="00F04A75">
        <w:rPr>
          <w:snapToGrid/>
          <w:color w:val="000000" w:themeColor="text1"/>
        </w:rPr>
        <w:t xml:space="preserve"> respectively)</w:t>
      </w:r>
      <w:r w:rsidR="00131B83" w:rsidRPr="00F04A75">
        <w:rPr>
          <w:snapToGrid/>
          <w:color w:val="000000" w:themeColor="text1"/>
        </w:rPr>
        <w:t>.</w:t>
      </w:r>
      <w:r w:rsidRPr="00F04A75">
        <w:rPr>
          <w:rStyle w:val="CommentReference"/>
          <w:color w:val="000000" w:themeColor="text1"/>
        </w:rPr>
        <w:t xml:space="preserve"> </w:t>
      </w:r>
    </w:p>
    <w:p w14:paraId="55D39CF2" w14:textId="66D628FA" w:rsidR="00F97782" w:rsidRPr="00F04A75" w:rsidRDefault="00F97782" w:rsidP="0016658B">
      <w:pPr>
        <w:pStyle w:val="Caption"/>
        <w:keepNext/>
        <w:spacing w:after="0"/>
        <w:jc w:val="left"/>
        <w:rPr>
          <w:rStyle w:val="CommentReference"/>
          <w:b/>
          <w:szCs w:val="20"/>
        </w:rPr>
      </w:pPr>
      <w:r w:rsidRPr="00F04A75">
        <w:rPr>
          <w:rFonts w:ascii="Arial Narrow" w:hAnsi="Arial Narrow"/>
          <w:color w:val="auto"/>
          <w:sz w:val="20"/>
          <w:szCs w:val="20"/>
        </w:rPr>
        <w:t>Table</w:t>
      </w:r>
      <w:r w:rsidR="001E17F4" w:rsidRPr="00F04A75">
        <w:rPr>
          <w:rFonts w:ascii="Arial Narrow" w:hAnsi="Arial Narrow"/>
          <w:color w:val="auto"/>
          <w:sz w:val="20"/>
          <w:szCs w:val="20"/>
        </w:rPr>
        <w:t xml:space="preserve"> 1</w:t>
      </w:r>
      <w:r w:rsidR="00C8791A">
        <w:rPr>
          <w:rFonts w:ascii="Arial Narrow" w:hAnsi="Arial Narrow"/>
          <w:color w:val="auto"/>
          <w:sz w:val="20"/>
          <w:szCs w:val="20"/>
        </w:rPr>
        <w:t>1</w:t>
      </w:r>
      <w:r w:rsidRPr="00F04A75">
        <w:rPr>
          <w:rFonts w:ascii="Arial Narrow" w:hAnsi="Arial Narrow"/>
          <w:color w:val="auto"/>
          <w:sz w:val="20"/>
          <w:szCs w:val="20"/>
        </w:rPr>
        <w:t xml:space="preserve">: </w:t>
      </w:r>
      <w:r w:rsidRPr="00F04A75">
        <w:rPr>
          <w:rStyle w:val="CommentReference"/>
          <w:b/>
          <w:color w:val="auto"/>
          <w:szCs w:val="20"/>
        </w:rPr>
        <w:t>Results of PFS and OS in OPTIMISMM</w:t>
      </w:r>
    </w:p>
    <w:tbl>
      <w:tblPr>
        <w:tblW w:w="50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413"/>
        <w:gridCol w:w="1136"/>
        <w:gridCol w:w="851"/>
        <w:gridCol w:w="994"/>
        <w:gridCol w:w="849"/>
        <w:gridCol w:w="994"/>
        <w:gridCol w:w="994"/>
        <w:gridCol w:w="891"/>
        <w:gridCol w:w="1010"/>
      </w:tblGrid>
      <w:tr w:rsidR="00131B83" w:rsidRPr="00F04A75" w14:paraId="2646D004" w14:textId="77777777" w:rsidTr="00131B83">
        <w:trPr>
          <w:trHeight w:val="97"/>
        </w:trPr>
        <w:tc>
          <w:tcPr>
            <w:tcW w:w="774" w:type="pct"/>
            <w:vMerge w:val="restart"/>
            <w:tcBorders>
              <w:top w:val="single" w:sz="4" w:space="0" w:color="auto"/>
              <w:left w:val="single" w:sz="4" w:space="0" w:color="auto"/>
              <w:right w:val="single" w:sz="4" w:space="0" w:color="auto"/>
            </w:tcBorders>
            <w:vAlign w:val="center"/>
          </w:tcPr>
          <w:p w14:paraId="3238D990" w14:textId="77777777" w:rsidR="008169DA" w:rsidRPr="00F04A75" w:rsidRDefault="008169DA" w:rsidP="00131B83">
            <w:pPr>
              <w:keepNext/>
              <w:jc w:val="center"/>
              <w:rPr>
                <w:rFonts w:ascii="Arial Narrow" w:eastAsia="TimesNewRoman" w:hAnsi="Arial Narrow" w:cs="Times New Roman"/>
                <w:color w:val="000000"/>
                <w:sz w:val="20"/>
                <w:szCs w:val="20"/>
              </w:rPr>
            </w:pPr>
          </w:p>
        </w:tc>
        <w:tc>
          <w:tcPr>
            <w:tcW w:w="622" w:type="pct"/>
            <w:vMerge w:val="restart"/>
            <w:tcBorders>
              <w:top w:val="single" w:sz="4" w:space="0" w:color="auto"/>
              <w:left w:val="single" w:sz="4" w:space="0" w:color="auto"/>
              <w:right w:val="single" w:sz="4" w:space="0" w:color="auto"/>
            </w:tcBorders>
            <w:vAlign w:val="center"/>
          </w:tcPr>
          <w:p w14:paraId="49FF477F" w14:textId="77777777" w:rsidR="008169DA" w:rsidRPr="00F04A75" w:rsidRDefault="008169DA" w:rsidP="00131B83">
            <w:pPr>
              <w:keepNext/>
              <w:jc w:val="center"/>
              <w:rPr>
                <w:rFonts w:ascii="Arial Narrow" w:eastAsia="TimesNewRoman" w:hAnsi="Arial Narrow" w:cs="Times New Roman"/>
                <w:color w:val="000000"/>
                <w:sz w:val="20"/>
                <w:szCs w:val="20"/>
              </w:rPr>
            </w:pPr>
            <w:r w:rsidRPr="00F04A75">
              <w:rPr>
                <w:rFonts w:ascii="Arial Narrow" w:eastAsia="TimesNewRoman" w:hAnsi="Arial Narrow" w:cs="Times New Roman"/>
                <w:b/>
                <w:color w:val="000000"/>
                <w:sz w:val="20"/>
                <w:szCs w:val="20"/>
              </w:rPr>
              <w:t>Median time to follow-up (months)</w:t>
            </w:r>
          </w:p>
        </w:tc>
        <w:tc>
          <w:tcPr>
            <w:tcW w:w="1010" w:type="pct"/>
            <w:gridSpan w:val="2"/>
            <w:tcBorders>
              <w:top w:val="single" w:sz="4" w:space="0" w:color="auto"/>
              <w:left w:val="single" w:sz="4" w:space="0" w:color="auto"/>
              <w:bottom w:val="single" w:sz="4" w:space="0" w:color="auto"/>
              <w:right w:val="single" w:sz="4" w:space="0" w:color="auto"/>
            </w:tcBorders>
            <w:vAlign w:val="center"/>
          </w:tcPr>
          <w:p w14:paraId="6166B956" w14:textId="77777777" w:rsidR="008169DA" w:rsidRPr="00F04A75" w:rsidRDefault="008169DA" w:rsidP="00131B83">
            <w:pPr>
              <w:spacing w:before="20" w:after="20"/>
              <w:jc w:val="center"/>
              <w:rPr>
                <w:rFonts w:ascii="Arial Narrow" w:eastAsia="TimesNewRoman" w:hAnsi="Arial Narrow" w:cs="Times New Roman"/>
                <w:color w:val="000000"/>
                <w:sz w:val="20"/>
                <w:szCs w:val="20"/>
              </w:rPr>
            </w:pPr>
            <w:proofErr w:type="spellStart"/>
            <w:r w:rsidRPr="00F04A75">
              <w:rPr>
                <w:rFonts w:ascii="Arial Narrow" w:eastAsia="TimesNewRoman" w:hAnsi="Arial Narrow" w:cs="Times New Roman"/>
                <w:b/>
                <w:color w:val="000000"/>
                <w:sz w:val="20"/>
                <w:szCs w:val="20"/>
              </w:rPr>
              <w:t>PBd</w:t>
            </w:r>
            <w:proofErr w:type="spellEnd"/>
            <w:r w:rsidRPr="00F04A75">
              <w:rPr>
                <w:rFonts w:ascii="Arial Narrow" w:eastAsia="TimesNewRoman" w:hAnsi="Arial Narrow" w:cs="Times New Roman"/>
                <w:b/>
                <w:color w:val="000000"/>
                <w:sz w:val="20"/>
                <w:szCs w:val="20"/>
              </w:rPr>
              <w:t xml:space="preserve"> (N=281)</w:t>
            </w:r>
          </w:p>
        </w:tc>
        <w:tc>
          <w:tcPr>
            <w:tcW w:w="1009" w:type="pct"/>
            <w:gridSpan w:val="2"/>
            <w:tcBorders>
              <w:top w:val="single" w:sz="4" w:space="0" w:color="auto"/>
              <w:left w:val="single" w:sz="4" w:space="0" w:color="auto"/>
              <w:bottom w:val="single" w:sz="4" w:space="0" w:color="auto"/>
              <w:right w:val="single" w:sz="4" w:space="0" w:color="auto"/>
            </w:tcBorders>
            <w:vAlign w:val="center"/>
          </w:tcPr>
          <w:p w14:paraId="3CE10F27" w14:textId="77777777" w:rsidR="008169DA" w:rsidRPr="00F04A75" w:rsidRDefault="008169DA" w:rsidP="00131B83">
            <w:pPr>
              <w:spacing w:before="20" w:after="20"/>
              <w:jc w:val="center"/>
              <w:rPr>
                <w:rFonts w:ascii="Arial Narrow" w:eastAsia="TimesNewRoman" w:hAnsi="Arial Narrow" w:cs="Times New Roman"/>
                <w:color w:val="000000"/>
                <w:sz w:val="20"/>
                <w:szCs w:val="20"/>
              </w:rPr>
            </w:pPr>
            <w:r w:rsidRPr="00F04A75">
              <w:rPr>
                <w:rFonts w:ascii="Arial Narrow" w:eastAsia="TimesNewRoman" w:hAnsi="Arial Narrow" w:cs="Times New Roman"/>
                <w:b/>
                <w:color w:val="000000"/>
                <w:sz w:val="20"/>
                <w:szCs w:val="20"/>
              </w:rPr>
              <w:t>Bd (N=278)</w:t>
            </w:r>
          </w:p>
        </w:tc>
        <w:tc>
          <w:tcPr>
            <w:tcW w:w="544" w:type="pct"/>
            <w:vMerge w:val="restart"/>
            <w:tcBorders>
              <w:top w:val="single" w:sz="4" w:space="0" w:color="auto"/>
              <w:left w:val="single" w:sz="4" w:space="0" w:color="auto"/>
              <w:right w:val="single" w:sz="4" w:space="0" w:color="auto"/>
            </w:tcBorders>
            <w:vAlign w:val="center"/>
          </w:tcPr>
          <w:p w14:paraId="210F2F20" w14:textId="77777777" w:rsidR="008169DA" w:rsidRPr="00F04A75" w:rsidRDefault="008169DA" w:rsidP="00131B83">
            <w:pPr>
              <w:keepNext/>
              <w:jc w:val="center"/>
              <w:rPr>
                <w:rFonts w:ascii="Arial Narrow" w:eastAsia="TimesNewRoman" w:hAnsi="Arial Narrow" w:cs="Times New Roman"/>
                <w:color w:val="000000"/>
                <w:sz w:val="20"/>
                <w:szCs w:val="20"/>
              </w:rPr>
            </w:pPr>
            <w:r w:rsidRPr="00F04A75">
              <w:rPr>
                <w:rFonts w:ascii="Arial Narrow" w:eastAsia="TimesNewRoman" w:hAnsi="Arial Narrow" w:cs="Times New Roman"/>
                <w:b/>
                <w:color w:val="000000"/>
                <w:sz w:val="20"/>
                <w:szCs w:val="20"/>
              </w:rPr>
              <w:t>Difference in median, months</w:t>
            </w:r>
          </w:p>
        </w:tc>
        <w:tc>
          <w:tcPr>
            <w:tcW w:w="488" w:type="pct"/>
            <w:vMerge w:val="restart"/>
            <w:tcBorders>
              <w:top w:val="single" w:sz="4" w:space="0" w:color="auto"/>
              <w:left w:val="single" w:sz="4" w:space="0" w:color="auto"/>
              <w:right w:val="single" w:sz="4" w:space="0" w:color="auto"/>
            </w:tcBorders>
            <w:vAlign w:val="center"/>
          </w:tcPr>
          <w:p w14:paraId="5E8F9DF0" w14:textId="77777777" w:rsidR="008169DA" w:rsidRPr="00F04A75" w:rsidRDefault="008169DA" w:rsidP="00131B83">
            <w:pPr>
              <w:keepNext/>
              <w:jc w:val="center"/>
              <w:rPr>
                <w:rFonts w:ascii="Arial Narrow" w:eastAsia="TimesNewRoman" w:hAnsi="Arial Narrow" w:cs="Times New Roman"/>
                <w:b/>
                <w:color w:val="000000"/>
                <w:sz w:val="20"/>
                <w:szCs w:val="20"/>
              </w:rPr>
            </w:pPr>
            <w:r w:rsidRPr="00F04A75">
              <w:rPr>
                <w:rFonts w:ascii="Arial Narrow" w:eastAsia="TimesNewRoman" w:hAnsi="Arial Narrow" w:cs="Times New Roman"/>
                <w:b/>
                <w:color w:val="000000"/>
                <w:sz w:val="20"/>
                <w:szCs w:val="20"/>
              </w:rPr>
              <w:t>P value (log rank test)</w:t>
            </w:r>
          </w:p>
        </w:tc>
        <w:tc>
          <w:tcPr>
            <w:tcW w:w="554" w:type="pct"/>
            <w:vMerge w:val="restart"/>
            <w:tcBorders>
              <w:top w:val="single" w:sz="4" w:space="0" w:color="auto"/>
              <w:left w:val="single" w:sz="4" w:space="0" w:color="auto"/>
              <w:right w:val="single" w:sz="4" w:space="0" w:color="auto"/>
            </w:tcBorders>
            <w:vAlign w:val="center"/>
          </w:tcPr>
          <w:p w14:paraId="46AAECAF" w14:textId="77777777" w:rsidR="008169DA" w:rsidRPr="00F04A75" w:rsidRDefault="008169DA" w:rsidP="00131B83">
            <w:pPr>
              <w:keepNext/>
              <w:jc w:val="center"/>
              <w:rPr>
                <w:rFonts w:ascii="Arial Narrow" w:eastAsia="TimesNewRoman" w:hAnsi="Arial Narrow" w:cs="Times New Roman"/>
                <w:b/>
                <w:bCs/>
                <w:color w:val="000000"/>
                <w:sz w:val="20"/>
                <w:szCs w:val="20"/>
              </w:rPr>
            </w:pPr>
            <w:r w:rsidRPr="00F04A75">
              <w:rPr>
                <w:rFonts w:ascii="Arial Narrow" w:hAnsi="Arial Narrow"/>
                <w:b/>
                <w:bCs/>
                <w:sz w:val="20"/>
                <w:szCs w:val="20"/>
              </w:rPr>
              <w:t>Hazard ratio</w:t>
            </w:r>
            <w:r w:rsidRPr="00F04A75">
              <w:rPr>
                <w:rFonts w:ascii="Arial Narrow" w:eastAsia="TimesNewRoman" w:hAnsi="Arial Narrow" w:cs="Times New Roman"/>
                <w:color w:val="000000"/>
                <w:sz w:val="20"/>
                <w:szCs w:val="20"/>
                <w:vertAlign w:val="superscript"/>
              </w:rPr>
              <w:t xml:space="preserve"> </w:t>
            </w:r>
            <w:r w:rsidRPr="00F04A75">
              <w:rPr>
                <w:rFonts w:ascii="Arial Narrow" w:eastAsia="TimesNewRoman" w:hAnsi="Arial Narrow" w:cs="Times New Roman"/>
                <w:b/>
                <w:color w:val="000000"/>
                <w:sz w:val="20"/>
                <w:szCs w:val="20"/>
              </w:rPr>
              <w:br/>
              <w:t>(95% CI)</w:t>
            </w:r>
          </w:p>
        </w:tc>
      </w:tr>
      <w:tr w:rsidR="00131B83" w:rsidRPr="00F04A75" w14:paraId="3C19A6C0" w14:textId="77777777" w:rsidTr="00131B83">
        <w:trPr>
          <w:trHeight w:val="97"/>
        </w:trPr>
        <w:tc>
          <w:tcPr>
            <w:tcW w:w="774" w:type="pct"/>
            <w:vMerge/>
            <w:tcBorders>
              <w:left w:val="single" w:sz="4" w:space="0" w:color="auto"/>
              <w:bottom w:val="single" w:sz="4" w:space="0" w:color="auto"/>
              <w:right w:val="single" w:sz="4" w:space="0" w:color="auto"/>
            </w:tcBorders>
            <w:vAlign w:val="center"/>
          </w:tcPr>
          <w:p w14:paraId="05A6E626" w14:textId="77777777" w:rsidR="008169DA" w:rsidRPr="00F04A75" w:rsidRDefault="008169DA" w:rsidP="008169DA">
            <w:pPr>
              <w:keepNext/>
              <w:jc w:val="left"/>
              <w:rPr>
                <w:rFonts w:ascii="Arial Narrow" w:eastAsia="TimesNewRoman" w:hAnsi="Arial Narrow" w:cs="Times New Roman"/>
                <w:b/>
                <w:color w:val="000000"/>
                <w:sz w:val="20"/>
                <w:szCs w:val="20"/>
              </w:rPr>
            </w:pPr>
          </w:p>
        </w:tc>
        <w:tc>
          <w:tcPr>
            <w:tcW w:w="622" w:type="pct"/>
            <w:vMerge/>
            <w:tcBorders>
              <w:left w:val="single" w:sz="4" w:space="0" w:color="auto"/>
              <w:bottom w:val="single" w:sz="4" w:space="0" w:color="auto"/>
              <w:right w:val="single" w:sz="4" w:space="0" w:color="auto"/>
            </w:tcBorders>
          </w:tcPr>
          <w:p w14:paraId="6ED7F839" w14:textId="77777777" w:rsidR="008169DA" w:rsidRPr="00F04A75" w:rsidRDefault="008169DA" w:rsidP="008169DA">
            <w:pPr>
              <w:keepNext/>
              <w:jc w:val="center"/>
              <w:rPr>
                <w:rFonts w:ascii="Arial Narrow" w:eastAsia="TimesNewRoman" w:hAnsi="Arial Narrow" w:cs="Times New Roman"/>
                <w:color w:val="000000"/>
                <w:sz w:val="20"/>
                <w:szCs w:val="20"/>
              </w:rPr>
            </w:pPr>
          </w:p>
        </w:tc>
        <w:tc>
          <w:tcPr>
            <w:tcW w:w="466" w:type="pct"/>
            <w:tcBorders>
              <w:top w:val="single" w:sz="4" w:space="0" w:color="auto"/>
              <w:left w:val="single" w:sz="4" w:space="0" w:color="auto"/>
              <w:bottom w:val="single" w:sz="4" w:space="0" w:color="auto"/>
              <w:right w:val="single" w:sz="4" w:space="0" w:color="auto"/>
            </w:tcBorders>
            <w:vAlign w:val="center"/>
          </w:tcPr>
          <w:p w14:paraId="6E5A9A4A" w14:textId="77777777" w:rsidR="008169DA" w:rsidRPr="00F04A75" w:rsidRDefault="008169DA" w:rsidP="00131B83">
            <w:pPr>
              <w:keepNext/>
              <w:jc w:val="center"/>
              <w:rPr>
                <w:rFonts w:ascii="Arial Narrow" w:eastAsia="TimesNewRoman" w:hAnsi="Arial Narrow" w:cs="Times New Roman"/>
                <w:color w:val="000000"/>
                <w:sz w:val="20"/>
                <w:szCs w:val="20"/>
              </w:rPr>
            </w:pPr>
            <w:r w:rsidRPr="00F04A75">
              <w:rPr>
                <w:rFonts w:ascii="Arial Narrow" w:eastAsia="TimesNewRoman" w:hAnsi="Arial Narrow" w:cs="Times New Roman"/>
                <w:b/>
                <w:color w:val="000000"/>
                <w:sz w:val="20"/>
                <w:szCs w:val="20"/>
              </w:rPr>
              <w:t xml:space="preserve">Patients with events, </w:t>
            </w:r>
            <w:r w:rsidR="00131B83" w:rsidRPr="00F04A75">
              <w:rPr>
                <w:rFonts w:ascii="Arial Narrow" w:eastAsia="TimesNewRoman" w:hAnsi="Arial Narrow" w:cs="Times New Roman"/>
                <w:b/>
                <w:color w:val="000000"/>
                <w:sz w:val="20"/>
                <w:szCs w:val="20"/>
              </w:rPr>
              <w:br/>
            </w:r>
            <w:r w:rsidRPr="00F04A75">
              <w:rPr>
                <w:rFonts w:ascii="Arial Narrow" w:eastAsia="TimesNewRoman" w:hAnsi="Arial Narrow" w:cs="Times New Roman"/>
                <w:b/>
                <w:color w:val="000000"/>
                <w:sz w:val="20"/>
                <w:szCs w:val="20"/>
              </w:rPr>
              <w:t>n (%)</w:t>
            </w:r>
          </w:p>
        </w:tc>
        <w:tc>
          <w:tcPr>
            <w:tcW w:w="544" w:type="pct"/>
            <w:tcBorders>
              <w:top w:val="single" w:sz="4" w:space="0" w:color="auto"/>
              <w:left w:val="single" w:sz="4" w:space="0" w:color="auto"/>
              <w:bottom w:val="single" w:sz="4" w:space="0" w:color="auto"/>
              <w:right w:val="single" w:sz="4" w:space="0" w:color="auto"/>
            </w:tcBorders>
            <w:vAlign w:val="center"/>
          </w:tcPr>
          <w:p w14:paraId="24DE0531" w14:textId="77777777" w:rsidR="008169DA" w:rsidRPr="00F04A75" w:rsidRDefault="008169DA" w:rsidP="00131B83">
            <w:pPr>
              <w:spacing w:before="20" w:after="20"/>
              <w:jc w:val="center"/>
              <w:rPr>
                <w:rFonts w:ascii="Arial Narrow" w:eastAsia="TimesNewRoman" w:hAnsi="Arial Narrow" w:cs="Times New Roman"/>
                <w:color w:val="000000"/>
                <w:sz w:val="20"/>
                <w:szCs w:val="20"/>
              </w:rPr>
            </w:pPr>
            <w:r w:rsidRPr="00F04A75">
              <w:rPr>
                <w:rFonts w:ascii="Arial Narrow" w:eastAsia="TimesNewRoman" w:hAnsi="Arial Narrow" w:cs="Times New Roman"/>
                <w:b/>
                <w:color w:val="000000"/>
                <w:sz w:val="20"/>
                <w:szCs w:val="20"/>
              </w:rPr>
              <w:t>Median, months</w:t>
            </w:r>
            <w:r w:rsidRPr="00F04A75">
              <w:rPr>
                <w:rFonts w:ascii="Arial Narrow" w:eastAsia="TimesNewRoman" w:hAnsi="Arial Narrow" w:cs="Times New Roman"/>
                <w:b/>
                <w:color w:val="000000"/>
                <w:sz w:val="20"/>
                <w:szCs w:val="20"/>
              </w:rPr>
              <w:br/>
              <w:t>(95% CI)</w:t>
            </w:r>
          </w:p>
        </w:tc>
        <w:tc>
          <w:tcPr>
            <w:tcW w:w="465" w:type="pct"/>
            <w:tcBorders>
              <w:top w:val="single" w:sz="4" w:space="0" w:color="auto"/>
              <w:left w:val="single" w:sz="4" w:space="0" w:color="auto"/>
              <w:bottom w:val="single" w:sz="4" w:space="0" w:color="auto"/>
              <w:right w:val="single" w:sz="4" w:space="0" w:color="auto"/>
            </w:tcBorders>
            <w:vAlign w:val="center"/>
          </w:tcPr>
          <w:p w14:paraId="7479E976" w14:textId="77777777" w:rsidR="008169DA" w:rsidRPr="00F04A75" w:rsidRDefault="008169DA" w:rsidP="00131B83">
            <w:pPr>
              <w:keepNext/>
              <w:jc w:val="center"/>
              <w:rPr>
                <w:rFonts w:ascii="Arial Narrow" w:eastAsia="TimesNewRoman" w:hAnsi="Arial Narrow" w:cs="Times New Roman"/>
                <w:color w:val="000000"/>
                <w:sz w:val="20"/>
                <w:szCs w:val="20"/>
              </w:rPr>
            </w:pPr>
            <w:r w:rsidRPr="00F04A75">
              <w:rPr>
                <w:rFonts w:ascii="Arial Narrow" w:eastAsia="TimesNewRoman" w:hAnsi="Arial Narrow" w:cs="Times New Roman"/>
                <w:b/>
                <w:color w:val="000000"/>
                <w:sz w:val="20"/>
                <w:szCs w:val="20"/>
              </w:rPr>
              <w:t xml:space="preserve">Patients with events, </w:t>
            </w:r>
            <w:r w:rsidR="00131B83" w:rsidRPr="00F04A75">
              <w:rPr>
                <w:rFonts w:ascii="Arial Narrow" w:eastAsia="TimesNewRoman" w:hAnsi="Arial Narrow" w:cs="Times New Roman"/>
                <w:b/>
                <w:color w:val="000000"/>
                <w:sz w:val="20"/>
                <w:szCs w:val="20"/>
              </w:rPr>
              <w:br/>
            </w:r>
            <w:r w:rsidRPr="00F04A75">
              <w:rPr>
                <w:rFonts w:ascii="Arial Narrow" w:eastAsia="TimesNewRoman" w:hAnsi="Arial Narrow" w:cs="Times New Roman"/>
                <w:b/>
                <w:color w:val="000000"/>
                <w:sz w:val="20"/>
                <w:szCs w:val="20"/>
              </w:rPr>
              <w:t>n (%)</w:t>
            </w:r>
          </w:p>
        </w:tc>
        <w:tc>
          <w:tcPr>
            <w:tcW w:w="544" w:type="pct"/>
            <w:tcBorders>
              <w:top w:val="single" w:sz="4" w:space="0" w:color="auto"/>
              <w:left w:val="single" w:sz="4" w:space="0" w:color="auto"/>
              <w:bottom w:val="single" w:sz="4" w:space="0" w:color="auto"/>
              <w:right w:val="single" w:sz="4" w:space="0" w:color="auto"/>
            </w:tcBorders>
            <w:vAlign w:val="center"/>
          </w:tcPr>
          <w:p w14:paraId="03FE4AB5" w14:textId="77777777" w:rsidR="008169DA" w:rsidRPr="00F04A75" w:rsidRDefault="008169DA" w:rsidP="00131B83">
            <w:pPr>
              <w:spacing w:before="20" w:after="20"/>
              <w:jc w:val="center"/>
              <w:rPr>
                <w:rFonts w:ascii="Arial Narrow" w:eastAsia="TimesNewRoman" w:hAnsi="Arial Narrow" w:cs="Times New Roman"/>
                <w:color w:val="000000"/>
                <w:sz w:val="20"/>
                <w:szCs w:val="20"/>
              </w:rPr>
            </w:pPr>
            <w:r w:rsidRPr="00F04A75">
              <w:rPr>
                <w:rFonts w:ascii="Arial Narrow" w:eastAsia="TimesNewRoman" w:hAnsi="Arial Narrow" w:cs="Times New Roman"/>
                <w:b/>
                <w:color w:val="000000"/>
                <w:sz w:val="20"/>
                <w:szCs w:val="20"/>
              </w:rPr>
              <w:t>Median, months</w:t>
            </w:r>
            <w:r w:rsidRPr="00F04A75">
              <w:rPr>
                <w:rFonts w:ascii="Arial Narrow" w:eastAsia="TimesNewRoman" w:hAnsi="Arial Narrow" w:cs="Times New Roman"/>
                <w:b/>
                <w:color w:val="000000"/>
                <w:sz w:val="20"/>
                <w:szCs w:val="20"/>
              </w:rPr>
              <w:br/>
              <w:t>(95% CI)</w:t>
            </w:r>
          </w:p>
        </w:tc>
        <w:tc>
          <w:tcPr>
            <w:tcW w:w="544" w:type="pct"/>
            <w:vMerge/>
            <w:tcBorders>
              <w:left w:val="single" w:sz="4" w:space="0" w:color="auto"/>
              <w:bottom w:val="single" w:sz="4" w:space="0" w:color="auto"/>
              <w:right w:val="single" w:sz="4" w:space="0" w:color="auto"/>
            </w:tcBorders>
          </w:tcPr>
          <w:p w14:paraId="4D84B887" w14:textId="77777777" w:rsidR="008169DA" w:rsidRPr="00F04A75" w:rsidRDefault="008169DA" w:rsidP="008169DA">
            <w:pPr>
              <w:keepNext/>
              <w:jc w:val="center"/>
              <w:rPr>
                <w:rFonts w:ascii="Arial Narrow" w:eastAsia="TimesNewRoman" w:hAnsi="Arial Narrow" w:cs="Times New Roman"/>
                <w:color w:val="000000"/>
                <w:sz w:val="20"/>
                <w:szCs w:val="20"/>
              </w:rPr>
            </w:pPr>
          </w:p>
        </w:tc>
        <w:tc>
          <w:tcPr>
            <w:tcW w:w="488" w:type="pct"/>
            <w:vMerge/>
            <w:tcBorders>
              <w:left w:val="single" w:sz="4" w:space="0" w:color="auto"/>
              <w:bottom w:val="single" w:sz="4" w:space="0" w:color="auto"/>
              <w:right w:val="single" w:sz="4" w:space="0" w:color="auto"/>
            </w:tcBorders>
          </w:tcPr>
          <w:p w14:paraId="77A7E469" w14:textId="77777777" w:rsidR="008169DA" w:rsidRPr="00F04A75" w:rsidRDefault="008169DA" w:rsidP="008169DA">
            <w:pPr>
              <w:keepNext/>
              <w:jc w:val="center"/>
              <w:rPr>
                <w:rFonts w:ascii="Arial Narrow" w:eastAsia="TimesNewRoman" w:hAnsi="Arial Narrow" w:cs="Times New Roman"/>
                <w:b/>
                <w:color w:val="000000"/>
                <w:sz w:val="20"/>
                <w:szCs w:val="20"/>
              </w:rPr>
            </w:pPr>
          </w:p>
        </w:tc>
        <w:tc>
          <w:tcPr>
            <w:tcW w:w="554" w:type="pct"/>
            <w:vMerge/>
            <w:tcBorders>
              <w:left w:val="single" w:sz="4" w:space="0" w:color="auto"/>
              <w:bottom w:val="single" w:sz="4" w:space="0" w:color="auto"/>
              <w:right w:val="single" w:sz="4" w:space="0" w:color="auto"/>
            </w:tcBorders>
            <w:vAlign w:val="center"/>
          </w:tcPr>
          <w:p w14:paraId="7EF29A62" w14:textId="77777777" w:rsidR="008169DA" w:rsidRPr="00F04A75" w:rsidRDefault="008169DA" w:rsidP="008169DA">
            <w:pPr>
              <w:keepNext/>
              <w:jc w:val="center"/>
              <w:rPr>
                <w:rFonts w:ascii="Arial Narrow" w:eastAsia="TimesNewRoman" w:hAnsi="Arial Narrow" w:cs="Times New Roman"/>
                <w:b/>
                <w:bCs/>
                <w:color w:val="000000"/>
                <w:sz w:val="20"/>
                <w:szCs w:val="20"/>
              </w:rPr>
            </w:pPr>
          </w:p>
        </w:tc>
      </w:tr>
      <w:tr w:rsidR="008169DA" w:rsidRPr="00F04A75" w14:paraId="1F45DA46" w14:textId="77777777" w:rsidTr="008169DA">
        <w:trPr>
          <w:trHeight w:val="97"/>
        </w:trPr>
        <w:tc>
          <w:tcPr>
            <w:tcW w:w="5000" w:type="pct"/>
            <w:gridSpan w:val="9"/>
            <w:tcBorders>
              <w:top w:val="single" w:sz="4" w:space="0" w:color="auto"/>
              <w:left w:val="single" w:sz="4" w:space="0" w:color="auto"/>
              <w:bottom w:val="single" w:sz="4" w:space="0" w:color="auto"/>
              <w:right w:val="single" w:sz="4" w:space="0" w:color="auto"/>
            </w:tcBorders>
            <w:vAlign w:val="center"/>
          </w:tcPr>
          <w:p w14:paraId="3F1EE50C" w14:textId="77777777" w:rsidR="008169DA" w:rsidRPr="00F04A75" w:rsidRDefault="008169DA" w:rsidP="008169DA">
            <w:pPr>
              <w:keepNext/>
              <w:jc w:val="left"/>
              <w:rPr>
                <w:rFonts w:ascii="Arial Narrow" w:hAnsi="Arial Narrow"/>
                <w:b/>
                <w:bCs/>
                <w:sz w:val="20"/>
                <w:szCs w:val="20"/>
              </w:rPr>
            </w:pPr>
            <w:r w:rsidRPr="00F04A75">
              <w:rPr>
                <w:rFonts w:ascii="Arial Narrow" w:eastAsia="TimesNewRoman" w:hAnsi="Arial Narrow" w:cs="Times New Roman"/>
                <w:b/>
                <w:color w:val="000000"/>
                <w:sz w:val="20"/>
                <w:szCs w:val="20"/>
              </w:rPr>
              <w:t>PFS</w:t>
            </w:r>
          </w:p>
        </w:tc>
      </w:tr>
      <w:tr w:rsidR="00131B83" w:rsidRPr="00F04A75" w14:paraId="68A3E8E1" w14:textId="77777777" w:rsidTr="00DF5512">
        <w:trPr>
          <w:trHeight w:val="97"/>
        </w:trPr>
        <w:tc>
          <w:tcPr>
            <w:tcW w:w="774" w:type="pct"/>
            <w:tcBorders>
              <w:top w:val="single" w:sz="4" w:space="0" w:color="auto"/>
              <w:left w:val="single" w:sz="4" w:space="0" w:color="auto"/>
              <w:bottom w:val="single" w:sz="4" w:space="0" w:color="auto"/>
              <w:right w:val="single" w:sz="4" w:space="0" w:color="auto"/>
            </w:tcBorders>
            <w:vAlign w:val="center"/>
          </w:tcPr>
          <w:p w14:paraId="55D36BE5" w14:textId="77777777" w:rsidR="008169DA" w:rsidRPr="00F04A75" w:rsidRDefault="008169DA" w:rsidP="008169DA">
            <w:pPr>
              <w:keepNext/>
              <w:jc w:val="left"/>
              <w:rPr>
                <w:rFonts w:ascii="Arial Narrow" w:eastAsia="TimesNewRoman" w:hAnsi="Arial Narrow" w:cs="Times New Roman"/>
                <w:color w:val="000000"/>
                <w:sz w:val="20"/>
                <w:szCs w:val="20"/>
              </w:rPr>
            </w:pPr>
            <w:r w:rsidRPr="00F04A75">
              <w:rPr>
                <w:rFonts w:ascii="Arial Narrow" w:eastAsia="TimesNewRoman" w:hAnsi="Arial Narrow" w:cs="Times New Roman"/>
                <w:color w:val="000000"/>
                <w:sz w:val="20"/>
                <w:szCs w:val="20"/>
              </w:rPr>
              <w:t>26 Oct 2017</w:t>
            </w:r>
          </w:p>
        </w:tc>
        <w:tc>
          <w:tcPr>
            <w:tcW w:w="622" w:type="pct"/>
            <w:tcBorders>
              <w:top w:val="single" w:sz="4" w:space="0" w:color="auto"/>
              <w:left w:val="single" w:sz="4" w:space="0" w:color="auto"/>
              <w:bottom w:val="single" w:sz="4" w:space="0" w:color="auto"/>
              <w:right w:val="single" w:sz="4" w:space="0" w:color="auto"/>
            </w:tcBorders>
            <w:vAlign w:val="center"/>
          </w:tcPr>
          <w:p w14:paraId="2ADF2070" w14:textId="77777777" w:rsidR="008169DA" w:rsidRPr="00F04A75" w:rsidRDefault="008169DA" w:rsidP="00423876">
            <w:pPr>
              <w:keepNext/>
              <w:jc w:val="center"/>
              <w:rPr>
                <w:rFonts w:ascii="Arial Narrow" w:eastAsia="TimesNewRoman" w:hAnsi="Arial Narrow" w:cs="Times New Roman"/>
                <w:color w:val="000000"/>
                <w:sz w:val="20"/>
                <w:szCs w:val="20"/>
              </w:rPr>
            </w:pPr>
            <w:r w:rsidRPr="00F04A75">
              <w:rPr>
                <w:rFonts w:ascii="Arial Narrow" w:eastAsia="TimesNewRoman" w:hAnsi="Arial Narrow" w:cs="Times New Roman"/>
                <w:color w:val="000000"/>
                <w:sz w:val="20"/>
                <w:szCs w:val="20"/>
              </w:rPr>
              <w:t>15.9</w:t>
            </w:r>
          </w:p>
        </w:tc>
        <w:tc>
          <w:tcPr>
            <w:tcW w:w="466" w:type="pct"/>
            <w:tcBorders>
              <w:top w:val="single" w:sz="4" w:space="0" w:color="auto"/>
              <w:left w:val="single" w:sz="4" w:space="0" w:color="auto"/>
              <w:bottom w:val="single" w:sz="4" w:space="0" w:color="auto"/>
              <w:right w:val="single" w:sz="4" w:space="0" w:color="auto"/>
            </w:tcBorders>
            <w:vAlign w:val="center"/>
          </w:tcPr>
          <w:p w14:paraId="4CEC1FE9" w14:textId="77777777" w:rsidR="008169DA" w:rsidRPr="00F04A75" w:rsidRDefault="008169DA" w:rsidP="008169DA">
            <w:pPr>
              <w:keepNext/>
              <w:jc w:val="center"/>
              <w:rPr>
                <w:rFonts w:ascii="Arial Narrow" w:eastAsia="TimesNewRoman" w:hAnsi="Arial Narrow" w:cs="Times New Roman"/>
                <w:color w:val="000000"/>
                <w:sz w:val="20"/>
                <w:szCs w:val="20"/>
              </w:rPr>
            </w:pPr>
            <w:r w:rsidRPr="00F04A75">
              <w:rPr>
                <w:rFonts w:ascii="Arial Narrow" w:eastAsia="TimesNewRoman" w:hAnsi="Arial Narrow" w:cs="Times New Roman"/>
                <w:color w:val="000000"/>
                <w:sz w:val="20"/>
                <w:szCs w:val="20"/>
              </w:rPr>
              <w:t>154 (54.8%)</w:t>
            </w:r>
          </w:p>
        </w:tc>
        <w:tc>
          <w:tcPr>
            <w:tcW w:w="544" w:type="pct"/>
            <w:tcBorders>
              <w:top w:val="single" w:sz="4" w:space="0" w:color="auto"/>
              <w:left w:val="single" w:sz="4" w:space="0" w:color="auto"/>
              <w:bottom w:val="single" w:sz="4" w:space="0" w:color="auto"/>
              <w:right w:val="single" w:sz="4" w:space="0" w:color="auto"/>
            </w:tcBorders>
            <w:vAlign w:val="center"/>
          </w:tcPr>
          <w:p w14:paraId="19910277" w14:textId="77777777" w:rsidR="008169DA" w:rsidRPr="00F04A75" w:rsidRDefault="008169DA" w:rsidP="008169DA">
            <w:pPr>
              <w:spacing w:before="20" w:after="20"/>
              <w:jc w:val="center"/>
              <w:rPr>
                <w:rFonts w:ascii="Arial Narrow" w:eastAsia="TimesNewRoman" w:hAnsi="Arial Narrow" w:cs="Times New Roman"/>
                <w:color w:val="000000"/>
                <w:sz w:val="20"/>
                <w:szCs w:val="20"/>
              </w:rPr>
            </w:pPr>
            <w:r w:rsidRPr="00F04A75">
              <w:rPr>
                <w:rFonts w:ascii="Arial Narrow" w:eastAsia="TimesNewRoman" w:hAnsi="Arial Narrow" w:cs="Times New Roman"/>
                <w:color w:val="000000"/>
                <w:sz w:val="20"/>
                <w:szCs w:val="20"/>
              </w:rPr>
              <w:t xml:space="preserve">11.2 </w:t>
            </w:r>
          </w:p>
          <w:p w14:paraId="6B185A62" w14:textId="77777777" w:rsidR="008169DA" w:rsidRPr="00F04A75" w:rsidRDefault="008169DA" w:rsidP="008169DA">
            <w:pPr>
              <w:keepNext/>
              <w:jc w:val="center"/>
              <w:rPr>
                <w:rFonts w:ascii="Arial Narrow" w:eastAsia="TimesNewRoman" w:hAnsi="Arial Narrow" w:cs="Times New Roman"/>
                <w:color w:val="000000"/>
                <w:sz w:val="20"/>
                <w:szCs w:val="20"/>
              </w:rPr>
            </w:pPr>
            <w:r w:rsidRPr="00F04A75">
              <w:rPr>
                <w:rFonts w:ascii="Arial Narrow" w:eastAsia="TimesNewRoman" w:hAnsi="Arial Narrow" w:cs="Times New Roman"/>
                <w:color w:val="000000"/>
                <w:sz w:val="20"/>
                <w:szCs w:val="20"/>
              </w:rPr>
              <w:t>(9.66,13.73)</w:t>
            </w:r>
          </w:p>
        </w:tc>
        <w:tc>
          <w:tcPr>
            <w:tcW w:w="465" w:type="pct"/>
            <w:tcBorders>
              <w:top w:val="single" w:sz="4" w:space="0" w:color="auto"/>
              <w:left w:val="single" w:sz="4" w:space="0" w:color="auto"/>
              <w:bottom w:val="single" w:sz="4" w:space="0" w:color="auto"/>
              <w:right w:val="single" w:sz="4" w:space="0" w:color="auto"/>
            </w:tcBorders>
            <w:vAlign w:val="center"/>
          </w:tcPr>
          <w:p w14:paraId="20504290" w14:textId="77777777" w:rsidR="008169DA" w:rsidRPr="00F04A75" w:rsidRDefault="008169DA" w:rsidP="008169DA">
            <w:pPr>
              <w:keepNext/>
              <w:jc w:val="center"/>
              <w:rPr>
                <w:rFonts w:ascii="Arial Narrow" w:eastAsia="TimesNewRoman" w:hAnsi="Arial Narrow" w:cs="Times New Roman"/>
                <w:color w:val="000000"/>
                <w:sz w:val="20"/>
                <w:szCs w:val="20"/>
              </w:rPr>
            </w:pPr>
            <w:r w:rsidRPr="00F04A75">
              <w:rPr>
                <w:rFonts w:ascii="Arial Narrow" w:eastAsia="TimesNewRoman" w:hAnsi="Arial Narrow" w:cs="Times New Roman"/>
                <w:color w:val="000000"/>
                <w:sz w:val="20"/>
                <w:szCs w:val="20"/>
              </w:rPr>
              <w:t xml:space="preserve">162 </w:t>
            </w:r>
            <w:r w:rsidR="00131B83" w:rsidRPr="00F04A75">
              <w:rPr>
                <w:rFonts w:ascii="Arial Narrow" w:eastAsia="TimesNewRoman" w:hAnsi="Arial Narrow" w:cs="Times New Roman"/>
                <w:color w:val="000000"/>
                <w:sz w:val="20"/>
                <w:szCs w:val="20"/>
              </w:rPr>
              <w:br/>
            </w:r>
            <w:r w:rsidRPr="00F04A75">
              <w:rPr>
                <w:rFonts w:ascii="Arial Narrow" w:eastAsia="TimesNewRoman" w:hAnsi="Arial Narrow" w:cs="Times New Roman"/>
                <w:color w:val="000000"/>
                <w:sz w:val="20"/>
                <w:szCs w:val="20"/>
              </w:rPr>
              <w:t>(58.3</w:t>
            </w:r>
            <w:r w:rsidR="00131B83" w:rsidRPr="00F04A75">
              <w:rPr>
                <w:rFonts w:ascii="Arial Narrow" w:eastAsia="TimesNewRoman" w:hAnsi="Arial Narrow" w:cs="Times New Roman"/>
                <w:color w:val="000000"/>
                <w:sz w:val="20"/>
                <w:szCs w:val="20"/>
              </w:rPr>
              <w:t>%</w:t>
            </w:r>
            <w:r w:rsidRPr="00F04A75">
              <w:rPr>
                <w:rFonts w:ascii="Arial Narrow" w:eastAsia="TimesNewRoman" w:hAnsi="Arial Narrow" w:cs="Times New Roman"/>
                <w:color w:val="000000"/>
                <w:sz w:val="20"/>
                <w:szCs w:val="20"/>
              </w:rPr>
              <w:t>)</w:t>
            </w:r>
          </w:p>
        </w:tc>
        <w:tc>
          <w:tcPr>
            <w:tcW w:w="544" w:type="pct"/>
            <w:tcBorders>
              <w:top w:val="single" w:sz="4" w:space="0" w:color="auto"/>
              <w:left w:val="single" w:sz="4" w:space="0" w:color="auto"/>
              <w:bottom w:val="single" w:sz="4" w:space="0" w:color="auto"/>
              <w:right w:val="single" w:sz="4" w:space="0" w:color="auto"/>
            </w:tcBorders>
            <w:vAlign w:val="center"/>
          </w:tcPr>
          <w:p w14:paraId="42164396" w14:textId="77777777" w:rsidR="008169DA" w:rsidRPr="00F04A75" w:rsidRDefault="008169DA" w:rsidP="008169DA">
            <w:pPr>
              <w:spacing w:before="20" w:after="20"/>
              <w:jc w:val="center"/>
              <w:rPr>
                <w:rFonts w:ascii="Arial Narrow" w:eastAsia="TimesNewRoman" w:hAnsi="Arial Narrow" w:cs="Times New Roman"/>
                <w:color w:val="000000"/>
                <w:sz w:val="20"/>
                <w:szCs w:val="20"/>
              </w:rPr>
            </w:pPr>
            <w:r w:rsidRPr="00F04A75">
              <w:rPr>
                <w:rFonts w:ascii="Arial Narrow" w:eastAsia="TimesNewRoman" w:hAnsi="Arial Narrow" w:cs="Times New Roman"/>
                <w:color w:val="000000"/>
                <w:sz w:val="20"/>
                <w:szCs w:val="20"/>
              </w:rPr>
              <w:t xml:space="preserve">7.1 </w:t>
            </w:r>
          </w:p>
          <w:p w14:paraId="6B2BB0F3" w14:textId="77777777" w:rsidR="008169DA" w:rsidRPr="00F04A75" w:rsidRDefault="008169DA" w:rsidP="008169DA">
            <w:pPr>
              <w:keepNext/>
              <w:jc w:val="center"/>
              <w:rPr>
                <w:rFonts w:ascii="Arial Narrow" w:eastAsia="TimesNewRoman" w:hAnsi="Arial Narrow" w:cs="Times New Roman"/>
                <w:color w:val="000000"/>
                <w:sz w:val="20"/>
                <w:szCs w:val="20"/>
              </w:rPr>
            </w:pPr>
            <w:r w:rsidRPr="00F04A75">
              <w:rPr>
                <w:rFonts w:ascii="Arial Narrow" w:eastAsia="TimesNewRoman" w:hAnsi="Arial Narrow" w:cs="Times New Roman"/>
                <w:color w:val="000000"/>
                <w:sz w:val="20"/>
                <w:szCs w:val="20"/>
              </w:rPr>
              <w:t>(5.88, 8.48</w:t>
            </w:r>
            <w:r w:rsidR="00131B83" w:rsidRPr="00F04A75">
              <w:rPr>
                <w:rFonts w:ascii="Arial Narrow" w:eastAsia="TimesNewRoman" w:hAnsi="Arial Narrow" w:cs="Times New Roman"/>
                <w:color w:val="000000"/>
                <w:sz w:val="20"/>
                <w:szCs w:val="20"/>
              </w:rPr>
              <w:t>)</w:t>
            </w:r>
          </w:p>
        </w:tc>
        <w:tc>
          <w:tcPr>
            <w:tcW w:w="544" w:type="pct"/>
            <w:tcBorders>
              <w:top w:val="single" w:sz="4" w:space="0" w:color="auto"/>
              <w:left w:val="single" w:sz="4" w:space="0" w:color="auto"/>
              <w:bottom w:val="single" w:sz="4" w:space="0" w:color="auto"/>
              <w:right w:val="single" w:sz="4" w:space="0" w:color="auto"/>
            </w:tcBorders>
            <w:vAlign w:val="center"/>
          </w:tcPr>
          <w:p w14:paraId="063043DB" w14:textId="77777777" w:rsidR="008169DA" w:rsidRPr="00F04A75" w:rsidRDefault="008169DA" w:rsidP="00DF5512">
            <w:pPr>
              <w:keepNext/>
              <w:jc w:val="center"/>
              <w:rPr>
                <w:rFonts w:ascii="Arial Narrow" w:eastAsia="TimesNewRoman" w:hAnsi="Arial Narrow" w:cs="Times New Roman"/>
                <w:color w:val="000000"/>
                <w:sz w:val="20"/>
                <w:szCs w:val="20"/>
              </w:rPr>
            </w:pPr>
            <w:r w:rsidRPr="00F04A75">
              <w:rPr>
                <w:rFonts w:ascii="Arial Narrow" w:eastAsia="TimesNewRoman" w:hAnsi="Arial Narrow" w:cs="Times New Roman"/>
                <w:color w:val="000000"/>
                <w:sz w:val="20"/>
                <w:szCs w:val="20"/>
              </w:rPr>
              <w:t>4.1</w:t>
            </w:r>
          </w:p>
        </w:tc>
        <w:tc>
          <w:tcPr>
            <w:tcW w:w="488" w:type="pct"/>
            <w:tcBorders>
              <w:top w:val="single" w:sz="4" w:space="0" w:color="auto"/>
              <w:left w:val="single" w:sz="4" w:space="0" w:color="auto"/>
              <w:bottom w:val="single" w:sz="4" w:space="0" w:color="auto"/>
              <w:right w:val="single" w:sz="4" w:space="0" w:color="auto"/>
            </w:tcBorders>
            <w:vAlign w:val="center"/>
          </w:tcPr>
          <w:p w14:paraId="04A7D97E" w14:textId="77777777" w:rsidR="008169DA" w:rsidRPr="00F04A75" w:rsidRDefault="008169DA" w:rsidP="00DF5512">
            <w:pPr>
              <w:keepNext/>
              <w:jc w:val="center"/>
              <w:rPr>
                <w:rFonts w:ascii="Arial Narrow" w:eastAsia="TimesNewRoman" w:hAnsi="Arial Narrow" w:cs="Times New Roman"/>
                <w:b/>
                <w:bCs/>
                <w:color w:val="000000"/>
                <w:sz w:val="20"/>
                <w:szCs w:val="20"/>
              </w:rPr>
            </w:pPr>
            <w:r w:rsidRPr="00F04A75">
              <w:rPr>
                <w:rFonts w:ascii="Arial Narrow" w:eastAsia="TimesNewRoman" w:hAnsi="Arial Narrow" w:cs="Times New Roman"/>
                <w:b/>
                <w:color w:val="000000"/>
                <w:sz w:val="20"/>
                <w:szCs w:val="20"/>
              </w:rPr>
              <w:t>&lt;0.0001</w:t>
            </w:r>
          </w:p>
        </w:tc>
        <w:tc>
          <w:tcPr>
            <w:tcW w:w="554" w:type="pct"/>
            <w:tcBorders>
              <w:top w:val="single" w:sz="4" w:space="0" w:color="auto"/>
              <w:left w:val="single" w:sz="4" w:space="0" w:color="auto"/>
              <w:bottom w:val="single" w:sz="4" w:space="0" w:color="auto"/>
              <w:right w:val="single" w:sz="4" w:space="0" w:color="auto"/>
            </w:tcBorders>
          </w:tcPr>
          <w:p w14:paraId="364F5B57" w14:textId="77777777" w:rsidR="008169DA" w:rsidRPr="00F04A75" w:rsidRDefault="008169DA" w:rsidP="008169DA">
            <w:pPr>
              <w:keepNext/>
              <w:jc w:val="center"/>
              <w:rPr>
                <w:rFonts w:ascii="Arial Narrow" w:eastAsia="TimesNewRoman" w:hAnsi="Arial Narrow" w:cs="Times New Roman"/>
                <w:b/>
                <w:bCs/>
                <w:color w:val="000000"/>
                <w:sz w:val="20"/>
                <w:szCs w:val="20"/>
              </w:rPr>
            </w:pPr>
            <w:r w:rsidRPr="00F04A75">
              <w:rPr>
                <w:rFonts w:ascii="Arial Narrow" w:eastAsia="TimesNewRoman" w:hAnsi="Arial Narrow" w:cs="Times New Roman"/>
                <w:b/>
                <w:bCs/>
                <w:color w:val="000000"/>
                <w:sz w:val="20"/>
                <w:szCs w:val="20"/>
              </w:rPr>
              <w:t xml:space="preserve">0.61 </w:t>
            </w:r>
          </w:p>
          <w:p w14:paraId="1D6FE4A9" w14:textId="77777777" w:rsidR="008169DA" w:rsidRPr="00F04A75" w:rsidRDefault="008169DA" w:rsidP="008169DA">
            <w:pPr>
              <w:keepNext/>
              <w:jc w:val="center"/>
              <w:rPr>
                <w:rFonts w:ascii="Arial Narrow" w:eastAsia="TimesNewRoman" w:hAnsi="Arial Narrow" w:cs="Times New Roman"/>
                <w:b/>
                <w:bCs/>
                <w:color w:val="000000"/>
                <w:sz w:val="20"/>
                <w:szCs w:val="20"/>
              </w:rPr>
            </w:pPr>
            <w:r w:rsidRPr="00F04A75">
              <w:rPr>
                <w:rFonts w:ascii="Arial Narrow" w:eastAsia="TimesNewRoman" w:hAnsi="Arial Narrow" w:cs="Times New Roman"/>
                <w:b/>
                <w:bCs/>
                <w:color w:val="000000"/>
                <w:sz w:val="20"/>
                <w:szCs w:val="20"/>
              </w:rPr>
              <w:t>(0.49, 0.77)</w:t>
            </w:r>
          </w:p>
        </w:tc>
      </w:tr>
      <w:tr w:rsidR="008169DA" w:rsidRPr="00F04A75" w14:paraId="2BE26285" w14:textId="77777777" w:rsidTr="008169DA">
        <w:trPr>
          <w:trHeight w:val="97"/>
        </w:trPr>
        <w:tc>
          <w:tcPr>
            <w:tcW w:w="5000" w:type="pct"/>
            <w:gridSpan w:val="9"/>
            <w:tcBorders>
              <w:top w:val="single" w:sz="4" w:space="0" w:color="auto"/>
              <w:left w:val="single" w:sz="4" w:space="0" w:color="auto"/>
              <w:bottom w:val="single" w:sz="4" w:space="0" w:color="auto"/>
              <w:right w:val="single" w:sz="4" w:space="0" w:color="auto"/>
            </w:tcBorders>
            <w:vAlign w:val="center"/>
          </w:tcPr>
          <w:p w14:paraId="7329F67F" w14:textId="77777777" w:rsidR="008169DA" w:rsidRPr="00F04A75" w:rsidRDefault="008169DA" w:rsidP="008169DA">
            <w:pPr>
              <w:keepNext/>
              <w:jc w:val="left"/>
              <w:rPr>
                <w:rFonts w:ascii="Arial Narrow" w:hAnsi="Arial Narrow" w:cstheme="minorHAnsi"/>
                <w:sz w:val="20"/>
                <w:szCs w:val="20"/>
              </w:rPr>
            </w:pPr>
            <w:r w:rsidRPr="00F04A75">
              <w:rPr>
                <w:rFonts w:ascii="Arial Narrow" w:eastAsia="TimesNewRoman" w:hAnsi="Arial Narrow" w:cs="Times New Roman"/>
                <w:b/>
                <w:bCs/>
                <w:color w:val="000000"/>
                <w:sz w:val="20"/>
                <w:szCs w:val="20"/>
              </w:rPr>
              <w:t>OS</w:t>
            </w:r>
          </w:p>
        </w:tc>
      </w:tr>
      <w:tr w:rsidR="00131B83" w:rsidRPr="00F04A75" w14:paraId="22882004" w14:textId="77777777" w:rsidTr="00617CA6">
        <w:trPr>
          <w:trHeight w:val="97"/>
        </w:trPr>
        <w:tc>
          <w:tcPr>
            <w:tcW w:w="774" w:type="pct"/>
            <w:tcBorders>
              <w:top w:val="single" w:sz="4" w:space="0" w:color="auto"/>
              <w:left w:val="single" w:sz="4" w:space="0" w:color="auto"/>
              <w:bottom w:val="single" w:sz="4" w:space="0" w:color="auto"/>
              <w:right w:val="single" w:sz="4" w:space="0" w:color="auto"/>
            </w:tcBorders>
            <w:vAlign w:val="center"/>
          </w:tcPr>
          <w:p w14:paraId="26EA4FE0" w14:textId="77777777" w:rsidR="008169DA" w:rsidRPr="00F04A75" w:rsidRDefault="008169DA" w:rsidP="008169DA">
            <w:pPr>
              <w:keepNext/>
              <w:keepLines/>
              <w:jc w:val="left"/>
              <w:rPr>
                <w:rFonts w:ascii="Arial Narrow" w:eastAsia="TimesNewRoman" w:hAnsi="Arial Narrow" w:cs="Times New Roman"/>
                <w:color w:val="000000"/>
                <w:sz w:val="20"/>
                <w:szCs w:val="20"/>
              </w:rPr>
            </w:pPr>
            <w:r w:rsidRPr="00F04A75">
              <w:rPr>
                <w:rFonts w:ascii="Arial Narrow" w:eastAsia="TimesNewRoman" w:hAnsi="Arial Narrow" w:cs="Times New Roman"/>
                <w:color w:val="000000"/>
                <w:sz w:val="20"/>
                <w:szCs w:val="20"/>
              </w:rPr>
              <w:t>26 Oct 2017</w:t>
            </w:r>
          </w:p>
        </w:tc>
        <w:tc>
          <w:tcPr>
            <w:tcW w:w="622" w:type="pct"/>
            <w:tcBorders>
              <w:top w:val="single" w:sz="4" w:space="0" w:color="auto"/>
              <w:left w:val="single" w:sz="4" w:space="0" w:color="auto"/>
              <w:bottom w:val="single" w:sz="4" w:space="0" w:color="auto"/>
              <w:right w:val="single" w:sz="4" w:space="0" w:color="auto"/>
            </w:tcBorders>
            <w:vAlign w:val="center"/>
          </w:tcPr>
          <w:p w14:paraId="060709C3" w14:textId="77777777" w:rsidR="008169DA" w:rsidRPr="00F04A75" w:rsidRDefault="008169DA" w:rsidP="00423876">
            <w:pPr>
              <w:keepNext/>
              <w:jc w:val="center"/>
              <w:rPr>
                <w:rFonts w:ascii="Arial Narrow" w:eastAsia="TimesNewRoman" w:hAnsi="Arial Narrow" w:cs="Times New Roman"/>
                <w:sz w:val="20"/>
                <w:szCs w:val="20"/>
              </w:rPr>
            </w:pPr>
            <w:r w:rsidRPr="00F04A75">
              <w:rPr>
                <w:rFonts w:ascii="Arial Narrow" w:eastAsia="TimesNewRoman" w:hAnsi="Arial Narrow" w:cs="Times New Roman"/>
                <w:color w:val="000000"/>
                <w:sz w:val="20"/>
                <w:szCs w:val="20"/>
              </w:rPr>
              <w:t>15.9</w:t>
            </w:r>
          </w:p>
        </w:tc>
        <w:tc>
          <w:tcPr>
            <w:tcW w:w="466" w:type="pct"/>
            <w:tcBorders>
              <w:top w:val="single" w:sz="4" w:space="0" w:color="auto"/>
              <w:left w:val="single" w:sz="4" w:space="0" w:color="auto"/>
              <w:bottom w:val="single" w:sz="4" w:space="0" w:color="auto"/>
              <w:right w:val="single" w:sz="4" w:space="0" w:color="auto"/>
            </w:tcBorders>
            <w:vAlign w:val="center"/>
          </w:tcPr>
          <w:p w14:paraId="570E38F5" w14:textId="77777777" w:rsidR="008169DA" w:rsidRPr="00F04A75" w:rsidRDefault="008169DA" w:rsidP="008169DA">
            <w:pPr>
              <w:keepNext/>
              <w:jc w:val="center"/>
              <w:rPr>
                <w:rFonts w:ascii="Arial Narrow" w:eastAsia="TimesNewRoman" w:hAnsi="Arial Narrow" w:cs="Times New Roman"/>
                <w:b/>
                <w:color w:val="000000"/>
                <w:sz w:val="20"/>
                <w:szCs w:val="20"/>
              </w:rPr>
            </w:pPr>
            <w:r w:rsidRPr="00F04A75">
              <w:rPr>
                <w:rFonts w:ascii="Arial Narrow" w:eastAsia="TimesNewRoman" w:hAnsi="Arial Narrow" w:cs="Times New Roman"/>
                <w:color w:val="000000"/>
                <w:sz w:val="20"/>
                <w:szCs w:val="20"/>
              </w:rPr>
              <w:t>87 (31.0</w:t>
            </w:r>
            <w:r w:rsidR="00131B83" w:rsidRPr="00F04A75">
              <w:rPr>
                <w:rFonts w:ascii="Arial Narrow" w:eastAsia="TimesNewRoman" w:hAnsi="Arial Narrow" w:cs="Times New Roman"/>
                <w:color w:val="000000"/>
                <w:sz w:val="20"/>
                <w:szCs w:val="20"/>
              </w:rPr>
              <w:t>%</w:t>
            </w:r>
            <w:r w:rsidRPr="00F04A75">
              <w:rPr>
                <w:rFonts w:ascii="Arial Narrow" w:eastAsia="TimesNewRoman" w:hAnsi="Arial Narrow" w:cs="Times New Roman"/>
                <w:color w:val="000000"/>
                <w:sz w:val="20"/>
                <w:szCs w:val="20"/>
              </w:rPr>
              <w:t>)</w:t>
            </w:r>
          </w:p>
        </w:tc>
        <w:tc>
          <w:tcPr>
            <w:tcW w:w="544" w:type="pct"/>
            <w:tcBorders>
              <w:top w:val="single" w:sz="4" w:space="0" w:color="auto"/>
              <w:left w:val="single" w:sz="4" w:space="0" w:color="auto"/>
              <w:bottom w:val="single" w:sz="4" w:space="0" w:color="auto"/>
              <w:right w:val="single" w:sz="4" w:space="0" w:color="auto"/>
            </w:tcBorders>
            <w:vAlign w:val="center"/>
          </w:tcPr>
          <w:p w14:paraId="57ABF4E8" w14:textId="77777777" w:rsidR="008169DA" w:rsidRPr="00F04A75" w:rsidRDefault="008169DA" w:rsidP="008169DA">
            <w:pPr>
              <w:spacing w:before="20" w:after="20"/>
              <w:jc w:val="center"/>
              <w:rPr>
                <w:rFonts w:ascii="Arial Narrow" w:eastAsia="TimesNewRoman" w:hAnsi="Arial Narrow" w:cs="Times New Roman"/>
                <w:color w:val="000000"/>
                <w:sz w:val="20"/>
                <w:szCs w:val="20"/>
              </w:rPr>
            </w:pPr>
            <w:r w:rsidRPr="00F04A75">
              <w:rPr>
                <w:rFonts w:ascii="Arial Narrow" w:eastAsia="TimesNewRoman" w:hAnsi="Arial Narrow" w:cs="Times New Roman"/>
                <w:color w:val="000000"/>
                <w:sz w:val="20"/>
                <w:szCs w:val="20"/>
              </w:rPr>
              <w:t>NE</w:t>
            </w:r>
          </w:p>
          <w:p w14:paraId="7ADF4351" w14:textId="77777777" w:rsidR="008169DA" w:rsidRPr="00F04A75" w:rsidRDefault="008169DA" w:rsidP="008169DA">
            <w:pPr>
              <w:keepNext/>
              <w:jc w:val="center"/>
              <w:rPr>
                <w:rFonts w:ascii="Arial Narrow" w:eastAsia="TimesNewRoman" w:hAnsi="Arial Narrow" w:cs="Times New Roman"/>
                <w:b/>
                <w:color w:val="000000"/>
                <w:sz w:val="20"/>
                <w:szCs w:val="20"/>
              </w:rPr>
            </w:pPr>
            <w:r w:rsidRPr="00F04A75">
              <w:rPr>
                <w:rFonts w:ascii="Arial Narrow" w:eastAsia="TimesNewRoman" w:hAnsi="Arial Narrow" w:cs="Times New Roman"/>
                <w:color w:val="000000"/>
                <w:sz w:val="20"/>
                <w:szCs w:val="20"/>
              </w:rPr>
              <w:t>(28.4, NE)</w:t>
            </w:r>
          </w:p>
        </w:tc>
        <w:tc>
          <w:tcPr>
            <w:tcW w:w="465" w:type="pct"/>
            <w:tcBorders>
              <w:top w:val="single" w:sz="4" w:space="0" w:color="auto"/>
              <w:left w:val="single" w:sz="4" w:space="0" w:color="auto"/>
              <w:bottom w:val="single" w:sz="4" w:space="0" w:color="auto"/>
              <w:right w:val="single" w:sz="4" w:space="0" w:color="auto"/>
            </w:tcBorders>
            <w:vAlign w:val="center"/>
          </w:tcPr>
          <w:p w14:paraId="62266EDD" w14:textId="77777777" w:rsidR="008169DA" w:rsidRPr="00F04A75" w:rsidRDefault="008169DA" w:rsidP="008169DA">
            <w:pPr>
              <w:keepNext/>
              <w:jc w:val="center"/>
              <w:rPr>
                <w:rFonts w:ascii="Arial Narrow" w:eastAsia="TimesNewRoman" w:hAnsi="Arial Narrow" w:cs="Times New Roman"/>
                <w:b/>
                <w:color w:val="000000"/>
                <w:sz w:val="20"/>
                <w:szCs w:val="20"/>
              </w:rPr>
            </w:pPr>
            <w:r w:rsidRPr="00F04A75">
              <w:rPr>
                <w:rFonts w:ascii="Arial Narrow" w:eastAsia="TimesNewRoman" w:hAnsi="Arial Narrow" w:cs="Times New Roman"/>
                <w:color w:val="000000"/>
                <w:sz w:val="20"/>
                <w:szCs w:val="20"/>
              </w:rPr>
              <w:t xml:space="preserve">89 </w:t>
            </w:r>
            <w:r w:rsidR="00131B83" w:rsidRPr="00F04A75">
              <w:rPr>
                <w:rFonts w:ascii="Arial Narrow" w:eastAsia="TimesNewRoman" w:hAnsi="Arial Narrow" w:cs="Times New Roman"/>
                <w:color w:val="000000"/>
                <w:sz w:val="20"/>
                <w:szCs w:val="20"/>
              </w:rPr>
              <w:br/>
            </w:r>
            <w:r w:rsidRPr="00F04A75">
              <w:rPr>
                <w:rFonts w:ascii="Arial Narrow" w:eastAsia="TimesNewRoman" w:hAnsi="Arial Narrow" w:cs="Times New Roman"/>
                <w:color w:val="000000"/>
                <w:sz w:val="20"/>
                <w:szCs w:val="20"/>
              </w:rPr>
              <w:t>(32.0</w:t>
            </w:r>
            <w:r w:rsidR="00131B83" w:rsidRPr="00F04A75">
              <w:rPr>
                <w:rFonts w:ascii="Arial Narrow" w:eastAsia="TimesNewRoman" w:hAnsi="Arial Narrow" w:cs="Times New Roman"/>
                <w:color w:val="000000"/>
                <w:sz w:val="20"/>
                <w:szCs w:val="20"/>
              </w:rPr>
              <w:t>%</w:t>
            </w:r>
            <w:r w:rsidRPr="00F04A75">
              <w:rPr>
                <w:rFonts w:ascii="Arial Narrow" w:eastAsia="TimesNewRoman" w:hAnsi="Arial Narrow" w:cs="Times New Roman"/>
                <w:color w:val="000000"/>
                <w:sz w:val="20"/>
                <w:szCs w:val="20"/>
              </w:rPr>
              <w:t>)</w:t>
            </w:r>
          </w:p>
        </w:tc>
        <w:tc>
          <w:tcPr>
            <w:tcW w:w="544" w:type="pct"/>
            <w:tcBorders>
              <w:top w:val="single" w:sz="4" w:space="0" w:color="auto"/>
              <w:left w:val="single" w:sz="4" w:space="0" w:color="auto"/>
              <w:bottom w:val="single" w:sz="4" w:space="0" w:color="auto"/>
              <w:right w:val="single" w:sz="4" w:space="0" w:color="auto"/>
            </w:tcBorders>
            <w:vAlign w:val="center"/>
          </w:tcPr>
          <w:p w14:paraId="7777F89C" w14:textId="77777777" w:rsidR="008169DA" w:rsidRPr="00F04A75" w:rsidRDefault="008169DA" w:rsidP="008169DA">
            <w:pPr>
              <w:keepNext/>
              <w:jc w:val="center"/>
              <w:rPr>
                <w:rFonts w:ascii="Arial Narrow" w:hAnsi="Arial Narrow" w:cstheme="minorHAnsi"/>
                <w:sz w:val="20"/>
                <w:szCs w:val="20"/>
              </w:rPr>
            </w:pPr>
            <w:r w:rsidRPr="00F04A75">
              <w:rPr>
                <w:rFonts w:ascii="Arial Narrow" w:hAnsi="Arial Narrow" w:cstheme="minorHAnsi"/>
                <w:sz w:val="20"/>
                <w:szCs w:val="20"/>
              </w:rPr>
              <w:t xml:space="preserve">31.2 </w:t>
            </w:r>
          </w:p>
          <w:p w14:paraId="50898131" w14:textId="77777777" w:rsidR="008169DA" w:rsidRPr="00F04A75" w:rsidRDefault="008169DA" w:rsidP="008169DA">
            <w:pPr>
              <w:keepNext/>
              <w:jc w:val="center"/>
              <w:rPr>
                <w:rFonts w:ascii="Arial Narrow" w:eastAsia="TimesNewRoman" w:hAnsi="Arial Narrow" w:cs="Times New Roman"/>
                <w:color w:val="000000"/>
                <w:sz w:val="20"/>
                <w:szCs w:val="20"/>
              </w:rPr>
            </w:pPr>
            <w:r w:rsidRPr="00F04A75">
              <w:rPr>
                <w:rFonts w:ascii="Arial Narrow" w:hAnsi="Arial Narrow" w:cstheme="minorHAnsi"/>
                <w:sz w:val="20"/>
                <w:szCs w:val="20"/>
              </w:rPr>
              <w:t>(27.0, NE)</w:t>
            </w:r>
          </w:p>
        </w:tc>
        <w:tc>
          <w:tcPr>
            <w:tcW w:w="544" w:type="pct"/>
            <w:tcBorders>
              <w:top w:val="single" w:sz="4" w:space="0" w:color="auto"/>
              <w:left w:val="single" w:sz="4" w:space="0" w:color="auto"/>
              <w:bottom w:val="single" w:sz="4" w:space="0" w:color="auto"/>
              <w:right w:val="single" w:sz="4" w:space="0" w:color="auto"/>
            </w:tcBorders>
            <w:vAlign w:val="center"/>
          </w:tcPr>
          <w:p w14:paraId="462E0CD7" w14:textId="77777777" w:rsidR="008169DA" w:rsidRPr="00F04A75" w:rsidRDefault="008169DA" w:rsidP="008169DA">
            <w:pPr>
              <w:keepNext/>
              <w:jc w:val="center"/>
              <w:rPr>
                <w:rFonts w:ascii="Arial Narrow" w:eastAsia="TimesNewRoman" w:hAnsi="Arial Narrow" w:cs="Times New Roman"/>
                <w:color w:val="000000"/>
                <w:sz w:val="20"/>
                <w:szCs w:val="20"/>
              </w:rPr>
            </w:pPr>
            <w:r w:rsidRPr="00F04A75">
              <w:rPr>
                <w:rFonts w:ascii="Arial Narrow" w:eastAsia="TimesNewRoman" w:hAnsi="Arial Narrow" w:cs="Times New Roman"/>
                <w:color w:val="000000"/>
                <w:sz w:val="20"/>
                <w:szCs w:val="20"/>
              </w:rPr>
              <w:t>NE</w:t>
            </w:r>
          </w:p>
        </w:tc>
        <w:tc>
          <w:tcPr>
            <w:tcW w:w="488" w:type="pct"/>
            <w:tcBorders>
              <w:top w:val="single" w:sz="4" w:space="0" w:color="auto"/>
              <w:left w:val="single" w:sz="4" w:space="0" w:color="auto"/>
              <w:bottom w:val="single" w:sz="4" w:space="0" w:color="auto"/>
              <w:right w:val="single" w:sz="4" w:space="0" w:color="auto"/>
            </w:tcBorders>
            <w:vAlign w:val="center"/>
          </w:tcPr>
          <w:p w14:paraId="6FAF7E5A" w14:textId="77777777" w:rsidR="008169DA" w:rsidRPr="00F04A75" w:rsidRDefault="008169DA" w:rsidP="008169DA">
            <w:pPr>
              <w:keepNext/>
              <w:jc w:val="center"/>
              <w:rPr>
                <w:rFonts w:ascii="Arial Narrow" w:eastAsia="TimesNewRoman" w:hAnsi="Arial Narrow" w:cs="Times New Roman"/>
                <w:color w:val="000000"/>
                <w:sz w:val="20"/>
                <w:szCs w:val="20"/>
              </w:rPr>
            </w:pPr>
            <w:r w:rsidRPr="00F04A75">
              <w:rPr>
                <w:rFonts w:ascii="Arial Narrow" w:hAnsi="Arial Narrow" w:cstheme="minorHAnsi"/>
                <w:sz w:val="20"/>
                <w:szCs w:val="20"/>
              </w:rPr>
              <w:t>0.894</w:t>
            </w:r>
          </w:p>
        </w:tc>
        <w:tc>
          <w:tcPr>
            <w:tcW w:w="554" w:type="pct"/>
            <w:tcBorders>
              <w:top w:val="single" w:sz="4" w:space="0" w:color="auto"/>
              <w:left w:val="single" w:sz="4" w:space="0" w:color="auto"/>
              <w:bottom w:val="single" w:sz="4" w:space="0" w:color="auto"/>
              <w:right w:val="single" w:sz="4" w:space="0" w:color="auto"/>
            </w:tcBorders>
            <w:vAlign w:val="center"/>
          </w:tcPr>
          <w:p w14:paraId="3A8F3244" w14:textId="77777777" w:rsidR="008169DA" w:rsidRPr="00F04A75" w:rsidRDefault="008169DA" w:rsidP="008169DA">
            <w:pPr>
              <w:keepNext/>
              <w:jc w:val="center"/>
              <w:rPr>
                <w:rFonts w:ascii="Arial Narrow" w:eastAsia="TimesNewRoman" w:hAnsi="Arial Narrow" w:cs="Times New Roman"/>
                <w:color w:val="000000"/>
                <w:sz w:val="20"/>
                <w:szCs w:val="20"/>
              </w:rPr>
            </w:pPr>
            <w:r w:rsidRPr="00F04A75">
              <w:rPr>
                <w:rFonts w:ascii="Arial Narrow" w:hAnsi="Arial Narrow" w:cstheme="minorHAnsi"/>
                <w:sz w:val="20"/>
                <w:szCs w:val="20"/>
              </w:rPr>
              <w:t xml:space="preserve">0.98 </w:t>
            </w:r>
            <w:r w:rsidRPr="00F04A75">
              <w:rPr>
                <w:rFonts w:ascii="Arial Narrow" w:hAnsi="Arial Narrow" w:cstheme="minorHAnsi"/>
                <w:sz w:val="20"/>
                <w:szCs w:val="20"/>
              </w:rPr>
              <w:br/>
              <w:t>(0.73, 1.32)</w:t>
            </w:r>
          </w:p>
        </w:tc>
      </w:tr>
      <w:tr w:rsidR="00131B83" w:rsidRPr="00F04A75" w14:paraId="47E9F7C1" w14:textId="77777777" w:rsidTr="00617CA6">
        <w:trPr>
          <w:trHeight w:val="97"/>
        </w:trPr>
        <w:tc>
          <w:tcPr>
            <w:tcW w:w="774" w:type="pct"/>
            <w:tcBorders>
              <w:top w:val="single" w:sz="4" w:space="0" w:color="auto"/>
              <w:left w:val="single" w:sz="4" w:space="0" w:color="auto"/>
              <w:bottom w:val="single" w:sz="4" w:space="0" w:color="auto"/>
              <w:right w:val="single" w:sz="4" w:space="0" w:color="auto"/>
            </w:tcBorders>
            <w:vAlign w:val="center"/>
          </w:tcPr>
          <w:p w14:paraId="5B40ED9A" w14:textId="77777777" w:rsidR="008169DA" w:rsidRPr="00F04A75" w:rsidRDefault="008169DA" w:rsidP="008169DA">
            <w:pPr>
              <w:jc w:val="left"/>
              <w:rPr>
                <w:rFonts w:ascii="Arial Narrow" w:eastAsia="TimesNewRoman" w:hAnsi="Arial Narrow" w:cs="Times New Roman"/>
                <w:bCs/>
                <w:color w:val="000000"/>
                <w:sz w:val="20"/>
                <w:szCs w:val="20"/>
              </w:rPr>
            </w:pPr>
            <w:r w:rsidRPr="00F04A75">
              <w:rPr>
                <w:rFonts w:ascii="Arial Narrow" w:hAnsi="Arial Narrow"/>
                <w:bCs/>
                <w:color w:val="000000"/>
                <w:sz w:val="20"/>
                <w:szCs w:val="20"/>
              </w:rPr>
              <w:t>15 Sep 2018</w:t>
            </w:r>
          </w:p>
        </w:tc>
        <w:tc>
          <w:tcPr>
            <w:tcW w:w="622" w:type="pct"/>
            <w:tcBorders>
              <w:top w:val="single" w:sz="4" w:space="0" w:color="auto"/>
              <w:left w:val="single" w:sz="4" w:space="0" w:color="auto"/>
              <w:bottom w:val="single" w:sz="4" w:space="0" w:color="auto"/>
              <w:right w:val="single" w:sz="4" w:space="0" w:color="auto"/>
            </w:tcBorders>
            <w:vAlign w:val="center"/>
          </w:tcPr>
          <w:p w14:paraId="64E816F8" w14:textId="77777777" w:rsidR="008169DA" w:rsidRPr="00F04A75" w:rsidRDefault="008169DA" w:rsidP="00423876">
            <w:pPr>
              <w:jc w:val="center"/>
              <w:rPr>
                <w:rFonts w:ascii="Arial Narrow" w:eastAsia="TimesNewRoman" w:hAnsi="Arial Narrow" w:cs="Times New Roman"/>
                <w:color w:val="000000"/>
                <w:sz w:val="20"/>
                <w:szCs w:val="20"/>
              </w:rPr>
            </w:pPr>
            <w:r w:rsidRPr="00F04A75">
              <w:rPr>
                <w:rFonts w:ascii="Arial Narrow" w:eastAsia="TimesNewRoman" w:hAnsi="Arial Narrow" w:cs="Times New Roman"/>
                <w:color w:val="000000"/>
                <w:sz w:val="20"/>
                <w:szCs w:val="20"/>
              </w:rPr>
              <w:t>26.2</w:t>
            </w:r>
          </w:p>
        </w:tc>
        <w:tc>
          <w:tcPr>
            <w:tcW w:w="466" w:type="pct"/>
            <w:tcBorders>
              <w:top w:val="single" w:sz="4" w:space="0" w:color="auto"/>
              <w:left w:val="single" w:sz="4" w:space="0" w:color="auto"/>
              <w:bottom w:val="single" w:sz="4" w:space="0" w:color="auto"/>
              <w:right w:val="single" w:sz="4" w:space="0" w:color="auto"/>
            </w:tcBorders>
            <w:vAlign w:val="center"/>
          </w:tcPr>
          <w:p w14:paraId="36C602C2" w14:textId="77777777" w:rsidR="008169DA" w:rsidRPr="00F04A75" w:rsidRDefault="008169DA" w:rsidP="008169DA">
            <w:pPr>
              <w:jc w:val="center"/>
              <w:rPr>
                <w:rFonts w:ascii="Arial Narrow" w:eastAsia="TimesNewRoman" w:hAnsi="Arial Narrow" w:cs="Times New Roman"/>
                <w:b/>
                <w:color w:val="000000"/>
                <w:sz w:val="20"/>
                <w:szCs w:val="20"/>
              </w:rPr>
            </w:pPr>
            <w:r w:rsidRPr="00F04A75">
              <w:rPr>
                <w:rFonts w:ascii="Arial Narrow" w:eastAsia="TimesNewRoman" w:hAnsi="Arial Narrow" w:cs="Times New Roman"/>
                <w:color w:val="000000"/>
                <w:sz w:val="20"/>
                <w:szCs w:val="20"/>
              </w:rPr>
              <w:t>116 (41.3</w:t>
            </w:r>
            <w:r w:rsidR="00131B83" w:rsidRPr="00F04A75">
              <w:rPr>
                <w:rFonts w:ascii="Arial Narrow" w:eastAsia="TimesNewRoman" w:hAnsi="Arial Narrow" w:cs="Times New Roman"/>
                <w:color w:val="000000"/>
                <w:sz w:val="20"/>
                <w:szCs w:val="20"/>
              </w:rPr>
              <w:t>%</w:t>
            </w:r>
            <w:r w:rsidRPr="00F04A75">
              <w:rPr>
                <w:rFonts w:ascii="Arial Narrow" w:eastAsia="TimesNewRoman" w:hAnsi="Arial Narrow" w:cs="Times New Roman"/>
                <w:color w:val="000000"/>
                <w:sz w:val="20"/>
                <w:szCs w:val="20"/>
              </w:rPr>
              <w:t>)</w:t>
            </w:r>
          </w:p>
        </w:tc>
        <w:tc>
          <w:tcPr>
            <w:tcW w:w="544" w:type="pct"/>
            <w:tcBorders>
              <w:top w:val="single" w:sz="4" w:space="0" w:color="auto"/>
              <w:left w:val="single" w:sz="4" w:space="0" w:color="auto"/>
              <w:bottom w:val="single" w:sz="4" w:space="0" w:color="auto"/>
              <w:right w:val="single" w:sz="4" w:space="0" w:color="auto"/>
            </w:tcBorders>
            <w:vAlign w:val="center"/>
          </w:tcPr>
          <w:p w14:paraId="65649E12" w14:textId="77777777" w:rsidR="008169DA" w:rsidRPr="00F04A75" w:rsidRDefault="008169DA" w:rsidP="008169DA">
            <w:pPr>
              <w:spacing w:before="20" w:after="20"/>
              <w:jc w:val="center"/>
              <w:rPr>
                <w:rFonts w:ascii="Arial Narrow" w:eastAsia="TimesNewRoman" w:hAnsi="Arial Narrow" w:cs="Times New Roman"/>
                <w:color w:val="000000"/>
                <w:sz w:val="20"/>
                <w:szCs w:val="20"/>
              </w:rPr>
            </w:pPr>
            <w:r w:rsidRPr="00F04A75">
              <w:rPr>
                <w:rFonts w:ascii="Arial Narrow" w:eastAsia="TimesNewRoman" w:hAnsi="Arial Narrow" w:cs="Times New Roman"/>
                <w:color w:val="000000"/>
                <w:sz w:val="20"/>
                <w:szCs w:val="20"/>
              </w:rPr>
              <w:t>40.5</w:t>
            </w:r>
          </w:p>
          <w:p w14:paraId="60111152" w14:textId="77777777" w:rsidR="008169DA" w:rsidRPr="00F04A75" w:rsidRDefault="008169DA" w:rsidP="008169DA">
            <w:pPr>
              <w:jc w:val="center"/>
              <w:rPr>
                <w:rFonts w:ascii="Arial Narrow" w:eastAsia="TimesNewRoman" w:hAnsi="Arial Narrow" w:cs="Times New Roman"/>
                <w:b/>
                <w:color w:val="000000"/>
                <w:sz w:val="20"/>
                <w:szCs w:val="20"/>
              </w:rPr>
            </w:pPr>
            <w:r w:rsidRPr="00F04A75">
              <w:rPr>
                <w:rFonts w:ascii="Arial Narrow" w:eastAsia="TimesNewRoman" w:hAnsi="Arial Narrow" w:cs="Times New Roman"/>
                <w:color w:val="000000"/>
                <w:sz w:val="20"/>
                <w:szCs w:val="20"/>
              </w:rPr>
              <w:t>(29.8, NE)</w:t>
            </w:r>
          </w:p>
        </w:tc>
        <w:tc>
          <w:tcPr>
            <w:tcW w:w="465" w:type="pct"/>
            <w:tcBorders>
              <w:top w:val="single" w:sz="4" w:space="0" w:color="auto"/>
              <w:left w:val="single" w:sz="4" w:space="0" w:color="auto"/>
              <w:bottom w:val="single" w:sz="4" w:space="0" w:color="auto"/>
              <w:right w:val="single" w:sz="4" w:space="0" w:color="auto"/>
            </w:tcBorders>
            <w:vAlign w:val="center"/>
          </w:tcPr>
          <w:p w14:paraId="09D26F81" w14:textId="77777777" w:rsidR="008169DA" w:rsidRPr="00F04A75" w:rsidRDefault="008169DA" w:rsidP="008169DA">
            <w:pPr>
              <w:jc w:val="center"/>
              <w:rPr>
                <w:rFonts w:ascii="Arial Narrow" w:eastAsia="TimesNewRoman" w:hAnsi="Arial Narrow" w:cs="Times New Roman"/>
                <w:b/>
                <w:color w:val="000000"/>
                <w:sz w:val="20"/>
                <w:szCs w:val="20"/>
              </w:rPr>
            </w:pPr>
            <w:r w:rsidRPr="00F04A75">
              <w:rPr>
                <w:rFonts w:ascii="Arial Narrow" w:eastAsia="TimesNewRoman" w:hAnsi="Arial Narrow" w:cs="Times New Roman"/>
                <w:color w:val="000000"/>
                <w:sz w:val="20"/>
                <w:szCs w:val="20"/>
              </w:rPr>
              <w:t xml:space="preserve">126 </w:t>
            </w:r>
            <w:r w:rsidR="00131B83" w:rsidRPr="00F04A75">
              <w:rPr>
                <w:rFonts w:ascii="Arial Narrow" w:eastAsia="TimesNewRoman" w:hAnsi="Arial Narrow" w:cs="Times New Roman"/>
                <w:color w:val="000000"/>
                <w:sz w:val="20"/>
                <w:szCs w:val="20"/>
              </w:rPr>
              <w:br/>
            </w:r>
            <w:r w:rsidRPr="00F04A75">
              <w:rPr>
                <w:rFonts w:ascii="Arial Narrow" w:eastAsia="TimesNewRoman" w:hAnsi="Arial Narrow" w:cs="Times New Roman"/>
                <w:color w:val="000000"/>
                <w:sz w:val="20"/>
                <w:szCs w:val="20"/>
              </w:rPr>
              <w:t>(45.3</w:t>
            </w:r>
            <w:r w:rsidR="00131B83" w:rsidRPr="00F04A75">
              <w:rPr>
                <w:rFonts w:ascii="Arial Narrow" w:eastAsia="TimesNewRoman" w:hAnsi="Arial Narrow" w:cs="Times New Roman"/>
                <w:color w:val="000000"/>
                <w:sz w:val="20"/>
                <w:szCs w:val="20"/>
              </w:rPr>
              <w:t>%</w:t>
            </w:r>
            <w:r w:rsidRPr="00F04A75">
              <w:rPr>
                <w:rFonts w:ascii="Arial Narrow" w:eastAsia="TimesNewRoman" w:hAnsi="Arial Narrow" w:cs="Times New Roman"/>
                <w:color w:val="000000"/>
                <w:sz w:val="20"/>
                <w:szCs w:val="20"/>
              </w:rPr>
              <w:t>)</w:t>
            </w:r>
          </w:p>
        </w:tc>
        <w:tc>
          <w:tcPr>
            <w:tcW w:w="544" w:type="pct"/>
            <w:tcBorders>
              <w:top w:val="single" w:sz="4" w:space="0" w:color="auto"/>
              <w:left w:val="single" w:sz="4" w:space="0" w:color="auto"/>
              <w:bottom w:val="single" w:sz="4" w:space="0" w:color="auto"/>
              <w:right w:val="single" w:sz="4" w:space="0" w:color="auto"/>
            </w:tcBorders>
            <w:vAlign w:val="center"/>
          </w:tcPr>
          <w:p w14:paraId="690C4CE0" w14:textId="77777777" w:rsidR="008169DA" w:rsidRPr="00F04A75" w:rsidRDefault="008169DA" w:rsidP="008169DA">
            <w:pPr>
              <w:keepNext/>
              <w:jc w:val="center"/>
              <w:rPr>
                <w:rFonts w:ascii="Arial Narrow" w:eastAsia="TimesNewRoman" w:hAnsi="Arial Narrow" w:cs="Times New Roman"/>
                <w:color w:val="000000"/>
                <w:sz w:val="20"/>
                <w:szCs w:val="20"/>
              </w:rPr>
            </w:pPr>
            <w:r w:rsidRPr="00F04A75">
              <w:rPr>
                <w:rFonts w:ascii="Arial Narrow" w:eastAsia="TimesNewRoman" w:hAnsi="Arial Narrow" w:cs="Times New Roman"/>
                <w:color w:val="000000"/>
                <w:sz w:val="20"/>
                <w:szCs w:val="20"/>
              </w:rPr>
              <w:t xml:space="preserve">30.5 </w:t>
            </w:r>
          </w:p>
          <w:p w14:paraId="17EE233D" w14:textId="77777777" w:rsidR="008169DA" w:rsidRPr="00F04A75" w:rsidRDefault="008169DA" w:rsidP="008169DA">
            <w:pPr>
              <w:jc w:val="center"/>
              <w:rPr>
                <w:rFonts w:ascii="Arial Narrow" w:eastAsia="TimesNewRoman" w:hAnsi="Arial Narrow" w:cs="Times New Roman"/>
                <w:color w:val="000000"/>
                <w:sz w:val="20"/>
                <w:szCs w:val="20"/>
              </w:rPr>
            </w:pPr>
            <w:r w:rsidRPr="00F04A75">
              <w:rPr>
                <w:rFonts w:ascii="Arial Narrow" w:eastAsia="TimesNewRoman" w:hAnsi="Arial Narrow" w:cs="Times New Roman"/>
                <w:color w:val="000000"/>
                <w:sz w:val="20"/>
                <w:szCs w:val="20"/>
              </w:rPr>
              <w:t>(24.6,35.9)</w:t>
            </w:r>
          </w:p>
        </w:tc>
        <w:tc>
          <w:tcPr>
            <w:tcW w:w="544" w:type="pct"/>
            <w:tcBorders>
              <w:top w:val="single" w:sz="4" w:space="0" w:color="auto"/>
              <w:left w:val="single" w:sz="4" w:space="0" w:color="auto"/>
              <w:bottom w:val="single" w:sz="4" w:space="0" w:color="auto"/>
              <w:right w:val="single" w:sz="4" w:space="0" w:color="auto"/>
            </w:tcBorders>
            <w:vAlign w:val="center"/>
          </w:tcPr>
          <w:p w14:paraId="25CAAA49" w14:textId="77777777" w:rsidR="008169DA" w:rsidRPr="00F04A75" w:rsidRDefault="008169DA" w:rsidP="008169DA">
            <w:pPr>
              <w:jc w:val="center"/>
              <w:rPr>
                <w:rFonts w:ascii="Arial Narrow" w:eastAsia="TimesNewRoman" w:hAnsi="Arial Narrow" w:cs="Times New Roman"/>
                <w:color w:val="000000"/>
                <w:sz w:val="20"/>
                <w:szCs w:val="20"/>
              </w:rPr>
            </w:pPr>
            <w:r w:rsidRPr="00F04A75">
              <w:rPr>
                <w:rFonts w:ascii="Arial Narrow" w:eastAsia="TimesNewRoman" w:hAnsi="Arial Narrow" w:cs="Times New Roman"/>
                <w:color w:val="000000"/>
                <w:sz w:val="20"/>
                <w:szCs w:val="20"/>
              </w:rPr>
              <w:t>10.1</w:t>
            </w:r>
          </w:p>
        </w:tc>
        <w:tc>
          <w:tcPr>
            <w:tcW w:w="488" w:type="pct"/>
            <w:tcBorders>
              <w:top w:val="single" w:sz="4" w:space="0" w:color="auto"/>
              <w:left w:val="single" w:sz="4" w:space="0" w:color="auto"/>
              <w:bottom w:val="single" w:sz="4" w:space="0" w:color="auto"/>
              <w:right w:val="single" w:sz="4" w:space="0" w:color="auto"/>
            </w:tcBorders>
            <w:vAlign w:val="center"/>
          </w:tcPr>
          <w:p w14:paraId="6AF3852A" w14:textId="77777777" w:rsidR="008169DA" w:rsidRPr="00F04A75" w:rsidRDefault="008169DA" w:rsidP="008169DA">
            <w:pPr>
              <w:jc w:val="center"/>
              <w:rPr>
                <w:rFonts w:ascii="Arial Narrow" w:eastAsia="TimesNewRoman" w:hAnsi="Arial Narrow" w:cs="Times New Roman"/>
                <w:color w:val="000000"/>
                <w:sz w:val="20"/>
                <w:szCs w:val="20"/>
              </w:rPr>
            </w:pPr>
            <w:r w:rsidRPr="00F04A75">
              <w:rPr>
                <w:rFonts w:ascii="Arial Narrow" w:hAnsi="Arial Narrow" w:cstheme="minorHAnsi"/>
                <w:sz w:val="20"/>
                <w:szCs w:val="20"/>
              </w:rPr>
              <w:t>0.476</w:t>
            </w:r>
          </w:p>
        </w:tc>
        <w:tc>
          <w:tcPr>
            <w:tcW w:w="554" w:type="pct"/>
            <w:tcBorders>
              <w:top w:val="single" w:sz="4" w:space="0" w:color="auto"/>
              <w:left w:val="single" w:sz="4" w:space="0" w:color="auto"/>
              <w:bottom w:val="single" w:sz="4" w:space="0" w:color="auto"/>
              <w:right w:val="single" w:sz="4" w:space="0" w:color="auto"/>
            </w:tcBorders>
            <w:vAlign w:val="center"/>
          </w:tcPr>
          <w:p w14:paraId="1B488383" w14:textId="77777777" w:rsidR="008169DA" w:rsidRPr="00F04A75" w:rsidRDefault="008169DA" w:rsidP="008169DA">
            <w:pPr>
              <w:jc w:val="center"/>
              <w:rPr>
                <w:rFonts w:ascii="Arial Narrow" w:eastAsia="TimesNewRoman" w:hAnsi="Arial Narrow" w:cs="Times New Roman"/>
                <w:color w:val="000000"/>
                <w:sz w:val="20"/>
                <w:szCs w:val="20"/>
              </w:rPr>
            </w:pPr>
            <w:r w:rsidRPr="00F04A75">
              <w:rPr>
                <w:rFonts w:ascii="Arial Narrow" w:hAnsi="Arial Narrow" w:cstheme="minorHAnsi"/>
                <w:sz w:val="20"/>
                <w:szCs w:val="20"/>
              </w:rPr>
              <w:t xml:space="preserve">0.91 </w:t>
            </w:r>
            <w:r w:rsidRPr="00F04A75">
              <w:rPr>
                <w:rFonts w:ascii="Arial Narrow" w:hAnsi="Arial Narrow" w:cstheme="minorHAnsi"/>
                <w:sz w:val="20"/>
                <w:szCs w:val="20"/>
              </w:rPr>
              <w:br/>
              <w:t>(0.70, 1.18)</w:t>
            </w:r>
          </w:p>
        </w:tc>
      </w:tr>
    </w:tbl>
    <w:p w14:paraId="75D285AB" w14:textId="77777777" w:rsidR="00F97782" w:rsidRPr="00F04A75" w:rsidRDefault="00F97782" w:rsidP="00392547">
      <w:pPr>
        <w:pStyle w:val="TableFigureFooter"/>
      </w:pPr>
      <w:r w:rsidRPr="00F04A75">
        <w:t>Source: Table 2.5.7, p63 of the resubmission.</w:t>
      </w:r>
    </w:p>
    <w:p w14:paraId="285EFA2B" w14:textId="0901F035" w:rsidR="00F97782" w:rsidRPr="00F04A75" w:rsidRDefault="00F97782" w:rsidP="00392547">
      <w:pPr>
        <w:pStyle w:val="TableFigureFooter"/>
      </w:pPr>
      <w:r w:rsidRPr="00F04A75">
        <w:t>Bd</w:t>
      </w:r>
      <w:r w:rsidR="002A1FAD" w:rsidRPr="00F04A75">
        <w:t xml:space="preserve"> </w:t>
      </w:r>
      <w:r w:rsidRPr="00F04A75">
        <w:t xml:space="preserve">= bortezomib and dexamethasone; CI = confidence interval; </w:t>
      </w:r>
      <w:r w:rsidR="002A1FAD" w:rsidRPr="00F04A75">
        <w:t xml:space="preserve">NE = not estimable; OS = overall survival; </w:t>
      </w:r>
      <w:proofErr w:type="spellStart"/>
      <w:r w:rsidRPr="00F04A75">
        <w:t>PBd</w:t>
      </w:r>
      <w:proofErr w:type="spellEnd"/>
      <w:r w:rsidR="002A1FAD" w:rsidRPr="00F04A75">
        <w:t xml:space="preserve"> </w:t>
      </w:r>
      <w:r w:rsidRPr="00F04A75">
        <w:t>=</w:t>
      </w:r>
      <w:r w:rsidR="002A1FAD" w:rsidRPr="00F04A75">
        <w:t xml:space="preserve"> </w:t>
      </w:r>
      <w:r w:rsidRPr="00F04A75">
        <w:t>pomalidomide</w:t>
      </w:r>
      <w:r w:rsidR="002A1FAD" w:rsidRPr="00F04A75">
        <w:t xml:space="preserve">, </w:t>
      </w:r>
      <w:r w:rsidRPr="00F04A75">
        <w:t xml:space="preserve">lenalidomide </w:t>
      </w:r>
      <w:r w:rsidR="002A1FAD" w:rsidRPr="00F04A75">
        <w:t>and</w:t>
      </w:r>
      <w:r w:rsidRPr="00F04A75">
        <w:t xml:space="preserve"> dexamethasone; PFS = progression free survival</w:t>
      </w:r>
    </w:p>
    <w:p w14:paraId="5EAFFFA3" w14:textId="77777777" w:rsidR="00F97782" w:rsidRPr="00F04A75" w:rsidRDefault="00F97782" w:rsidP="00392547">
      <w:pPr>
        <w:pStyle w:val="TableFigureFooter"/>
      </w:pPr>
      <w:r w:rsidRPr="00F04A75">
        <w:t>Note: OPTIMISMM median follow for PFS: 15.9 months (data cut 26 Oct 2017); OS: 26.2 months (data cut 15 Sept 2018)</w:t>
      </w:r>
    </w:p>
    <w:p w14:paraId="20EEFD03" w14:textId="77777777" w:rsidR="00F97782" w:rsidRPr="00F04A75" w:rsidRDefault="00F97782" w:rsidP="00392547">
      <w:pPr>
        <w:pStyle w:val="TableFigureFooter"/>
      </w:pPr>
      <w:r w:rsidRPr="00F04A75">
        <w:rPr>
          <w:b/>
          <w:bCs/>
        </w:rPr>
        <w:t>Bold</w:t>
      </w:r>
      <w:r w:rsidRPr="00F04A75">
        <w:t xml:space="preserve"> = statistically significant</w:t>
      </w:r>
    </w:p>
    <w:p w14:paraId="21D275E4" w14:textId="69796EF8" w:rsidR="00F97782" w:rsidRPr="00F04A75" w:rsidRDefault="00F97782" w:rsidP="00617CA6">
      <w:pPr>
        <w:pStyle w:val="ListBullet"/>
        <w:spacing w:after="120"/>
        <w:rPr>
          <w:u w:val="single"/>
        </w:rPr>
      </w:pPr>
      <w:r w:rsidRPr="00F04A75">
        <w:rPr>
          <w:u w:val="single"/>
        </w:rPr>
        <w:t>Indirect treatment comparison</w:t>
      </w:r>
      <w:r w:rsidR="00C51647" w:rsidRPr="00F04A75">
        <w:rPr>
          <w:u w:val="single"/>
        </w:rPr>
        <w:t xml:space="preserve"> </w:t>
      </w:r>
      <w:r w:rsidRPr="00F04A75">
        <w:rPr>
          <w:u w:val="single"/>
        </w:rPr>
        <w:t xml:space="preserve">- </w:t>
      </w:r>
      <w:proofErr w:type="spellStart"/>
      <w:r w:rsidRPr="00F04A75">
        <w:rPr>
          <w:u w:val="single"/>
        </w:rPr>
        <w:t>CLd</w:t>
      </w:r>
      <w:proofErr w:type="spellEnd"/>
      <w:r w:rsidRPr="00F04A75">
        <w:rPr>
          <w:u w:val="single"/>
        </w:rPr>
        <w:t xml:space="preserve"> vs Cd</w:t>
      </w:r>
    </w:p>
    <w:p w14:paraId="220181C6" w14:textId="00C5E5CF" w:rsidR="00F97782" w:rsidRPr="00F04A75" w:rsidRDefault="00F97782" w:rsidP="0016658B">
      <w:pPr>
        <w:pStyle w:val="3-BodyText"/>
      </w:pPr>
      <w:r w:rsidRPr="00F04A75">
        <w:t xml:space="preserve">The results of the ITC of </w:t>
      </w:r>
      <w:proofErr w:type="spellStart"/>
      <w:r w:rsidRPr="00F04A75">
        <w:t>CLd</w:t>
      </w:r>
      <w:proofErr w:type="spellEnd"/>
      <w:r w:rsidRPr="00F04A75">
        <w:t xml:space="preserve"> and Cd for the outcomes of PFS and OS are presented in </w:t>
      </w:r>
      <w:r w:rsidR="00235C08" w:rsidRPr="00F04A75">
        <w:t xml:space="preserve">Table </w:t>
      </w:r>
      <w:r w:rsidR="00C8791A">
        <w:t>12</w:t>
      </w:r>
      <w:r w:rsidRPr="00F04A75">
        <w:t xml:space="preserve">. The ITC compared </w:t>
      </w:r>
      <w:proofErr w:type="spellStart"/>
      <w:r w:rsidRPr="00F04A75">
        <w:t>CLd</w:t>
      </w:r>
      <w:proofErr w:type="spellEnd"/>
      <w:r w:rsidRPr="00F04A75">
        <w:t xml:space="preserve"> to Cd assuming that the efficacy results for </w:t>
      </w:r>
      <w:proofErr w:type="spellStart"/>
      <w:r w:rsidRPr="00F04A75">
        <w:t>Ld</w:t>
      </w:r>
      <w:proofErr w:type="spellEnd"/>
      <w:r w:rsidRPr="00F04A75">
        <w:t xml:space="preserve"> and Bd were the same for the purposes of anchoring a common comparator in the ITC. </w:t>
      </w:r>
      <w:r w:rsidR="009E4973" w:rsidRPr="00F04A75">
        <w:t xml:space="preserve">As </w:t>
      </w:r>
      <w:r w:rsidR="00BD0AB0">
        <w:t>not</w:t>
      </w:r>
      <w:r w:rsidR="00BD0AB0" w:rsidRPr="00F04A75">
        <w:t xml:space="preserve">ed </w:t>
      </w:r>
      <w:r w:rsidR="009E4973" w:rsidRPr="00F04A75">
        <w:t xml:space="preserve">in </w:t>
      </w:r>
      <w:r w:rsidR="009E4973" w:rsidRPr="00DF1268">
        <w:t>paragraph 6.</w:t>
      </w:r>
      <w:r w:rsidR="00BD0AB0" w:rsidRPr="00DF1268">
        <w:t>5</w:t>
      </w:r>
      <w:r w:rsidR="009E4973" w:rsidRPr="00F04A75">
        <w:t>, this</w:t>
      </w:r>
      <w:r w:rsidRPr="00F04A75">
        <w:t xml:space="preserve"> </w:t>
      </w:r>
      <w:r w:rsidR="00BD0AB0">
        <w:t>require</w:t>
      </w:r>
      <w:r w:rsidR="00C14BCF">
        <w:t>d</w:t>
      </w:r>
      <w:r w:rsidR="00BD0AB0">
        <w:t xml:space="preserve"> consideration</w:t>
      </w:r>
      <w:r w:rsidRPr="00F04A75">
        <w:t xml:space="preserve"> as </w:t>
      </w:r>
      <w:proofErr w:type="spellStart"/>
      <w:r w:rsidRPr="00F04A75">
        <w:t>Ld</w:t>
      </w:r>
      <w:proofErr w:type="spellEnd"/>
      <w:r w:rsidRPr="00F04A75">
        <w:t xml:space="preserve"> and Bd are different treatment regimens and, although the PBAC has previously considered </w:t>
      </w:r>
      <w:proofErr w:type="spellStart"/>
      <w:r w:rsidRPr="00F04A75">
        <w:t>Ld</w:t>
      </w:r>
      <w:proofErr w:type="spellEnd"/>
      <w:r w:rsidRPr="00F04A75">
        <w:t xml:space="preserve"> and Bd to be non-inferior, the results of the ITC could be confounded by any differences in the efficacy of these two therapies, as well as potential issues of transitivity between the trials. The submission did not adjust the ITC for differences in efficacy between </w:t>
      </w:r>
      <w:proofErr w:type="spellStart"/>
      <w:r w:rsidRPr="00F04A75">
        <w:t>Ld</w:t>
      </w:r>
      <w:proofErr w:type="spellEnd"/>
      <w:r w:rsidRPr="00F04A75">
        <w:t xml:space="preserve"> and Bd. </w:t>
      </w:r>
    </w:p>
    <w:p w14:paraId="2EDC4985" w14:textId="1AD0B191" w:rsidR="00F97782" w:rsidRPr="00F04A75" w:rsidRDefault="00F97782" w:rsidP="00B26A7F">
      <w:pPr>
        <w:pStyle w:val="Caption"/>
        <w:keepNext/>
        <w:spacing w:after="0"/>
        <w:rPr>
          <w:rFonts w:ascii="Arial Narrow" w:hAnsi="Arial Narrow"/>
          <w:sz w:val="20"/>
          <w:szCs w:val="20"/>
        </w:rPr>
      </w:pPr>
      <w:r w:rsidRPr="00F04A75">
        <w:rPr>
          <w:rFonts w:ascii="Arial Narrow" w:hAnsi="Arial Narrow"/>
          <w:color w:val="auto"/>
          <w:sz w:val="20"/>
          <w:szCs w:val="20"/>
        </w:rPr>
        <w:lastRenderedPageBreak/>
        <w:t xml:space="preserve">Table </w:t>
      </w:r>
      <w:r w:rsidRPr="00F04A75">
        <w:rPr>
          <w:rFonts w:ascii="Arial Narrow" w:hAnsi="Arial Narrow"/>
          <w:color w:val="auto"/>
          <w:sz w:val="20"/>
          <w:szCs w:val="20"/>
        </w:rPr>
        <w:fldChar w:fldCharType="begin"/>
      </w:r>
      <w:r w:rsidRPr="00F04A75">
        <w:rPr>
          <w:rFonts w:ascii="Arial Narrow" w:hAnsi="Arial Narrow"/>
          <w:color w:val="auto"/>
          <w:sz w:val="20"/>
          <w:szCs w:val="20"/>
        </w:rPr>
        <w:instrText xml:space="preserve"> SEQ Table \* ARABIC </w:instrText>
      </w:r>
      <w:r w:rsidRPr="00F04A75">
        <w:rPr>
          <w:rFonts w:ascii="Arial Narrow" w:hAnsi="Arial Narrow"/>
          <w:color w:val="auto"/>
          <w:sz w:val="20"/>
          <w:szCs w:val="20"/>
        </w:rPr>
        <w:fldChar w:fldCharType="separate"/>
      </w:r>
      <w:r w:rsidR="00443BC9">
        <w:rPr>
          <w:rFonts w:ascii="Arial Narrow" w:hAnsi="Arial Narrow"/>
          <w:noProof/>
          <w:color w:val="auto"/>
          <w:sz w:val="20"/>
          <w:szCs w:val="20"/>
        </w:rPr>
        <w:t>11</w:t>
      </w:r>
      <w:r w:rsidRPr="00F04A75">
        <w:rPr>
          <w:rFonts w:ascii="Arial Narrow" w:hAnsi="Arial Narrow"/>
          <w:color w:val="auto"/>
          <w:sz w:val="20"/>
          <w:szCs w:val="20"/>
        </w:rPr>
        <w:fldChar w:fldCharType="end"/>
      </w:r>
      <w:r w:rsidRPr="00F04A75">
        <w:rPr>
          <w:rFonts w:ascii="Arial Narrow" w:hAnsi="Arial Narrow"/>
          <w:color w:val="auto"/>
          <w:sz w:val="20"/>
          <w:szCs w:val="20"/>
        </w:rPr>
        <w:t>: Summary of results of the indirect comparison for PFS and OS, between ASPIRE and ENDEAVOR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2"/>
        <w:gridCol w:w="1134"/>
        <w:gridCol w:w="976"/>
        <w:gridCol w:w="34"/>
        <w:gridCol w:w="1080"/>
        <w:gridCol w:w="13"/>
        <w:gridCol w:w="1016"/>
        <w:gridCol w:w="1134"/>
        <w:gridCol w:w="992"/>
        <w:gridCol w:w="1366"/>
      </w:tblGrid>
      <w:tr w:rsidR="00C179A6" w:rsidRPr="00F04A75" w14:paraId="545C6F7B" w14:textId="77777777" w:rsidTr="009E4973">
        <w:trPr>
          <w:trHeight w:val="20"/>
        </w:trPr>
        <w:tc>
          <w:tcPr>
            <w:tcW w:w="1271" w:type="dxa"/>
            <w:vMerge w:val="restart"/>
            <w:tcBorders>
              <w:top w:val="single" w:sz="4" w:space="0" w:color="auto"/>
              <w:left w:val="single" w:sz="4" w:space="0" w:color="auto"/>
              <w:right w:val="single" w:sz="4" w:space="0" w:color="auto"/>
            </w:tcBorders>
            <w:tcMar>
              <w:left w:w="28" w:type="dxa"/>
              <w:right w:w="28" w:type="dxa"/>
            </w:tcMar>
          </w:tcPr>
          <w:p w14:paraId="53FD3CD2" w14:textId="77777777" w:rsidR="00C179A6" w:rsidRPr="00F04A75" w:rsidRDefault="00C179A6" w:rsidP="00B26A7F">
            <w:pPr>
              <w:keepNext/>
              <w:jc w:val="left"/>
              <w:rPr>
                <w:rFonts w:ascii="Arial Narrow" w:hAnsi="Arial Narrow" w:cs="Times New Roman"/>
                <w:sz w:val="20"/>
                <w:szCs w:val="20"/>
                <w:lang w:eastAsia="en-US"/>
              </w:rPr>
            </w:pPr>
          </w:p>
        </w:tc>
        <w:tc>
          <w:tcPr>
            <w:tcW w:w="1134" w:type="dxa"/>
            <w:vMerge w:val="restart"/>
            <w:tcBorders>
              <w:top w:val="single" w:sz="4" w:space="0" w:color="auto"/>
              <w:left w:val="single" w:sz="4" w:space="0" w:color="auto"/>
              <w:right w:val="single" w:sz="4" w:space="0" w:color="auto"/>
            </w:tcBorders>
            <w:tcMar>
              <w:left w:w="28" w:type="dxa"/>
              <w:right w:w="28" w:type="dxa"/>
            </w:tcMar>
            <w:vAlign w:val="center"/>
          </w:tcPr>
          <w:p w14:paraId="35132566" w14:textId="77777777" w:rsidR="00C179A6" w:rsidRPr="00F04A75" w:rsidRDefault="00C179A6" w:rsidP="00B26A7F">
            <w:pPr>
              <w:keepNext/>
              <w:jc w:val="center"/>
              <w:rPr>
                <w:rFonts w:ascii="Arial Narrow" w:hAnsi="Arial Narrow" w:cs="Times New Roman"/>
                <w:iCs/>
                <w:sz w:val="20"/>
                <w:szCs w:val="20"/>
                <w:lang w:eastAsia="en-US"/>
              </w:rPr>
            </w:pPr>
            <w:r w:rsidRPr="00F04A75">
              <w:rPr>
                <w:rFonts w:ascii="Arial Narrow" w:hAnsi="Arial Narrow" w:cs="Times New Roman"/>
                <w:b/>
                <w:iCs/>
                <w:sz w:val="20"/>
                <w:szCs w:val="20"/>
                <w:lang w:eastAsia="en-US"/>
              </w:rPr>
              <w:t>Median duration of follow-up</w:t>
            </w:r>
            <w:r w:rsidR="00BB070A" w:rsidRPr="00F04A75">
              <w:rPr>
                <w:rFonts w:ascii="Arial Narrow" w:hAnsi="Arial Narrow" w:cs="Times New Roman"/>
                <w:b/>
                <w:iCs/>
                <w:sz w:val="20"/>
                <w:szCs w:val="20"/>
                <w:lang w:eastAsia="en-US"/>
              </w:rPr>
              <w:t xml:space="preserve"> (months)</w:t>
            </w:r>
          </w:p>
        </w:tc>
        <w:tc>
          <w:tcPr>
            <w:tcW w:w="2103" w:type="dxa"/>
            <w:gridSpan w:val="4"/>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A8E7D1E" w14:textId="77777777" w:rsidR="00C179A6" w:rsidRPr="00F04A75" w:rsidRDefault="00C179A6" w:rsidP="00B26A7F">
            <w:pPr>
              <w:keepNext/>
              <w:jc w:val="center"/>
              <w:rPr>
                <w:rFonts w:ascii="Arial Narrow" w:hAnsi="Arial Narrow" w:cs="Times New Roman"/>
                <w:b/>
                <w:iCs/>
                <w:sz w:val="20"/>
                <w:szCs w:val="20"/>
                <w:lang w:eastAsia="en-US"/>
              </w:rPr>
            </w:pPr>
            <w:proofErr w:type="spellStart"/>
            <w:r w:rsidRPr="00F04A75">
              <w:rPr>
                <w:rFonts w:ascii="Arial Narrow" w:hAnsi="Arial Narrow" w:cs="Times New Roman"/>
                <w:b/>
                <w:iCs/>
                <w:sz w:val="20"/>
                <w:szCs w:val="20"/>
                <w:lang w:eastAsia="en-US"/>
              </w:rPr>
              <w:t>CLd</w:t>
            </w:r>
            <w:proofErr w:type="spellEnd"/>
            <w:r w:rsidRPr="00F04A75">
              <w:rPr>
                <w:rFonts w:ascii="Arial Narrow" w:hAnsi="Arial Narrow" w:cs="Times New Roman"/>
                <w:b/>
                <w:iCs/>
                <w:sz w:val="20"/>
                <w:szCs w:val="20"/>
                <w:lang w:eastAsia="en-US"/>
              </w:rPr>
              <w:t xml:space="preserve"> or Cd</w:t>
            </w:r>
            <w:r w:rsidR="00820069" w:rsidRPr="00F04A75">
              <w:rPr>
                <w:rFonts w:ascii="Arial Narrow" w:hAnsi="Arial Narrow" w:cs="Times New Roman"/>
                <w:b/>
                <w:iCs/>
                <w:sz w:val="20"/>
                <w:szCs w:val="20"/>
                <w:lang w:eastAsia="en-US"/>
              </w:rPr>
              <w:t>56 BIW</w:t>
            </w:r>
          </w:p>
        </w:tc>
        <w:tc>
          <w:tcPr>
            <w:tcW w:w="2150"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762B12F" w14:textId="77777777" w:rsidR="00C179A6" w:rsidRPr="00F04A75" w:rsidRDefault="00C179A6" w:rsidP="00B26A7F">
            <w:pPr>
              <w:keepNext/>
              <w:jc w:val="center"/>
              <w:rPr>
                <w:rFonts w:ascii="Arial Narrow" w:hAnsi="Arial Narrow" w:cs="Times New Roman"/>
                <w:b/>
                <w:sz w:val="20"/>
                <w:szCs w:val="20"/>
                <w:lang w:eastAsia="en-US"/>
              </w:rPr>
            </w:pPr>
            <w:proofErr w:type="spellStart"/>
            <w:r w:rsidRPr="00F04A75">
              <w:rPr>
                <w:rFonts w:ascii="Arial Narrow" w:hAnsi="Arial Narrow" w:cs="Times New Roman"/>
                <w:b/>
                <w:sz w:val="20"/>
                <w:szCs w:val="20"/>
                <w:lang w:eastAsia="en-US"/>
              </w:rPr>
              <w:t>Ld</w:t>
            </w:r>
            <w:proofErr w:type="spellEnd"/>
            <w:r w:rsidRPr="00F04A75">
              <w:rPr>
                <w:rFonts w:ascii="Arial Narrow" w:hAnsi="Arial Narrow" w:cs="Times New Roman"/>
                <w:b/>
                <w:sz w:val="20"/>
                <w:szCs w:val="20"/>
                <w:lang w:eastAsia="en-US"/>
              </w:rPr>
              <w:t xml:space="preserve"> or Bd</w:t>
            </w:r>
          </w:p>
        </w:tc>
        <w:tc>
          <w:tcPr>
            <w:tcW w:w="992" w:type="dxa"/>
            <w:vMerge w:val="restart"/>
            <w:tcBorders>
              <w:top w:val="single" w:sz="4" w:space="0" w:color="auto"/>
              <w:left w:val="single" w:sz="4" w:space="0" w:color="auto"/>
              <w:right w:val="single" w:sz="4" w:space="0" w:color="auto"/>
            </w:tcBorders>
            <w:shd w:val="clear" w:color="auto" w:fill="auto"/>
            <w:tcMar>
              <w:left w:w="28" w:type="dxa"/>
              <w:right w:w="28" w:type="dxa"/>
            </w:tcMar>
            <w:vAlign w:val="center"/>
          </w:tcPr>
          <w:p w14:paraId="7033FDE9" w14:textId="77777777" w:rsidR="00C179A6" w:rsidRPr="00F04A75" w:rsidRDefault="00C179A6" w:rsidP="00B26A7F">
            <w:pPr>
              <w:keepNext/>
              <w:jc w:val="center"/>
              <w:rPr>
                <w:rFonts w:ascii="Arial Narrow" w:hAnsi="Arial Narrow" w:cs="Times New Roman"/>
                <w:iCs/>
                <w:sz w:val="20"/>
                <w:szCs w:val="20"/>
                <w:lang w:eastAsia="en-US"/>
              </w:rPr>
            </w:pPr>
            <w:r w:rsidRPr="00F04A75">
              <w:rPr>
                <w:rFonts w:ascii="Arial Narrow" w:hAnsi="Arial Narrow" w:cs="Times New Roman"/>
                <w:b/>
                <w:sz w:val="20"/>
                <w:szCs w:val="20"/>
                <w:lang w:eastAsia="en-US"/>
              </w:rPr>
              <w:t xml:space="preserve">Difference in </w:t>
            </w:r>
            <w:r w:rsidR="00C51647" w:rsidRPr="00F04A75">
              <w:rPr>
                <w:rFonts w:ascii="Arial Narrow" w:hAnsi="Arial Narrow" w:cs="Times New Roman"/>
                <w:b/>
                <w:sz w:val="20"/>
                <w:szCs w:val="20"/>
                <w:lang w:eastAsia="en-US"/>
              </w:rPr>
              <w:t xml:space="preserve">median, </w:t>
            </w:r>
            <w:r w:rsidRPr="00F04A75">
              <w:rPr>
                <w:rFonts w:ascii="Arial Narrow" w:hAnsi="Arial Narrow" w:cs="Times New Roman"/>
                <w:b/>
                <w:sz w:val="20"/>
                <w:szCs w:val="20"/>
                <w:lang w:eastAsia="en-US"/>
              </w:rPr>
              <w:t>months</w:t>
            </w:r>
          </w:p>
        </w:tc>
        <w:tc>
          <w:tcPr>
            <w:tcW w:w="1366" w:type="dxa"/>
            <w:vMerge w:val="restart"/>
            <w:tcBorders>
              <w:top w:val="single" w:sz="4" w:space="0" w:color="auto"/>
              <w:left w:val="single" w:sz="4" w:space="0" w:color="auto"/>
              <w:right w:val="single" w:sz="4" w:space="0" w:color="auto"/>
            </w:tcBorders>
            <w:shd w:val="clear" w:color="auto" w:fill="auto"/>
            <w:tcMar>
              <w:left w:w="28" w:type="dxa"/>
              <w:right w:w="28" w:type="dxa"/>
            </w:tcMar>
            <w:vAlign w:val="center"/>
          </w:tcPr>
          <w:p w14:paraId="15A0C96F" w14:textId="77777777" w:rsidR="00C179A6" w:rsidRPr="00F04A75" w:rsidRDefault="00C179A6" w:rsidP="00B26A7F">
            <w:pPr>
              <w:keepNext/>
              <w:jc w:val="center"/>
              <w:rPr>
                <w:rFonts w:ascii="Arial Narrow" w:hAnsi="Arial Narrow"/>
                <w:b/>
                <w:bCs/>
                <w:sz w:val="20"/>
                <w:szCs w:val="20"/>
              </w:rPr>
            </w:pPr>
            <w:proofErr w:type="spellStart"/>
            <w:r w:rsidRPr="00F04A75">
              <w:rPr>
                <w:rFonts w:ascii="Arial Narrow" w:hAnsi="Arial Narrow" w:cs="Times New Roman"/>
                <w:b/>
                <w:sz w:val="20"/>
                <w:szCs w:val="20"/>
                <w:lang w:eastAsia="en-US"/>
              </w:rPr>
              <w:t>HR</w:t>
            </w:r>
            <w:r w:rsidRPr="00F04A75">
              <w:rPr>
                <w:rFonts w:ascii="Arial Narrow" w:hAnsi="Arial Narrow" w:cs="Times New Roman"/>
                <w:b/>
                <w:sz w:val="20"/>
                <w:szCs w:val="20"/>
                <w:vertAlign w:val="superscript"/>
                <w:lang w:eastAsia="en-US"/>
              </w:rPr>
              <w:t>c</w:t>
            </w:r>
            <w:proofErr w:type="spellEnd"/>
            <w:r w:rsidRPr="00F04A75">
              <w:rPr>
                <w:rFonts w:ascii="Arial Narrow" w:hAnsi="Arial Narrow" w:cs="Times New Roman"/>
                <w:b/>
                <w:sz w:val="20"/>
                <w:szCs w:val="20"/>
                <w:lang w:eastAsia="en-US"/>
              </w:rPr>
              <w:t xml:space="preserve"> </w:t>
            </w:r>
            <w:r w:rsidRPr="00F04A75">
              <w:rPr>
                <w:rFonts w:ascii="Arial Narrow" w:hAnsi="Arial Narrow" w:cs="Times New Roman"/>
                <w:b/>
                <w:sz w:val="20"/>
                <w:szCs w:val="20"/>
                <w:lang w:eastAsia="en-US"/>
              </w:rPr>
              <w:br/>
              <w:t>(95% CI)</w:t>
            </w:r>
          </w:p>
        </w:tc>
      </w:tr>
      <w:tr w:rsidR="00C179A6" w:rsidRPr="00F04A75" w14:paraId="7EBC9623" w14:textId="77777777" w:rsidTr="009E4973">
        <w:trPr>
          <w:trHeight w:val="20"/>
        </w:trPr>
        <w:tc>
          <w:tcPr>
            <w:tcW w:w="1271" w:type="dxa"/>
            <w:vMerge/>
            <w:tcBorders>
              <w:left w:val="single" w:sz="4" w:space="0" w:color="auto"/>
              <w:bottom w:val="single" w:sz="4" w:space="0" w:color="auto"/>
              <w:right w:val="single" w:sz="4" w:space="0" w:color="auto"/>
            </w:tcBorders>
            <w:tcMar>
              <w:left w:w="28" w:type="dxa"/>
              <w:right w:w="28" w:type="dxa"/>
            </w:tcMar>
          </w:tcPr>
          <w:p w14:paraId="792D9873" w14:textId="77777777" w:rsidR="00C179A6" w:rsidRPr="00F04A75" w:rsidRDefault="00C179A6" w:rsidP="00B26A7F">
            <w:pPr>
              <w:keepNext/>
              <w:jc w:val="left"/>
              <w:rPr>
                <w:rFonts w:ascii="Arial Narrow" w:hAnsi="Arial Narrow" w:cs="Times New Roman"/>
                <w:sz w:val="20"/>
                <w:szCs w:val="20"/>
                <w:lang w:eastAsia="en-US"/>
              </w:rPr>
            </w:pPr>
          </w:p>
        </w:tc>
        <w:tc>
          <w:tcPr>
            <w:tcW w:w="1134" w:type="dxa"/>
            <w:vMerge/>
            <w:tcBorders>
              <w:left w:val="single" w:sz="4" w:space="0" w:color="auto"/>
              <w:bottom w:val="single" w:sz="4" w:space="0" w:color="auto"/>
              <w:right w:val="single" w:sz="4" w:space="0" w:color="auto"/>
            </w:tcBorders>
            <w:tcMar>
              <w:left w:w="28" w:type="dxa"/>
              <w:right w:w="28" w:type="dxa"/>
            </w:tcMar>
            <w:vAlign w:val="center"/>
          </w:tcPr>
          <w:p w14:paraId="653E5AA7" w14:textId="77777777" w:rsidR="00C179A6" w:rsidRPr="00F04A75" w:rsidRDefault="00C179A6" w:rsidP="00B26A7F">
            <w:pPr>
              <w:keepNext/>
              <w:jc w:val="center"/>
              <w:rPr>
                <w:rFonts w:ascii="Arial Narrow" w:hAnsi="Arial Narrow" w:cs="Times New Roman"/>
                <w:iCs/>
                <w:sz w:val="20"/>
                <w:szCs w:val="20"/>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428A1A5" w14:textId="77777777" w:rsidR="00C179A6" w:rsidRPr="00F04A75" w:rsidRDefault="009E4973" w:rsidP="00B26A7F">
            <w:pPr>
              <w:keepNext/>
              <w:jc w:val="center"/>
              <w:rPr>
                <w:rFonts w:ascii="Arial Narrow" w:hAnsi="Arial Narrow"/>
                <w:sz w:val="20"/>
                <w:szCs w:val="20"/>
              </w:rPr>
            </w:pPr>
            <w:r w:rsidRPr="00F04A75">
              <w:rPr>
                <w:rFonts w:ascii="Arial Narrow" w:hAnsi="Arial Narrow" w:cstheme="minorHAnsi"/>
                <w:b/>
                <w:sz w:val="20"/>
                <w:szCs w:val="20"/>
              </w:rPr>
              <w:t xml:space="preserve">Events, </w:t>
            </w:r>
            <w:r w:rsidRPr="00F04A75">
              <w:rPr>
                <w:rFonts w:ascii="Arial Narrow" w:hAnsi="Arial Narrow" w:cstheme="minorHAnsi"/>
                <w:b/>
                <w:sz w:val="20"/>
                <w:szCs w:val="20"/>
              </w:rPr>
              <w:br/>
            </w:r>
            <w:r w:rsidR="00C179A6" w:rsidRPr="00F04A75">
              <w:rPr>
                <w:rFonts w:ascii="Arial Narrow" w:hAnsi="Arial Narrow" w:cstheme="minorHAnsi"/>
                <w:b/>
                <w:sz w:val="20"/>
                <w:szCs w:val="20"/>
              </w:rPr>
              <w:t>n</w:t>
            </w:r>
            <w:r w:rsidR="000E334C" w:rsidRPr="00F04A75">
              <w:rPr>
                <w:rFonts w:ascii="Arial Narrow" w:hAnsi="Arial Narrow" w:cstheme="minorHAnsi"/>
                <w:b/>
                <w:sz w:val="20"/>
                <w:szCs w:val="20"/>
              </w:rPr>
              <w:t>/N</w:t>
            </w:r>
            <w:r w:rsidR="00C179A6" w:rsidRPr="00F04A75">
              <w:rPr>
                <w:rFonts w:ascii="Arial Narrow" w:hAnsi="Arial Narrow" w:cstheme="minorHAnsi"/>
                <w:b/>
                <w:sz w:val="20"/>
                <w:szCs w:val="20"/>
              </w:rPr>
              <w:t xml:space="preserve"> (%)</w:t>
            </w:r>
          </w:p>
        </w:tc>
        <w:tc>
          <w:tcPr>
            <w:tcW w:w="1127" w:type="dxa"/>
            <w:gridSpan w:val="3"/>
            <w:tcBorders>
              <w:top w:val="single" w:sz="4" w:space="0" w:color="auto"/>
              <w:left w:val="single" w:sz="4" w:space="0" w:color="auto"/>
              <w:bottom w:val="single" w:sz="4" w:space="0" w:color="auto"/>
              <w:right w:val="single" w:sz="4" w:space="0" w:color="auto"/>
            </w:tcBorders>
            <w:vAlign w:val="center"/>
          </w:tcPr>
          <w:p w14:paraId="45CDFCC6" w14:textId="77777777" w:rsidR="00C179A6" w:rsidRPr="00F04A75" w:rsidRDefault="00C179A6" w:rsidP="00B26A7F">
            <w:pPr>
              <w:keepNext/>
              <w:jc w:val="center"/>
              <w:rPr>
                <w:rFonts w:ascii="Arial Narrow" w:hAnsi="Arial Narrow" w:cstheme="minorHAnsi"/>
                <w:sz w:val="20"/>
                <w:szCs w:val="20"/>
              </w:rPr>
            </w:pPr>
            <w:r w:rsidRPr="00F04A75">
              <w:rPr>
                <w:rFonts w:ascii="Arial Narrow" w:hAnsi="Arial Narrow" w:cstheme="minorHAnsi"/>
                <w:b/>
                <w:sz w:val="20"/>
                <w:szCs w:val="20"/>
              </w:rPr>
              <w:t>Median, months</w:t>
            </w:r>
            <w:r w:rsidRPr="00F04A75">
              <w:rPr>
                <w:rFonts w:ascii="Arial Narrow" w:hAnsi="Arial Narrow" w:cstheme="minorHAnsi"/>
                <w:b/>
                <w:sz w:val="20"/>
                <w:szCs w:val="20"/>
              </w:rPr>
              <w:br/>
              <w:t>(95% CI)</w:t>
            </w:r>
          </w:p>
        </w:tc>
        <w:tc>
          <w:tcPr>
            <w:tcW w:w="101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A671CDD" w14:textId="77777777" w:rsidR="00C179A6" w:rsidRPr="00F04A75" w:rsidRDefault="00C179A6" w:rsidP="00B26A7F">
            <w:pPr>
              <w:keepNext/>
              <w:jc w:val="center"/>
              <w:rPr>
                <w:rFonts w:ascii="Arial Narrow" w:eastAsia="TimesNewRoman" w:hAnsi="Arial Narrow" w:cs="Times New Roman"/>
                <w:color w:val="000000"/>
                <w:sz w:val="20"/>
                <w:szCs w:val="20"/>
              </w:rPr>
            </w:pPr>
            <w:r w:rsidRPr="00F04A75">
              <w:rPr>
                <w:rFonts w:ascii="Arial Narrow" w:hAnsi="Arial Narrow" w:cstheme="minorHAnsi"/>
                <w:b/>
                <w:sz w:val="20"/>
                <w:szCs w:val="20"/>
              </w:rPr>
              <w:t>Events</w:t>
            </w:r>
            <w:r w:rsidRPr="00F04A75">
              <w:rPr>
                <w:rFonts w:ascii="Arial Narrow" w:hAnsi="Arial Narrow" w:cstheme="minorHAnsi"/>
                <w:b/>
                <w:sz w:val="20"/>
                <w:szCs w:val="20"/>
              </w:rPr>
              <w:br/>
              <w:t>n</w:t>
            </w:r>
            <w:r w:rsidR="000E334C" w:rsidRPr="00F04A75">
              <w:rPr>
                <w:rFonts w:ascii="Arial Narrow" w:hAnsi="Arial Narrow" w:cstheme="minorHAnsi"/>
                <w:b/>
                <w:sz w:val="20"/>
                <w:szCs w:val="20"/>
              </w:rPr>
              <w:t>/N</w:t>
            </w:r>
            <w:r w:rsidRPr="00F04A75">
              <w:rPr>
                <w:rFonts w:ascii="Arial Narrow" w:hAnsi="Arial Narrow" w:cstheme="minorHAnsi"/>
                <w:b/>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30CAF119" w14:textId="77777777" w:rsidR="00C179A6" w:rsidRPr="00F04A75" w:rsidRDefault="00C179A6" w:rsidP="00B26A7F">
            <w:pPr>
              <w:keepNext/>
              <w:jc w:val="center"/>
              <w:rPr>
                <w:rFonts w:ascii="Arial Narrow" w:hAnsi="Arial Narrow" w:cstheme="minorHAnsi"/>
                <w:sz w:val="20"/>
                <w:szCs w:val="20"/>
              </w:rPr>
            </w:pPr>
            <w:r w:rsidRPr="00F04A75">
              <w:rPr>
                <w:rFonts w:ascii="Arial Narrow" w:hAnsi="Arial Narrow" w:cstheme="minorHAnsi"/>
                <w:b/>
                <w:sz w:val="20"/>
                <w:szCs w:val="20"/>
              </w:rPr>
              <w:t>Median, months</w:t>
            </w:r>
            <w:r w:rsidRPr="00F04A75">
              <w:rPr>
                <w:rFonts w:ascii="Arial Narrow" w:hAnsi="Arial Narrow" w:cstheme="minorHAnsi"/>
                <w:b/>
                <w:sz w:val="20"/>
                <w:szCs w:val="20"/>
              </w:rPr>
              <w:br/>
              <w:t>(95% CI)</w:t>
            </w:r>
          </w:p>
        </w:tc>
        <w:tc>
          <w:tcPr>
            <w:tcW w:w="992" w:type="dxa"/>
            <w:vMerge/>
            <w:tcBorders>
              <w:left w:val="single" w:sz="4" w:space="0" w:color="auto"/>
              <w:bottom w:val="single" w:sz="4" w:space="0" w:color="auto"/>
              <w:right w:val="single" w:sz="4" w:space="0" w:color="auto"/>
            </w:tcBorders>
            <w:shd w:val="clear" w:color="auto" w:fill="auto"/>
            <w:tcMar>
              <w:left w:w="28" w:type="dxa"/>
              <w:right w:w="28" w:type="dxa"/>
            </w:tcMar>
            <w:vAlign w:val="center"/>
          </w:tcPr>
          <w:p w14:paraId="7490295D" w14:textId="77777777" w:rsidR="00C179A6" w:rsidRPr="00F04A75" w:rsidRDefault="00C179A6" w:rsidP="00B26A7F">
            <w:pPr>
              <w:keepNext/>
              <w:jc w:val="center"/>
              <w:rPr>
                <w:rFonts w:ascii="Arial Narrow" w:hAnsi="Arial Narrow" w:cs="Times New Roman"/>
                <w:iCs/>
                <w:sz w:val="20"/>
                <w:szCs w:val="20"/>
                <w:lang w:eastAsia="en-US"/>
              </w:rPr>
            </w:pPr>
          </w:p>
        </w:tc>
        <w:tc>
          <w:tcPr>
            <w:tcW w:w="1366" w:type="dxa"/>
            <w:vMerge/>
            <w:tcBorders>
              <w:left w:val="single" w:sz="4" w:space="0" w:color="auto"/>
              <w:bottom w:val="single" w:sz="4" w:space="0" w:color="auto"/>
              <w:right w:val="single" w:sz="4" w:space="0" w:color="auto"/>
            </w:tcBorders>
            <w:shd w:val="clear" w:color="auto" w:fill="auto"/>
            <w:tcMar>
              <w:left w:w="28" w:type="dxa"/>
              <w:right w:w="28" w:type="dxa"/>
            </w:tcMar>
            <w:vAlign w:val="center"/>
          </w:tcPr>
          <w:p w14:paraId="598FDA75" w14:textId="77777777" w:rsidR="00C179A6" w:rsidRPr="00F04A75" w:rsidRDefault="00C179A6" w:rsidP="00B26A7F">
            <w:pPr>
              <w:keepNext/>
              <w:jc w:val="center"/>
              <w:rPr>
                <w:rFonts w:ascii="Arial Narrow" w:hAnsi="Arial Narrow"/>
                <w:b/>
                <w:bCs/>
                <w:sz w:val="20"/>
                <w:szCs w:val="20"/>
              </w:rPr>
            </w:pPr>
          </w:p>
        </w:tc>
      </w:tr>
      <w:tr w:rsidR="009E4973" w:rsidRPr="00F04A75" w14:paraId="4DABEB7E" w14:textId="77777777" w:rsidTr="009E4973">
        <w:trPr>
          <w:trHeight w:val="20"/>
        </w:trPr>
        <w:tc>
          <w:tcPr>
            <w:tcW w:w="9016" w:type="dxa"/>
            <w:gridSpan w:val="10"/>
            <w:tcBorders>
              <w:top w:val="single" w:sz="4" w:space="0" w:color="auto"/>
              <w:left w:val="single" w:sz="4" w:space="0" w:color="auto"/>
              <w:bottom w:val="single" w:sz="4" w:space="0" w:color="auto"/>
              <w:right w:val="single" w:sz="4" w:space="0" w:color="auto"/>
            </w:tcBorders>
            <w:tcMar>
              <w:left w:w="28" w:type="dxa"/>
              <w:right w:w="28" w:type="dxa"/>
            </w:tcMar>
          </w:tcPr>
          <w:p w14:paraId="23D8C28A" w14:textId="77777777" w:rsidR="009E4973" w:rsidRPr="00F04A75" w:rsidRDefault="009E4973" w:rsidP="00B26A7F">
            <w:pPr>
              <w:keepNext/>
              <w:jc w:val="left"/>
              <w:rPr>
                <w:rFonts w:ascii="Arial Narrow" w:hAnsi="Arial Narrow"/>
                <w:b/>
                <w:bCs/>
                <w:sz w:val="20"/>
                <w:szCs w:val="20"/>
              </w:rPr>
            </w:pPr>
            <w:r w:rsidRPr="00F04A75">
              <w:rPr>
                <w:rFonts w:ascii="Arial Narrow" w:hAnsi="Arial Narrow" w:cs="Times New Roman"/>
                <w:b/>
                <w:sz w:val="20"/>
                <w:szCs w:val="20"/>
                <w:lang w:eastAsia="en-US"/>
              </w:rPr>
              <w:t>PFS</w:t>
            </w:r>
          </w:p>
        </w:tc>
      </w:tr>
      <w:tr w:rsidR="00F8421F" w:rsidRPr="00F04A75" w14:paraId="38BB2720" w14:textId="77777777" w:rsidTr="009E4973">
        <w:trPr>
          <w:trHeight w:val="20"/>
        </w:trPr>
        <w:tc>
          <w:tcPr>
            <w:tcW w:w="1271" w:type="dxa"/>
            <w:tcBorders>
              <w:top w:val="single" w:sz="4" w:space="0" w:color="auto"/>
              <w:left w:val="single" w:sz="4" w:space="0" w:color="auto"/>
              <w:bottom w:val="single" w:sz="4" w:space="0" w:color="auto"/>
              <w:right w:val="single" w:sz="4" w:space="0" w:color="auto"/>
            </w:tcBorders>
            <w:tcMar>
              <w:left w:w="28" w:type="dxa"/>
              <w:right w:w="28" w:type="dxa"/>
            </w:tcMar>
          </w:tcPr>
          <w:p w14:paraId="577625ED" w14:textId="77777777" w:rsidR="00F8421F" w:rsidRPr="00F04A75" w:rsidRDefault="00F8421F" w:rsidP="00B26A7F">
            <w:pPr>
              <w:keepNext/>
              <w:jc w:val="left"/>
              <w:rPr>
                <w:rFonts w:ascii="Arial Narrow" w:hAnsi="Arial Narrow" w:cs="Times New Roman"/>
                <w:sz w:val="20"/>
                <w:szCs w:val="20"/>
                <w:lang w:eastAsia="en-US"/>
              </w:rPr>
            </w:pPr>
            <w:r w:rsidRPr="00F04A75">
              <w:rPr>
                <w:rFonts w:ascii="Arial Narrow" w:hAnsi="Arial Narrow" w:cs="Times New Roman"/>
                <w:sz w:val="20"/>
                <w:szCs w:val="20"/>
                <w:lang w:eastAsia="en-US"/>
              </w:rPr>
              <w:t xml:space="preserve">ASPIRE </w:t>
            </w:r>
            <w:r w:rsidR="009E4973" w:rsidRPr="00F04A75">
              <w:rPr>
                <w:rFonts w:ascii="Arial Narrow" w:hAnsi="Arial Narrow" w:cs="Times New Roman"/>
                <w:sz w:val="20"/>
                <w:szCs w:val="20"/>
                <w:lang w:eastAsia="en-US"/>
              </w:rPr>
              <w:br/>
            </w:r>
            <w:proofErr w:type="spellStart"/>
            <w:r w:rsidR="009E4973" w:rsidRPr="00F04A75">
              <w:rPr>
                <w:rFonts w:ascii="Arial Narrow" w:hAnsi="Arial Narrow" w:cs="Times New Roman"/>
                <w:sz w:val="20"/>
                <w:szCs w:val="20"/>
                <w:lang w:eastAsia="en-US"/>
              </w:rPr>
              <w:t>CLd</w:t>
            </w:r>
            <w:proofErr w:type="spellEnd"/>
            <w:r w:rsidR="009E4973" w:rsidRPr="00F04A75">
              <w:rPr>
                <w:rFonts w:ascii="Arial Narrow" w:hAnsi="Arial Narrow" w:cs="Times New Roman"/>
                <w:sz w:val="20"/>
                <w:szCs w:val="20"/>
                <w:lang w:eastAsia="en-US"/>
              </w:rPr>
              <w:t xml:space="preserve"> vs </w:t>
            </w:r>
            <w:proofErr w:type="spellStart"/>
            <w:r w:rsidR="009E4973" w:rsidRPr="00F04A75">
              <w:rPr>
                <w:rFonts w:ascii="Arial Narrow" w:hAnsi="Arial Narrow" w:cs="Times New Roman"/>
                <w:sz w:val="20"/>
                <w:szCs w:val="20"/>
                <w:lang w:eastAsia="en-US"/>
              </w:rPr>
              <w:t>Ld</w:t>
            </w:r>
            <w:proofErr w:type="spellEnd"/>
            <w:r w:rsidR="009E4973" w:rsidRPr="00F04A75">
              <w:rPr>
                <w:rFonts w:ascii="Arial Narrow" w:hAnsi="Arial Narrow" w:cs="Times New Roman"/>
                <w:sz w:val="20"/>
                <w:szCs w:val="20"/>
                <w:lang w:eastAsia="en-US"/>
              </w:rPr>
              <w:br/>
            </w:r>
            <w:r w:rsidRPr="00F04A75">
              <w:rPr>
                <w:rFonts w:ascii="Arial Narrow" w:hAnsi="Arial Narrow" w:cs="Times New Roman"/>
                <w:sz w:val="20"/>
                <w:szCs w:val="20"/>
                <w:lang w:eastAsia="en-US"/>
              </w:rPr>
              <w:t>16 Jun 2014</w:t>
            </w:r>
            <w:r w:rsidRPr="00F04A75">
              <w:rPr>
                <w:rFonts w:ascii="Arial Narrow" w:hAnsi="Arial Narrow" w:cs="Times New Roman"/>
                <w:sz w:val="20"/>
                <w:szCs w:val="20"/>
                <w:vertAlign w:val="superscript"/>
                <w:lang w:eastAsia="en-US"/>
              </w:rPr>
              <w:t>a</w:t>
            </w:r>
          </w:p>
        </w:tc>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A99D72D" w14:textId="77777777" w:rsidR="00F8421F" w:rsidRPr="00F04A75" w:rsidRDefault="00F8421F" w:rsidP="00B26A7F">
            <w:pPr>
              <w:keepNext/>
              <w:jc w:val="center"/>
              <w:rPr>
                <w:rFonts w:ascii="Arial Narrow" w:hAnsi="Arial Narrow" w:cs="Times New Roman"/>
                <w:iCs/>
                <w:sz w:val="20"/>
                <w:szCs w:val="20"/>
                <w:lang w:eastAsia="en-US"/>
              </w:rPr>
            </w:pPr>
            <w:r w:rsidRPr="00F04A75">
              <w:rPr>
                <w:rFonts w:ascii="Arial Narrow" w:hAnsi="Arial Narrow" w:cs="Times New Roman"/>
                <w:iCs/>
                <w:sz w:val="20"/>
                <w:szCs w:val="20"/>
                <w:lang w:eastAsia="en-US"/>
              </w:rPr>
              <w:t xml:space="preserve">31 </w:t>
            </w:r>
          </w:p>
        </w:tc>
        <w:tc>
          <w:tcPr>
            <w:tcW w:w="97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AE0D0A3" w14:textId="77777777" w:rsidR="00F8421F" w:rsidRPr="00F04A75" w:rsidRDefault="00F8421F" w:rsidP="00B26A7F">
            <w:pPr>
              <w:keepNext/>
              <w:jc w:val="center"/>
              <w:rPr>
                <w:rFonts w:ascii="Arial Narrow" w:hAnsi="Arial Narrow" w:cs="Times New Roman"/>
                <w:iCs/>
                <w:sz w:val="20"/>
                <w:szCs w:val="20"/>
                <w:lang w:eastAsia="en-US"/>
              </w:rPr>
            </w:pPr>
            <w:r w:rsidRPr="00F04A75">
              <w:rPr>
                <w:rFonts w:ascii="Arial Narrow" w:hAnsi="Arial Narrow"/>
                <w:sz w:val="20"/>
                <w:szCs w:val="20"/>
              </w:rPr>
              <w:t>207</w:t>
            </w:r>
            <w:r w:rsidR="00993152" w:rsidRPr="00F04A75">
              <w:rPr>
                <w:rFonts w:ascii="Arial Narrow" w:hAnsi="Arial Narrow"/>
                <w:sz w:val="20"/>
                <w:szCs w:val="20"/>
              </w:rPr>
              <w:t>/396</w:t>
            </w:r>
            <w:r w:rsidRPr="00F04A75">
              <w:rPr>
                <w:rFonts w:ascii="Arial Narrow" w:hAnsi="Arial Narrow"/>
                <w:sz w:val="20"/>
                <w:szCs w:val="20"/>
              </w:rPr>
              <w:t xml:space="preserve"> (52.3</w:t>
            </w:r>
            <w:r w:rsidR="009E4973" w:rsidRPr="00F04A75">
              <w:rPr>
                <w:rFonts w:ascii="Arial Narrow" w:hAnsi="Arial Narrow"/>
                <w:sz w:val="20"/>
                <w:szCs w:val="20"/>
              </w:rPr>
              <w:t>%</w:t>
            </w:r>
            <w:r w:rsidRPr="00F04A75">
              <w:rPr>
                <w:rFonts w:ascii="Arial Narrow" w:hAnsi="Arial Narrow"/>
                <w:sz w:val="20"/>
                <w:szCs w:val="20"/>
              </w:rPr>
              <w:t>)</w:t>
            </w:r>
          </w:p>
        </w:tc>
        <w:tc>
          <w:tcPr>
            <w:tcW w:w="1127" w:type="dxa"/>
            <w:gridSpan w:val="3"/>
            <w:tcBorders>
              <w:top w:val="single" w:sz="4" w:space="0" w:color="auto"/>
              <w:left w:val="single" w:sz="4" w:space="0" w:color="auto"/>
              <w:bottom w:val="single" w:sz="4" w:space="0" w:color="auto"/>
              <w:right w:val="single" w:sz="4" w:space="0" w:color="auto"/>
            </w:tcBorders>
            <w:vAlign w:val="center"/>
          </w:tcPr>
          <w:p w14:paraId="0DB0B74A" w14:textId="77777777" w:rsidR="00F8421F" w:rsidRPr="00F04A75" w:rsidRDefault="00F8421F" w:rsidP="00B26A7F">
            <w:pPr>
              <w:keepNext/>
              <w:jc w:val="center"/>
              <w:rPr>
                <w:rFonts w:ascii="Arial Narrow" w:eastAsia="TimesNewRoman" w:hAnsi="Arial Narrow" w:cs="Times New Roman"/>
                <w:color w:val="000000"/>
                <w:sz w:val="20"/>
                <w:szCs w:val="20"/>
              </w:rPr>
            </w:pPr>
            <w:r w:rsidRPr="00F04A75">
              <w:rPr>
                <w:rFonts w:ascii="Arial Narrow" w:hAnsi="Arial Narrow" w:cstheme="minorHAnsi"/>
                <w:sz w:val="20"/>
                <w:szCs w:val="20"/>
              </w:rPr>
              <w:t>26.3 (23.3,</w:t>
            </w:r>
            <w:r w:rsidRPr="00F04A75">
              <w:rPr>
                <w:rFonts w:ascii="Arial" w:hAnsi="Arial"/>
                <w:sz w:val="20"/>
                <w:szCs w:val="20"/>
              </w:rPr>
              <w:t> </w:t>
            </w:r>
            <w:r w:rsidRPr="00F04A75">
              <w:rPr>
                <w:rFonts w:ascii="Arial Narrow" w:hAnsi="Arial Narrow" w:cstheme="minorHAnsi"/>
                <w:sz w:val="20"/>
                <w:szCs w:val="20"/>
              </w:rPr>
              <w:t>30.5)</w:t>
            </w:r>
          </w:p>
        </w:tc>
        <w:tc>
          <w:tcPr>
            <w:tcW w:w="101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F743C97" w14:textId="77777777" w:rsidR="00F8421F" w:rsidRPr="00F04A75" w:rsidRDefault="00F8421F" w:rsidP="00B26A7F">
            <w:pPr>
              <w:keepNext/>
              <w:jc w:val="center"/>
              <w:rPr>
                <w:rFonts w:ascii="Arial Narrow" w:hAnsi="Arial Narrow" w:cs="Times New Roman"/>
                <w:iCs/>
                <w:sz w:val="20"/>
                <w:szCs w:val="20"/>
                <w:lang w:eastAsia="en-US"/>
              </w:rPr>
            </w:pPr>
            <w:r w:rsidRPr="00F04A75">
              <w:rPr>
                <w:rFonts w:ascii="Arial Narrow" w:eastAsia="TimesNewRoman" w:hAnsi="Arial Narrow" w:cs="Times New Roman"/>
                <w:color w:val="000000"/>
                <w:sz w:val="20"/>
                <w:szCs w:val="20"/>
              </w:rPr>
              <w:t>224</w:t>
            </w:r>
            <w:r w:rsidR="00820069" w:rsidRPr="00F04A75">
              <w:rPr>
                <w:rFonts w:ascii="Arial Narrow" w:eastAsia="TimesNewRoman" w:hAnsi="Arial Narrow" w:cs="Times New Roman"/>
                <w:color w:val="000000"/>
                <w:sz w:val="20"/>
                <w:szCs w:val="20"/>
              </w:rPr>
              <w:t>/396</w:t>
            </w:r>
            <w:r w:rsidRPr="00F04A75">
              <w:rPr>
                <w:rFonts w:ascii="Arial Narrow" w:eastAsia="TimesNewRoman" w:hAnsi="Arial Narrow" w:cs="Times New Roman"/>
                <w:color w:val="000000"/>
                <w:sz w:val="20"/>
                <w:szCs w:val="20"/>
              </w:rPr>
              <w:t xml:space="preserve"> (56.6</w:t>
            </w:r>
            <w:r w:rsidR="009E4973" w:rsidRPr="00F04A75">
              <w:rPr>
                <w:rFonts w:ascii="Arial Narrow" w:eastAsia="TimesNewRoman" w:hAnsi="Arial Narrow" w:cs="Times New Roman"/>
                <w:color w:val="000000"/>
                <w:sz w:val="20"/>
                <w:szCs w:val="20"/>
              </w:rPr>
              <w:t>%</w:t>
            </w:r>
            <w:r w:rsidRPr="00F04A75">
              <w:rPr>
                <w:rFonts w:ascii="Arial Narrow" w:eastAsia="TimesNewRoman" w:hAnsi="Arial Narrow" w:cs="Times New Roman"/>
                <w:color w:val="000000"/>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14:paraId="39455B3A" w14:textId="77777777" w:rsidR="00F8421F" w:rsidRPr="00F04A75" w:rsidRDefault="00F8421F" w:rsidP="00B26A7F">
            <w:pPr>
              <w:keepNext/>
              <w:jc w:val="center"/>
              <w:rPr>
                <w:rFonts w:ascii="Arial Narrow" w:hAnsi="Arial Narrow" w:cstheme="minorHAnsi"/>
                <w:sz w:val="20"/>
                <w:szCs w:val="20"/>
              </w:rPr>
            </w:pPr>
            <w:r w:rsidRPr="00F04A75">
              <w:rPr>
                <w:rFonts w:ascii="Arial Narrow" w:hAnsi="Arial Narrow" w:cstheme="minorHAnsi"/>
                <w:sz w:val="20"/>
                <w:szCs w:val="20"/>
              </w:rPr>
              <w:t>17.6</w:t>
            </w:r>
          </w:p>
          <w:p w14:paraId="34C988E7" w14:textId="77777777" w:rsidR="00F8421F" w:rsidRPr="00F04A75" w:rsidRDefault="00F8421F" w:rsidP="00B26A7F">
            <w:pPr>
              <w:keepNext/>
              <w:jc w:val="center"/>
              <w:rPr>
                <w:rFonts w:ascii="Arial Narrow" w:hAnsi="Arial Narrow" w:cs="Times New Roman"/>
                <w:iCs/>
                <w:sz w:val="20"/>
                <w:szCs w:val="20"/>
                <w:lang w:eastAsia="en-US"/>
              </w:rPr>
            </w:pPr>
            <w:r w:rsidRPr="00F04A75">
              <w:rPr>
                <w:rFonts w:ascii="Arial Narrow" w:hAnsi="Arial Narrow" w:cstheme="minorHAnsi"/>
                <w:sz w:val="20"/>
                <w:szCs w:val="20"/>
              </w:rPr>
              <w:t>(15.0, 20.6)</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295CEAD" w14:textId="77777777" w:rsidR="00F8421F" w:rsidRPr="00F04A75" w:rsidRDefault="00F8421F" w:rsidP="00B26A7F">
            <w:pPr>
              <w:keepNext/>
              <w:jc w:val="center"/>
              <w:rPr>
                <w:rFonts w:ascii="Arial Narrow" w:hAnsi="Arial Narrow" w:cs="Times New Roman"/>
                <w:i/>
                <w:sz w:val="20"/>
                <w:szCs w:val="20"/>
                <w:lang w:eastAsia="en-US"/>
              </w:rPr>
            </w:pPr>
            <w:r w:rsidRPr="00F04A75">
              <w:rPr>
                <w:rFonts w:ascii="Arial Narrow" w:hAnsi="Arial Narrow" w:cs="Times New Roman"/>
                <w:iCs/>
                <w:sz w:val="20"/>
                <w:szCs w:val="20"/>
                <w:lang w:eastAsia="en-US"/>
              </w:rPr>
              <w:t>8.7</w:t>
            </w:r>
          </w:p>
        </w:tc>
        <w:tc>
          <w:tcPr>
            <w:tcW w:w="136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82684A3" w14:textId="77777777" w:rsidR="00F8421F" w:rsidRPr="00F04A75" w:rsidRDefault="00F8421F" w:rsidP="00B26A7F">
            <w:pPr>
              <w:keepNext/>
              <w:jc w:val="center"/>
              <w:rPr>
                <w:rFonts w:ascii="Arial Narrow" w:hAnsi="Arial Narrow"/>
                <w:b/>
                <w:bCs/>
                <w:sz w:val="20"/>
                <w:szCs w:val="20"/>
              </w:rPr>
            </w:pPr>
            <w:r w:rsidRPr="00F04A75">
              <w:rPr>
                <w:rFonts w:ascii="Arial Narrow" w:hAnsi="Arial Narrow"/>
                <w:b/>
                <w:bCs/>
                <w:sz w:val="20"/>
                <w:szCs w:val="20"/>
              </w:rPr>
              <w:t>0.69</w:t>
            </w:r>
            <w:r w:rsidRPr="00F04A75">
              <w:rPr>
                <w:rFonts w:ascii="Arial Narrow" w:hAnsi="Arial Narrow"/>
                <w:b/>
                <w:bCs/>
                <w:sz w:val="20"/>
                <w:szCs w:val="20"/>
              </w:rPr>
              <w:br/>
              <w:t>(0.57, 0.83)</w:t>
            </w:r>
          </w:p>
        </w:tc>
      </w:tr>
      <w:tr w:rsidR="00F8421F" w:rsidRPr="00F04A75" w14:paraId="114F5120" w14:textId="77777777" w:rsidTr="009E4973">
        <w:trPr>
          <w:trHeight w:val="20"/>
        </w:trPr>
        <w:tc>
          <w:tcPr>
            <w:tcW w:w="1271" w:type="dxa"/>
            <w:tcBorders>
              <w:top w:val="single" w:sz="4" w:space="0" w:color="auto"/>
              <w:left w:val="single" w:sz="4" w:space="0" w:color="auto"/>
              <w:bottom w:val="single" w:sz="4" w:space="0" w:color="auto"/>
              <w:right w:val="single" w:sz="4" w:space="0" w:color="auto"/>
            </w:tcBorders>
            <w:tcMar>
              <w:left w:w="28" w:type="dxa"/>
              <w:right w:w="28" w:type="dxa"/>
            </w:tcMar>
          </w:tcPr>
          <w:p w14:paraId="7ED8BC28" w14:textId="77777777" w:rsidR="009E4973" w:rsidRPr="00F04A75" w:rsidRDefault="00F8421F" w:rsidP="00B26A7F">
            <w:pPr>
              <w:keepNext/>
              <w:jc w:val="left"/>
              <w:rPr>
                <w:rFonts w:ascii="Arial Narrow" w:hAnsi="Arial Narrow" w:cs="Times New Roman"/>
                <w:sz w:val="20"/>
                <w:szCs w:val="20"/>
                <w:lang w:eastAsia="en-US"/>
              </w:rPr>
            </w:pPr>
            <w:r w:rsidRPr="00F04A75">
              <w:rPr>
                <w:rFonts w:ascii="Arial Narrow" w:hAnsi="Arial Narrow" w:cs="Times New Roman"/>
                <w:sz w:val="20"/>
                <w:szCs w:val="20"/>
                <w:lang w:eastAsia="en-US"/>
              </w:rPr>
              <w:t xml:space="preserve">ENDEAVOR </w:t>
            </w:r>
          </w:p>
          <w:p w14:paraId="5BB739F3" w14:textId="77777777" w:rsidR="00F8421F" w:rsidRPr="00F04A75" w:rsidRDefault="009E4973" w:rsidP="00B26A7F">
            <w:pPr>
              <w:keepNext/>
              <w:jc w:val="left"/>
              <w:rPr>
                <w:rFonts w:ascii="Arial Narrow" w:hAnsi="Arial Narrow" w:cs="Times New Roman"/>
                <w:sz w:val="20"/>
                <w:szCs w:val="20"/>
                <w:lang w:eastAsia="en-US"/>
              </w:rPr>
            </w:pPr>
            <w:r w:rsidRPr="00F04A75">
              <w:rPr>
                <w:rFonts w:ascii="Arial Narrow" w:hAnsi="Arial Narrow" w:cs="Times New Roman"/>
                <w:sz w:val="20"/>
                <w:szCs w:val="20"/>
                <w:lang w:eastAsia="en-US"/>
              </w:rPr>
              <w:t>Cd vs Bd</w:t>
            </w:r>
            <w:r w:rsidRPr="00F04A75">
              <w:rPr>
                <w:rFonts w:ascii="Arial Narrow" w:hAnsi="Arial Narrow" w:cs="Times New Roman"/>
                <w:sz w:val="20"/>
                <w:szCs w:val="20"/>
                <w:lang w:eastAsia="en-US"/>
              </w:rPr>
              <w:br/>
            </w:r>
            <w:r w:rsidR="00F8421F" w:rsidRPr="00F04A75">
              <w:rPr>
                <w:rFonts w:ascii="Arial Narrow" w:hAnsi="Arial Narrow" w:cs="Times New Roman"/>
                <w:sz w:val="20"/>
                <w:szCs w:val="20"/>
                <w:lang w:eastAsia="en-US"/>
              </w:rPr>
              <w:t>10 Nov 2014</w:t>
            </w:r>
            <w:r w:rsidR="00F8421F" w:rsidRPr="00F04A75">
              <w:rPr>
                <w:rFonts w:ascii="Arial Narrow" w:hAnsi="Arial Narrow" w:cs="Times New Roman"/>
                <w:sz w:val="20"/>
                <w:szCs w:val="20"/>
                <w:vertAlign w:val="superscript"/>
                <w:lang w:eastAsia="en-US"/>
              </w:rPr>
              <w:t>b</w:t>
            </w:r>
            <w:r w:rsidR="00F8421F" w:rsidRPr="00F04A75">
              <w:rPr>
                <w:rFonts w:ascii="Arial Narrow" w:hAnsi="Arial Narrow" w:cs="Times New Roman"/>
                <w:sz w:val="20"/>
                <w:szCs w:val="20"/>
                <w:lang w:eastAsia="en-US"/>
              </w:rPr>
              <w:t xml:space="preserve"> </w:t>
            </w:r>
          </w:p>
        </w:tc>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F36FD04" w14:textId="77777777" w:rsidR="00F8421F" w:rsidRPr="00F04A75" w:rsidRDefault="00F8421F" w:rsidP="00B26A7F">
            <w:pPr>
              <w:keepNext/>
              <w:jc w:val="center"/>
              <w:rPr>
                <w:rFonts w:ascii="Arial Narrow" w:hAnsi="Arial Narrow" w:cs="Times New Roman"/>
                <w:sz w:val="20"/>
                <w:szCs w:val="20"/>
                <w:lang w:eastAsia="en-US"/>
              </w:rPr>
            </w:pPr>
            <w:r w:rsidRPr="00F04A75">
              <w:rPr>
                <w:rFonts w:ascii="Arial Narrow" w:hAnsi="Arial Narrow" w:cs="Times New Roman"/>
                <w:sz w:val="20"/>
                <w:szCs w:val="20"/>
                <w:lang w:eastAsia="en-US"/>
              </w:rPr>
              <w:t>11.5</w:t>
            </w:r>
          </w:p>
        </w:tc>
        <w:tc>
          <w:tcPr>
            <w:tcW w:w="97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B953ED9" w14:textId="77777777" w:rsidR="00F8421F" w:rsidRPr="00F04A75" w:rsidRDefault="00F8421F" w:rsidP="00B26A7F">
            <w:pPr>
              <w:keepNext/>
              <w:jc w:val="center"/>
              <w:rPr>
                <w:rFonts w:ascii="Arial Narrow" w:hAnsi="Arial Narrow" w:cs="Times New Roman"/>
                <w:sz w:val="20"/>
                <w:szCs w:val="20"/>
                <w:lang w:eastAsia="en-US"/>
              </w:rPr>
            </w:pPr>
            <w:r w:rsidRPr="00F04A75">
              <w:rPr>
                <w:rFonts w:ascii="Arial Narrow" w:eastAsia="TimesNewRoman" w:hAnsi="Arial Narrow" w:cs="Times New Roman"/>
                <w:color w:val="000000"/>
                <w:sz w:val="20"/>
                <w:szCs w:val="20"/>
              </w:rPr>
              <w:t>171</w:t>
            </w:r>
            <w:r w:rsidR="00820069" w:rsidRPr="00F04A75">
              <w:rPr>
                <w:rFonts w:ascii="Arial Narrow" w:eastAsia="TimesNewRoman" w:hAnsi="Arial Narrow" w:cs="Times New Roman"/>
                <w:color w:val="000000"/>
                <w:sz w:val="20"/>
                <w:szCs w:val="20"/>
              </w:rPr>
              <w:t>/464</w:t>
            </w:r>
            <w:r w:rsidRPr="00F04A75">
              <w:rPr>
                <w:rFonts w:ascii="Arial Narrow" w:eastAsia="TimesNewRoman" w:hAnsi="Arial Narrow" w:cs="Times New Roman"/>
                <w:color w:val="000000"/>
                <w:sz w:val="20"/>
                <w:szCs w:val="20"/>
              </w:rPr>
              <w:t xml:space="preserve"> (36.9</w:t>
            </w:r>
            <w:r w:rsidR="009E4973" w:rsidRPr="00F04A75">
              <w:rPr>
                <w:rFonts w:ascii="Arial Narrow" w:eastAsia="TimesNewRoman" w:hAnsi="Arial Narrow" w:cs="Times New Roman"/>
                <w:color w:val="000000"/>
                <w:sz w:val="20"/>
                <w:szCs w:val="20"/>
              </w:rPr>
              <w:t>%</w:t>
            </w:r>
            <w:r w:rsidRPr="00F04A75">
              <w:rPr>
                <w:rFonts w:ascii="Arial Narrow" w:eastAsia="TimesNewRoman" w:hAnsi="Arial Narrow" w:cs="Times New Roman"/>
                <w:color w:val="000000"/>
                <w:sz w:val="20"/>
                <w:szCs w:val="20"/>
              </w:rPr>
              <w:t>)</w:t>
            </w:r>
          </w:p>
        </w:tc>
        <w:tc>
          <w:tcPr>
            <w:tcW w:w="1127" w:type="dxa"/>
            <w:gridSpan w:val="3"/>
            <w:tcBorders>
              <w:top w:val="single" w:sz="4" w:space="0" w:color="auto"/>
              <w:left w:val="single" w:sz="4" w:space="0" w:color="auto"/>
              <w:bottom w:val="single" w:sz="4" w:space="0" w:color="auto"/>
              <w:right w:val="single" w:sz="4" w:space="0" w:color="auto"/>
            </w:tcBorders>
            <w:vAlign w:val="center"/>
          </w:tcPr>
          <w:p w14:paraId="4798CDBE" w14:textId="77777777" w:rsidR="00F8421F" w:rsidRPr="00F04A75" w:rsidRDefault="00F8421F" w:rsidP="00B26A7F">
            <w:pPr>
              <w:keepNext/>
              <w:keepLines/>
              <w:jc w:val="center"/>
              <w:rPr>
                <w:rFonts w:ascii="Arial Narrow" w:hAnsi="Arial Narrow" w:cstheme="minorHAnsi"/>
                <w:sz w:val="20"/>
                <w:szCs w:val="20"/>
              </w:rPr>
            </w:pPr>
            <w:r w:rsidRPr="00F04A75">
              <w:rPr>
                <w:rFonts w:ascii="Arial Narrow" w:hAnsi="Arial Narrow" w:cstheme="minorHAnsi"/>
                <w:sz w:val="20"/>
                <w:szCs w:val="20"/>
              </w:rPr>
              <w:t>18.7</w:t>
            </w:r>
          </w:p>
          <w:p w14:paraId="4C19D3BB" w14:textId="77777777" w:rsidR="00F8421F" w:rsidRPr="00F04A75" w:rsidRDefault="00F8421F" w:rsidP="00B26A7F">
            <w:pPr>
              <w:keepNext/>
              <w:jc w:val="center"/>
              <w:rPr>
                <w:rFonts w:ascii="Arial Narrow" w:eastAsia="TimesNewRoman" w:hAnsi="Arial Narrow" w:cs="Times New Roman"/>
                <w:color w:val="000000"/>
                <w:sz w:val="20"/>
                <w:szCs w:val="20"/>
              </w:rPr>
            </w:pPr>
            <w:r w:rsidRPr="00F04A75">
              <w:rPr>
                <w:rFonts w:ascii="Arial Narrow" w:hAnsi="Arial Narrow" w:cstheme="minorHAnsi"/>
                <w:sz w:val="20"/>
                <w:szCs w:val="20"/>
              </w:rPr>
              <w:t>(15.6, NE)</w:t>
            </w:r>
          </w:p>
        </w:tc>
        <w:tc>
          <w:tcPr>
            <w:tcW w:w="101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5DC8161" w14:textId="77777777" w:rsidR="00F8421F" w:rsidRPr="00F04A75" w:rsidRDefault="00F8421F" w:rsidP="00B26A7F">
            <w:pPr>
              <w:keepNext/>
              <w:jc w:val="center"/>
              <w:rPr>
                <w:rFonts w:ascii="Arial Narrow" w:hAnsi="Arial Narrow" w:cs="Times New Roman"/>
                <w:sz w:val="20"/>
                <w:szCs w:val="20"/>
                <w:lang w:eastAsia="en-US"/>
              </w:rPr>
            </w:pPr>
            <w:r w:rsidRPr="00F04A75">
              <w:rPr>
                <w:rFonts w:ascii="Arial Narrow" w:eastAsia="TimesNewRoman" w:hAnsi="Arial Narrow" w:cs="Times New Roman"/>
                <w:color w:val="000000"/>
                <w:sz w:val="20"/>
                <w:szCs w:val="20"/>
              </w:rPr>
              <w:t>243</w:t>
            </w:r>
            <w:r w:rsidR="00820069" w:rsidRPr="00F04A75">
              <w:rPr>
                <w:rFonts w:ascii="Arial Narrow" w:eastAsia="TimesNewRoman" w:hAnsi="Arial Narrow" w:cs="Times New Roman"/>
                <w:color w:val="000000"/>
                <w:sz w:val="20"/>
                <w:szCs w:val="20"/>
              </w:rPr>
              <w:t>/46</w:t>
            </w:r>
            <w:r w:rsidR="002621A6" w:rsidRPr="00F04A75">
              <w:rPr>
                <w:rFonts w:ascii="Arial Narrow" w:eastAsia="TimesNewRoman" w:hAnsi="Arial Narrow" w:cs="Times New Roman"/>
                <w:color w:val="000000"/>
                <w:sz w:val="20"/>
                <w:szCs w:val="20"/>
              </w:rPr>
              <w:t>5</w:t>
            </w:r>
            <w:r w:rsidRPr="00F04A75">
              <w:rPr>
                <w:rFonts w:ascii="Arial Narrow" w:eastAsia="TimesNewRoman" w:hAnsi="Arial Narrow" w:cs="Times New Roman"/>
                <w:color w:val="000000"/>
                <w:sz w:val="20"/>
                <w:szCs w:val="20"/>
              </w:rPr>
              <w:t xml:space="preserve"> (52.3</w:t>
            </w:r>
            <w:r w:rsidR="009E4973" w:rsidRPr="00F04A75">
              <w:rPr>
                <w:rFonts w:ascii="Arial Narrow" w:eastAsia="TimesNewRoman" w:hAnsi="Arial Narrow" w:cs="Times New Roman"/>
                <w:color w:val="000000"/>
                <w:sz w:val="20"/>
                <w:szCs w:val="20"/>
              </w:rPr>
              <w:t>%</w:t>
            </w:r>
            <w:r w:rsidRPr="00F04A75">
              <w:rPr>
                <w:rFonts w:ascii="Arial Narrow" w:eastAsia="TimesNewRoman" w:hAnsi="Arial Narrow" w:cs="Times New Roman"/>
                <w:color w:val="000000"/>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14:paraId="475C34EA" w14:textId="77777777" w:rsidR="00F8421F" w:rsidRPr="00F04A75" w:rsidRDefault="00F8421F" w:rsidP="00B26A7F">
            <w:pPr>
              <w:keepNext/>
              <w:keepLines/>
              <w:jc w:val="center"/>
              <w:rPr>
                <w:rFonts w:ascii="Arial Narrow" w:hAnsi="Arial Narrow" w:cstheme="minorHAnsi"/>
                <w:sz w:val="20"/>
                <w:szCs w:val="20"/>
              </w:rPr>
            </w:pPr>
            <w:r w:rsidRPr="00F04A75">
              <w:rPr>
                <w:rFonts w:ascii="Arial Narrow" w:hAnsi="Arial Narrow" w:cstheme="minorHAnsi"/>
                <w:sz w:val="20"/>
                <w:szCs w:val="20"/>
              </w:rPr>
              <w:t>9.4</w:t>
            </w:r>
          </w:p>
          <w:p w14:paraId="3766C435" w14:textId="77777777" w:rsidR="00F8421F" w:rsidRPr="00F04A75" w:rsidRDefault="00F8421F" w:rsidP="00B26A7F">
            <w:pPr>
              <w:keepNext/>
              <w:jc w:val="center"/>
              <w:rPr>
                <w:rFonts w:ascii="Arial Narrow" w:hAnsi="Arial Narrow" w:cs="Times New Roman"/>
                <w:i/>
                <w:sz w:val="20"/>
                <w:szCs w:val="20"/>
                <w:lang w:eastAsia="en-US"/>
              </w:rPr>
            </w:pPr>
            <w:r w:rsidRPr="00F04A75">
              <w:rPr>
                <w:rFonts w:ascii="Arial Narrow" w:hAnsi="Arial Narrow" w:cstheme="minorHAnsi"/>
                <w:sz w:val="20"/>
                <w:szCs w:val="20"/>
              </w:rPr>
              <w:t>(8.4, 10.4)</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C81FEDD" w14:textId="77777777" w:rsidR="00F8421F" w:rsidRPr="00F04A75" w:rsidRDefault="00F8421F" w:rsidP="00B26A7F">
            <w:pPr>
              <w:keepNext/>
              <w:jc w:val="center"/>
              <w:rPr>
                <w:rFonts w:ascii="Arial Narrow" w:hAnsi="Arial Narrow" w:cs="Times New Roman"/>
                <w:i/>
                <w:sz w:val="20"/>
                <w:szCs w:val="20"/>
                <w:lang w:eastAsia="en-US"/>
              </w:rPr>
            </w:pPr>
            <w:r w:rsidRPr="00F04A75">
              <w:rPr>
                <w:rFonts w:ascii="Arial Narrow" w:hAnsi="Arial Narrow" w:cs="Times New Roman"/>
                <w:iCs/>
                <w:sz w:val="20"/>
                <w:szCs w:val="20"/>
                <w:lang w:eastAsia="en-US"/>
              </w:rPr>
              <w:t>9.3</w:t>
            </w:r>
          </w:p>
        </w:tc>
        <w:tc>
          <w:tcPr>
            <w:tcW w:w="136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21B6DC8" w14:textId="77777777" w:rsidR="00F8421F" w:rsidRPr="00F04A75" w:rsidRDefault="00F8421F" w:rsidP="00B26A7F">
            <w:pPr>
              <w:keepNext/>
              <w:jc w:val="center"/>
              <w:rPr>
                <w:rFonts w:ascii="Arial Narrow" w:hAnsi="Arial Narrow"/>
                <w:sz w:val="20"/>
                <w:szCs w:val="20"/>
              </w:rPr>
            </w:pPr>
            <w:r w:rsidRPr="00F04A75">
              <w:rPr>
                <w:rFonts w:ascii="Arial Narrow" w:eastAsia="TimesNewRoman" w:hAnsi="Arial Narrow" w:cs="Times New Roman"/>
                <w:b/>
                <w:color w:val="000000"/>
                <w:sz w:val="20"/>
                <w:szCs w:val="20"/>
              </w:rPr>
              <w:t xml:space="preserve">0.53 </w:t>
            </w:r>
            <w:r w:rsidRPr="00F04A75">
              <w:rPr>
                <w:rFonts w:ascii="Arial Narrow" w:eastAsia="TimesNewRoman" w:hAnsi="Arial Narrow" w:cs="Times New Roman"/>
                <w:b/>
                <w:color w:val="000000"/>
                <w:sz w:val="20"/>
                <w:szCs w:val="20"/>
              </w:rPr>
              <w:br/>
              <w:t>(0.44, 0.65)</w:t>
            </w:r>
          </w:p>
        </w:tc>
      </w:tr>
      <w:tr w:rsidR="00F8421F" w:rsidRPr="00F04A75" w14:paraId="30A3087F" w14:textId="77777777" w:rsidTr="009E4973">
        <w:trPr>
          <w:trHeight w:val="20"/>
        </w:trPr>
        <w:tc>
          <w:tcPr>
            <w:tcW w:w="7650" w:type="dxa"/>
            <w:gridSpan w:val="9"/>
            <w:tcBorders>
              <w:top w:val="single" w:sz="4" w:space="0" w:color="auto"/>
            </w:tcBorders>
            <w:vAlign w:val="center"/>
          </w:tcPr>
          <w:p w14:paraId="2AE7E655" w14:textId="77777777" w:rsidR="00F8421F" w:rsidRPr="00F04A75" w:rsidRDefault="00F8421F" w:rsidP="00B26A7F">
            <w:pPr>
              <w:keepNext/>
              <w:jc w:val="right"/>
              <w:rPr>
                <w:rFonts w:ascii="Arial Narrow" w:hAnsi="Arial Narrow" w:cs="Times New Roman"/>
                <w:b/>
                <w:sz w:val="20"/>
                <w:szCs w:val="20"/>
                <w:lang w:eastAsia="en-US"/>
              </w:rPr>
            </w:pPr>
            <w:r w:rsidRPr="00F04A75">
              <w:rPr>
                <w:rFonts w:ascii="Arial Narrow" w:hAnsi="Arial Narrow" w:cs="Times New Roman"/>
                <w:b/>
                <w:sz w:val="20"/>
                <w:szCs w:val="20"/>
                <w:lang w:eastAsia="en-US"/>
              </w:rPr>
              <w:t xml:space="preserve">Indirect comparison </w:t>
            </w:r>
            <w:proofErr w:type="spellStart"/>
            <w:r w:rsidRPr="00F04A75">
              <w:rPr>
                <w:rFonts w:ascii="Arial Narrow" w:hAnsi="Arial Narrow" w:cs="Times New Roman"/>
                <w:b/>
                <w:sz w:val="20"/>
                <w:szCs w:val="20"/>
                <w:lang w:eastAsia="en-US"/>
              </w:rPr>
              <w:t>CLd</w:t>
            </w:r>
            <w:proofErr w:type="spellEnd"/>
            <w:r w:rsidRPr="00F04A75">
              <w:rPr>
                <w:rFonts w:ascii="Arial Narrow" w:hAnsi="Arial Narrow" w:cs="Times New Roman"/>
                <w:b/>
                <w:sz w:val="20"/>
                <w:szCs w:val="20"/>
                <w:lang w:eastAsia="en-US"/>
              </w:rPr>
              <w:t xml:space="preserve"> vs. Cd</w:t>
            </w:r>
          </w:p>
        </w:tc>
        <w:tc>
          <w:tcPr>
            <w:tcW w:w="1366" w:type="dxa"/>
            <w:tcBorders>
              <w:top w:val="single" w:sz="4" w:space="0" w:color="auto"/>
            </w:tcBorders>
            <w:shd w:val="clear" w:color="auto" w:fill="auto"/>
            <w:tcMar>
              <w:left w:w="28" w:type="dxa"/>
              <w:right w:w="28" w:type="dxa"/>
            </w:tcMar>
          </w:tcPr>
          <w:p w14:paraId="1D7C1D14" w14:textId="77777777" w:rsidR="00F8421F" w:rsidRPr="00F04A75" w:rsidRDefault="00F8421F" w:rsidP="00B26A7F">
            <w:pPr>
              <w:keepNext/>
              <w:jc w:val="center"/>
              <w:rPr>
                <w:rFonts w:ascii="Arial Narrow" w:hAnsi="Arial Narrow" w:cs="Times New Roman"/>
                <w:sz w:val="20"/>
                <w:szCs w:val="20"/>
                <w:lang w:eastAsia="en-US"/>
              </w:rPr>
            </w:pPr>
            <w:r w:rsidRPr="00F04A75">
              <w:rPr>
                <w:rFonts w:ascii="Arial Narrow" w:hAnsi="Arial Narrow" w:cs="Times New Roman"/>
                <w:sz w:val="20"/>
                <w:szCs w:val="20"/>
                <w:lang w:eastAsia="en-US"/>
              </w:rPr>
              <w:t xml:space="preserve">1.29 </w:t>
            </w:r>
          </w:p>
          <w:p w14:paraId="3D7445B5" w14:textId="77777777" w:rsidR="00F8421F" w:rsidRPr="00F04A75" w:rsidRDefault="00F8421F" w:rsidP="00B26A7F">
            <w:pPr>
              <w:keepNext/>
              <w:jc w:val="center"/>
              <w:rPr>
                <w:rFonts w:ascii="Arial Narrow" w:hAnsi="Arial Narrow" w:cs="Times New Roman"/>
                <w:sz w:val="20"/>
                <w:szCs w:val="20"/>
                <w:lang w:eastAsia="en-US"/>
              </w:rPr>
            </w:pPr>
            <w:r w:rsidRPr="00F04A75">
              <w:rPr>
                <w:rFonts w:ascii="Arial Narrow" w:hAnsi="Arial Narrow" w:cs="Times New Roman"/>
                <w:sz w:val="20"/>
                <w:szCs w:val="20"/>
                <w:lang w:eastAsia="en-US"/>
              </w:rPr>
              <w:t>(0.98, 1.71)</w:t>
            </w:r>
          </w:p>
        </w:tc>
      </w:tr>
      <w:tr w:rsidR="00F8421F" w:rsidRPr="00F04A75" w14:paraId="345E8148" w14:textId="77777777" w:rsidTr="00F8421F">
        <w:trPr>
          <w:trHeight w:val="20"/>
        </w:trPr>
        <w:tc>
          <w:tcPr>
            <w:tcW w:w="9016" w:type="dxa"/>
            <w:gridSpan w:val="10"/>
          </w:tcPr>
          <w:p w14:paraId="7989BE82" w14:textId="77777777" w:rsidR="00F8421F" w:rsidRPr="00F04A75" w:rsidRDefault="00F8421F" w:rsidP="00B26A7F">
            <w:pPr>
              <w:keepNext/>
              <w:jc w:val="left"/>
              <w:rPr>
                <w:rFonts w:ascii="Arial Narrow" w:hAnsi="Arial Narrow" w:cs="Times New Roman"/>
                <w:b/>
                <w:sz w:val="20"/>
                <w:szCs w:val="20"/>
                <w:lang w:eastAsia="en-US"/>
              </w:rPr>
            </w:pPr>
            <w:r w:rsidRPr="00F04A75">
              <w:rPr>
                <w:rFonts w:ascii="Arial Narrow" w:hAnsi="Arial Narrow" w:cs="Times New Roman"/>
                <w:b/>
                <w:sz w:val="20"/>
                <w:szCs w:val="20"/>
                <w:lang w:eastAsia="en-US"/>
              </w:rPr>
              <w:t>OS</w:t>
            </w:r>
          </w:p>
        </w:tc>
      </w:tr>
      <w:tr w:rsidR="00F8421F" w:rsidRPr="00F04A75" w14:paraId="5B3DD2F8" w14:textId="77777777" w:rsidTr="009E4973">
        <w:trPr>
          <w:trHeight w:val="20"/>
        </w:trPr>
        <w:tc>
          <w:tcPr>
            <w:tcW w:w="1271" w:type="dxa"/>
            <w:tcMar>
              <w:left w:w="28" w:type="dxa"/>
              <w:right w:w="28" w:type="dxa"/>
            </w:tcMar>
          </w:tcPr>
          <w:p w14:paraId="28926AF8" w14:textId="56533C01" w:rsidR="00F8421F" w:rsidRPr="00F04A75" w:rsidRDefault="00F8421F" w:rsidP="00B26A7F">
            <w:pPr>
              <w:keepNext/>
              <w:jc w:val="left"/>
              <w:rPr>
                <w:rFonts w:ascii="Arial Narrow" w:hAnsi="Arial Narrow" w:cs="Times New Roman"/>
                <w:sz w:val="20"/>
                <w:szCs w:val="20"/>
                <w:lang w:eastAsia="en-US"/>
              </w:rPr>
            </w:pPr>
            <w:r w:rsidRPr="00F04A75">
              <w:rPr>
                <w:rFonts w:ascii="Arial Narrow" w:hAnsi="Arial Narrow" w:cs="Times New Roman"/>
                <w:sz w:val="20"/>
                <w:szCs w:val="20"/>
                <w:lang w:eastAsia="en-US"/>
              </w:rPr>
              <w:t xml:space="preserve">ASPIRE </w:t>
            </w:r>
            <w:r w:rsidR="009E4973" w:rsidRPr="00F04A75">
              <w:rPr>
                <w:rFonts w:ascii="Arial Narrow" w:hAnsi="Arial Narrow" w:cs="Times New Roman"/>
                <w:sz w:val="20"/>
                <w:szCs w:val="20"/>
                <w:lang w:eastAsia="en-US"/>
              </w:rPr>
              <w:br/>
            </w:r>
            <w:proofErr w:type="spellStart"/>
            <w:r w:rsidR="00DB420E" w:rsidRPr="00F04A75">
              <w:rPr>
                <w:rFonts w:ascii="Arial Narrow" w:hAnsi="Arial Narrow" w:cs="Times New Roman"/>
                <w:sz w:val="20"/>
                <w:szCs w:val="20"/>
                <w:lang w:eastAsia="en-US"/>
              </w:rPr>
              <w:t>CLd</w:t>
            </w:r>
            <w:proofErr w:type="spellEnd"/>
            <w:r w:rsidR="009E4973" w:rsidRPr="00F04A75">
              <w:rPr>
                <w:rFonts w:ascii="Arial Narrow" w:hAnsi="Arial Narrow" w:cs="Times New Roman"/>
                <w:sz w:val="20"/>
                <w:szCs w:val="20"/>
                <w:lang w:eastAsia="en-US"/>
              </w:rPr>
              <w:t xml:space="preserve"> vs </w:t>
            </w:r>
            <w:proofErr w:type="spellStart"/>
            <w:r w:rsidR="009E4973" w:rsidRPr="00F04A75">
              <w:rPr>
                <w:rFonts w:ascii="Arial Narrow" w:hAnsi="Arial Narrow" w:cs="Times New Roman"/>
                <w:sz w:val="20"/>
                <w:szCs w:val="20"/>
                <w:lang w:eastAsia="en-US"/>
              </w:rPr>
              <w:t>Ld</w:t>
            </w:r>
            <w:proofErr w:type="spellEnd"/>
            <w:r w:rsidR="009E4973" w:rsidRPr="00F04A75">
              <w:rPr>
                <w:rFonts w:ascii="Arial Narrow" w:hAnsi="Arial Narrow" w:cs="Times New Roman"/>
                <w:sz w:val="20"/>
                <w:szCs w:val="20"/>
                <w:lang w:eastAsia="en-US"/>
              </w:rPr>
              <w:br/>
            </w:r>
            <w:r w:rsidRPr="00F04A75">
              <w:rPr>
                <w:rFonts w:ascii="Arial Narrow" w:hAnsi="Arial Narrow" w:cs="Times New Roman"/>
                <w:sz w:val="20"/>
                <w:szCs w:val="20"/>
                <w:lang w:eastAsia="en-US"/>
              </w:rPr>
              <w:t>16 Jun 2014</w:t>
            </w:r>
          </w:p>
        </w:tc>
        <w:tc>
          <w:tcPr>
            <w:tcW w:w="1134" w:type="dxa"/>
            <w:tcMar>
              <w:left w:w="28" w:type="dxa"/>
              <w:right w:w="28" w:type="dxa"/>
            </w:tcMar>
            <w:vAlign w:val="center"/>
          </w:tcPr>
          <w:p w14:paraId="141E6E55" w14:textId="77777777" w:rsidR="00F8421F" w:rsidRPr="00F04A75" w:rsidRDefault="00F8421F" w:rsidP="00B26A7F">
            <w:pPr>
              <w:keepNext/>
              <w:jc w:val="center"/>
              <w:rPr>
                <w:rFonts w:ascii="Arial Narrow" w:hAnsi="Arial Narrow" w:cs="Times New Roman"/>
                <w:sz w:val="20"/>
                <w:szCs w:val="20"/>
                <w:lang w:eastAsia="en-US"/>
              </w:rPr>
            </w:pPr>
            <w:r w:rsidRPr="00F04A75">
              <w:rPr>
                <w:rFonts w:ascii="Arial Narrow" w:hAnsi="Arial Narrow" w:cs="Times New Roman"/>
                <w:sz w:val="20"/>
                <w:szCs w:val="20"/>
                <w:lang w:eastAsia="en-US"/>
              </w:rPr>
              <w:t>32</w:t>
            </w:r>
          </w:p>
        </w:tc>
        <w:tc>
          <w:tcPr>
            <w:tcW w:w="1010" w:type="dxa"/>
            <w:gridSpan w:val="2"/>
            <w:tcMar>
              <w:left w:w="28" w:type="dxa"/>
              <w:right w:w="28" w:type="dxa"/>
            </w:tcMar>
            <w:vAlign w:val="center"/>
          </w:tcPr>
          <w:p w14:paraId="6E7B7C3B" w14:textId="77777777" w:rsidR="00F8421F" w:rsidRPr="00F04A75" w:rsidRDefault="00F8421F" w:rsidP="00B26A7F">
            <w:pPr>
              <w:keepNext/>
              <w:jc w:val="center"/>
              <w:rPr>
                <w:rFonts w:ascii="Arial Narrow" w:hAnsi="Arial Narrow" w:cs="Times New Roman"/>
                <w:sz w:val="20"/>
                <w:szCs w:val="20"/>
                <w:lang w:eastAsia="en-US"/>
              </w:rPr>
            </w:pPr>
            <w:r w:rsidRPr="00F04A75">
              <w:rPr>
                <w:rFonts w:ascii="Arial Narrow" w:eastAsia="TimesNewRoman" w:hAnsi="Arial Narrow" w:cs="Times New Roman"/>
                <w:color w:val="000000"/>
                <w:sz w:val="20"/>
                <w:szCs w:val="20"/>
              </w:rPr>
              <w:t>143</w:t>
            </w:r>
            <w:r w:rsidR="0073578F" w:rsidRPr="00F04A75">
              <w:rPr>
                <w:rFonts w:ascii="Arial Narrow" w:eastAsia="TimesNewRoman" w:hAnsi="Arial Narrow" w:cs="Times New Roman"/>
                <w:color w:val="000000"/>
                <w:sz w:val="20"/>
                <w:szCs w:val="20"/>
              </w:rPr>
              <w:t>/396</w:t>
            </w:r>
            <w:r w:rsidRPr="00F04A75">
              <w:rPr>
                <w:rFonts w:ascii="Arial Narrow" w:eastAsia="TimesNewRoman" w:hAnsi="Arial Narrow" w:cs="Times New Roman"/>
                <w:color w:val="000000"/>
                <w:sz w:val="20"/>
                <w:szCs w:val="20"/>
              </w:rPr>
              <w:t xml:space="preserve"> (36.1</w:t>
            </w:r>
            <w:r w:rsidR="009E4973" w:rsidRPr="00F04A75">
              <w:rPr>
                <w:rFonts w:ascii="Arial Narrow" w:eastAsia="TimesNewRoman" w:hAnsi="Arial Narrow" w:cs="Times New Roman"/>
                <w:color w:val="000000"/>
                <w:sz w:val="20"/>
                <w:szCs w:val="20"/>
              </w:rPr>
              <w:t>%</w:t>
            </w:r>
            <w:r w:rsidRPr="00F04A75">
              <w:rPr>
                <w:rFonts w:ascii="Arial Narrow" w:eastAsia="TimesNewRoman" w:hAnsi="Arial Narrow" w:cs="Times New Roman"/>
                <w:color w:val="000000"/>
                <w:sz w:val="20"/>
                <w:szCs w:val="20"/>
              </w:rPr>
              <w:t>)</w:t>
            </w:r>
          </w:p>
        </w:tc>
        <w:tc>
          <w:tcPr>
            <w:tcW w:w="1080" w:type="dxa"/>
            <w:vAlign w:val="center"/>
          </w:tcPr>
          <w:p w14:paraId="1259DCF8" w14:textId="77777777" w:rsidR="00F8421F" w:rsidRPr="00F04A75" w:rsidRDefault="00F8421F" w:rsidP="00B26A7F">
            <w:pPr>
              <w:keepNext/>
              <w:jc w:val="center"/>
              <w:rPr>
                <w:rFonts w:ascii="Arial Narrow" w:eastAsia="TimesNewRoman" w:hAnsi="Arial Narrow" w:cs="Times New Roman"/>
                <w:color w:val="000000"/>
                <w:sz w:val="20"/>
                <w:szCs w:val="20"/>
              </w:rPr>
            </w:pPr>
            <w:r w:rsidRPr="00F04A75">
              <w:rPr>
                <w:rFonts w:ascii="Arial Narrow" w:eastAsia="TimesNewRoman" w:hAnsi="Arial Narrow" w:cs="Times New Roman"/>
                <w:color w:val="000000"/>
                <w:sz w:val="20"/>
                <w:szCs w:val="20"/>
              </w:rPr>
              <w:t>NE</w:t>
            </w:r>
          </w:p>
        </w:tc>
        <w:tc>
          <w:tcPr>
            <w:tcW w:w="1029" w:type="dxa"/>
            <w:gridSpan w:val="2"/>
            <w:tcMar>
              <w:left w:w="28" w:type="dxa"/>
              <w:right w:w="28" w:type="dxa"/>
            </w:tcMar>
            <w:vAlign w:val="center"/>
          </w:tcPr>
          <w:p w14:paraId="1C7EE18D" w14:textId="77777777" w:rsidR="00F8421F" w:rsidRPr="00F04A75" w:rsidRDefault="00F8421F" w:rsidP="00B26A7F">
            <w:pPr>
              <w:keepNext/>
              <w:jc w:val="center"/>
              <w:rPr>
                <w:rFonts w:ascii="Arial Narrow" w:hAnsi="Arial Narrow" w:cs="Times New Roman"/>
                <w:sz w:val="20"/>
                <w:szCs w:val="20"/>
                <w:lang w:eastAsia="en-US"/>
              </w:rPr>
            </w:pPr>
            <w:r w:rsidRPr="00F04A75">
              <w:rPr>
                <w:rFonts w:ascii="Arial Narrow" w:eastAsia="TimesNewRoman" w:hAnsi="Arial Narrow" w:cs="Times New Roman"/>
                <w:color w:val="000000"/>
                <w:sz w:val="20"/>
                <w:szCs w:val="20"/>
              </w:rPr>
              <w:t>162</w:t>
            </w:r>
            <w:r w:rsidR="0073578F" w:rsidRPr="00F04A75">
              <w:rPr>
                <w:rFonts w:ascii="Arial Narrow" w:eastAsia="TimesNewRoman" w:hAnsi="Arial Narrow" w:cs="Times New Roman"/>
                <w:color w:val="000000"/>
                <w:sz w:val="20"/>
                <w:szCs w:val="20"/>
              </w:rPr>
              <w:t>/</w:t>
            </w:r>
            <w:r w:rsidR="00260F93" w:rsidRPr="00F04A75">
              <w:rPr>
                <w:rFonts w:ascii="Arial Narrow" w:eastAsia="TimesNewRoman" w:hAnsi="Arial Narrow" w:cs="Times New Roman"/>
                <w:color w:val="000000"/>
                <w:sz w:val="20"/>
                <w:szCs w:val="20"/>
              </w:rPr>
              <w:t>396</w:t>
            </w:r>
            <w:r w:rsidRPr="00F04A75">
              <w:rPr>
                <w:rFonts w:ascii="Arial Narrow" w:eastAsia="TimesNewRoman" w:hAnsi="Arial Narrow" w:cs="Times New Roman"/>
                <w:color w:val="000000"/>
                <w:sz w:val="20"/>
                <w:szCs w:val="20"/>
              </w:rPr>
              <w:t xml:space="preserve"> (40.9</w:t>
            </w:r>
            <w:r w:rsidR="009E4973" w:rsidRPr="00F04A75">
              <w:rPr>
                <w:rFonts w:ascii="Arial Narrow" w:eastAsia="TimesNewRoman" w:hAnsi="Arial Narrow" w:cs="Times New Roman"/>
                <w:color w:val="000000"/>
                <w:sz w:val="20"/>
                <w:szCs w:val="20"/>
              </w:rPr>
              <w:t>%</w:t>
            </w:r>
            <w:r w:rsidRPr="00F04A75">
              <w:rPr>
                <w:rFonts w:ascii="Arial Narrow" w:eastAsia="TimesNewRoman" w:hAnsi="Arial Narrow" w:cs="Times New Roman"/>
                <w:color w:val="000000"/>
                <w:sz w:val="20"/>
                <w:szCs w:val="20"/>
              </w:rPr>
              <w:t>)</w:t>
            </w:r>
          </w:p>
        </w:tc>
        <w:tc>
          <w:tcPr>
            <w:tcW w:w="1134" w:type="dxa"/>
            <w:vAlign w:val="center"/>
          </w:tcPr>
          <w:p w14:paraId="4A9F8E54" w14:textId="77777777" w:rsidR="00F8421F" w:rsidRPr="00F04A75" w:rsidRDefault="00F8421F" w:rsidP="00B26A7F">
            <w:pPr>
              <w:keepNext/>
              <w:jc w:val="center"/>
              <w:rPr>
                <w:rFonts w:ascii="Arial Narrow" w:hAnsi="Arial Narrow" w:cs="Times New Roman"/>
                <w:sz w:val="20"/>
                <w:szCs w:val="20"/>
                <w:lang w:eastAsia="en-US"/>
              </w:rPr>
            </w:pPr>
            <w:r w:rsidRPr="00F04A75">
              <w:rPr>
                <w:rFonts w:ascii="Arial Narrow" w:hAnsi="Arial Narrow" w:cs="Times New Roman"/>
                <w:sz w:val="20"/>
                <w:szCs w:val="20"/>
                <w:lang w:eastAsia="en-US"/>
              </w:rPr>
              <w:t>NE</w:t>
            </w:r>
          </w:p>
        </w:tc>
        <w:tc>
          <w:tcPr>
            <w:tcW w:w="992" w:type="dxa"/>
            <w:tcMar>
              <w:left w:w="28" w:type="dxa"/>
              <w:right w:w="28" w:type="dxa"/>
            </w:tcMar>
            <w:vAlign w:val="center"/>
          </w:tcPr>
          <w:p w14:paraId="6623F784" w14:textId="77777777" w:rsidR="00F8421F" w:rsidRPr="00F04A75" w:rsidRDefault="00F8421F" w:rsidP="00B26A7F">
            <w:pPr>
              <w:keepNext/>
              <w:jc w:val="center"/>
              <w:rPr>
                <w:rFonts w:ascii="Arial Narrow" w:hAnsi="Arial Narrow" w:cs="Times New Roman"/>
                <w:sz w:val="20"/>
                <w:szCs w:val="20"/>
                <w:lang w:eastAsia="en-US"/>
              </w:rPr>
            </w:pPr>
            <w:r w:rsidRPr="00F04A75">
              <w:rPr>
                <w:rFonts w:ascii="Arial Narrow" w:hAnsi="Arial Narrow" w:cs="Times New Roman"/>
                <w:sz w:val="20"/>
                <w:szCs w:val="20"/>
                <w:lang w:eastAsia="en-US"/>
              </w:rPr>
              <w:t xml:space="preserve">NE </w:t>
            </w:r>
          </w:p>
        </w:tc>
        <w:tc>
          <w:tcPr>
            <w:tcW w:w="1366" w:type="dxa"/>
            <w:tcMar>
              <w:left w:w="28" w:type="dxa"/>
              <w:right w:w="28" w:type="dxa"/>
            </w:tcMar>
            <w:vAlign w:val="center"/>
          </w:tcPr>
          <w:p w14:paraId="0CDB7C57" w14:textId="77777777" w:rsidR="00F8421F" w:rsidRPr="00F04A75" w:rsidRDefault="00F8421F" w:rsidP="00B26A7F">
            <w:pPr>
              <w:keepNext/>
              <w:jc w:val="center"/>
              <w:rPr>
                <w:rFonts w:ascii="Arial Narrow" w:hAnsi="Arial Narrow" w:cs="Times New Roman"/>
                <w:b/>
                <w:sz w:val="20"/>
                <w:szCs w:val="20"/>
                <w:lang w:eastAsia="en-US"/>
              </w:rPr>
            </w:pPr>
            <w:r w:rsidRPr="00F04A75">
              <w:rPr>
                <w:rFonts w:ascii="Arial Narrow" w:hAnsi="Arial Narrow" w:cs="Times New Roman"/>
                <w:b/>
                <w:sz w:val="20"/>
                <w:szCs w:val="20"/>
                <w:lang w:eastAsia="en-US"/>
              </w:rPr>
              <w:t xml:space="preserve">0.79 </w:t>
            </w:r>
            <w:r w:rsidRPr="00F04A75">
              <w:rPr>
                <w:rFonts w:ascii="Arial Narrow" w:hAnsi="Arial Narrow" w:cs="Times New Roman"/>
                <w:b/>
                <w:sz w:val="20"/>
                <w:szCs w:val="20"/>
                <w:lang w:eastAsia="en-US"/>
              </w:rPr>
              <w:br/>
              <w:t>(0.63, 0.99)</w:t>
            </w:r>
          </w:p>
        </w:tc>
      </w:tr>
      <w:tr w:rsidR="00F8421F" w:rsidRPr="00F04A75" w14:paraId="2287F502" w14:textId="77777777" w:rsidTr="009E4973">
        <w:trPr>
          <w:trHeight w:val="20"/>
        </w:trPr>
        <w:tc>
          <w:tcPr>
            <w:tcW w:w="1271" w:type="dxa"/>
            <w:tcMar>
              <w:left w:w="28" w:type="dxa"/>
              <w:right w:w="28" w:type="dxa"/>
            </w:tcMar>
          </w:tcPr>
          <w:p w14:paraId="6DD36B3A" w14:textId="77777777" w:rsidR="00F8421F" w:rsidRPr="00F04A75" w:rsidRDefault="00F8421F" w:rsidP="00B26A7F">
            <w:pPr>
              <w:keepNext/>
              <w:jc w:val="left"/>
              <w:rPr>
                <w:rFonts w:ascii="Arial Narrow" w:hAnsi="Arial Narrow" w:cs="Times New Roman"/>
                <w:sz w:val="20"/>
                <w:szCs w:val="20"/>
                <w:lang w:eastAsia="en-US"/>
              </w:rPr>
            </w:pPr>
            <w:r w:rsidRPr="00F04A75">
              <w:rPr>
                <w:rFonts w:ascii="Arial Narrow" w:hAnsi="Arial Narrow" w:cs="Times New Roman"/>
                <w:sz w:val="20"/>
                <w:szCs w:val="20"/>
                <w:lang w:eastAsia="en-US"/>
              </w:rPr>
              <w:t xml:space="preserve">ENDEAVOR </w:t>
            </w:r>
            <w:r w:rsidR="009E4973" w:rsidRPr="00F04A75">
              <w:rPr>
                <w:rFonts w:ascii="Arial Narrow" w:hAnsi="Arial Narrow" w:cs="Times New Roman"/>
                <w:sz w:val="20"/>
                <w:szCs w:val="20"/>
                <w:lang w:eastAsia="en-US"/>
              </w:rPr>
              <w:br/>
              <w:t>Cd vs Bd</w:t>
            </w:r>
            <w:r w:rsidR="009E4973" w:rsidRPr="00F04A75">
              <w:rPr>
                <w:rFonts w:ascii="Arial Narrow" w:hAnsi="Arial Narrow" w:cs="Times New Roman"/>
                <w:sz w:val="20"/>
                <w:szCs w:val="20"/>
                <w:lang w:eastAsia="en-US"/>
              </w:rPr>
              <w:br/>
            </w:r>
            <w:r w:rsidRPr="00F04A75">
              <w:rPr>
                <w:rFonts w:ascii="Arial Narrow" w:hAnsi="Arial Narrow" w:cs="Times New Roman"/>
                <w:sz w:val="20"/>
                <w:szCs w:val="20"/>
                <w:lang w:eastAsia="en-US"/>
              </w:rPr>
              <w:t>3 Jan 2017</w:t>
            </w:r>
          </w:p>
        </w:tc>
        <w:tc>
          <w:tcPr>
            <w:tcW w:w="1134" w:type="dxa"/>
            <w:tcMar>
              <w:left w:w="28" w:type="dxa"/>
              <w:right w:w="28" w:type="dxa"/>
            </w:tcMar>
            <w:vAlign w:val="center"/>
          </w:tcPr>
          <w:p w14:paraId="62C588EE" w14:textId="77777777" w:rsidR="00F8421F" w:rsidRPr="00F04A75" w:rsidRDefault="00F8421F" w:rsidP="00B26A7F">
            <w:pPr>
              <w:keepNext/>
              <w:jc w:val="center"/>
              <w:rPr>
                <w:rFonts w:ascii="Arial Narrow" w:hAnsi="Arial Narrow" w:cs="Times New Roman"/>
                <w:sz w:val="20"/>
                <w:szCs w:val="20"/>
                <w:lang w:eastAsia="en-US"/>
              </w:rPr>
            </w:pPr>
            <w:r w:rsidRPr="00F04A75">
              <w:rPr>
                <w:rFonts w:ascii="Arial Narrow" w:hAnsi="Arial Narrow" w:cs="Times New Roman"/>
                <w:sz w:val="20"/>
                <w:szCs w:val="20"/>
                <w:lang w:eastAsia="en-US"/>
              </w:rPr>
              <w:t>37</w:t>
            </w:r>
          </w:p>
        </w:tc>
        <w:tc>
          <w:tcPr>
            <w:tcW w:w="1010" w:type="dxa"/>
            <w:gridSpan w:val="2"/>
            <w:tcMar>
              <w:left w:w="28" w:type="dxa"/>
              <w:right w:w="28" w:type="dxa"/>
            </w:tcMar>
            <w:vAlign w:val="center"/>
          </w:tcPr>
          <w:p w14:paraId="4F22EBDA" w14:textId="77777777" w:rsidR="00F8421F" w:rsidRPr="00F04A75" w:rsidRDefault="00F8421F" w:rsidP="00B26A7F">
            <w:pPr>
              <w:keepNext/>
              <w:jc w:val="center"/>
              <w:rPr>
                <w:rFonts w:ascii="Arial Narrow" w:hAnsi="Arial Narrow" w:cs="Times New Roman"/>
                <w:sz w:val="20"/>
                <w:szCs w:val="20"/>
                <w:lang w:eastAsia="en-US"/>
              </w:rPr>
            </w:pPr>
            <w:r w:rsidRPr="00F04A75">
              <w:rPr>
                <w:rFonts w:ascii="Arial Narrow" w:hAnsi="Arial Narrow" w:cs="Times New Roman"/>
                <w:sz w:val="20"/>
                <w:szCs w:val="20"/>
                <w:lang w:eastAsia="en-US"/>
              </w:rPr>
              <w:t>189</w:t>
            </w:r>
            <w:r w:rsidR="0073578F" w:rsidRPr="00F04A75">
              <w:rPr>
                <w:rFonts w:ascii="Arial Narrow" w:hAnsi="Arial Narrow" w:cs="Times New Roman"/>
                <w:sz w:val="20"/>
                <w:szCs w:val="20"/>
                <w:lang w:eastAsia="en-US"/>
              </w:rPr>
              <w:t>/464</w:t>
            </w:r>
            <w:r w:rsidRPr="00F04A75">
              <w:rPr>
                <w:rFonts w:ascii="Arial Narrow" w:hAnsi="Arial Narrow" w:cs="Times New Roman"/>
                <w:sz w:val="20"/>
                <w:szCs w:val="20"/>
                <w:lang w:eastAsia="en-US"/>
              </w:rPr>
              <w:t xml:space="preserve"> (40.7</w:t>
            </w:r>
            <w:r w:rsidR="009E4973" w:rsidRPr="00F04A75">
              <w:rPr>
                <w:rFonts w:ascii="Arial Narrow" w:hAnsi="Arial Narrow" w:cs="Times New Roman"/>
                <w:sz w:val="20"/>
                <w:szCs w:val="20"/>
                <w:lang w:eastAsia="en-US"/>
              </w:rPr>
              <w:t>%</w:t>
            </w:r>
            <w:r w:rsidRPr="00F04A75">
              <w:rPr>
                <w:rFonts w:ascii="Arial Narrow" w:hAnsi="Arial Narrow" w:cs="Times New Roman"/>
                <w:sz w:val="20"/>
                <w:szCs w:val="20"/>
                <w:lang w:eastAsia="en-US"/>
              </w:rPr>
              <w:t>)</w:t>
            </w:r>
          </w:p>
        </w:tc>
        <w:tc>
          <w:tcPr>
            <w:tcW w:w="1080" w:type="dxa"/>
            <w:vAlign w:val="center"/>
          </w:tcPr>
          <w:p w14:paraId="09BED86D" w14:textId="77777777" w:rsidR="00F8421F" w:rsidRPr="00F04A75" w:rsidRDefault="00F8421F" w:rsidP="00B26A7F">
            <w:pPr>
              <w:keepNext/>
              <w:keepLines/>
              <w:jc w:val="center"/>
              <w:rPr>
                <w:rFonts w:ascii="Arial Narrow" w:hAnsi="Arial Narrow" w:cstheme="minorHAnsi"/>
                <w:sz w:val="20"/>
                <w:szCs w:val="20"/>
              </w:rPr>
            </w:pPr>
            <w:r w:rsidRPr="00F04A75">
              <w:rPr>
                <w:rFonts w:ascii="Arial Narrow" w:hAnsi="Arial Narrow" w:cstheme="minorHAnsi"/>
                <w:sz w:val="20"/>
                <w:szCs w:val="20"/>
              </w:rPr>
              <w:t>47.6</w:t>
            </w:r>
          </w:p>
          <w:p w14:paraId="798172FC" w14:textId="77777777" w:rsidR="00F8421F" w:rsidRPr="00F04A75" w:rsidRDefault="00F8421F" w:rsidP="00B26A7F">
            <w:pPr>
              <w:keepNext/>
              <w:jc w:val="center"/>
              <w:rPr>
                <w:rFonts w:ascii="Arial Narrow" w:hAnsi="Arial Narrow" w:cs="Times New Roman"/>
                <w:sz w:val="20"/>
                <w:szCs w:val="20"/>
                <w:lang w:eastAsia="en-US"/>
              </w:rPr>
            </w:pPr>
            <w:r w:rsidRPr="00F04A75">
              <w:rPr>
                <w:rFonts w:ascii="Arial Narrow" w:hAnsi="Arial Narrow" w:cstheme="minorHAnsi"/>
                <w:sz w:val="20"/>
                <w:szCs w:val="20"/>
              </w:rPr>
              <w:t>(42.5, NE)</w:t>
            </w:r>
          </w:p>
        </w:tc>
        <w:tc>
          <w:tcPr>
            <w:tcW w:w="1029" w:type="dxa"/>
            <w:gridSpan w:val="2"/>
            <w:tcMar>
              <w:left w:w="28" w:type="dxa"/>
              <w:right w:w="28" w:type="dxa"/>
            </w:tcMar>
            <w:vAlign w:val="center"/>
          </w:tcPr>
          <w:p w14:paraId="76251FE2" w14:textId="77777777" w:rsidR="00F8421F" w:rsidRPr="00F04A75" w:rsidRDefault="00F8421F" w:rsidP="00B26A7F">
            <w:pPr>
              <w:keepNext/>
              <w:jc w:val="center"/>
              <w:rPr>
                <w:rFonts w:ascii="Arial Narrow" w:hAnsi="Arial Narrow" w:cs="Times New Roman"/>
                <w:sz w:val="20"/>
                <w:szCs w:val="20"/>
                <w:lang w:eastAsia="en-US"/>
              </w:rPr>
            </w:pPr>
            <w:r w:rsidRPr="00F04A75">
              <w:rPr>
                <w:rFonts w:ascii="Arial Narrow" w:hAnsi="Arial Narrow" w:cs="Times New Roman"/>
                <w:sz w:val="20"/>
                <w:szCs w:val="20"/>
                <w:lang w:eastAsia="en-US"/>
              </w:rPr>
              <w:t>209</w:t>
            </w:r>
            <w:r w:rsidR="00260F93" w:rsidRPr="00F04A75">
              <w:rPr>
                <w:rFonts w:ascii="Arial Narrow" w:hAnsi="Arial Narrow" w:cs="Times New Roman"/>
                <w:sz w:val="20"/>
                <w:szCs w:val="20"/>
                <w:lang w:eastAsia="en-US"/>
              </w:rPr>
              <w:t>/46</w:t>
            </w:r>
            <w:r w:rsidR="002621A6" w:rsidRPr="00F04A75">
              <w:rPr>
                <w:rFonts w:ascii="Arial Narrow" w:hAnsi="Arial Narrow" w:cs="Times New Roman"/>
                <w:sz w:val="20"/>
                <w:szCs w:val="20"/>
                <w:lang w:eastAsia="en-US"/>
              </w:rPr>
              <w:t>5</w:t>
            </w:r>
            <w:r w:rsidRPr="00F04A75">
              <w:rPr>
                <w:rFonts w:ascii="Arial Narrow" w:hAnsi="Arial Narrow" w:cs="Times New Roman"/>
                <w:sz w:val="20"/>
                <w:szCs w:val="20"/>
                <w:lang w:eastAsia="en-US"/>
              </w:rPr>
              <w:t xml:space="preserve"> (44.9</w:t>
            </w:r>
            <w:r w:rsidR="009E4973" w:rsidRPr="00F04A75">
              <w:rPr>
                <w:rFonts w:ascii="Arial Narrow" w:hAnsi="Arial Narrow" w:cs="Times New Roman"/>
                <w:sz w:val="20"/>
                <w:szCs w:val="20"/>
                <w:lang w:eastAsia="en-US"/>
              </w:rPr>
              <w:t>%</w:t>
            </w:r>
            <w:r w:rsidRPr="00F04A75">
              <w:rPr>
                <w:rFonts w:ascii="Arial Narrow" w:hAnsi="Arial Narrow" w:cs="Times New Roman"/>
                <w:sz w:val="20"/>
                <w:szCs w:val="20"/>
                <w:lang w:eastAsia="en-US"/>
              </w:rPr>
              <w:t>)</w:t>
            </w:r>
          </w:p>
        </w:tc>
        <w:tc>
          <w:tcPr>
            <w:tcW w:w="1134" w:type="dxa"/>
            <w:vAlign w:val="center"/>
          </w:tcPr>
          <w:p w14:paraId="09452880" w14:textId="77777777" w:rsidR="00F8421F" w:rsidRPr="00F04A75" w:rsidRDefault="00F8421F" w:rsidP="00B26A7F">
            <w:pPr>
              <w:keepNext/>
              <w:keepLines/>
              <w:jc w:val="center"/>
              <w:rPr>
                <w:rFonts w:ascii="Arial Narrow" w:hAnsi="Arial Narrow" w:cstheme="minorHAnsi"/>
                <w:sz w:val="20"/>
                <w:szCs w:val="20"/>
              </w:rPr>
            </w:pPr>
            <w:r w:rsidRPr="00F04A75">
              <w:rPr>
                <w:rFonts w:ascii="Arial Narrow" w:hAnsi="Arial Narrow" w:cstheme="minorHAnsi"/>
                <w:sz w:val="20"/>
                <w:szCs w:val="20"/>
              </w:rPr>
              <w:t>40.0</w:t>
            </w:r>
          </w:p>
          <w:p w14:paraId="3D2F72AB" w14:textId="77777777" w:rsidR="00F8421F" w:rsidRPr="00F04A75" w:rsidRDefault="00F8421F" w:rsidP="00B26A7F">
            <w:pPr>
              <w:keepNext/>
              <w:jc w:val="center"/>
              <w:rPr>
                <w:rFonts w:ascii="Arial Narrow" w:hAnsi="Arial Narrow" w:cs="Times New Roman"/>
                <w:i/>
                <w:sz w:val="20"/>
                <w:szCs w:val="20"/>
                <w:lang w:eastAsia="en-US"/>
              </w:rPr>
            </w:pPr>
            <w:r w:rsidRPr="00F04A75">
              <w:rPr>
                <w:rFonts w:ascii="Arial Narrow" w:hAnsi="Arial Narrow" w:cstheme="minorHAnsi"/>
                <w:sz w:val="20"/>
                <w:szCs w:val="20"/>
              </w:rPr>
              <w:t>(32.6, 42.3)</w:t>
            </w:r>
          </w:p>
        </w:tc>
        <w:tc>
          <w:tcPr>
            <w:tcW w:w="992" w:type="dxa"/>
            <w:tcMar>
              <w:left w:w="28" w:type="dxa"/>
              <w:right w:w="28" w:type="dxa"/>
            </w:tcMar>
            <w:vAlign w:val="center"/>
          </w:tcPr>
          <w:p w14:paraId="604EDE7D" w14:textId="77777777" w:rsidR="00F8421F" w:rsidRPr="00F04A75" w:rsidRDefault="00F8421F" w:rsidP="00B26A7F">
            <w:pPr>
              <w:keepNext/>
              <w:jc w:val="center"/>
              <w:rPr>
                <w:rFonts w:ascii="Arial Narrow" w:hAnsi="Arial Narrow" w:cs="Times New Roman"/>
                <w:i/>
                <w:sz w:val="20"/>
                <w:szCs w:val="20"/>
                <w:lang w:eastAsia="en-US"/>
              </w:rPr>
            </w:pPr>
            <w:r w:rsidRPr="00F04A75">
              <w:rPr>
                <w:rFonts w:ascii="Arial Narrow" w:hAnsi="Arial Narrow" w:cs="Times New Roman"/>
                <w:iCs/>
                <w:sz w:val="20"/>
                <w:szCs w:val="20"/>
                <w:lang w:eastAsia="en-US"/>
              </w:rPr>
              <w:t>7.6</w:t>
            </w:r>
          </w:p>
        </w:tc>
        <w:tc>
          <w:tcPr>
            <w:tcW w:w="1366" w:type="dxa"/>
            <w:shd w:val="clear" w:color="auto" w:fill="auto"/>
            <w:tcMar>
              <w:left w:w="28" w:type="dxa"/>
              <w:right w:w="28" w:type="dxa"/>
            </w:tcMar>
            <w:vAlign w:val="center"/>
          </w:tcPr>
          <w:p w14:paraId="4CBA4F7B" w14:textId="77777777" w:rsidR="00F8421F" w:rsidRPr="00F04A75" w:rsidRDefault="00F8421F" w:rsidP="00B26A7F">
            <w:pPr>
              <w:keepNext/>
              <w:jc w:val="center"/>
              <w:rPr>
                <w:rFonts w:ascii="Arial Narrow" w:hAnsi="Arial Narrow" w:cs="Times New Roman"/>
                <w:bCs/>
                <w:sz w:val="20"/>
                <w:szCs w:val="20"/>
                <w:lang w:eastAsia="en-US"/>
              </w:rPr>
            </w:pPr>
            <w:r w:rsidRPr="00F04A75">
              <w:rPr>
                <w:rFonts w:ascii="Arial Narrow" w:hAnsi="Arial Narrow" w:cstheme="minorHAnsi"/>
                <w:b/>
                <w:bCs/>
                <w:sz w:val="20"/>
                <w:szCs w:val="20"/>
              </w:rPr>
              <w:t>0.79</w:t>
            </w:r>
            <w:r w:rsidRPr="00F04A75">
              <w:rPr>
                <w:rFonts w:ascii="Arial Narrow" w:hAnsi="Arial Narrow" w:cstheme="minorHAnsi"/>
                <w:b/>
                <w:bCs/>
                <w:sz w:val="20"/>
                <w:szCs w:val="20"/>
              </w:rPr>
              <w:br/>
              <w:t xml:space="preserve"> (0.65, 0.96)</w:t>
            </w:r>
          </w:p>
        </w:tc>
      </w:tr>
      <w:tr w:rsidR="00F8421F" w:rsidRPr="00F04A75" w14:paraId="37D89394" w14:textId="77777777" w:rsidTr="009E4973">
        <w:trPr>
          <w:trHeight w:val="20"/>
        </w:trPr>
        <w:tc>
          <w:tcPr>
            <w:tcW w:w="7650" w:type="dxa"/>
            <w:gridSpan w:val="9"/>
            <w:vAlign w:val="center"/>
          </w:tcPr>
          <w:p w14:paraId="54CF009A" w14:textId="77777777" w:rsidR="00F8421F" w:rsidRPr="00F04A75" w:rsidRDefault="00F8421F" w:rsidP="00B26A7F">
            <w:pPr>
              <w:keepNext/>
              <w:jc w:val="right"/>
              <w:rPr>
                <w:rFonts w:ascii="Arial Narrow" w:hAnsi="Arial Narrow" w:cs="Times New Roman"/>
                <w:b/>
                <w:sz w:val="20"/>
                <w:szCs w:val="20"/>
                <w:lang w:eastAsia="en-US"/>
              </w:rPr>
            </w:pPr>
            <w:r w:rsidRPr="00F04A75">
              <w:rPr>
                <w:rFonts w:ascii="Arial Narrow" w:hAnsi="Arial Narrow" w:cs="Times New Roman"/>
                <w:b/>
                <w:sz w:val="20"/>
                <w:szCs w:val="20"/>
                <w:lang w:eastAsia="en-US"/>
              </w:rPr>
              <w:t xml:space="preserve">Indirect comparison </w:t>
            </w:r>
            <w:proofErr w:type="spellStart"/>
            <w:r w:rsidRPr="00F04A75">
              <w:rPr>
                <w:rFonts w:ascii="Arial Narrow" w:hAnsi="Arial Narrow" w:cs="Times New Roman"/>
                <w:b/>
                <w:sz w:val="20"/>
                <w:szCs w:val="20"/>
                <w:lang w:eastAsia="en-US"/>
              </w:rPr>
              <w:t>CLd</w:t>
            </w:r>
            <w:proofErr w:type="spellEnd"/>
            <w:r w:rsidRPr="00F04A75">
              <w:rPr>
                <w:rFonts w:ascii="Arial Narrow" w:hAnsi="Arial Narrow" w:cs="Times New Roman"/>
                <w:b/>
                <w:sz w:val="20"/>
                <w:szCs w:val="20"/>
                <w:lang w:eastAsia="en-US"/>
              </w:rPr>
              <w:t xml:space="preserve"> vs. Cd</w:t>
            </w:r>
          </w:p>
        </w:tc>
        <w:tc>
          <w:tcPr>
            <w:tcW w:w="1366" w:type="dxa"/>
            <w:shd w:val="clear" w:color="auto" w:fill="auto"/>
            <w:tcMar>
              <w:left w:w="28" w:type="dxa"/>
              <w:right w:w="28" w:type="dxa"/>
            </w:tcMar>
          </w:tcPr>
          <w:p w14:paraId="2456FA99" w14:textId="77777777" w:rsidR="00F8421F" w:rsidRPr="00F04A75" w:rsidRDefault="00F8421F" w:rsidP="00B26A7F">
            <w:pPr>
              <w:keepNext/>
              <w:jc w:val="center"/>
              <w:rPr>
                <w:rFonts w:ascii="Arial Narrow" w:hAnsi="Arial Narrow"/>
                <w:sz w:val="20"/>
                <w:szCs w:val="20"/>
              </w:rPr>
            </w:pPr>
            <w:r w:rsidRPr="00F04A75">
              <w:rPr>
                <w:rFonts w:ascii="Arial Narrow" w:hAnsi="Arial Narrow"/>
                <w:sz w:val="20"/>
                <w:szCs w:val="20"/>
              </w:rPr>
              <w:t>0.99</w:t>
            </w:r>
            <w:r w:rsidRPr="00F04A75">
              <w:rPr>
                <w:rFonts w:ascii="Arial Narrow" w:hAnsi="Arial Narrow"/>
                <w:sz w:val="20"/>
                <w:szCs w:val="20"/>
              </w:rPr>
              <w:br/>
              <w:t>(0.74, 1.34)</w:t>
            </w:r>
          </w:p>
        </w:tc>
      </w:tr>
    </w:tbl>
    <w:p w14:paraId="0AA25FFF" w14:textId="77777777" w:rsidR="00F97782" w:rsidRPr="00F04A75" w:rsidRDefault="00F97782" w:rsidP="00392547">
      <w:pPr>
        <w:pStyle w:val="Tablenotes1"/>
        <w:tabs>
          <w:tab w:val="left" w:pos="1320"/>
        </w:tabs>
        <w:jc w:val="both"/>
        <w:rPr>
          <w:rFonts w:ascii="Arial Narrow" w:hAnsi="Arial Narrow"/>
          <w:sz w:val="18"/>
          <w:szCs w:val="18"/>
        </w:rPr>
      </w:pPr>
      <w:r w:rsidRPr="00F04A75">
        <w:rPr>
          <w:rFonts w:ascii="Arial Narrow" w:hAnsi="Arial Narrow"/>
          <w:sz w:val="18"/>
          <w:szCs w:val="18"/>
        </w:rPr>
        <w:t>Source: Table 2.6.1, p87 of the resubmission</w:t>
      </w:r>
    </w:p>
    <w:p w14:paraId="12497B34" w14:textId="72961CAC" w:rsidR="00F97782" w:rsidRPr="00F04A75" w:rsidRDefault="00F97782" w:rsidP="00392547">
      <w:pPr>
        <w:pStyle w:val="Tablenotes1"/>
        <w:jc w:val="both"/>
        <w:rPr>
          <w:rFonts w:ascii="Arial Narrow" w:hAnsi="Arial Narrow"/>
          <w:sz w:val="18"/>
          <w:szCs w:val="18"/>
        </w:rPr>
      </w:pPr>
      <w:r w:rsidRPr="00F04A75">
        <w:rPr>
          <w:rFonts w:ascii="Arial Narrow" w:hAnsi="Arial Narrow"/>
          <w:sz w:val="18"/>
          <w:szCs w:val="18"/>
        </w:rPr>
        <w:t xml:space="preserve">Bd = bortezomib and dexamethasone; </w:t>
      </w:r>
      <w:r w:rsidR="002A1FAD" w:rsidRPr="00F04A75">
        <w:rPr>
          <w:rFonts w:ascii="Arial Narrow" w:hAnsi="Arial Narrow"/>
          <w:sz w:val="18"/>
          <w:szCs w:val="18"/>
        </w:rPr>
        <w:t>Cd56 BIW = carfilzomib 56 mg/m</w:t>
      </w:r>
      <w:r w:rsidR="002A1FAD" w:rsidRPr="00F04A75">
        <w:rPr>
          <w:rFonts w:ascii="Arial Narrow" w:hAnsi="Arial Narrow"/>
          <w:sz w:val="18"/>
          <w:szCs w:val="18"/>
          <w:vertAlign w:val="superscript"/>
        </w:rPr>
        <w:t xml:space="preserve">2 </w:t>
      </w:r>
      <w:r w:rsidR="002A1FAD" w:rsidRPr="00F04A75">
        <w:rPr>
          <w:rFonts w:ascii="Arial Narrow" w:hAnsi="Arial Narrow"/>
          <w:sz w:val="18"/>
          <w:szCs w:val="18"/>
        </w:rPr>
        <w:t>twice weekly and dexamethasone;</w:t>
      </w:r>
      <w:r w:rsidR="002A1FAD" w:rsidRPr="00F04A75">
        <w:t xml:space="preserve"> </w:t>
      </w:r>
      <w:r w:rsidR="002A1FAD" w:rsidRPr="00F04A75">
        <w:rPr>
          <w:rFonts w:ascii="Arial Narrow" w:hAnsi="Arial Narrow"/>
          <w:sz w:val="18"/>
          <w:szCs w:val="18"/>
        </w:rPr>
        <w:t xml:space="preserve">CI = confidence interval; </w:t>
      </w:r>
      <w:proofErr w:type="spellStart"/>
      <w:r w:rsidRPr="00F04A75">
        <w:rPr>
          <w:rFonts w:ascii="Arial Narrow" w:hAnsi="Arial Narrow"/>
          <w:sz w:val="18"/>
          <w:szCs w:val="18"/>
        </w:rPr>
        <w:t>CLd</w:t>
      </w:r>
      <w:proofErr w:type="spellEnd"/>
      <w:r w:rsidRPr="00F04A75">
        <w:rPr>
          <w:rFonts w:ascii="Arial Narrow" w:hAnsi="Arial Narrow"/>
          <w:sz w:val="18"/>
          <w:szCs w:val="18"/>
        </w:rPr>
        <w:t xml:space="preserve"> = carfilzomib, lenalidomide, and dexamethasone; HR = hazard ratio; </w:t>
      </w:r>
      <w:r w:rsidR="002A1FAD" w:rsidRPr="00F04A75">
        <w:rPr>
          <w:rFonts w:ascii="Arial Narrow" w:hAnsi="Arial Narrow"/>
          <w:sz w:val="18"/>
          <w:szCs w:val="18"/>
        </w:rPr>
        <w:t xml:space="preserve">IRC = independent review committee; </w:t>
      </w:r>
      <w:r w:rsidRPr="00F04A75">
        <w:rPr>
          <w:rFonts w:ascii="Arial Narrow" w:hAnsi="Arial Narrow"/>
          <w:sz w:val="18"/>
          <w:szCs w:val="18"/>
        </w:rPr>
        <w:t>ITC = indirect treatment comparison;</w:t>
      </w:r>
      <w:r w:rsidR="00EF1BA0" w:rsidRPr="00F04A75">
        <w:rPr>
          <w:rFonts w:ascii="Arial Narrow" w:hAnsi="Arial Narrow"/>
          <w:sz w:val="18"/>
          <w:szCs w:val="18"/>
        </w:rPr>
        <w:t xml:space="preserve"> </w:t>
      </w:r>
      <w:r w:rsidR="002A1FAD" w:rsidRPr="00F04A75">
        <w:rPr>
          <w:rFonts w:ascii="Arial Narrow" w:hAnsi="Arial Narrow"/>
          <w:sz w:val="18"/>
          <w:szCs w:val="18"/>
        </w:rPr>
        <w:t xml:space="preserve">ITT = intention to treat; </w:t>
      </w:r>
      <w:proofErr w:type="spellStart"/>
      <w:r w:rsidR="00EF1BA0" w:rsidRPr="00F04A75">
        <w:rPr>
          <w:rFonts w:ascii="Arial Narrow" w:hAnsi="Arial Narrow"/>
          <w:sz w:val="18"/>
          <w:szCs w:val="18"/>
        </w:rPr>
        <w:t>Ld</w:t>
      </w:r>
      <w:proofErr w:type="spellEnd"/>
      <w:r w:rsidR="002A1FAD" w:rsidRPr="00F04A75">
        <w:rPr>
          <w:rFonts w:ascii="Arial Narrow" w:hAnsi="Arial Narrow"/>
          <w:sz w:val="18"/>
          <w:szCs w:val="18"/>
        </w:rPr>
        <w:t xml:space="preserve"> </w:t>
      </w:r>
      <w:r w:rsidR="00EF1BA0" w:rsidRPr="00F04A75">
        <w:rPr>
          <w:rFonts w:ascii="Arial Narrow" w:hAnsi="Arial Narrow"/>
          <w:sz w:val="18"/>
          <w:szCs w:val="18"/>
        </w:rPr>
        <w:t xml:space="preserve">= lenalidomide and dexamethasone; </w:t>
      </w:r>
      <w:proofErr w:type="spellStart"/>
      <w:r w:rsidRPr="00F04A75">
        <w:rPr>
          <w:rFonts w:ascii="Arial Narrow" w:hAnsi="Arial Narrow"/>
          <w:sz w:val="18"/>
          <w:szCs w:val="18"/>
        </w:rPr>
        <w:t>nNE</w:t>
      </w:r>
      <w:proofErr w:type="spellEnd"/>
      <w:r w:rsidRPr="00F04A75">
        <w:rPr>
          <w:rFonts w:ascii="Arial Narrow" w:hAnsi="Arial Narrow"/>
          <w:sz w:val="18"/>
          <w:szCs w:val="18"/>
        </w:rPr>
        <w:t xml:space="preserve"> = not estimable; OS = overall survival; PFS = progression free survival</w:t>
      </w:r>
    </w:p>
    <w:p w14:paraId="5C626516" w14:textId="77777777" w:rsidR="00F97782" w:rsidRPr="00F04A75" w:rsidRDefault="00F97782" w:rsidP="00392547">
      <w:pPr>
        <w:pStyle w:val="Tablenotes1"/>
        <w:jc w:val="both"/>
        <w:rPr>
          <w:rFonts w:ascii="Arial Narrow" w:hAnsi="Arial Narrow"/>
          <w:sz w:val="18"/>
          <w:szCs w:val="18"/>
        </w:rPr>
      </w:pPr>
      <w:r w:rsidRPr="00F04A75">
        <w:rPr>
          <w:rFonts w:ascii="Arial Narrow" w:hAnsi="Arial Narrow"/>
          <w:sz w:val="18"/>
          <w:szCs w:val="18"/>
        </w:rPr>
        <w:t>a. IRC assessed; ITT definition of PFS</w:t>
      </w:r>
    </w:p>
    <w:p w14:paraId="45CCEB49" w14:textId="77777777" w:rsidR="00F97782" w:rsidRPr="00F04A75" w:rsidRDefault="00F97782" w:rsidP="00392547">
      <w:pPr>
        <w:pStyle w:val="Tablenotes1"/>
        <w:jc w:val="both"/>
        <w:rPr>
          <w:rFonts w:ascii="Arial Narrow" w:hAnsi="Arial Narrow"/>
          <w:sz w:val="18"/>
          <w:szCs w:val="18"/>
        </w:rPr>
      </w:pPr>
      <w:r w:rsidRPr="00F04A75">
        <w:rPr>
          <w:rFonts w:ascii="Arial Narrow" w:hAnsi="Arial Narrow"/>
          <w:sz w:val="18"/>
          <w:szCs w:val="18"/>
        </w:rPr>
        <w:t xml:space="preserve">b. IRC </w:t>
      </w:r>
      <w:proofErr w:type="gramStart"/>
      <w:r w:rsidRPr="00F04A75">
        <w:rPr>
          <w:rFonts w:ascii="Arial Narrow" w:hAnsi="Arial Narrow"/>
          <w:sz w:val="18"/>
          <w:szCs w:val="18"/>
        </w:rPr>
        <w:t>generated;</w:t>
      </w:r>
      <w:proofErr w:type="gramEnd"/>
      <w:r w:rsidRPr="00F04A75">
        <w:rPr>
          <w:rFonts w:ascii="Arial Narrow" w:hAnsi="Arial Narrow"/>
          <w:sz w:val="18"/>
          <w:szCs w:val="18"/>
        </w:rPr>
        <w:t xml:space="preserve"> ITT population </w:t>
      </w:r>
    </w:p>
    <w:p w14:paraId="6319EE8B" w14:textId="77777777" w:rsidR="00392547" w:rsidRPr="00F04A75" w:rsidRDefault="00F97782" w:rsidP="00392547">
      <w:pPr>
        <w:pStyle w:val="Tablenotes1"/>
        <w:jc w:val="both"/>
        <w:rPr>
          <w:rFonts w:ascii="Arial Narrow" w:hAnsi="Arial Narrow"/>
          <w:sz w:val="18"/>
          <w:szCs w:val="18"/>
        </w:rPr>
      </w:pPr>
      <w:r w:rsidRPr="00F04A75">
        <w:rPr>
          <w:rFonts w:ascii="Arial Narrow" w:hAnsi="Arial Narrow"/>
          <w:sz w:val="18"/>
          <w:szCs w:val="18"/>
        </w:rPr>
        <w:t>c. Performed using the Bucher ITC method</w:t>
      </w:r>
    </w:p>
    <w:p w14:paraId="616B37BE" w14:textId="74E12921" w:rsidR="00491150" w:rsidRPr="00F04A75" w:rsidRDefault="00491150" w:rsidP="00392547">
      <w:pPr>
        <w:pStyle w:val="Tablenotes1"/>
        <w:jc w:val="both"/>
        <w:rPr>
          <w:rFonts w:ascii="Arial Narrow" w:hAnsi="Arial Narrow"/>
          <w:sz w:val="18"/>
          <w:szCs w:val="18"/>
        </w:rPr>
      </w:pPr>
      <w:r w:rsidRPr="00F04A75">
        <w:rPr>
          <w:rFonts w:ascii="Arial Narrow" w:hAnsi="Arial Narrow"/>
          <w:b/>
          <w:bCs/>
          <w:sz w:val="18"/>
          <w:szCs w:val="18"/>
        </w:rPr>
        <w:t>Bold</w:t>
      </w:r>
      <w:r w:rsidRPr="00F04A75">
        <w:rPr>
          <w:rFonts w:ascii="Arial Narrow" w:hAnsi="Arial Narrow"/>
          <w:sz w:val="18"/>
          <w:szCs w:val="18"/>
        </w:rPr>
        <w:t xml:space="preserve"> = statistically significant</w:t>
      </w:r>
    </w:p>
    <w:p w14:paraId="69466743" w14:textId="3612576D" w:rsidR="00F97782" w:rsidRPr="00F04A75" w:rsidRDefault="00F97782" w:rsidP="0016658B">
      <w:pPr>
        <w:pStyle w:val="ListParagraph"/>
        <w:widowControl w:val="0"/>
        <w:numPr>
          <w:ilvl w:val="1"/>
          <w:numId w:val="1"/>
        </w:numPr>
        <w:tabs>
          <w:tab w:val="left" w:pos="720"/>
        </w:tabs>
        <w:spacing w:after="160"/>
        <w:ind w:left="630" w:hanging="630"/>
      </w:pPr>
      <w:r w:rsidRPr="00F04A75">
        <w:t>The</w:t>
      </w:r>
      <w:r w:rsidR="009E4973" w:rsidRPr="00F04A75">
        <w:t xml:space="preserve"> r</w:t>
      </w:r>
      <w:r w:rsidR="0032318A" w:rsidRPr="00F04A75">
        <w:t>esults of the ITC demonstrated that there</w:t>
      </w:r>
      <w:r w:rsidRPr="00F04A75">
        <w:t xml:space="preserve"> w</w:t>
      </w:r>
      <w:r w:rsidR="009E4973" w:rsidRPr="00F04A75">
        <w:t>ere</w:t>
      </w:r>
      <w:r w:rsidRPr="00F04A75">
        <w:t xml:space="preserve"> no statistically significant difference</w:t>
      </w:r>
      <w:r w:rsidR="009E4973" w:rsidRPr="00F04A75">
        <w:t>s</w:t>
      </w:r>
      <w:r w:rsidRPr="00F04A75">
        <w:t xml:space="preserve"> between </w:t>
      </w:r>
      <w:proofErr w:type="spellStart"/>
      <w:r w:rsidRPr="00F04A75">
        <w:t>CLd</w:t>
      </w:r>
      <w:proofErr w:type="spellEnd"/>
      <w:r w:rsidRPr="00F04A75">
        <w:t xml:space="preserve"> and Cd in terms of PFS or OS. The results of the ITC demonstrated a numerical advantage in PFS in favour of Cd relative to </w:t>
      </w:r>
      <w:proofErr w:type="spellStart"/>
      <w:r w:rsidRPr="00F04A75">
        <w:t>CLd</w:t>
      </w:r>
      <w:proofErr w:type="spellEnd"/>
      <w:r w:rsidRPr="00F04A75">
        <w:t xml:space="preserve"> (HR = 1.29; 95% CI: 0.98, 1.71). </w:t>
      </w:r>
      <w:r w:rsidR="007C197C">
        <w:t>A</w:t>
      </w:r>
      <w:r w:rsidRPr="00F04A75">
        <w:t xml:space="preserve"> numerical advantage in OS </w:t>
      </w:r>
      <w:r w:rsidR="007C197C">
        <w:t>for</w:t>
      </w:r>
      <w:r w:rsidRPr="00F04A75">
        <w:t xml:space="preserve"> </w:t>
      </w:r>
      <w:proofErr w:type="spellStart"/>
      <w:r w:rsidRPr="00F04A75">
        <w:t>CLd</w:t>
      </w:r>
      <w:proofErr w:type="spellEnd"/>
      <w:r w:rsidRPr="00F04A75">
        <w:t xml:space="preserve"> relative to Cd</w:t>
      </w:r>
      <w:r w:rsidR="007C197C">
        <w:t xml:space="preserve"> was not observed </w:t>
      </w:r>
      <w:r w:rsidRPr="00F04A75">
        <w:t xml:space="preserve">(HR = 0.99; 95% CI: 0.74, 1.34). </w:t>
      </w:r>
      <w:r w:rsidR="00DA27FF" w:rsidRPr="00F04A75">
        <w:t>A</w:t>
      </w:r>
      <w:r w:rsidRPr="00F04A75">
        <w:t xml:space="preserve"> non-inferiority margin was not nominated by the resubmission. </w:t>
      </w:r>
    </w:p>
    <w:p w14:paraId="4CF45D1D" w14:textId="5CD1539C" w:rsidR="00F97782" w:rsidRPr="00F04A75" w:rsidRDefault="00F97782" w:rsidP="009E4973">
      <w:pPr>
        <w:pStyle w:val="ListBullet"/>
        <w:spacing w:after="120"/>
        <w:rPr>
          <w:u w:val="single"/>
        </w:rPr>
      </w:pPr>
      <w:bookmarkStart w:id="40" w:name="_Hlk99025443"/>
      <w:r w:rsidRPr="00F04A75">
        <w:rPr>
          <w:u w:val="single"/>
        </w:rPr>
        <w:t>Indirect treatment comparison</w:t>
      </w:r>
      <w:r w:rsidR="00632FAE">
        <w:rPr>
          <w:u w:val="single"/>
        </w:rPr>
        <w:t>s</w:t>
      </w:r>
      <w:r w:rsidR="00C51647" w:rsidRPr="00F04A75">
        <w:rPr>
          <w:u w:val="single"/>
        </w:rPr>
        <w:t xml:space="preserve"> </w:t>
      </w:r>
      <w:r w:rsidRPr="00F04A75">
        <w:rPr>
          <w:u w:val="single"/>
        </w:rPr>
        <w:t xml:space="preserve">- </w:t>
      </w:r>
      <w:proofErr w:type="spellStart"/>
      <w:r w:rsidRPr="00F04A75">
        <w:rPr>
          <w:u w:val="single"/>
        </w:rPr>
        <w:t>CLd</w:t>
      </w:r>
      <w:proofErr w:type="spellEnd"/>
      <w:r w:rsidRPr="00F04A75">
        <w:rPr>
          <w:u w:val="single"/>
        </w:rPr>
        <w:t xml:space="preserve"> vs </w:t>
      </w:r>
      <w:proofErr w:type="spellStart"/>
      <w:r w:rsidRPr="00F04A75">
        <w:rPr>
          <w:u w:val="single"/>
        </w:rPr>
        <w:t>PBd</w:t>
      </w:r>
      <w:proofErr w:type="spellEnd"/>
      <w:r w:rsidR="00DF5512">
        <w:rPr>
          <w:u w:val="single"/>
        </w:rPr>
        <w:t xml:space="preserve"> and </w:t>
      </w:r>
      <w:proofErr w:type="spellStart"/>
      <w:r w:rsidR="00DF5512">
        <w:rPr>
          <w:u w:val="single"/>
        </w:rPr>
        <w:t>ELd</w:t>
      </w:r>
      <w:proofErr w:type="spellEnd"/>
    </w:p>
    <w:bookmarkEnd w:id="40"/>
    <w:p w14:paraId="55A51154" w14:textId="00161AF4" w:rsidR="00F97782" w:rsidRPr="00F04A75" w:rsidRDefault="00F97782" w:rsidP="0016658B">
      <w:pPr>
        <w:pStyle w:val="ListParagraph"/>
        <w:widowControl w:val="0"/>
        <w:numPr>
          <w:ilvl w:val="1"/>
          <w:numId w:val="1"/>
        </w:numPr>
        <w:spacing w:after="160"/>
        <w:ind w:left="630" w:hanging="630"/>
      </w:pPr>
      <w:r w:rsidRPr="00F04A75">
        <w:t>The results of the ITC</w:t>
      </w:r>
      <w:r w:rsidR="00DF5512">
        <w:t>s</w:t>
      </w:r>
      <w:r w:rsidRPr="00F04A75">
        <w:t xml:space="preserve"> </w:t>
      </w:r>
      <w:r w:rsidR="00DF5512">
        <w:t>between</w:t>
      </w:r>
      <w:r w:rsidRPr="00F04A75">
        <w:t xml:space="preserve"> </w:t>
      </w:r>
      <w:proofErr w:type="spellStart"/>
      <w:r w:rsidRPr="00F04A75">
        <w:t>CLd</w:t>
      </w:r>
      <w:proofErr w:type="spellEnd"/>
      <w:r w:rsidRPr="00F04A75">
        <w:t xml:space="preserve"> and </w:t>
      </w:r>
      <w:proofErr w:type="spellStart"/>
      <w:r w:rsidRPr="00F04A75">
        <w:t>PBd</w:t>
      </w:r>
      <w:proofErr w:type="spellEnd"/>
      <w:r w:rsidRPr="00F04A75">
        <w:t xml:space="preserve"> </w:t>
      </w:r>
      <w:r w:rsidR="00DF5512">
        <w:t xml:space="preserve">and Eld </w:t>
      </w:r>
      <w:r w:rsidRPr="00F04A75">
        <w:t xml:space="preserve">for the outcomes of PFS and OS are </w:t>
      </w:r>
      <w:r w:rsidRPr="00F04A75">
        <w:rPr>
          <w:rFonts w:cstheme="minorHAnsi"/>
        </w:rPr>
        <w:t xml:space="preserve">presented in </w:t>
      </w:r>
      <w:r w:rsidR="00235C08" w:rsidRPr="00F04A75">
        <w:rPr>
          <w:rFonts w:cstheme="minorHAnsi"/>
        </w:rPr>
        <w:t xml:space="preserve">Table </w:t>
      </w:r>
      <w:r w:rsidR="00C8791A">
        <w:rPr>
          <w:rFonts w:cstheme="minorHAnsi"/>
        </w:rPr>
        <w:t>13</w:t>
      </w:r>
      <w:r w:rsidRPr="00F04A75">
        <w:rPr>
          <w:rFonts w:cstheme="minorHAnsi"/>
        </w:rPr>
        <w:t xml:space="preserve">. The ITC compared </w:t>
      </w:r>
      <w:proofErr w:type="spellStart"/>
      <w:r w:rsidRPr="00F04A75">
        <w:rPr>
          <w:rFonts w:cstheme="minorHAnsi"/>
        </w:rPr>
        <w:t>CLd</w:t>
      </w:r>
      <w:proofErr w:type="spellEnd"/>
      <w:r w:rsidRPr="00F04A75">
        <w:rPr>
          <w:rFonts w:cstheme="minorHAnsi"/>
        </w:rPr>
        <w:t xml:space="preserve"> to </w:t>
      </w:r>
      <w:proofErr w:type="spellStart"/>
      <w:r w:rsidRPr="00F04A75">
        <w:rPr>
          <w:rFonts w:cstheme="minorHAnsi"/>
        </w:rPr>
        <w:t>PBd</w:t>
      </w:r>
      <w:proofErr w:type="spellEnd"/>
      <w:r w:rsidRPr="00F04A75">
        <w:rPr>
          <w:rFonts w:cstheme="minorHAnsi"/>
        </w:rPr>
        <w:t xml:space="preserve"> assuming that the efficacy results for </w:t>
      </w:r>
      <w:proofErr w:type="spellStart"/>
      <w:r w:rsidRPr="00F04A75">
        <w:rPr>
          <w:rFonts w:cstheme="minorHAnsi"/>
        </w:rPr>
        <w:t>Ld</w:t>
      </w:r>
      <w:proofErr w:type="spellEnd"/>
      <w:r w:rsidRPr="00F04A75">
        <w:rPr>
          <w:rFonts w:cstheme="minorHAnsi"/>
        </w:rPr>
        <w:t xml:space="preserve"> and Bd were the</w:t>
      </w:r>
      <w:r w:rsidRPr="00F04A75">
        <w:t xml:space="preserve"> same for the purposes of anchoring as a common comparator in the ITC. </w:t>
      </w:r>
      <w:r w:rsidR="00C14BCF" w:rsidRPr="00F04A75">
        <w:t xml:space="preserve">As </w:t>
      </w:r>
      <w:r w:rsidR="00C14BCF">
        <w:t>not</w:t>
      </w:r>
      <w:r w:rsidR="00C14BCF" w:rsidRPr="00F04A75">
        <w:t xml:space="preserve">ed in </w:t>
      </w:r>
      <w:r w:rsidR="00C14BCF" w:rsidRPr="00DF1268">
        <w:t>paragraphs 6.5</w:t>
      </w:r>
      <w:r w:rsidR="00C14BCF">
        <w:t xml:space="preserve"> and 6.24</w:t>
      </w:r>
      <w:r w:rsidR="00C14BCF" w:rsidRPr="00F04A75">
        <w:t xml:space="preserve">, this </w:t>
      </w:r>
      <w:r w:rsidR="00C14BCF">
        <w:t>required consideration</w:t>
      </w:r>
      <w:r w:rsidR="00C14BCF" w:rsidRPr="00F04A75">
        <w:t xml:space="preserve"> as </w:t>
      </w:r>
      <w:proofErr w:type="spellStart"/>
      <w:r w:rsidR="00C14BCF" w:rsidRPr="00F04A75">
        <w:t>Ld</w:t>
      </w:r>
      <w:proofErr w:type="spellEnd"/>
      <w:r w:rsidR="00C14BCF" w:rsidRPr="00F04A75">
        <w:t xml:space="preserve"> and Bd are different treatment regimens</w:t>
      </w:r>
      <w:r w:rsidRPr="00F04A75">
        <w:t xml:space="preserve">. </w:t>
      </w:r>
      <w:r w:rsidR="00DF5512">
        <w:t xml:space="preserve">The common comparator in the </w:t>
      </w:r>
      <w:r w:rsidR="00FE6998">
        <w:t xml:space="preserve">comparison with </w:t>
      </w:r>
      <w:proofErr w:type="spellStart"/>
      <w:r w:rsidR="00FE6998">
        <w:t>ELd</w:t>
      </w:r>
      <w:proofErr w:type="spellEnd"/>
      <w:r w:rsidR="00FE6998">
        <w:t xml:space="preserve"> was Ld. </w:t>
      </w:r>
      <w:r w:rsidRPr="00F04A75">
        <w:t>The results of the ITC</w:t>
      </w:r>
      <w:r w:rsidR="009E4973" w:rsidRPr="00F04A75">
        <w:t>s</w:t>
      </w:r>
      <w:r w:rsidRPr="00F04A75">
        <w:t xml:space="preserve"> for both PFS and OS were not statistically different. </w:t>
      </w:r>
    </w:p>
    <w:p w14:paraId="38969DA8" w14:textId="217B4725" w:rsidR="00F97782" w:rsidRPr="00F04A75" w:rsidRDefault="00F97782" w:rsidP="00B26A7F">
      <w:pPr>
        <w:pStyle w:val="Caption"/>
        <w:keepNext/>
        <w:spacing w:after="0"/>
        <w:rPr>
          <w:rFonts w:ascii="Arial Narrow" w:hAnsi="Arial Narrow"/>
          <w:sz w:val="20"/>
          <w:szCs w:val="20"/>
        </w:rPr>
      </w:pPr>
      <w:r w:rsidRPr="00F04A75">
        <w:rPr>
          <w:rFonts w:ascii="Arial Narrow" w:hAnsi="Arial Narrow"/>
          <w:color w:val="auto"/>
          <w:sz w:val="20"/>
          <w:szCs w:val="20"/>
        </w:rPr>
        <w:lastRenderedPageBreak/>
        <w:t xml:space="preserve">Table </w:t>
      </w:r>
      <w:r w:rsidRPr="00F04A75">
        <w:rPr>
          <w:rFonts w:ascii="Arial Narrow" w:hAnsi="Arial Narrow"/>
          <w:color w:val="auto"/>
          <w:sz w:val="20"/>
          <w:szCs w:val="20"/>
        </w:rPr>
        <w:fldChar w:fldCharType="begin"/>
      </w:r>
      <w:r w:rsidRPr="00F04A75">
        <w:rPr>
          <w:rFonts w:ascii="Arial Narrow" w:hAnsi="Arial Narrow"/>
          <w:color w:val="auto"/>
          <w:sz w:val="20"/>
          <w:szCs w:val="20"/>
        </w:rPr>
        <w:instrText xml:space="preserve"> SEQ Table \* ARABIC </w:instrText>
      </w:r>
      <w:r w:rsidRPr="00F04A75">
        <w:rPr>
          <w:rFonts w:ascii="Arial Narrow" w:hAnsi="Arial Narrow"/>
          <w:color w:val="auto"/>
          <w:sz w:val="20"/>
          <w:szCs w:val="20"/>
        </w:rPr>
        <w:fldChar w:fldCharType="separate"/>
      </w:r>
      <w:r w:rsidR="00443BC9">
        <w:rPr>
          <w:rFonts w:ascii="Arial Narrow" w:hAnsi="Arial Narrow"/>
          <w:noProof/>
          <w:color w:val="auto"/>
          <w:sz w:val="20"/>
          <w:szCs w:val="20"/>
        </w:rPr>
        <w:t>12</w:t>
      </w:r>
      <w:r w:rsidRPr="00F04A75">
        <w:rPr>
          <w:rFonts w:ascii="Arial Narrow" w:hAnsi="Arial Narrow"/>
          <w:color w:val="auto"/>
          <w:sz w:val="20"/>
          <w:szCs w:val="20"/>
        </w:rPr>
        <w:fldChar w:fldCharType="end"/>
      </w:r>
      <w:r w:rsidRPr="00F04A75">
        <w:rPr>
          <w:rFonts w:ascii="Arial Narrow" w:hAnsi="Arial Narrow"/>
          <w:color w:val="auto"/>
          <w:sz w:val="20"/>
          <w:szCs w:val="20"/>
        </w:rPr>
        <w:t>: Summary of results of the indirect comparison for PFS and OS, between ASPIRE and OPTIMISMM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1142"/>
        <w:gridCol w:w="992"/>
        <w:gridCol w:w="1134"/>
        <w:gridCol w:w="992"/>
        <w:gridCol w:w="1134"/>
        <w:gridCol w:w="1043"/>
        <w:gridCol w:w="1175"/>
      </w:tblGrid>
      <w:tr w:rsidR="00FB081D" w:rsidRPr="00F04A75" w14:paraId="6598DE90" w14:textId="77777777" w:rsidTr="00895AB1">
        <w:trPr>
          <w:trHeight w:val="20"/>
        </w:trPr>
        <w:tc>
          <w:tcPr>
            <w:tcW w:w="1405" w:type="dxa"/>
            <w:vMerge w:val="restart"/>
            <w:tcBorders>
              <w:top w:val="single" w:sz="4" w:space="0" w:color="auto"/>
              <w:left w:val="single" w:sz="4" w:space="0" w:color="auto"/>
              <w:right w:val="single" w:sz="4" w:space="0" w:color="auto"/>
            </w:tcBorders>
            <w:tcMar>
              <w:left w:w="28" w:type="dxa"/>
              <w:right w:w="28" w:type="dxa"/>
            </w:tcMar>
          </w:tcPr>
          <w:p w14:paraId="052AFD38" w14:textId="77777777" w:rsidR="00FB081D" w:rsidRPr="00F04A75" w:rsidRDefault="00FB081D" w:rsidP="00B26A7F">
            <w:pPr>
              <w:keepNext/>
              <w:jc w:val="left"/>
              <w:rPr>
                <w:rFonts w:ascii="Arial Narrow" w:hAnsi="Arial Narrow" w:cs="Times New Roman"/>
                <w:sz w:val="20"/>
                <w:szCs w:val="20"/>
                <w:lang w:eastAsia="en-US"/>
              </w:rPr>
            </w:pPr>
          </w:p>
        </w:tc>
        <w:tc>
          <w:tcPr>
            <w:tcW w:w="1142" w:type="dxa"/>
            <w:vMerge w:val="restart"/>
            <w:tcBorders>
              <w:top w:val="single" w:sz="4" w:space="0" w:color="auto"/>
              <w:left w:val="single" w:sz="4" w:space="0" w:color="auto"/>
              <w:right w:val="single" w:sz="4" w:space="0" w:color="auto"/>
            </w:tcBorders>
            <w:tcMar>
              <w:left w:w="28" w:type="dxa"/>
              <w:right w:w="28" w:type="dxa"/>
            </w:tcMar>
            <w:vAlign w:val="center"/>
          </w:tcPr>
          <w:p w14:paraId="5D40EFE2" w14:textId="77777777" w:rsidR="00FB081D" w:rsidRPr="00F04A75" w:rsidRDefault="00FB081D" w:rsidP="00B26A7F">
            <w:pPr>
              <w:keepNext/>
              <w:jc w:val="center"/>
              <w:rPr>
                <w:rFonts w:ascii="Arial Narrow" w:hAnsi="Arial Narrow" w:cs="Times New Roman"/>
                <w:iCs/>
                <w:sz w:val="20"/>
                <w:szCs w:val="20"/>
                <w:lang w:eastAsia="en-US"/>
              </w:rPr>
            </w:pPr>
            <w:r w:rsidRPr="00F04A75">
              <w:rPr>
                <w:rFonts w:ascii="Arial Narrow" w:hAnsi="Arial Narrow" w:cs="Times New Roman"/>
                <w:b/>
                <w:iCs/>
                <w:sz w:val="20"/>
                <w:szCs w:val="20"/>
                <w:lang w:eastAsia="en-US"/>
              </w:rPr>
              <w:t>Median duration of follow-up</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F3FA731" w14:textId="77777777" w:rsidR="00FB081D" w:rsidRPr="00F04A75" w:rsidRDefault="00FB081D" w:rsidP="00B26A7F">
            <w:pPr>
              <w:keepNext/>
              <w:jc w:val="center"/>
              <w:rPr>
                <w:rFonts w:ascii="Arial Narrow" w:hAnsi="Arial Narrow" w:cs="Times New Roman"/>
                <w:b/>
                <w:iCs/>
                <w:sz w:val="20"/>
                <w:szCs w:val="20"/>
                <w:lang w:eastAsia="en-US"/>
              </w:rPr>
            </w:pPr>
            <w:proofErr w:type="spellStart"/>
            <w:r w:rsidRPr="00F04A75">
              <w:rPr>
                <w:rFonts w:ascii="Arial Narrow" w:hAnsi="Arial Narrow" w:cs="Times New Roman"/>
                <w:b/>
                <w:iCs/>
                <w:sz w:val="20"/>
                <w:szCs w:val="20"/>
                <w:lang w:eastAsia="en-US"/>
              </w:rPr>
              <w:t>CLd</w:t>
            </w:r>
            <w:proofErr w:type="spellEnd"/>
            <w:r w:rsidRPr="00F04A75">
              <w:rPr>
                <w:rFonts w:ascii="Arial Narrow" w:hAnsi="Arial Narrow" w:cs="Times New Roman"/>
                <w:b/>
                <w:iCs/>
                <w:sz w:val="20"/>
                <w:szCs w:val="20"/>
                <w:lang w:eastAsia="en-US"/>
              </w:rPr>
              <w:t xml:space="preserve"> or </w:t>
            </w:r>
            <w:proofErr w:type="spellStart"/>
            <w:r w:rsidRPr="00F04A75">
              <w:rPr>
                <w:rFonts w:ascii="Arial Narrow" w:hAnsi="Arial Narrow" w:cs="Times New Roman"/>
                <w:b/>
                <w:iCs/>
                <w:sz w:val="20"/>
                <w:szCs w:val="20"/>
                <w:lang w:eastAsia="en-US"/>
              </w:rPr>
              <w:t>PBd</w:t>
            </w:r>
            <w:proofErr w:type="spellEnd"/>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7FDC077" w14:textId="77777777" w:rsidR="00FB081D" w:rsidRPr="00F04A75" w:rsidRDefault="00FB081D" w:rsidP="00B26A7F">
            <w:pPr>
              <w:keepNext/>
              <w:jc w:val="center"/>
              <w:rPr>
                <w:rFonts w:ascii="Arial Narrow" w:hAnsi="Arial Narrow" w:cs="Times New Roman"/>
                <w:b/>
                <w:sz w:val="20"/>
                <w:szCs w:val="20"/>
                <w:lang w:eastAsia="en-US"/>
              </w:rPr>
            </w:pPr>
            <w:proofErr w:type="spellStart"/>
            <w:r w:rsidRPr="00F04A75">
              <w:rPr>
                <w:rFonts w:ascii="Arial Narrow" w:hAnsi="Arial Narrow" w:cs="Times New Roman"/>
                <w:b/>
                <w:sz w:val="20"/>
                <w:szCs w:val="20"/>
                <w:lang w:eastAsia="en-US"/>
              </w:rPr>
              <w:t>Ld</w:t>
            </w:r>
            <w:proofErr w:type="spellEnd"/>
            <w:r w:rsidRPr="00F04A75">
              <w:rPr>
                <w:rFonts w:ascii="Arial Narrow" w:hAnsi="Arial Narrow" w:cs="Times New Roman"/>
                <w:b/>
                <w:sz w:val="20"/>
                <w:szCs w:val="20"/>
                <w:lang w:eastAsia="en-US"/>
              </w:rPr>
              <w:t xml:space="preserve"> or Bd</w:t>
            </w:r>
          </w:p>
        </w:tc>
        <w:tc>
          <w:tcPr>
            <w:tcW w:w="1043" w:type="dxa"/>
            <w:vMerge w:val="restart"/>
            <w:tcBorders>
              <w:top w:val="single" w:sz="4" w:space="0" w:color="auto"/>
              <w:left w:val="single" w:sz="4" w:space="0" w:color="auto"/>
              <w:right w:val="single" w:sz="4" w:space="0" w:color="auto"/>
            </w:tcBorders>
            <w:shd w:val="clear" w:color="auto" w:fill="auto"/>
            <w:tcMar>
              <w:left w:w="28" w:type="dxa"/>
              <w:right w:w="28" w:type="dxa"/>
            </w:tcMar>
            <w:vAlign w:val="center"/>
          </w:tcPr>
          <w:p w14:paraId="0CCD81E1" w14:textId="77777777" w:rsidR="00FB081D" w:rsidRPr="00F04A75" w:rsidRDefault="00FB081D" w:rsidP="00B26A7F">
            <w:pPr>
              <w:keepNext/>
              <w:jc w:val="center"/>
              <w:rPr>
                <w:rFonts w:ascii="Arial Narrow" w:hAnsi="Arial Narrow" w:cs="Times New Roman"/>
                <w:iCs/>
                <w:sz w:val="20"/>
                <w:szCs w:val="20"/>
                <w:lang w:eastAsia="en-US"/>
              </w:rPr>
            </w:pPr>
            <w:r w:rsidRPr="00F04A75">
              <w:rPr>
                <w:rFonts w:ascii="Arial Narrow" w:hAnsi="Arial Narrow" w:cs="Times New Roman"/>
                <w:b/>
                <w:sz w:val="20"/>
                <w:szCs w:val="20"/>
                <w:lang w:eastAsia="en-US"/>
              </w:rPr>
              <w:t xml:space="preserve">Difference in </w:t>
            </w:r>
            <w:r w:rsidR="00C51647" w:rsidRPr="00F04A75">
              <w:rPr>
                <w:rFonts w:ascii="Arial Narrow" w:hAnsi="Arial Narrow" w:cs="Times New Roman"/>
                <w:b/>
                <w:sz w:val="20"/>
                <w:szCs w:val="20"/>
                <w:lang w:eastAsia="en-US"/>
              </w:rPr>
              <w:t xml:space="preserve">median, </w:t>
            </w:r>
            <w:r w:rsidRPr="00F04A75">
              <w:rPr>
                <w:rFonts w:ascii="Arial Narrow" w:hAnsi="Arial Narrow" w:cs="Times New Roman"/>
                <w:b/>
                <w:sz w:val="20"/>
                <w:szCs w:val="20"/>
                <w:lang w:eastAsia="en-US"/>
              </w:rPr>
              <w:t>months</w:t>
            </w:r>
          </w:p>
        </w:tc>
        <w:tc>
          <w:tcPr>
            <w:tcW w:w="1175" w:type="dxa"/>
            <w:vMerge w:val="restart"/>
            <w:tcBorders>
              <w:top w:val="single" w:sz="4" w:space="0" w:color="auto"/>
              <w:left w:val="single" w:sz="4" w:space="0" w:color="auto"/>
              <w:right w:val="single" w:sz="4" w:space="0" w:color="auto"/>
            </w:tcBorders>
            <w:shd w:val="clear" w:color="auto" w:fill="auto"/>
            <w:tcMar>
              <w:left w:w="28" w:type="dxa"/>
              <w:right w:w="28" w:type="dxa"/>
            </w:tcMar>
            <w:vAlign w:val="center"/>
          </w:tcPr>
          <w:p w14:paraId="42FC56C0" w14:textId="77777777" w:rsidR="00FB081D" w:rsidRPr="00F04A75" w:rsidRDefault="00FB081D" w:rsidP="00B26A7F">
            <w:pPr>
              <w:keepNext/>
              <w:jc w:val="center"/>
              <w:rPr>
                <w:rFonts w:ascii="Arial Narrow" w:hAnsi="Arial Narrow"/>
                <w:b/>
                <w:bCs/>
                <w:sz w:val="20"/>
                <w:szCs w:val="20"/>
              </w:rPr>
            </w:pPr>
            <w:proofErr w:type="spellStart"/>
            <w:r w:rsidRPr="00F04A75">
              <w:rPr>
                <w:rFonts w:ascii="Arial Narrow" w:hAnsi="Arial Narrow" w:cs="Times New Roman"/>
                <w:b/>
                <w:sz w:val="20"/>
                <w:szCs w:val="20"/>
                <w:lang w:eastAsia="en-US"/>
              </w:rPr>
              <w:t>HR</w:t>
            </w:r>
            <w:r w:rsidRPr="00F04A75">
              <w:rPr>
                <w:rFonts w:ascii="Arial Narrow" w:hAnsi="Arial Narrow" w:cs="Times New Roman"/>
                <w:b/>
                <w:sz w:val="20"/>
                <w:szCs w:val="20"/>
                <w:vertAlign w:val="superscript"/>
                <w:lang w:eastAsia="en-US"/>
              </w:rPr>
              <w:t>c</w:t>
            </w:r>
            <w:proofErr w:type="spellEnd"/>
            <w:r w:rsidRPr="00F04A75">
              <w:rPr>
                <w:rFonts w:ascii="Arial Narrow" w:hAnsi="Arial Narrow" w:cs="Times New Roman"/>
                <w:b/>
                <w:sz w:val="20"/>
                <w:szCs w:val="20"/>
                <w:lang w:eastAsia="en-US"/>
              </w:rPr>
              <w:t xml:space="preserve"> </w:t>
            </w:r>
            <w:r w:rsidRPr="00F04A75">
              <w:rPr>
                <w:rFonts w:ascii="Arial Narrow" w:hAnsi="Arial Narrow" w:cs="Times New Roman"/>
                <w:b/>
                <w:sz w:val="20"/>
                <w:szCs w:val="20"/>
                <w:lang w:eastAsia="en-US"/>
              </w:rPr>
              <w:br/>
              <w:t>(95% CI)</w:t>
            </w:r>
          </w:p>
        </w:tc>
      </w:tr>
      <w:tr w:rsidR="00FB081D" w:rsidRPr="00F04A75" w14:paraId="353D7175" w14:textId="77777777" w:rsidTr="00895AB1">
        <w:trPr>
          <w:trHeight w:val="20"/>
        </w:trPr>
        <w:tc>
          <w:tcPr>
            <w:tcW w:w="1405" w:type="dxa"/>
            <w:vMerge/>
            <w:tcBorders>
              <w:left w:val="single" w:sz="4" w:space="0" w:color="auto"/>
              <w:bottom w:val="single" w:sz="4" w:space="0" w:color="auto"/>
              <w:right w:val="single" w:sz="4" w:space="0" w:color="auto"/>
            </w:tcBorders>
            <w:tcMar>
              <w:left w:w="28" w:type="dxa"/>
              <w:right w:w="28" w:type="dxa"/>
            </w:tcMar>
          </w:tcPr>
          <w:p w14:paraId="349F19D9" w14:textId="77777777" w:rsidR="00FB081D" w:rsidRPr="00F04A75" w:rsidRDefault="00FB081D" w:rsidP="00B26A7F">
            <w:pPr>
              <w:keepNext/>
              <w:jc w:val="left"/>
              <w:rPr>
                <w:rFonts w:ascii="Arial Narrow" w:hAnsi="Arial Narrow" w:cs="Times New Roman"/>
                <w:sz w:val="20"/>
                <w:szCs w:val="20"/>
                <w:lang w:eastAsia="en-US"/>
              </w:rPr>
            </w:pPr>
          </w:p>
        </w:tc>
        <w:tc>
          <w:tcPr>
            <w:tcW w:w="1142" w:type="dxa"/>
            <w:vMerge/>
            <w:tcBorders>
              <w:left w:val="single" w:sz="4" w:space="0" w:color="auto"/>
              <w:bottom w:val="single" w:sz="4" w:space="0" w:color="auto"/>
              <w:right w:val="single" w:sz="4" w:space="0" w:color="auto"/>
            </w:tcBorders>
            <w:tcMar>
              <w:left w:w="28" w:type="dxa"/>
              <w:right w:w="28" w:type="dxa"/>
            </w:tcMar>
            <w:vAlign w:val="center"/>
          </w:tcPr>
          <w:p w14:paraId="56AF6403" w14:textId="77777777" w:rsidR="00FB081D" w:rsidRPr="00F04A75" w:rsidRDefault="00FB081D" w:rsidP="00B26A7F">
            <w:pPr>
              <w:keepNext/>
              <w:jc w:val="center"/>
              <w:rPr>
                <w:rFonts w:ascii="Arial Narrow" w:hAnsi="Arial Narrow" w:cs="Times New Roman"/>
                <w:iCs/>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19C9A30" w14:textId="77777777" w:rsidR="00FB081D" w:rsidRPr="00F04A75" w:rsidRDefault="00FB081D" w:rsidP="00B26A7F">
            <w:pPr>
              <w:keepNext/>
              <w:jc w:val="center"/>
              <w:rPr>
                <w:rFonts w:ascii="Arial Narrow" w:hAnsi="Arial Narrow"/>
                <w:sz w:val="20"/>
                <w:szCs w:val="20"/>
              </w:rPr>
            </w:pPr>
            <w:r w:rsidRPr="00F04A75">
              <w:rPr>
                <w:rFonts w:ascii="Arial Narrow" w:hAnsi="Arial Narrow" w:cstheme="minorHAnsi"/>
                <w:b/>
                <w:sz w:val="20"/>
                <w:szCs w:val="20"/>
              </w:rPr>
              <w:t>Events</w:t>
            </w:r>
            <w:r w:rsidRPr="00F04A75">
              <w:rPr>
                <w:rFonts w:ascii="Arial Narrow" w:hAnsi="Arial Narrow" w:cstheme="minorHAnsi"/>
                <w:b/>
                <w:sz w:val="20"/>
                <w:szCs w:val="20"/>
              </w:rPr>
              <w:br/>
              <w:t>n</w:t>
            </w:r>
            <w:r w:rsidR="009E4973" w:rsidRPr="00F04A75">
              <w:rPr>
                <w:rFonts w:ascii="Arial Narrow" w:hAnsi="Arial Narrow" w:cstheme="minorHAnsi"/>
                <w:b/>
                <w:sz w:val="20"/>
                <w:szCs w:val="20"/>
              </w:rPr>
              <w:t>/N</w:t>
            </w:r>
            <w:r w:rsidRPr="00F04A75">
              <w:rPr>
                <w:rFonts w:ascii="Arial Narrow" w:hAnsi="Arial Narrow" w:cstheme="minorHAnsi"/>
                <w:b/>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0FD3E7C6" w14:textId="77777777" w:rsidR="00FB081D" w:rsidRPr="00F04A75" w:rsidRDefault="00FB081D" w:rsidP="00B26A7F">
            <w:pPr>
              <w:keepNext/>
              <w:jc w:val="center"/>
              <w:rPr>
                <w:rFonts w:ascii="Arial Narrow" w:hAnsi="Arial Narrow" w:cstheme="minorHAnsi"/>
                <w:sz w:val="20"/>
                <w:szCs w:val="20"/>
              </w:rPr>
            </w:pPr>
            <w:r w:rsidRPr="00F04A75">
              <w:rPr>
                <w:rFonts w:ascii="Arial Narrow" w:hAnsi="Arial Narrow" w:cstheme="minorHAnsi"/>
                <w:b/>
                <w:sz w:val="20"/>
                <w:szCs w:val="20"/>
              </w:rPr>
              <w:t>Median, months</w:t>
            </w:r>
            <w:r w:rsidRPr="00F04A75">
              <w:rPr>
                <w:rFonts w:ascii="Arial Narrow" w:hAnsi="Arial Narrow" w:cstheme="minorHAnsi"/>
                <w:b/>
                <w:sz w:val="20"/>
                <w:szCs w:val="20"/>
              </w:rPr>
              <w:br/>
              <w:t>(95% CI)</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F6F6395" w14:textId="77777777" w:rsidR="00FB081D" w:rsidRPr="00F04A75" w:rsidRDefault="00FB081D" w:rsidP="00B26A7F">
            <w:pPr>
              <w:keepNext/>
              <w:jc w:val="center"/>
              <w:rPr>
                <w:rFonts w:ascii="Arial Narrow" w:eastAsia="TimesNewRoman" w:hAnsi="Arial Narrow" w:cs="Times New Roman"/>
                <w:color w:val="000000"/>
                <w:sz w:val="20"/>
                <w:szCs w:val="20"/>
              </w:rPr>
            </w:pPr>
            <w:r w:rsidRPr="00F04A75">
              <w:rPr>
                <w:rFonts w:ascii="Arial Narrow" w:hAnsi="Arial Narrow" w:cstheme="minorHAnsi"/>
                <w:b/>
                <w:sz w:val="20"/>
                <w:szCs w:val="20"/>
              </w:rPr>
              <w:t>Events</w:t>
            </w:r>
            <w:r w:rsidRPr="00F04A75">
              <w:rPr>
                <w:rFonts w:ascii="Arial Narrow" w:hAnsi="Arial Narrow" w:cstheme="minorHAnsi"/>
                <w:b/>
                <w:sz w:val="20"/>
                <w:szCs w:val="20"/>
              </w:rPr>
              <w:br/>
              <w:t>n</w:t>
            </w:r>
            <w:r w:rsidR="009E4973" w:rsidRPr="00F04A75">
              <w:rPr>
                <w:rFonts w:ascii="Arial Narrow" w:hAnsi="Arial Narrow" w:cstheme="minorHAnsi"/>
                <w:b/>
                <w:sz w:val="20"/>
                <w:szCs w:val="20"/>
              </w:rPr>
              <w:t>/N</w:t>
            </w:r>
            <w:r w:rsidRPr="00F04A75">
              <w:rPr>
                <w:rFonts w:ascii="Arial Narrow" w:hAnsi="Arial Narrow" w:cstheme="minorHAnsi"/>
                <w:b/>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7F4C1DFF" w14:textId="77777777" w:rsidR="00FB081D" w:rsidRPr="00F04A75" w:rsidRDefault="00FB081D" w:rsidP="00B26A7F">
            <w:pPr>
              <w:keepNext/>
              <w:jc w:val="center"/>
              <w:rPr>
                <w:rFonts w:ascii="Arial Narrow" w:hAnsi="Arial Narrow" w:cstheme="minorHAnsi"/>
                <w:sz w:val="20"/>
                <w:szCs w:val="20"/>
              </w:rPr>
            </w:pPr>
            <w:r w:rsidRPr="00F04A75">
              <w:rPr>
                <w:rFonts w:ascii="Arial Narrow" w:hAnsi="Arial Narrow" w:cstheme="minorHAnsi"/>
                <w:b/>
                <w:sz w:val="20"/>
                <w:szCs w:val="20"/>
              </w:rPr>
              <w:t>Median, months</w:t>
            </w:r>
            <w:r w:rsidRPr="00F04A75">
              <w:rPr>
                <w:rFonts w:ascii="Arial Narrow" w:hAnsi="Arial Narrow" w:cstheme="minorHAnsi"/>
                <w:b/>
                <w:sz w:val="20"/>
                <w:szCs w:val="20"/>
              </w:rPr>
              <w:br/>
              <w:t>(95% CI)</w:t>
            </w:r>
          </w:p>
        </w:tc>
        <w:tc>
          <w:tcPr>
            <w:tcW w:w="1043" w:type="dxa"/>
            <w:vMerge/>
            <w:tcBorders>
              <w:left w:val="single" w:sz="4" w:space="0" w:color="auto"/>
              <w:bottom w:val="single" w:sz="4" w:space="0" w:color="auto"/>
              <w:right w:val="single" w:sz="4" w:space="0" w:color="auto"/>
            </w:tcBorders>
            <w:shd w:val="clear" w:color="auto" w:fill="auto"/>
            <w:tcMar>
              <w:left w:w="28" w:type="dxa"/>
              <w:right w:w="28" w:type="dxa"/>
            </w:tcMar>
            <w:vAlign w:val="center"/>
          </w:tcPr>
          <w:p w14:paraId="2627BBCB" w14:textId="77777777" w:rsidR="00FB081D" w:rsidRPr="00F04A75" w:rsidRDefault="00FB081D" w:rsidP="00B26A7F">
            <w:pPr>
              <w:keepNext/>
              <w:jc w:val="center"/>
              <w:rPr>
                <w:rFonts w:ascii="Arial Narrow" w:hAnsi="Arial Narrow" w:cs="Times New Roman"/>
                <w:iCs/>
                <w:sz w:val="20"/>
                <w:szCs w:val="20"/>
                <w:lang w:eastAsia="en-US"/>
              </w:rPr>
            </w:pPr>
          </w:p>
        </w:tc>
        <w:tc>
          <w:tcPr>
            <w:tcW w:w="1175" w:type="dxa"/>
            <w:vMerge/>
            <w:tcBorders>
              <w:left w:val="single" w:sz="4" w:space="0" w:color="auto"/>
              <w:bottom w:val="single" w:sz="4" w:space="0" w:color="auto"/>
              <w:right w:val="single" w:sz="4" w:space="0" w:color="auto"/>
            </w:tcBorders>
            <w:shd w:val="clear" w:color="auto" w:fill="auto"/>
            <w:tcMar>
              <w:left w:w="28" w:type="dxa"/>
              <w:right w:w="28" w:type="dxa"/>
            </w:tcMar>
            <w:vAlign w:val="center"/>
          </w:tcPr>
          <w:p w14:paraId="5D5C33D6" w14:textId="77777777" w:rsidR="00FB081D" w:rsidRPr="00F04A75" w:rsidRDefault="00FB081D" w:rsidP="00B26A7F">
            <w:pPr>
              <w:keepNext/>
              <w:jc w:val="center"/>
              <w:rPr>
                <w:rFonts w:ascii="Arial Narrow" w:hAnsi="Arial Narrow"/>
                <w:b/>
                <w:bCs/>
                <w:sz w:val="20"/>
                <w:szCs w:val="20"/>
              </w:rPr>
            </w:pPr>
          </w:p>
        </w:tc>
      </w:tr>
      <w:tr w:rsidR="00D164F6" w:rsidRPr="00F04A75" w14:paraId="70B65080" w14:textId="77777777" w:rsidTr="00FE6998">
        <w:trPr>
          <w:trHeight w:val="20"/>
        </w:trPr>
        <w:tc>
          <w:tcPr>
            <w:tcW w:w="9017" w:type="dxa"/>
            <w:gridSpan w:val="8"/>
            <w:tcBorders>
              <w:top w:val="single" w:sz="4" w:space="0" w:color="auto"/>
              <w:left w:val="single" w:sz="4" w:space="0" w:color="auto"/>
              <w:bottom w:val="single" w:sz="4" w:space="0" w:color="auto"/>
              <w:right w:val="single" w:sz="4" w:space="0" w:color="auto"/>
            </w:tcBorders>
            <w:tcMar>
              <w:left w:w="28" w:type="dxa"/>
              <w:right w:w="28" w:type="dxa"/>
            </w:tcMar>
          </w:tcPr>
          <w:p w14:paraId="113671BE" w14:textId="77777777" w:rsidR="00D164F6" w:rsidRPr="00F04A75" w:rsidRDefault="00D164F6" w:rsidP="00B26A7F">
            <w:pPr>
              <w:keepNext/>
              <w:jc w:val="left"/>
              <w:rPr>
                <w:rFonts w:ascii="Arial Narrow" w:hAnsi="Arial Narrow"/>
                <w:b/>
                <w:bCs/>
                <w:sz w:val="20"/>
                <w:szCs w:val="20"/>
              </w:rPr>
            </w:pPr>
            <w:r w:rsidRPr="00F04A75">
              <w:rPr>
                <w:rFonts w:ascii="Arial Narrow" w:hAnsi="Arial Narrow" w:cs="Times New Roman"/>
                <w:b/>
                <w:sz w:val="20"/>
                <w:szCs w:val="20"/>
                <w:lang w:eastAsia="en-US"/>
              </w:rPr>
              <w:t>PFS</w:t>
            </w:r>
          </w:p>
        </w:tc>
      </w:tr>
      <w:tr w:rsidR="006658C6" w:rsidRPr="00F04A75" w14:paraId="21883F4D" w14:textId="77777777" w:rsidTr="00895AB1">
        <w:trPr>
          <w:trHeight w:val="20"/>
        </w:trPr>
        <w:tc>
          <w:tcPr>
            <w:tcW w:w="1405" w:type="dxa"/>
            <w:tcBorders>
              <w:top w:val="single" w:sz="4" w:space="0" w:color="auto"/>
              <w:left w:val="single" w:sz="4" w:space="0" w:color="auto"/>
              <w:bottom w:val="single" w:sz="4" w:space="0" w:color="auto"/>
              <w:right w:val="single" w:sz="4" w:space="0" w:color="auto"/>
            </w:tcBorders>
            <w:tcMar>
              <w:left w:w="28" w:type="dxa"/>
              <w:right w:w="28" w:type="dxa"/>
            </w:tcMar>
          </w:tcPr>
          <w:p w14:paraId="1D3B2D79" w14:textId="77777777" w:rsidR="006658C6" w:rsidRPr="00F04A75" w:rsidRDefault="006658C6" w:rsidP="00B26A7F">
            <w:pPr>
              <w:keepNext/>
              <w:jc w:val="left"/>
              <w:rPr>
                <w:rFonts w:ascii="Arial Narrow" w:hAnsi="Arial Narrow" w:cs="Times New Roman"/>
                <w:sz w:val="20"/>
                <w:szCs w:val="20"/>
                <w:lang w:eastAsia="en-US"/>
              </w:rPr>
            </w:pPr>
            <w:r w:rsidRPr="00F04A75">
              <w:rPr>
                <w:rFonts w:ascii="Arial Narrow" w:hAnsi="Arial Narrow" w:cs="Times New Roman"/>
                <w:sz w:val="20"/>
                <w:szCs w:val="20"/>
                <w:lang w:eastAsia="en-US"/>
              </w:rPr>
              <w:t xml:space="preserve">ASPIRE </w:t>
            </w:r>
            <w:r w:rsidR="009E4973" w:rsidRPr="00F04A75">
              <w:rPr>
                <w:rFonts w:ascii="Arial Narrow" w:hAnsi="Arial Narrow" w:cs="Times New Roman"/>
                <w:sz w:val="20"/>
                <w:szCs w:val="20"/>
                <w:lang w:eastAsia="en-US"/>
              </w:rPr>
              <w:br/>
            </w:r>
            <w:proofErr w:type="spellStart"/>
            <w:r w:rsidR="009E4973" w:rsidRPr="00F04A75">
              <w:rPr>
                <w:rFonts w:ascii="Arial Narrow" w:hAnsi="Arial Narrow" w:cs="Times New Roman"/>
                <w:sz w:val="20"/>
                <w:szCs w:val="20"/>
                <w:lang w:eastAsia="en-US"/>
              </w:rPr>
              <w:t>CLd</w:t>
            </w:r>
            <w:proofErr w:type="spellEnd"/>
            <w:r w:rsidR="009E4973" w:rsidRPr="00F04A75">
              <w:rPr>
                <w:rFonts w:ascii="Arial Narrow" w:hAnsi="Arial Narrow" w:cs="Times New Roman"/>
                <w:sz w:val="20"/>
                <w:szCs w:val="20"/>
                <w:lang w:eastAsia="en-US"/>
              </w:rPr>
              <w:t xml:space="preserve"> vs </w:t>
            </w:r>
            <w:proofErr w:type="spellStart"/>
            <w:r w:rsidR="009E4973" w:rsidRPr="00F04A75">
              <w:rPr>
                <w:rFonts w:ascii="Arial Narrow" w:hAnsi="Arial Narrow" w:cs="Times New Roman"/>
                <w:sz w:val="20"/>
                <w:szCs w:val="20"/>
                <w:lang w:eastAsia="en-US"/>
              </w:rPr>
              <w:t>Ld</w:t>
            </w:r>
            <w:proofErr w:type="spellEnd"/>
            <w:r w:rsidR="009E4973" w:rsidRPr="00F04A75">
              <w:rPr>
                <w:rFonts w:ascii="Arial Narrow" w:hAnsi="Arial Narrow" w:cs="Times New Roman"/>
                <w:sz w:val="20"/>
                <w:szCs w:val="20"/>
                <w:lang w:eastAsia="en-US"/>
              </w:rPr>
              <w:br/>
            </w:r>
            <w:r w:rsidRPr="00F04A75">
              <w:rPr>
                <w:rFonts w:ascii="Arial Narrow" w:hAnsi="Arial Narrow" w:cs="Times New Roman"/>
                <w:sz w:val="20"/>
                <w:szCs w:val="20"/>
                <w:lang w:eastAsia="en-US"/>
              </w:rPr>
              <w:t>16 Jun 2014</w:t>
            </w:r>
            <w:r w:rsidRPr="00F04A75">
              <w:rPr>
                <w:rFonts w:ascii="Arial Narrow" w:hAnsi="Arial Narrow" w:cs="Times New Roman"/>
                <w:sz w:val="20"/>
                <w:szCs w:val="20"/>
                <w:vertAlign w:val="superscript"/>
                <w:lang w:eastAsia="en-US"/>
              </w:rPr>
              <w:t>a</w:t>
            </w:r>
          </w:p>
        </w:tc>
        <w:tc>
          <w:tcPr>
            <w:tcW w:w="114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24C2EE3" w14:textId="77777777" w:rsidR="006658C6" w:rsidRPr="00F04A75" w:rsidRDefault="006658C6" w:rsidP="00B26A7F">
            <w:pPr>
              <w:keepNext/>
              <w:jc w:val="center"/>
              <w:rPr>
                <w:rFonts w:ascii="Arial Narrow" w:hAnsi="Arial Narrow" w:cs="Times New Roman"/>
                <w:iCs/>
                <w:sz w:val="20"/>
                <w:szCs w:val="20"/>
                <w:lang w:eastAsia="en-US"/>
              </w:rPr>
            </w:pPr>
            <w:r w:rsidRPr="00F04A75">
              <w:rPr>
                <w:rFonts w:ascii="Arial Narrow" w:hAnsi="Arial Narrow" w:cs="Times New Roman"/>
                <w:iCs/>
                <w:sz w:val="20"/>
                <w:szCs w:val="20"/>
                <w:lang w:eastAsia="en-US"/>
              </w:rPr>
              <w:t xml:space="preserve">31 </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FAF6938" w14:textId="77777777" w:rsidR="006658C6" w:rsidRPr="00F04A75" w:rsidRDefault="006658C6" w:rsidP="00B26A7F">
            <w:pPr>
              <w:keepNext/>
              <w:jc w:val="center"/>
              <w:rPr>
                <w:rFonts w:ascii="Arial Narrow" w:hAnsi="Arial Narrow" w:cs="Times New Roman"/>
                <w:iCs/>
                <w:sz w:val="20"/>
                <w:szCs w:val="20"/>
                <w:lang w:eastAsia="en-US"/>
              </w:rPr>
            </w:pPr>
            <w:r w:rsidRPr="00F04A75">
              <w:rPr>
                <w:rFonts w:ascii="Arial Narrow" w:hAnsi="Arial Narrow"/>
                <w:sz w:val="20"/>
                <w:szCs w:val="20"/>
              </w:rPr>
              <w:t>207</w:t>
            </w:r>
            <w:r w:rsidR="00FB081D" w:rsidRPr="00F04A75">
              <w:rPr>
                <w:rFonts w:ascii="Arial Narrow" w:hAnsi="Arial Narrow"/>
                <w:sz w:val="20"/>
                <w:szCs w:val="20"/>
              </w:rPr>
              <w:t>/396</w:t>
            </w:r>
            <w:r w:rsidRPr="00F04A75">
              <w:rPr>
                <w:rFonts w:ascii="Arial Narrow" w:hAnsi="Arial Narrow"/>
                <w:sz w:val="20"/>
                <w:szCs w:val="20"/>
              </w:rPr>
              <w:t xml:space="preserve"> (52.3%)</w:t>
            </w:r>
          </w:p>
        </w:tc>
        <w:tc>
          <w:tcPr>
            <w:tcW w:w="1134" w:type="dxa"/>
            <w:tcBorders>
              <w:top w:val="single" w:sz="4" w:space="0" w:color="auto"/>
              <w:left w:val="single" w:sz="4" w:space="0" w:color="auto"/>
              <w:bottom w:val="single" w:sz="4" w:space="0" w:color="auto"/>
              <w:right w:val="single" w:sz="4" w:space="0" w:color="auto"/>
            </w:tcBorders>
            <w:vAlign w:val="center"/>
          </w:tcPr>
          <w:p w14:paraId="4764705F" w14:textId="77777777" w:rsidR="006658C6" w:rsidRPr="00F04A75" w:rsidRDefault="006658C6" w:rsidP="002A1FAD">
            <w:pPr>
              <w:keepNext/>
              <w:jc w:val="center"/>
              <w:rPr>
                <w:rFonts w:ascii="Arial Narrow" w:eastAsia="TimesNewRoman" w:hAnsi="Arial Narrow" w:cs="Times New Roman"/>
                <w:color w:val="000000"/>
                <w:sz w:val="20"/>
                <w:szCs w:val="20"/>
              </w:rPr>
            </w:pPr>
            <w:r w:rsidRPr="00F04A75">
              <w:rPr>
                <w:rFonts w:ascii="Arial Narrow" w:hAnsi="Arial Narrow" w:cstheme="minorHAnsi"/>
                <w:sz w:val="20"/>
                <w:szCs w:val="20"/>
              </w:rPr>
              <w:t>26.3 (23.3,</w:t>
            </w:r>
            <w:r w:rsidRPr="00F04A75">
              <w:rPr>
                <w:rFonts w:ascii="Arial" w:hAnsi="Arial"/>
                <w:sz w:val="20"/>
                <w:szCs w:val="20"/>
              </w:rPr>
              <w:t> </w:t>
            </w:r>
            <w:r w:rsidRPr="00F04A75">
              <w:rPr>
                <w:rFonts w:ascii="Arial Narrow" w:hAnsi="Arial Narrow" w:cstheme="minorHAnsi"/>
                <w:sz w:val="20"/>
                <w:szCs w:val="20"/>
              </w:rPr>
              <w:t>30.5)</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337D3FC" w14:textId="77777777" w:rsidR="006658C6" w:rsidRPr="00F04A75" w:rsidRDefault="006658C6" w:rsidP="00B26A7F">
            <w:pPr>
              <w:keepNext/>
              <w:jc w:val="center"/>
              <w:rPr>
                <w:rFonts w:ascii="Arial Narrow" w:hAnsi="Arial Narrow" w:cs="Times New Roman"/>
                <w:iCs/>
                <w:sz w:val="20"/>
                <w:szCs w:val="20"/>
                <w:lang w:eastAsia="en-US"/>
              </w:rPr>
            </w:pPr>
            <w:r w:rsidRPr="00F04A75">
              <w:rPr>
                <w:rFonts w:ascii="Arial Narrow" w:eastAsia="TimesNewRoman" w:hAnsi="Arial Narrow" w:cs="Times New Roman"/>
                <w:color w:val="000000"/>
                <w:sz w:val="20"/>
                <w:szCs w:val="20"/>
              </w:rPr>
              <w:t>224</w:t>
            </w:r>
            <w:r w:rsidR="00FB081D" w:rsidRPr="00F04A75">
              <w:rPr>
                <w:rFonts w:ascii="Arial Narrow" w:eastAsia="TimesNewRoman" w:hAnsi="Arial Narrow" w:cs="Times New Roman"/>
                <w:color w:val="000000"/>
                <w:sz w:val="20"/>
                <w:szCs w:val="20"/>
              </w:rPr>
              <w:t>/396</w:t>
            </w:r>
            <w:r w:rsidRPr="00F04A75">
              <w:rPr>
                <w:rFonts w:ascii="Arial Narrow" w:eastAsia="TimesNewRoman" w:hAnsi="Arial Narrow" w:cs="Times New Roman"/>
                <w:color w:val="000000"/>
                <w:sz w:val="20"/>
                <w:szCs w:val="20"/>
              </w:rPr>
              <w:t xml:space="preserve"> (56.6%)</w:t>
            </w:r>
          </w:p>
        </w:tc>
        <w:tc>
          <w:tcPr>
            <w:tcW w:w="1134" w:type="dxa"/>
            <w:tcBorders>
              <w:top w:val="single" w:sz="4" w:space="0" w:color="auto"/>
              <w:left w:val="single" w:sz="4" w:space="0" w:color="auto"/>
              <w:bottom w:val="single" w:sz="4" w:space="0" w:color="auto"/>
              <w:right w:val="single" w:sz="4" w:space="0" w:color="auto"/>
            </w:tcBorders>
            <w:vAlign w:val="center"/>
          </w:tcPr>
          <w:p w14:paraId="3FCC64D5" w14:textId="61A1E377" w:rsidR="006658C6" w:rsidRPr="00F04A75" w:rsidRDefault="006658C6" w:rsidP="002A1FAD">
            <w:pPr>
              <w:keepNext/>
              <w:jc w:val="center"/>
              <w:rPr>
                <w:rFonts w:ascii="Arial Narrow" w:hAnsi="Arial Narrow" w:cstheme="minorHAnsi"/>
                <w:sz w:val="20"/>
                <w:szCs w:val="20"/>
              </w:rPr>
            </w:pPr>
            <w:r w:rsidRPr="00F04A75">
              <w:rPr>
                <w:rFonts w:ascii="Arial Narrow" w:hAnsi="Arial Narrow" w:cstheme="minorHAnsi"/>
                <w:sz w:val="20"/>
                <w:szCs w:val="20"/>
              </w:rPr>
              <w:t>17.6</w:t>
            </w:r>
          </w:p>
          <w:p w14:paraId="1F4503A4" w14:textId="77777777" w:rsidR="006658C6" w:rsidRPr="00F04A75" w:rsidRDefault="006658C6" w:rsidP="002A1FAD">
            <w:pPr>
              <w:keepNext/>
              <w:jc w:val="center"/>
              <w:rPr>
                <w:rFonts w:ascii="Arial Narrow" w:hAnsi="Arial Narrow" w:cs="Times New Roman"/>
                <w:iCs/>
                <w:sz w:val="20"/>
                <w:szCs w:val="20"/>
                <w:lang w:eastAsia="en-US"/>
              </w:rPr>
            </w:pPr>
            <w:r w:rsidRPr="00F04A75">
              <w:rPr>
                <w:rFonts w:ascii="Arial Narrow" w:hAnsi="Arial Narrow" w:cstheme="minorHAnsi"/>
                <w:sz w:val="20"/>
                <w:szCs w:val="20"/>
              </w:rPr>
              <w:t>(15.0, 20.6)</w:t>
            </w:r>
          </w:p>
        </w:tc>
        <w:tc>
          <w:tcPr>
            <w:tcW w:w="104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5A97043" w14:textId="77777777" w:rsidR="006658C6" w:rsidRPr="00F04A75" w:rsidRDefault="006658C6" w:rsidP="00B26A7F">
            <w:pPr>
              <w:keepNext/>
              <w:jc w:val="center"/>
              <w:rPr>
                <w:rFonts w:ascii="Arial Narrow" w:hAnsi="Arial Narrow" w:cs="Times New Roman"/>
                <w:i/>
                <w:sz w:val="20"/>
                <w:szCs w:val="20"/>
                <w:lang w:eastAsia="en-US"/>
              </w:rPr>
            </w:pPr>
            <w:r w:rsidRPr="00F04A75">
              <w:rPr>
                <w:rFonts w:ascii="Arial Narrow" w:hAnsi="Arial Narrow" w:cs="Times New Roman"/>
                <w:iCs/>
                <w:sz w:val="20"/>
                <w:szCs w:val="20"/>
                <w:lang w:eastAsia="en-US"/>
              </w:rPr>
              <w:t>8.7</w:t>
            </w:r>
          </w:p>
        </w:tc>
        <w:tc>
          <w:tcPr>
            <w:tcW w:w="117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0449155" w14:textId="77777777" w:rsidR="006658C6" w:rsidRPr="00F04A75" w:rsidRDefault="006658C6" w:rsidP="00B26A7F">
            <w:pPr>
              <w:keepNext/>
              <w:jc w:val="center"/>
              <w:rPr>
                <w:rFonts w:ascii="Arial Narrow" w:hAnsi="Arial Narrow"/>
                <w:b/>
                <w:bCs/>
                <w:sz w:val="20"/>
                <w:szCs w:val="20"/>
              </w:rPr>
            </w:pPr>
            <w:r w:rsidRPr="00F04A75">
              <w:rPr>
                <w:rFonts w:ascii="Arial Narrow" w:hAnsi="Arial Narrow"/>
                <w:b/>
                <w:bCs/>
                <w:sz w:val="20"/>
                <w:szCs w:val="20"/>
              </w:rPr>
              <w:t xml:space="preserve">0.69 </w:t>
            </w:r>
            <w:r w:rsidRPr="00F04A75">
              <w:rPr>
                <w:rFonts w:ascii="Arial Narrow" w:hAnsi="Arial Narrow"/>
                <w:b/>
                <w:bCs/>
                <w:sz w:val="20"/>
                <w:szCs w:val="20"/>
              </w:rPr>
              <w:br/>
              <w:t>(0.57, 0.83)</w:t>
            </w:r>
          </w:p>
        </w:tc>
      </w:tr>
      <w:tr w:rsidR="006658C6" w:rsidRPr="00F04A75" w14:paraId="73A3A69E" w14:textId="77777777" w:rsidTr="00895AB1">
        <w:trPr>
          <w:trHeight w:val="20"/>
        </w:trPr>
        <w:tc>
          <w:tcPr>
            <w:tcW w:w="1405" w:type="dxa"/>
            <w:tcBorders>
              <w:top w:val="single" w:sz="4" w:space="0" w:color="auto"/>
              <w:left w:val="single" w:sz="4" w:space="0" w:color="auto"/>
              <w:bottom w:val="single" w:sz="4" w:space="0" w:color="auto"/>
              <w:right w:val="single" w:sz="4" w:space="0" w:color="auto"/>
            </w:tcBorders>
            <w:tcMar>
              <w:left w:w="28" w:type="dxa"/>
              <w:right w:w="28" w:type="dxa"/>
            </w:tcMar>
          </w:tcPr>
          <w:p w14:paraId="02F12326" w14:textId="77777777" w:rsidR="006658C6" w:rsidRPr="00F04A75" w:rsidRDefault="006658C6" w:rsidP="006658C6">
            <w:pPr>
              <w:jc w:val="left"/>
              <w:rPr>
                <w:rFonts w:ascii="Arial Narrow" w:hAnsi="Arial Narrow" w:cs="Times New Roman"/>
                <w:sz w:val="20"/>
                <w:szCs w:val="20"/>
                <w:lang w:eastAsia="en-US"/>
              </w:rPr>
            </w:pPr>
            <w:r w:rsidRPr="00F04A75">
              <w:rPr>
                <w:rFonts w:ascii="Arial Narrow" w:hAnsi="Arial Narrow" w:cs="Times New Roman"/>
                <w:sz w:val="20"/>
                <w:szCs w:val="20"/>
                <w:lang w:eastAsia="en-US"/>
              </w:rPr>
              <w:t xml:space="preserve">OPTIMISMM </w:t>
            </w:r>
            <w:r w:rsidR="009E4973" w:rsidRPr="00F04A75">
              <w:rPr>
                <w:rFonts w:ascii="Arial Narrow" w:hAnsi="Arial Narrow" w:cs="Times New Roman"/>
                <w:sz w:val="20"/>
                <w:szCs w:val="20"/>
                <w:lang w:eastAsia="en-US"/>
              </w:rPr>
              <w:br/>
            </w:r>
            <w:proofErr w:type="spellStart"/>
            <w:r w:rsidR="009E4973" w:rsidRPr="00F04A75">
              <w:rPr>
                <w:rFonts w:ascii="Arial Narrow" w:hAnsi="Arial Narrow" w:cs="Times New Roman"/>
                <w:sz w:val="20"/>
                <w:szCs w:val="20"/>
                <w:lang w:eastAsia="en-US"/>
              </w:rPr>
              <w:t>PBd</w:t>
            </w:r>
            <w:proofErr w:type="spellEnd"/>
            <w:r w:rsidR="009E4973" w:rsidRPr="00F04A75">
              <w:rPr>
                <w:rFonts w:ascii="Arial Narrow" w:hAnsi="Arial Narrow" w:cs="Times New Roman"/>
                <w:sz w:val="20"/>
                <w:szCs w:val="20"/>
                <w:lang w:eastAsia="en-US"/>
              </w:rPr>
              <w:t xml:space="preserve"> vs Bd</w:t>
            </w:r>
            <w:r w:rsidR="009E4973" w:rsidRPr="00F04A75">
              <w:rPr>
                <w:rFonts w:ascii="Arial Narrow" w:hAnsi="Arial Narrow" w:cs="Times New Roman"/>
                <w:sz w:val="20"/>
                <w:szCs w:val="20"/>
                <w:lang w:eastAsia="en-US"/>
              </w:rPr>
              <w:br/>
            </w:r>
            <w:r w:rsidRPr="00F04A75">
              <w:rPr>
                <w:rFonts w:ascii="Arial Narrow" w:hAnsi="Arial Narrow" w:cs="Times New Roman"/>
                <w:sz w:val="20"/>
                <w:szCs w:val="20"/>
                <w:lang w:eastAsia="en-US"/>
              </w:rPr>
              <w:t>26 Oct 2017</w:t>
            </w:r>
            <w:r w:rsidRPr="00F04A75">
              <w:rPr>
                <w:rFonts w:ascii="Arial Narrow" w:hAnsi="Arial Narrow" w:cs="Times New Roman"/>
                <w:sz w:val="20"/>
                <w:szCs w:val="20"/>
                <w:vertAlign w:val="superscript"/>
                <w:lang w:eastAsia="en-US"/>
              </w:rPr>
              <w:t>b</w:t>
            </w:r>
            <w:r w:rsidRPr="00F04A75">
              <w:rPr>
                <w:rFonts w:ascii="Arial Narrow" w:hAnsi="Arial Narrow" w:cs="Times New Roman"/>
                <w:sz w:val="20"/>
                <w:szCs w:val="20"/>
                <w:lang w:eastAsia="en-US"/>
              </w:rPr>
              <w:t xml:space="preserve"> </w:t>
            </w:r>
          </w:p>
        </w:tc>
        <w:tc>
          <w:tcPr>
            <w:tcW w:w="114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7DE28CA" w14:textId="77777777" w:rsidR="006658C6" w:rsidRPr="00F04A75" w:rsidRDefault="006658C6" w:rsidP="006658C6">
            <w:pPr>
              <w:jc w:val="center"/>
              <w:rPr>
                <w:rFonts w:ascii="Arial Narrow" w:hAnsi="Arial Narrow" w:cs="Times New Roman"/>
                <w:sz w:val="20"/>
                <w:szCs w:val="20"/>
                <w:lang w:eastAsia="en-US"/>
              </w:rPr>
            </w:pPr>
            <w:r w:rsidRPr="00F04A75">
              <w:rPr>
                <w:rFonts w:ascii="Arial Narrow" w:hAnsi="Arial Narrow" w:cs="Times New Roman"/>
                <w:sz w:val="20"/>
                <w:szCs w:val="20"/>
                <w:lang w:eastAsia="en-US"/>
              </w:rPr>
              <w:t xml:space="preserve">15.9 </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0CFD23C" w14:textId="77777777" w:rsidR="006658C6" w:rsidRPr="00F04A75" w:rsidRDefault="006658C6" w:rsidP="006658C6">
            <w:pPr>
              <w:jc w:val="center"/>
              <w:rPr>
                <w:rFonts w:ascii="Arial Narrow" w:hAnsi="Arial Narrow" w:cs="Times New Roman"/>
                <w:sz w:val="20"/>
                <w:szCs w:val="20"/>
                <w:lang w:eastAsia="en-US"/>
              </w:rPr>
            </w:pPr>
            <w:r w:rsidRPr="00F04A75">
              <w:rPr>
                <w:rFonts w:ascii="Arial Narrow" w:eastAsia="TimesNewRoman" w:hAnsi="Arial Narrow" w:cs="Times New Roman"/>
                <w:color w:val="000000"/>
                <w:sz w:val="20"/>
                <w:szCs w:val="20"/>
              </w:rPr>
              <w:t>154</w:t>
            </w:r>
            <w:r w:rsidR="004852CD" w:rsidRPr="00F04A75">
              <w:rPr>
                <w:rFonts w:ascii="Arial Narrow" w:eastAsia="TimesNewRoman" w:hAnsi="Arial Narrow" w:cs="Times New Roman"/>
                <w:color w:val="000000"/>
                <w:sz w:val="20"/>
                <w:szCs w:val="20"/>
              </w:rPr>
              <w:t>/281</w:t>
            </w:r>
            <w:r w:rsidRPr="00F04A75">
              <w:rPr>
                <w:rFonts w:ascii="Arial Narrow" w:eastAsia="TimesNewRoman" w:hAnsi="Arial Narrow" w:cs="Times New Roman"/>
                <w:color w:val="000000"/>
                <w:sz w:val="20"/>
                <w:szCs w:val="20"/>
              </w:rPr>
              <w:t xml:space="preserve"> (54.8%)</w:t>
            </w:r>
          </w:p>
        </w:tc>
        <w:tc>
          <w:tcPr>
            <w:tcW w:w="1134" w:type="dxa"/>
            <w:tcBorders>
              <w:top w:val="single" w:sz="4" w:space="0" w:color="auto"/>
              <w:left w:val="single" w:sz="4" w:space="0" w:color="auto"/>
              <w:bottom w:val="single" w:sz="4" w:space="0" w:color="auto"/>
              <w:right w:val="single" w:sz="4" w:space="0" w:color="auto"/>
            </w:tcBorders>
            <w:vAlign w:val="center"/>
          </w:tcPr>
          <w:p w14:paraId="5FC11426" w14:textId="1B7D1609" w:rsidR="006658C6" w:rsidRPr="00F04A75" w:rsidRDefault="006658C6" w:rsidP="002A1FAD">
            <w:pPr>
              <w:jc w:val="center"/>
              <w:rPr>
                <w:rFonts w:ascii="Arial Narrow" w:eastAsia="TimesNewRoman" w:hAnsi="Arial Narrow" w:cs="Times New Roman"/>
                <w:color w:val="000000"/>
                <w:sz w:val="20"/>
                <w:szCs w:val="20"/>
              </w:rPr>
            </w:pPr>
            <w:r w:rsidRPr="00F04A75">
              <w:rPr>
                <w:rFonts w:ascii="Arial Narrow" w:eastAsia="TimesNewRoman" w:hAnsi="Arial Narrow" w:cs="Times New Roman"/>
                <w:color w:val="000000"/>
                <w:sz w:val="20"/>
                <w:szCs w:val="20"/>
              </w:rPr>
              <w:t>11.2</w:t>
            </w:r>
          </w:p>
          <w:p w14:paraId="0D2ED32B" w14:textId="77777777" w:rsidR="006658C6" w:rsidRPr="00F04A75" w:rsidRDefault="006658C6" w:rsidP="002A1FAD">
            <w:pPr>
              <w:jc w:val="center"/>
              <w:rPr>
                <w:rFonts w:ascii="Arial Narrow" w:eastAsia="TimesNewRoman" w:hAnsi="Arial Narrow" w:cs="Times New Roman"/>
                <w:color w:val="000000"/>
                <w:sz w:val="20"/>
                <w:szCs w:val="20"/>
              </w:rPr>
            </w:pPr>
            <w:r w:rsidRPr="00F04A75">
              <w:rPr>
                <w:rFonts w:ascii="Arial Narrow" w:eastAsia="TimesNewRoman" w:hAnsi="Arial Narrow" w:cs="Times New Roman"/>
                <w:color w:val="000000"/>
                <w:sz w:val="20"/>
                <w:szCs w:val="20"/>
              </w:rPr>
              <w:t>(9.66, 13.73)</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867D889" w14:textId="77777777" w:rsidR="006658C6" w:rsidRPr="00F04A75" w:rsidRDefault="006658C6" w:rsidP="006658C6">
            <w:pPr>
              <w:jc w:val="center"/>
              <w:rPr>
                <w:rFonts w:ascii="Arial Narrow" w:hAnsi="Arial Narrow" w:cs="Times New Roman"/>
                <w:sz w:val="20"/>
                <w:szCs w:val="20"/>
                <w:lang w:eastAsia="en-US"/>
              </w:rPr>
            </w:pPr>
            <w:r w:rsidRPr="00F04A75">
              <w:rPr>
                <w:rFonts w:ascii="Arial Narrow" w:eastAsia="TimesNewRoman" w:hAnsi="Arial Narrow" w:cs="Times New Roman"/>
                <w:color w:val="000000"/>
                <w:sz w:val="20"/>
                <w:szCs w:val="20"/>
              </w:rPr>
              <w:t>162</w:t>
            </w:r>
            <w:r w:rsidR="004852CD" w:rsidRPr="00F04A75">
              <w:rPr>
                <w:rFonts w:ascii="Arial Narrow" w:eastAsia="TimesNewRoman" w:hAnsi="Arial Narrow" w:cs="Times New Roman"/>
                <w:color w:val="000000"/>
                <w:sz w:val="20"/>
                <w:szCs w:val="20"/>
              </w:rPr>
              <w:t>/278</w:t>
            </w:r>
            <w:r w:rsidRPr="00F04A75">
              <w:rPr>
                <w:rFonts w:ascii="Arial Narrow" w:eastAsia="TimesNewRoman" w:hAnsi="Arial Narrow" w:cs="Times New Roman"/>
                <w:color w:val="000000"/>
                <w:sz w:val="20"/>
                <w:szCs w:val="20"/>
              </w:rPr>
              <w:t xml:space="preserve"> (58.3%)</w:t>
            </w:r>
          </w:p>
        </w:tc>
        <w:tc>
          <w:tcPr>
            <w:tcW w:w="1134" w:type="dxa"/>
            <w:tcBorders>
              <w:top w:val="single" w:sz="4" w:space="0" w:color="auto"/>
              <w:left w:val="single" w:sz="4" w:space="0" w:color="auto"/>
              <w:bottom w:val="single" w:sz="4" w:space="0" w:color="auto"/>
              <w:right w:val="single" w:sz="4" w:space="0" w:color="auto"/>
            </w:tcBorders>
            <w:vAlign w:val="center"/>
          </w:tcPr>
          <w:p w14:paraId="22EAD74A" w14:textId="1AA0379B" w:rsidR="006658C6" w:rsidRPr="00F04A75" w:rsidRDefault="006658C6" w:rsidP="002A1FAD">
            <w:pPr>
              <w:jc w:val="center"/>
              <w:rPr>
                <w:rFonts w:ascii="Arial Narrow" w:hAnsi="Arial Narrow" w:cs="Times New Roman"/>
                <w:iCs/>
                <w:sz w:val="20"/>
                <w:szCs w:val="20"/>
                <w:lang w:eastAsia="en-US"/>
              </w:rPr>
            </w:pPr>
            <w:r w:rsidRPr="00F04A75">
              <w:rPr>
                <w:rFonts w:ascii="Arial Narrow" w:hAnsi="Arial Narrow" w:cs="Times New Roman"/>
                <w:iCs/>
                <w:sz w:val="20"/>
                <w:szCs w:val="20"/>
                <w:lang w:eastAsia="en-US"/>
              </w:rPr>
              <w:t>7.1</w:t>
            </w:r>
          </w:p>
          <w:p w14:paraId="2651EB5B" w14:textId="77777777" w:rsidR="006658C6" w:rsidRPr="00F04A75" w:rsidRDefault="006658C6" w:rsidP="002A1FAD">
            <w:pPr>
              <w:jc w:val="center"/>
              <w:rPr>
                <w:rFonts w:ascii="Arial Narrow" w:hAnsi="Arial Narrow" w:cs="Times New Roman"/>
                <w:iCs/>
                <w:sz w:val="20"/>
                <w:szCs w:val="20"/>
                <w:lang w:eastAsia="en-US"/>
              </w:rPr>
            </w:pPr>
            <w:r w:rsidRPr="00F04A75">
              <w:rPr>
                <w:rFonts w:ascii="Arial Narrow" w:hAnsi="Arial Narrow" w:cs="Times New Roman"/>
                <w:iCs/>
                <w:sz w:val="20"/>
                <w:szCs w:val="20"/>
                <w:lang w:eastAsia="en-US"/>
              </w:rPr>
              <w:t>(5.88, 8.48)</w:t>
            </w:r>
          </w:p>
        </w:tc>
        <w:tc>
          <w:tcPr>
            <w:tcW w:w="104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FBEC1C0" w14:textId="77777777" w:rsidR="006658C6" w:rsidRPr="00F04A75" w:rsidRDefault="006658C6" w:rsidP="006658C6">
            <w:pPr>
              <w:jc w:val="center"/>
              <w:rPr>
                <w:rFonts w:ascii="Arial Narrow" w:hAnsi="Arial Narrow" w:cs="Times New Roman"/>
                <w:i/>
                <w:sz w:val="20"/>
                <w:szCs w:val="20"/>
                <w:lang w:eastAsia="en-US"/>
              </w:rPr>
            </w:pPr>
            <w:r w:rsidRPr="00F04A75">
              <w:rPr>
                <w:rFonts w:ascii="Arial Narrow" w:hAnsi="Arial Narrow" w:cs="Times New Roman"/>
                <w:iCs/>
                <w:sz w:val="20"/>
                <w:szCs w:val="20"/>
                <w:lang w:eastAsia="en-US"/>
              </w:rPr>
              <w:t>4.1</w:t>
            </w:r>
          </w:p>
        </w:tc>
        <w:tc>
          <w:tcPr>
            <w:tcW w:w="117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41BA55D" w14:textId="77777777" w:rsidR="006658C6" w:rsidRPr="00F04A75" w:rsidRDefault="006658C6" w:rsidP="006658C6">
            <w:pPr>
              <w:jc w:val="center"/>
              <w:rPr>
                <w:rFonts w:ascii="Arial Narrow" w:hAnsi="Arial Narrow"/>
                <w:sz w:val="20"/>
                <w:szCs w:val="20"/>
              </w:rPr>
            </w:pPr>
            <w:r w:rsidRPr="00F04A75">
              <w:rPr>
                <w:rFonts w:ascii="Arial Narrow" w:eastAsia="TimesNewRoman" w:hAnsi="Arial Narrow" w:cs="Times New Roman"/>
                <w:b/>
                <w:color w:val="000000"/>
                <w:sz w:val="20"/>
                <w:szCs w:val="20"/>
              </w:rPr>
              <w:t xml:space="preserve">0.61 </w:t>
            </w:r>
            <w:r w:rsidRPr="00F04A75">
              <w:rPr>
                <w:rFonts w:ascii="Arial Narrow" w:eastAsia="TimesNewRoman" w:hAnsi="Arial Narrow" w:cs="Times New Roman"/>
                <w:b/>
                <w:color w:val="000000"/>
                <w:sz w:val="20"/>
                <w:szCs w:val="20"/>
              </w:rPr>
              <w:br/>
              <w:t>(0.49, 0.77)</w:t>
            </w:r>
          </w:p>
        </w:tc>
      </w:tr>
      <w:tr w:rsidR="00FE6998" w:rsidRPr="00F04A75" w14:paraId="6CAF9F92" w14:textId="77777777" w:rsidTr="00895AB1">
        <w:trPr>
          <w:trHeight w:val="20"/>
        </w:trPr>
        <w:tc>
          <w:tcPr>
            <w:tcW w:w="1405" w:type="dxa"/>
            <w:tcBorders>
              <w:top w:val="single" w:sz="4" w:space="0" w:color="auto"/>
              <w:left w:val="single" w:sz="4" w:space="0" w:color="auto"/>
              <w:bottom w:val="single" w:sz="4" w:space="0" w:color="auto"/>
              <w:right w:val="single" w:sz="4" w:space="0" w:color="auto"/>
            </w:tcBorders>
            <w:tcMar>
              <w:left w:w="28" w:type="dxa"/>
              <w:right w:w="28" w:type="dxa"/>
            </w:tcMar>
          </w:tcPr>
          <w:p w14:paraId="2A539EF7" w14:textId="77777777" w:rsidR="00FE6998" w:rsidRPr="00F04A75" w:rsidRDefault="00FE6998" w:rsidP="00ED5716">
            <w:pPr>
              <w:keepNext/>
              <w:jc w:val="left"/>
              <w:rPr>
                <w:rFonts w:ascii="Arial Narrow" w:hAnsi="Arial Narrow" w:cs="Times New Roman"/>
                <w:sz w:val="20"/>
                <w:szCs w:val="20"/>
                <w:lang w:eastAsia="en-US"/>
              </w:rPr>
            </w:pPr>
            <w:r w:rsidRPr="00F04A75">
              <w:rPr>
                <w:rFonts w:ascii="Arial Narrow" w:hAnsi="Arial Narrow" w:cs="Times New Roman"/>
                <w:sz w:val="20"/>
                <w:szCs w:val="20"/>
                <w:lang w:eastAsia="en-US"/>
              </w:rPr>
              <w:t xml:space="preserve">ELOQUENT-2 </w:t>
            </w:r>
            <w:r w:rsidRPr="00F04A75">
              <w:rPr>
                <w:rFonts w:ascii="Arial Narrow" w:hAnsi="Arial Narrow" w:cs="Times New Roman"/>
                <w:sz w:val="20"/>
                <w:szCs w:val="20"/>
                <w:lang w:eastAsia="en-US"/>
              </w:rPr>
              <w:br/>
            </w:r>
            <w:proofErr w:type="spellStart"/>
            <w:r w:rsidRPr="00F04A75">
              <w:rPr>
                <w:rFonts w:ascii="Arial Narrow" w:hAnsi="Arial Narrow" w:cs="Times New Roman"/>
                <w:sz w:val="20"/>
                <w:szCs w:val="20"/>
                <w:lang w:eastAsia="en-US"/>
              </w:rPr>
              <w:t>ELd</w:t>
            </w:r>
            <w:proofErr w:type="spellEnd"/>
            <w:r w:rsidRPr="00F04A75">
              <w:rPr>
                <w:rFonts w:ascii="Arial Narrow" w:hAnsi="Arial Narrow" w:cs="Times New Roman"/>
                <w:sz w:val="20"/>
                <w:szCs w:val="20"/>
                <w:lang w:eastAsia="en-US"/>
              </w:rPr>
              <w:t xml:space="preserve"> vs </w:t>
            </w:r>
            <w:proofErr w:type="spellStart"/>
            <w:r w:rsidRPr="00F04A75">
              <w:rPr>
                <w:rFonts w:ascii="Arial Narrow" w:hAnsi="Arial Narrow" w:cs="Times New Roman"/>
                <w:sz w:val="20"/>
                <w:szCs w:val="20"/>
                <w:lang w:eastAsia="en-US"/>
              </w:rPr>
              <w:t>Ld</w:t>
            </w:r>
            <w:proofErr w:type="spellEnd"/>
            <w:r w:rsidRPr="00F04A75">
              <w:rPr>
                <w:rFonts w:ascii="Arial Narrow" w:hAnsi="Arial Narrow" w:cs="Times New Roman"/>
                <w:sz w:val="20"/>
                <w:szCs w:val="20"/>
                <w:lang w:eastAsia="en-US"/>
              </w:rPr>
              <w:br/>
              <w:t>29 Oct 2014</w:t>
            </w:r>
            <w:r w:rsidRPr="00F04A75">
              <w:rPr>
                <w:rFonts w:ascii="Arial Narrow" w:hAnsi="Arial Narrow" w:cs="Times New Roman"/>
                <w:sz w:val="20"/>
                <w:szCs w:val="20"/>
                <w:vertAlign w:val="superscript"/>
                <w:lang w:eastAsia="en-US"/>
              </w:rPr>
              <w:t>b</w:t>
            </w:r>
            <w:r w:rsidRPr="00F04A75">
              <w:rPr>
                <w:rFonts w:ascii="Arial Narrow" w:hAnsi="Arial Narrow" w:cs="Times New Roman"/>
                <w:sz w:val="20"/>
                <w:szCs w:val="20"/>
                <w:lang w:eastAsia="en-US"/>
              </w:rPr>
              <w:t xml:space="preserve"> </w:t>
            </w:r>
          </w:p>
        </w:tc>
        <w:tc>
          <w:tcPr>
            <w:tcW w:w="114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506370E" w14:textId="77777777" w:rsidR="00FE6998" w:rsidRPr="00F04A75" w:rsidRDefault="00FE6998" w:rsidP="00ED5716">
            <w:pPr>
              <w:keepNext/>
              <w:jc w:val="center"/>
              <w:rPr>
                <w:rFonts w:ascii="Arial Narrow" w:hAnsi="Arial Narrow" w:cs="Times New Roman"/>
                <w:sz w:val="20"/>
                <w:szCs w:val="20"/>
                <w:lang w:eastAsia="en-US"/>
              </w:rPr>
            </w:pPr>
            <w:r w:rsidRPr="00F04A75">
              <w:rPr>
                <w:rFonts w:ascii="Arial Narrow" w:hAnsi="Arial Narrow" w:cs="Times New Roman"/>
                <w:sz w:val="20"/>
                <w:szCs w:val="20"/>
                <w:lang w:eastAsia="en-US"/>
              </w:rPr>
              <w:t>24.5</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A7AFF4F" w14:textId="77777777" w:rsidR="00FE6998" w:rsidRPr="00F04A75" w:rsidRDefault="00FE6998" w:rsidP="00ED5716">
            <w:pPr>
              <w:keepNext/>
              <w:jc w:val="center"/>
              <w:rPr>
                <w:rFonts w:ascii="Arial Narrow" w:hAnsi="Arial Narrow" w:cs="Times New Roman"/>
                <w:sz w:val="20"/>
                <w:szCs w:val="20"/>
                <w:lang w:eastAsia="en-US"/>
              </w:rPr>
            </w:pPr>
            <w:r w:rsidRPr="00F04A75">
              <w:rPr>
                <w:rFonts w:ascii="Arial Narrow" w:eastAsia="TimesNewRoman" w:hAnsi="Arial Narrow" w:cs="Times New Roman"/>
                <w:color w:val="000000"/>
                <w:sz w:val="20"/>
                <w:szCs w:val="20"/>
              </w:rPr>
              <w:t>192/321 (59.8%)</w:t>
            </w:r>
          </w:p>
        </w:tc>
        <w:tc>
          <w:tcPr>
            <w:tcW w:w="1134" w:type="dxa"/>
            <w:tcBorders>
              <w:top w:val="single" w:sz="4" w:space="0" w:color="auto"/>
              <w:left w:val="single" w:sz="4" w:space="0" w:color="auto"/>
              <w:bottom w:val="single" w:sz="4" w:space="0" w:color="auto"/>
              <w:right w:val="single" w:sz="4" w:space="0" w:color="auto"/>
            </w:tcBorders>
            <w:vAlign w:val="center"/>
          </w:tcPr>
          <w:p w14:paraId="1BA150C5" w14:textId="77777777" w:rsidR="00FE6998" w:rsidRPr="00F04A75" w:rsidRDefault="00FE6998" w:rsidP="00ED5716">
            <w:pPr>
              <w:keepNext/>
              <w:jc w:val="center"/>
              <w:rPr>
                <w:rFonts w:ascii="Arial Narrow" w:eastAsia="TimesNewRoman" w:hAnsi="Arial Narrow" w:cs="Times New Roman"/>
                <w:color w:val="000000"/>
                <w:sz w:val="20"/>
                <w:szCs w:val="20"/>
              </w:rPr>
            </w:pPr>
            <w:r w:rsidRPr="00F04A75">
              <w:rPr>
                <w:rFonts w:ascii="Arial Narrow" w:eastAsia="TimesNewRoman" w:hAnsi="Arial Narrow" w:cs="Times New Roman"/>
                <w:color w:val="000000"/>
                <w:sz w:val="20"/>
                <w:szCs w:val="20"/>
              </w:rPr>
              <w:t>18.5</w:t>
            </w:r>
          </w:p>
          <w:p w14:paraId="16A44B98" w14:textId="77777777" w:rsidR="00FE6998" w:rsidRPr="00F04A75" w:rsidRDefault="00FE6998" w:rsidP="00ED5716">
            <w:pPr>
              <w:keepNext/>
              <w:jc w:val="center"/>
              <w:rPr>
                <w:rFonts w:ascii="Arial Narrow" w:eastAsia="TimesNewRoman" w:hAnsi="Arial Narrow" w:cs="Times New Roman"/>
                <w:color w:val="000000"/>
                <w:sz w:val="20"/>
                <w:szCs w:val="20"/>
              </w:rPr>
            </w:pPr>
            <w:r w:rsidRPr="00F04A75">
              <w:rPr>
                <w:rFonts w:ascii="Arial Narrow" w:eastAsia="TimesNewRoman" w:hAnsi="Arial Narrow" w:cs="Times New Roman"/>
                <w:color w:val="000000"/>
                <w:sz w:val="20"/>
                <w:szCs w:val="20"/>
              </w:rPr>
              <w:t>(16.5,21.4)</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7F4B846" w14:textId="77777777" w:rsidR="00FE6998" w:rsidRPr="00F04A75" w:rsidRDefault="00FE6998" w:rsidP="00ED5716">
            <w:pPr>
              <w:keepNext/>
              <w:jc w:val="center"/>
              <w:rPr>
                <w:rFonts w:ascii="Arial Narrow" w:hAnsi="Arial Narrow" w:cs="Times New Roman"/>
                <w:sz w:val="20"/>
                <w:szCs w:val="20"/>
                <w:lang w:eastAsia="en-US"/>
              </w:rPr>
            </w:pPr>
            <w:r w:rsidRPr="00F04A75">
              <w:rPr>
                <w:rFonts w:ascii="Arial Narrow" w:eastAsia="TimesNewRoman" w:hAnsi="Arial Narrow" w:cs="Times New Roman"/>
                <w:color w:val="000000"/>
                <w:sz w:val="20"/>
                <w:szCs w:val="20"/>
              </w:rPr>
              <w:t>231/325 (71.1%)</w:t>
            </w:r>
          </w:p>
        </w:tc>
        <w:tc>
          <w:tcPr>
            <w:tcW w:w="1134" w:type="dxa"/>
            <w:tcBorders>
              <w:top w:val="single" w:sz="4" w:space="0" w:color="auto"/>
              <w:left w:val="single" w:sz="4" w:space="0" w:color="auto"/>
              <w:bottom w:val="single" w:sz="4" w:space="0" w:color="auto"/>
              <w:right w:val="single" w:sz="4" w:space="0" w:color="auto"/>
            </w:tcBorders>
            <w:vAlign w:val="center"/>
          </w:tcPr>
          <w:p w14:paraId="424E15CB" w14:textId="77777777" w:rsidR="00FE6998" w:rsidRPr="00F04A75" w:rsidRDefault="00FE6998" w:rsidP="00ED5716">
            <w:pPr>
              <w:keepNext/>
              <w:jc w:val="center"/>
              <w:rPr>
                <w:rFonts w:ascii="Arial Narrow" w:hAnsi="Arial Narrow" w:cs="Times New Roman"/>
                <w:iCs/>
                <w:sz w:val="20"/>
                <w:szCs w:val="20"/>
                <w:lang w:eastAsia="en-US"/>
              </w:rPr>
            </w:pPr>
            <w:r w:rsidRPr="00F04A75">
              <w:rPr>
                <w:rFonts w:ascii="Arial Narrow" w:hAnsi="Arial Narrow" w:cs="Times New Roman"/>
                <w:iCs/>
                <w:sz w:val="20"/>
                <w:szCs w:val="20"/>
                <w:lang w:eastAsia="en-US"/>
              </w:rPr>
              <w:t>14.3</w:t>
            </w:r>
          </w:p>
          <w:p w14:paraId="48A6E7B5" w14:textId="77777777" w:rsidR="00FE6998" w:rsidRPr="00F04A75" w:rsidRDefault="00FE6998" w:rsidP="00ED5716">
            <w:pPr>
              <w:keepNext/>
              <w:jc w:val="center"/>
              <w:rPr>
                <w:rFonts w:ascii="Arial Narrow" w:hAnsi="Arial Narrow" w:cs="Times New Roman"/>
                <w:i/>
                <w:sz w:val="20"/>
                <w:szCs w:val="20"/>
                <w:lang w:eastAsia="en-US"/>
              </w:rPr>
            </w:pPr>
            <w:r w:rsidRPr="00F04A75">
              <w:rPr>
                <w:rFonts w:ascii="Arial Narrow" w:hAnsi="Arial Narrow" w:cs="Times New Roman"/>
                <w:iCs/>
                <w:sz w:val="20"/>
                <w:szCs w:val="20"/>
                <w:lang w:eastAsia="en-US"/>
              </w:rPr>
              <w:t>(12.0,16.0</w:t>
            </w:r>
            <w:r w:rsidRPr="00F04A75">
              <w:rPr>
                <w:rFonts w:ascii="Arial Narrow" w:hAnsi="Arial Narrow" w:cs="Times New Roman"/>
                <w:i/>
                <w:sz w:val="20"/>
                <w:szCs w:val="20"/>
                <w:lang w:eastAsia="en-US"/>
              </w:rPr>
              <w:t>)</w:t>
            </w:r>
          </w:p>
        </w:tc>
        <w:tc>
          <w:tcPr>
            <w:tcW w:w="104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613F839" w14:textId="77777777" w:rsidR="00FE6998" w:rsidRPr="00F04A75" w:rsidRDefault="00FE6998" w:rsidP="00ED5716">
            <w:pPr>
              <w:keepNext/>
              <w:jc w:val="center"/>
              <w:rPr>
                <w:rFonts w:ascii="Arial Narrow" w:hAnsi="Arial Narrow" w:cs="Times New Roman"/>
                <w:i/>
                <w:sz w:val="20"/>
                <w:szCs w:val="20"/>
                <w:lang w:eastAsia="en-US"/>
              </w:rPr>
            </w:pPr>
            <w:r w:rsidRPr="00F04A75">
              <w:rPr>
                <w:rFonts w:ascii="Arial Narrow" w:hAnsi="Arial Narrow" w:cs="Times New Roman"/>
                <w:iCs/>
                <w:sz w:val="20"/>
                <w:szCs w:val="20"/>
                <w:lang w:eastAsia="en-US"/>
              </w:rPr>
              <w:t>4.2</w:t>
            </w:r>
          </w:p>
        </w:tc>
        <w:tc>
          <w:tcPr>
            <w:tcW w:w="117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7268B03" w14:textId="77777777" w:rsidR="00FE6998" w:rsidRPr="00F04A75" w:rsidRDefault="00FE6998" w:rsidP="00ED5716">
            <w:pPr>
              <w:keepNext/>
              <w:jc w:val="center"/>
              <w:rPr>
                <w:rFonts w:ascii="Arial Narrow" w:hAnsi="Arial Narrow"/>
                <w:sz w:val="20"/>
                <w:szCs w:val="20"/>
              </w:rPr>
            </w:pPr>
            <w:r w:rsidRPr="00F04A75">
              <w:rPr>
                <w:rFonts w:ascii="Arial Narrow" w:eastAsia="TimesNewRoman" w:hAnsi="Arial Narrow" w:cs="Times New Roman"/>
                <w:b/>
                <w:color w:val="000000"/>
                <w:sz w:val="20"/>
                <w:szCs w:val="20"/>
              </w:rPr>
              <w:t xml:space="preserve">0.68 </w:t>
            </w:r>
            <w:r w:rsidRPr="00F04A75">
              <w:rPr>
                <w:rFonts w:ascii="Arial Narrow" w:eastAsia="TimesNewRoman" w:hAnsi="Arial Narrow" w:cs="Times New Roman"/>
                <w:b/>
                <w:color w:val="000000"/>
                <w:sz w:val="20"/>
                <w:szCs w:val="20"/>
              </w:rPr>
              <w:br/>
              <w:t>(0.56, 0.83)</w:t>
            </w:r>
          </w:p>
        </w:tc>
      </w:tr>
      <w:tr w:rsidR="003849B0" w:rsidRPr="00F04A75" w14:paraId="119BD5B2" w14:textId="77777777" w:rsidTr="004F28A6">
        <w:trPr>
          <w:trHeight w:val="20"/>
        </w:trPr>
        <w:tc>
          <w:tcPr>
            <w:tcW w:w="7842" w:type="dxa"/>
            <w:gridSpan w:val="7"/>
            <w:tcBorders>
              <w:top w:val="single" w:sz="4" w:space="0" w:color="auto"/>
              <w:left w:val="single" w:sz="4" w:space="0" w:color="auto"/>
              <w:bottom w:val="single" w:sz="4" w:space="0" w:color="auto"/>
              <w:right w:val="single" w:sz="4" w:space="0" w:color="auto"/>
            </w:tcBorders>
            <w:tcMar>
              <w:left w:w="28" w:type="dxa"/>
              <w:right w:w="85" w:type="dxa"/>
            </w:tcMar>
            <w:vAlign w:val="center"/>
          </w:tcPr>
          <w:p w14:paraId="683BE053" w14:textId="7CAB1AB6" w:rsidR="003849B0" w:rsidRPr="00F04A75" w:rsidRDefault="003849B0" w:rsidP="009E4973">
            <w:pPr>
              <w:jc w:val="right"/>
              <w:rPr>
                <w:rFonts w:ascii="Arial Narrow" w:hAnsi="Arial Narrow" w:cs="Times New Roman"/>
                <w:iCs/>
                <w:sz w:val="20"/>
                <w:szCs w:val="20"/>
                <w:lang w:eastAsia="en-US"/>
              </w:rPr>
            </w:pPr>
            <w:r w:rsidRPr="00F04A75">
              <w:rPr>
                <w:rFonts w:ascii="Arial Narrow" w:hAnsi="Arial Narrow" w:cs="Times New Roman"/>
                <w:b/>
                <w:sz w:val="20"/>
                <w:szCs w:val="20"/>
                <w:lang w:eastAsia="en-US"/>
              </w:rPr>
              <w:t xml:space="preserve">Indirect comparison </w:t>
            </w:r>
            <w:proofErr w:type="spellStart"/>
            <w:r w:rsidRPr="00F04A75">
              <w:rPr>
                <w:rFonts w:ascii="Arial Narrow" w:hAnsi="Arial Narrow" w:cs="Times New Roman"/>
                <w:b/>
                <w:sz w:val="20"/>
                <w:szCs w:val="20"/>
                <w:lang w:eastAsia="en-US"/>
              </w:rPr>
              <w:t>CLd</w:t>
            </w:r>
            <w:proofErr w:type="spellEnd"/>
            <w:r w:rsidRPr="00F04A75">
              <w:rPr>
                <w:rFonts w:ascii="Arial Narrow" w:hAnsi="Arial Narrow" w:cs="Times New Roman"/>
                <w:b/>
                <w:sz w:val="20"/>
                <w:szCs w:val="20"/>
                <w:lang w:eastAsia="en-US"/>
              </w:rPr>
              <w:t xml:space="preserve"> vs. </w:t>
            </w:r>
            <w:proofErr w:type="spellStart"/>
            <w:r w:rsidRPr="00F04A75">
              <w:rPr>
                <w:rFonts w:ascii="Arial Narrow" w:hAnsi="Arial Narrow" w:cs="Times New Roman"/>
                <w:b/>
                <w:sz w:val="20"/>
                <w:szCs w:val="20"/>
                <w:lang w:eastAsia="en-US"/>
              </w:rPr>
              <w:t>PBd</w:t>
            </w:r>
            <w:proofErr w:type="spellEnd"/>
            <w:r w:rsidR="00632FAE">
              <w:rPr>
                <w:rFonts w:ascii="Arial Narrow" w:hAnsi="Arial Narrow" w:cs="Times New Roman"/>
                <w:b/>
                <w:sz w:val="20"/>
                <w:szCs w:val="20"/>
                <w:lang w:eastAsia="en-US"/>
              </w:rPr>
              <w:t xml:space="preserve">  </w:t>
            </w:r>
          </w:p>
        </w:tc>
        <w:tc>
          <w:tcPr>
            <w:tcW w:w="117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5C19C3C4" w14:textId="77777777" w:rsidR="003849B0" w:rsidRPr="00F04A75" w:rsidRDefault="003849B0" w:rsidP="002A1217">
            <w:pPr>
              <w:jc w:val="center"/>
              <w:rPr>
                <w:rFonts w:ascii="Arial Narrow" w:hAnsi="Arial Narrow" w:cstheme="minorHAnsi"/>
                <w:bCs/>
                <w:sz w:val="20"/>
                <w:szCs w:val="20"/>
              </w:rPr>
            </w:pPr>
            <w:r w:rsidRPr="00F04A75">
              <w:rPr>
                <w:rFonts w:ascii="Arial Narrow" w:hAnsi="Arial Narrow" w:cstheme="minorHAnsi"/>
                <w:bCs/>
                <w:sz w:val="20"/>
                <w:szCs w:val="20"/>
              </w:rPr>
              <w:t xml:space="preserve">1.13 </w:t>
            </w:r>
          </w:p>
          <w:p w14:paraId="63781A75" w14:textId="77777777" w:rsidR="003849B0" w:rsidRPr="00F04A75" w:rsidRDefault="003849B0" w:rsidP="002A1217">
            <w:pPr>
              <w:jc w:val="center"/>
              <w:rPr>
                <w:rFonts w:ascii="Arial Narrow" w:eastAsia="TimesNewRoman" w:hAnsi="Arial Narrow" w:cs="Times New Roman"/>
                <w:b/>
                <w:color w:val="000000"/>
                <w:sz w:val="20"/>
                <w:szCs w:val="20"/>
              </w:rPr>
            </w:pPr>
            <w:r w:rsidRPr="00F04A75">
              <w:rPr>
                <w:rFonts w:ascii="Arial Narrow" w:hAnsi="Arial Narrow" w:cstheme="minorHAnsi"/>
                <w:bCs/>
                <w:sz w:val="20"/>
                <w:szCs w:val="20"/>
              </w:rPr>
              <w:t>(0.84, 1.52)</w:t>
            </w:r>
          </w:p>
        </w:tc>
      </w:tr>
      <w:tr w:rsidR="00FE6998" w:rsidRPr="00F04A75" w14:paraId="14EA438F" w14:textId="77777777" w:rsidTr="004F28A6">
        <w:trPr>
          <w:trHeight w:val="20"/>
        </w:trPr>
        <w:tc>
          <w:tcPr>
            <w:tcW w:w="7842" w:type="dxa"/>
            <w:gridSpan w:val="7"/>
            <w:tcBorders>
              <w:top w:val="single" w:sz="4" w:space="0" w:color="auto"/>
            </w:tcBorders>
            <w:vAlign w:val="center"/>
          </w:tcPr>
          <w:p w14:paraId="6B1AA3F3" w14:textId="77777777" w:rsidR="00FE6998" w:rsidRPr="00F04A75" w:rsidRDefault="00FE6998" w:rsidP="00ED5716">
            <w:pPr>
              <w:keepNext/>
              <w:jc w:val="right"/>
              <w:rPr>
                <w:rFonts w:ascii="Arial Narrow" w:hAnsi="Arial Narrow" w:cs="Times New Roman"/>
                <w:b/>
                <w:sz w:val="20"/>
                <w:szCs w:val="20"/>
                <w:lang w:eastAsia="en-US"/>
              </w:rPr>
            </w:pPr>
            <w:r w:rsidRPr="00F04A75">
              <w:rPr>
                <w:rFonts w:ascii="Arial Narrow" w:hAnsi="Arial Narrow" w:cs="Times New Roman"/>
                <w:b/>
                <w:sz w:val="20"/>
                <w:szCs w:val="20"/>
                <w:lang w:eastAsia="en-US"/>
              </w:rPr>
              <w:t xml:space="preserve">Indirect comparison </w:t>
            </w:r>
            <w:proofErr w:type="spellStart"/>
            <w:r w:rsidRPr="00F04A75">
              <w:rPr>
                <w:rFonts w:ascii="Arial Narrow" w:hAnsi="Arial Narrow" w:cs="Times New Roman"/>
                <w:b/>
                <w:sz w:val="20"/>
                <w:szCs w:val="20"/>
                <w:lang w:eastAsia="en-US"/>
              </w:rPr>
              <w:t>CLd</w:t>
            </w:r>
            <w:proofErr w:type="spellEnd"/>
            <w:r w:rsidRPr="00F04A75">
              <w:rPr>
                <w:rFonts w:ascii="Arial Narrow" w:hAnsi="Arial Narrow" w:cs="Times New Roman"/>
                <w:b/>
                <w:sz w:val="20"/>
                <w:szCs w:val="20"/>
                <w:lang w:eastAsia="en-US"/>
              </w:rPr>
              <w:t xml:space="preserve"> vs. </w:t>
            </w:r>
            <w:proofErr w:type="spellStart"/>
            <w:r w:rsidRPr="00F04A75">
              <w:rPr>
                <w:rFonts w:ascii="Arial Narrow" w:hAnsi="Arial Narrow" w:cs="Times New Roman"/>
                <w:b/>
                <w:sz w:val="20"/>
                <w:szCs w:val="20"/>
                <w:lang w:eastAsia="en-US"/>
              </w:rPr>
              <w:t>ELd</w:t>
            </w:r>
            <w:proofErr w:type="spellEnd"/>
          </w:p>
        </w:tc>
        <w:tc>
          <w:tcPr>
            <w:tcW w:w="1175" w:type="dxa"/>
            <w:tcBorders>
              <w:top w:val="single" w:sz="4" w:space="0" w:color="auto"/>
            </w:tcBorders>
            <w:shd w:val="clear" w:color="auto" w:fill="auto"/>
            <w:tcMar>
              <w:left w:w="28" w:type="dxa"/>
              <w:right w:w="28" w:type="dxa"/>
            </w:tcMar>
          </w:tcPr>
          <w:p w14:paraId="78109650" w14:textId="77777777" w:rsidR="00FE6998" w:rsidRPr="00F04A75" w:rsidRDefault="00FE6998" w:rsidP="00ED5716">
            <w:pPr>
              <w:keepNext/>
              <w:spacing w:line="276" w:lineRule="auto"/>
              <w:jc w:val="center"/>
              <w:rPr>
                <w:rFonts w:ascii="Arial Narrow" w:hAnsi="Arial Narrow" w:cstheme="minorHAnsi"/>
                <w:bCs/>
                <w:sz w:val="20"/>
                <w:szCs w:val="20"/>
              </w:rPr>
            </w:pPr>
            <w:r w:rsidRPr="00F04A75">
              <w:rPr>
                <w:rFonts w:ascii="Arial Narrow" w:hAnsi="Arial Narrow" w:cstheme="minorHAnsi"/>
                <w:bCs/>
                <w:sz w:val="20"/>
                <w:szCs w:val="20"/>
              </w:rPr>
              <w:t xml:space="preserve">1.01 </w:t>
            </w:r>
          </w:p>
          <w:p w14:paraId="2F6370C7" w14:textId="77777777" w:rsidR="00FE6998" w:rsidRPr="00F04A75" w:rsidRDefault="00FE6998" w:rsidP="00ED5716">
            <w:pPr>
              <w:keepNext/>
              <w:jc w:val="center"/>
              <w:rPr>
                <w:rFonts w:ascii="Arial Narrow" w:hAnsi="Arial Narrow" w:cs="Times New Roman"/>
                <w:sz w:val="20"/>
                <w:szCs w:val="20"/>
                <w:lang w:eastAsia="en-US"/>
              </w:rPr>
            </w:pPr>
            <w:r w:rsidRPr="00F04A75">
              <w:rPr>
                <w:rFonts w:ascii="Arial Narrow" w:hAnsi="Arial Narrow" w:cstheme="minorHAnsi"/>
                <w:bCs/>
                <w:sz w:val="20"/>
                <w:szCs w:val="20"/>
              </w:rPr>
              <w:t>(0.77, 1.33)</w:t>
            </w:r>
          </w:p>
        </w:tc>
      </w:tr>
      <w:tr w:rsidR="00E21A0C" w:rsidRPr="00F04A75" w14:paraId="1B8EB001" w14:textId="77777777" w:rsidTr="00FE6998">
        <w:trPr>
          <w:trHeight w:val="20"/>
        </w:trPr>
        <w:tc>
          <w:tcPr>
            <w:tcW w:w="9017" w:type="dxa"/>
            <w:gridSpan w:val="8"/>
            <w:tcBorders>
              <w:top w:val="single" w:sz="4" w:space="0" w:color="auto"/>
              <w:left w:val="single" w:sz="4" w:space="0" w:color="auto"/>
              <w:bottom w:val="single" w:sz="4" w:space="0" w:color="auto"/>
              <w:right w:val="single" w:sz="4" w:space="0" w:color="auto"/>
            </w:tcBorders>
            <w:tcMar>
              <w:left w:w="28" w:type="dxa"/>
              <w:right w:w="28" w:type="dxa"/>
            </w:tcMar>
          </w:tcPr>
          <w:p w14:paraId="2261C351" w14:textId="77777777" w:rsidR="00E21A0C" w:rsidRPr="00F04A75" w:rsidRDefault="00E21A0C" w:rsidP="00E21A0C">
            <w:pPr>
              <w:jc w:val="left"/>
              <w:rPr>
                <w:rFonts w:ascii="Arial Narrow" w:hAnsi="Arial Narrow" w:cstheme="minorHAnsi"/>
                <w:b/>
                <w:bCs/>
                <w:sz w:val="20"/>
                <w:szCs w:val="20"/>
              </w:rPr>
            </w:pPr>
            <w:r w:rsidRPr="00F04A75">
              <w:rPr>
                <w:rFonts w:ascii="Arial Narrow" w:hAnsi="Arial Narrow" w:cs="Times New Roman"/>
                <w:b/>
                <w:bCs/>
                <w:sz w:val="20"/>
                <w:szCs w:val="20"/>
                <w:lang w:eastAsia="en-US"/>
              </w:rPr>
              <w:t xml:space="preserve">OS </w:t>
            </w:r>
          </w:p>
        </w:tc>
      </w:tr>
      <w:tr w:rsidR="002A1217" w:rsidRPr="00F04A75" w14:paraId="09882DAD" w14:textId="77777777" w:rsidTr="00895AB1">
        <w:trPr>
          <w:trHeight w:val="20"/>
        </w:trPr>
        <w:tc>
          <w:tcPr>
            <w:tcW w:w="1405" w:type="dxa"/>
            <w:tcMar>
              <w:left w:w="28" w:type="dxa"/>
              <w:right w:w="28" w:type="dxa"/>
            </w:tcMar>
          </w:tcPr>
          <w:p w14:paraId="4C02C4F8" w14:textId="77777777" w:rsidR="002A1217" w:rsidRPr="00F04A75" w:rsidRDefault="002A1217" w:rsidP="002A1217">
            <w:pPr>
              <w:jc w:val="left"/>
              <w:rPr>
                <w:rFonts w:ascii="Arial Narrow" w:hAnsi="Arial Narrow" w:cs="Times New Roman"/>
                <w:sz w:val="20"/>
                <w:szCs w:val="20"/>
                <w:lang w:eastAsia="en-US"/>
              </w:rPr>
            </w:pPr>
            <w:r w:rsidRPr="00F04A75">
              <w:rPr>
                <w:rFonts w:ascii="Arial Narrow" w:hAnsi="Arial Narrow" w:cs="Times New Roman"/>
                <w:sz w:val="20"/>
                <w:szCs w:val="20"/>
                <w:lang w:eastAsia="en-US"/>
              </w:rPr>
              <w:t xml:space="preserve">ASPIRE </w:t>
            </w:r>
            <w:r w:rsidR="009E4973" w:rsidRPr="00F04A75">
              <w:rPr>
                <w:rFonts w:ascii="Arial Narrow" w:hAnsi="Arial Narrow" w:cs="Times New Roman"/>
                <w:sz w:val="20"/>
                <w:szCs w:val="20"/>
                <w:lang w:eastAsia="en-US"/>
              </w:rPr>
              <w:br/>
            </w:r>
            <w:proofErr w:type="spellStart"/>
            <w:r w:rsidR="009E4973" w:rsidRPr="00F04A75">
              <w:rPr>
                <w:rFonts w:ascii="Arial Narrow" w:hAnsi="Arial Narrow" w:cs="Times New Roman"/>
                <w:sz w:val="20"/>
                <w:szCs w:val="20"/>
                <w:lang w:eastAsia="en-US"/>
              </w:rPr>
              <w:t>CLd</w:t>
            </w:r>
            <w:proofErr w:type="spellEnd"/>
            <w:r w:rsidR="009E4973" w:rsidRPr="00F04A75">
              <w:rPr>
                <w:rFonts w:ascii="Arial Narrow" w:hAnsi="Arial Narrow" w:cs="Times New Roman"/>
                <w:sz w:val="20"/>
                <w:szCs w:val="20"/>
                <w:lang w:eastAsia="en-US"/>
              </w:rPr>
              <w:t xml:space="preserve"> vs </w:t>
            </w:r>
            <w:proofErr w:type="spellStart"/>
            <w:r w:rsidR="009E4973" w:rsidRPr="00F04A75">
              <w:rPr>
                <w:rFonts w:ascii="Arial Narrow" w:hAnsi="Arial Narrow" w:cs="Times New Roman"/>
                <w:sz w:val="20"/>
                <w:szCs w:val="20"/>
                <w:lang w:eastAsia="en-US"/>
              </w:rPr>
              <w:t>L</w:t>
            </w:r>
            <w:r w:rsidR="00C51647" w:rsidRPr="00F04A75">
              <w:rPr>
                <w:rFonts w:ascii="Arial Narrow" w:hAnsi="Arial Narrow" w:cs="Times New Roman"/>
                <w:sz w:val="20"/>
                <w:szCs w:val="20"/>
                <w:lang w:eastAsia="en-US"/>
              </w:rPr>
              <w:t>d</w:t>
            </w:r>
            <w:proofErr w:type="spellEnd"/>
            <w:r w:rsidR="009E4973" w:rsidRPr="00F04A75">
              <w:rPr>
                <w:rFonts w:ascii="Arial Narrow" w:hAnsi="Arial Narrow" w:cs="Times New Roman"/>
                <w:sz w:val="20"/>
                <w:szCs w:val="20"/>
                <w:lang w:eastAsia="en-US"/>
              </w:rPr>
              <w:br/>
            </w:r>
            <w:r w:rsidRPr="00F04A75">
              <w:rPr>
                <w:rFonts w:ascii="Arial Narrow" w:hAnsi="Arial Narrow" w:cs="Times New Roman"/>
                <w:sz w:val="20"/>
                <w:szCs w:val="20"/>
                <w:lang w:eastAsia="en-US"/>
              </w:rPr>
              <w:t>16 Jun 2014</w:t>
            </w:r>
          </w:p>
        </w:tc>
        <w:tc>
          <w:tcPr>
            <w:tcW w:w="1142" w:type="dxa"/>
            <w:tcMar>
              <w:left w:w="28" w:type="dxa"/>
              <w:right w:w="28" w:type="dxa"/>
            </w:tcMar>
            <w:vAlign w:val="center"/>
          </w:tcPr>
          <w:p w14:paraId="214B3730" w14:textId="77777777" w:rsidR="002A1217" w:rsidRPr="00F04A75" w:rsidRDefault="002A1217" w:rsidP="002A1217">
            <w:pPr>
              <w:jc w:val="center"/>
              <w:rPr>
                <w:rFonts w:ascii="Arial Narrow" w:hAnsi="Arial Narrow" w:cs="Times New Roman"/>
                <w:sz w:val="20"/>
                <w:szCs w:val="20"/>
                <w:lang w:eastAsia="en-US"/>
              </w:rPr>
            </w:pPr>
            <w:r w:rsidRPr="00F04A75">
              <w:rPr>
                <w:rFonts w:ascii="Arial Narrow" w:hAnsi="Arial Narrow" w:cs="Times New Roman"/>
                <w:sz w:val="20"/>
                <w:szCs w:val="20"/>
                <w:lang w:eastAsia="en-US"/>
              </w:rPr>
              <w:t xml:space="preserve">32 </w:t>
            </w:r>
          </w:p>
        </w:tc>
        <w:tc>
          <w:tcPr>
            <w:tcW w:w="992" w:type="dxa"/>
            <w:tcMar>
              <w:left w:w="28" w:type="dxa"/>
              <w:right w:w="28" w:type="dxa"/>
            </w:tcMar>
            <w:vAlign w:val="center"/>
          </w:tcPr>
          <w:p w14:paraId="5D90DECA" w14:textId="77777777" w:rsidR="002A1217" w:rsidRPr="00F04A75" w:rsidRDefault="002A1217" w:rsidP="002A1217">
            <w:pPr>
              <w:jc w:val="center"/>
              <w:rPr>
                <w:rFonts w:ascii="Arial Narrow" w:hAnsi="Arial Narrow" w:cs="Times New Roman"/>
                <w:sz w:val="20"/>
                <w:szCs w:val="20"/>
                <w:lang w:eastAsia="en-US"/>
              </w:rPr>
            </w:pPr>
            <w:r w:rsidRPr="00F04A75">
              <w:rPr>
                <w:rFonts w:ascii="Arial Narrow" w:eastAsia="TimesNewRoman" w:hAnsi="Arial Narrow" w:cs="Times New Roman"/>
                <w:color w:val="000000"/>
                <w:sz w:val="20"/>
                <w:szCs w:val="20"/>
              </w:rPr>
              <w:t>143</w:t>
            </w:r>
            <w:r w:rsidR="004852CD" w:rsidRPr="00F04A75">
              <w:rPr>
                <w:rFonts w:ascii="Arial Narrow" w:eastAsia="TimesNewRoman" w:hAnsi="Arial Narrow" w:cs="Times New Roman"/>
                <w:color w:val="000000"/>
                <w:sz w:val="20"/>
                <w:szCs w:val="20"/>
              </w:rPr>
              <w:t>/396</w:t>
            </w:r>
            <w:r w:rsidRPr="00F04A75">
              <w:rPr>
                <w:rFonts w:ascii="Arial Narrow" w:eastAsia="TimesNewRoman" w:hAnsi="Arial Narrow" w:cs="Times New Roman"/>
                <w:color w:val="000000"/>
                <w:sz w:val="20"/>
                <w:szCs w:val="20"/>
              </w:rPr>
              <w:t xml:space="preserve"> (36.1%)</w:t>
            </w:r>
          </w:p>
        </w:tc>
        <w:tc>
          <w:tcPr>
            <w:tcW w:w="1134" w:type="dxa"/>
            <w:vAlign w:val="center"/>
          </w:tcPr>
          <w:p w14:paraId="19BFC79F" w14:textId="77777777" w:rsidR="002A1217" w:rsidRPr="00F04A75" w:rsidRDefault="002A1217" w:rsidP="002A1FAD">
            <w:pPr>
              <w:jc w:val="center"/>
              <w:rPr>
                <w:rFonts w:ascii="Arial Narrow" w:eastAsia="TimesNewRoman" w:hAnsi="Arial Narrow" w:cs="Times New Roman"/>
                <w:color w:val="000000"/>
                <w:sz w:val="20"/>
                <w:szCs w:val="20"/>
              </w:rPr>
            </w:pPr>
            <w:r w:rsidRPr="00F04A75">
              <w:rPr>
                <w:rFonts w:ascii="Arial Narrow" w:eastAsia="TimesNewRoman" w:hAnsi="Arial Narrow" w:cs="Times New Roman"/>
                <w:color w:val="000000"/>
                <w:sz w:val="20"/>
                <w:szCs w:val="20"/>
              </w:rPr>
              <w:t>NE</w:t>
            </w:r>
          </w:p>
        </w:tc>
        <w:tc>
          <w:tcPr>
            <w:tcW w:w="992" w:type="dxa"/>
            <w:tcMar>
              <w:left w:w="28" w:type="dxa"/>
              <w:right w:w="28" w:type="dxa"/>
            </w:tcMar>
            <w:vAlign w:val="center"/>
          </w:tcPr>
          <w:p w14:paraId="6D59E93D" w14:textId="77777777" w:rsidR="002A1217" w:rsidRPr="00F04A75" w:rsidRDefault="002A1217" w:rsidP="002A1217">
            <w:pPr>
              <w:jc w:val="center"/>
              <w:rPr>
                <w:rFonts w:ascii="Arial Narrow" w:hAnsi="Arial Narrow" w:cs="Times New Roman"/>
                <w:sz w:val="20"/>
                <w:szCs w:val="20"/>
                <w:lang w:eastAsia="en-US"/>
              </w:rPr>
            </w:pPr>
            <w:r w:rsidRPr="00F04A75">
              <w:rPr>
                <w:rFonts w:ascii="Arial Narrow" w:eastAsia="TimesNewRoman" w:hAnsi="Arial Narrow" w:cs="Times New Roman"/>
                <w:color w:val="000000"/>
                <w:sz w:val="20"/>
                <w:szCs w:val="20"/>
              </w:rPr>
              <w:t>162</w:t>
            </w:r>
            <w:r w:rsidR="004852CD" w:rsidRPr="00F04A75">
              <w:rPr>
                <w:rFonts w:ascii="Arial Narrow" w:eastAsia="TimesNewRoman" w:hAnsi="Arial Narrow" w:cs="Times New Roman"/>
                <w:color w:val="000000"/>
                <w:sz w:val="20"/>
                <w:szCs w:val="20"/>
              </w:rPr>
              <w:t>/396</w:t>
            </w:r>
            <w:r w:rsidRPr="00F04A75">
              <w:rPr>
                <w:rFonts w:ascii="Arial Narrow" w:eastAsia="TimesNewRoman" w:hAnsi="Arial Narrow" w:cs="Times New Roman"/>
                <w:color w:val="000000"/>
                <w:sz w:val="20"/>
                <w:szCs w:val="20"/>
              </w:rPr>
              <w:t xml:space="preserve"> (40.9%)</w:t>
            </w:r>
          </w:p>
        </w:tc>
        <w:tc>
          <w:tcPr>
            <w:tcW w:w="1134" w:type="dxa"/>
            <w:vAlign w:val="center"/>
          </w:tcPr>
          <w:p w14:paraId="2D55B821" w14:textId="77777777" w:rsidR="002A1217" w:rsidRPr="00F04A75" w:rsidRDefault="002A1217" w:rsidP="002A1FAD">
            <w:pPr>
              <w:jc w:val="center"/>
              <w:rPr>
                <w:rFonts w:ascii="Arial Narrow" w:hAnsi="Arial Narrow" w:cs="Times New Roman"/>
                <w:iCs/>
                <w:sz w:val="20"/>
                <w:szCs w:val="20"/>
                <w:lang w:eastAsia="en-US"/>
              </w:rPr>
            </w:pPr>
            <w:r w:rsidRPr="00F04A75">
              <w:rPr>
                <w:rFonts w:ascii="Arial Narrow" w:hAnsi="Arial Narrow" w:cs="Times New Roman"/>
                <w:iCs/>
                <w:sz w:val="20"/>
                <w:szCs w:val="20"/>
                <w:lang w:eastAsia="en-US"/>
              </w:rPr>
              <w:t>NE</w:t>
            </w:r>
          </w:p>
        </w:tc>
        <w:tc>
          <w:tcPr>
            <w:tcW w:w="1043" w:type="dxa"/>
            <w:tcMar>
              <w:left w:w="28" w:type="dxa"/>
              <w:right w:w="28" w:type="dxa"/>
            </w:tcMar>
            <w:vAlign w:val="center"/>
          </w:tcPr>
          <w:p w14:paraId="4C85A447" w14:textId="77777777" w:rsidR="002A1217" w:rsidRPr="00F04A75" w:rsidRDefault="002A1217" w:rsidP="002A1217">
            <w:pPr>
              <w:jc w:val="center"/>
              <w:rPr>
                <w:rFonts w:ascii="Arial Narrow" w:hAnsi="Arial Narrow" w:cs="Times New Roman"/>
                <w:i/>
                <w:sz w:val="20"/>
                <w:szCs w:val="20"/>
                <w:lang w:eastAsia="en-US"/>
              </w:rPr>
            </w:pPr>
            <w:r w:rsidRPr="00F04A75">
              <w:rPr>
                <w:rFonts w:ascii="Arial Narrow" w:hAnsi="Arial Narrow" w:cs="Times New Roman"/>
                <w:iCs/>
                <w:sz w:val="20"/>
                <w:szCs w:val="20"/>
                <w:lang w:eastAsia="en-US"/>
              </w:rPr>
              <w:t>NE</w:t>
            </w:r>
          </w:p>
        </w:tc>
        <w:tc>
          <w:tcPr>
            <w:tcW w:w="1175" w:type="dxa"/>
            <w:tcMar>
              <w:left w:w="28" w:type="dxa"/>
              <w:right w:w="28" w:type="dxa"/>
            </w:tcMar>
            <w:vAlign w:val="center"/>
          </w:tcPr>
          <w:p w14:paraId="3DFC0CE9" w14:textId="77777777" w:rsidR="002A1217" w:rsidRPr="00F04A75" w:rsidRDefault="002A1217" w:rsidP="002A1217">
            <w:pPr>
              <w:jc w:val="center"/>
              <w:rPr>
                <w:rFonts w:ascii="Arial Narrow" w:hAnsi="Arial Narrow" w:cs="Times New Roman"/>
                <w:b/>
                <w:sz w:val="20"/>
                <w:szCs w:val="20"/>
                <w:lang w:eastAsia="en-US"/>
              </w:rPr>
            </w:pPr>
            <w:r w:rsidRPr="00F04A75">
              <w:rPr>
                <w:rFonts w:ascii="Arial Narrow" w:hAnsi="Arial Narrow" w:cs="Times New Roman"/>
                <w:b/>
                <w:sz w:val="20"/>
                <w:szCs w:val="20"/>
                <w:lang w:eastAsia="en-US"/>
              </w:rPr>
              <w:t xml:space="preserve">0.79 </w:t>
            </w:r>
            <w:r w:rsidRPr="00F04A75">
              <w:rPr>
                <w:rFonts w:ascii="Arial Narrow" w:hAnsi="Arial Narrow" w:cs="Times New Roman"/>
                <w:b/>
                <w:sz w:val="20"/>
                <w:szCs w:val="20"/>
                <w:lang w:eastAsia="en-US"/>
              </w:rPr>
              <w:br/>
              <w:t>(0.63, 0.99)</w:t>
            </w:r>
          </w:p>
        </w:tc>
      </w:tr>
      <w:tr w:rsidR="002A1217" w:rsidRPr="00F04A75" w14:paraId="63FA4B46" w14:textId="77777777" w:rsidTr="00895AB1">
        <w:trPr>
          <w:trHeight w:val="20"/>
        </w:trPr>
        <w:tc>
          <w:tcPr>
            <w:tcW w:w="1405" w:type="dxa"/>
            <w:tcMar>
              <w:left w:w="28" w:type="dxa"/>
              <w:right w:w="28" w:type="dxa"/>
            </w:tcMar>
          </w:tcPr>
          <w:p w14:paraId="484CEFF5" w14:textId="77777777" w:rsidR="002A1217" w:rsidRPr="00F04A75" w:rsidRDefault="002A1217" w:rsidP="002A1217">
            <w:pPr>
              <w:jc w:val="left"/>
              <w:rPr>
                <w:rFonts w:ascii="Arial Narrow" w:hAnsi="Arial Narrow" w:cs="Times New Roman"/>
                <w:sz w:val="20"/>
                <w:szCs w:val="20"/>
                <w:lang w:eastAsia="en-US"/>
              </w:rPr>
            </w:pPr>
            <w:r w:rsidRPr="00F04A75">
              <w:rPr>
                <w:rFonts w:ascii="Arial Narrow" w:hAnsi="Arial Narrow" w:cs="Times New Roman"/>
                <w:sz w:val="20"/>
                <w:szCs w:val="20"/>
                <w:lang w:eastAsia="en-US"/>
              </w:rPr>
              <w:t>OPTIMISMM</w:t>
            </w:r>
            <w:r w:rsidR="009E4973" w:rsidRPr="00F04A75">
              <w:rPr>
                <w:rFonts w:ascii="Arial Narrow" w:hAnsi="Arial Narrow" w:cs="Times New Roman"/>
                <w:sz w:val="20"/>
                <w:szCs w:val="20"/>
                <w:lang w:eastAsia="en-US"/>
              </w:rPr>
              <w:br/>
            </w:r>
            <w:proofErr w:type="spellStart"/>
            <w:r w:rsidR="009E4973" w:rsidRPr="00F04A75">
              <w:rPr>
                <w:rFonts w:ascii="Arial Narrow" w:hAnsi="Arial Narrow" w:cs="Times New Roman"/>
                <w:sz w:val="20"/>
                <w:szCs w:val="20"/>
                <w:lang w:eastAsia="en-US"/>
              </w:rPr>
              <w:t>PBd</w:t>
            </w:r>
            <w:proofErr w:type="spellEnd"/>
            <w:r w:rsidR="009E4973" w:rsidRPr="00F04A75">
              <w:rPr>
                <w:rFonts w:ascii="Arial Narrow" w:hAnsi="Arial Narrow" w:cs="Times New Roman"/>
                <w:sz w:val="20"/>
                <w:szCs w:val="20"/>
                <w:lang w:eastAsia="en-US"/>
              </w:rPr>
              <w:t xml:space="preserve"> vs Bd</w:t>
            </w:r>
            <w:r w:rsidR="009E4973" w:rsidRPr="00F04A75">
              <w:rPr>
                <w:rFonts w:ascii="Arial Narrow" w:hAnsi="Arial Narrow" w:cs="Times New Roman"/>
                <w:sz w:val="20"/>
                <w:szCs w:val="20"/>
                <w:lang w:eastAsia="en-US"/>
              </w:rPr>
              <w:br/>
            </w:r>
            <w:r w:rsidRPr="00F04A75">
              <w:rPr>
                <w:rFonts w:ascii="Arial Narrow" w:hAnsi="Arial Narrow" w:cs="Times New Roman"/>
                <w:sz w:val="20"/>
                <w:szCs w:val="20"/>
                <w:lang w:eastAsia="en-US"/>
              </w:rPr>
              <w:t>15 Sep 2018</w:t>
            </w:r>
            <w:r w:rsidRPr="00F04A75">
              <w:rPr>
                <w:rFonts w:ascii="Arial Narrow" w:hAnsi="Arial Narrow" w:cs="Times New Roman"/>
                <w:sz w:val="20"/>
                <w:szCs w:val="20"/>
                <w:vertAlign w:val="superscript"/>
                <w:lang w:eastAsia="en-US"/>
              </w:rPr>
              <w:t>b</w:t>
            </w:r>
            <w:r w:rsidRPr="00F04A75">
              <w:rPr>
                <w:rFonts w:ascii="Arial Narrow" w:hAnsi="Arial Narrow" w:cs="Times New Roman"/>
                <w:sz w:val="20"/>
                <w:szCs w:val="20"/>
                <w:lang w:eastAsia="en-US"/>
              </w:rPr>
              <w:t xml:space="preserve"> </w:t>
            </w:r>
          </w:p>
        </w:tc>
        <w:tc>
          <w:tcPr>
            <w:tcW w:w="1142" w:type="dxa"/>
            <w:tcMar>
              <w:left w:w="28" w:type="dxa"/>
              <w:right w:w="28" w:type="dxa"/>
            </w:tcMar>
            <w:vAlign w:val="center"/>
          </w:tcPr>
          <w:p w14:paraId="4A9E66FD" w14:textId="77777777" w:rsidR="002A1217" w:rsidRPr="00F04A75" w:rsidRDefault="002A1217" w:rsidP="002A1217">
            <w:pPr>
              <w:jc w:val="center"/>
              <w:rPr>
                <w:rFonts w:ascii="Arial Narrow" w:hAnsi="Arial Narrow" w:cs="Times New Roman"/>
                <w:sz w:val="20"/>
                <w:szCs w:val="20"/>
                <w:lang w:eastAsia="en-US"/>
              </w:rPr>
            </w:pPr>
            <w:r w:rsidRPr="00F04A75">
              <w:rPr>
                <w:rFonts w:ascii="Arial Narrow" w:hAnsi="Arial Narrow" w:cs="Times New Roman"/>
                <w:sz w:val="20"/>
                <w:szCs w:val="20"/>
                <w:lang w:eastAsia="en-US"/>
              </w:rPr>
              <w:t xml:space="preserve">26.2 </w:t>
            </w:r>
          </w:p>
        </w:tc>
        <w:tc>
          <w:tcPr>
            <w:tcW w:w="992" w:type="dxa"/>
            <w:tcMar>
              <w:left w:w="28" w:type="dxa"/>
              <w:right w:w="28" w:type="dxa"/>
            </w:tcMar>
            <w:vAlign w:val="center"/>
          </w:tcPr>
          <w:p w14:paraId="39E1E1B6" w14:textId="77777777" w:rsidR="002A1217" w:rsidRPr="00F04A75" w:rsidRDefault="002A1217" w:rsidP="002A1217">
            <w:pPr>
              <w:jc w:val="center"/>
              <w:rPr>
                <w:rFonts w:ascii="Arial Narrow" w:hAnsi="Arial Narrow" w:cs="Times New Roman"/>
                <w:sz w:val="20"/>
                <w:szCs w:val="20"/>
                <w:lang w:eastAsia="en-US"/>
              </w:rPr>
            </w:pPr>
            <w:r w:rsidRPr="00F04A75">
              <w:rPr>
                <w:rFonts w:ascii="Arial Narrow" w:eastAsia="TimesNewRoman" w:hAnsi="Arial Narrow" w:cs="Times New Roman"/>
                <w:color w:val="000000"/>
                <w:sz w:val="20"/>
                <w:szCs w:val="20"/>
              </w:rPr>
              <w:t>116</w:t>
            </w:r>
            <w:r w:rsidR="004223CF" w:rsidRPr="00F04A75">
              <w:rPr>
                <w:rFonts w:ascii="Arial Narrow" w:eastAsia="TimesNewRoman" w:hAnsi="Arial Narrow" w:cs="Times New Roman"/>
                <w:color w:val="000000"/>
                <w:sz w:val="20"/>
                <w:szCs w:val="20"/>
              </w:rPr>
              <w:t>/281</w:t>
            </w:r>
            <w:r w:rsidRPr="00F04A75">
              <w:rPr>
                <w:rFonts w:ascii="Arial Narrow" w:eastAsia="TimesNewRoman" w:hAnsi="Arial Narrow" w:cs="Times New Roman"/>
                <w:color w:val="000000"/>
                <w:sz w:val="20"/>
                <w:szCs w:val="20"/>
              </w:rPr>
              <w:t xml:space="preserve"> (41.3%)</w:t>
            </w:r>
          </w:p>
        </w:tc>
        <w:tc>
          <w:tcPr>
            <w:tcW w:w="1134" w:type="dxa"/>
            <w:vAlign w:val="center"/>
          </w:tcPr>
          <w:p w14:paraId="299CC8E1" w14:textId="28C32652" w:rsidR="002A1217" w:rsidRPr="00F04A75" w:rsidRDefault="002A1217" w:rsidP="002A1FAD">
            <w:pPr>
              <w:jc w:val="center"/>
              <w:rPr>
                <w:rFonts w:ascii="Arial Narrow" w:eastAsia="TimesNewRoman" w:hAnsi="Arial Narrow" w:cs="Times New Roman"/>
                <w:color w:val="000000"/>
                <w:sz w:val="20"/>
                <w:szCs w:val="20"/>
              </w:rPr>
            </w:pPr>
            <w:r w:rsidRPr="00F04A75">
              <w:rPr>
                <w:rFonts w:ascii="Arial Narrow" w:eastAsia="TimesNewRoman" w:hAnsi="Arial Narrow" w:cs="Times New Roman"/>
                <w:color w:val="000000"/>
                <w:sz w:val="20"/>
                <w:szCs w:val="20"/>
              </w:rPr>
              <w:t>40.5</w:t>
            </w:r>
          </w:p>
          <w:p w14:paraId="7ED31755" w14:textId="77777777" w:rsidR="002A1217" w:rsidRPr="00F04A75" w:rsidRDefault="002A1217" w:rsidP="002A1FAD">
            <w:pPr>
              <w:jc w:val="center"/>
              <w:rPr>
                <w:rFonts w:ascii="Arial Narrow" w:eastAsia="TimesNewRoman" w:hAnsi="Arial Narrow" w:cs="Times New Roman"/>
                <w:color w:val="000000"/>
                <w:sz w:val="20"/>
                <w:szCs w:val="20"/>
              </w:rPr>
            </w:pPr>
            <w:r w:rsidRPr="00F04A75">
              <w:rPr>
                <w:rFonts w:ascii="Arial Narrow" w:eastAsia="TimesNewRoman" w:hAnsi="Arial Narrow" w:cs="Times New Roman"/>
                <w:color w:val="000000"/>
                <w:sz w:val="20"/>
                <w:szCs w:val="20"/>
              </w:rPr>
              <w:t>(29.8, NE)</w:t>
            </w:r>
          </w:p>
        </w:tc>
        <w:tc>
          <w:tcPr>
            <w:tcW w:w="992" w:type="dxa"/>
            <w:tcMar>
              <w:left w:w="28" w:type="dxa"/>
              <w:right w:w="28" w:type="dxa"/>
            </w:tcMar>
            <w:vAlign w:val="center"/>
          </w:tcPr>
          <w:p w14:paraId="03330F8B" w14:textId="77777777" w:rsidR="002A1217" w:rsidRPr="00F04A75" w:rsidRDefault="002A1217" w:rsidP="002A1217">
            <w:pPr>
              <w:jc w:val="center"/>
              <w:rPr>
                <w:rFonts w:ascii="Arial Narrow" w:hAnsi="Arial Narrow" w:cs="Times New Roman"/>
                <w:sz w:val="20"/>
                <w:szCs w:val="20"/>
                <w:lang w:eastAsia="en-US"/>
              </w:rPr>
            </w:pPr>
            <w:r w:rsidRPr="00F04A75">
              <w:rPr>
                <w:rFonts w:ascii="Arial Narrow" w:eastAsia="TimesNewRoman" w:hAnsi="Arial Narrow" w:cs="Times New Roman"/>
                <w:color w:val="000000"/>
                <w:sz w:val="20"/>
                <w:szCs w:val="20"/>
              </w:rPr>
              <w:t>126</w:t>
            </w:r>
            <w:r w:rsidR="004223CF" w:rsidRPr="00F04A75">
              <w:rPr>
                <w:rFonts w:ascii="Arial Narrow" w:eastAsia="TimesNewRoman" w:hAnsi="Arial Narrow" w:cs="Times New Roman"/>
                <w:color w:val="000000"/>
                <w:sz w:val="20"/>
                <w:szCs w:val="20"/>
              </w:rPr>
              <w:t>/278</w:t>
            </w:r>
            <w:r w:rsidRPr="00F04A75">
              <w:rPr>
                <w:rFonts w:ascii="Arial Narrow" w:eastAsia="TimesNewRoman" w:hAnsi="Arial Narrow" w:cs="Times New Roman"/>
                <w:color w:val="000000"/>
                <w:sz w:val="20"/>
                <w:szCs w:val="20"/>
              </w:rPr>
              <w:t xml:space="preserve"> (45.3%)</w:t>
            </w:r>
          </w:p>
        </w:tc>
        <w:tc>
          <w:tcPr>
            <w:tcW w:w="1134" w:type="dxa"/>
            <w:vAlign w:val="center"/>
          </w:tcPr>
          <w:p w14:paraId="58E7FE1E" w14:textId="0F81F3F4" w:rsidR="002A1217" w:rsidRPr="00F04A75" w:rsidRDefault="002A1217" w:rsidP="002A1FAD">
            <w:pPr>
              <w:jc w:val="center"/>
              <w:rPr>
                <w:rFonts w:ascii="Arial Narrow" w:hAnsi="Arial Narrow" w:cs="Times New Roman"/>
                <w:iCs/>
                <w:sz w:val="20"/>
                <w:szCs w:val="20"/>
                <w:lang w:eastAsia="en-US"/>
              </w:rPr>
            </w:pPr>
            <w:r w:rsidRPr="00F04A75">
              <w:rPr>
                <w:rFonts w:ascii="Arial Narrow" w:hAnsi="Arial Narrow" w:cs="Times New Roman"/>
                <w:iCs/>
                <w:sz w:val="20"/>
                <w:szCs w:val="20"/>
                <w:lang w:eastAsia="en-US"/>
              </w:rPr>
              <w:t xml:space="preserve">30.5 </w:t>
            </w:r>
            <w:r w:rsidR="002A1FAD" w:rsidRPr="00F04A75">
              <w:rPr>
                <w:rFonts w:ascii="Arial Narrow" w:hAnsi="Arial Narrow" w:cs="Times New Roman"/>
                <w:iCs/>
                <w:sz w:val="20"/>
                <w:szCs w:val="20"/>
                <w:lang w:eastAsia="en-US"/>
              </w:rPr>
              <w:br/>
            </w:r>
            <w:r w:rsidRPr="00F04A75">
              <w:rPr>
                <w:rFonts w:ascii="Arial Narrow" w:hAnsi="Arial Narrow" w:cs="Times New Roman"/>
                <w:iCs/>
                <w:sz w:val="20"/>
                <w:szCs w:val="20"/>
                <w:lang w:eastAsia="en-US"/>
              </w:rPr>
              <w:t>(24.6, 35.9)</w:t>
            </w:r>
          </w:p>
        </w:tc>
        <w:tc>
          <w:tcPr>
            <w:tcW w:w="1043" w:type="dxa"/>
            <w:tcMar>
              <w:left w:w="28" w:type="dxa"/>
              <w:right w:w="28" w:type="dxa"/>
            </w:tcMar>
            <w:vAlign w:val="center"/>
          </w:tcPr>
          <w:p w14:paraId="570CAEB3" w14:textId="77777777" w:rsidR="002A1217" w:rsidRPr="00F04A75" w:rsidRDefault="002A1217" w:rsidP="002A1217">
            <w:pPr>
              <w:jc w:val="center"/>
              <w:rPr>
                <w:rFonts w:ascii="Arial Narrow" w:hAnsi="Arial Narrow" w:cs="Times New Roman"/>
                <w:i/>
                <w:sz w:val="20"/>
                <w:szCs w:val="20"/>
                <w:lang w:eastAsia="en-US"/>
              </w:rPr>
            </w:pPr>
            <w:r w:rsidRPr="00F04A75">
              <w:rPr>
                <w:rFonts w:ascii="Arial Narrow" w:hAnsi="Arial Narrow" w:cs="Times New Roman"/>
                <w:iCs/>
                <w:sz w:val="20"/>
                <w:szCs w:val="20"/>
                <w:lang w:eastAsia="en-US"/>
              </w:rPr>
              <w:t>10.1</w:t>
            </w:r>
          </w:p>
        </w:tc>
        <w:tc>
          <w:tcPr>
            <w:tcW w:w="1175" w:type="dxa"/>
            <w:shd w:val="clear" w:color="auto" w:fill="auto"/>
            <w:tcMar>
              <w:left w:w="28" w:type="dxa"/>
              <w:right w:w="28" w:type="dxa"/>
            </w:tcMar>
            <w:vAlign w:val="center"/>
          </w:tcPr>
          <w:p w14:paraId="1C96E5CB" w14:textId="77777777" w:rsidR="002A1217" w:rsidRPr="00F04A75" w:rsidRDefault="002A1217" w:rsidP="002A1217">
            <w:pPr>
              <w:jc w:val="center"/>
              <w:rPr>
                <w:rFonts w:ascii="Arial Narrow" w:hAnsi="Arial Narrow" w:cs="Times New Roman"/>
                <w:sz w:val="20"/>
                <w:szCs w:val="20"/>
                <w:lang w:eastAsia="en-US"/>
              </w:rPr>
            </w:pPr>
            <w:r w:rsidRPr="00F04A75">
              <w:rPr>
                <w:rFonts w:ascii="Arial Narrow" w:hAnsi="Arial Narrow" w:cstheme="minorHAnsi"/>
                <w:sz w:val="20"/>
                <w:szCs w:val="20"/>
              </w:rPr>
              <w:t>0.91</w:t>
            </w:r>
            <w:r w:rsidRPr="00F04A75">
              <w:rPr>
                <w:rFonts w:ascii="Arial Narrow" w:hAnsi="Arial Narrow" w:cstheme="minorHAnsi"/>
                <w:sz w:val="20"/>
                <w:szCs w:val="20"/>
              </w:rPr>
              <w:br/>
              <w:t>(0.70, 1.18)</w:t>
            </w:r>
          </w:p>
        </w:tc>
      </w:tr>
      <w:tr w:rsidR="00FE6998" w:rsidRPr="00F04A75" w14:paraId="2A5652BB" w14:textId="77777777" w:rsidTr="00895AB1">
        <w:trPr>
          <w:trHeight w:val="20"/>
        </w:trPr>
        <w:tc>
          <w:tcPr>
            <w:tcW w:w="1405" w:type="dxa"/>
            <w:tcMar>
              <w:left w:w="28" w:type="dxa"/>
              <w:right w:w="28" w:type="dxa"/>
            </w:tcMar>
          </w:tcPr>
          <w:p w14:paraId="7AAADA53" w14:textId="77777777" w:rsidR="00FE6998" w:rsidRPr="00F04A75" w:rsidRDefault="00FE6998" w:rsidP="00ED5716">
            <w:pPr>
              <w:keepNext/>
              <w:jc w:val="left"/>
              <w:rPr>
                <w:rFonts w:ascii="Arial Narrow" w:hAnsi="Arial Narrow" w:cs="Times New Roman"/>
                <w:sz w:val="20"/>
                <w:szCs w:val="20"/>
                <w:lang w:eastAsia="en-US"/>
              </w:rPr>
            </w:pPr>
            <w:r w:rsidRPr="00F04A75">
              <w:rPr>
                <w:rFonts w:ascii="Arial Narrow" w:hAnsi="Arial Narrow" w:cs="Times New Roman"/>
                <w:sz w:val="20"/>
                <w:szCs w:val="20"/>
                <w:lang w:eastAsia="en-US"/>
              </w:rPr>
              <w:t>ELOQUENT-2</w:t>
            </w:r>
            <w:r w:rsidRPr="00F04A75">
              <w:rPr>
                <w:rFonts w:ascii="Arial Narrow" w:hAnsi="Arial Narrow" w:cs="Times New Roman"/>
                <w:sz w:val="20"/>
                <w:szCs w:val="20"/>
                <w:lang w:eastAsia="en-US"/>
              </w:rPr>
              <w:br/>
            </w:r>
            <w:proofErr w:type="spellStart"/>
            <w:r w:rsidRPr="00F04A75">
              <w:rPr>
                <w:rFonts w:ascii="Arial Narrow" w:hAnsi="Arial Narrow" w:cs="Times New Roman"/>
                <w:sz w:val="20"/>
                <w:szCs w:val="20"/>
                <w:lang w:eastAsia="en-US"/>
              </w:rPr>
              <w:t>ELd</w:t>
            </w:r>
            <w:proofErr w:type="spellEnd"/>
            <w:r w:rsidRPr="00F04A75">
              <w:rPr>
                <w:rFonts w:ascii="Arial Narrow" w:hAnsi="Arial Narrow" w:cs="Times New Roman"/>
                <w:sz w:val="20"/>
                <w:szCs w:val="20"/>
                <w:lang w:eastAsia="en-US"/>
              </w:rPr>
              <w:t xml:space="preserve"> vs </w:t>
            </w:r>
            <w:proofErr w:type="spellStart"/>
            <w:r w:rsidRPr="00F04A75">
              <w:rPr>
                <w:rFonts w:ascii="Arial Narrow" w:hAnsi="Arial Narrow" w:cs="Times New Roman"/>
                <w:sz w:val="20"/>
                <w:szCs w:val="20"/>
                <w:lang w:eastAsia="en-US"/>
              </w:rPr>
              <w:t>Ld</w:t>
            </w:r>
            <w:proofErr w:type="spellEnd"/>
            <w:r w:rsidRPr="00F04A75">
              <w:rPr>
                <w:rFonts w:ascii="Arial Narrow" w:hAnsi="Arial Narrow" w:cs="Times New Roman"/>
                <w:sz w:val="20"/>
                <w:szCs w:val="20"/>
                <w:lang w:eastAsia="en-US"/>
              </w:rPr>
              <w:br/>
              <w:t>29 Oct 2015</w:t>
            </w:r>
          </w:p>
        </w:tc>
        <w:tc>
          <w:tcPr>
            <w:tcW w:w="1142" w:type="dxa"/>
            <w:tcMar>
              <w:left w:w="28" w:type="dxa"/>
              <w:right w:w="28" w:type="dxa"/>
            </w:tcMar>
            <w:vAlign w:val="center"/>
          </w:tcPr>
          <w:p w14:paraId="0786982B" w14:textId="77777777" w:rsidR="00FE6998" w:rsidRPr="00F04A75" w:rsidRDefault="00FE6998" w:rsidP="00ED5716">
            <w:pPr>
              <w:keepNext/>
              <w:jc w:val="center"/>
              <w:rPr>
                <w:rFonts w:ascii="Arial Narrow" w:hAnsi="Arial Narrow" w:cs="Times New Roman"/>
                <w:sz w:val="20"/>
                <w:szCs w:val="20"/>
                <w:lang w:eastAsia="en-US"/>
              </w:rPr>
            </w:pPr>
            <w:r w:rsidRPr="00F04A75">
              <w:rPr>
                <w:rFonts w:ascii="Arial Narrow" w:hAnsi="Arial Narrow" w:cs="Times New Roman"/>
                <w:sz w:val="20"/>
                <w:szCs w:val="20"/>
                <w:lang w:eastAsia="en-US"/>
              </w:rPr>
              <w:t xml:space="preserve">38.7  </w:t>
            </w:r>
          </w:p>
        </w:tc>
        <w:tc>
          <w:tcPr>
            <w:tcW w:w="992" w:type="dxa"/>
            <w:tcMar>
              <w:left w:w="28" w:type="dxa"/>
              <w:right w:w="28" w:type="dxa"/>
            </w:tcMar>
            <w:vAlign w:val="center"/>
          </w:tcPr>
          <w:p w14:paraId="51886065" w14:textId="77777777" w:rsidR="00FE6998" w:rsidRPr="00F04A75" w:rsidRDefault="00FE6998" w:rsidP="00ED5716">
            <w:pPr>
              <w:keepNext/>
              <w:jc w:val="center"/>
              <w:rPr>
                <w:rFonts w:ascii="Arial Narrow" w:hAnsi="Arial Narrow" w:cs="Times New Roman"/>
                <w:sz w:val="20"/>
                <w:szCs w:val="20"/>
                <w:lang w:eastAsia="en-US"/>
              </w:rPr>
            </w:pPr>
            <w:r w:rsidRPr="00F04A75">
              <w:rPr>
                <w:rFonts w:ascii="Arial Narrow" w:hAnsi="Arial Narrow" w:cstheme="minorHAnsi"/>
                <w:sz w:val="20"/>
                <w:szCs w:val="20"/>
              </w:rPr>
              <w:t>136/321 (42.4%)</w:t>
            </w:r>
          </w:p>
        </w:tc>
        <w:tc>
          <w:tcPr>
            <w:tcW w:w="1134" w:type="dxa"/>
            <w:vAlign w:val="center"/>
          </w:tcPr>
          <w:p w14:paraId="77E6D40F" w14:textId="77777777" w:rsidR="00FE6998" w:rsidRPr="00F04A75" w:rsidRDefault="00FE6998" w:rsidP="00ED5716">
            <w:pPr>
              <w:jc w:val="center"/>
              <w:rPr>
                <w:rFonts w:ascii="Arial Narrow" w:hAnsi="Arial Narrow" w:cstheme="minorHAnsi"/>
                <w:sz w:val="20"/>
                <w:szCs w:val="20"/>
              </w:rPr>
            </w:pPr>
            <w:r w:rsidRPr="00F04A75">
              <w:rPr>
                <w:rFonts w:ascii="Arial Narrow" w:hAnsi="Arial Narrow" w:cstheme="minorHAnsi"/>
                <w:sz w:val="20"/>
                <w:szCs w:val="20"/>
              </w:rPr>
              <w:t>43.7</w:t>
            </w:r>
          </w:p>
          <w:p w14:paraId="6D624DB1" w14:textId="77777777" w:rsidR="00FE6998" w:rsidRPr="00F04A75" w:rsidRDefault="00FE6998" w:rsidP="00ED5716">
            <w:pPr>
              <w:keepNext/>
              <w:jc w:val="center"/>
              <w:rPr>
                <w:rFonts w:ascii="Arial Narrow" w:eastAsia="TimesNewRoman" w:hAnsi="Arial Narrow" w:cs="Times New Roman"/>
                <w:color w:val="000000"/>
                <w:sz w:val="20"/>
                <w:szCs w:val="20"/>
              </w:rPr>
            </w:pPr>
            <w:r w:rsidRPr="00F04A75">
              <w:rPr>
                <w:rFonts w:ascii="Arial Narrow" w:hAnsi="Arial Narrow" w:cstheme="minorHAnsi"/>
                <w:sz w:val="20"/>
                <w:szCs w:val="20"/>
              </w:rPr>
              <w:t>(40.3, NE)</w:t>
            </w:r>
          </w:p>
        </w:tc>
        <w:tc>
          <w:tcPr>
            <w:tcW w:w="992" w:type="dxa"/>
            <w:tcMar>
              <w:left w:w="28" w:type="dxa"/>
              <w:right w:w="28" w:type="dxa"/>
            </w:tcMar>
            <w:vAlign w:val="center"/>
          </w:tcPr>
          <w:p w14:paraId="6F4B5E15" w14:textId="77777777" w:rsidR="00FE6998" w:rsidRPr="00F04A75" w:rsidRDefault="00FE6998" w:rsidP="00ED5716">
            <w:pPr>
              <w:keepNext/>
              <w:jc w:val="center"/>
              <w:rPr>
                <w:rFonts w:ascii="Arial Narrow" w:hAnsi="Arial Narrow" w:cs="Times New Roman"/>
                <w:sz w:val="20"/>
                <w:szCs w:val="20"/>
                <w:lang w:eastAsia="en-US"/>
              </w:rPr>
            </w:pPr>
            <w:r w:rsidRPr="00F04A75">
              <w:rPr>
                <w:rFonts w:ascii="Arial Narrow" w:hAnsi="Arial Narrow" w:cstheme="minorHAnsi"/>
                <w:sz w:val="20"/>
                <w:szCs w:val="20"/>
              </w:rPr>
              <w:t>159/321 (48.9%)</w:t>
            </w:r>
          </w:p>
        </w:tc>
        <w:tc>
          <w:tcPr>
            <w:tcW w:w="1134" w:type="dxa"/>
            <w:vAlign w:val="center"/>
          </w:tcPr>
          <w:p w14:paraId="3965434A" w14:textId="77777777" w:rsidR="00FE6998" w:rsidRPr="00F04A75" w:rsidRDefault="00FE6998" w:rsidP="00ED5716">
            <w:pPr>
              <w:jc w:val="center"/>
              <w:rPr>
                <w:rFonts w:ascii="Arial Narrow" w:hAnsi="Arial Narrow" w:cstheme="minorHAnsi"/>
                <w:sz w:val="20"/>
                <w:szCs w:val="20"/>
              </w:rPr>
            </w:pPr>
            <w:r w:rsidRPr="00F04A75">
              <w:rPr>
                <w:rFonts w:ascii="Arial Narrow" w:hAnsi="Arial Narrow" w:cstheme="minorHAnsi"/>
                <w:sz w:val="20"/>
                <w:szCs w:val="20"/>
              </w:rPr>
              <w:t>39.6</w:t>
            </w:r>
          </w:p>
          <w:p w14:paraId="7CD34ADE" w14:textId="77777777" w:rsidR="00FE6998" w:rsidRPr="00F04A75" w:rsidRDefault="00FE6998" w:rsidP="00ED5716">
            <w:pPr>
              <w:keepNext/>
              <w:jc w:val="center"/>
              <w:rPr>
                <w:rFonts w:ascii="Arial Narrow" w:hAnsi="Arial Narrow" w:cs="Times New Roman"/>
                <w:i/>
                <w:sz w:val="20"/>
                <w:szCs w:val="20"/>
                <w:lang w:eastAsia="en-US"/>
              </w:rPr>
            </w:pPr>
            <w:r w:rsidRPr="00F04A75">
              <w:rPr>
                <w:rFonts w:ascii="Arial Narrow" w:hAnsi="Arial Narrow" w:cstheme="minorHAnsi"/>
                <w:sz w:val="20"/>
                <w:szCs w:val="20"/>
              </w:rPr>
              <w:t>(33.3, NE)</w:t>
            </w:r>
          </w:p>
        </w:tc>
        <w:tc>
          <w:tcPr>
            <w:tcW w:w="1043" w:type="dxa"/>
            <w:tcMar>
              <w:left w:w="28" w:type="dxa"/>
              <w:right w:w="28" w:type="dxa"/>
            </w:tcMar>
            <w:vAlign w:val="center"/>
          </w:tcPr>
          <w:p w14:paraId="50EC1072" w14:textId="77777777" w:rsidR="00FE6998" w:rsidRPr="00F04A75" w:rsidRDefault="00FE6998" w:rsidP="00ED5716">
            <w:pPr>
              <w:keepNext/>
              <w:jc w:val="center"/>
              <w:rPr>
                <w:rFonts w:ascii="Arial Narrow" w:hAnsi="Arial Narrow" w:cs="Times New Roman"/>
                <w:i/>
                <w:sz w:val="20"/>
                <w:szCs w:val="20"/>
                <w:lang w:eastAsia="en-US"/>
              </w:rPr>
            </w:pPr>
            <w:r w:rsidRPr="00F04A75">
              <w:rPr>
                <w:rFonts w:ascii="Arial Narrow" w:hAnsi="Arial Narrow" w:cs="Times New Roman"/>
                <w:iCs/>
                <w:sz w:val="20"/>
                <w:szCs w:val="20"/>
                <w:lang w:eastAsia="en-US"/>
              </w:rPr>
              <w:t>4.1</w:t>
            </w:r>
          </w:p>
        </w:tc>
        <w:tc>
          <w:tcPr>
            <w:tcW w:w="1175" w:type="dxa"/>
            <w:shd w:val="clear" w:color="auto" w:fill="auto"/>
            <w:tcMar>
              <w:left w:w="28" w:type="dxa"/>
              <w:right w:w="28" w:type="dxa"/>
            </w:tcMar>
            <w:vAlign w:val="center"/>
          </w:tcPr>
          <w:p w14:paraId="0B3FD18A" w14:textId="77777777" w:rsidR="00FE6998" w:rsidRPr="00F04A75" w:rsidRDefault="00FE6998" w:rsidP="00ED5716">
            <w:pPr>
              <w:keepNext/>
              <w:jc w:val="center"/>
              <w:rPr>
                <w:rFonts w:ascii="Arial Narrow" w:hAnsi="Arial Narrow" w:cs="Times New Roman"/>
                <w:bCs/>
                <w:sz w:val="20"/>
                <w:szCs w:val="20"/>
                <w:lang w:eastAsia="en-US"/>
              </w:rPr>
            </w:pPr>
            <w:r w:rsidRPr="00F04A75">
              <w:rPr>
                <w:rFonts w:ascii="Arial Narrow" w:hAnsi="Arial Narrow" w:cstheme="minorHAnsi"/>
                <w:b/>
                <w:bCs/>
                <w:sz w:val="20"/>
                <w:szCs w:val="20"/>
              </w:rPr>
              <w:t>0.82</w:t>
            </w:r>
            <w:r w:rsidRPr="00F04A75">
              <w:rPr>
                <w:rFonts w:ascii="Arial Narrow" w:hAnsi="Arial Narrow" w:cstheme="minorHAnsi"/>
                <w:b/>
                <w:bCs/>
                <w:sz w:val="20"/>
                <w:szCs w:val="20"/>
              </w:rPr>
              <w:br/>
              <w:t xml:space="preserve"> (0.68, 0.99)</w:t>
            </w:r>
          </w:p>
        </w:tc>
      </w:tr>
      <w:tr w:rsidR="002A1217" w:rsidRPr="00F04A75" w14:paraId="3C1F35E1" w14:textId="77777777" w:rsidTr="004F28A6">
        <w:trPr>
          <w:trHeight w:val="20"/>
        </w:trPr>
        <w:tc>
          <w:tcPr>
            <w:tcW w:w="7842" w:type="dxa"/>
            <w:gridSpan w:val="7"/>
            <w:vAlign w:val="center"/>
          </w:tcPr>
          <w:p w14:paraId="1426B4EB" w14:textId="77777777" w:rsidR="002A1217" w:rsidRPr="00F04A75" w:rsidRDefault="002A1217" w:rsidP="009E4973">
            <w:pPr>
              <w:jc w:val="right"/>
              <w:rPr>
                <w:rFonts w:ascii="Arial Narrow" w:hAnsi="Arial Narrow" w:cs="Times New Roman"/>
                <w:b/>
                <w:sz w:val="20"/>
                <w:szCs w:val="20"/>
                <w:lang w:eastAsia="en-US"/>
              </w:rPr>
            </w:pPr>
            <w:r w:rsidRPr="00F04A75">
              <w:rPr>
                <w:rFonts w:ascii="Arial Narrow" w:hAnsi="Arial Narrow" w:cs="Times New Roman"/>
                <w:b/>
                <w:sz w:val="20"/>
                <w:szCs w:val="20"/>
                <w:lang w:eastAsia="en-US"/>
              </w:rPr>
              <w:t xml:space="preserve">Indirect comparison </w:t>
            </w:r>
            <w:proofErr w:type="spellStart"/>
            <w:r w:rsidRPr="00F04A75">
              <w:rPr>
                <w:rFonts w:ascii="Arial Narrow" w:hAnsi="Arial Narrow" w:cs="Times New Roman"/>
                <w:b/>
                <w:sz w:val="20"/>
                <w:szCs w:val="20"/>
                <w:lang w:eastAsia="en-US"/>
              </w:rPr>
              <w:t>CLd</w:t>
            </w:r>
            <w:proofErr w:type="spellEnd"/>
            <w:r w:rsidRPr="00F04A75">
              <w:rPr>
                <w:rFonts w:ascii="Arial Narrow" w:hAnsi="Arial Narrow" w:cs="Times New Roman"/>
                <w:b/>
                <w:sz w:val="20"/>
                <w:szCs w:val="20"/>
                <w:lang w:eastAsia="en-US"/>
              </w:rPr>
              <w:t xml:space="preserve"> vs. </w:t>
            </w:r>
            <w:proofErr w:type="spellStart"/>
            <w:r w:rsidRPr="00F04A75">
              <w:rPr>
                <w:rFonts w:ascii="Arial Narrow" w:hAnsi="Arial Narrow" w:cs="Times New Roman"/>
                <w:b/>
                <w:sz w:val="20"/>
                <w:szCs w:val="20"/>
                <w:lang w:eastAsia="en-US"/>
              </w:rPr>
              <w:t>PBd</w:t>
            </w:r>
            <w:proofErr w:type="spellEnd"/>
          </w:p>
        </w:tc>
        <w:tc>
          <w:tcPr>
            <w:tcW w:w="1175" w:type="dxa"/>
            <w:shd w:val="clear" w:color="auto" w:fill="auto"/>
            <w:tcMar>
              <w:left w:w="28" w:type="dxa"/>
              <w:right w:w="28" w:type="dxa"/>
            </w:tcMar>
          </w:tcPr>
          <w:p w14:paraId="2BF751D8" w14:textId="77777777" w:rsidR="002A1217" w:rsidRPr="00F04A75" w:rsidRDefault="002A1217" w:rsidP="002A1217">
            <w:pPr>
              <w:keepNext/>
              <w:keepLines/>
              <w:jc w:val="center"/>
              <w:rPr>
                <w:rFonts w:ascii="Arial Narrow" w:hAnsi="Arial Narrow" w:cstheme="minorHAnsi"/>
                <w:bCs/>
                <w:sz w:val="20"/>
                <w:szCs w:val="20"/>
              </w:rPr>
            </w:pPr>
            <w:r w:rsidRPr="00F04A75">
              <w:rPr>
                <w:rFonts w:ascii="Arial Narrow" w:hAnsi="Arial Narrow" w:cstheme="minorHAnsi"/>
                <w:bCs/>
                <w:sz w:val="20"/>
                <w:szCs w:val="20"/>
              </w:rPr>
              <w:t>0.86</w:t>
            </w:r>
          </w:p>
          <w:p w14:paraId="4A0BA755" w14:textId="77777777" w:rsidR="002A1217" w:rsidRPr="00F04A75" w:rsidRDefault="002A1217" w:rsidP="002A1217">
            <w:pPr>
              <w:jc w:val="center"/>
              <w:rPr>
                <w:rFonts w:ascii="Arial Narrow" w:hAnsi="Arial Narrow"/>
                <w:sz w:val="20"/>
                <w:szCs w:val="20"/>
              </w:rPr>
            </w:pPr>
            <w:r w:rsidRPr="00F04A75">
              <w:rPr>
                <w:rFonts w:ascii="Arial Narrow" w:hAnsi="Arial Narrow" w:cstheme="minorHAnsi"/>
                <w:bCs/>
                <w:sz w:val="20"/>
                <w:szCs w:val="20"/>
              </w:rPr>
              <w:t>(0.61, 1.22)</w:t>
            </w:r>
          </w:p>
        </w:tc>
      </w:tr>
      <w:tr w:rsidR="00FE6998" w:rsidRPr="00F04A75" w14:paraId="54D7336A" w14:textId="77777777" w:rsidTr="004F28A6">
        <w:trPr>
          <w:trHeight w:val="20"/>
        </w:trPr>
        <w:tc>
          <w:tcPr>
            <w:tcW w:w="7842" w:type="dxa"/>
            <w:gridSpan w:val="7"/>
            <w:tcBorders>
              <w:top w:val="single" w:sz="4" w:space="0" w:color="auto"/>
              <w:left w:val="single" w:sz="4" w:space="0" w:color="auto"/>
              <w:bottom w:val="single" w:sz="4" w:space="0" w:color="auto"/>
              <w:right w:val="single" w:sz="4" w:space="0" w:color="auto"/>
            </w:tcBorders>
            <w:vAlign w:val="center"/>
          </w:tcPr>
          <w:p w14:paraId="08FDAB49" w14:textId="77777777" w:rsidR="00FE6998" w:rsidRPr="00F04A75" w:rsidRDefault="00FE6998" w:rsidP="00FE6998">
            <w:pPr>
              <w:jc w:val="right"/>
              <w:rPr>
                <w:rFonts w:ascii="Arial Narrow" w:hAnsi="Arial Narrow" w:cs="Times New Roman"/>
                <w:b/>
                <w:sz w:val="20"/>
                <w:szCs w:val="20"/>
                <w:lang w:eastAsia="en-US"/>
              </w:rPr>
            </w:pPr>
            <w:r w:rsidRPr="00F04A75">
              <w:rPr>
                <w:rFonts w:ascii="Arial Narrow" w:hAnsi="Arial Narrow" w:cs="Times New Roman"/>
                <w:b/>
                <w:sz w:val="20"/>
                <w:szCs w:val="20"/>
                <w:lang w:eastAsia="en-US"/>
              </w:rPr>
              <w:t xml:space="preserve">Indirect comparison </w:t>
            </w:r>
            <w:proofErr w:type="spellStart"/>
            <w:r w:rsidRPr="00F04A75">
              <w:rPr>
                <w:rFonts w:ascii="Arial Narrow" w:hAnsi="Arial Narrow" w:cs="Times New Roman"/>
                <w:b/>
                <w:sz w:val="20"/>
                <w:szCs w:val="20"/>
                <w:lang w:eastAsia="en-US"/>
              </w:rPr>
              <w:t>CLd</w:t>
            </w:r>
            <w:proofErr w:type="spellEnd"/>
            <w:r w:rsidRPr="00F04A75">
              <w:rPr>
                <w:rFonts w:ascii="Arial Narrow" w:hAnsi="Arial Narrow" w:cs="Times New Roman"/>
                <w:b/>
                <w:sz w:val="20"/>
                <w:szCs w:val="20"/>
                <w:lang w:eastAsia="en-US"/>
              </w:rPr>
              <w:t xml:space="preserve"> vs. </w:t>
            </w:r>
            <w:proofErr w:type="spellStart"/>
            <w:r w:rsidRPr="00F04A75">
              <w:rPr>
                <w:rFonts w:ascii="Arial Narrow" w:hAnsi="Arial Narrow" w:cs="Times New Roman"/>
                <w:b/>
                <w:sz w:val="20"/>
                <w:szCs w:val="20"/>
                <w:lang w:eastAsia="en-US"/>
              </w:rPr>
              <w:t>ELd</w:t>
            </w:r>
            <w:proofErr w:type="spellEnd"/>
          </w:p>
        </w:tc>
        <w:tc>
          <w:tcPr>
            <w:tcW w:w="117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06A0BDFB" w14:textId="77777777" w:rsidR="00FE6998" w:rsidRPr="00F04A75" w:rsidRDefault="00FE6998" w:rsidP="00FE6998">
            <w:pPr>
              <w:keepNext/>
              <w:keepLines/>
              <w:jc w:val="center"/>
              <w:rPr>
                <w:rFonts w:ascii="Arial Narrow" w:hAnsi="Arial Narrow" w:cstheme="minorHAnsi"/>
                <w:bCs/>
                <w:sz w:val="20"/>
                <w:szCs w:val="20"/>
              </w:rPr>
            </w:pPr>
            <w:r w:rsidRPr="00F04A75">
              <w:rPr>
                <w:rFonts w:ascii="Arial Narrow" w:hAnsi="Arial Narrow" w:cstheme="minorHAnsi"/>
                <w:bCs/>
                <w:sz w:val="20"/>
                <w:szCs w:val="20"/>
              </w:rPr>
              <w:t>1.02</w:t>
            </w:r>
          </w:p>
          <w:p w14:paraId="5FA4EAF9" w14:textId="77777777" w:rsidR="00FE6998" w:rsidRPr="00FE6998" w:rsidRDefault="00FE6998" w:rsidP="00FE6998">
            <w:pPr>
              <w:keepNext/>
              <w:keepLines/>
              <w:jc w:val="center"/>
              <w:rPr>
                <w:rFonts w:ascii="Arial Narrow" w:hAnsi="Arial Narrow" w:cstheme="minorHAnsi"/>
                <w:bCs/>
                <w:sz w:val="20"/>
                <w:szCs w:val="20"/>
              </w:rPr>
            </w:pPr>
            <w:r w:rsidRPr="00F04A75">
              <w:rPr>
                <w:rFonts w:ascii="Arial Narrow" w:hAnsi="Arial Narrow" w:cstheme="minorHAnsi"/>
                <w:bCs/>
                <w:sz w:val="20"/>
                <w:szCs w:val="20"/>
              </w:rPr>
              <w:t>(0.74, 1.41)</w:t>
            </w:r>
          </w:p>
        </w:tc>
      </w:tr>
    </w:tbl>
    <w:p w14:paraId="1462D5F4" w14:textId="77777777" w:rsidR="00F97782" w:rsidRPr="00F04A75" w:rsidRDefault="00F97782" w:rsidP="00392547">
      <w:pPr>
        <w:pStyle w:val="Tablenotes1"/>
        <w:tabs>
          <w:tab w:val="left" w:pos="1320"/>
        </w:tabs>
        <w:jc w:val="both"/>
        <w:rPr>
          <w:rFonts w:ascii="Arial Narrow" w:hAnsi="Arial Narrow"/>
          <w:sz w:val="18"/>
          <w:szCs w:val="18"/>
        </w:rPr>
      </w:pPr>
      <w:r w:rsidRPr="00F04A75">
        <w:rPr>
          <w:rFonts w:ascii="Arial Narrow" w:hAnsi="Arial Narrow"/>
          <w:sz w:val="18"/>
          <w:szCs w:val="18"/>
        </w:rPr>
        <w:t>Source: Table 2.6.3, p93 of the resubmission</w:t>
      </w:r>
    </w:p>
    <w:p w14:paraId="2EB6A39F" w14:textId="151EA1AB" w:rsidR="00F97782" w:rsidRPr="00F04A75" w:rsidRDefault="00F97782" w:rsidP="00392547">
      <w:pPr>
        <w:pStyle w:val="Tablenotes1"/>
        <w:jc w:val="both"/>
        <w:rPr>
          <w:rFonts w:ascii="Arial Narrow" w:hAnsi="Arial Narrow"/>
          <w:sz w:val="18"/>
          <w:szCs w:val="18"/>
        </w:rPr>
      </w:pPr>
      <w:r w:rsidRPr="00F04A75">
        <w:rPr>
          <w:rFonts w:ascii="Arial Narrow" w:hAnsi="Arial Narrow"/>
          <w:sz w:val="18"/>
          <w:szCs w:val="18"/>
        </w:rPr>
        <w:t xml:space="preserve">Bd = bortezomib and dexamethasone; CI = confidence interval; </w:t>
      </w:r>
      <w:proofErr w:type="spellStart"/>
      <w:r w:rsidR="002A1FAD" w:rsidRPr="00F04A75">
        <w:rPr>
          <w:rFonts w:ascii="Arial Narrow" w:hAnsi="Arial Narrow"/>
          <w:sz w:val="18"/>
          <w:szCs w:val="18"/>
        </w:rPr>
        <w:t>CLd</w:t>
      </w:r>
      <w:proofErr w:type="spellEnd"/>
      <w:r w:rsidR="002A1FAD" w:rsidRPr="00F04A75">
        <w:rPr>
          <w:rFonts w:ascii="Arial Narrow" w:hAnsi="Arial Narrow"/>
          <w:sz w:val="18"/>
          <w:szCs w:val="18"/>
        </w:rPr>
        <w:t xml:space="preserve"> = carfilzomib, lenalidomide and </w:t>
      </w:r>
      <w:r w:rsidR="002A1FAD" w:rsidRPr="00895AB1">
        <w:rPr>
          <w:rFonts w:ascii="Arial Narrow" w:hAnsi="Arial Narrow"/>
          <w:sz w:val="18"/>
          <w:szCs w:val="18"/>
        </w:rPr>
        <w:t xml:space="preserve">dexamethasone; </w:t>
      </w:r>
      <w:proofErr w:type="spellStart"/>
      <w:r w:rsidR="00FE6998" w:rsidRPr="00895AB1">
        <w:rPr>
          <w:rFonts w:ascii="Arial Narrow" w:eastAsiaTheme="minorHAnsi" w:hAnsi="Arial Narrow" w:cstheme="minorBidi"/>
          <w:sz w:val="18"/>
          <w:szCs w:val="18"/>
          <w:lang w:eastAsia="en-US"/>
        </w:rPr>
        <w:t>ELd</w:t>
      </w:r>
      <w:proofErr w:type="spellEnd"/>
      <w:r w:rsidR="00FE6998" w:rsidRPr="00895AB1">
        <w:rPr>
          <w:rFonts w:ascii="Arial Narrow" w:eastAsiaTheme="minorHAnsi" w:hAnsi="Arial Narrow" w:cstheme="minorBidi"/>
          <w:sz w:val="18"/>
          <w:szCs w:val="18"/>
          <w:lang w:eastAsia="en-US"/>
        </w:rPr>
        <w:t xml:space="preserve"> = </w:t>
      </w:r>
      <w:proofErr w:type="spellStart"/>
      <w:r w:rsidR="00FE6998" w:rsidRPr="00895AB1">
        <w:rPr>
          <w:rFonts w:ascii="Arial Narrow" w:eastAsiaTheme="minorHAnsi" w:hAnsi="Arial Narrow" w:cstheme="minorBidi"/>
          <w:sz w:val="18"/>
          <w:szCs w:val="18"/>
          <w:lang w:eastAsia="en-US"/>
        </w:rPr>
        <w:t>elotuzumab</w:t>
      </w:r>
      <w:proofErr w:type="spellEnd"/>
      <w:r w:rsidR="00FE6998" w:rsidRPr="00895AB1">
        <w:rPr>
          <w:rFonts w:ascii="Arial Narrow" w:eastAsiaTheme="minorHAnsi" w:hAnsi="Arial Narrow" w:cstheme="minorBidi"/>
          <w:sz w:val="18"/>
          <w:szCs w:val="18"/>
          <w:lang w:eastAsia="en-US"/>
        </w:rPr>
        <w:t xml:space="preserve">, lenalidomide and dexamethasone; </w:t>
      </w:r>
      <w:r w:rsidRPr="00895AB1">
        <w:rPr>
          <w:rFonts w:ascii="Arial Narrow" w:hAnsi="Arial Narrow"/>
          <w:sz w:val="18"/>
          <w:szCs w:val="18"/>
        </w:rPr>
        <w:t xml:space="preserve">HR = hazard ratio; </w:t>
      </w:r>
      <w:r w:rsidR="002A1FAD" w:rsidRPr="00895AB1">
        <w:rPr>
          <w:rFonts w:ascii="Arial Narrow" w:hAnsi="Arial Narrow"/>
          <w:sz w:val="18"/>
          <w:szCs w:val="18"/>
        </w:rPr>
        <w:t xml:space="preserve">IRC = independent review committee; </w:t>
      </w:r>
      <w:r w:rsidRPr="00895AB1">
        <w:rPr>
          <w:rFonts w:ascii="Arial Narrow" w:hAnsi="Arial Narrow"/>
          <w:sz w:val="18"/>
          <w:szCs w:val="18"/>
        </w:rPr>
        <w:t>ITC = indirect treat</w:t>
      </w:r>
      <w:r w:rsidRPr="00F04A75">
        <w:rPr>
          <w:rFonts w:ascii="Arial Narrow" w:hAnsi="Arial Narrow"/>
          <w:sz w:val="18"/>
          <w:szCs w:val="18"/>
        </w:rPr>
        <w:t xml:space="preserve">ment comparison; </w:t>
      </w:r>
      <w:r w:rsidR="002A1FAD" w:rsidRPr="00F04A75">
        <w:rPr>
          <w:rFonts w:ascii="Arial Narrow" w:hAnsi="Arial Narrow"/>
          <w:sz w:val="18"/>
          <w:szCs w:val="18"/>
        </w:rPr>
        <w:t xml:space="preserve">ITT = intention to treat; </w:t>
      </w:r>
      <w:proofErr w:type="spellStart"/>
      <w:r w:rsidR="002A1FAD" w:rsidRPr="00F04A75">
        <w:rPr>
          <w:rFonts w:ascii="Arial Narrow" w:hAnsi="Arial Narrow"/>
          <w:sz w:val="18"/>
          <w:szCs w:val="18"/>
        </w:rPr>
        <w:t>Ld</w:t>
      </w:r>
      <w:proofErr w:type="spellEnd"/>
      <w:r w:rsidR="002A1FAD" w:rsidRPr="00F04A75">
        <w:rPr>
          <w:rFonts w:ascii="Arial Narrow" w:hAnsi="Arial Narrow"/>
          <w:sz w:val="18"/>
          <w:szCs w:val="18"/>
        </w:rPr>
        <w:t xml:space="preserve"> = lenalidomide and dexamethasone; </w:t>
      </w:r>
      <w:r w:rsidRPr="00F04A75">
        <w:rPr>
          <w:rFonts w:ascii="Arial Narrow" w:hAnsi="Arial Narrow"/>
          <w:sz w:val="18"/>
          <w:szCs w:val="18"/>
        </w:rPr>
        <w:t xml:space="preserve">NE = not estimable; OS = overall survival; </w:t>
      </w:r>
      <w:proofErr w:type="spellStart"/>
      <w:r w:rsidRPr="00F04A75">
        <w:rPr>
          <w:rFonts w:ascii="Arial Narrow" w:hAnsi="Arial Narrow"/>
          <w:sz w:val="18"/>
          <w:szCs w:val="18"/>
        </w:rPr>
        <w:t>PBd</w:t>
      </w:r>
      <w:proofErr w:type="spellEnd"/>
      <w:r w:rsidR="002A1FAD" w:rsidRPr="00F04A75">
        <w:rPr>
          <w:rFonts w:ascii="Arial Narrow" w:hAnsi="Arial Narrow"/>
          <w:sz w:val="18"/>
          <w:szCs w:val="18"/>
        </w:rPr>
        <w:t xml:space="preserve"> </w:t>
      </w:r>
      <w:r w:rsidRPr="00F04A75">
        <w:rPr>
          <w:rFonts w:ascii="Arial Narrow" w:hAnsi="Arial Narrow"/>
          <w:sz w:val="18"/>
          <w:szCs w:val="18"/>
        </w:rPr>
        <w:t>=</w:t>
      </w:r>
      <w:r w:rsidR="002A1FAD" w:rsidRPr="00F04A75">
        <w:rPr>
          <w:rFonts w:ascii="Arial Narrow" w:hAnsi="Arial Narrow"/>
          <w:sz w:val="18"/>
          <w:szCs w:val="18"/>
        </w:rPr>
        <w:t xml:space="preserve"> </w:t>
      </w:r>
      <w:r w:rsidRPr="00F04A75">
        <w:rPr>
          <w:rFonts w:ascii="Arial Narrow" w:hAnsi="Arial Narrow"/>
          <w:sz w:val="18"/>
          <w:szCs w:val="18"/>
        </w:rPr>
        <w:t>pomalidomide</w:t>
      </w:r>
      <w:r w:rsidR="002A1FAD" w:rsidRPr="00F04A75">
        <w:rPr>
          <w:rFonts w:ascii="Arial Narrow" w:hAnsi="Arial Narrow"/>
          <w:sz w:val="18"/>
          <w:szCs w:val="18"/>
        </w:rPr>
        <w:t xml:space="preserve">, </w:t>
      </w:r>
      <w:r w:rsidRPr="00F04A75">
        <w:rPr>
          <w:rFonts w:ascii="Arial Narrow" w:hAnsi="Arial Narrow"/>
          <w:sz w:val="18"/>
          <w:szCs w:val="18"/>
        </w:rPr>
        <w:t>bortezomib and dexamethasone</w:t>
      </w:r>
      <w:r w:rsidR="00A203A1" w:rsidRPr="00F04A75">
        <w:rPr>
          <w:rFonts w:ascii="Arial Narrow" w:hAnsi="Arial Narrow"/>
          <w:sz w:val="18"/>
          <w:szCs w:val="18"/>
        </w:rPr>
        <w:t>; PFS = progression free survival</w:t>
      </w:r>
    </w:p>
    <w:p w14:paraId="0505119F" w14:textId="77777777" w:rsidR="00F97782" w:rsidRPr="00F04A75" w:rsidRDefault="00F97782" w:rsidP="00392547">
      <w:pPr>
        <w:pStyle w:val="Tablenotes1"/>
        <w:jc w:val="both"/>
        <w:rPr>
          <w:rFonts w:ascii="Arial Narrow" w:hAnsi="Arial Narrow"/>
          <w:sz w:val="18"/>
          <w:szCs w:val="18"/>
        </w:rPr>
      </w:pPr>
      <w:r w:rsidRPr="00F04A75">
        <w:rPr>
          <w:rFonts w:ascii="Arial Narrow" w:hAnsi="Arial Narrow"/>
          <w:sz w:val="18"/>
          <w:szCs w:val="18"/>
        </w:rPr>
        <w:t>a. IRC assessed; ITT definition of PFS</w:t>
      </w:r>
    </w:p>
    <w:p w14:paraId="2E81A122" w14:textId="77777777" w:rsidR="00F97782" w:rsidRPr="00F04A75" w:rsidRDefault="00F97782" w:rsidP="00392547">
      <w:pPr>
        <w:pStyle w:val="Tablenotes1"/>
        <w:jc w:val="both"/>
        <w:rPr>
          <w:rFonts w:ascii="Arial Narrow" w:hAnsi="Arial Narrow"/>
          <w:sz w:val="18"/>
          <w:szCs w:val="18"/>
        </w:rPr>
      </w:pPr>
      <w:r w:rsidRPr="00F04A75">
        <w:rPr>
          <w:rFonts w:ascii="Arial Narrow" w:hAnsi="Arial Narrow"/>
          <w:sz w:val="18"/>
          <w:szCs w:val="18"/>
        </w:rPr>
        <w:t xml:space="preserve">b. IRC </w:t>
      </w:r>
      <w:proofErr w:type="gramStart"/>
      <w:r w:rsidRPr="00F04A75">
        <w:rPr>
          <w:rFonts w:ascii="Arial Narrow" w:hAnsi="Arial Narrow"/>
          <w:sz w:val="18"/>
          <w:szCs w:val="18"/>
        </w:rPr>
        <w:t>generated;</w:t>
      </w:r>
      <w:proofErr w:type="gramEnd"/>
      <w:r w:rsidRPr="00F04A75">
        <w:rPr>
          <w:rFonts w:ascii="Arial Narrow" w:hAnsi="Arial Narrow"/>
          <w:sz w:val="18"/>
          <w:szCs w:val="18"/>
        </w:rPr>
        <w:t xml:space="preserve"> ITT population </w:t>
      </w:r>
    </w:p>
    <w:p w14:paraId="158A257D" w14:textId="77777777" w:rsidR="00392547" w:rsidRPr="00F04A75" w:rsidRDefault="00F97782" w:rsidP="00392547">
      <w:pPr>
        <w:pStyle w:val="Tablenotes1"/>
        <w:jc w:val="both"/>
        <w:rPr>
          <w:rFonts w:ascii="Arial Narrow" w:hAnsi="Arial Narrow"/>
          <w:sz w:val="18"/>
          <w:szCs w:val="18"/>
        </w:rPr>
      </w:pPr>
      <w:r w:rsidRPr="00F04A75">
        <w:rPr>
          <w:rFonts w:ascii="Arial Narrow" w:hAnsi="Arial Narrow"/>
          <w:sz w:val="18"/>
          <w:szCs w:val="18"/>
        </w:rPr>
        <w:t>c. Performed using the Bucher ITC method</w:t>
      </w:r>
    </w:p>
    <w:p w14:paraId="3E0F5ACF" w14:textId="6FCCD77E" w:rsidR="00491150" w:rsidRPr="00F04A75" w:rsidRDefault="00491150" w:rsidP="00392547">
      <w:pPr>
        <w:pStyle w:val="Tablenotes1"/>
        <w:jc w:val="both"/>
        <w:rPr>
          <w:rFonts w:ascii="Arial Narrow" w:hAnsi="Arial Narrow"/>
          <w:sz w:val="18"/>
          <w:szCs w:val="18"/>
        </w:rPr>
      </w:pPr>
      <w:r w:rsidRPr="00F04A75">
        <w:rPr>
          <w:rFonts w:ascii="Arial Narrow" w:hAnsi="Arial Narrow"/>
          <w:b/>
          <w:bCs/>
          <w:sz w:val="18"/>
          <w:szCs w:val="18"/>
        </w:rPr>
        <w:t>Bold</w:t>
      </w:r>
      <w:r w:rsidRPr="00F04A75">
        <w:rPr>
          <w:rFonts w:ascii="Arial Narrow" w:hAnsi="Arial Narrow"/>
          <w:sz w:val="18"/>
          <w:szCs w:val="18"/>
        </w:rPr>
        <w:t xml:space="preserve"> = statistically significant</w:t>
      </w:r>
    </w:p>
    <w:p w14:paraId="34E2E930" w14:textId="77777777" w:rsidR="00F97782" w:rsidRPr="00F04A75" w:rsidRDefault="00F97782" w:rsidP="0016658B">
      <w:pPr>
        <w:pStyle w:val="4-SubsectionHeading"/>
      </w:pPr>
      <w:bookmarkStart w:id="41" w:name="_Toc90455926"/>
      <w:bookmarkStart w:id="42" w:name="_Toc93412430"/>
      <w:r w:rsidRPr="00F04A75">
        <w:t>Comparative harms</w:t>
      </w:r>
      <w:bookmarkEnd w:id="41"/>
      <w:bookmarkEnd w:id="42"/>
    </w:p>
    <w:p w14:paraId="0018AE08" w14:textId="77777777" w:rsidR="00F97782" w:rsidRPr="00F04A75" w:rsidRDefault="00F97782" w:rsidP="0016658B">
      <w:pPr>
        <w:pStyle w:val="3-BodyText"/>
        <w:numPr>
          <w:ilvl w:val="0"/>
          <w:numId w:val="0"/>
        </w:numPr>
        <w:ind w:left="720" w:hanging="720"/>
        <w:rPr>
          <w:u w:val="single"/>
        </w:rPr>
      </w:pPr>
      <w:proofErr w:type="spellStart"/>
      <w:r w:rsidRPr="00F04A75">
        <w:rPr>
          <w:u w:val="single"/>
        </w:rPr>
        <w:t>CLd</w:t>
      </w:r>
      <w:proofErr w:type="spellEnd"/>
      <w:r w:rsidRPr="00F04A75">
        <w:rPr>
          <w:u w:val="single"/>
        </w:rPr>
        <w:t xml:space="preserve"> versus </w:t>
      </w:r>
      <w:proofErr w:type="spellStart"/>
      <w:r w:rsidRPr="00F04A75">
        <w:rPr>
          <w:u w:val="single"/>
        </w:rPr>
        <w:t>Ld</w:t>
      </w:r>
      <w:proofErr w:type="spellEnd"/>
      <w:r w:rsidRPr="00F04A75">
        <w:rPr>
          <w:u w:val="single"/>
        </w:rPr>
        <w:t xml:space="preserve"> (ASPIRE trial)</w:t>
      </w:r>
    </w:p>
    <w:p w14:paraId="4DD92958" w14:textId="16BF4894" w:rsidR="00F97782" w:rsidRPr="00F04A75" w:rsidRDefault="00F97782" w:rsidP="0016658B">
      <w:pPr>
        <w:pStyle w:val="3-BodyText"/>
        <w:rPr>
          <w:rFonts w:cstheme="minorHAnsi"/>
          <w:color w:val="0066FF"/>
        </w:rPr>
      </w:pPr>
      <w:r w:rsidRPr="00F04A75">
        <w:rPr>
          <w:color w:val="000000" w:themeColor="text1"/>
        </w:rPr>
        <w:t xml:space="preserve">The summary of key safety outcomes from ASPIRE is </w:t>
      </w:r>
      <w:r w:rsidRPr="00F04A75">
        <w:rPr>
          <w:rFonts w:cstheme="minorHAnsi"/>
          <w:color w:val="000000" w:themeColor="text1"/>
        </w:rPr>
        <w:t xml:space="preserve">presented in </w:t>
      </w:r>
      <w:r w:rsidR="00235C08" w:rsidRPr="00F04A75">
        <w:rPr>
          <w:rFonts w:cstheme="minorHAnsi"/>
          <w:color w:val="000000" w:themeColor="text1"/>
        </w:rPr>
        <w:t>Table 1</w:t>
      </w:r>
      <w:r w:rsidR="00C8791A">
        <w:rPr>
          <w:rFonts w:cstheme="minorHAnsi"/>
          <w:color w:val="000000" w:themeColor="text1"/>
        </w:rPr>
        <w:t>4</w:t>
      </w:r>
      <w:r w:rsidRPr="00F04A75">
        <w:rPr>
          <w:rFonts w:cstheme="minorHAnsi"/>
          <w:color w:val="000000" w:themeColor="text1"/>
        </w:rPr>
        <w:t xml:space="preserve">. Treatment with </w:t>
      </w:r>
      <w:proofErr w:type="spellStart"/>
      <w:r w:rsidRPr="00F04A75">
        <w:rPr>
          <w:rFonts w:cstheme="minorHAnsi"/>
          <w:color w:val="000000" w:themeColor="text1"/>
        </w:rPr>
        <w:t>CLd</w:t>
      </w:r>
      <w:proofErr w:type="spellEnd"/>
      <w:r w:rsidRPr="00F04A75">
        <w:rPr>
          <w:rFonts w:cstheme="minorHAnsi"/>
          <w:color w:val="000000" w:themeColor="text1"/>
        </w:rPr>
        <w:t xml:space="preserve"> was associated with more serious </w:t>
      </w:r>
      <w:r w:rsidR="00895AB1">
        <w:rPr>
          <w:rFonts w:cstheme="minorHAnsi"/>
          <w:color w:val="000000" w:themeColor="text1"/>
        </w:rPr>
        <w:t>adverse events (</w:t>
      </w:r>
      <w:r w:rsidRPr="00F04A75">
        <w:rPr>
          <w:rFonts w:cstheme="minorHAnsi"/>
          <w:color w:val="000000" w:themeColor="text1"/>
        </w:rPr>
        <w:t>AEs</w:t>
      </w:r>
      <w:r w:rsidR="00895AB1">
        <w:rPr>
          <w:rFonts w:cstheme="minorHAnsi"/>
          <w:color w:val="000000" w:themeColor="text1"/>
        </w:rPr>
        <w:t>)</w:t>
      </w:r>
      <w:r w:rsidRPr="00F04A75">
        <w:rPr>
          <w:rFonts w:cstheme="minorHAnsi"/>
          <w:color w:val="000000" w:themeColor="text1"/>
        </w:rPr>
        <w:t xml:space="preserve"> and Grade 3-4 AEs compared to Ld. </w:t>
      </w:r>
    </w:p>
    <w:p w14:paraId="1F13F6E7" w14:textId="30886B59" w:rsidR="00F97782" w:rsidRPr="00F04A75" w:rsidRDefault="00F97782" w:rsidP="0016658B">
      <w:pPr>
        <w:pStyle w:val="Caption"/>
        <w:keepNext/>
        <w:spacing w:after="0"/>
        <w:jc w:val="left"/>
        <w:rPr>
          <w:rStyle w:val="CommentReference"/>
          <w:b/>
          <w:szCs w:val="20"/>
        </w:rPr>
      </w:pPr>
      <w:r w:rsidRPr="00F04A75">
        <w:rPr>
          <w:rFonts w:ascii="Arial Narrow" w:hAnsi="Arial Narrow"/>
          <w:color w:val="auto"/>
          <w:sz w:val="20"/>
          <w:szCs w:val="20"/>
        </w:rPr>
        <w:t xml:space="preserve">Table </w:t>
      </w:r>
      <w:r w:rsidRPr="00F04A75">
        <w:rPr>
          <w:rFonts w:ascii="Arial Narrow" w:hAnsi="Arial Narrow"/>
          <w:color w:val="auto"/>
          <w:sz w:val="20"/>
          <w:szCs w:val="20"/>
        </w:rPr>
        <w:fldChar w:fldCharType="begin"/>
      </w:r>
      <w:r w:rsidRPr="00F04A75">
        <w:rPr>
          <w:rFonts w:ascii="Arial Narrow" w:hAnsi="Arial Narrow"/>
          <w:color w:val="auto"/>
          <w:sz w:val="20"/>
          <w:szCs w:val="20"/>
        </w:rPr>
        <w:instrText xml:space="preserve"> SEQ Table \* ARABIC </w:instrText>
      </w:r>
      <w:r w:rsidRPr="00F04A75">
        <w:rPr>
          <w:rFonts w:ascii="Arial Narrow" w:hAnsi="Arial Narrow"/>
          <w:color w:val="auto"/>
          <w:sz w:val="20"/>
          <w:szCs w:val="20"/>
        </w:rPr>
        <w:fldChar w:fldCharType="separate"/>
      </w:r>
      <w:r w:rsidR="00443BC9">
        <w:rPr>
          <w:rFonts w:ascii="Arial Narrow" w:hAnsi="Arial Narrow"/>
          <w:noProof/>
          <w:color w:val="auto"/>
          <w:sz w:val="20"/>
          <w:szCs w:val="20"/>
        </w:rPr>
        <w:t>13</w:t>
      </w:r>
      <w:r w:rsidRPr="00F04A75">
        <w:rPr>
          <w:rFonts w:ascii="Arial Narrow" w:hAnsi="Arial Narrow"/>
          <w:color w:val="auto"/>
          <w:sz w:val="20"/>
          <w:szCs w:val="20"/>
        </w:rPr>
        <w:fldChar w:fldCharType="end"/>
      </w:r>
      <w:r w:rsidRPr="00F04A75">
        <w:rPr>
          <w:rFonts w:ascii="Arial Narrow" w:hAnsi="Arial Narrow"/>
          <w:color w:val="auto"/>
          <w:sz w:val="20"/>
          <w:szCs w:val="20"/>
        </w:rPr>
        <w:t xml:space="preserve">: </w:t>
      </w:r>
      <w:r w:rsidRPr="00F04A75">
        <w:rPr>
          <w:rStyle w:val="CommentReference"/>
          <w:b/>
          <w:bCs w:val="0"/>
          <w:color w:val="auto"/>
          <w:szCs w:val="20"/>
        </w:rPr>
        <w:t xml:space="preserve">Summary of key adverse events in the ASPIRE </w:t>
      </w:r>
      <w:r w:rsidRPr="00F04A75">
        <w:rPr>
          <w:rStyle w:val="CommentReference"/>
          <w:b/>
          <w:color w:val="auto"/>
          <w:szCs w:val="20"/>
        </w:rPr>
        <w:t>(28 April 2017 data cut-off; median follow-up of 67 months)</w:t>
      </w:r>
      <w:r w:rsidR="004A3507" w:rsidRPr="00F04A75">
        <w:rPr>
          <w:rStyle w:val="CommentReference"/>
          <w:b/>
          <w:color w:val="auto"/>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1841"/>
        <w:gridCol w:w="1701"/>
        <w:gridCol w:w="1652"/>
      </w:tblGrid>
      <w:tr w:rsidR="00E97F18" w:rsidRPr="00F04A75" w14:paraId="47223531" w14:textId="77777777" w:rsidTr="00DF5512">
        <w:trPr>
          <w:cantSplit/>
          <w:tblHeader/>
        </w:trPr>
        <w:tc>
          <w:tcPr>
            <w:tcW w:w="2120" w:type="pct"/>
            <w:vAlign w:val="center"/>
          </w:tcPr>
          <w:p w14:paraId="5BF3CC8A" w14:textId="45FFECDD" w:rsidR="00F97782" w:rsidRPr="00F04A75" w:rsidRDefault="00F97782" w:rsidP="0016658B">
            <w:pPr>
              <w:pStyle w:val="In-tableHeading"/>
              <w:rPr>
                <w:lang w:val="en-AU"/>
              </w:rPr>
            </w:pPr>
          </w:p>
        </w:tc>
        <w:tc>
          <w:tcPr>
            <w:tcW w:w="1021" w:type="pct"/>
            <w:vAlign w:val="center"/>
          </w:tcPr>
          <w:p w14:paraId="32FAB50E" w14:textId="77777777" w:rsidR="00F97782" w:rsidRPr="00F04A75" w:rsidRDefault="00F97782" w:rsidP="0016658B">
            <w:pPr>
              <w:pStyle w:val="In-tableHeading"/>
              <w:jc w:val="center"/>
              <w:rPr>
                <w:lang w:val="en-AU"/>
              </w:rPr>
            </w:pPr>
            <w:proofErr w:type="spellStart"/>
            <w:r w:rsidRPr="00F04A75">
              <w:rPr>
                <w:lang w:val="en-AU"/>
              </w:rPr>
              <w:t>CLd</w:t>
            </w:r>
            <w:proofErr w:type="spellEnd"/>
          </w:p>
          <w:p w14:paraId="5700BBA4" w14:textId="77777777" w:rsidR="00F97782" w:rsidRPr="00F04A75" w:rsidRDefault="00F97782" w:rsidP="0016658B">
            <w:pPr>
              <w:pStyle w:val="In-tableHeading"/>
              <w:jc w:val="center"/>
              <w:rPr>
                <w:lang w:val="en-AU"/>
              </w:rPr>
            </w:pPr>
            <w:r w:rsidRPr="00F04A75">
              <w:rPr>
                <w:lang w:val="en-AU"/>
              </w:rPr>
              <w:t>n with event/N (%)</w:t>
            </w:r>
          </w:p>
        </w:tc>
        <w:tc>
          <w:tcPr>
            <w:tcW w:w="943" w:type="pct"/>
            <w:vAlign w:val="center"/>
          </w:tcPr>
          <w:p w14:paraId="522B6F73" w14:textId="77777777" w:rsidR="00F97782" w:rsidRPr="00F04A75" w:rsidRDefault="00F97782" w:rsidP="0016658B">
            <w:pPr>
              <w:pStyle w:val="In-tableHeading"/>
              <w:jc w:val="center"/>
              <w:rPr>
                <w:lang w:val="en-AU"/>
              </w:rPr>
            </w:pPr>
            <w:proofErr w:type="spellStart"/>
            <w:r w:rsidRPr="00F04A75">
              <w:rPr>
                <w:lang w:val="en-AU"/>
              </w:rPr>
              <w:t>Ld</w:t>
            </w:r>
            <w:proofErr w:type="spellEnd"/>
          </w:p>
          <w:p w14:paraId="675F65B1" w14:textId="77777777" w:rsidR="00F97782" w:rsidRPr="00F04A75" w:rsidRDefault="00F97782" w:rsidP="0016658B">
            <w:pPr>
              <w:pStyle w:val="In-tableHeading"/>
              <w:jc w:val="center"/>
              <w:rPr>
                <w:lang w:val="en-AU"/>
              </w:rPr>
            </w:pPr>
            <w:r w:rsidRPr="00F04A75">
              <w:rPr>
                <w:lang w:val="en-AU"/>
              </w:rPr>
              <w:t>n with event/N (%)</w:t>
            </w:r>
          </w:p>
        </w:tc>
        <w:tc>
          <w:tcPr>
            <w:tcW w:w="916" w:type="pct"/>
            <w:vAlign w:val="center"/>
          </w:tcPr>
          <w:p w14:paraId="51CD2C1D" w14:textId="77777777" w:rsidR="00F97782" w:rsidRPr="00F04A75" w:rsidRDefault="00F97782" w:rsidP="0016658B">
            <w:pPr>
              <w:pStyle w:val="In-tableHeading"/>
              <w:jc w:val="center"/>
              <w:rPr>
                <w:lang w:val="en-AU"/>
              </w:rPr>
            </w:pPr>
            <w:r w:rsidRPr="00F04A75">
              <w:rPr>
                <w:lang w:val="en-AU"/>
              </w:rPr>
              <w:t>RR (95% CI)</w:t>
            </w:r>
          </w:p>
        </w:tc>
      </w:tr>
      <w:tr w:rsidR="00E97F18" w:rsidRPr="00F04A75" w14:paraId="73A92C5D" w14:textId="77777777" w:rsidTr="00DF5512">
        <w:trPr>
          <w:cantSplit/>
        </w:trPr>
        <w:tc>
          <w:tcPr>
            <w:tcW w:w="2120" w:type="pct"/>
          </w:tcPr>
          <w:p w14:paraId="065F7EC8" w14:textId="77777777" w:rsidR="00F97782" w:rsidRPr="00F04A75" w:rsidRDefault="00F97782" w:rsidP="0016658B">
            <w:pPr>
              <w:pStyle w:val="TableText0"/>
            </w:pPr>
            <w:r w:rsidRPr="00F04A75">
              <w:rPr>
                <w:b/>
                <w:bCs w:val="0"/>
              </w:rPr>
              <w:t>Median treatment duration</w:t>
            </w:r>
          </w:p>
        </w:tc>
        <w:tc>
          <w:tcPr>
            <w:tcW w:w="1021" w:type="pct"/>
          </w:tcPr>
          <w:p w14:paraId="188F7A4D" w14:textId="77777777" w:rsidR="00F97782" w:rsidRPr="00F04A75" w:rsidRDefault="00F97782" w:rsidP="0016658B">
            <w:pPr>
              <w:pStyle w:val="TableText0"/>
              <w:jc w:val="center"/>
              <w:rPr>
                <w:b/>
                <w:bCs w:val="0"/>
              </w:rPr>
            </w:pPr>
            <w:r w:rsidRPr="00F04A75">
              <w:rPr>
                <w:rFonts w:cstheme="minorHAnsi"/>
                <w:b/>
                <w:bCs w:val="0"/>
                <w:szCs w:val="20"/>
              </w:rPr>
              <w:t>88 weeks</w:t>
            </w:r>
          </w:p>
        </w:tc>
        <w:tc>
          <w:tcPr>
            <w:tcW w:w="943" w:type="pct"/>
          </w:tcPr>
          <w:p w14:paraId="5353A5ED" w14:textId="77777777" w:rsidR="00F97782" w:rsidRPr="00F04A75" w:rsidRDefault="00F97782" w:rsidP="0016658B">
            <w:pPr>
              <w:pStyle w:val="TableText0"/>
              <w:jc w:val="center"/>
              <w:rPr>
                <w:b/>
                <w:bCs w:val="0"/>
              </w:rPr>
            </w:pPr>
            <w:r w:rsidRPr="00F04A75">
              <w:rPr>
                <w:rFonts w:cstheme="minorHAnsi"/>
                <w:b/>
                <w:bCs w:val="0"/>
                <w:szCs w:val="20"/>
              </w:rPr>
              <w:t>57 weeks</w:t>
            </w:r>
          </w:p>
        </w:tc>
        <w:tc>
          <w:tcPr>
            <w:tcW w:w="916" w:type="pct"/>
          </w:tcPr>
          <w:p w14:paraId="4B1159A7" w14:textId="77777777" w:rsidR="00F97782" w:rsidRPr="00F04A75" w:rsidRDefault="00F97782" w:rsidP="0016658B">
            <w:pPr>
              <w:pStyle w:val="TableText0"/>
              <w:jc w:val="center"/>
            </w:pPr>
          </w:p>
        </w:tc>
      </w:tr>
      <w:tr w:rsidR="00E97F18" w:rsidRPr="00F04A75" w14:paraId="13F3D384" w14:textId="77777777" w:rsidTr="00DF5512">
        <w:trPr>
          <w:cantSplit/>
        </w:trPr>
        <w:tc>
          <w:tcPr>
            <w:tcW w:w="2120" w:type="pct"/>
          </w:tcPr>
          <w:p w14:paraId="3C17DDAD" w14:textId="77777777" w:rsidR="00F97782" w:rsidRPr="00F04A75" w:rsidRDefault="00F97782" w:rsidP="0016658B">
            <w:pPr>
              <w:pStyle w:val="TableText0"/>
            </w:pPr>
            <w:r w:rsidRPr="00F04A75">
              <w:t>Patients with any AE</w:t>
            </w:r>
          </w:p>
        </w:tc>
        <w:tc>
          <w:tcPr>
            <w:tcW w:w="1021" w:type="pct"/>
          </w:tcPr>
          <w:p w14:paraId="7AA01348" w14:textId="77777777" w:rsidR="00F97782" w:rsidRPr="00F04A75" w:rsidRDefault="00F97782" w:rsidP="0016658B">
            <w:pPr>
              <w:pStyle w:val="TableText0"/>
              <w:jc w:val="center"/>
            </w:pPr>
            <w:r w:rsidRPr="00F04A75">
              <w:rPr>
                <w:rFonts w:cstheme="minorHAnsi"/>
                <w:szCs w:val="20"/>
              </w:rPr>
              <w:t>384/392 (98.0)</w:t>
            </w:r>
          </w:p>
        </w:tc>
        <w:tc>
          <w:tcPr>
            <w:tcW w:w="943" w:type="pct"/>
          </w:tcPr>
          <w:p w14:paraId="6A109E66" w14:textId="77777777" w:rsidR="00F97782" w:rsidRPr="00F04A75" w:rsidRDefault="00F97782" w:rsidP="0016658B">
            <w:pPr>
              <w:pStyle w:val="TableText0"/>
              <w:jc w:val="center"/>
            </w:pPr>
            <w:r w:rsidRPr="00F04A75">
              <w:rPr>
                <w:rFonts w:cstheme="minorHAnsi"/>
                <w:szCs w:val="20"/>
              </w:rPr>
              <w:t>381/389 (97.9)</w:t>
            </w:r>
          </w:p>
        </w:tc>
        <w:tc>
          <w:tcPr>
            <w:tcW w:w="916" w:type="pct"/>
          </w:tcPr>
          <w:p w14:paraId="1A99A8F7" w14:textId="77777777" w:rsidR="00F97782" w:rsidRPr="00F04A75" w:rsidRDefault="00F97782" w:rsidP="0016658B">
            <w:pPr>
              <w:pStyle w:val="TableText0"/>
              <w:jc w:val="center"/>
            </w:pPr>
            <w:r w:rsidRPr="00F04A75">
              <w:rPr>
                <w:szCs w:val="20"/>
              </w:rPr>
              <w:t xml:space="preserve">1.00 </w:t>
            </w:r>
            <w:r w:rsidR="00A55ADD" w:rsidRPr="00F04A75">
              <w:rPr>
                <w:szCs w:val="20"/>
              </w:rPr>
              <w:t>(</w:t>
            </w:r>
            <w:r w:rsidRPr="00F04A75">
              <w:rPr>
                <w:szCs w:val="20"/>
              </w:rPr>
              <w:t>0.98, 1.02</w:t>
            </w:r>
            <w:r w:rsidR="00A55ADD" w:rsidRPr="00F04A75">
              <w:rPr>
                <w:szCs w:val="20"/>
              </w:rPr>
              <w:t>)</w:t>
            </w:r>
          </w:p>
        </w:tc>
      </w:tr>
      <w:tr w:rsidR="00E97F18" w:rsidRPr="00F04A75" w14:paraId="65B5B8B7" w14:textId="77777777" w:rsidTr="00DF5512">
        <w:trPr>
          <w:cantSplit/>
        </w:trPr>
        <w:tc>
          <w:tcPr>
            <w:tcW w:w="2120" w:type="pct"/>
          </w:tcPr>
          <w:p w14:paraId="0C0622E2" w14:textId="77777777" w:rsidR="00F97782" w:rsidRPr="00F04A75" w:rsidRDefault="00F97782" w:rsidP="0016658B">
            <w:pPr>
              <w:pStyle w:val="TableText0"/>
            </w:pPr>
            <w:r w:rsidRPr="00F04A75">
              <w:t xml:space="preserve">Patients with Grade 3-4 AE </w:t>
            </w:r>
          </w:p>
        </w:tc>
        <w:tc>
          <w:tcPr>
            <w:tcW w:w="1021" w:type="pct"/>
          </w:tcPr>
          <w:p w14:paraId="6274E6DB" w14:textId="77777777" w:rsidR="00F97782" w:rsidRPr="00F04A75" w:rsidRDefault="00F97782" w:rsidP="0016658B">
            <w:pPr>
              <w:pStyle w:val="TableText0"/>
              <w:jc w:val="center"/>
            </w:pPr>
            <w:r w:rsidRPr="00F04A75">
              <w:rPr>
                <w:rFonts w:cstheme="minorHAnsi"/>
                <w:szCs w:val="20"/>
              </w:rPr>
              <w:t>341/392 (87.0)</w:t>
            </w:r>
          </w:p>
        </w:tc>
        <w:tc>
          <w:tcPr>
            <w:tcW w:w="943" w:type="pct"/>
          </w:tcPr>
          <w:p w14:paraId="39C94696" w14:textId="77777777" w:rsidR="00F97782" w:rsidRPr="00F04A75" w:rsidRDefault="00F97782" w:rsidP="0016658B">
            <w:pPr>
              <w:pStyle w:val="TableText0"/>
              <w:jc w:val="center"/>
            </w:pPr>
            <w:r w:rsidRPr="00F04A75">
              <w:rPr>
                <w:rFonts w:cstheme="minorHAnsi"/>
                <w:szCs w:val="20"/>
              </w:rPr>
              <w:t>324/389 (83.3)</w:t>
            </w:r>
          </w:p>
        </w:tc>
        <w:tc>
          <w:tcPr>
            <w:tcW w:w="916" w:type="pct"/>
          </w:tcPr>
          <w:p w14:paraId="79A5B8F6" w14:textId="77777777" w:rsidR="00F97782" w:rsidRPr="00F04A75" w:rsidRDefault="00F97782" w:rsidP="0016658B">
            <w:pPr>
              <w:pStyle w:val="TableText0"/>
              <w:jc w:val="center"/>
            </w:pPr>
            <w:r w:rsidRPr="00F04A75">
              <w:rPr>
                <w:szCs w:val="20"/>
              </w:rPr>
              <w:t xml:space="preserve">1.04 </w:t>
            </w:r>
            <w:r w:rsidR="00A55ADD" w:rsidRPr="00F04A75">
              <w:rPr>
                <w:szCs w:val="20"/>
              </w:rPr>
              <w:t>(</w:t>
            </w:r>
            <w:r w:rsidRPr="00F04A75">
              <w:rPr>
                <w:szCs w:val="20"/>
              </w:rPr>
              <w:t>0.99, 1.11</w:t>
            </w:r>
            <w:r w:rsidR="00A55ADD" w:rsidRPr="00F04A75">
              <w:rPr>
                <w:szCs w:val="20"/>
              </w:rPr>
              <w:t>)</w:t>
            </w:r>
          </w:p>
        </w:tc>
      </w:tr>
      <w:tr w:rsidR="00E97F18" w:rsidRPr="00F04A75" w14:paraId="5A90169B" w14:textId="77777777" w:rsidTr="00DF5512">
        <w:trPr>
          <w:cantSplit/>
        </w:trPr>
        <w:tc>
          <w:tcPr>
            <w:tcW w:w="2120" w:type="pct"/>
          </w:tcPr>
          <w:p w14:paraId="077C2E5C" w14:textId="7ED08AF2" w:rsidR="00F97782" w:rsidRPr="00F04A75" w:rsidRDefault="00F97782" w:rsidP="0016658B">
            <w:pPr>
              <w:pStyle w:val="TableText0"/>
            </w:pPr>
            <w:r w:rsidRPr="00F04A75">
              <w:t xml:space="preserve">Patients with </w:t>
            </w:r>
            <w:r w:rsidR="00AA7F11" w:rsidRPr="00F04A75">
              <w:t>S</w:t>
            </w:r>
            <w:r w:rsidRPr="00F04A75">
              <w:t>AE</w:t>
            </w:r>
          </w:p>
        </w:tc>
        <w:tc>
          <w:tcPr>
            <w:tcW w:w="1021" w:type="pct"/>
          </w:tcPr>
          <w:p w14:paraId="420B25C9" w14:textId="77777777" w:rsidR="00F97782" w:rsidRPr="00F04A75" w:rsidRDefault="00F97782" w:rsidP="0016658B">
            <w:pPr>
              <w:pStyle w:val="TableText0"/>
              <w:jc w:val="center"/>
            </w:pPr>
            <w:r w:rsidRPr="00F04A75">
              <w:rPr>
                <w:rFonts w:cstheme="minorHAnsi"/>
                <w:szCs w:val="20"/>
              </w:rPr>
              <w:t>256/392 (65.3)</w:t>
            </w:r>
          </w:p>
        </w:tc>
        <w:tc>
          <w:tcPr>
            <w:tcW w:w="943" w:type="pct"/>
          </w:tcPr>
          <w:p w14:paraId="40B569DC" w14:textId="77777777" w:rsidR="00F97782" w:rsidRPr="00F04A75" w:rsidRDefault="00F97782" w:rsidP="0016658B">
            <w:pPr>
              <w:pStyle w:val="TableText0"/>
              <w:jc w:val="center"/>
            </w:pPr>
            <w:r w:rsidRPr="00F04A75">
              <w:rPr>
                <w:rFonts w:cstheme="minorHAnsi"/>
                <w:szCs w:val="20"/>
              </w:rPr>
              <w:t>221/389 (56.8)</w:t>
            </w:r>
          </w:p>
        </w:tc>
        <w:tc>
          <w:tcPr>
            <w:tcW w:w="916" w:type="pct"/>
          </w:tcPr>
          <w:p w14:paraId="0AAAEE99" w14:textId="77777777" w:rsidR="00F97782" w:rsidRPr="00F04A75" w:rsidRDefault="00F97782" w:rsidP="0016658B">
            <w:pPr>
              <w:pStyle w:val="TableText0"/>
              <w:jc w:val="center"/>
            </w:pPr>
            <w:r w:rsidRPr="00F04A75">
              <w:rPr>
                <w:szCs w:val="20"/>
              </w:rPr>
              <w:t xml:space="preserve">1.15 </w:t>
            </w:r>
            <w:r w:rsidR="00A55ADD" w:rsidRPr="00F04A75">
              <w:rPr>
                <w:szCs w:val="20"/>
              </w:rPr>
              <w:t>(</w:t>
            </w:r>
            <w:r w:rsidRPr="00F04A75">
              <w:rPr>
                <w:szCs w:val="20"/>
              </w:rPr>
              <w:t>1.03, 1.28</w:t>
            </w:r>
            <w:r w:rsidR="00A55ADD" w:rsidRPr="00F04A75">
              <w:rPr>
                <w:szCs w:val="20"/>
              </w:rPr>
              <w:t>)</w:t>
            </w:r>
          </w:p>
        </w:tc>
      </w:tr>
      <w:tr w:rsidR="00E97F18" w:rsidRPr="00F04A75" w14:paraId="4E7CC074" w14:textId="77777777" w:rsidTr="00DF5512">
        <w:trPr>
          <w:cantSplit/>
        </w:trPr>
        <w:tc>
          <w:tcPr>
            <w:tcW w:w="2120" w:type="pct"/>
          </w:tcPr>
          <w:p w14:paraId="64C02CE5" w14:textId="77777777" w:rsidR="00F97782" w:rsidRPr="00F04A75" w:rsidRDefault="00F97782" w:rsidP="0016658B">
            <w:pPr>
              <w:pStyle w:val="TableText0"/>
            </w:pPr>
            <w:r w:rsidRPr="00F04A75">
              <w:t>Patients with AE leading to discontinuation</w:t>
            </w:r>
          </w:p>
        </w:tc>
        <w:tc>
          <w:tcPr>
            <w:tcW w:w="1021" w:type="pct"/>
            <w:vAlign w:val="center"/>
          </w:tcPr>
          <w:p w14:paraId="3B873F4F" w14:textId="77777777" w:rsidR="00F97782" w:rsidRPr="00F04A75" w:rsidRDefault="00F97782" w:rsidP="00C51647">
            <w:pPr>
              <w:pStyle w:val="TableText0"/>
              <w:jc w:val="center"/>
            </w:pPr>
            <w:r w:rsidRPr="00F04A75">
              <w:rPr>
                <w:rFonts w:cstheme="minorHAnsi"/>
                <w:szCs w:val="20"/>
              </w:rPr>
              <w:t>131/392 (33.4)</w:t>
            </w:r>
          </w:p>
        </w:tc>
        <w:tc>
          <w:tcPr>
            <w:tcW w:w="943" w:type="pct"/>
            <w:vAlign w:val="center"/>
          </w:tcPr>
          <w:p w14:paraId="4E9485AD" w14:textId="77777777" w:rsidR="00F97782" w:rsidRPr="00F04A75" w:rsidRDefault="00F97782" w:rsidP="00C51647">
            <w:pPr>
              <w:pStyle w:val="TableText0"/>
              <w:jc w:val="center"/>
            </w:pPr>
            <w:r w:rsidRPr="00F04A75">
              <w:rPr>
                <w:rFonts w:cstheme="minorHAnsi"/>
                <w:szCs w:val="20"/>
              </w:rPr>
              <w:t>118/389 (30.3)</w:t>
            </w:r>
          </w:p>
        </w:tc>
        <w:tc>
          <w:tcPr>
            <w:tcW w:w="916" w:type="pct"/>
            <w:vAlign w:val="center"/>
          </w:tcPr>
          <w:p w14:paraId="32D91EBB" w14:textId="77777777" w:rsidR="00F97782" w:rsidRPr="00F04A75" w:rsidRDefault="00F97782" w:rsidP="0016658B">
            <w:pPr>
              <w:pStyle w:val="TableText0"/>
              <w:jc w:val="center"/>
            </w:pPr>
            <w:r w:rsidRPr="00F04A75">
              <w:rPr>
                <w:szCs w:val="20"/>
              </w:rPr>
              <w:t xml:space="preserve">1.10 </w:t>
            </w:r>
            <w:r w:rsidR="00A55ADD" w:rsidRPr="00F04A75">
              <w:rPr>
                <w:szCs w:val="20"/>
              </w:rPr>
              <w:t>(</w:t>
            </w:r>
            <w:r w:rsidRPr="00F04A75">
              <w:rPr>
                <w:szCs w:val="20"/>
              </w:rPr>
              <w:t>0.90, 1.35</w:t>
            </w:r>
            <w:r w:rsidR="00A55ADD" w:rsidRPr="00F04A75">
              <w:rPr>
                <w:szCs w:val="20"/>
              </w:rPr>
              <w:t>)</w:t>
            </w:r>
          </w:p>
        </w:tc>
      </w:tr>
      <w:tr w:rsidR="00E97F18" w:rsidRPr="00F04A75" w14:paraId="4656C6D3" w14:textId="77777777" w:rsidTr="00DF5512">
        <w:trPr>
          <w:cantSplit/>
        </w:trPr>
        <w:tc>
          <w:tcPr>
            <w:tcW w:w="2120" w:type="pct"/>
          </w:tcPr>
          <w:p w14:paraId="22EFF7C9" w14:textId="77777777" w:rsidR="00F97782" w:rsidRPr="00F04A75" w:rsidRDefault="00F97782" w:rsidP="0016658B">
            <w:pPr>
              <w:pStyle w:val="TableText0"/>
            </w:pPr>
            <w:r w:rsidRPr="00F04A75">
              <w:t xml:space="preserve">Deaths </w:t>
            </w:r>
          </w:p>
        </w:tc>
        <w:tc>
          <w:tcPr>
            <w:tcW w:w="1021" w:type="pct"/>
          </w:tcPr>
          <w:p w14:paraId="6B01A518" w14:textId="77777777" w:rsidR="00F97782" w:rsidRPr="00F04A75" w:rsidRDefault="00F97782" w:rsidP="0016658B">
            <w:pPr>
              <w:pStyle w:val="TableText0"/>
              <w:jc w:val="center"/>
            </w:pPr>
            <w:r w:rsidRPr="00F04A75">
              <w:rPr>
                <w:rFonts w:cstheme="minorHAnsi"/>
                <w:szCs w:val="20"/>
              </w:rPr>
              <w:t>45/392 (11.5)</w:t>
            </w:r>
          </w:p>
        </w:tc>
        <w:tc>
          <w:tcPr>
            <w:tcW w:w="943" w:type="pct"/>
          </w:tcPr>
          <w:p w14:paraId="39278A12" w14:textId="77777777" w:rsidR="00F97782" w:rsidRPr="00F04A75" w:rsidRDefault="00F97782" w:rsidP="0016658B">
            <w:pPr>
              <w:pStyle w:val="TableText0"/>
              <w:jc w:val="center"/>
            </w:pPr>
            <w:r w:rsidRPr="00F04A75">
              <w:rPr>
                <w:rFonts w:cstheme="minorHAnsi"/>
                <w:szCs w:val="20"/>
              </w:rPr>
              <w:t>42/389 (10.8)</w:t>
            </w:r>
          </w:p>
        </w:tc>
        <w:tc>
          <w:tcPr>
            <w:tcW w:w="916" w:type="pct"/>
          </w:tcPr>
          <w:p w14:paraId="3CE8B439" w14:textId="77777777" w:rsidR="00F97782" w:rsidRPr="00F04A75" w:rsidRDefault="00F97782" w:rsidP="0016658B">
            <w:pPr>
              <w:pStyle w:val="TableText0"/>
              <w:jc w:val="center"/>
              <w:rPr>
                <w:bCs w:val="0"/>
              </w:rPr>
            </w:pPr>
            <w:r w:rsidRPr="00F04A75">
              <w:rPr>
                <w:bCs w:val="0"/>
                <w:szCs w:val="20"/>
              </w:rPr>
              <w:t xml:space="preserve">1.06 </w:t>
            </w:r>
            <w:r w:rsidR="00A55ADD" w:rsidRPr="00F04A75">
              <w:rPr>
                <w:bCs w:val="0"/>
                <w:szCs w:val="20"/>
              </w:rPr>
              <w:t>(</w:t>
            </w:r>
            <w:r w:rsidRPr="00F04A75">
              <w:rPr>
                <w:bCs w:val="0"/>
                <w:szCs w:val="20"/>
              </w:rPr>
              <w:t>0.72, 1.58</w:t>
            </w:r>
            <w:r w:rsidR="00A55ADD" w:rsidRPr="00F04A75">
              <w:rPr>
                <w:bCs w:val="0"/>
                <w:szCs w:val="20"/>
              </w:rPr>
              <w:t>)</w:t>
            </w:r>
          </w:p>
        </w:tc>
      </w:tr>
      <w:tr w:rsidR="00C51647" w:rsidRPr="00F04A75" w14:paraId="1627DB50" w14:textId="77777777" w:rsidTr="00C51647">
        <w:trPr>
          <w:cantSplit/>
        </w:trPr>
        <w:tc>
          <w:tcPr>
            <w:tcW w:w="5000" w:type="pct"/>
            <w:gridSpan w:val="4"/>
          </w:tcPr>
          <w:p w14:paraId="0A165782" w14:textId="4F47027B" w:rsidR="00C51647" w:rsidRPr="00F04A75" w:rsidDel="00E97B50" w:rsidRDefault="00C51647" w:rsidP="00C51647">
            <w:pPr>
              <w:pStyle w:val="TableText0"/>
              <w:rPr>
                <w:bCs w:val="0"/>
                <w:szCs w:val="20"/>
              </w:rPr>
            </w:pPr>
            <w:r w:rsidRPr="00F04A75">
              <w:rPr>
                <w:b/>
                <w:szCs w:val="20"/>
              </w:rPr>
              <w:t xml:space="preserve">TEAEs </w:t>
            </w:r>
            <w:r w:rsidRPr="00F04A75">
              <w:rPr>
                <w:rFonts w:cstheme="minorHAnsi"/>
                <w:b/>
                <w:szCs w:val="20"/>
              </w:rPr>
              <w:t>≥</w:t>
            </w:r>
            <w:r w:rsidR="00AA7F11" w:rsidRPr="00F04A75">
              <w:rPr>
                <w:rFonts w:cstheme="minorHAnsi"/>
                <w:b/>
                <w:szCs w:val="20"/>
              </w:rPr>
              <w:t xml:space="preserve"> </w:t>
            </w:r>
            <w:r w:rsidRPr="00F04A75">
              <w:rPr>
                <w:rFonts w:cstheme="minorHAnsi"/>
                <w:b/>
                <w:szCs w:val="20"/>
              </w:rPr>
              <w:t>Grade 3</w:t>
            </w:r>
          </w:p>
        </w:tc>
      </w:tr>
      <w:tr w:rsidR="003022AD" w:rsidRPr="00F04A75" w14:paraId="5A894BA8" w14:textId="77777777" w:rsidTr="00DF5512">
        <w:trPr>
          <w:cantSplit/>
        </w:trPr>
        <w:tc>
          <w:tcPr>
            <w:tcW w:w="2120" w:type="pct"/>
          </w:tcPr>
          <w:p w14:paraId="121551AD" w14:textId="77777777" w:rsidR="00DA5DC4" w:rsidRPr="00F04A75" w:rsidRDefault="00DA5DC4" w:rsidP="00DA5DC4">
            <w:pPr>
              <w:pStyle w:val="TableText0"/>
            </w:pPr>
            <w:r w:rsidRPr="00F04A75">
              <w:rPr>
                <w:rFonts w:cstheme="minorHAnsi"/>
                <w:szCs w:val="20"/>
              </w:rPr>
              <w:t xml:space="preserve">Neutropenia </w:t>
            </w:r>
          </w:p>
        </w:tc>
        <w:tc>
          <w:tcPr>
            <w:tcW w:w="1021" w:type="pct"/>
            <w:vAlign w:val="center"/>
          </w:tcPr>
          <w:p w14:paraId="56EB0382" w14:textId="77777777" w:rsidR="00DA5DC4" w:rsidRPr="00F04A75" w:rsidRDefault="00DA5DC4" w:rsidP="00DA5DC4">
            <w:pPr>
              <w:pStyle w:val="TableText0"/>
              <w:jc w:val="center"/>
              <w:rPr>
                <w:rFonts w:cstheme="minorHAnsi"/>
                <w:szCs w:val="20"/>
                <w:highlight w:val="yellow"/>
              </w:rPr>
            </w:pPr>
            <w:r w:rsidRPr="00F04A75">
              <w:rPr>
                <w:rFonts w:cstheme="minorHAnsi"/>
                <w:szCs w:val="20"/>
              </w:rPr>
              <w:t>122</w:t>
            </w:r>
            <w:r w:rsidR="007B1D92" w:rsidRPr="00F04A75">
              <w:rPr>
                <w:rFonts w:cstheme="minorHAnsi"/>
                <w:szCs w:val="20"/>
              </w:rPr>
              <w:t>/</w:t>
            </w:r>
            <w:r w:rsidR="00CB6DFF" w:rsidRPr="00F04A75">
              <w:rPr>
                <w:rFonts w:cstheme="minorHAnsi"/>
                <w:szCs w:val="20"/>
              </w:rPr>
              <w:t>392</w:t>
            </w:r>
            <w:r w:rsidRPr="00F04A75">
              <w:rPr>
                <w:rFonts w:cstheme="minorHAnsi"/>
                <w:szCs w:val="20"/>
              </w:rPr>
              <w:t xml:space="preserve"> (31.1)</w:t>
            </w:r>
          </w:p>
        </w:tc>
        <w:tc>
          <w:tcPr>
            <w:tcW w:w="943" w:type="pct"/>
          </w:tcPr>
          <w:p w14:paraId="10F26BC5" w14:textId="77777777" w:rsidR="00DA5DC4" w:rsidRPr="00F04A75" w:rsidRDefault="00DA5DC4" w:rsidP="00DA5DC4">
            <w:pPr>
              <w:pStyle w:val="TableText0"/>
              <w:jc w:val="center"/>
              <w:rPr>
                <w:rFonts w:cstheme="minorHAnsi"/>
                <w:szCs w:val="20"/>
              </w:rPr>
            </w:pPr>
            <w:r w:rsidRPr="00F04A75">
              <w:t>107</w:t>
            </w:r>
            <w:r w:rsidR="00DE721D" w:rsidRPr="00F04A75">
              <w:t>/389</w:t>
            </w:r>
            <w:r w:rsidRPr="00F04A75">
              <w:t xml:space="preserve"> (27.5)</w:t>
            </w:r>
          </w:p>
        </w:tc>
        <w:tc>
          <w:tcPr>
            <w:tcW w:w="916" w:type="pct"/>
          </w:tcPr>
          <w:p w14:paraId="3F1D1A5E" w14:textId="77777777" w:rsidR="00DA5DC4" w:rsidRPr="00F04A75" w:rsidDel="00E97B50" w:rsidRDefault="006B6A7F" w:rsidP="00DA5DC4">
            <w:pPr>
              <w:pStyle w:val="TableText0"/>
              <w:jc w:val="center"/>
              <w:rPr>
                <w:bCs w:val="0"/>
                <w:szCs w:val="20"/>
              </w:rPr>
            </w:pPr>
            <w:r w:rsidRPr="00F04A75">
              <w:rPr>
                <w:bCs w:val="0"/>
                <w:szCs w:val="20"/>
              </w:rPr>
              <w:t xml:space="preserve">1.13 </w:t>
            </w:r>
            <w:r w:rsidR="00A55ADD" w:rsidRPr="00F04A75">
              <w:rPr>
                <w:bCs w:val="0"/>
                <w:szCs w:val="20"/>
              </w:rPr>
              <w:t>(</w:t>
            </w:r>
            <w:r w:rsidR="00041F0D" w:rsidRPr="00F04A75">
              <w:rPr>
                <w:bCs w:val="0"/>
                <w:szCs w:val="20"/>
              </w:rPr>
              <w:t>0.91, 1.41)</w:t>
            </w:r>
          </w:p>
        </w:tc>
      </w:tr>
      <w:tr w:rsidR="003022AD" w:rsidRPr="00F04A75" w14:paraId="226D961C" w14:textId="77777777" w:rsidTr="00DF5512">
        <w:trPr>
          <w:cantSplit/>
        </w:trPr>
        <w:tc>
          <w:tcPr>
            <w:tcW w:w="2120" w:type="pct"/>
          </w:tcPr>
          <w:p w14:paraId="60285F1F" w14:textId="77777777" w:rsidR="00DA5DC4" w:rsidRPr="00F04A75" w:rsidRDefault="00DA5DC4" w:rsidP="00DA5DC4">
            <w:pPr>
              <w:pStyle w:val="TableText0"/>
            </w:pPr>
            <w:r w:rsidRPr="00F04A75">
              <w:rPr>
                <w:rFonts w:cstheme="minorHAnsi"/>
                <w:szCs w:val="20"/>
              </w:rPr>
              <w:t xml:space="preserve">Anaemia </w:t>
            </w:r>
          </w:p>
        </w:tc>
        <w:tc>
          <w:tcPr>
            <w:tcW w:w="1021" w:type="pct"/>
            <w:vAlign w:val="center"/>
          </w:tcPr>
          <w:p w14:paraId="07D6021B" w14:textId="77777777" w:rsidR="00DA5DC4" w:rsidRPr="00F04A75" w:rsidRDefault="00DA5DC4" w:rsidP="00DA5DC4">
            <w:pPr>
              <w:pStyle w:val="TableText0"/>
              <w:jc w:val="center"/>
              <w:rPr>
                <w:rFonts w:cstheme="minorHAnsi"/>
                <w:szCs w:val="20"/>
                <w:highlight w:val="yellow"/>
              </w:rPr>
            </w:pPr>
            <w:r w:rsidRPr="00F04A75">
              <w:rPr>
                <w:rFonts w:cstheme="minorHAnsi"/>
                <w:szCs w:val="20"/>
              </w:rPr>
              <w:t>73</w:t>
            </w:r>
            <w:r w:rsidR="00CB6DFF" w:rsidRPr="00F04A75">
              <w:rPr>
                <w:rFonts w:cstheme="minorHAnsi"/>
                <w:szCs w:val="20"/>
              </w:rPr>
              <w:t>/392</w:t>
            </w:r>
            <w:r w:rsidRPr="00F04A75">
              <w:rPr>
                <w:rFonts w:cstheme="minorHAnsi"/>
                <w:szCs w:val="20"/>
              </w:rPr>
              <w:t xml:space="preserve"> (18.6)</w:t>
            </w:r>
          </w:p>
        </w:tc>
        <w:tc>
          <w:tcPr>
            <w:tcW w:w="943" w:type="pct"/>
          </w:tcPr>
          <w:p w14:paraId="381B711E" w14:textId="77777777" w:rsidR="00DA5DC4" w:rsidRPr="00F04A75" w:rsidRDefault="00DA5DC4" w:rsidP="00DA5DC4">
            <w:pPr>
              <w:pStyle w:val="TableText0"/>
              <w:jc w:val="center"/>
              <w:rPr>
                <w:rFonts w:cstheme="minorHAnsi"/>
                <w:szCs w:val="20"/>
              </w:rPr>
            </w:pPr>
            <w:r w:rsidRPr="00F04A75">
              <w:t>68</w:t>
            </w:r>
            <w:r w:rsidR="00DE721D" w:rsidRPr="00F04A75">
              <w:t>/389</w:t>
            </w:r>
            <w:r w:rsidRPr="00F04A75">
              <w:t xml:space="preserve"> (17.5)</w:t>
            </w:r>
          </w:p>
        </w:tc>
        <w:tc>
          <w:tcPr>
            <w:tcW w:w="916" w:type="pct"/>
          </w:tcPr>
          <w:p w14:paraId="0FCF654B" w14:textId="77777777" w:rsidR="00DA5DC4" w:rsidRPr="00F04A75" w:rsidDel="00E97B50" w:rsidRDefault="006D39E5" w:rsidP="00DA5DC4">
            <w:pPr>
              <w:pStyle w:val="TableText0"/>
              <w:jc w:val="center"/>
              <w:rPr>
                <w:bCs w:val="0"/>
                <w:szCs w:val="20"/>
              </w:rPr>
            </w:pPr>
            <w:r w:rsidRPr="00F04A75">
              <w:rPr>
                <w:bCs w:val="0"/>
                <w:szCs w:val="20"/>
              </w:rPr>
              <w:t>1.07 (0.79, 1.44)</w:t>
            </w:r>
          </w:p>
        </w:tc>
      </w:tr>
      <w:tr w:rsidR="003022AD" w:rsidRPr="00F04A75" w14:paraId="4E7206C6" w14:textId="77777777" w:rsidTr="00DF5512">
        <w:trPr>
          <w:cantSplit/>
        </w:trPr>
        <w:tc>
          <w:tcPr>
            <w:tcW w:w="2120" w:type="pct"/>
          </w:tcPr>
          <w:p w14:paraId="61247BEC" w14:textId="77777777" w:rsidR="00DA5DC4" w:rsidRPr="00F04A75" w:rsidRDefault="00DA5DC4" w:rsidP="00DA5DC4">
            <w:pPr>
              <w:pStyle w:val="TableText0"/>
            </w:pPr>
            <w:r w:rsidRPr="00F04A75">
              <w:rPr>
                <w:rFonts w:cstheme="minorHAnsi"/>
                <w:szCs w:val="20"/>
              </w:rPr>
              <w:t xml:space="preserve">Thrombocytopenia </w:t>
            </w:r>
          </w:p>
        </w:tc>
        <w:tc>
          <w:tcPr>
            <w:tcW w:w="1021" w:type="pct"/>
            <w:vAlign w:val="center"/>
          </w:tcPr>
          <w:p w14:paraId="4FB2FF13" w14:textId="77777777" w:rsidR="00DA5DC4" w:rsidRPr="00F04A75" w:rsidRDefault="00DA5DC4" w:rsidP="00DA5DC4">
            <w:pPr>
              <w:pStyle w:val="TableText0"/>
              <w:jc w:val="center"/>
              <w:rPr>
                <w:rFonts w:cstheme="minorHAnsi"/>
                <w:szCs w:val="20"/>
                <w:highlight w:val="yellow"/>
              </w:rPr>
            </w:pPr>
            <w:r w:rsidRPr="00F04A75">
              <w:rPr>
                <w:rFonts w:cstheme="minorHAnsi"/>
                <w:szCs w:val="20"/>
              </w:rPr>
              <w:t>66</w:t>
            </w:r>
            <w:r w:rsidR="00CB6DFF" w:rsidRPr="00F04A75">
              <w:rPr>
                <w:rFonts w:cstheme="minorHAnsi"/>
                <w:szCs w:val="20"/>
              </w:rPr>
              <w:t>/392</w:t>
            </w:r>
            <w:r w:rsidRPr="00F04A75">
              <w:rPr>
                <w:rFonts w:cstheme="minorHAnsi"/>
                <w:szCs w:val="20"/>
              </w:rPr>
              <w:t xml:space="preserve"> (16.8)</w:t>
            </w:r>
          </w:p>
        </w:tc>
        <w:tc>
          <w:tcPr>
            <w:tcW w:w="943" w:type="pct"/>
          </w:tcPr>
          <w:p w14:paraId="20F05CC9" w14:textId="77777777" w:rsidR="00DA5DC4" w:rsidRPr="00F04A75" w:rsidRDefault="00DA5DC4" w:rsidP="00DA5DC4">
            <w:pPr>
              <w:pStyle w:val="TableText0"/>
              <w:jc w:val="center"/>
              <w:rPr>
                <w:rFonts w:cstheme="minorHAnsi"/>
                <w:szCs w:val="20"/>
              </w:rPr>
            </w:pPr>
            <w:r w:rsidRPr="00F04A75">
              <w:t>51</w:t>
            </w:r>
            <w:r w:rsidR="00DE721D" w:rsidRPr="00F04A75">
              <w:t>/389</w:t>
            </w:r>
            <w:r w:rsidRPr="00F04A75">
              <w:t xml:space="preserve"> (13.1)</w:t>
            </w:r>
          </w:p>
        </w:tc>
        <w:tc>
          <w:tcPr>
            <w:tcW w:w="916" w:type="pct"/>
          </w:tcPr>
          <w:p w14:paraId="40245F8A" w14:textId="77777777" w:rsidR="00DA5DC4" w:rsidRPr="00F04A75" w:rsidDel="00E97B50" w:rsidRDefault="006D39E5" w:rsidP="00DA5DC4">
            <w:pPr>
              <w:pStyle w:val="TableText0"/>
              <w:jc w:val="center"/>
              <w:rPr>
                <w:bCs w:val="0"/>
                <w:szCs w:val="20"/>
              </w:rPr>
            </w:pPr>
            <w:r w:rsidRPr="00F04A75">
              <w:rPr>
                <w:bCs w:val="0"/>
                <w:szCs w:val="20"/>
              </w:rPr>
              <w:t>1.28 (0.92, 1.80)</w:t>
            </w:r>
          </w:p>
        </w:tc>
      </w:tr>
      <w:tr w:rsidR="003022AD" w:rsidRPr="00F04A75" w14:paraId="14DE56D7" w14:textId="77777777" w:rsidTr="00DF5512">
        <w:trPr>
          <w:cantSplit/>
        </w:trPr>
        <w:tc>
          <w:tcPr>
            <w:tcW w:w="2120" w:type="pct"/>
          </w:tcPr>
          <w:p w14:paraId="077ACB60" w14:textId="77777777" w:rsidR="00DA5DC4" w:rsidRPr="00F04A75" w:rsidRDefault="00DA5DC4" w:rsidP="00DA5DC4">
            <w:pPr>
              <w:pStyle w:val="TableText0"/>
            </w:pPr>
            <w:r w:rsidRPr="00F04A75">
              <w:rPr>
                <w:rFonts w:cstheme="minorHAnsi"/>
                <w:szCs w:val="20"/>
              </w:rPr>
              <w:t xml:space="preserve">Pneumonia </w:t>
            </w:r>
          </w:p>
        </w:tc>
        <w:tc>
          <w:tcPr>
            <w:tcW w:w="1021" w:type="pct"/>
            <w:vAlign w:val="center"/>
          </w:tcPr>
          <w:p w14:paraId="0CD8D581" w14:textId="77777777" w:rsidR="00DA5DC4" w:rsidRPr="00F04A75" w:rsidRDefault="00DA5DC4" w:rsidP="00DA5DC4">
            <w:pPr>
              <w:pStyle w:val="TableText0"/>
              <w:jc w:val="center"/>
              <w:rPr>
                <w:rFonts w:cstheme="minorHAnsi"/>
                <w:szCs w:val="20"/>
                <w:highlight w:val="yellow"/>
              </w:rPr>
            </w:pPr>
            <w:r w:rsidRPr="00F04A75">
              <w:rPr>
                <w:rFonts w:cstheme="minorHAnsi"/>
                <w:szCs w:val="20"/>
              </w:rPr>
              <w:t>63</w:t>
            </w:r>
            <w:r w:rsidR="00CB6DFF" w:rsidRPr="00F04A75">
              <w:rPr>
                <w:rFonts w:cstheme="minorHAnsi"/>
                <w:szCs w:val="20"/>
              </w:rPr>
              <w:t>/392</w:t>
            </w:r>
            <w:r w:rsidRPr="00F04A75">
              <w:rPr>
                <w:rFonts w:cstheme="minorHAnsi"/>
                <w:szCs w:val="20"/>
              </w:rPr>
              <w:t xml:space="preserve"> (16.1)</w:t>
            </w:r>
          </w:p>
        </w:tc>
        <w:tc>
          <w:tcPr>
            <w:tcW w:w="943" w:type="pct"/>
          </w:tcPr>
          <w:p w14:paraId="75836F1B" w14:textId="77777777" w:rsidR="00DA5DC4" w:rsidRPr="00F04A75" w:rsidRDefault="00DA5DC4" w:rsidP="00DA5DC4">
            <w:pPr>
              <w:pStyle w:val="TableText0"/>
              <w:jc w:val="center"/>
              <w:rPr>
                <w:rFonts w:cstheme="minorHAnsi"/>
                <w:szCs w:val="20"/>
              </w:rPr>
            </w:pPr>
            <w:r w:rsidRPr="00F04A75">
              <w:t>47</w:t>
            </w:r>
            <w:r w:rsidR="00DE721D" w:rsidRPr="00F04A75">
              <w:t>/389</w:t>
            </w:r>
            <w:r w:rsidRPr="00F04A75">
              <w:t xml:space="preserve"> (12.1)</w:t>
            </w:r>
          </w:p>
        </w:tc>
        <w:tc>
          <w:tcPr>
            <w:tcW w:w="916" w:type="pct"/>
          </w:tcPr>
          <w:p w14:paraId="4E4A5652" w14:textId="77777777" w:rsidR="00DA5DC4" w:rsidRPr="00F04A75" w:rsidDel="00E97B50" w:rsidRDefault="007530D4" w:rsidP="00DA5DC4">
            <w:pPr>
              <w:pStyle w:val="TableText0"/>
              <w:jc w:val="center"/>
              <w:rPr>
                <w:bCs w:val="0"/>
                <w:szCs w:val="20"/>
              </w:rPr>
            </w:pPr>
            <w:r w:rsidRPr="00F04A75">
              <w:rPr>
                <w:bCs w:val="0"/>
                <w:szCs w:val="20"/>
              </w:rPr>
              <w:t>1.33 (0.94, 1.89)</w:t>
            </w:r>
          </w:p>
        </w:tc>
      </w:tr>
      <w:tr w:rsidR="003022AD" w:rsidRPr="00F04A75" w14:paraId="01D6F088" w14:textId="77777777" w:rsidTr="00DF5512">
        <w:trPr>
          <w:cantSplit/>
        </w:trPr>
        <w:tc>
          <w:tcPr>
            <w:tcW w:w="2120" w:type="pct"/>
          </w:tcPr>
          <w:p w14:paraId="30B641C9" w14:textId="751A0476" w:rsidR="00DA5DC4" w:rsidRPr="00F04A75" w:rsidRDefault="00DB420E" w:rsidP="00DA5DC4">
            <w:pPr>
              <w:pStyle w:val="TableText0"/>
            </w:pPr>
            <w:r w:rsidRPr="00F04A75">
              <w:rPr>
                <w:rFonts w:cstheme="minorHAnsi"/>
                <w:szCs w:val="20"/>
              </w:rPr>
              <w:t>Hypokalaemia</w:t>
            </w:r>
            <w:r w:rsidR="00DA5DC4" w:rsidRPr="00F04A75">
              <w:rPr>
                <w:rFonts w:cstheme="minorHAnsi"/>
                <w:szCs w:val="20"/>
              </w:rPr>
              <w:t xml:space="preserve"> </w:t>
            </w:r>
          </w:p>
        </w:tc>
        <w:tc>
          <w:tcPr>
            <w:tcW w:w="1021" w:type="pct"/>
            <w:vAlign w:val="center"/>
          </w:tcPr>
          <w:p w14:paraId="5B068107" w14:textId="77777777" w:rsidR="00DA5DC4" w:rsidRPr="00F04A75" w:rsidRDefault="00DA5DC4" w:rsidP="00DA5DC4">
            <w:pPr>
              <w:pStyle w:val="TableText0"/>
              <w:jc w:val="center"/>
              <w:rPr>
                <w:rFonts w:cstheme="minorHAnsi"/>
                <w:szCs w:val="20"/>
                <w:highlight w:val="yellow"/>
              </w:rPr>
            </w:pPr>
            <w:r w:rsidRPr="00F04A75">
              <w:rPr>
                <w:rFonts w:cstheme="minorHAnsi"/>
                <w:szCs w:val="20"/>
              </w:rPr>
              <w:t>41</w:t>
            </w:r>
            <w:r w:rsidR="00CB6DFF" w:rsidRPr="00F04A75">
              <w:rPr>
                <w:rFonts w:cstheme="minorHAnsi"/>
                <w:szCs w:val="20"/>
              </w:rPr>
              <w:t>/392</w:t>
            </w:r>
            <w:r w:rsidRPr="00F04A75">
              <w:rPr>
                <w:rFonts w:cstheme="minorHAnsi"/>
                <w:szCs w:val="20"/>
              </w:rPr>
              <w:t xml:space="preserve"> (10.5)</w:t>
            </w:r>
          </w:p>
        </w:tc>
        <w:tc>
          <w:tcPr>
            <w:tcW w:w="943" w:type="pct"/>
          </w:tcPr>
          <w:p w14:paraId="2390CE8C" w14:textId="77777777" w:rsidR="00DA5DC4" w:rsidRPr="00F04A75" w:rsidRDefault="00DA5DC4" w:rsidP="00DA5DC4">
            <w:pPr>
              <w:pStyle w:val="TableText0"/>
              <w:jc w:val="center"/>
              <w:rPr>
                <w:rFonts w:cstheme="minorHAnsi"/>
                <w:szCs w:val="20"/>
              </w:rPr>
            </w:pPr>
            <w:r w:rsidRPr="00F04A75">
              <w:t>23</w:t>
            </w:r>
            <w:r w:rsidR="00DE721D" w:rsidRPr="00F04A75">
              <w:t>/389</w:t>
            </w:r>
            <w:r w:rsidRPr="00F04A75">
              <w:t xml:space="preserve"> (5.9)</w:t>
            </w:r>
          </w:p>
        </w:tc>
        <w:tc>
          <w:tcPr>
            <w:tcW w:w="916" w:type="pct"/>
          </w:tcPr>
          <w:p w14:paraId="0550A502" w14:textId="77777777" w:rsidR="00DA5DC4" w:rsidRPr="00F04A75" w:rsidDel="00E97B50" w:rsidRDefault="00F01075" w:rsidP="00DA5DC4">
            <w:pPr>
              <w:pStyle w:val="TableText0"/>
              <w:jc w:val="center"/>
              <w:rPr>
                <w:szCs w:val="20"/>
              </w:rPr>
            </w:pPr>
            <w:r w:rsidRPr="00F04A75">
              <w:rPr>
                <w:szCs w:val="20"/>
              </w:rPr>
              <w:t>1.77 (1.08, 2.89)</w:t>
            </w:r>
          </w:p>
        </w:tc>
      </w:tr>
      <w:tr w:rsidR="003022AD" w:rsidRPr="00F04A75" w14:paraId="42AC147F" w14:textId="77777777" w:rsidTr="00DF5512">
        <w:trPr>
          <w:cantSplit/>
        </w:trPr>
        <w:tc>
          <w:tcPr>
            <w:tcW w:w="2120" w:type="pct"/>
          </w:tcPr>
          <w:p w14:paraId="2DD64ABA" w14:textId="77777777" w:rsidR="00DA5DC4" w:rsidRPr="00F04A75" w:rsidRDefault="00DA5DC4" w:rsidP="00DA5DC4">
            <w:pPr>
              <w:pStyle w:val="TableText0"/>
            </w:pPr>
            <w:r w:rsidRPr="00F04A75">
              <w:rPr>
                <w:rFonts w:cstheme="minorHAnsi"/>
                <w:szCs w:val="20"/>
              </w:rPr>
              <w:t xml:space="preserve">Hypertension </w:t>
            </w:r>
          </w:p>
        </w:tc>
        <w:tc>
          <w:tcPr>
            <w:tcW w:w="1021" w:type="pct"/>
            <w:vAlign w:val="center"/>
          </w:tcPr>
          <w:p w14:paraId="10FD99B1" w14:textId="77777777" w:rsidR="00DA5DC4" w:rsidRPr="00F04A75" w:rsidRDefault="00DA5DC4" w:rsidP="00DA5DC4">
            <w:pPr>
              <w:pStyle w:val="TableText0"/>
              <w:jc w:val="center"/>
              <w:rPr>
                <w:rFonts w:cstheme="minorHAnsi"/>
                <w:szCs w:val="20"/>
                <w:highlight w:val="yellow"/>
              </w:rPr>
            </w:pPr>
            <w:r w:rsidRPr="00F04A75">
              <w:rPr>
                <w:rFonts w:cstheme="minorHAnsi"/>
                <w:szCs w:val="20"/>
              </w:rPr>
              <w:t>25</w:t>
            </w:r>
            <w:r w:rsidR="00CB6DFF" w:rsidRPr="00F04A75">
              <w:rPr>
                <w:rFonts w:cstheme="minorHAnsi"/>
                <w:szCs w:val="20"/>
              </w:rPr>
              <w:t>/392</w:t>
            </w:r>
            <w:r w:rsidRPr="00F04A75">
              <w:rPr>
                <w:rFonts w:cstheme="minorHAnsi"/>
                <w:szCs w:val="20"/>
              </w:rPr>
              <w:t xml:space="preserve"> (6.4)</w:t>
            </w:r>
          </w:p>
        </w:tc>
        <w:tc>
          <w:tcPr>
            <w:tcW w:w="943" w:type="pct"/>
          </w:tcPr>
          <w:p w14:paraId="6BFDD6CB" w14:textId="77777777" w:rsidR="00DA5DC4" w:rsidRPr="00F04A75" w:rsidRDefault="00DA5DC4" w:rsidP="00DA5DC4">
            <w:pPr>
              <w:pStyle w:val="TableText0"/>
              <w:jc w:val="center"/>
              <w:rPr>
                <w:rFonts w:cstheme="minorHAnsi"/>
                <w:szCs w:val="20"/>
              </w:rPr>
            </w:pPr>
            <w:r w:rsidRPr="00F04A75">
              <w:t>9</w:t>
            </w:r>
            <w:r w:rsidR="00DE721D" w:rsidRPr="00F04A75">
              <w:t>/389</w:t>
            </w:r>
            <w:r w:rsidRPr="00F04A75">
              <w:t xml:space="preserve"> (2.3)</w:t>
            </w:r>
          </w:p>
        </w:tc>
        <w:tc>
          <w:tcPr>
            <w:tcW w:w="916" w:type="pct"/>
          </w:tcPr>
          <w:p w14:paraId="04260C22" w14:textId="77777777" w:rsidR="00DA5DC4" w:rsidRPr="00F04A75" w:rsidDel="00E97B50" w:rsidRDefault="00EE182B" w:rsidP="00DA5DC4">
            <w:pPr>
              <w:pStyle w:val="TableText0"/>
              <w:jc w:val="center"/>
              <w:rPr>
                <w:szCs w:val="20"/>
              </w:rPr>
            </w:pPr>
            <w:r w:rsidRPr="00F04A75">
              <w:rPr>
                <w:szCs w:val="20"/>
              </w:rPr>
              <w:t>2.76 (1.30, 5.83)</w:t>
            </w:r>
          </w:p>
        </w:tc>
      </w:tr>
      <w:tr w:rsidR="00A37A7A" w:rsidRPr="00F04A75" w14:paraId="730521E8" w14:textId="77777777" w:rsidTr="00DF5512">
        <w:trPr>
          <w:cantSplit/>
        </w:trPr>
        <w:tc>
          <w:tcPr>
            <w:tcW w:w="2120" w:type="pct"/>
          </w:tcPr>
          <w:p w14:paraId="5E9B230D" w14:textId="77777777" w:rsidR="00A37A7A" w:rsidRPr="00F04A75" w:rsidRDefault="00A37A7A" w:rsidP="00A37A7A">
            <w:pPr>
              <w:pStyle w:val="TableText0"/>
              <w:rPr>
                <w:rFonts w:cstheme="minorHAnsi"/>
                <w:szCs w:val="20"/>
              </w:rPr>
            </w:pPr>
            <w:r w:rsidRPr="00F04A75">
              <w:rPr>
                <w:rFonts w:cstheme="minorHAnsi"/>
                <w:szCs w:val="20"/>
              </w:rPr>
              <w:t xml:space="preserve">Fatigue </w:t>
            </w:r>
          </w:p>
        </w:tc>
        <w:tc>
          <w:tcPr>
            <w:tcW w:w="1021" w:type="pct"/>
            <w:vAlign w:val="center"/>
          </w:tcPr>
          <w:p w14:paraId="009C9E8A" w14:textId="77777777" w:rsidR="00A37A7A" w:rsidRPr="00F04A75" w:rsidRDefault="00A37A7A" w:rsidP="00A37A7A">
            <w:pPr>
              <w:pStyle w:val="TableText0"/>
              <w:jc w:val="center"/>
              <w:rPr>
                <w:rFonts w:cstheme="minorHAnsi"/>
                <w:szCs w:val="20"/>
              </w:rPr>
            </w:pPr>
            <w:r w:rsidRPr="00F04A75">
              <w:rPr>
                <w:rFonts w:cstheme="minorHAnsi"/>
                <w:szCs w:val="20"/>
              </w:rPr>
              <w:t>32</w:t>
            </w:r>
            <w:r w:rsidR="000F6C86" w:rsidRPr="00F04A75">
              <w:rPr>
                <w:rFonts w:cstheme="minorHAnsi"/>
                <w:szCs w:val="20"/>
              </w:rPr>
              <w:t>/392</w:t>
            </w:r>
            <w:r w:rsidRPr="00F04A75">
              <w:rPr>
                <w:rFonts w:cstheme="minorHAnsi"/>
                <w:szCs w:val="20"/>
              </w:rPr>
              <w:t xml:space="preserve"> (8.2)</w:t>
            </w:r>
          </w:p>
        </w:tc>
        <w:tc>
          <w:tcPr>
            <w:tcW w:w="943" w:type="pct"/>
          </w:tcPr>
          <w:p w14:paraId="137ACE6E" w14:textId="77777777" w:rsidR="00A37A7A" w:rsidRPr="00F04A75" w:rsidRDefault="00A37A7A" w:rsidP="00A37A7A">
            <w:pPr>
              <w:pStyle w:val="TableText0"/>
              <w:jc w:val="center"/>
            </w:pPr>
            <w:r w:rsidRPr="00F04A75">
              <w:t>26</w:t>
            </w:r>
            <w:r w:rsidR="000F6C86" w:rsidRPr="00F04A75">
              <w:t>/389</w:t>
            </w:r>
            <w:r w:rsidRPr="00F04A75">
              <w:t xml:space="preserve"> (6.7)</w:t>
            </w:r>
          </w:p>
        </w:tc>
        <w:tc>
          <w:tcPr>
            <w:tcW w:w="916" w:type="pct"/>
          </w:tcPr>
          <w:p w14:paraId="694E1193" w14:textId="77777777" w:rsidR="00A37A7A" w:rsidRPr="00F04A75" w:rsidRDefault="00A37A7A" w:rsidP="00A37A7A">
            <w:pPr>
              <w:pStyle w:val="TableText0"/>
              <w:jc w:val="center"/>
              <w:rPr>
                <w:szCs w:val="20"/>
              </w:rPr>
            </w:pPr>
            <w:r w:rsidRPr="00F04A75">
              <w:rPr>
                <w:bCs w:val="0"/>
                <w:szCs w:val="20"/>
              </w:rPr>
              <w:t>1.22 (0.74, 2.01)</w:t>
            </w:r>
          </w:p>
        </w:tc>
      </w:tr>
      <w:tr w:rsidR="00A37A7A" w:rsidRPr="00F04A75" w14:paraId="3BC77C11" w14:textId="77777777" w:rsidTr="00DF5512">
        <w:trPr>
          <w:cantSplit/>
        </w:trPr>
        <w:tc>
          <w:tcPr>
            <w:tcW w:w="2120" w:type="pct"/>
          </w:tcPr>
          <w:p w14:paraId="26F2C036" w14:textId="77777777" w:rsidR="00A37A7A" w:rsidRPr="00F04A75" w:rsidRDefault="00A37A7A" w:rsidP="00A37A7A">
            <w:pPr>
              <w:pStyle w:val="TableText0"/>
              <w:rPr>
                <w:rFonts w:cstheme="minorHAnsi"/>
                <w:szCs w:val="20"/>
              </w:rPr>
            </w:pPr>
            <w:r w:rsidRPr="00F04A75">
              <w:rPr>
                <w:rFonts w:cstheme="minorHAnsi"/>
                <w:szCs w:val="20"/>
              </w:rPr>
              <w:t>Diarrhoea</w:t>
            </w:r>
          </w:p>
        </w:tc>
        <w:tc>
          <w:tcPr>
            <w:tcW w:w="1021" w:type="pct"/>
            <w:vAlign w:val="center"/>
          </w:tcPr>
          <w:p w14:paraId="49C4A611" w14:textId="77777777" w:rsidR="00A37A7A" w:rsidRPr="00F04A75" w:rsidRDefault="00A37A7A" w:rsidP="00A37A7A">
            <w:pPr>
              <w:pStyle w:val="TableText0"/>
              <w:jc w:val="center"/>
              <w:rPr>
                <w:rFonts w:cstheme="minorHAnsi"/>
                <w:szCs w:val="20"/>
              </w:rPr>
            </w:pPr>
            <w:r w:rsidRPr="00F04A75">
              <w:rPr>
                <w:rFonts w:cstheme="minorHAnsi"/>
                <w:szCs w:val="20"/>
              </w:rPr>
              <w:t>18</w:t>
            </w:r>
            <w:r w:rsidR="000F6C86" w:rsidRPr="00F04A75">
              <w:rPr>
                <w:rFonts w:cstheme="minorHAnsi"/>
                <w:szCs w:val="20"/>
              </w:rPr>
              <w:t>/392</w:t>
            </w:r>
            <w:r w:rsidRPr="00F04A75">
              <w:rPr>
                <w:rFonts w:cstheme="minorHAnsi"/>
                <w:szCs w:val="20"/>
              </w:rPr>
              <w:t xml:space="preserve"> (4.6)</w:t>
            </w:r>
          </w:p>
        </w:tc>
        <w:tc>
          <w:tcPr>
            <w:tcW w:w="943" w:type="pct"/>
          </w:tcPr>
          <w:p w14:paraId="1823BAD6" w14:textId="77777777" w:rsidR="00A37A7A" w:rsidRPr="00F04A75" w:rsidRDefault="00A37A7A" w:rsidP="00A37A7A">
            <w:pPr>
              <w:pStyle w:val="TableText0"/>
              <w:jc w:val="center"/>
            </w:pPr>
            <w:r w:rsidRPr="00F04A75">
              <w:t>17</w:t>
            </w:r>
            <w:r w:rsidR="000F6C86" w:rsidRPr="00F04A75">
              <w:t>/389</w:t>
            </w:r>
            <w:r w:rsidRPr="00F04A75">
              <w:t xml:space="preserve"> (4.4)</w:t>
            </w:r>
          </w:p>
        </w:tc>
        <w:tc>
          <w:tcPr>
            <w:tcW w:w="916" w:type="pct"/>
          </w:tcPr>
          <w:p w14:paraId="2DC3635C" w14:textId="77777777" w:rsidR="00A37A7A" w:rsidRPr="00F04A75" w:rsidRDefault="00A37A7A" w:rsidP="00A37A7A">
            <w:pPr>
              <w:pStyle w:val="TableText0"/>
              <w:jc w:val="center"/>
              <w:rPr>
                <w:szCs w:val="20"/>
              </w:rPr>
            </w:pPr>
            <w:r w:rsidRPr="00F04A75">
              <w:rPr>
                <w:bCs w:val="0"/>
                <w:szCs w:val="20"/>
              </w:rPr>
              <w:t>1.05 (0.55, 2.01)</w:t>
            </w:r>
          </w:p>
        </w:tc>
      </w:tr>
    </w:tbl>
    <w:p w14:paraId="6EEF6221" w14:textId="77777777" w:rsidR="00F97782" w:rsidRPr="00F04A75" w:rsidRDefault="00F97782" w:rsidP="00663A03">
      <w:pPr>
        <w:spacing w:line="259" w:lineRule="auto"/>
        <w:jc w:val="left"/>
        <w:rPr>
          <w:rFonts w:ascii="Arial Narrow" w:eastAsiaTheme="minorHAnsi" w:hAnsi="Arial Narrow" w:cstheme="minorBidi"/>
          <w:sz w:val="18"/>
          <w:szCs w:val="18"/>
          <w:lang w:eastAsia="en-US"/>
        </w:rPr>
      </w:pPr>
      <w:r w:rsidRPr="00F04A75">
        <w:rPr>
          <w:rFonts w:ascii="Arial Narrow" w:hAnsi="Arial Narrow"/>
          <w:sz w:val="18"/>
          <w:szCs w:val="18"/>
        </w:rPr>
        <w:t>Source: Table 2.5-10 p p68-69 of the resubmission</w:t>
      </w:r>
      <w:r w:rsidR="00663A03" w:rsidRPr="00F04A75">
        <w:rPr>
          <w:rFonts w:ascii="Arial Narrow" w:hAnsi="Arial Narrow"/>
          <w:sz w:val="18"/>
          <w:szCs w:val="18"/>
        </w:rPr>
        <w:t xml:space="preserve">, </w:t>
      </w:r>
      <w:r w:rsidR="00663A03" w:rsidRPr="00F04A75">
        <w:rPr>
          <w:rFonts w:ascii="Arial Narrow" w:eastAsiaTheme="minorHAnsi" w:hAnsi="Arial Narrow" w:cstheme="minorBidi"/>
          <w:sz w:val="18"/>
          <w:szCs w:val="18"/>
          <w:lang w:eastAsia="en-US"/>
        </w:rPr>
        <w:t>Table 2 p732 Siegel et al 2018</w:t>
      </w:r>
    </w:p>
    <w:p w14:paraId="7094708A" w14:textId="57D1C5F7" w:rsidR="00F97782" w:rsidRPr="00F04A75" w:rsidRDefault="00F97782" w:rsidP="0016658B">
      <w:pPr>
        <w:rPr>
          <w:rFonts w:ascii="Arial Narrow" w:hAnsi="Arial Narrow"/>
          <w:sz w:val="18"/>
          <w:szCs w:val="18"/>
        </w:rPr>
      </w:pPr>
      <w:r w:rsidRPr="00F04A75">
        <w:rPr>
          <w:rFonts w:ascii="Arial Narrow" w:hAnsi="Arial Narrow"/>
          <w:sz w:val="18"/>
          <w:szCs w:val="18"/>
        </w:rPr>
        <w:t>AE = adverse event; CI</w:t>
      </w:r>
      <w:r w:rsidR="00AA7F11" w:rsidRPr="00F04A75">
        <w:rPr>
          <w:rFonts w:ascii="Arial Narrow" w:hAnsi="Arial Narrow"/>
          <w:sz w:val="18"/>
          <w:szCs w:val="18"/>
        </w:rPr>
        <w:t xml:space="preserve"> </w:t>
      </w:r>
      <w:r w:rsidRPr="00F04A75">
        <w:rPr>
          <w:rFonts w:ascii="Arial Narrow" w:hAnsi="Arial Narrow"/>
          <w:sz w:val="18"/>
          <w:szCs w:val="18"/>
        </w:rPr>
        <w:t>=</w:t>
      </w:r>
      <w:r w:rsidR="00AA7F11" w:rsidRPr="00F04A75">
        <w:rPr>
          <w:rFonts w:ascii="Arial Narrow" w:hAnsi="Arial Narrow"/>
          <w:sz w:val="18"/>
          <w:szCs w:val="18"/>
        </w:rPr>
        <w:t xml:space="preserve"> </w:t>
      </w:r>
      <w:r w:rsidRPr="00F04A75">
        <w:rPr>
          <w:rFonts w:ascii="Arial Narrow" w:hAnsi="Arial Narrow"/>
          <w:sz w:val="18"/>
          <w:szCs w:val="18"/>
        </w:rPr>
        <w:t xml:space="preserve">confidence interval; </w:t>
      </w:r>
      <w:proofErr w:type="spellStart"/>
      <w:r w:rsidRPr="00F04A75">
        <w:rPr>
          <w:rFonts w:ascii="Arial Narrow" w:hAnsi="Arial Narrow"/>
          <w:sz w:val="18"/>
          <w:szCs w:val="18"/>
        </w:rPr>
        <w:t>CLd</w:t>
      </w:r>
      <w:proofErr w:type="spellEnd"/>
      <w:r w:rsidR="00AA7F11" w:rsidRPr="00F04A75">
        <w:rPr>
          <w:rFonts w:ascii="Arial Narrow" w:hAnsi="Arial Narrow"/>
          <w:sz w:val="18"/>
          <w:szCs w:val="18"/>
        </w:rPr>
        <w:t xml:space="preserve"> </w:t>
      </w:r>
      <w:r w:rsidRPr="00F04A75">
        <w:rPr>
          <w:rFonts w:ascii="Arial Narrow" w:hAnsi="Arial Narrow"/>
          <w:sz w:val="18"/>
          <w:szCs w:val="18"/>
        </w:rPr>
        <w:t>= carfilzomib</w:t>
      </w:r>
      <w:r w:rsidR="00AA7F11" w:rsidRPr="00F04A75">
        <w:rPr>
          <w:rFonts w:ascii="Arial Narrow" w:hAnsi="Arial Narrow"/>
          <w:sz w:val="18"/>
          <w:szCs w:val="18"/>
        </w:rPr>
        <w:t>,</w:t>
      </w:r>
      <w:r w:rsidRPr="00F04A75">
        <w:rPr>
          <w:rFonts w:ascii="Arial Narrow" w:hAnsi="Arial Narrow"/>
          <w:sz w:val="18"/>
          <w:szCs w:val="18"/>
        </w:rPr>
        <w:t xml:space="preserve"> lenalidomide and dexamethasone; </w:t>
      </w:r>
      <w:proofErr w:type="spellStart"/>
      <w:r w:rsidRPr="00F04A75">
        <w:rPr>
          <w:rFonts w:ascii="Arial Narrow" w:hAnsi="Arial Narrow"/>
          <w:sz w:val="18"/>
          <w:szCs w:val="18"/>
        </w:rPr>
        <w:t>Ld</w:t>
      </w:r>
      <w:proofErr w:type="spellEnd"/>
      <w:r w:rsidR="00AA7F11" w:rsidRPr="00F04A75">
        <w:rPr>
          <w:rFonts w:ascii="Arial Narrow" w:hAnsi="Arial Narrow"/>
          <w:sz w:val="18"/>
          <w:szCs w:val="18"/>
        </w:rPr>
        <w:t xml:space="preserve"> </w:t>
      </w:r>
      <w:r w:rsidRPr="00F04A75">
        <w:rPr>
          <w:rFonts w:ascii="Arial Narrow" w:hAnsi="Arial Narrow"/>
          <w:sz w:val="18"/>
          <w:szCs w:val="18"/>
        </w:rPr>
        <w:t>= lenalidomide and dexamethasone; RR</w:t>
      </w:r>
      <w:r w:rsidR="00AA7F11" w:rsidRPr="00F04A75">
        <w:rPr>
          <w:rFonts w:ascii="Arial Narrow" w:hAnsi="Arial Narrow"/>
          <w:sz w:val="18"/>
          <w:szCs w:val="18"/>
        </w:rPr>
        <w:t xml:space="preserve"> </w:t>
      </w:r>
      <w:r w:rsidRPr="00F04A75">
        <w:rPr>
          <w:rFonts w:ascii="Arial Narrow" w:hAnsi="Arial Narrow"/>
          <w:sz w:val="18"/>
          <w:szCs w:val="18"/>
        </w:rPr>
        <w:t>=</w:t>
      </w:r>
      <w:r w:rsidR="00AA7F11" w:rsidRPr="00F04A75">
        <w:rPr>
          <w:rFonts w:ascii="Arial Narrow" w:hAnsi="Arial Narrow"/>
          <w:sz w:val="18"/>
          <w:szCs w:val="18"/>
        </w:rPr>
        <w:t xml:space="preserve"> </w:t>
      </w:r>
      <w:r w:rsidRPr="00F04A75">
        <w:rPr>
          <w:rFonts w:ascii="Arial Narrow" w:hAnsi="Arial Narrow"/>
          <w:sz w:val="18"/>
          <w:szCs w:val="18"/>
        </w:rPr>
        <w:t>relative risk</w:t>
      </w:r>
      <w:r w:rsidR="00AA7F11" w:rsidRPr="00F04A75">
        <w:rPr>
          <w:rFonts w:ascii="Arial Narrow" w:hAnsi="Arial Narrow"/>
          <w:sz w:val="18"/>
          <w:szCs w:val="18"/>
        </w:rPr>
        <w:t>; SAE = serious adverse event; TEAE = treatment emergent adverse event</w:t>
      </w:r>
    </w:p>
    <w:p w14:paraId="000CEA83" w14:textId="77777777" w:rsidR="00F97782" w:rsidRPr="00F04A75" w:rsidRDefault="00F97782" w:rsidP="00617CA6"/>
    <w:p w14:paraId="0A8D5964" w14:textId="7430A9D9" w:rsidR="00C51647" w:rsidRPr="00F04A75" w:rsidRDefault="00F97782" w:rsidP="00C51647">
      <w:pPr>
        <w:numPr>
          <w:ilvl w:val="1"/>
          <w:numId w:val="1"/>
        </w:numPr>
        <w:spacing w:after="120"/>
        <w:rPr>
          <w:rFonts w:ascii="Arial Narrow" w:hAnsi="Arial Narrow"/>
          <w:sz w:val="18"/>
          <w:szCs w:val="18"/>
        </w:rPr>
      </w:pPr>
      <w:r w:rsidRPr="00F04A75">
        <w:rPr>
          <w:snapToGrid w:val="0"/>
          <w:color w:val="000000"/>
        </w:rPr>
        <w:t xml:space="preserve">The most frequently reported Grade 3-4 AEs in ASPIRE </w:t>
      </w:r>
      <w:r w:rsidR="00E304E0" w:rsidRPr="00F04A75">
        <w:rPr>
          <w:snapToGrid w:val="0"/>
          <w:color w:val="000000"/>
        </w:rPr>
        <w:t>(</w:t>
      </w:r>
      <w:proofErr w:type="spellStart"/>
      <w:r w:rsidR="00E304E0" w:rsidRPr="00F04A75">
        <w:rPr>
          <w:snapToGrid w:val="0"/>
          <w:color w:val="000000"/>
        </w:rPr>
        <w:t>CLd</w:t>
      </w:r>
      <w:proofErr w:type="spellEnd"/>
      <w:r w:rsidR="00D66676" w:rsidRPr="00F04A75">
        <w:rPr>
          <w:snapToGrid w:val="0"/>
          <w:color w:val="000000"/>
        </w:rPr>
        <w:t xml:space="preserve"> versus</w:t>
      </w:r>
      <w:r w:rsidR="007157C9" w:rsidRPr="00F04A75">
        <w:rPr>
          <w:snapToGrid w:val="0"/>
          <w:color w:val="000000"/>
        </w:rPr>
        <w:t xml:space="preserve"> </w:t>
      </w:r>
      <w:proofErr w:type="spellStart"/>
      <w:r w:rsidR="007157C9" w:rsidRPr="00F04A75">
        <w:rPr>
          <w:snapToGrid w:val="0"/>
          <w:color w:val="000000"/>
        </w:rPr>
        <w:t>Ld</w:t>
      </w:r>
      <w:proofErr w:type="spellEnd"/>
      <w:r w:rsidR="007157C9" w:rsidRPr="00F04A75">
        <w:rPr>
          <w:snapToGrid w:val="0"/>
          <w:color w:val="000000"/>
        </w:rPr>
        <w:t>)</w:t>
      </w:r>
      <w:r w:rsidRPr="00F04A75">
        <w:rPr>
          <w:snapToGrid w:val="0"/>
          <w:color w:val="000000"/>
        </w:rPr>
        <w:t xml:space="preserve"> were neutropenia</w:t>
      </w:r>
      <w:r w:rsidR="0096741F" w:rsidRPr="00F04A75">
        <w:rPr>
          <w:snapToGrid w:val="0"/>
          <w:color w:val="000000"/>
        </w:rPr>
        <w:t xml:space="preserve"> </w:t>
      </w:r>
      <w:r w:rsidR="007157C9" w:rsidRPr="00F04A75">
        <w:rPr>
          <w:rFonts w:cstheme="minorHAnsi"/>
          <w:szCs w:val="22"/>
        </w:rPr>
        <w:t>(31.1%, 27.5%)</w:t>
      </w:r>
      <w:r w:rsidRPr="00F04A75">
        <w:rPr>
          <w:snapToGrid w:val="0"/>
          <w:color w:val="000000"/>
        </w:rPr>
        <w:t>, anaemia</w:t>
      </w:r>
      <w:r w:rsidR="007157C9" w:rsidRPr="00F04A75">
        <w:rPr>
          <w:snapToGrid w:val="0"/>
          <w:color w:val="000000"/>
        </w:rPr>
        <w:t xml:space="preserve"> </w:t>
      </w:r>
      <w:r w:rsidR="007157C9" w:rsidRPr="00F04A75">
        <w:rPr>
          <w:rFonts w:cstheme="minorHAnsi"/>
          <w:szCs w:val="22"/>
        </w:rPr>
        <w:t>(18.6%, 17.5%)</w:t>
      </w:r>
      <w:r w:rsidRPr="00F04A75">
        <w:rPr>
          <w:snapToGrid w:val="0"/>
          <w:color w:val="000000"/>
        </w:rPr>
        <w:t>, pneumonia</w:t>
      </w:r>
      <w:r w:rsidR="001A702E" w:rsidRPr="00F04A75">
        <w:rPr>
          <w:snapToGrid w:val="0"/>
          <w:color w:val="000000"/>
        </w:rPr>
        <w:t xml:space="preserve"> </w:t>
      </w:r>
      <w:r w:rsidR="001A702E" w:rsidRPr="00F04A75">
        <w:rPr>
          <w:rFonts w:cstheme="minorHAnsi"/>
          <w:szCs w:val="22"/>
        </w:rPr>
        <w:t>(16.1%, 12.1%)</w:t>
      </w:r>
      <w:r w:rsidRPr="00F04A75">
        <w:rPr>
          <w:snapToGrid w:val="0"/>
          <w:color w:val="000000"/>
        </w:rPr>
        <w:t>, thrombocytopenia</w:t>
      </w:r>
      <w:r w:rsidR="001A702E" w:rsidRPr="00F04A75">
        <w:rPr>
          <w:snapToGrid w:val="0"/>
          <w:color w:val="000000"/>
        </w:rPr>
        <w:t xml:space="preserve"> </w:t>
      </w:r>
      <w:r w:rsidR="0060671A" w:rsidRPr="00F04A75">
        <w:rPr>
          <w:rFonts w:cstheme="minorHAnsi"/>
          <w:szCs w:val="22"/>
        </w:rPr>
        <w:t xml:space="preserve">(16.8%, 13.1%) and </w:t>
      </w:r>
      <w:r w:rsidR="00DB420E" w:rsidRPr="00F04A75">
        <w:rPr>
          <w:rFonts w:cstheme="minorHAnsi"/>
          <w:szCs w:val="22"/>
        </w:rPr>
        <w:t>hypokalaemia</w:t>
      </w:r>
      <w:r w:rsidR="0060671A" w:rsidRPr="00F04A75">
        <w:rPr>
          <w:rFonts w:cstheme="minorHAnsi"/>
          <w:szCs w:val="22"/>
        </w:rPr>
        <w:t xml:space="preserve"> (10.5%, 5.9%).</w:t>
      </w:r>
      <w:r w:rsidR="00EE0DB4" w:rsidRPr="00F04A75">
        <w:rPr>
          <w:rFonts w:cstheme="minorHAnsi"/>
          <w:szCs w:val="22"/>
        </w:rPr>
        <w:t xml:space="preserve"> However, no statistically significant differences were noted. </w:t>
      </w:r>
    </w:p>
    <w:p w14:paraId="6BAB14D6" w14:textId="77777777" w:rsidR="00527B51" w:rsidRPr="00F04A75" w:rsidRDefault="00F97782" w:rsidP="00C51647">
      <w:pPr>
        <w:numPr>
          <w:ilvl w:val="1"/>
          <w:numId w:val="1"/>
        </w:numPr>
        <w:spacing w:after="120"/>
        <w:rPr>
          <w:rFonts w:ascii="Arial Narrow" w:hAnsi="Arial Narrow"/>
          <w:sz w:val="18"/>
          <w:szCs w:val="18"/>
        </w:rPr>
      </w:pPr>
      <w:r w:rsidRPr="00F04A75">
        <w:t>The resubmission included the costs of using growth-colony stimulating factors (G-CSF) for</w:t>
      </w:r>
      <w:r w:rsidR="004A3507" w:rsidRPr="00F04A75">
        <w:t xml:space="preserve"> the</w:t>
      </w:r>
      <w:r w:rsidRPr="00F04A75">
        <w:t xml:space="preserve"> treatment of neutropenia in the CMA. This was appropriate.</w:t>
      </w:r>
      <w:r w:rsidR="00423876" w:rsidRPr="00F04A75">
        <w:t xml:space="preserve"> </w:t>
      </w:r>
    </w:p>
    <w:p w14:paraId="1D4B567D" w14:textId="77777777" w:rsidR="00F97782" w:rsidRPr="00F04A75" w:rsidRDefault="00F97782" w:rsidP="00513834">
      <w:pPr>
        <w:pStyle w:val="3-BodyText"/>
        <w:numPr>
          <w:ilvl w:val="0"/>
          <w:numId w:val="0"/>
        </w:numPr>
        <w:rPr>
          <w:color w:val="000000" w:themeColor="text1"/>
          <w:u w:val="single"/>
        </w:rPr>
      </w:pPr>
      <w:r w:rsidRPr="00F04A75">
        <w:rPr>
          <w:u w:val="single"/>
        </w:rPr>
        <w:t xml:space="preserve">Cd versus Bd </w:t>
      </w:r>
      <w:r w:rsidR="00BD478E" w:rsidRPr="00F04A75">
        <w:rPr>
          <w:u w:val="single"/>
        </w:rPr>
        <w:t>(</w:t>
      </w:r>
      <w:r w:rsidRPr="00F04A75">
        <w:rPr>
          <w:color w:val="000000" w:themeColor="text1"/>
          <w:u w:val="single"/>
        </w:rPr>
        <w:t>ENDEAVOR trial</w:t>
      </w:r>
      <w:r w:rsidR="00BD478E" w:rsidRPr="00F04A75">
        <w:rPr>
          <w:color w:val="000000" w:themeColor="text1"/>
          <w:u w:val="single"/>
        </w:rPr>
        <w:t>)</w:t>
      </w:r>
    </w:p>
    <w:p w14:paraId="6E41CDB4" w14:textId="7E74C364" w:rsidR="00F97782" w:rsidRPr="00F04A75" w:rsidRDefault="00F97782" w:rsidP="0016658B">
      <w:pPr>
        <w:pStyle w:val="3-BodyText"/>
        <w:rPr>
          <w:color w:val="000000" w:themeColor="text1"/>
        </w:rPr>
      </w:pPr>
      <w:r w:rsidRPr="00F04A75">
        <w:rPr>
          <w:color w:val="000000" w:themeColor="text1"/>
        </w:rPr>
        <w:t xml:space="preserve">The summary of AEs reported in ENDEAVOR is </w:t>
      </w:r>
      <w:r w:rsidRPr="00F04A75">
        <w:rPr>
          <w:rFonts w:cstheme="minorHAnsi"/>
          <w:color w:val="000000" w:themeColor="text1"/>
        </w:rPr>
        <w:t xml:space="preserve">presented in </w:t>
      </w:r>
      <w:r w:rsidR="001E17F4" w:rsidRPr="00F04A75">
        <w:rPr>
          <w:rFonts w:cstheme="minorHAnsi"/>
          <w:color w:val="000000" w:themeColor="text1"/>
        </w:rPr>
        <w:t xml:space="preserve">Table </w:t>
      </w:r>
      <w:r w:rsidR="00C8791A">
        <w:rPr>
          <w:rFonts w:cstheme="minorHAnsi"/>
          <w:color w:val="000000" w:themeColor="text1"/>
        </w:rPr>
        <w:t>15</w:t>
      </w:r>
      <w:r w:rsidRPr="00F04A75">
        <w:rPr>
          <w:rFonts w:cstheme="minorHAnsi"/>
          <w:color w:val="000000" w:themeColor="text1"/>
        </w:rPr>
        <w:t>. Treatment</w:t>
      </w:r>
      <w:r w:rsidRPr="00F04A75">
        <w:rPr>
          <w:color w:val="000000" w:themeColor="text1"/>
        </w:rPr>
        <w:t xml:space="preserve"> with Cd was associated with more Grade </w:t>
      </w:r>
      <w:r w:rsidR="00CB0A27">
        <w:rPr>
          <w:rFonts w:cstheme="minorHAnsi"/>
          <w:color w:val="000000" w:themeColor="text1"/>
        </w:rPr>
        <w:t>≥</w:t>
      </w:r>
      <w:r w:rsidR="00CB0A27">
        <w:rPr>
          <w:color w:val="000000" w:themeColor="text1"/>
        </w:rPr>
        <w:t xml:space="preserve"> </w:t>
      </w:r>
      <w:r w:rsidRPr="00F04A75">
        <w:rPr>
          <w:color w:val="000000" w:themeColor="text1"/>
        </w:rPr>
        <w:t xml:space="preserve">3 and serious AEs </w:t>
      </w:r>
      <w:r w:rsidR="004A3507" w:rsidRPr="00F04A75">
        <w:rPr>
          <w:color w:val="000000" w:themeColor="text1"/>
        </w:rPr>
        <w:t xml:space="preserve">compared to </w:t>
      </w:r>
      <w:r w:rsidRPr="00F04A75">
        <w:rPr>
          <w:color w:val="000000" w:themeColor="text1"/>
        </w:rPr>
        <w:t xml:space="preserve">Bd. </w:t>
      </w:r>
    </w:p>
    <w:p w14:paraId="6D7D597D" w14:textId="31E0D7C5" w:rsidR="00F97782" w:rsidRPr="00F04A75" w:rsidRDefault="00F97782" w:rsidP="0016658B">
      <w:pPr>
        <w:pStyle w:val="Caption"/>
        <w:keepNext/>
        <w:spacing w:after="0"/>
        <w:rPr>
          <w:rFonts w:ascii="Arial Narrow" w:hAnsi="Arial Narrow"/>
          <w:b w:val="0"/>
          <w:bCs w:val="0"/>
          <w:sz w:val="20"/>
          <w:szCs w:val="20"/>
        </w:rPr>
      </w:pPr>
      <w:r w:rsidRPr="00F04A75">
        <w:rPr>
          <w:rFonts w:ascii="Arial Narrow" w:hAnsi="Arial Narrow"/>
          <w:color w:val="auto"/>
          <w:sz w:val="20"/>
          <w:szCs w:val="20"/>
        </w:rPr>
        <w:t xml:space="preserve">Table </w:t>
      </w:r>
      <w:r w:rsidR="001E17F4" w:rsidRPr="00F04A75">
        <w:rPr>
          <w:rFonts w:ascii="Arial Narrow" w:hAnsi="Arial Narrow"/>
          <w:color w:val="auto"/>
          <w:sz w:val="20"/>
          <w:szCs w:val="20"/>
        </w:rPr>
        <w:t>1</w:t>
      </w:r>
      <w:r w:rsidR="00C8791A">
        <w:rPr>
          <w:rFonts w:ascii="Arial Narrow" w:hAnsi="Arial Narrow"/>
          <w:color w:val="auto"/>
          <w:sz w:val="20"/>
          <w:szCs w:val="20"/>
        </w:rPr>
        <w:t>5</w:t>
      </w:r>
      <w:r w:rsidRPr="00F04A75">
        <w:rPr>
          <w:rFonts w:ascii="Arial Narrow" w:hAnsi="Arial Narrow"/>
          <w:color w:val="auto"/>
          <w:sz w:val="20"/>
          <w:szCs w:val="20"/>
        </w:rPr>
        <w:t>:</w:t>
      </w:r>
      <w:r w:rsidRPr="00F04A75">
        <w:rPr>
          <w:rStyle w:val="CommentReference"/>
          <w:color w:val="auto"/>
          <w:szCs w:val="20"/>
        </w:rPr>
        <w:t xml:space="preserve"> </w:t>
      </w:r>
      <w:r w:rsidRPr="00F04A75">
        <w:rPr>
          <w:rStyle w:val="CommentReference"/>
          <w:b/>
          <w:color w:val="auto"/>
          <w:szCs w:val="20"/>
        </w:rPr>
        <w:t>Summary of safety outcomes from ENDEAVOR (3 January 2017 data cut-off; follow up 37 months)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1984"/>
        <w:gridCol w:w="1843"/>
        <w:gridCol w:w="1508"/>
      </w:tblGrid>
      <w:tr w:rsidR="00F97782" w:rsidRPr="00F04A75" w14:paraId="451B4CE9" w14:textId="77777777" w:rsidTr="00AA7F11">
        <w:trPr>
          <w:tblHeader/>
        </w:trPr>
        <w:tc>
          <w:tcPr>
            <w:tcW w:w="3681" w:type="dxa"/>
            <w:tcMar>
              <w:left w:w="28" w:type="dxa"/>
              <w:right w:w="28" w:type="dxa"/>
            </w:tcMar>
            <w:vAlign w:val="center"/>
          </w:tcPr>
          <w:p w14:paraId="7CDF0E36" w14:textId="77777777" w:rsidR="00F97782" w:rsidRPr="00F04A75" w:rsidRDefault="00F97782" w:rsidP="0016658B">
            <w:pPr>
              <w:pStyle w:val="Tabletext"/>
              <w:keepNext/>
              <w:rPr>
                <w:b/>
              </w:rPr>
            </w:pPr>
          </w:p>
        </w:tc>
        <w:tc>
          <w:tcPr>
            <w:tcW w:w="1984" w:type="dxa"/>
            <w:tcMar>
              <w:left w:w="28" w:type="dxa"/>
              <w:right w:w="28" w:type="dxa"/>
            </w:tcMar>
            <w:vAlign w:val="center"/>
          </w:tcPr>
          <w:p w14:paraId="14312CEC" w14:textId="77777777" w:rsidR="00F97782" w:rsidRPr="00F04A75" w:rsidRDefault="00F97782" w:rsidP="0016658B">
            <w:pPr>
              <w:pStyle w:val="Tabletext"/>
              <w:keepNext/>
              <w:jc w:val="center"/>
              <w:rPr>
                <w:b/>
              </w:rPr>
            </w:pPr>
            <w:r w:rsidRPr="00F04A75">
              <w:rPr>
                <w:b/>
              </w:rPr>
              <w:t>Cd</w:t>
            </w:r>
          </w:p>
          <w:p w14:paraId="3D952497" w14:textId="77777777" w:rsidR="00F97782" w:rsidRPr="00F04A75" w:rsidRDefault="00F97782" w:rsidP="0016658B">
            <w:pPr>
              <w:pStyle w:val="Tabletext"/>
              <w:keepNext/>
              <w:jc w:val="center"/>
              <w:rPr>
                <w:b/>
              </w:rPr>
            </w:pPr>
            <w:r w:rsidRPr="00F04A75">
              <w:rPr>
                <w:b/>
              </w:rPr>
              <w:t>n with event/N (%)</w:t>
            </w:r>
          </w:p>
        </w:tc>
        <w:tc>
          <w:tcPr>
            <w:tcW w:w="1843" w:type="dxa"/>
            <w:tcMar>
              <w:left w:w="28" w:type="dxa"/>
              <w:right w:w="28" w:type="dxa"/>
            </w:tcMar>
            <w:vAlign w:val="center"/>
          </w:tcPr>
          <w:p w14:paraId="1DA979F1" w14:textId="77777777" w:rsidR="00F97782" w:rsidRPr="00F04A75" w:rsidRDefault="00F97782" w:rsidP="0016658B">
            <w:pPr>
              <w:pStyle w:val="Tabletext"/>
              <w:keepNext/>
              <w:jc w:val="center"/>
              <w:rPr>
                <w:b/>
              </w:rPr>
            </w:pPr>
            <w:r w:rsidRPr="00F04A75">
              <w:rPr>
                <w:b/>
              </w:rPr>
              <w:t>Bd</w:t>
            </w:r>
          </w:p>
          <w:p w14:paraId="09B7D82A" w14:textId="77777777" w:rsidR="00F97782" w:rsidRPr="00F04A75" w:rsidRDefault="00F97782" w:rsidP="0016658B">
            <w:pPr>
              <w:pStyle w:val="Tabletext"/>
              <w:keepNext/>
              <w:jc w:val="center"/>
              <w:rPr>
                <w:b/>
              </w:rPr>
            </w:pPr>
            <w:r w:rsidRPr="00F04A75">
              <w:rPr>
                <w:b/>
              </w:rPr>
              <w:t>n with event/N (%)</w:t>
            </w:r>
          </w:p>
        </w:tc>
        <w:tc>
          <w:tcPr>
            <w:tcW w:w="1508" w:type="dxa"/>
            <w:tcMar>
              <w:left w:w="28" w:type="dxa"/>
              <w:right w:w="28" w:type="dxa"/>
            </w:tcMar>
            <w:vAlign w:val="center"/>
          </w:tcPr>
          <w:p w14:paraId="6CEC6CEA" w14:textId="77777777" w:rsidR="00F97782" w:rsidRPr="00F04A75" w:rsidRDefault="00F97782" w:rsidP="0016658B">
            <w:pPr>
              <w:pStyle w:val="Tabletext"/>
              <w:keepNext/>
              <w:jc w:val="center"/>
              <w:rPr>
                <w:b/>
              </w:rPr>
            </w:pPr>
            <w:r w:rsidRPr="00F04A75">
              <w:rPr>
                <w:b/>
              </w:rPr>
              <w:t>RR (95% CI)</w:t>
            </w:r>
          </w:p>
        </w:tc>
      </w:tr>
      <w:tr w:rsidR="00F97782" w:rsidRPr="00F04A75" w14:paraId="7A11E3BD" w14:textId="77777777" w:rsidTr="00AA7F11">
        <w:trPr>
          <w:tblHeader/>
        </w:trPr>
        <w:tc>
          <w:tcPr>
            <w:tcW w:w="3681" w:type="dxa"/>
            <w:tcMar>
              <w:left w:w="28" w:type="dxa"/>
              <w:right w:w="28" w:type="dxa"/>
            </w:tcMar>
          </w:tcPr>
          <w:p w14:paraId="436262E2" w14:textId="77777777" w:rsidR="00F97782" w:rsidRPr="00F04A75" w:rsidRDefault="00F97782" w:rsidP="0016658B">
            <w:pPr>
              <w:pStyle w:val="Tabletext"/>
              <w:keepNext/>
              <w:rPr>
                <w:b/>
                <w:bCs/>
              </w:rPr>
            </w:pPr>
            <w:r w:rsidRPr="00F04A75">
              <w:rPr>
                <w:b/>
                <w:bCs/>
                <w:szCs w:val="20"/>
              </w:rPr>
              <w:t>Median treatment duration</w:t>
            </w:r>
          </w:p>
        </w:tc>
        <w:tc>
          <w:tcPr>
            <w:tcW w:w="1984" w:type="dxa"/>
            <w:tcMar>
              <w:left w:w="28" w:type="dxa"/>
              <w:right w:w="28" w:type="dxa"/>
            </w:tcMar>
          </w:tcPr>
          <w:p w14:paraId="30784295" w14:textId="77777777" w:rsidR="00F97782" w:rsidRPr="00F04A75" w:rsidRDefault="00F97782" w:rsidP="0016658B">
            <w:pPr>
              <w:pStyle w:val="Tabletext"/>
              <w:keepNext/>
              <w:jc w:val="center"/>
              <w:rPr>
                <w:b/>
                <w:bCs/>
              </w:rPr>
            </w:pPr>
            <w:r w:rsidRPr="00F04A75">
              <w:rPr>
                <w:rFonts w:cstheme="minorHAnsi"/>
                <w:b/>
                <w:bCs/>
                <w:szCs w:val="20"/>
                <w:lang w:bidi="hi-IN"/>
              </w:rPr>
              <w:t>48 weeks</w:t>
            </w:r>
          </w:p>
        </w:tc>
        <w:tc>
          <w:tcPr>
            <w:tcW w:w="1843" w:type="dxa"/>
            <w:tcMar>
              <w:left w:w="28" w:type="dxa"/>
              <w:right w:w="28" w:type="dxa"/>
            </w:tcMar>
          </w:tcPr>
          <w:p w14:paraId="109F16BD" w14:textId="77777777" w:rsidR="00F97782" w:rsidRPr="00F04A75" w:rsidRDefault="00F97782" w:rsidP="0016658B">
            <w:pPr>
              <w:pStyle w:val="Tabletext"/>
              <w:keepNext/>
              <w:jc w:val="center"/>
              <w:rPr>
                <w:b/>
                <w:bCs/>
              </w:rPr>
            </w:pPr>
            <w:r w:rsidRPr="00F04A75">
              <w:rPr>
                <w:rFonts w:cstheme="minorHAnsi"/>
                <w:b/>
                <w:bCs/>
                <w:szCs w:val="20"/>
                <w:lang w:bidi="hi-IN"/>
              </w:rPr>
              <w:t>27 weeks</w:t>
            </w:r>
          </w:p>
        </w:tc>
        <w:tc>
          <w:tcPr>
            <w:tcW w:w="1508" w:type="dxa"/>
            <w:tcMar>
              <w:left w:w="28" w:type="dxa"/>
              <w:right w:w="28" w:type="dxa"/>
            </w:tcMar>
            <w:vAlign w:val="center"/>
          </w:tcPr>
          <w:p w14:paraId="42380483" w14:textId="77777777" w:rsidR="00F97782" w:rsidRPr="00F04A75" w:rsidRDefault="00F97782" w:rsidP="0016658B">
            <w:pPr>
              <w:pStyle w:val="Tabletext"/>
              <w:keepNext/>
              <w:jc w:val="center"/>
              <w:rPr>
                <w:b/>
              </w:rPr>
            </w:pPr>
          </w:p>
        </w:tc>
      </w:tr>
      <w:tr w:rsidR="00F97782" w:rsidRPr="00F04A75" w14:paraId="1ED757D9" w14:textId="77777777" w:rsidTr="00AA7F11">
        <w:tc>
          <w:tcPr>
            <w:tcW w:w="3681" w:type="dxa"/>
            <w:tcMar>
              <w:left w:w="28" w:type="dxa"/>
              <w:right w:w="28" w:type="dxa"/>
            </w:tcMar>
          </w:tcPr>
          <w:p w14:paraId="1B5AB4CF" w14:textId="77777777" w:rsidR="00F97782" w:rsidRPr="00F04A75" w:rsidRDefault="00F97782" w:rsidP="0016658B">
            <w:pPr>
              <w:pStyle w:val="Tabletext"/>
              <w:keepNext/>
            </w:pPr>
            <w:r w:rsidRPr="00F04A75">
              <w:t>Patients with any AE</w:t>
            </w:r>
          </w:p>
        </w:tc>
        <w:tc>
          <w:tcPr>
            <w:tcW w:w="1984" w:type="dxa"/>
            <w:tcMar>
              <w:left w:w="28" w:type="dxa"/>
              <w:right w:w="28" w:type="dxa"/>
            </w:tcMar>
          </w:tcPr>
          <w:p w14:paraId="01D73974" w14:textId="37782D7A" w:rsidR="00F97782" w:rsidRPr="00F04A75" w:rsidRDefault="00F97782" w:rsidP="0016658B">
            <w:pPr>
              <w:pStyle w:val="Tabletext"/>
              <w:keepNext/>
              <w:jc w:val="center"/>
            </w:pPr>
            <w:r w:rsidRPr="00F04A75">
              <w:t>457/463 (98.7)</w:t>
            </w:r>
          </w:p>
        </w:tc>
        <w:tc>
          <w:tcPr>
            <w:tcW w:w="1843" w:type="dxa"/>
            <w:tcMar>
              <w:left w:w="28" w:type="dxa"/>
              <w:right w:w="28" w:type="dxa"/>
            </w:tcMar>
          </w:tcPr>
          <w:p w14:paraId="38C3B8DC" w14:textId="108B5652" w:rsidR="00F97782" w:rsidRPr="00F04A75" w:rsidRDefault="00F97782" w:rsidP="0016658B">
            <w:pPr>
              <w:pStyle w:val="Tabletext"/>
              <w:keepNext/>
              <w:jc w:val="center"/>
            </w:pPr>
            <w:r w:rsidRPr="00F04A75">
              <w:t>451/456 (98.9)</w:t>
            </w:r>
          </w:p>
        </w:tc>
        <w:tc>
          <w:tcPr>
            <w:tcW w:w="1508" w:type="dxa"/>
            <w:tcMar>
              <w:left w:w="28" w:type="dxa"/>
              <w:right w:w="28" w:type="dxa"/>
            </w:tcMar>
          </w:tcPr>
          <w:p w14:paraId="47979FB9" w14:textId="77777777" w:rsidR="00F97782" w:rsidRPr="00F04A75" w:rsidRDefault="00F97782" w:rsidP="0016658B">
            <w:pPr>
              <w:pStyle w:val="Tabletext"/>
              <w:keepNext/>
              <w:jc w:val="center"/>
            </w:pPr>
            <w:r w:rsidRPr="00F04A75">
              <w:t>1.00 (0.98, 1.01)</w:t>
            </w:r>
          </w:p>
        </w:tc>
      </w:tr>
      <w:tr w:rsidR="00F97782" w:rsidRPr="00F04A75" w14:paraId="5FA5B3F1" w14:textId="77777777" w:rsidTr="00AA7F11">
        <w:tc>
          <w:tcPr>
            <w:tcW w:w="3681" w:type="dxa"/>
            <w:tcMar>
              <w:left w:w="28" w:type="dxa"/>
              <w:right w:w="28" w:type="dxa"/>
            </w:tcMar>
          </w:tcPr>
          <w:p w14:paraId="4651D8ED" w14:textId="77777777" w:rsidR="00F97782" w:rsidRPr="00F04A75" w:rsidRDefault="00F97782" w:rsidP="0016658B">
            <w:pPr>
              <w:pStyle w:val="Tabletext"/>
              <w:keepNext/>
            </w:pPr>
            <w:r w:rsidRPr="00F04A75">
              <w:t>Patients with Grade 3+ AE</w:t>
            </w:r>
          </w:p>
        </w:tc>
        <w:tc>
          <w:tcPr>
            <w:tcW w:w="1984" w:type="dxa"/>
            <w:tcMar>
              <w:left w:w="28" w:type="dxa"/>
              <w:right w:w="28" w:type="dxa"/>
            </w:tcMar>
          </w:tcPr>
          <w:p w14:paraId="4CFBE5AC" w14:textId="18756F40" w:rsidR="00F97782" w:rsidRPr="00F04A75" w:rsidRDefault="00F97782" w:rsidP="0016658B">
            <w:pPr>
              <w:pStyle w:val="Tabletext"/>
              <w:keepNext/>
              <w:jc w:val="center"/>
            </w:pPr>
            <w:r w:rsidRPr="00F04A75">
              <w:t>377/463 (81.4)</w:t>
            </w:r>
          </w:p>
        </w:tc>
        <w:tc>
          <w:tcPr>
            <w:tcW w:w="1843" w:type="dxa"/>
            <w:tcMar>
              <w:left w:w="28" w:type="dxa"/>
              <w:right w:w="28" w:type="dxa"/>
            </w:tcMar>
          </w:tcPr>
          <w:p w14:paraId="76A6CEB3" w14:textId="4C7B3B90" w:rsidR="00F97782" w:rsidRPr="00F04A75" w:rsidRDefault="00F97782" w:rsidP="0016658B">
            <w:pPr>
              <w:pStyle w:val="Tabletext"/>
              <w:keepNext/>
              <w:jc w:val="center"/>
            </w:pPr>
            <w:r w:rsidRPr="00F04A75">
              <w:t>324/456 (71.1)</w:t>
            </w:r>
          </w:p>
        </w:tc>
        <w:tc>
          <w:tcPr>
            <w:tcW w:w="1508" w:type="dxa"/>
            <w:tcMar>
              <w:left w:w="28" w:type="dxa"/>
              <w:right w:w="28" w:type="dxa"/>
            </w:tcMar>
          </w:tcPr>
          <w:p w14:paraId="78549359" w14:textId="77777777" w:rsidR="00F97782" w:rsidRPr="00F04A75" w:rsidRDefault="00F97782" w:rsidP="0016658B">
            <w:pPr>
              <w:pStyle w:val="Tabletext"/>
              <w:keepNext/>
              <w:jc w:val="center"/>
            </w:pPr>
            <w:r w:rsidRPr="00F04A75">
              <w:rPr>
                <w:bCs/>
              </w:rPr>
              <w:t>1.15 (1.07, 1.24)</w:t>
            </w:r>
          </w:p>
        </w:tc>
      </w:tr>
      <w:tr w:rsidR="00F97782" w:rsidRPr="00F04A75" w14:paraId="6D273FF6" w14:textId="77777777" w:rsidTr="00AA7F11">
        <w:tc>
          <w:tcPr>
            <w:tcW w:w="3681" w:type="dxa"/>
            <w:tcMar>
              <w:left w:w="28" w:type="dxa"/>
              <w:right w:w="28" w:type="dxa"/>
            </w:tcMar>
          </w:tcPr>
          <w:p w14:paraId="72F51311" w14:textId="12012DA7" w:rsidR="00F97782" w:rsidRPr="00F04A75" w:rsidRDefault="00F97782" w:rsidP="0016658B">
            <w:pPr>
              <w:pStyle w:val="Tabletext"/>
              <w:keepNext/>
            </w:pPr>
            <w:r w:rsidRPr="00F04A75">
              <w:t xml:space="preserve">Patients with </w:t>
            </w:r>
            <w:r w:rsidR="00AA7F11" w:rsidRPr="00F04A75">
              <w:t>S</w:t>
            </w:r>
            <w:r w:rsidRPr="00F04A75">
              <w:t>AE</w:t>
            </w:r>
          </w:p>
        </w:tc>
        <w:tc>
          <w:tcPr>
            <w:tcW w:w="1984" w:type="dxa"/>
            <w:tcMar>
              <w:left w:w="28" w:type="dxa"/>
              <w:right w:w="28" w:type="dxa"/>
            </w:tcMar>
          </w:tcPr>
          <w:p w14:paraId="3EE9704E" w14:textId="6C399A20" w:rsidR="00F97782" w:rsidRPr="00F04A75" w:rsidRDefault="00F97782" w:rsidP="0016658B">
            <w:pPr>
              <w:pStyle w:val="Tabletext"/>
              <w:keepNext/>
              <w:jc w:val="center"/>
            </w:pPr>
            <w:r w:rsidRPr="00F04A75">
              <w:t>273/463 (59.0)</w:t>
            </w:r>
          </w:p>
        </w:tc>
        <w:tc>
          <w:tcPr>
            <w:tcW w:w="1843" w:type="dxa"/>
            <w:tcMar>
              <w:left w:w="28" w:type="dxa"/>
              <w:right w:w="28" w:type="dxa"/>
            </w:tcMar>
          </w:tcPr>
          <w:p w14:paraId="1C86475D" w14:textId="2EA8F0DC" w:rsidR="00F97782" w:rsidRPr="00F04A75" w:rsidRDefault="00F97782" w:rsidP="0016658B">
            <w:pPr>
              <w:pStyle w:val="Tabletext"/>
              <w:keepNext/>
              <w:jc w:val="center"/>
            </w:pPr>
            <w:r w:rsidRPr="00F04A75">
              <w:t>182/456 (39.9)</w:t>
            </w:r>
          </w:p>
        </w:tc>
        <w:tc>
          <w:tcPr>
            <w:tcW w:w="1508" w:type="dxa"/>
            <w:tcMar>
              <w:left w:w="28" w:type="dxa"/>
              <w:right w:w="28" w:type="dxa"/>
            </w:tcMar>
          </w:tcPr>
          <w:p w14:paraId="666C8B42" w14:textId="77777777" w:rsidR="00F97782" w:rsidRPr="00F04A75" w:rsidRDefault="00F97782" w:rsidP="0016658B">
            <w:pPr>
              <w:pStyle w:val="Tabletext"/>
              <w:keepNext/>
              <w:jc w:val="center"/>
            </w:pPr>
            <w:r w:rsidRPr="00F04A75">
              <w:rPr>
                <w:bCs/>
              </w:rPr>
              <w:t>1.48 (1.29, 1.69)</w:t>
            </w:r>
          </w:p>
        </w:tc>
      </w:tr>
      <w:tr w:rsidR="00F97782" w:rsidRPr="00F04A75" w14:paraId="032DB891" w14:textId="77777777" w:rsidTr="00AA7F11">
        <w:tc>
          <w:tcPr>
            <w:tcW w:w="3681" w:type="dxa"/>
            <w:tcMar>
              <w:left w:w="28" w:type="dxa"/>
              <w:right w:w="28" w:type="dxa"/>
            </w:tcMar>
          </w:tcPr>
          <w:p w14:paraId="15CDAA2B" w14:textId="77777777" w:rsidR="00F97782" w:rsidRPr="00F04A75" w:rsidRDefault="00F97782" w:rsidP="0016658B">
            <w:pPr>
              <w:pStyle w:val="Tabletext"/>
              <w:keepNext/>
            </w:pPr>
            <w:r w:rsidRPr="00F04A75">
              <w:t>Patients with AE leading to discontinuation</w:t>
            </w:r>
          </w:p>
        </w:tc>
        <w:tc>
          <w:tcPr>
            <w:tcW w:w="1984" w:type="dxa"/>
            <w:tcMar>
              <w:left w:w="28" w:type="dxa"/>
              <w:right w:w="28" w:type="dxa"/>
            </w:tcMar>
          </w:tcPr>
          <w:p w14:paraId="0E05F962" w14:textId="78DAC072" w:rsidR="00F97782" w:rsidRPr="00F04A75" w:rsidRDefault="00F97782" w:rsidP="0016658B">
            <w:pPr>
              <w:pStyle w:val="Tabletext"/>
              <w:keepNext/>
              <w:jc w:val="center"/>
            </w:pPr>
            <w:r w:rsidRPr="00F04A75">
              <w:t>133/463 (28.7)</w:t>
            </w:r>
          </w:p>
        </w:tc>
        <w:tc>
          <w:tcPr>
            <w:tcW w:w="1843" w:type="dxa"/>
            <w:tcMar>
              <w:left w:w="28" w:type="dxa"/>
              <w:right w:w="28" w:type="dxa"/>
            </w:tcMar>
          </w:tcPr>
          <w:p w14:paraId="163CDC34" w14:textId="222CF0D4" w:rsidR="00F97782" w:rsidRPr="00F04A75" w:rsidRDefault="00F97782" w:rsidP="0016658B">
            <w:pPr>
              <w:pStyle w:val="Tabletext"/>
              <w:keepNext/>
              <w:jc w:val="center"/>
            </w:pPr>
            <w:r w:rsidRPr="00F04A75">
              <w:t>118/456 (25.9)</w:t>
            </w:r>
          </w:p>
        </w:tc>
        <w:tc>
          <w:tcPr>
            <w:tcW w:w="1508" w:type="dxa"/>
            <w:tcMar>
              <w:left w:w="28" w:type="dxa"/>
              <w:right w:w="28" w:type="dxa"/>
            </w:tcMar>
          </w:tcPr>
          <w:p w14:paraId="37D861D3" w14:textId="77777777" w:rsidR="00F97782" w:rsidRPr="00F04A75" w:rsidRDefault="00F97782" w:rsidP="0016658B">
            <w:pPr>
              <w:pStyle w:val="Tabletext"/>
              <w:keepNext/>
              <w:jc w:val="center"/>
            </w:pPr>
            <w:r w:rsidRPr="00F04A75">
              <w:t>1.11 (0.90, 1.37)</w:t>
            </w:r>
          </w:p>
        </w:tc>
      </w:tr>
      <w:tr w:rsidR="00F97782" w:rsidRPr="00F04A75" w14:paraId="02A2C501" w14:textId="77777777" w:rsidTr="00AA7F11">
        <w:tc>
          <w:tcPr>
            <w:tcW w:w="3681" w:type="dxa"/>
            <w:tcMar>
              <w:left w:w="28" w:type="dxa"/>
              <w:right w:w="28" w:type="dxa"/>
            </w:tcMar>
          </w:tcPr>
          <w:p w14:paraId="0C0E4F25" w14:textId="77777777" w:rsidR="00F97782" w:rsidRPr="00F04A75" w:rsidRDefault="00F97782" w:rsidP="0016658B">
            <w:pPr>
              <w:pStyle w:val="Tabletext"/>
              <w:keepNext/>
            </w:pPr>
            <w:r w:rsidRPr="00F04A75">
              <w:t xml:space="preserve">Patients with AE leading to death </w:t>
            </w:r>
          </w:p>
        </w:tc>
        <w:tc>
          <w:tcPr>
            <w:tcW w:w="1984" w:type="dxa"/>
            <w:tcMar>
              <w:left w:w="28" w:type="dxa"/>
              <w:right w:w="28" w:type="dxa"/>
            </w:tcMar>
          </w:tcPr>
          <w:p w14:paraId="1BFF0853" w14:textId="7B15DB4F" w:rsidR="00F97782" w:rsidRPr="00F04A75" w:rsidRDefault="00F97782" w:rsidP="0016658B">
            <w:pPr>
              <w:pStyle w:val="Tabletext"/>
              <w:keepNext/>
              <w:jc w:val="center"/>
            </w:pPr>
            <w:r w:rsidRPr="00F04A75">
              <w:t>32/463 (6.9)</w:t>
            </w:r>
          </w:p>
        </w:tc>
        <w:tc>
          <w:tcPr>
            <w:tcW w:w="1843" w:type="dxa"/>
            <w:tcMar>
              <w:left w:w="28" w:type="dxa"/>
              <w:right w:w="28" w:type="dxa"/>
            </w:tcMar>
          </w:tcPr>
          <w:p w14:paraId="21EF265F" w14:textId="311FC4BE" w:rsidR="00F97782" w:rsidRPr="00F04A75" w:rsidRDefault="00F97782" w:rsidP="0016658B">
            <w:pPr>
              <w:pStyle w:val="Tabletext"/>
              <w:keepNext/>
              <w:jc w:val="center"/>
            </w:pPr>
            <w:r w:rsidRPr="00F04A75">
              <w:t>21/456 (4.6)</w:t>
            </w:r>
          </w:p>
        </w:tc>
        <w:tc>
          <w:tcPr>
            <w:tcW w:w="1508" w:type="dxa"/>
            <w:tcMar>
              <w:left w:w="28" w:type="dxa"/>
              <w:right w:w="28" w:type="dxa"/>
            </w:tcMar>
          </w:tcPr>
          <w:p w14:paraId="6E9FC704" w14:textId="77777777" w:rsidR="00F97782" w:rsidRPr="00F04A75" w:rsidRDefault="00F97782" w:rsidP="0016658B">
            <w:pPr>
              <w:pStyle w:val="Tabletext"/>
              <w:keepNext/>
              <w:jc w:val="center"/>
            </w:pPr>
            <w:r w:rsidRPr="00F04A75">
              <w:t>1.50 (0.88, 2.56)</w:t>
            </w:r>
          </w:p>
        </w:tc>
      </w:tr>
      <w:tr w:rsidR="00C51647" w:rsidRPr="00F04A75" w14:paraId="0CB0A9C9" w14:textId="77777777" w:rsidTr="0087219F">
        <w:tc>
          <w:tcPr>
            <w:tcW w:w="9016" w:type="dxa"/>
            <w:gridSpan w:val="4"/>
            <w:tcMar>
              <w:left w:w="28" w:type="dxa"/>
              <w:right w:w="28" w:type="dxa"/>
            </w:tcMar>
          </w:tcPr>
          <w:p w14:paraId="396C5975" w14:textId="56FCB352" w:rsidR="00C51647" w:rsidRPr="00F04A75" w:rsidDel="00BD478E" w:rsidRDefault="00C51647" w:rsidP="00C51647">
            <w:pPr>
              <w:pStyle w:val="Tabletext"/>
              <w:keepNext/>
            </w:pPr>
            <w:r w:rsidRPr="00F04A75">
              <w:rPr>
                <w:b/>
                <w:bCs/>
                <w:szCs w:val="20"/>
              </w:rPr>
              <w:t xml:space="preserve">TEAEs </w:t>
            </w:r>
            <w:r w:rsidRPr="00F04A75">
              <w:rPr>
                <w:rFonts w:cstheme="minorHAnsi"/>
                <w:b/>
                <w:bCs/>
                <w:szCs w:val="20"/>
              </w:rPr>
              <w:t>≥</w:t>
            </w:r>
            <w:r w:rsidR="00AA7F11" w:rsidRPr="00F04A75">
              <w:rPr>
                <w:rFonts w:cstheme="minorHAnsi"/>
                <w:b/>
                <w:bCs/>
                <w:szCs w:val="20"/>
              </w:rPr>
              <w:t xml:space="preserve"> </w:t>
            </w:r>
            <w:r w:rsidRPr="00F04A75">
              <w:rPr>
                <w:rFonts w:cstheme="minorHAnsi"/>
                <w:b/>
                <w:bCs/>
                <w:szCs w:val="20"/>
              </w:rPr>
              <w:t>Grade 3</w:t>
            </w:r>
          </w:p>
        </w:tc>
      </w:tr>
      <w:tr w:rsidR="00D37980" w:rsidRPr="00F04A75" w14:paraId="0A45B395" w14:textId="77777777" w:rsidTr="00AA7F11">
        <w:tc>
          <w:tcPr>
            <w:tcW w:w="3681" w:type="dxa"/>
            <w:tcMar>
              <w:left w:w="28" w:type="dxa"/>
              <w:right w:w="28" w:type="dxa"/>
            </w:tcMar>
          </w:tcPr>
          <w:p w14:paraId="706E4B0D" w14:textId="77777777" w:rsidR="00D37980" w:rsidRPr="00F04A75" w:rsidRDefault="00D37980" w:rsidP="00D37980">
            <w:pPr>
              <w:pStyle w:val="Tabletext"/>
              <w:keepNext/>
            </w:pPr>
            <w:r w:rsidRPr="00F04A75">
              <w:rPr>
                <w:rFonts w:cstheme="minorHAnsi"/>
                <w:szCs w:val="20"/>
              </w:rPr>
              <w:t xml:space="preserve">Neutropenia </w:t>
            </w:r>
          </w:p>
        </w:tc>
        <w:tc>
          <w:tcPr>
            <w:tcW w:w="1984" w:type="dxa"/>
            <w:tcMar>
              <w:left w:w="28" w:type="dxa"/>
              <w:right w:w="28" w:type="dxa"/>
            </w:tcMar>
            <w:vAlign w:val="center"/>
          </w:tcPr>
          <w:p w14:paraId="5242130E" w14:textId="77777777" w:rsidR="00D37980" w:rsidRPr="00F04A75" w:rsidRDefault="00D37980" w:rsidP="00D37980">
            <w:pPr>
              <w:pStyle w:val="Tabletext"/>
              <w:keepNext/>
              <w:jc w:val="center"/>
              <w:rPr>
                <w:highlight w:val="yellow"/>
              </w:rPr>
            </w:pPr>
            <w:r w:rsidRPr="00F04A75">
              <w:rPr>
                <w:szCs w:val="20"/>
              </w:rPr>
              <w:t>11</w:t>
            </w:r>
            <w:r w:rsidR="00CA668E" w:rsidRPr="00F04A75">
              <w:rPr>
                <w:szCs w:val="20"/>
              </w:rPr>
              <w:t>/</w:t>
            </w:r>
            <w:r w:rsidR="00A41270" w:rsidRPr="00F04A75">
              <w:rPr>
                <w:szCs w:val="20"/>
              </w:rPr>
              <w:t>463</w:t>
            </w:r>
            <w:r w:rsidRPr="00F04A75">
              <w:rPr>
                <w:szCs w:val="20"/>
              </w:rPr>
              <w:t xml:space="preserve"> (2.4)</w:t>
            </w:r>
          </w:p>
        </w:tc>
        <w:tc>
          <w:tcPr>
            <w:tcW w:w="1843" w:type="dxa"/>
            <w:tcMar>
              <w:left w:w="28" w:type="dxa"/>
              <w:right w:w="28" w:type="dxa"/>
            </w:tcMar>
          </w:tcPr>
          <w:p w14:paraId="4BE1D820" w14:textId="77777777" w:rsidR="00D37980" w:rsidRPr="00F04A75" w:rsidRDefault="00E4361E" w:rsidP="00D37980">
            <w:pPr>
              <w:pStyle w:val="Tabletext"/>
              <w:keepNext/>
              <w:jc w:val="center"/>
            </w:pPr>
            <w:r w:rsidRPr="00F04A75">
              <w:rPr>
                <w:szCs w:val="20"/>
              </w:rPr>
              <w:t>10</w:t>
            </w:r>
            <w:r w:rsidR="00C70C4E" w:rsidRPr="00F04A75">
              <w:rPr>
                <w:szCs w:val="20"/>
              </w:rPr>
              <w:t>/456</w:t>
            </w:r>
            <w:r w:rsidRPr="00F04A75">
              <w:rPr>
                <w:szCs w:val="20"/>
              </w:rPr>
              <w:t xml:space="preserve"> (2.2)</w:t>
            </w:r>
          </w:p>
        </w:tc>
        <w:tc>
          <w:tcPr>
            <w:tcW w:w="1508" w:type="dxa"/>
            <w:tcMar>
              <w:left w:w="28" w:type="dxa"/>
              <w:right w:w="28" w:type="dxa"/>
            </w:tcMar>
          </w:tcPr>
          <w:p w14:paraId="322D2DE0" w14:textId="77777777" w:rsidR="00D37980" w:rsidRPr="00F04A75" w:rsidDel="00BD478E" w:rsidRDefault="0016408E" w:rsidP="00D37980">
            <w:pPr>
              <w:pStyle w:val="Tabletext"/>
              <w:keepNext/>
              <w:jc w:val="center"/>
            </w:pPr>
            <w:r w:rsidRPr="00F04A75">
              <w:rPr>
                <w:szCs w:val="20"/>
              </w:rPr>
              <w:t>1.08 (0.46, 2.53)</w:t>
            </w:r>
          </w:p>
        </w:tc>
      </w:tr>
      <w:tr w:rsidR="00D37980" w:rsidRPr="00F04A75" w14:paraId="27BEFAC5" w14:textId="77777777" w:rsidTr="00AA7F11">
        <w:tc>
          <w:tcPr>
            <w:tcW w:w="3681" w:type="dxa"/>
            <w:tcMar>
              <w:left w:w="28" w:type="dxa"/>
              <w:right w:w="28" w:type="dxa"/>
            </w:tcMar>
          </w:tcPr>
          <w:p w14:paraId="2F07205D" w14:textId="77777777" w:rsidR="00D37980" w:rsidRPr="00F04A75" w:rsidRDefault="00D37980" w:rsidP="00D37980">
            <w:pPr>
              <w:pStyle w:val="Tabletext"/>
              <w:keepNext/>
            </w:pPr>
            <w:r w:rsidRPr="00F04A75">
              <w:rPr>
                <w:rFonts w:cstheme="minorHAnsi"/>
                <w:szCs w:val="20"/>
              </w:rPr>
              <w:t xml:space="preserve">Anaemia </w:t>
            </w:r>
          </w:p>
        </w:tc>
        <w:tc>
          <w:tcPr>
            <w:tcW w:w="1984" w:type="dxa"/>
            <w:tcMar>
              <w:left w:w="28" w:type="dxa"/>
              <w:right w:w="28" w:type="dxa"/>
            </w:tcMar>
            <w:vAlign w:val="center"/>
          </w:tcPr>
          <w:p w14:paraId="3F716355" w14:textId="77777777" w:rsidR="00D37980" w:rsidRPr="00F04A75" w:rsidRDefault="00D37980" w:rsidP="00D37980">
            <w:pPr>
              <w:pStyle w:val="Tabletext"/>
              <w:keepNext/>
              <w:jc w:val="center"/>
              <w:rPr>
                <w:highlight w:val="yellow"/>
              </w:rPr>
            </w:pPr>
            <w:r w:rsidRPr="00F04A75">
              <w:rPr>
                <w:szCs w:val="20"/>
              </w:rPr>
              <w:t>76</w:t>
            </w:r>
            <w:r w:rsidR="00A41270" w:rsidRPr="00F04A75">
              <w:rPr>
                <w:szCs w:val="20"/>
              </w:rPr>
              <w:t>/463</w:t>
            </w:r>
            <w:r w:rsidRPr="00F04A75">
              <w:rPr>
                <w:szCs w:val="20"/>
              </w:rPr>
              <w:t xml:space="preserve"> (16.4)</w:t>
            </w:r>
          </w:p>
        </w:tc>
        <w:tc>
          <w:tcPr>
            <w:tcW w:w="1843" w:type="dxa"/>
            <w:tcMar>
              <w:left w:w="28" w:type="dxa"/>
              <w:right w:w="28" w:type="dxa"/>
            </w:tcMar>
          </w:tcPr>
          <w:p w14:paraId="7BFC7BA8" w14:textId="77777777" w:rsidR="00D37980" w:rsidRPr="00F04A75" w:rsidRDefault="00E4361E" w:rsidP="00D37980">
            <w:pPr>
              <w:pStyle w:val="Tabletext"/>
              <w:keepNext/>
              <w:jc w:val="center"/>
            </w:pPr>
            <w:r w:rsidRPr="00F04A75">
              <w:rPr>
                <w:szCs w:val="20"/>
              </w:rPr>
              <w:t>46</w:t>
            </w:r>
            <w:r w:rsidR="00C70C4E" w:rsidRPr="00F04A75">
              <w:rPr>
                <w:szCs w:val="20"/>
              </w:rPr>
              <w:t>/456</w:t>
            </w:r>
            <w:r w:rsidRPr="00F04A75">
              <w:rPr>
                <w:szCs w:val="20"/>
              </w:rPr>
              <w:t xml:space="preserve"> (10.1)</w:t>
            </w:r>
          </w:p>
        </w:tc>
        <w:tc>
          <w:tcPr>
            <w:tcW w:w="1508" w:type="dxa"/>
            <w:tcMar>
              <w:left w:w="28" w:type="dxa"/>
              <w:right w:w="28" w:type="dxa"/>
            </w:tcMar>
          </w:tcPr>
          <w:p w14:paraId="2020DCAF" w14:textId="77777777" w:rsidR="00D37980" w:rsidRPr="00F04A75" w:rsidDel="00BD478E" w:rsidRDefault="0016408E" w:rsidP="00D37980">
            <w:pPr>
              <w:pStyle w:val="Tabletext"/>
              <w:keepNext/>
              <w:jc w:val="center"/>
            </w:pPr>
            <w:r w:rsidRPr="00F04A75">
              <w:rPr>
                <w:bCs/>
                <w:szCs w:val="20"/>
              </w:rPr>
              <w:t>1.63 (1.16, 2.29)</w:t>
            </w:r>
          </w:p>
        </w:tc>
      </w:tr>
      <w:tr w:rsidR="00D37980" w:rsidRPr="00F04A75" w14:paraId="680DCDAD" w14:textId="77777777" w:rsidTr="00AA7F11">
        <w:tc>
          <w:tcPr>
            <w:tcW w:w="3681" w:type="dxa"/>
            <w:tcMar>
              <w:left w:w="28" w:type="dxa"/>
              <w:right w:w="28" w:type="dxa"/>
            </w:tcMar>
          </w:tcPr>
          <w:p w14:paraId="64A71F32" w14:textId="77777777" w:rsidR="00D37980" w:rsidRPr="00F04A75" w:rsidRDefault="00D37980" w:rsidP="00D37980">
            <w:pPr>
              <w:pStyle w:val="Tabletext"/>
              <w:keepNext/>
            </w:pPr>
            <w:r w:rsidRPr="00F04A75">
              <w:rPr>
                <w:rFonts w:cstheme="minorHAnsi"/>
                <w:szCs w:val="20"/>
              </w:rPr>
              <w:t xml:space="preserve">Thrombocytopenia </w:t>
            </w:r>
          </w:p>
        </w:tc>
        <w:tc>
          <w:tcPr>
            <w:tcW w:w="1984" w:type="dxa"/>
            <w:tcMar>
              <w:left w:w="28" w:type="dxa"/>
              <w:right w:w="28" w:type="dxa"/>
            </w:tcMar>
            <w:vAlign w:val="center"/>
          </w:tcPr>
          <w:p w14:paraId="7A64B3E0" w14:textId="77777777" w:rsidR="00D37980" w:rsidRPr="00F04A75" w:rsidRDefault="00D37980" w:rsidP="00D37980">
            <w:pPr>
              <w:pStyle w:val="Tabletext"/>
              <w:keepNext/>
              <w:jc w:val="center"/>
              <w:rPr>
                <w:highlight w:val="yellow"/>
              </w:rPr>
            </w:pPr>
            <w:r w:rsidRPr="00F04A75">
              <w:rPr>
                <w:szCs w:val="20"/>
              </w:rPr>
              <w:t>41</w:t>
            </w:r>
            <w:r w:rsidR="00A41270" w:rsidRPr="00F04A75">
              <w:rPr>
                <w:szCs w:val="20"/>
              </w:rPr>
              <w:t>/463</w:t>
            </w:r>
            <w:r w:rsidRPr="00F04A75">
              <w:rPr>
                <w:szCs w:val="20"/>
              </w:rPr>
              <w:t xml:space="preserve"> (8.9)</w:t>
            </w:r>
          </w:p>
        </w:tc>
        <w:tc>
          <w:tcPr>
            <w:tcW w:w="1843" w:type="dxa"/>
            <w:tcMar>
              <w:left w:w="28" w:type="dxa"/>
              <w:right w:w="28" w:type="dxa"/>
            </w:tcMar>
          </w:tcPr>
          <w:p w14:paraId="04559C1A" w14:textId="77777777" w:rsidR="00D37980" w:rsidRPr="00F04A75" w:rsidRDefault="00C868CF" w:rsidP="00D37980">
            <w:pPr>
              <w:pStyle w:val="Tabletext"/>
              <w:keepNext/>
              <w:jc w:val="center"/>
            </w:pPr>
            <w:r w:rsidRPr="00F04A75">
              <w:rPr>
                <w:szCs w:val="20"/>
              </w:rPr>
              <w:t>43</w:t>
            </w:r>
            <w:r w:rsidR="00C70C4E" w:rsidRPr="00F04A75">
              <w:rPr>
                <w:szCs w:val="20"/>
              </w:rPr>
              <w:t>/456</w:t>
            </w:r>
            <w:r w:rsidRPr="00F04A75">
              <w:rPr>
                <w:szCs w:val="20"/>
              </w:rPr>
              <w:t xml:space="preserve"> (9.4)</w:t>
            </w:r>
          </w:p>
        </w:tc>
        <w:tc>
          <w:tcPr>
            <w:tcW w:w="1508" w:type="dxa"/>
            <w:tcMar>
              <w:left w:w="28" w:type="dxa"/>
              <w:right w:w="28" w:type="dxa"/>
            </w:tcMar>
          </w:tcPr>
          <w:p w14:paraId="63525182" w14:textId="77777777" w:rsidR="00D37980" w:rsidRPr="00F04A75" w:rsidDel="00BD478E" w:rsidRDefault="0016408E" w:rsidP="00D37980">
            <w:pPr>
              <w:pStyle w:val="Tabletext"/>
              <w:keepNext/>
              <w:jc w:val="center"/>
            </w:pPr>
            <w:r w:rsidRPr="00F04A75">
              <w:rPr>
                <w:szCs w:val="20"/>
              </w:rPr>
              <w:t>0.94 (0.62, 1.41)</w:t>
            </w:r>
          </w:p>
        </w:tc>
      </w:tr>
      <w:tr w:rsidR="00D37980" w:rsidRPr="00F04A75" w14:paraId="5B159D3D" w14:textId="77777777" w:rsidTr="00AA7F11">
        <w:tc>
          <w:tcPr>
            <w:tcW w:w="3681" w:type="dxa"/>
            <w:tcMar>
              <w:left w:w="28" w:type="dxa"/>
              <w:right w:w="28" w:type="dxa"/>
            </w:tcMar>
          </w:tcPr>
          <w:p w14:paraId="749863CD" w14:textId="77777777" w:rsidR="00D37980" w:rsidRPr="00F04A75" w:rsidRDefault="00D37980" w:rsidP="00D37980">
            <w:pPr>
              <w:pStyle w:val="Tabletext"/>
              <w:keepNext/>
            </w:pPr>
            <w:r w:rsidRPr="00F04A75">
              <w:rPr>
                <w:rFonts w:cstheme="minorHAnsi"/>
                <w:szCs w:val="20"/>
              </w:rPr>
              <w:t xml:space="preserve">Pneumonia </w:t>
            </w:r>
          </w:p>
        </w:tc>
        <w:tc>
          <w:tcPr>
            <w:tcW w:w="1984" w:type="dxa"/>
            <w:tcMar>
              <w:left w:w="28" w:type="dxa"/>
              <w:right w:w="28" w:type="dxa"/>
            </w:tcMar>
            <w:vAlign w:val="center"/>
          </w:tcPr>
          <w:p w14:paraId="15399647" w14:textId="77777777" w:rsidR="00D37980" w:rsidRPr="00F04A75" w:rsidRDefault="00D37980" w:rsidP="00D37980">
            <w:pPr>
              <w:pStyle w:val="Tabletext"/>
              <w:keepNext/>
              <w:jc w:val="center"/>
              <w:rPr>
                <w:highlight w:val="yellow"/>
              </w:rPr>
            </w:pPr>
            <w:r w:rsidRPr="00F04A75">
              <w:rPr>
                <w:szCs w:val="20"/>
              </w:rPr>
              <w:t>42</w:t>
            </w:r>
            <w:r w:rsidR="00A41270" w:rsidRPr="00F04A75">
              <w:rPr>
                <w:szCs w:val="20"/>
              </w:rPr>
              <w:t>/463</w:t>
            </w:r>
            <w:r w:rsidRPr="00F04A75">
              <w:rPr>
                <w:szCs w:val="20"/>
              </w:rPr>
              <w:t xml:space="preserve"> (9.1)</w:t>
            </w:r>
          </w:p>
        </w:tc>
        <w:tc>
          <w:tcPr>
            <w:tcW w:w="1843" w:type="dxa"/>
            <w:tcMar>
              <w:left w:w="28" w:type="dxa"/>
              <w:right w:w="28" w:type="dxa"/>
            </w:tcMar>
          </w:tcPr>
          <w:p w14:paraId="5D46DD5C" w14:textId="77777777" w:rsidR="00D37980" w:rsidRPr="00F04A75" w:rsidRDefault="00C868CF" w:rsidP="00D37980">
            <w:pPr>
              <w:pStyle w:val="Tabletext"/>
              <w:keepNext/>
              <w:jc w:val="center"/>
            </w:pPr>
            <w:r w:rsidRPr="00F04A75">
              <w:rPr>
                <w:szCs w:val="20"/>
              </w:rPr>
              <w:t>39</w:t>
            </w:r>
            <w:r w:rsidR="00C70C4E" w:rsidRPr="00F04A75">
              <w:rPr>
                <w:szCs w:val="20"/>
              </w:rPr>
              <w:t>/456</w:t>
            </w:r>
            <w:r w:rsidRPr="00F04A75">
              <w:rPr>
                <w:szCs w:val="20"/>
              </w:rPr>
              <w:t xml:space="preserve"> (8.6)</w:t>
            </w:r>
          </w:p>
        </w:tc>
        <w:tc>
          <w:tcPr>
            <w:tcW w:w="1508" w:type="dxa"/>
            <w:tcMar>
              <w:left w:w="28" w:type="dxa"/>
              <w:right w:w="28" w:type="dxa"/>
            </w:tcMar>
          </w:tcPr>
          <w:p w14:paraId="02A6FBC6" w14:textId="77777777" w:rsidR="00D37980" w:rsidRPr="00F04A75" w:rsidDel="00BD478E" w:rsidRDefault="0016408E" w:rsidP="00D37980">
            <w:pPr>
              <w:pStyle w:val="Tabletext"/>
              <w:keepNext/>
              <w:jc w:val="center"/>
            </w:pPr>
            <w:r w:rsidRPr="00F04A75">
              <w:rPr>
                <w:szCs w:val="20"/>
              </w:rPr>
              <w:t>1.06 (0.70, 1.61)</w:t>
            </w:r>
          </w:p>
        </w:tc>
      </w:tr>
      <w:tr w:rsidR="00D37980" w:rsidRPr="00F04A75" w14:paraId="2B311903" w14:textId="77777777" w:rsidTr="00AA7F11">
        <w:tc>
          <w:tcPr>
            <w:tcW w:w="3681" w:type="dxa"/>
            <w:tcMar>
              <w:left w:w="28" w:type="dxa"/>
              <w:right w:w="28" w:type="dxa"/>
            </w:tcMar>
          </w:tcPr>
          <w:p w14:paraId="673E23D9" w14:textId="1A7DFE7D" w:rsidR="00D37980" w:rsidRPr="00F04A75" w:rsidRDefault="00DB420E" w:rsidP="00D37980">
            <w:pPr>
              <w:pStyle w:val="Tabletext"/>
              <w:keepNext/>
            </w:pPr>
            <w:r w:rsidRPr="00F04A75">
              <w:rPr>
                <w:rFonts w:cstheme="minorHAnsi"/>
                <w:szCs w:val="20"/>
              </w:rPr>
              <w:t>Hypokalaemia</w:t>
            </w:r>
            <w:r w:rsidR="00D37980" w:rsidRPr="00F04A75">
              <w:rPr>
                <w:rFonts w:cstheme="minorHAnsi"/>
                <w:szCs w:val="20"/>
              </w:rPr>
              <w:t xml:space="preserve"> </w:t>
            </w:r>
          </w:p>
        </w:tc>
        <w:tc>
          <w:tcPr>
            <w:tcW w:w="1984" w:type="dxa"/>
            <w:tcMar>
              <w:left w:w="28" w:type="dxa"/>
              <w:right w:w="28" w:type="dxa"/>
            </w:tcMar>
            <w:vAlign w:val="center"/>
          </w:tcPr>
          <w:p w14:paraId="55F221E2" w14:textId="77777777" w:rsidR="00D37980" w:rsidRPr="00F04A75" w:rsidRDefault="00D37980" w:rsidP="00D37980">
            <w:pPr>
              <w:pStyle w:val="Tabletext"/>
              <w:keepNext/>
              <w:jc w:val="center"/>
              <w:rPr>
                <w:highlight w:val="yellow"/>
              </w:rPr>
            </w:pPr>
            <w:r w:rsidRPr="00F04A75">
              <w:rPr>
                <w:szCs w:val="20"/>
              </w:rPr>
              <w:t>11</w:t>
            </w:r>
            <w:r w:rsidR="00A41270" w:rsidRPr="00F04A75">
              <w:rPr>
                <w:szCs w:val="20"/>
              </w:rPr>
              <w:t>/463</w:t>
            </w:r>
            <w:r w:rsidRPr="00F04A75">
              <w:rPr>
                <w:szCs w:val="20"/>
              </w:rPr>
              <w:t xml:space="preserve"> (2.4)</w:t>
            </w:r>
          </w:p>
        </w:tc>
        <w:tc>
          <w:tcPr>
            <w:tcW w:w="1843" w:type="dxa"/>
            <w:tcMar>
              <w:left w:w="28" w:type="dxa"/>
              <w:right w:w="28" w:type="dxa"/>
            </w:tcMar>
          </w:tcPr>
          <w:p w14:paraId="450AC413" w14:textId="77777777" w:rsidR="00D37980" w:rsidRPr="00F04A75" w:rsidRDefault="00832BAA" w:rsidP="00D37980">
            <w:pPr>
              <w:pStyle w:val="Tabletext"/>
              <w:keepNext/>
              <w:jc w:val="center"/>
            </w:pPr>
            <w:r w:rsidRPr="00F04A75">
              <w:rPr>
                <w:szCs w:val="20"/>
              </w:rPr>
              <w:t>17</w:t>
            </w:r>
            <w:r w:rsidR="00C70C4E" w:rsidRPr="00F04A75">
              <w:rPr>
                <w:szCs w:val="20"/>
              </w:rPr>
              <w:t>/456</w:t>
            </w:r>
            <w:r w:rsidRPr="00F04A75">
              <w:rPr>
                <w:szCs w:val="20"/>
              </w:rPr>
              <w:t xml:space="preserve"> (3.7)</w:t>
            </w:r>
          </w:p>
        </w:tc>
        <w:tc>
          <w:tcPr>
            <w:tcW w:w="1508" w:type="dxa"/>
            <w:tcMar>
              <w:left w:w="28" w:type="dxa"/>
              <w:right w:w="28" w:type="dxa"/>
            </w:tcMar>
          </w:tcPr>
          <w:p w14:paraId="4910F919" w14:textId="77777777" w:rsidR="00D37980" w:rsidRPr="00F04A75" w:rsidDel="00BD478E" w:rsidRDefault="00CA443C" w:rsidP="00D37980">
            <w:pPr>
              <w:pStyle w:val="Tabletext"/>
              <w:keepNext/>
              <w:jc w:val="center"/>
            </w:pPr>
            <w:r w:rsidRPr="00F04A75">
              <w:rPr>
                <w:szCs w:val="20"/>
              </w:rPr>
              <w:t>0.64 (0.30, 1.35)</w:t>
            </w:r>
          </w:p>
        </w:tc>
      </w:tr>
      <w:tr w:rsidR="00CA443C" w:rsidRPr="00F04A75" w14:paraId="1D85D6B8" w14:textId="77777777" w:rsidTr="00AA7F11">
        <w:tc>
          <w:tcPr>
            <w:tcW w:w="3681" w:type="dxa"/>
            <w:tcMar>
              <w:left w:w="28" w:type="dxa"/>
              <w:right w:w="28" w:type="dxa"/>
            </w:tcMar>
          </w:tcPr>
          <w:p w14:paraId="15995545" w14:textId="77777777" w:rsidR="00CA443C" w:rsidRPr="00F04A75" w:rsidRDefault="00CA443C" w:rsidP="00CA443C">
            <w:pPr>
              <w:pStyle w:val="Tabletext"/>
              <w:keepNext/>
            </w:pPr>
            <w:r w:rsidRPr="00F04A75">
              <w:rPr>
                <w:rFonts w:cstheme="minorHAnsi"/>
                <w:szCs w:val="20"/>
              </w:rPr>
              <w:t xml:space="preserve">Hypertension </w:t>
            </w:r>
          </w:p>
        </w:tc>
        <w:tc>
          <w:tcPr>
            <w:tcW w:w="1984" w:type="dxa"/>
            <w:tcMar>
              <w:left w:w="28" w:type="dxa"/>
              <w:right w:w="28" w:type="dxa"/>
            </w:tcMar>
            <w:vAlign w:val="center"/>
          </w:tcPr>
          <w:p w14:paraId="3668EEFD" w14:textId="77777777" w:rsidR="00CA443C" w:rsidRPr="00F04A75" w:rsidRDefault="00CA443C" w:rsidP="00CA443C">
            <w:pPr>
              <w:pStyle w:val="Tabletext"/>
              <w:keepNext/>
              <w:jc w:val="center"/>
              <w:rPr>
                <w:highlight w:val="yellow"/>
              </w:rPr>
            </w:pPr>
            <w:r w:rsidRPr="00F04A75">
              <w:rPr>
                <w:szCs w:val="20"/>
              </w:rPr>
              <w:t>67</w:t>
            </w:r>
            <w:r w:rsidR="00A41270" w:rsidRPr="00F04A75">
              <w:rPr>
                <w:szCs w:val="20"/>
              </w:rPr>
              <w:t>/463</w:t>
            </w:r>
            <w:r w:rsidRPr="00F04A75">
              <w:rPr>
                <w:szCs w:val="20"/>
              </w:rPr>
              <w:t xml:space="preserve"> (14.5)</w:t>
            </w:r>
          </w:p>
        </w:tc>
        <w:tc>
          <w:tcPr>
            <w:tcW w:w="1843" w:type="dxa"/>
            <w:tcMar>
              <w:left w:w="28" w:type="dxa"/>
              <w:right w:w="28" w:type="dxa"/>
            </w:tcMar>
          </w:tcPr>
          <w:p w14:paraId="72A53F37" w14:textId="77777777" w:rsidR="00CA443C" w:rsidRPr="00F04A75" w:rsidRDefault="00CA443C" w:rsidP="00CA443C">
            <w:pPr>
              <w:pStyle w:val="Tabletext"/>
              <w:keepNext/>
              <w:jc w:val="center"/>
            </w:pPr>
            <w:r w:rsidRPr="00F04A75">
              <w:rPr>
                <w:szCs w:val="20"/>
              </w:rPr>
              <w:t>15</w:t>
            </w:r>
            <w:r w:rsidR="00C70C4E" w:rsidRPr="00F04A75">
              <w:rPr>
                <w:szCs w:val="20"/>
              </w:rPr>
              <w:t>/456</w:t>
            </w:r>
            <w:r w:rsidRPr="00F04A75">
              <w:rPr>
                <w:szCs w:val="20"/>
              </w:rPr>
              <w:t xml:space="preserve"> (3.3)</w:t>
            </w:r>
          </w:p>
        </w:tc>
        <w:tc>
          <w:tcPr>
            <w:tcW w:w="1508" w:type="dxa"/>
            <w:tcMar>
              <w:left w:w="28" w:type="dxa"/>
              <w:right w:w="28" w:type="dxa"/>
            </w:tcMar>
            <w:vAlign w:val="center"/>
          </w:tcPr>
          <w:p w14:paraId="487722FB" w14:textId="77777777" w:rsidR="00CA443C" w:rsidRPr="00F04A75" w:rsidDel="00BD478E" w:rsidRDefault="00CA443C" w:rsidP="00CA443C">
            <w:pPr>
              <w:pStyle w:val="Tabletext"/>
              <w:keepNext/>
              <w:jc w:val="center"/>
            </w:pPr>
            <w:r w:rsidRPr="00F04A75">
              <w:rPr>
                <w:bCs/>
                <w:szCs w:val="20"/>
              </w:rPr>
              <w:t>4.40 (2.55, 7.58)</w:t>
            </w:r>
          </w:p>
        </w:tc>
      </w:tr>
      <w:tr w:rsidR="00CA443C" w:rsidRPr="00F04A75" w14:paraId="0E2EBC87" w14:textId="77777777" w:rsidTr="00AA7F11">
        <w:tc>
          <w:tcPr>
            <w:tcW w:w="3681" w:type="dxa"/>
            <w:tcMar>
              <w:left w:w="28" w:type="dxa"/>
              <w:right w:w="28" w:type="dxa"/>
            </w:tcMar>
          </w:tcPr>
          <w:p w14:paraId="328B1B06" w14:textId="77777777" w:rsidR="00CA443C" w:rsidRPr="00F04A75" w:rsidRDefault="00CA443C" w:rsidP="00CA443C">
            <w:pPr>
              <w:pStyle w:val="Tabletext"/>
              <w:keepNext/>
              <w:rPr>
                <w:rFonts w:cstheme="minorHAnsi"/>
                <w:szCs w:val="20"/>
              </w:rPr>
            </w:pPr>
            <w:r w:rsidRPr="00F04A75">
              <w:rPr>
                <w:rFonts w:cstheme="minorHAnsi"/>
                <w:szCs w:val="20"/>
              </w:rPr>
              <w:t>Fatigue</w:t>
            </w:r>
          </w:p>
        </w:tc>
        <w:tc>
          <w:tcPr>
            <w:tcW w:w="1984" w:type="dxa"/>
            <w:tcMar>
              <w:left w:w="28" w:type="dxa"/>
              <w:right w:w="28" w:type="dxa"/>
            </w:tcMar>
          </w:tcPr>
          <w:p w14:paraId="1D988847" w14:textId="77777777" w:rsidR="00CA443C" w:rsidRPr="00F04A75" w:rsidRDefault="00CA443C" w:rsidP="00CA443C">
            <w:pPr>
              <w:pStyle w:val="Tabletext"/>
              <w:keepNext/>
              <w:jc w:val="center"/>
              <w:rPr>
                <w:szCs w:val="20"/>
              </w:rPr>
            </w:pPr>
            <w:r w:rsidRPr="00F04A75">
              <w:rPr>
                <w:szCs w:val="20"/>
              </w:rPr>
              <w:t>31</w:t>
            </w:r>
            <w:r w:rsidR="00A41270" w:rsidRPr="00F04A75">
              <w:rPr>
                <w:szCs w:val="20"/>
              </w:rPr>
              <w:t>/463</w:t>
            </w:r>
            <w:r w:rsidRPr="00F04A75">
              <w:rPr>
                <w:szCs w:val="20"/>
              </w:rPr>
              <w:t xml:space="preserve"> (6.7)</w:t>
            </w:r>
          </w:p>
        </w:tc>
        <w:tc>
          <w:tcPr>
            <w:tcW w:w="1843" w:type="dxa"/>
            <w:tcMar>
              <w:left w:w="28" w:type="dxa"/>
              <w:right w:w="28" w:type="dxa"/>
            </w:tcMar>
          </w:tcPr>
          <w:p w14:paraId="7FB0D020" w14:textId="77777777" w:rsidR="00CA443C" w:rsidRPr="00F04A75" w:rsidRDefault="00CA443C" w:rsidP="00CA443C">
            <w:pPr>
              <w:pStyle w:val="Tabletext"/>
              <w:keepNext/>
              <w:jc w:val="center"/>
              <w:rPr>
                <w:szCs w:val="20"/>
              </w:rPr>
            </w:pPr>
            <w:r w:rsidRPr="00F04A75">
              <w:rPr>
                <w:szCs w:val="20"/>
              </w:rPr>
              <w:t>35</w:t>
            </w:r>
            <w:r w:rsidR="00C70C4E" w:rsidRPr="00F04A75">
              <w:rPr>
                <w:szCs w:val="20"/>
              </w:rPr>
              <w:t>/456</w:t>
            </w:r>
            <w:r w:rsidRPr="00F04A75">
              <w:rPr>
                <w:szCs w:val="20"/>
              </w:rPr>
              <w:t xml:space="preserve"> (7.7)</w:t>
            </w:r>
          </w:p>
        </w:tc>
        <w:tc>
          <w:tcPr>
            <w:tcW w:w="1508" w:type="dxa"/>
            <w:tcMar>
              <w:left w:w="28" w:type="dxa"/>
              <w:right w:w="28" w:type="dxa"/>
            </w:tcMar>
          </w:tcPr>
          <w:p w14:paraId="3D2D4EA4" w14:textId="77777777" w:rsidR="00CA443C" w:rsidRPr="00F04A75" w:rsidDel="00BD478E" w:rsidRDefault="00CA443C" w:rsidP="00CA443C">
            <w:pPr>
              <w:pStyle w:val="Tabletext"/>
              <w:keepNext/>
              <w:jc w:val="center"/>
            </w:pPr>
            <w:r w:rsidRPr="00F04A75">
              <w:rPr>
                <w:szCs w:val="20"/>
              </w:rPr>
              <w:t>0.87 (0.55, 1.39)</w:t>
            </w:r>
          </w:p>
        </w:tc>
      </w:tr>
    </w:tbl>
    <w:p w14:paraId="32033D71" w14:textId="77777777" w:rsidR="00F97782" w:rsidRPr="00F04A75" w:rsidRDefault="00F97782" w:rsidP="00392547">
      <w:pPr>
        <w:spacing w:line="259" w:lineRule="auto"/>
        <w:rPr>
          <w:rFonts w:ascii="Arial Narrow" w:eastAsiaTheme="minorHAnsi" w:hAnsi="Arial Narrow" w:cstheme="minorBidi"/>
          <w:sz w:val="18"/>
          <w:szCs w:val="18"/>
          <w:lang w:eastAsia="en-US"/>
        </w:rPr>
      </w:pPr>
      <w:r w:rsidRPr="00F04A75">
        <w:rPr>
          <w:rFonts w:ascii="Arial Narrow" w:eastAsiaTheme="minorHAnsi" w:hAnsi="Arial Narrow" w:cstheme="minorBidi"/>
          <w:sz w:val="18"/>
          <w:szCs w:val="18"/>
          <w:lang w:eastAsia="en-US"/>
        </w:rPr>
        <w:t>Source: Table 2.5-10 pp68-69</w:t>
      </w:r>
      <w:r w:rsidR="00C66EE9" w:rsidRPr="00F04A75">
        <w:rPr>
          <w:rFonts w:ascii="Arial Narrow" w:eastAsiaTheme="minorHAnsi" w:hAnsi="Arial Narrow" w:cstheme="minorBidi"/>
          <w:sz w:val="18"/>
          <w:szCs w:val="18"/>
          <w:lang w:eastAsia="en-US"/>
        </w:rPr>
        <w:t xml:space="preserve">, Table </w:t>
      </w:r>
      <w:r w:rsidR="00B40240" w:rsidRPr="00F04A75">
        <w:rPr>
          <w:rFonts w:ascii="Arial Narrow" w:eastAsiaTheme="minorHAnsi" w:hAnsi="Arial Narrow" w:cstheme="minorBidi"/>
          <w:sz w:val="18"/>
          <w:szCs w:val="18"/>
          <w:lang w:eastAsia="en-US"/>
        </w:rPr>
        <w:t>2.5-13 p74-75</w:t>
      </w:r>
      <w:r w:rsidRPr="00F04A75">
        <w:rPr>
          <w:rFonts w:ascii="Arial Narrow" w:eastAsiaTheme="minorHAnsi" w:hAnsi="Arial Narrow" w:cstheme="minorBidi"/>
          <w:sz w:val="18"/>
          <w:szCs w:val="18"/>
          <w:lang w:eastAsia="en-US"/>
        </w:rPr>
        <w:t xml:space="preserve"> of the resubmission</w:t>
      </w:r>
      <w:bookmarkStart w:id="43" w:name="_Hlk92062233"/>
    </w:p>
    <w:bookmarkEnd w:id="43"/>
    <w:p w14:paraId="4158ECF2" w14:textId="19D0912D" w:rsidR="00F97782" w:rsidRPr="00F04A75" w:rsidRDefault="00F97782" w:rsidP="00392547">
      <w:pPr>
        <w:spacing w:line="259" w:lineRule="auto"/>
        <w:rPr>
          <w:rFonts w:ascii="Arial Narrow" w:eastAsiaTheme="minorHAnsi" w:hAnsi="Arial Narrow" w:cstheme="minorBidi"/>
          <w:sz w:val="18"/>
          <w:szCs w:val="18"/>
          <w:lang w:eastAsia="en-US"/>
        </w:rPr>
      </w:pPr>
      <w:r w:rsidRPr="00F04A75">
        <w:rPr>
          <w:rFonts w:ascii="Arial Narrow" w:eastAsiaTheme="minorHAnsi" w:hAnsi="Arial Narrow" w:cstheme="minorBidi"/>
          <w:sz w:val="18"/>
          <w:szCs w:val="18"/>
          <w:lang w:eastAsia="en-US"/>
        </w:rPr>
        <w:t>AE</w:t>
      </w:r>
      <w:r w:rsidR="00AA7F11" w:rsidRPr="00F04A75">
        <w:rPr>
          <w:rFonts w:ascii="Arial Narrow" w:eastAsiaTheme="minorHAnsi" w:hAnsi="Arial Narrow" w:cstheme="minorBidi"/>
          <w:sz w:val="18"/>
          <w:szCs w:val="18"/>
          <w:lang w:eastAsia="en-US"/>
        </w:rPr>
        <w:t xml:space="preserve"> </w:t>
      </w:r>
      <w:r w:rsidRPr="00F04A75">
        <w:rPr>
          <w:rFonts w:ascii="Arial Narrow" w:eastAsiaTheme="minorHAnsi" w:hAnsi="Arial Narrow" w:cstheme="minorBidi"/>
          <w:sz w:val="18"/>
          <w:szCs w:val="18"/>
          <w:lang w:eastAsia="en-US"/>
        </w:rPr>
        <w:t>=</w:t>
      </w:r>
      <w:r w:rsidR="00AA7F11" w:rsidRPr="00F04A75">
        <w:rPr>
          <w:rFonts w:ascii="Arial Narrow" w:eastAsiaTheme="minorHAnsi" w:hAnsi="Arial Narrow" w:cstheme="minorBidi"/>
          <w:sz w:val="18"/>
          <w:szCs w:val="18"/>
          <w:lang w:eastAsia="en-US"/>
        </w:rPr>
        <w:t xml:space="preserve"> </w:t>
      </w:r>
      <w:r w:rsidRPr="00F04A75">
        <w:rPr>
          <w:rFonts w:ascii="Arial Narrow" w:eastAsiaTheme="minorHAnsi" w:hAnsi="Arial Narrow" w:cstheme="minorBidi"/>
          <w:sz w:val="18"/>
          <w:szCs w:val="18"/>
          <w:lang w:eastAsia="en-US"/>
        </w:rPr>
        <w:t xml:space="preserve">adverse events; </w:t>
      </w:r>
      <w:r w:rsidR="00AA7F11" w:rsidRPr="00F04A75">
        <w:rPr>
          <w:rFonts w:ascii="Arial Narrow" w:eastAsiaTheme="minorHAnsi" w:hAnsi="Arial Narrow" w:cstheme="minorBidi"/>
          <w:sz w:val="18"/>
          <w:szCs w:val="18"/>
          <w:lang w:eastAsia="en-US"/>
        </w:rPr>
        <w:t xml:space="preserve">Bd = bortezomib and dexamethasone; </w:t>
      </w:r>
      <w:r w:rsidRPr="00F04A75">
        <w:rPr>
          <w:rFonts w:ascii="Arial Narrow" w:eastAsiaTheme="minorHAnsi" w:hAnsi="Arial Narrow" w:cstheme="minorBidi"/>
          <w:sz w:val="18"/>
          <w:szCs w:val="18"/>
          <w:lang w:eastAsia="en-US"/>
        </w:rPr>
        <w:t>CI = confidence interval; Cd = carfilzomib and dexamethasone; RR</w:t>
      </w:r>
      <w:r w:rsidR="00AA7F11" w:rsidRPr="00F04A75">
        <w:rPr>
          <w:rFonts w:ascii="Arial Narrow" w:eastAsiaTheme="minorHAnsi" w:hAnsi="Arial Narrow" w:cstheme="minorBidi"/>
          <w:sz w:val="18"/>
          <w:szCs w:val="18"/>
          <w:lang w:eastAsia="en-US"/>
        </w:rPr>
        <w:t xml:space="preserve"> </w:t>
      </w:r>
      <w:r w:rsidRPr="00F04A75">
        <w:rPr>
          <w:rFonts w:ascii="Arial Narrow" w:eastAsiaTheme="minorHAnsi" w:hAnsi="Arial Narrow" w:cstheme="minorBidi"/>
          <w:sz w:val="18"/>
          <w:szCs w:val="18"/>
          <w:lang w:eastAsia="en-US"/>
        </w:rPr>
        <w:t>=</w:t>
      </w:r>
      <w:r w:rsidR="00AA7F11" w:rsidRPr="00F04A75">
        <w:rPr>
          <w:rFonts w:ascii="Arial Narrow" w:eastAsiaTheme="minorHAnsi" w:hAnsi="Arial Narrow" w:cstheme="minorBidi"/>
          <w:sz w:val="18"/>
          <w:szCs w:val="18"/>
          <w:lang w:eastAsia="en-US"/>
        </w:rPr>
        <w:t xml:space="preserve"> </w:t>
      </w:r>
      <w:r w:rsidRPr="00F04A75">
        <w:rPr>
          <w:rFonts w:ascii="Arial Narrow" w:eastAsiaTheme="minorHAnsi" w:hAnsi="Arial Narrow" w:cstheme="minorBidi"/>
          <w:sz w:val="18"/>
          <w:szCs w:val="18"/>
          <w:lang w:eastAsia="en-US"/>
        </w:rPr>
        <w:t>relative risk</w:t>
      </w:r>
      <w:r w:rsidR="00AA7F11" w:rsidRPr="00F04A75">
        <w:rPr>
          <w:rFonts w:ascii="Arial Narrow" w:eastAsiaTheme="minorHAnsi" w:hAnsi="Arial Narrow" w:cstheme="minorBidi"/>
          <w:sz w:val="18"/>
          <w:szCs w:val="18"/>
          <w:lang w:eastAsia="en-US"/>
        </w:rPr>
        <w:t>; SAE = serious adverse event; TEAE = treatment emergent adverse event</w:t>
      </w:r>
      <w:r w:rsidRPr="00F04A75">
        <w:rPr>
          <w:rFonts w:ascii="Arial Narrow" w:eastAsiaTheme="minorHAnsi" w:hAnsi="Arial Narrow" w:cstheme="minorBidi"/>
          <w:sz w:val="18"/>
          <w:szCs w:val="18"/>
          <w:lang w:eastAsia="en-US"/>
        </w:rPr>
        <w:t xml:space="preserve"> </w:t>
      </w:r>
    </w:p>
    <w:p w14:paraId="4E34801B" w14:textId="77777777" w:rsidR="00F97782" w:rsidRPr="00F04A75" w:rsidRDefault="00F97782" w:rsidP="0016658B">
      <w:pPr>
        <w:pStyle w:val="Tablenotes1"/>
        <w:spacing w:after="0"/>
        <w:rPr>
          <w:rFonts w:ascii="Arial Narrow" w:hAnsi="Arial Narrow"/>
          <w:sz w:val="18"/>
          <w:szCs w:val="18"/>
        </w:rPr>
      </w:pPr>
    </w:p>
    <w:p w14:paraId="4F2367AC" w14:textId="004CAE49" w:rsidR="00F97782" w:rsidRPr="00F04A75" w:rsidRDefault="00F97782" w:rsidP="0016658B">
      <w:pPr>
        <w:pStyle w:val="3-BodyText"/>
        <w:rPr>
          <w:color w:val="000000" w:themeColor="text1"/>
        </w:rPr>
      </w:pPr>
      <w:r w:rsidRPr="00F04A75">
        <w:rPr>
          <w:color w:val="000000" w:themeColor="text1"/>
        </w:rPr>
        <w:t xml:space="preserve">The most frequently reported Grade </w:t>
      </w:r>
      <w:r w:rsidRPr="00F04A75">
        <w:rPr>
          <w:rFonts w:cstheme="minorHAnsi"/>
          <w:color w:val="000000" w:themeColor="text1"/>
        </w:rPr>
        <w:t>≥</w:t>
      </w:r>
      <w:r w:rsidRPr="00F04A75">
        <w:rPr>
          <w:color w:val="000000" w:themeColor="text1"/>
        </w:rPr>
        <w:t xml:space="preserve"> 3 AEs in ENDEAVOR were anaemia, hypertension, and pneumonia</w:t>
      </w:r>
      <w:r w:rsidR="00D66676" w:rsidRPr="00F04A75">
        <w:rPr>
          <w:color w:val="000000" w:themeColor="text1"/>
        </w:rPr>
        <w:t>. All</w:t>
      </w:r>
      <w:r w:rsidRPr="00F04A75">
        <w:rPr>
          <w:color w:val="000000" w:themeColor="text1"/>
        </w:rPr>
        <w:t xml:space="preserve"> were observed at a higher frequency in the Cd</w:t>
      </w:r>
      <w:r w:rsidR="00D66676" w:rsidRPr="00F04A75">
        <w:rPr>
          <w:color w:val="000000" w:themeColor="text1"/>
        </w:rPr>
        <w:t xml:space="preserve"> arm</w:t>
      </w:r>
      <w:r w:rsidRPr="00F04A75">
        <w:rPr>
          <w:color w:val="000000" w:themeColor="text1"/>
        </w:rPr>
        <w:t xml:space="preserve"> compared to the Bd </w:t>
      </w:r>
      <w:r w:rsidR="00D66676" w:rsidRPr="00F04A75">
        <w:rPr>
          <w:color w:val="000000" w:themeColor="text1"/>
        </w:rPr>
        <w:t>arm</w:t>
      </w:r>
      <w:r w:rsidRPr="00F04A75">
        <w:rPr>
          <w:color w:val="000000" w:themeColor="text1"/>
        </w:rPr>
        <w:t xml:space="preserve">. </w:t>
      </w:r>
    </w:p>
    <w:p w14:paraId="1C4CFF7D" w14:textId="77777777" w:rsidR="00F97782" w:rsidRPr="00F04A75" w:rsidRDefault="00F97782" w:rsidP="0016658B">
      <w:pPr>
        <w:pStyle w:val="3-BodyText"/>
        <w:rPr>
          <w:color w:val="000000" w:themeColor="text1"/>
        </w:rPr>
      </w:pPr>
      <w:r w:rsidRPr="00F04A75">
        <w:rPr>
          <w:color w:val="000000" w:themeColor="text1"/>
        </w:rPr>
        <w:t xml:space="preserve">At the latest data-cut (19 July 2017), AEs (all grades) of special interest which occurred in a higher proportion of patients in the Cd arm compared with Bd included: hypertension (32.4% vs. 10.1%), cardiac failure (11.0% vs. 3.5%); acute renal failure (10.8% vs. 6.4%) and infections and infestations (79.5% vs. 70.0%). Peripheral neuropathy was more common in the Bd arm compared with Cd (54.6% vs. 21.0%). </w:t>
      </w:r>
    </w:p>
    <w:p w14:paraId="50F21542" w14:textId="06A38725" w:rsidR="00F97782" w:rsidRPr="00F04A75" w:rsidRDefault="00F97782" w:rsidP="0016658B">
      <w:pPr>
        <w:pStyle w:val="3-BodyText"/>
        <w:rPr>
          <w:color w:val="000000" w:themeColor="text1"/>
        </w:rPr>
      </w:pPr>
      <w:r w:rsidRPr="00F04A75">
        <w:rPr>
          <w:color w:val="000000" w:themeColor="text1"/>
        </w:rPr>
        <w:t>The PBAC has previously accepted that Cd has a different safety profile compared with Bd (paragraph 7.7, carfilzomib PSD, November 2016 and paragraph 6.13, carfilzomib PSD, July 2017). The PBAC has also noted that based on the 3</w:t>
      </w:r>
      <w:r w:rsidRPr="00F04A75">
        <w:rPr>
          <w:color w:val="000000" w:themeColor="text1"/>
          <w:vertAlign w:val="superscript"/>
        </w:rPr>
        <w:t>rd</w:t>
      </w:r>
      <w:r w:rsidRPr="00F04A75">
        <w:rPr>
          <w:color w:val="000000" w:themeColor="text1"/>
        </w:rPr>
        <w:t xml:space="preserve"> Jan 2017 data cut-off, the clinical data indicate a reduction in the rates of peripheral neuropathy, but an increase in serious cardiovascular AEs for Cd compared to Bd (paragraph 7.4, carfilzomib PSD, July </w:t>
      </w:r>
      <w:r w:rsidR="00F4014E" w:rsidRPr="00F04A75">
        <w:rPr>
          <w:color w:val="000000" w:themeColor="text1"/>
        </w:rPr>
        <w:t>2</w:t>
      </w:r>
      <w:r w:rsidRPr="00F04A75">
        <w:rPr>
          <w:color w:val="000000" w:themeColor="text1"/>
        </w:rPr>
        <w:t>017). This was supported by the data from the 19</w:t>
      </w:r>
      <w:r w:rsidRPr="00F04A75">
        <w:rPr>
          <w:color w:val="000000" w:themeColor="text1"/>
          <w:vertAlign w:val="superscript"/>
        </w:rPr>
        <w:t>th</w:t>
      </w:r>
      <w:r w:rsidRPr="00F04A75">
        <w:rPr>
          <w:color w:val="000000" w:themeColor="text1"/>
        </w:rPr>
        <w:t xml:space="preserve"> July 2017 cut-off.</w:t>
      </w:r>
    </w:p>
    <w:p w14:paraId="5983FE18" w14:textId="77777777" w:rsidR="00F97782" w:rsidRPr="00F04A75" w:rsidRDefault="00F97782" w:rsidP="0016658B">
      <w:pPr>
        <w:pStyle w:val="3-BodyText"/>
        <w:numPr>
          <w:ilvl w:val="0"/>
          <w:numId w:val="0"/>
        </w:numPr>
        <w:rPr>
          <w:u w:val="single"/>
        </w:rPr>
      </w:pPr>
      <w:r w:rsidRPr="00F04A75">
        <w:rPr>
          <w:u w:val="single"/>
        </w:rPr>
        <w:t>Safety</w:t>
      </w:r>
      <w:r w:rsidR="00A060BE" w:rsidRPr="00F04A75">
        <w:rPr>
          <w:u w:val="single"/>
        </w:rPr>
        <w:t xml:space="preserve"> </w:t>
      </w:r>
      <w:r w:rsidR="00E755C3" w:rsidRPr="00F04A75">
        <w:rPr>
          <w:u w:val="single"/>
        </w:rPr>
        <w:t>n</w:t>
      </w:r>
      <w:r w:rsidR="00BF056D" w:rsidRPr="00F04A75">
        <w:rPr>
          <w:u w:val="single"/>
        </w:rPr>
        <w:t>aïve</w:t>
      </w:r>
      <w:r w:rsidR="007D0B4D" w:rsidRPr="00F04A75">
        <w:rPr>
          <w:u w:val="single"/>
        </w:rPr>
        <w:t xml:space="preserve"> </w:t>
      </w:r>
      <w:r w:rsidRPr="00F04A75">
        <w:rPr>
          <w:u w:val="single"/>
        </w:rPr>
        <w:t xml:space="preserve">ITC </w:t>
      </w:r>
      <w:r w:rsidR="007A63C6" w:rsidRPr="00F04A75">
        <w:rPr>
          <w:u w:val="single"/>
        </w:rPr>
        <w:t xml:space="preserve">- </w:t>
      </w:r>
      <w:proofErr w:type="spellStart"/>
      <w:r w:rsidRPr="00F04A75">
        <w:rPr>
          <w:u w:val="single"/>
        </w:rPr>
        <w:t>CLd</w:t>
      </w:r>
      <w:proofErr w:type="spellEnd"/>
      <w:r w:rsidRPr="00F04A75">
        <w:rPr>
          <w:u w:val="single"/>
        </w:rPr>
        <w:t xml:space="preserve"> v</w:t>
      </w:r>
      <w:r w:rsidR="007A63C6" w:rsidRPr="00F04A75">
        <w:rPr>
          <w:u w:val="single"/>
        </w:rPr>
        <w:t>s</w:t>
      </w:r>
      <w:r w:rsidRPr="00F04A75">
        <w:rPr>
          <w:u w:val="single"/>
        </w:rPr>
        <w:t xml:space="preserve"> Cd</w:t>
      </w:r>
      <w:r w:rsidR="007A63C6" w:rsidRPr="00F04A75">
        <w:rPr>
          <w:u w:val="single"/>
        </w:rPr>
        <w:t xml:space="preserve">, </w:t>
      </w:r>
      <w:proofErr w:type="spellStart"/>
      <w:r w:rsidR="007A63C6" w:rsidRPr="00F04A75">
        <w:rPr>
          <w:u w:val="single"/>
        </w:rPr>
        <w:t>PBd</w:t>
      </w:r>
      <w:proofErr w:type="spellEnd"/>
      <w:r w:rsidR="007A63C6" w:rsidRPr="00F04A75">
        <w:rPr>
          <w:u w:val="single"/>
        </w:rPr>
        <w:t xml:space="preserve"> and </w:t>
      </w:r>
      <w:proofErr w:type="spellStart"/>
      <w:r w:rsidR="007A63C6" w:rsidRPr="00F04A75">
        <w:rPr>
          <w:u w:val="single"/>
        </w:rPr>
        <w:t>ELd</w:t>
      </w:r>
      <w:proofErr w:type="spellEnd"/>
      <w:r w:rsidRPr="00F04A75">
        <w:rPr>
          <w:u w:val="single"/>
        </w:rPr>
        <w:t xml:space="preserve"> </w:t>
      </w:r>
    </w:p>
    <w:p w14:paraId="37B7B2F0" w14:textId="31DC47AB" w:rsidR="00F97782" w:rsidRPr="00F04A75" w:rsidRDefault="000A646B" w:rsidP="007A63C6">
      <w:pPr>
        <w:pStyle w:val="3-BodyText"/>
        <w:rPr>
          <w:color w:val="000000" w:themeColor="text1"/>
        </w:rPr>
      </w:pPr>
      <w:r w:rsidRPr="00F04A75">
        <w:rPr>
          <w:color w:val="000000" w:themeColor="text1"/>
        </w:rPr>
        <w:t xml:space="preserve">The resubmission presented a naïve </w:t>
      </w:r>
      <w:r w:rsidR="00755B65" w:rsidRPr="00F04A75">
        <w:rPr>
          <w:color w:val="000000" w:themeColor="text1"/>
        </w:rPr>
        <w:t xml:space="preserve">indirect comparison of safety outcomes </w:t>
      </w:r>
      <w:r w:rsidR="00973EB0" w:rsidRPr="00F04A75">
        <w:rPr>
          <w:color w:val="000000" w:themeColor="text1"/>
        </w:rPr>
        <w:t>between</w:t>
      </w:r>
      <w:r w:rsidR="00755B65" w:rsidRPr="00F04A75">
        <w:rPr>
          <w:color w:val="000000" w:themeColor="text1"/>
        </w:rPr>
        <w:t xml:space="preserve"> </w:t>
      </w:r>
      <w:proofErr w:type="spellStart"/>
      <w:r w:rsidR="0097248E" w:rsidRPr="00F04A75">
        <w:rPr>
          <w:color w:val="000000" w:themeColor="text1"/>
        </w:rPr>
        <w:t>CLd</w:t>
      </w:r>
      <w:proofErr w:type="spellEnd"/>
      <w:r w:rsidR="0097248E" w:rsidRPr="00F04A75">
        <w:rPr>
          <w:color w:val="000000" w:themeColor="text1"/>
        </w:rPr>
        <w:t xml:space="preserve"> and Cd, </w:t>
      </w:r>
      <w:proofErr w:type="spellStart"/>
      <w:r w:rsidR="0097248E" w:rsidRPr="00F04A75">
        <w:rPr>
          <w:color w:val="000000" w:themeColor="text1"/>
        </w:rPr>
        <w:t>ELd</w:t>
      </w:r>
      <w:proofErr w:type="spellEnd"/>
      <w:r w:rsidR="0097248E" w:rsidRPr="00F04A75">
        <w:rPr>
          <w:color w:val="000000" w:themeColor="text1"/>
        </w:rPr>
        <w:t xml:space="preserve"> and </w:t>
      </w:r>
      <w:proofErr w:type="spellStart"/>
      <w:r w:rsidR="0097248E" w:rsidRPr="00F04A75">
        <w:rPr>
          <w:color w:val="000000" w:themeColor="text1"/>
        </w:rPr>
        <w:t>PBd</w:t>
      </w:r>
      <w:proofErr w:type="spellEnd"/>
      <w:r w:rsidR="0097248E" w:rsidRPr="00F04A75">
        <w:rPr>
          <w:color w:val="000000" w:themeColor="text1"/>
        </w:rPr>
        <w:t xml:space="preserve"> (</w:t>
      </w:r>
      <w:r w:rsidR="00384A0E" w:rsidRPr="00F04A75">
        <w:rPr>
          <w:color w:val="000000" w:themeColor="text1"/>
        </w:rPr>
        <w:t xml:space="preserve">Table </w:t>
      </w:r>
      <w:r w:rsidR="00C8791A">
        <w:rPr>
          <w:color w:val="000000" w:themeColor="text1"/>
        </w:rPr>
        <w:t>16</w:t>
      </w:r>
      <w:r w:rsidR="00384A0E" w:rsidRPr="00F04A75">
        <w:rPr>
          <w:color w:val="000000" w:themeColor="text1"/>
        </w:rPr>
        <w:t xml:space="preserve">). </w:t>
      </w:r>
      <w:r w:rsidR="00A81D80" w:rsidRPr="00F04A75">
        <w:rPr>
          <w:color w:val="000000" w:themeColor="text1"/>
        </w:rPr>
        <w:t>It should be noted that t</w:t>
      </w:r>
      <w:r w:rsidR="00527270" w:rsidRPr="00F04A75">
        <w:rPr>
          <w:color w:val="000000" w:themeColor="text1"/>
        </w:rPr>
        <w:t xml:space="preserve">he </w:t>
      </w:r>
      <w:r w:rsidR="007A63C6" w:rsidRPr="00F04A75">
        <w:rPr>
          <w:color w:val="000000" w:themeColor="text1"/>
        </w:rPr>
        <w:t xml:space="preserve">median </w:t>
      </w:r>
      <w:r w:rsidR="00527270" w:rsidRPr="00F04A75">
        <w:rPr>
          <w:color w:val="000000" w:themeColor="text1"/>
        </w:rPr>
        <w:t xml:space="preserve">duration of </w:t>
      </w:r>
      <w:r w:rsidR="00617CA6" w:rsidRPr="00F04A75">
        <w:rPr>
          <w:color w:val="000000" w:themeColor="text1"/>
        </w:rPr>
        <w:t xml:space="preserve">treatment differed </w:t>
      </w:r>
      <w:r w:rsidR="00056EFC" w:rsidRPr="00F04A75">
        <w:rPr>
          <w:color w:val="000000" w:themeColor="text1"/>
        </w:rPr>
        <w:t>between the trials</w:t>
      </w:r>
      <w:r w:rsidR="00724213" w:rsidRPr="00F04A75">
        <w:rPr>
          <w:color w:val="000000" w:themeColor="text1"/>
        </w:rPr>
        <w:t xml:space="preserve">. </w:t>
      </w:r>
      <w:r w:rsidR="00FA3D02" w:rsidRPr="00F04A75">
        <w:rPr>
          <w:color w:val="000000" w:themeColor="text1"/>
        </w:rPr>
        <w:t xml:space="preserve"> </w:t>
      </w:r>
      <w:r w:rsidR="00DA27FF" w:rsidRPr="00F04A75">
        <w:rPr>
          <w:color w:val="000000" w:themeColor="text1"/>
        </w:rPr>
        <w:t xml:space="preserve">The ESC </w:t>
      </w:r>
      <w:r w:rsidR="00B0216B" w:rsidRPr="00F04A75">
        <w:t xml:space="preserve">considered </w:t>
      </w:r>
      <w:r w:rsidR="00F97782" w:rsidRPr="00F04A75">
        <w:t xml:space="preserve">that the comparisons may </w:t>
      </w:r>
      <w:r w:rsidR="00617CA6" w:rsidRPr="00F04A75">
        <w:t xml:space="preserve">bias against </w:t>
      </w:r>
      <w:proofErr w:type="spellStart"/>
      <w:r w:rsidR="00617CA6" w:rsidRPr="00F04A75">
        <w:t>CLd</w:t>
      </w:r>
      <w:proofErr w:type="spellEnd"/>
      <w:r w:rsidR="00F97782" w:rsidRPr="00F04A75">
        <w:t xml:space="preserve"> due to the longer duration of exposure, and hence potential to accumulate more toxicity events</w:t>
      </w:r>
      <w:r w:rsidR="00617CA6" w:rsidRPr="00F04A75">
        <w:t xml:space="preserve"> </w:t>
      </w:r>
      <w:r w:rsidR="00F97782" w:rsidRPr="00F04A75">
        <w:t>within ASPIRE.</w:t>
      </w:r>
    </w:p>
    <w:p w14:paraId="1D588153" w14:textId="312B8CA2" w:rsidR="007A63C6" w:rsidRPr="00F04A75" w:rsidRDefault="007A63C6" w:rsidP="001E17F4">
      <w:pPr>
        <w:pStyle w:val="TableHeading0"/>
        <w:spacing w:after="0"/>
      </w:pPr>
      <w:r w:rsidRPr="00F04A75">
        <w:t xml:space="preserve">Table </w:t>
      </w:r>
      <w:r w:rsidR="001E17F4" w:rsidRPr="00F04A75">
        <w:t>1</w:t>
      </w:r>
      <w:r w:rsidR="00C8791A">
        <w:t>6</w:t>
      </w:r>
      <w:r w:rsidRPr="00F04A75">
        <w:t xml:space="preserve">: Naïve comparison of safety outcomes in </w:t>
      </w:r>
      <w:proofErr w:type="spellStart"/>
      <w:r w:rsidRPr="00F04A75">
        <w:t>CLd</w:t>
      </w:r>
      <w:proofErr w:type="spellEnd"/>
      <w:r w:rsidRPr="00F04A75">
        <w:t xml:space="preserve"> (ASPIRE) and Cd (ENDEAVOR)</w:t>
      </w:r>
    </w:p>
    <w:tbl>
      <w:tblPr>
        <w:tblStyle w:val="TableGrid"/>
        <w:tblW w:w="5000" w:type="pct"/>
        <w:tblLook w:val="04A0" w:firstRow="1" w:lastRow="0" w:firstColumn="1" w:lastColumn="0" w:noHBand="0" w:noVBand="1"/>
      </w:tblPr>
      <w:tblGrid>
        <w:gridCol w:w="2594"/>
        <w:gridCol w:w="1699"/>
        <w:gridCol w:w="1576"/>
        <w:gridCol w:w="1574"/>
        <w:gridCol w:w="1574"/>
      </w:tblGrid>
      <w:tr w:rsidR="007A63C6" w:rsidRPr="00F04A75" w14:paraId="4EDEC8E7" w14:textId="77777777" w:rsidTr="007A63C6">
        <w:trPr>
          <w:trHeight w:val="70"/>
          <w:tblHeader/>
        </w:trPr>
        <w:tc>
          <w:tcPr>
            <w:tcW w:w="1438" w:type="pct"/>
          </w:tcPr>
          <w:p w14:paraId="67660259" w14:textId="77777777" w:rsidR="007A63C6" w:rsidRPr="00F04A75" w:rsidRDefault="007A63C6" w:rsidP="0087219F">
            <w:pPr>
              <w:pStyle w:val="Tabletext"/>
              <w:rPr>
                <w:b/>
                <w:bCs/>
                <w:szCs w:val="20"/>
              </w:rPr>
            </w:pPr>
          </w:p>
        </w:tc>
        <w:tc>
          <w:tcPr>
            <w:tcW w:w="942" w:type="pct"/>
          </w:tcPr>
          <w:p w14:paraId="4F750F2F" w14:textId="77777777" w:rsidR="007A63C6" w:rsidRPr="00F04A75" w:rsidRDefault="007A63C6" w:rsidP="0087219F">
            <w:pPr>
              <w:pStyle w:val="Tabletext"/>
              <w:jc w:val="center"/>
              <w:rPr>
                <w:b/>
                <w:bCs/>
                <w:szCs w:val="20"/>
              </w:rPr>
            </w:pPr>
            <w:r w:rsidRPr="00F04A75">
              <w:rPr>
                <w:b/>
                <w:bCs/>
                <w:szCs w:val="20"/>
              </w:rPr>
              <w:t xml:space="preserve">ASPIRE </w:t>
            </w:r>
          </w:p>
        </w:tc>
        <w:tc>
          <w:tcPr>
            <w:tcW w:w="874" w:type="pct"/>
          </w:tcPr>
          <w:p w14:paraId="58D46BC5" w14:textId="77777777" w:rsidR="007A63C6" w:rsidRPr="00F04A75" w:rsidRDefault="007A63C6" w:rsidP="0087219F">
            <w:pPr>
              <w:pStyle w:val="Tabletext"/>
              <w:jc w:val="center"/>
              <w:rPr>
                <w:b/>
                <w:bCs/>
                <w:szCs w:val="20"/>
              </w:rPr>
            </w:pPr>
            <w:r w:rsidRPr="00F04A75">
              <w:rPr>
                <w:b/>
                <w:bCs/>
                <w:szCs w:val="20"/>
              </w:rPr>
              <w:t>ENDEAVOR</w:t>
            </w:r>
          </w:p>
        </w:tc>
        <w:tc>
          <w:tcPr>
            <w:tcW w:w="873" w:type="pct"/>
          </w:tcPr>
          <w:p w14:paraId="68373B68" w14:textId="77777777" w:rsidR="007A63C6" w:rsidRPr="00F04A75" w:rsidRDefault="007A63C6" w:rsidP="0087219F">
            <w:pPr>
              <w:pStyle w:val="Tabletext"/>
              <w:jc w:val="center"/>
              <w:rPr>
                <w:b/>
                <w:bCs/>
                <w:szCs w:val="20"/>
              </w:rPr>
            </w:pPr>
            <w:r w:rsidRPr="00F04A75">
              <w:rPr>
                <w:b/>
                <w:bCs/>
                <w:szCs w:val="20"/>
              </w:rPr>
              <w:t>ELOQUENT-2</w:t>
            </w:r>
          </w:p>
        </w:tc>
        <w:tc>
          <w:tcPr>
            <w:tcW w:w="873" w:type="pct"/>
          </w:tcPr>
          <w:p w14:paraId="29EEF2A1" w14:textId="77777777" w:rsidR="007A63C6" w:rsidRPr="00F04A75" w:rsidRDefault="007A63C6" w:rsidP="0087219F">
            <w:pPr>
              <w:pStyle w:val="Tabletext"/>
              <w:jc w:val="center"/>
              <w:rPr>
                <w:b/>
                <w:bCs/>
                <w:szCs w:val="20"/>
              </w:rPr>
            </w:pPr>
            <w:r w:rsidRPr="00F04A75">
              <w:rPr>
                <w:b/>
                <w:bCs/>
                <w:szCs w:val="20"/>
              </w:rPr>
              <w:t xml:space="preserve">OPTIMISMM </w:t>
            </w:r>
          </w:p>
        </w:tc>
      </w:tr>
      <w:tr w:rsidR="007A63C6" w:rsidRPr="00F04A75" w14:paraId="0D843310" w14:textId="77777777" w:rsidTr="0087219F">
        <w:trPr>
          <w:trHeight w:val="504"/>
          <w:tblHeader/>
        </w:trPr>
        <w:tc>
          <w:tcPr>
            <w:tcW w:w="1438" w:type="pct"/>
          </w:tcPr>
          <w:p w14:paraId="53CE2B85" w14:textId="77777777" w:rsidR="007A63C6" w:rsidRPr="00F04A75" w:rsidRDefault="007A63C6" w:rsidP="0087219F">
            <w:pPr>
              <w:pStyle w:val="Tabletext"/>
              <w:rPr>
                <w:b/>
                <w:bCs/>
                <w:szCs w:val="20"/>
              </w:rPr>
            </w:pPr>
            <w:r w:rsidRPr="00F04A75">
              <w:rPr>
                <w:b/>
                <w:bCs/>
                <w:szCs w:val="20"/>
              </w:rPr>
              <w:t>Treatment arm</w:t>
            </w:r>
          </w:p>
        </w:tc>
        <w:tc>
          <w:tcPr>
            <w:tcW w:w="942" w:type="pct"/>
          </w:tcPr>
          <w:p w14:paraId="276872D9" w14:textId="77777777" w:rsidR="007A63C6" w:rsidRPr="00F04A75" w:rsidRDefault="007A63C6" w:rsidP="0087219F">
            <w:pPr>
              <w:pStyle w:val="Tabletext"/>
              <w:jc w:val="center"/>
              <w:rPr>
                <w:b/>
                <w:bCs/>
                <w:szCs w:val="20"/>
              </w:rPr>
            </w:pPr>
            <w:proofErr w:type="spellStart"/>
            <w:r w:rsidRPr="00F04A75">
              <w:rPr>
                <w:b/>
                <w:bCs/>
                <w:szCs w:val="20"/>
              </w:rPr>
              <w:t>CLd</w:t>
            </w:r>
            <w:proofErr w:type="spellEnd"/>
            <w:r w:rsidRPr="00F04A75">
              <w:rPr>
                <w:b/>
                <w:bCs/>
                <w:szCs w:val="20"/>
              </w:rPr>
              <w:t xml:space="preserve"> </w:t>
            </w:r>
            <w:r w:rsidRPr="00F04A75">
              <w:rPr>
                <w:b/>
                <w:bCs/>
                <w:szCs w:val="20"/>
              </w:rPr>
              <w:br/>
              <w:t>(N=392)</w:t>
            </w:r>
          </w:p>
        </w:tc>
        <w:tc>
          <w:tcPr>
            <w:tcW w:w="874" w:type="pct"/>
          </w:tcPr>
          <w:p w14:paraId="6D0AA707" w14:textId="77777777" w:rsidR="007A63C6" w:rsidRPr="00F04A75" w:rsidRDefault="007A63C6" w:rsidP="0087219F">
            <w:pPr>
              <w:pStyle w:val="Tabletext"/>
              <w:jc w:val="center"/>
              <w:rPr>
                <w:b/>
                <w:bCs/>
                <w:szCs w:val="20"/>
              </w:rPr>
            </w:pPr>
            <w:r w:rsidRPr="00F04A75">
              <w:rPr>
                <w:b/>
                <w:bCs/>
                <w:szCs w:val="20"/>
              </w:rPr>
              <w:t>Cd56 BIW</w:t>
            </w:r>
          </w:p>
          <w:p w14:paraId="4CB69A39" w14:textId="77777777" w:rsidR="007A63C6" w:rsidRPr="00F04A75" w:rsidRDefault="007A63C6" w:rsidP="0087219F">
            <w:pPr>
              <w:pStyle w:val="Tabletext"/>
              <w:jc w:val="center"/>
              <w:rPr>
                <w:b/>
                <w:bCs/>
                <w:szCs w:val="20"/>
              </w:rPr>
            </w:pPr>
            <w:r w:rsidRPr="00F04A75">
              <w:rPr>
                <w:b/>
                <w:bCs/>
                <w:szCs w:val="20"/>
              </w:rPr>
              <w:t>(N=463)</w:t>
            </w:r>
          </w:p>
        </w:tc>
        <w:tc>
          <w:tcPr>
            <w:tcW w:w="873" w:type="pct"/>
          </w:tcPr>
          <w:p w14:paraId="14475F17" w14:textId="77777777" w:rsidR="007A63C6" w:rsidRPr="00F04A75" w:rsidRDefault="007A63C6" w:rsidP="0087219F">
            <w:pPr>
              <w:pStyle w:val="Tabletext"/>
              <w:jc w:val="center"/>
              <w:rPr>
                <w:b/>
                <w:bCs/>
                <w:szCs w:val="20"/>
              </w:rPr>
            </w:pPr>
            <w:proofErr w:type="spellStart"/>
            <w:r w:rsidRPr="00F04A75">
              <w:rPr>
                <w:b/>
                <w:bCs/>
                <w:szCs w:val="20"/>
              </w:rPr>
              <w:t>ELd</w:t>
            </w:r>
            <w:proofErr w:type="spellEnd"/>
          </w:p>
          <w:p w14:paraId="1117BBCB" w14:textId="77777777" w:rsidR="007A63C6" w:rsidRPr="00F04A75" w:rsidRDefault="007A63C6" w:rsidP="0087219F">
            <w:pPr>
              <w:pStyle w:val="Tabletext"/>
              <w:jc w:val="center"/>
              <w:rPr>
                <w:b/>
                <w:bCs/>
                <w:szCs w:val="20"/>
              </w:rPr>
            </w:pPr>
            <w:r w:rsidRPr="00F04A75">
              <w:rPr>
                <w:b/>
                <w:bCs/>
                <w:szCs w:val="20"/>
              </w:rPr>
              <w:t>(N=318)</w:t>
            </w:r>
          </w:p>
        </w:tc>
        <w:tc>
          <w:tcPr>
            <w:tcW w:w="873" w:type="pct"/>
          </w:tcPr>
          <w:p w14:paraId="568C0455" w14:textId="77777777" w:rsidR="007A63C6" w:rsidRPr="00F04A75" w:rsidRDefault="007A63C6" w:rsidP="0087219F">
            <w:pPr>
              <w:pStyle w:val="Tabletext"/>
              <w:jc w:val="center"/>
              <w:rPr>
                <w:b/>
                <w:bCs/>
                <w:szCs w:val="20"/>
              </w:rPr>
            </w:pPr>
            <w:proofErr w:type="spellStart"/>
            <w:r w:rsidRPr="00F04A75">
              <w:rPr>
                <w:b/>
                <w:bCs/>
                <w:szCs w:val="20"/>
              </w:rPr>
              <w:t>PBd</w:t>
            </w:r>
            <w:proofErr w:type="spellEnd"/>
          </w:p>
          <w:p w14:paraId="548F0373" w14:textId="77777777" w:rsidR="007A63C6" w:rsidRPr="00F04A75" w:rsidRDefault="007A63C6" w:rsidP="0087219F">
            <w:pPr>
              <w:pStyle w:val="Tabletext"/>
              <w:jc w:val="center"/>
              <w:rPr>
                <w:b/>
                <w:bCs/>
                <w:szCs w:val="20"/>
              </w:rPr>
            </w:pPr>
            <w:r w:rsidRPr="00F04A75">
              <w:rPr>
                <w:b/>
                <w:bCs/>
                <w:szCs w:val="20"/>
              </w:rPr>
              <w:t>(N=278)</w:t>
            </w:r>
          </w:p>
        </w:tc>
      </w:tr>
      <w:tr w:rsidR="007A63C6" w:rsidRPr="00F04A75" w14:paraId="2D9724BE" w14:textId="77777777" w:rsidTr="0087219F">
        <w:trPr>
          <w:trHeight w:val="165"/>
        </w:trPr>
        <w:tc>
          <w:tcPr>
            <w:tcW w:w="1438" w:type="pct"/>
            <w:hideMark/>
          </w:tcPr>
          <w:p w14:paraId="23A7AFF3" w14:textId="77777777" w:rsidR="007A63C6" w:rsidRPr="00F04A75" w:rsidRDefault="007A63C6" w:rsidP="0087219F">
            <w:pPr>
              <w:pStyle w:val="Tabletext"/>
              <w:rPr>
                <w:b/>
                <w:bCs/>
                <w:szCs w:val="20"/>
              </w:rPr>
            </w:pPr>
            <w:r w:rsidRPr="00F04A75">
              <w:rPr>
                <w:b/>
                <w:bCs/>
                <w:szCs w:val="20"/>
              </w:rPr>
              <w:t xml:space="preserve">Data-cut </w:t>
            </w:r>
          </w:p>
        </w:tc>
        <w:tc>
          <w:tcPr>
            <w:tcW w:w="942" w:type="pct"/>
            <w:hideMark/>
          </w:tcPr>
          <w:p w14:paraId="7315CD86" w14:textId="77777777" w:rsidR="007A63C6" w:rsidRPr="00F04A75" w:rsidRDefault="007A63C6" w:rsidP="0087219F">
            <w:pPr>
              <w:pStyle w:val="Tabletext"/>
              <w:jc w:val="center"/>
              <w:rPr>
                <w:b/>
                <w:bCs/>
                <w:szCs w:val="20"/>
              </w:rPr>
            </w:pPr>
            <w:r w:rsidRPr="00F04A75">
              <w:rPr>
                <w:b/>
                <w:bCs/>
                <w:szCs w:val="20"/>
              </w:rPr>
              <w:t>28 April 2017</w:t>
            </w:r>
          </w:p>
        </w:tc>
        <w:tc>
          <w:tcPr>
            <w:tcW w:w="874" w:type="pct"/>
            <w:hideMark/>
          </w:tcPr>
          <w:p w14:paraId="267A7C20" w14:textId="77777777" w:rsidR="007A63C6" w:rsidRPr="00F04A75" w:rsidRDefault="007A63C6" w:rsidP="0087219F">
            <w:pPr>
              <w:pStyle w:val="Tabletext"/>
              <w:jc w:val="center"/>
              <w:rPr>
                <w:b/>
                <w:bCs/>
                <w:szCs w:val="20"/>
              </w:rPr>
            </w:pPr>
            <w:r w:rsidRPr="00F04A75">
              <w:rPr>
                <w:b/>
                <w:bCs/>
                <w:szCs w:val="20"/>
              </w:rPr>
              <w:t xml:space="preserve">3 Jan 2017 </w:t>
            </w:r>
          </w:p>
        </w:tc>
        <w:tc>
          <w:tcPr>
            <w:tcW w:w="873" w:type="pct"/>
          </w:tcPr>
          <w:p w14:paraId="43F8A793" w14:textId="77777777" w:rsidR="007A63C6" w:rsidRPr="00F04A75" w:rsidRDefault="007A63C6" w:rsidP="0087219F">
            <w:pPr>
              <w:pStyle w:val="Tabletext"/>
              <w:jc w:val="center"/>
              <w:rPr>
                <w:b/>
                <w:bCs/>
                <w:szCs w:val="20"/>
              </w:rPr>
            </w:pPr>
            <w:r w:rsidRPr="00F04A75">
              <w:rPr>
                <w:b/>
                <w:bCs/>
                <w:szCs w:val="20"/>
              </w:rPr>
              <w:t>3 Oct 2018</w:t>
            </w:r>
          </w:p>
        </w:tc>
        <w:tc>
          <w:tcPr>
            <w:tcW w:w="873" w:type="pct"/>
          </w:tcPr>
          <w:p w14:paraId="354184F9" w14:textId="77777777" w:rsidR="007A63C6" w:rsidRPr="00F04A75" w:rsidRDefault="007A63C6" w:rsidP="0087219F">
            <w:pPr>
              <w:pStyle w:val="Tabletext"/>
              <w:jc w:val="center"/>
              <w:rPr>
                <w:b/>
                <w:bCs/>
                <w:szCs w:val="20"/>
              </w:rPr>
            </w:pPr>
            <w:r w:rsidRPr="00F04A75">
              <w:rPr>
                <w:b/>
                <w:bCs/>
                <w:szCs w:val="20"/>
              </w:rPr>
              <w:t>26 Oct 2017</w:t>
            </w:r>
          </w:p>
        </w:tc>
      </w:tr>
      <w:tr w:rsidR="007A63C6" w:rsidRPr="00F04A75" w14:paraId="0EAA2AE6" w14:textId="77777777" w:rsidTr="00B0216B">
        <w:trPr>
          <w:trHeight w:val="504"/>
        </w:trPr>
        <w:tc>
          <w:tcPr>
            <w:tcW w:w="1438" w:type="pct"/>
            <w:tcBorders>
              <w:bottom w:val="single" w:sz="4" w:space="0" w:color="auto"/>
            </w:tcBorders>
            <w:hideMark/>
          </w:tcPr>
          <w:p w14:paraId="1A695029" w14:textId="77777777" w:rsidR="007A63C6" w:rsidRPr="00F04A75" w:rsidRDefault="007A63C6" w:rsidP="0087219F">
            <w:pPr>
              <w:pStyle w:val="Tabletext"/>
              <w:rPr>
                <w:b/>
                <w:bCs/>
                <w:szCs w:val="20"/>
              </w:rPr>
            </w:pPr>
            <w:r w:rsidRPr="00F04A75">
              <w:rPr>
                <w:b/>
                <w:bCs/>
                <w:szCs w:val="20"/>
              </w:rPr>
              <w:t>Median duration of treatment in respective treatment arm</w:t>
            </w:r>
          </w:p>
        </w:tc>
        <w:tc>
          <w:tcPr>
            <w:tcW w:w="942" w:type="pct"/>
            <w:tcBorders>
              <w:bottom w:val="single" w:sz="4" w:space="0" w:color="auto"/>
            </w:tcBorders>
            <w:vAlign w:val="center"/>
            <w:hideMark/>
          </w:tcPr>
          <w:p w14:paraId="55350524" w14:textId="77777777" w:rsidR="007A63C6" w:rsidRPr="00F04A75" w:rsidRDefault="007A63C6" w:rsidP="00B0216B">
            <w:pPr>
              <w:pStyle w:val="Tabletext"/>
              <w:jc w:val="center"/>
              <w:rPr>
                <w:b/>
                <w:bCs/>
                <w:szCs w:val="20"/>
              </w:rPr>
            </w:pPr>
            <w:r w:rsidRPr="00F04A75">
              <w:rPr>
                <w:b/>
                <w:bCs/>
                <w:szCs w:val="20"/>
              </w:rPr>
              <w:t>88 weeks</w:t>
            </w:r>
          </w:p>
        </w:tc>
        <w:tc>
          <w:tcPr>
            <w:tcW w:w="874" w:type="pct"/>
            <w:tcBorders>
              <w:bottom w:val="single" w:sz="4" w:space="0" w:color="auto"/>
            </w:tcBorders>
            <w:vAlign w:val="center"/>
            <w:hideMark/>
          </w:tcPr>
          <w:p w14:paraId="6E132485" w14:textId="77777777" w:rsidR="007A63C6" w:rsidRPr="00F04A75" w:rsidRDefault="007A63C6" w:rsidP="00B0216B">
            <w:pPr>
              <w:pStyle w:val="Tabletext"/>
              <w:jc w:val="center"/>
              <w:rPr>
                <w:b/>
                <w:bCs/>
                <w:szCs w:val="20"/>
              </w:rPr>
            </w:pPr>
            <w:r w:rsidRPr="00F04A75">
              <w:rPr>
                <w:b/>
                <w:bCs/>
                <w:szCs w:val="20"/>
              </w:rPr>
              <w:t>48 weeks</w:t>
            </w:r>
          </w:p>
        </w:tc>
        <w:tc>
          <w:tcPr>
            <w:tcW w:w="873" w:type="pct"/>
            <w:tcBorders>
              <w:bottom w:val="single" w:sz="4" w:space="0" w:color="auto"/>
            </w:tcBorders>
            <w:vAlign w:val="center"/>
          </w:tcPr>
          <w:p w14:paraId="6F6CF87A" w14:textId="77777777" w:rsidR="007A63C6" w:rsidRPr="00F04A75" w:rsidRDefault="007A63C6" w:rsidP="00B0216B">
            <w:pPr>
              <w:pStyle w:val="Tabletext"/>
              <w:jc w:val="center"/>
              <w:rPr>
                <w:b/>
                <w:bCs/>
                <w:szCs w:val="20"/>
              </w:rPr>
            </w:pPr>
            <w:r w:rsidRPr="00F04A75">
              <w:rPr>
                <w:b/>
                <w:bCs/>
                <w:szCs w:val="20"/>
              </w:rPr>
              <w:t>73 weeks</w:t>
            </w:r>
          </w:p>
        </w:tc>
        <w:tc>
          <w:tcPr>
            <w:tcW w:w="873" w:type="pct"/>
            <w:tcBorders>
              <w:bottom w:val="single" w:sz="4" w:space="0" w:color="auto"/>
            </w:tcBorders>
            <w:vAlign w:val="center"/>
          </w:tcPr>
          <w:p w14:paraId="42854B65" w14:textId="77777777" w:rsidR="007A63C6" w:rsidRPr="00F04A75" w:rsidRDefault="007A63C6" w:rsidP="00B0216B">
            <w:pPr>
              <w:pStyle w:val="Tabletext"/>
              <w:jc w:val="center"/>
              <w:rPr>
                <w:b/>
                <w:bCs/>
                <w:szCs w:val="20"/>
              </w:rPr>
            </w:pPr>
            <w:r w:rsidRPr="00F04A75">
              <w:rPr>
                <w:b/>
                <w:bCs/>
                <w:szCs w:val="20"/>
              </w:rPr>
              <w:t>38 weeks</w:t>
            </w:r>
          </w:p>
        </w:tc>
      </w:tr>
      <w:tr w:rsidR="007A63C6" w:rsidRPr="00F04A75" w14:paraId="59078A04" w14:textId="77777777" w:rsidTr="0087219F">
        <w:trPr>
          <w:trHeight w:val="229"/>
        </w:trPr>
        <w:tc>
          <w:tcPr>
            <w:tcW w:w="1438" w:type="pct"/>
          </w:tcPr>
          <w:p w14:paraId="313C7ECA" w14:textId="22F97CC5" w:rsidR="007A63C6" w:rsidRPr="00F04A75" w:rsidRDefault="007A63C6" w:rsidP="0087219F">
            <w:pPr>
              <w:pStyle w:val="Tabletext"/>
              <w:rPr>
                <w:b/>
                <w:bCs/>
                <w:szCs w:val="20"/>
              </w:rPr>
            </w:pPr>
            <w:r w:rsidRPr="00F04A75">
              <w:rPr>
                <w:b/>
                <w:bCs/>
                <w:szCs w:val="20"/>
              </w:rPr>
              <w:t>Any TEAE</w:t>
            </w:r>
            <w:r w:rsidR="00DA27FF" w:rsidRPr="00F04A75">
              <w:rPr>
                <w:b/>
                <w:bCs/>
                <w:szCs w:val="20"/>
              </w:rPr>
              <w:t>, n (%)</w:t>
            </w:r>
          </w:p>
        </w:tc>
        <w:tc>
          <w:tcPr>
            <w:tcW w:w="942" w:type="pct"/>
          </w:tcPr>
          <w:p w14:paraId="78D8DEED" w14:textId="77777777" w:rsidR="007A63C6" w:rsidRPr="00F04A75" w:rsidRDefault="007A63C6" w:rsidP="0087219F">
            <w:pPr>
              <w:pStyle w:val="Tabletext"/>
              <w:jc w:val="center"/>
              <w:rPr>
                <w:color w:val="000000" w:themeColor="text1"/>
                <w:szCs w:val="20"/>
              </w:rPr>
            </w:pPr>
            <w:r w:rsidRPr="00F04A75">
              <w:rPr>
                <w:rFonts w:cstheme="minorHAnsi"/>
                <w:szCs w:val="20"/>
              </w:rPr>
              <w:t>384 (98.0)</w:t>
            </w:r>
          </w:p>
        </w:tc>
        <w:tc>
          <w:tcPr>
            <w:tcW w:w="874" w:type="pct"/>
          </w:tcPr>
          <w:p w14:paraId="32ED183E" w14:textId="1D732B1F" w:rsidR="007A63C6" w:rsidRPr="00F04A75" w:rsidRDefault="007A63C6" w:rsidP="00DA27FF">
            <w:pPr>
              <w:pStyle w:val="Tabletext"/>
              <w:jc w:val="center"/>
              <w:rPr>
                <w:color w:val="000000" w:themeColor="text1"/>
                <w:szCs w:val="20"/>
              </w:rPr>
            </w:pPr>
            <w:r w:rsidRPr="00F04A75">
              <w:rPr>
                <w:color w:val="000000" w:themeColor="text1"/>
                <w:szCs w:val="20"/>
              </w:rPr>
              <w:t>457 (98.7)</w:t>
            </w:r>
          </w:p>
        </w:tc>
        <w:tc>
          <w:tcPr>
            <w:tcW w:w="873" w:type="pct"/>
          </w:tcPr>
          <w:p w14:paraId="4CC7DCF6" w14:textId="77777777" w:rsidR="007A63C6" w:rsidRPr="00F04A75" w:rsidRDefault="007A63C6" w:rsidP="0087219F">
            <w:pPr>
              <w:pStyle w:val="Tabletext"/>
              <w:jc w:val="center"/>
              <w:rPr>
                <w:color w:val="000000" w:themeColor="text1"/>
                <w:szCs w:val="20"/>
              </w:rPr>
            </w:pPr>
            <w:r w:rsidRPr="00F04A75">
              <w:rPr>
                <w:rFonts w:cstheme="minorHAnsi"/>
                <w:szCs w:val="20"/>
                <w:lang w:bidi="hi-IN"/>
              </w:rPr>
              <w:t>316 (99.4)</w:t>
            </w:r>
          </w:p>
        </w:tc>
        <w:tc>
          <w:tcPr>
            <w:tcW w:w="873" w:type="pct"/>
          </w:tcPr>
          <w:p w14:paraId="2A74AC6D" w14:textId="77777777" w:rsidR="007A63C6" w:rsidRPr="00F04A75" w:rsidRDefault="007A63C6" w:rsidP="0087219F">
            <w:pPr>
              <w:pStyle w:val="Tabletext"/>
              <w:jc w:val="center"/>
              <w:rPr>
                <w:color w:val="000000" w:themeColor="text1"/>
                <w:szCs w:val="20"/>
              </w:rPr>
            </w:pPr>
            <w:r w:rsidRPr="00F04A75">
              <w:rPr>
                <w:rFonts w:cstheme="minorHAnsi"/>
                <w:szCs w:val="20"/>
                <w:lang w:bidi="hi-IN"/>
              </w:rPr>
              <w:t>NR</w:t>
            </w:r>
          </w:p>
        </w:tc>
      </w:tr>
      <w:tr w:rsidR="007A63C6" w:rsidRPr="00F04A75" w14:paraId="7BE7014B" w14:textId="77777777" w:rsidTr="0087219F">
        <w:trPr>
          <w:trHeight w:val="229"/>
        </w:trPr>
        <w:tc>
          <w:tcPr>
            <w:tcW w:w="1438" w:type="pct"/>
          </w:tcPr>
          <w:p w14:paraId="1146B30B" w14:textId="6BFEABAC" w:rsidR="007A63C6" w:rsidRPr="00F04A75" w:rsidRDefault="007A63C6" w:rsidP="0087219F">
            <w:pPr>
              <w:pStyle w:val="Tabletext"/>
              <w:rPr>
                <w:szCs w:val="20"/>
              </w:rPr>
            </w:pPr>
            <w:r w:rsidRPr="00F04A75">
              <w:rPr>
                <w:rFonts w:cstheme="minorHAnsi"/>
                <w:szCs w:val="20"/>
              </w:rPr>
              <w:t>≥</w:t>
            </w:r>
            <w:r w:rsidR="00AA7F11" w:rsidRPr="00F04A75">
              <w:rPr>
                <w:rFonts w:cstheme="minorHAnsi"/>
                <w:szCs w:val="20"/>
              </w:rPr>
              <w:t xml:space="preserve"> </w:t>
            </w:r>
            <w:r w:rsidRPr="00F04A75">
              <w:rPr>
                <w:rFonts w:cstheme="minorHAnsi"/>
                <w:szCs w:val="20"/>
              </w:rPr>
              <w:t>Grade 3</w:t>
            </w:r>
          </w:p>
        </w:tc>
        <w:tc>
          <w:tcPr>
            <w:tcW w:w="942" w:type="pct"/>
          </w:tcPr>
          <w:p w14:paraId="604F5C93" w14:textId="77777777" w:rsidR="007A63C6" w:rsidRPr="00F04A75" w:rsidRDefault="007A63C6" w:rsidP="0087219F">
            <w:pPr>
              <w:pStyle w:val="Tabletext"/>
              <w:jc w:val="center"/>
              <w:rPr>
                <w:color w:val="000000" w:themeColor="text1"/>
                <w:szCs w:val="20"/>
              </w:rPr>
            </w:pPr>
            <w:r w:rsidRPr="00F04A75">
              <w:rPr>
                <w:rFonts w:cstheme="minorHAnsi"/>
                <w:szCs w:val="20"/>
              </w:rPr>
              <w:t>341 (87.0)</w:t>
            </w:r>
          </w:p>
        </w:tc>
        <w:tc>
          <w:tcPr>
            <w:tcW w:w="874" w:type="pct"/>
          </w:tcPr>
          <w:p w14:paraId="5F9F5A5A" w14:textId="77777777" w:rsidR="007A63C6" w:rsidRPr="00F04A75" w:rsidRDefault="007A63C6" w:rsidP="0087219F">
            <w:pPr>
              <w:pStyle w:val="Tabletext"/>
              <w:jc w:val="center"/>
              <w:rPr>
                <w:color w:val="000000" w:themeColor="text1"/>
                <w:szCs w:val="20"/>
              </w:rPr>
            </w:pPr>
            <w:r w:rsidRPr="00F04A75">
              <w:rPr>
                <w:color w:val="000000" w:themeColor="text1"/>
                <w:szCs w:val="20"/>
              </w:rPr>
              <w:t>377 (81.4)</w:t>
            </w:r>
          </w:p>
        </w:tc>
        <w:tc>
          <w:tcPr>
            <w:tcW w:w="873" w:type="pct"/>
          </w:tcPr>
          <w:p w14:paraId="7F5A1E8F" w14:textId="77777777" w:rsidR="007A63C6" w:rsidRPr="00F04A75" w:rsidRDefault="007A63C6" w:rsidP="0087219F">
            <w:pPr>
              <w:pStyle w:val="Tabletext"/>
              <w:jc w:val="center"/>
              <w:rPr>
                <w:color w:val="000000" w:themeColor="text1"/>
                <w:szCs w:val="20"/>
              </w:rPr>
            </w:pPr>
            <w:r w:rsidRPr="00F04A75">
              <w:rPr>
                <w:rFonts w:cstheme="minorHAnsi"/>
                <w:szCs w:val="20"/>
                <w:lang w:bidi="hi-IN"/>
              </w:rPr>
              <w:t>244 (76.7)</w:t>
            </w:r>
          </w:p>
        </w:tc>
        <w:tc>
          <w:tcPr>
            <w:tcW w:w="873" w:type="pct"/>
          </w:tcPr>
          <w:p w14:paraId="3F535B6C" w14:textId="77777777" w:rsidR="007A63C6" w:rsidRPr="00F04A75" w:rsidRDefault="007A63C6" w:rsidP="0087219F">
            <w:pPr>
              <w:pStyle w:val="Tabletext"/>
              <w:jc w:val="center"/>
              <w:rPr>
                <w:color w:val="000000" w:themeColor="text1"/>
                <w:szCs w:val="20"/>
              </w:rPr>
            </w:pPr>
            <w:r w:rsidRPr="00F04A75">
              <w:rPr>
                <w:rFonts w:cstheme="minorHAnsi"/>
                <w:szCs w:val="20"/>
                <w:lang w:bidi="hi-IN"/>
              </w:rPr>
              <w:t>NR</w:t>
            </w:r>
          </w:p>
        </w:tc>
      </w:tr>
      <w:tr w:rsidR="007A63C6" w:rsidRPr="00F04A75" w14:paraId="137051E3" w14:textId="77777777" w:rsidTr="0087219F">
        <w:trPr>
          <w:trHeight w:val="229"/>
        </w:trPr>
        <w:tc>
          <w:tcPr>
            <w:tcW w:w="1438" w:type="pct"/>
            <w:hideMark/>
          </w:tcPr>
          <w:p w14:paraId="682989E3" w14:textId="77777777" w:rsidR="007A63C6" w:rsidRPr="00F04A75" w:rsidRDefault="007A63C6" w:rsidP="0087219F">
            <w:pPr>
              <w:pStyle w:val="Tabletext"/>
              <w:rPr>
                <w:szCs w:val="20"/>
              </w:rPr>
            </w:pPr>
            <w:r w:rsidRPr="00F04A75">
              <w:rPr>
                <w:rFonts w:cstheme="minorHAnsi"/>
                <w:szCs w:val="20"/>
              </w:rPr>
              <w:t>SAE</w:t>
            </w:r>
          </w:p>
        </w:tc>
        <w:tc>
          <w:tcPr>
            <w:tcW w:w="942" w:type="pct"/>
          </w:tcPr>
          <w:p w14:paraId="1C9BBC2F" w14:textId="77777777" w:rsidR="007A63C6" w:rsidRPr="00F04A75" w:rsidRDefault="007A63C6" w:rsidP="0087219F">
            <w:pPr>
              <w:pStyle w:val="Tabletext"/>
              <w:jc w:val="center"/>
              <w:rPr>
                <w:color w:val="000000" w:themeColor="text1"/>
                <w:szCs w:val="20"/>
              </w:rPr>
            </w:pPr>
            <w:r w:rsidRPr="00F04A75">
              <w:rPr>
                <w:rFonts w:cstheme="minorHAnsi"/>
                <w:szCs w:val="20"/>
              </w:rPr>
              <w:t>256 (65.3)</w:t>
            </w:r>
          </w:p>
        </w:tc>
        <w:tc>
          <w:tcPr>
            <w:tcW w:w="874" w:type="pct"/>
            <w:hideMark/>
          </w:tcPr>
          <w:p w14:paraId="1D8F0E13" w14:textId="664A085F" w:rsidR="007A63C6" w:rsidRPr="00F04A75" w:rsidRDefault="007A63C6" w:rsidP="00DA27FF">
            <w:pPr>
              <w:pStyle w:val="Tabletext"/>
              <w:jc w:val="center"/>
              <w:rPr>
                <w:color w:val="000000" w:themeColor="text1"/>
                <w:szCs w:val="20"/>
              </w:rPr>
            </w:pPr>
            <w:r w:rsidRPr="00F04A75">
              <w:rPr>
                <w:color w:val="000000" w:themeColor="text1"/>
                <w:szCs w:val="20"/>
              </w:rPr>
              <w:t>273 (59.0)</w:t>
            </w:r>
          </w:p>
        </w:tc>
        <w:tc>
          <w:tcPr>
            <w:tcW w:w="873" w:type="pct"/>
          </w:tcPr>
          <w:p w14:paraId="141BAED2" w14:textId="77777777" w:rsidR="007A63C6" w:rsidRPr="00F04A75" w:rsidRDefault="007A63C6" w:rsidP="0087219F">
            <w:pPr>
              <w:pStyle w:val="Tabletext"/>
              <w:jc w:val="center"/>
              <w:rPr>
                <w:color w:val="000000" w:themeColor="text1"/>
                <w:szCs w:val="20"/>
              </w:rPr>
            </w:pPr>
            <w:r w:rsidRPr="00F04A75">
              <w:rPr>
                <w:rFonts w:cstheme="minorHAnsi"/>
                <w:szCs w:val="20"/>
                <w:lang w:bidi="hi-IN"/>
              </w:rPr>
              <w:t>238 (74.8)</w:t>
            </w:r>
          </w:p>
        </w:tc>
        <w:tc>
          <w:tcPr>
            <w:tcW w:w="873" w:type="pct"/>
          </w:tcPr>
          <w:p w14:paraId="050E5F72" w14:textId="77777777" w:rsidR="007A63C6" w:rsidRPr="00F04A75" w:rsidRDefault="007A63C6" w:rsidP="0087219F">
            <w:pPr>
              <w:pStyle w:val="Tabletext"/>
              <w:jc w:val="center"/>
              <w:rPr>
                <w:color w:val="000000" w:themeColor="text1"/>
                <w:szCs w:val="20"/>
              </w:rPr>
            </w:pPr>
            <w:r w:rsidRPr="00F04A75">
              <w:rPr>
                <w:rFonts w:cstheme="minorHAnsi"/>
                <w:szCs w:val="20"/>
                <w:lang w:bidi="hi-IN"/>
              </w:rPr>
              <w:t>159 (57.2)</w:t>
            </w:r>
          </w:p>
        </w:tc>
      </w:tr>
      <w:tr w:rsidR="007A63C6" w:rsidRPr="00F04A75" w14:paraId="6363BDDE" w14:textId="77777777" w:rsidTr="00B0216B">
        <w:trPr>
          <w:trHeight w:val="229"/>
        </w:trPr>
        <w:tc>
          <w:tcPr>
            <w:tcW w:w="1438" w:type="pct"/>
            <w:hideMark/>
          </w:tcPr>
          <w:p w14:paraId="57023127" w14:textId="77777777" w:rsidR="007A63C6" w:rsidRPr="00F04A75" w:rsidRDefault="007A63C6" w:rsidP="0087219F">
            <w:pPr>
              <w:pStyle w:val="Tabletext"/>
              <w:rPr>
                <w:szCs w:val="20"/>
              </w:rPr>
            </w:pPr>
            <w:r w:rsidRPr="00F04A75">
              <w:rPr>
                <w:rFonts w:cstheme="minorHAnsi"/>
                <w:szCs w:val="20"/>
              </w:rPr>
              <w:t>TEAE leading to discontinuation of study drug</w:t>
            </w:r>
          </w:p>
        </w:tc>
        <w:tc>
          <w:tcPr>
            <w:tcW w:w="942" w:type="pct"/>
            <w:vAlign w:val="center"/>
          </w:tcPr>
          <w:p w14:paraId="0A248E25" w14:textId="77777777" w:rsidR="007A63C6" w:rsidRPr="00F04A75" w:rsidRDefault="007A63C6" w:rsidP="00B0216B">
            <w:pPr>
              <w:pStyle w:val="Tabletext"/>
              <w:jc w:val="center"/>
              <w:rPr>
                <w:color w:val="000000" w:themeColor="text1"/>
                <w:szCs w:val="20"/>
              </w:rPr>
            </w:pPr>
            <w:r w:rsidRPr="00F04A75">
              <w:rPr>
                <w:rFonts w:cstheme="minorHAnsi"/>
                <w:szCs w:val="20"/>
              </w:rPr>
              <w:t>131 (33.4)</w:t>
            </w:r>
          </w:p>
        </w:tc>
        <w:tc>
          <w:tcPr>
            <w:tcW w:w="874" w:type="pct"/>
            <w:vAlign w:val="center"/>
            <w:hideMark/>
          </w:tcPr>
          <w:p w14:paraId="376DE747" w14:textId="77777777" w:rsidR="007A63C6" w:rsidRPr="00F04A75" w:rsidRDefault="007A63C6" w:rsidP="00B0216B">
            <w:pPr>
              <w:pStyle w:val="Tabletext"/>
              <w:jc w:val="center"/>
              <w:rPr>
                <w:color w:val="000000" w:themeColor="text1"/>
                <w:szCs w:val="20"/>
              </w:rPr>
            </w:pPr>
            <w:r w:rsidRPr="00F04A75">
              <w:rPr>
                <w:rFonts w:cstheme="minorHAnsi"/>
                <w:szCs w:val="20"/>
                <w:lang w:bidi="hi-IN"/>
              </w:rPr>
              <w:t>133 (28.7)</w:t>
            </w:r>
          </w:p>
        </w:tc>
        <w:tc>
          <w:tcPr>
            <w:tcW w:w="873" w:type="pct"/>
            <w:vAlign w:val="center"/>
          </w:tcPr>
          <w:p w14:paraId="0E4E4D5D" w14:textId="77777777" w:rsidR="007A63C6" w:rsidRPr="00F04A75" w:rsidRDefault="007A63C6" w:rsidP="00B0216B">
            <w:pPr>
              <w:pStyle w:val="Tabletext"/>
              <w:jc w:val="center"/>
              <w:rPr>
                <w:rFonts w:cstheme="minorHAnsi"/>
                <w:szCs w:val="20"/>
                <w:lang w:bidi="hi-IN"/>
              </w:rPr>
            </w:pPr>
            <w:r w:rsidRPr="00F04A75">
              <w:rPr>
                <w:rFonts w:cstheme="minorHAnsi"/>
                <w:szCs w:val="20"/>
                <w:lang w:bidi="hi-IN"/>
              </w:rPr>
              <w:t>114 (35.8)</w:t>
            </w:r>
          </w:p>
        </w:tc>
        <w:tc>
          <w:tcPr>
            <w:tcW w:w="873" w:type="pct"/>
            <w:vAlign w:val="center"/>
          </w:tcPr>
          <w:p w14:paraId="6CFA8F98" w14:textId="77777777" w:rsidR="007A63C6" w:rsidRPr="00F04A75" w:rsidRDefault="007A63C6" w:rsidP="00B0216B">
            <w:pPr>
              <w:pStyle w:val="Tabletext"/>
              <w:jc w:val="center"/>
              <w:rPr>
                <w:rFonts w:cstheme="minorHAnsi"/>
                <w:szCs w:val="20"/>
                <w:lang w:bidi="hi-IN"/>
              </w:rPr>
            </w:pPr>
            <w:r w:rsidRPr="00F04A75">
              <w:rPr>
                <w:rFonts w:cstheme="minorHAnsi"/>
                <w:szCs w:val="20"/>
                <w:lang w:bidi="hi-IN"/>
              </w:rPr>
              <w:t>66 (23.7)</w:t>
            </w:r>
          </w:p>
        </w:tc>
      </w:tr>
      <w:tr w:rsidR="007A63C6" w:rsidRPr="00F04A75" w14:paraId="3BBA1EF9" w14:textId="77777777" w:rsidTr="0087219F">
        <w:trPr>
          <w:trHeight w:val="188"/>
        </w:trPr>
        <w:tc>
          <w:tcPr>
            <w:tcW w:w="1438" w:type="pct"/>
            <w:hideMark/>
          </w:tcPr>
          <w:p w14:paraId="0477CD09" w14:textId="77777777" w:rsidR="007A63C6" w:rsidRPr="00F04A75" w:rsidRDefault="007A63C6" w:rsidP="0087219F">
            <w:pPr>
              <w:pStyle w:val="Tabletext"/>
              <w:rPr>
                <w:szCs w:val="20"/>
              </w:rPr>
            </w:pPr>
            <w:r w:rsidRPr="00F04A75">
              <w:rPr>
                <w:rFonts w:cstheme="minorHAnsi"/>
                <w:szCs w:val="20"/>
              </w:rPr>
              <w:t>TEAE leading to death</w:t>
            </w:r>
          </w:p>
        </w:tc>
        <w:tc>
          <w:tcPr>
            <w:tcW w:w="942" w:type="pct"/>
          </w:tcPr>
          <w:p w14:paraId="03018E84" w14:textId="77777777" w:rsidR="007A63C6" w:rsidRPr="00F04A75" w:rsidRDefault="007A63C6" w:rsidP="0087219F">
            <w:pPr>
              <w:pStyle w:val="Tabletext"/>
              <w:jc w:val="center"/>
              <w:rPr>
                <w:color w:val="000000" w:themeColor="text1"/>
                <w:szCs w:val="20"/>
              </w:rPr>
            </w:pPr>
            <w:r w:rsidRPr="00F04A75">
              <w:rPr>
                <w:rFonts w:cstheme="minorHAnsi"/>
                <w:szCs w:val="20"/>
              </w:rPr>
              <w:t>45 (11.5)</w:t>
            </w:r>
          </w:p>
        </w:tc>
        <w:tc>
          <w:tcPr>
            <w:tcW w:w="874" w:type="pct"/>
            <w:hideMark/>
          </w:tcPr>
          <w:p w14:paraId="6DC512ED" w14:textId="77777777" w:rsidR="007A63C6" w:rsidRPr="00F04A75" w:rsidRDefault="007A63C6" w:rsidP="0087219F">
            <w:pPr>
              <w:pStyle w:val="Tabletext"/>
              <w:jc w:val="center"/>
              <w:rPr>
                <w:color w:val="000000" w:themeColor="text1"/>
                <w:szCs w:val="20"/>
              </w:rPr>
            </w:pPr>
            <w:r w:rsidRPr="00F04A75">
              <w:rPr>
                <w:rFonts w:cstheme="minorHAnsi"/>
                <w:szCs w:val="20"/>
                <w:lang w:bidi="hi-IN"/>
              </w:rPr>
              <w:t>32 (6.9)</w:t>
            </w:r>
          </w:p>
        </w:tc>
        <w:tc>
          <w:tcPr>
            <w:tcW w:w="873" w:type="pct"/>
          </w:tcPr>
          <w:p w14:paraId="3C73F80D" w14:textId="77777777" w:rsidR="007A63C6" w:rsidRPr="00F04A75" w:rsidRDefault="007A63C6" w:rsidP="0087219F">
            <w:pPr>
              <w:pStyle w:val="Tabletext"/>
              <w:jc w:val="center"/>
              <w:rPr>
                <w:rFonts w:cstheme="minorHAnsi"/>
                <w:szCs w:val="20"/>
                <w:lang w:bidi="hi-IN"/>
              </w:rPr>
            </w:pPr>
            <w:r w:rsidRPr="00F04A75">
              <w:rPr>
                <w:rFonts w:cstheme="minorHAnsi"/>
                <w:szCs w:val="20"/>
                <w:lang w:bidi="hi-IN"/>
              </w:rPr>
              <w:t>45 (14.2)</w:t>
            </w:r>
          </w:p>
        </w:tc>
        <w:tc>
          <w:tcPr>
            <w:tcW w:w="873" w:type="pct"/>
          </w:tcPr>
          <w:p w14:paraId="47FFCF22" w14:textId="77777777" w:rsidR="007A63C6" w:rsidRPr="00F04A75" w:rsidRDefault="007A63C6" w:rsidP="0087219F">
            <w:pPr>
              <w:pStyle w:val="Tabletext"/>
              <w:jc w:val="center"/>
              <w:rPr>
                <w:rFonts w:cstheme="minorHAnsi"/>
                <w:szCs w:val="20"/>
                <w:lang w:bidi="hi-IN"/>
              </w:rPr>
            </w:pPr>
            <w:r w:rsidRPr="00F04A75">
              <w:rPr>
                <w:rFonts w:cstheme="minorHAnsi"/>
                <w:szCs w:val="20"/>
                <w:lang w:bidi="hi-IN"/>
              </w:rPr>
              <w:t>27 (9.7)</w:t>
            </w:r>
          </w:p>
        </w:tc>
      </w:tr>
      <w:tr w:rsidR="007A63C6" w:rsidRPr="00F04A75" w14:paraId="1C2B986D" w14:textId="77777777" w:rsidTr="007A63C6">
        <w:trPr>
          <w:trHeight w:val="215"/>
        </w:trPr>
        <w:tc>
          <w:tcPr>
            <w:tcW w:w="5000" w:type="pct"/>
            <w:gridSpan w:val="5"/>
          </w:tcPr>
          <w:p w14:paraId="6E430534" w14:textId="240CC46C" w:rsidR="007A63C6" w:rsidRPr="00F04A75" w:rsidDel="005865D0" w:rsidRDefault="007A63C6" w:rsidP="0087219F">
            <w:pPr>
              <w:pStyle w:val="Tabletext"/>
              <w:rPr>
                <w:b/>
                <w:bCs/>
                <w:szCs w:val="20"/>
              </w:rPr>
            </w:pPr>
            <w:r w:rsidRPr="00F04A75">
              <w:rPr>
                <w:b/>
                <w:bCs/>
                <w:szCs w:val="20"/>
              </w:rPr>
              <w:t xml:space="preserve">TEAEs </w:t>
            </w:r>
            <w:r w:rsidRPr="00F04A75">
              <w:rPr>
                <w:rFonts w:cstheme="minorHAnsi"/>
                <w:b/>
                <w:bCs/>
                <w:szCs w:val="20"/>
              </w:rPr>
              <w:t>≥</w:t>
            </w:r>
            <w:r w:rsidR="00AA7F11" w:rsidRPr="00F04A75">
              <w:rPr>
                <w:rFonts w:cstheme="minorHAnsi"/>
                <w:b/>
                <w:bCs/>
                <w:szCs w:val="20"/>
              </w:rPr>
              <w:t xml:space="preserve"> </w:t>
            </w:r>
            <w:r w:rsidRPr="00F04A75">
              <w:rPr>
                <w:rFonts w:cstheme="minorHAnsi"/>
                <w:b/>
                <w:bCs/>
                <w:szCs w:val="20"/>
              </w:rPr>
              <w:t>Grade 3</w:t>
            </w:r>
            <w:r w:rsidR="00DA27FF" w:rsidRPr="00F04A75">
              <w:rPr>
                <w:rFonts w:cstheme="minorHAnsi"/>
                <w:b/>
                <w:bCs/>
                <w:szCs w:val="20"/>
              </w:rPr>
              <w:t>, n (%)</w:t>
            </w:r>
            <w:r w:rsidRPr="00F04A75" w:rsidDel="005865D0">
              <w:rPr>
                <w:b/>
                <w:bCs/>
                <w:szCs w:val="20"/>
              </w:rPr>
              <w:t xml:space="preserve"> </w:t>
            </w:r>
          </w:p>
        </w:tc>
      </w:tr>
      <w:tr w:rsidR="007A63C6" w:rsidRPr="00F04A75" w14:paraId="6B613D0C" w14:textId="77777777" w:rsidTr="0087219F">
        <w:trPr>
          <w:trHeight w:val="229"/>
        </w:trPr>
        <w:tc>
          <w:tcPr>
            <w:tcW w:w="1438" w:type="pct"/>
          </w:tcPr>
          <w:p w14:paraId="0C6B848C" w14:textId="77777777" w:rsidR="007A63C6" w:rsidRPr="00F04A75" w:rsidDel="00E02520" w:rsidRDefault="007A63C6" w:rsidP="0087219F">
            <w:pPr>
              <w:pStyle w:val="Tabletext"/>
              <w:tabs>
                <w:tab w:val="right" w:pos="2378"/>
              </w:tabs>
              <w:rPr>
                <w:rFonts w:cstheme="minorHAnsi"/>
                <w:szCs w:val="20"/>
              </w:rPr>
            </w:pPr>
            <w:r w:rsidRPr="00F04A75">
              <w:rPr>
                <w:rFonts w:cstheme="minorHAnsi"/>
                <w:szCs w:val="20"/>
              </w:rPr>
              <w:t xml:space="preserve">Neutropenia </w:t>
            </w:r>
          </w:p>
        </w:tc>
        <w:tc>
          <w:tcPr>
            <w:tcW w:w="942" w:type="pct"/>
            <w:vAlign w:val="center"/>
          </w:tcPr>
          <w:p w14:paraId="13C8B4D8" w14:textId="77777777" w:rsidR="007A63C6" w:rsidRPr="00F04A75" w:rsidRDefault="007A63C6" w:rsidP="0087219F">
            <w:pPr>
              <w:pStyle w:val="Tabletext"/>
              <w:jc w:val="center"/>
              <w:rPr>
                <w:rFonts w:cstheme="minorHAnsi"/>
                <w:szCs w:val="20"/>
              </w:rPr>
            </w:pPr>
            <w:r w:rsidRPr="00F04A75">
              <w:rPr>
                <w:rFonts w:cstheme="minorHAnsi"/>
                <w:szCs w:val="20"/>
              </w:rPr>
              <w:t>122 (31.1)</w:t>
            </w:r>
          </w:p>
        </w:tc>
        <w:tc>
          <w:tcPr>
            <w:tcW w:w="874" w:type="pct"/>
            <w:vAlign w:val="center"/>
          </w:tcPr>
          <w:p w14:paraId="15CE8EF9" w14:textId="77777777" w:rsidR="007A63C6" w:rsidRPr="00F04A75" w:rsidRDefault="007A63C6" w:rsidP="0087219F">
            <w:pPr>
              <w:pStyle w:val="Tabletext"/>
              <w:jc w:val="center"/>
              <w:rPr>
                <w:szCs w:val="20"/>
              </w:rPr>
            </w:pPr>
            <w:r w:rsidRPr="00F04A75">
              <w:rPr>
                <w:szCs w:val="20"/>
              </w:rPr>
              <w:t>11 (2.4)</w:t>
            </w:r>
          </w:p>
        </w:tc>
        <w:tc>
          <w:tcPr>
            <w:tcW w:w="873" w:type="pct"/>
          </w:tcPr>
          <w:p w14:paraId="304FAB64" w14:textId="77777777" w:rsidR="007A63C6" w:rsidRPr="00F04A75" w:rsidRDefault="007A63C6" w:rsidP="0087219F">
            <w:pPr>
              <w:pStyle w:val="Tabletext"/>
              <w:jc w:val="center"/>
              <w:rPr>
                <w:rFonts w:cstheme="minorHAnsi"/>
                <w:szCs w:val="20"/>
              </w:rPr>
            </w:pPr>
            <w:r w:rsidRPr="00F04A75">
              <w:rPr>
                <w:rFonts w:cstheme="minorHAnsi"/>
                <w:szCs w:val="20"/>
              </w:rPr>
              <w:t>115 (36)</w:t>
            </w:r>
          </w:p>
        </w:tc>
        <w:tc>
          <w:tcPr>
            <w:tcW w:w="873" w:type="pct"/>
          </w:tcPr>
          <w:p w14:paraId="7B6EF95C" w14:textId="77777777" w:rsidR="007A63C6" w:rsidRPr="00F04A75" w:rsidRDefault="007A63C6" w:rsidP="0087219F">
            <w:pPr>
              <w:pStyle w:val="Tabletext"/>
              <w:jc w:val="center"/>
              <w:rPr>
                <w:rFonts w:cstheme="minorHAnsi"/>
                <w:szCs w:val="20"/>
              </w:rPr>
            </w:pPr>
            <w:r w:rsidRPr="00F04A75">
              <w:rPr>
                <w:rFonts w:cstheme="minorHAnsi"/>
                <w:szCs w:val="20"/>
              </w:rPr>
              <w:t>116 (42)</w:t>
            </w:r>
          </w:p>
        </w:tc>
      </w:tr>
      <w:tr w:rsidR="007A63C6" w:rsidRPr="00F04A75" w14:paraId="330DBFCF" w14:textId="77777777" w:rsidTr="0087219F">
        <w:trPr>
          <w:trHeight w:val="229"/>
        </w:trPr>
        <w:tc>
          <w:tcPr>
            <w:tcW w:w="1438" w:type="pct"/>
          </w:tcPr>
          <w:p w14:paraId="0C6FF4AB" w14:textId="77777777" w:rsidR="007A63C6" w:rsidRPr="00F04A75" w:rsidRDefault="007A63C6" w:rsidP="0087219F">
            <w:pPr>
              <w:pStyle w:val="Tabletext"/>
              <w:rPr>
                <w:color w:val="222222"/>
                <w:szCs w:val="20"/>
              </w:rPr>
            </w:pPr>
            <w:r w:rsidRPr="00F04A75">
              <w:rPr>
                <w:rFonts w:cstheme="minorHAnsi"/>
                <w:szCs w:val="20"/>
              </w:rPr>
              <w:t xml:space="preserve">Anaemia </w:t>
            </w:r>
          </w:p>
        </w:tc>
        <w:tc>
          <w:tcPr>
            <w:tcW w:w="942" w:type="pct"/>
            <w:vAlign w:val="center"/>
          </w:tcPr>
          <w:p w14:paraId="3E09E89D" w14:textId="77777777" w:rsidR="007A63C6" w:rsidRPr="00F04A75" w:rsidRDefault="007A63C6" w:rsidP="0087219F">
            <w:pPr>
              <w:pStyle w:val="Tabletext"/>
              <w:jc w:val="center"/>
              <w:rPr>
                <w:color w:val="000000" w:themeColor="text1"/>
                <w:szCs w:val="20"/>
              </w:rPr>
            </w:pPr>
            <w:r w:rsidRPr="00F04A75">
              <w:rPr>
                <w:rFonts w:cstheme="minorHAnsi"/>
                <w:szCs w:val="20"/>
              </w:rPr>
              <w:t>73 (18.6)</w:t>
            </w:r>
          </w:p>
        </w:tc>
        <w:tc>
          <w:tcPr>
            <w:tcW w:w="874" w:type="pct"/>
            <w:vAlign w:val="center"/>
          </w:tcPr>
          <w:p w14:paraId="1D2D941F" w14:textId="77777777" w:rsidR="007A63C6" w:rsidRPr="00F04A75" w:rsidRDefault="007A63C6" w:rsidP="0087219F">
            <w:pPr>
              <w:pStyle w:val="Tabletext"/>
              <w:jc w:val="center"/>
              <w:rPr>
                <w:color w:val="000000" w:themeColor="text1"/>
                <w:szCs w:val="20"/>
              </w:rPr>
            </w:pPr>
            <w:r w:rsidRPr="00F04A75">
              <w:rPr>
                <w:szCs w:val="20"/>
              </w:rPr>
              <w:t>76 (16.4)</w:t>
            </w:r>
          </w:p>
        </w:tc>
        <w:tc>
          <w:tcPr>
            <w:tcW w:w="873" w:type="pct"/>
          </w:tcPr>
          <w:p w14:paraId="78982EDE" w14:textId="77777777" w:rsidR="007A63C6" w:rsidRPr="00F04A75" w:rsidRDefault="007A63C6" w:rsidP="0087219F">
            <w:pPr>
              <w:pStyle w:val="Tabletext"/>
              <w:jc w:val="center"/>
              <w:rPr>
                <w:rFonts w:cstheme="minorHAnsi"/>
                <w:szCs w:val="20"/>
              </w:rPr>
            </w:pPr>
            <w:r w:rsidRPr="00F04A75">
              <w:rPr>
                <w:rFonts w:cstheme="minorHAnsi"/>
                <w:szCs w:val="20"/>
              </w:rPr>
              <w:t>64 (20)</w:t>
            </w:r>
          </w:p>
        </w:tc>
        <w:tc>
          <w:tcPr>
            <w:tcW w:w="873" w:type="pct"/>
          </w:tcPr>
          <w:p w14:paraId="014AF10A" w14:textId="77777777" w:rsidR="007A63C6" w:rsidRPr="00F04A75" w:rsidRDefault="007A63C6" w:rsidP="0087219F">
            <w:pPr>
              <w:pStyle w:val="Tabletext"/>
              <w:jc w:val="center"/>
              <w:rPr>
                <w:rFonts w:cstheme="minorHAnsi"/>
                <w:szCs w:val="20"/>
              </w:rPr>
            </w:pPr>
            <w:r w:rsidRPr="00F04A75">
              <w:rPr>
                <w:rFonts w:cstheme="minorHAnsi"/>
                <w:szCs w:val="20"/>
              </w:rPr>
              <w:t>38 (14)</w:t>
            </w:r>
          </w:p>
        </w:tc>
      </w:tr>
      <w:tr w:rsidR="007A63C6" w:rsidRPr="00F04A75" w14:paraId="48C8788F" w14:textId="77777777" w:rsidTr="0087219F">
        <w:trPr>
          <w:trHeight w:val="229"/>
        </w:trPr>
        <w:tc>
          <w:tcPr>
            <w:tcW w:w="1438" w:type="pct"/>
          </w:tcPr>
          <w:p w14:paraId="3184445D" w14:textId="77777777" w:rsidR="007A63C6" w:rsidRPr="00F04A75" w:rsidRDefault="007A63C6" w:rsidP="0087219F">
            <w:pPr>
              <w:pStyle w:val="Tabletext"/>
              <w:rPr>
                <w:szCs w:val="20"/>
              </w:rPr>
            </w:pPr>
            <w:r w:rsidRPr="00F04A75">
              <w:rPr>
                <w:rFonts w:cstheme="minorHAnsi"/>
                <w:szCs w:val="20"/>
              </w:rPr>
              <w:t xml:space="preserve">Thrombocytopenia </w:t>
            </w:r>
          </w:p>
        </w:tc>
        <w:tc>
          <w:tcPr>
            <w:tcW w:w="942" w:type="pct"/>
            <w:vAlign w:val="center"/>
          </w:tcPr>
          <w:p w14:paraId="3A3F72CC" w14:textId="77777777" w:rsidR="007A63C6" w:rsidRPr="00F04A75" w:rsidRDefault="007A63C6" w:rsidP="0087219F">
            <w:pPr>
              <w:pStyle w:val="Tabletext"/>
              <w:jc w:val="center"/>
              <w:rPr>
                <w:color w:val="000000" w:themeColor="text1"/>
                <w:szCs w:val="20"/>
              </w:rPr>
            </w:pPr>
            <w:r w:rsidRPr="00F04A75">
              <w:rPr>
                <w:rFonts w:cstheme="minorHAnsi"/>
                <w:szCs w:val="20"/>
              </w:rPr>
              <w:t>66 (16.8)</w:t>
            </w:r>
          </w:p>
        </w:tc>
        <w:tc>
          <w:tcPr>
            <w:tcW w:w="874" w:type="pct"/>
            <w:vAlign w:val="center"/>
          </w:tcPr>
          <w:p w14:paraId="2F23D77C" w14:textId="77777777" w:rsidR="007A63C6" w:rsidRPr="00F04A75" w:rsidRDefault="007A63C6" w:rsidP="0087219F">
            <w:pPr>
              <w:pStyle w:val="Tabletext"/>
              <w:jc w:val="center"/>
              <w:rPr>
                <w:color w:val="000000" w:themeColor="text1"/>
                <w:szCs w:val="20"/>
              </w:rPr>
            </w:pPr>
            <w:r w:rsidRPr="00F04A75">
              <w:rPr>
                <w:szCs w:val="20"/>
              </w:rPr>
              <w:t>41 (8.9)</w:t>
            </w:r>
          </w:p>
        </w:tc>
        <w:tc>
          <w:tcPr>
            <w:tcW w:w="873" w:type="pct"/>
          </w:tcPr>
          <w:p w14:paraId="0D0E8A44" w14:textId="77777777" w:rsidR="007A63C6" w:rsidRPr="00F04A75" w:rsidRDefault="007A63C6" w:rsidP="0087219F">
            <w:pPr>
              <w:pStyle w:val="Tabletext"/>
              <w:jc w:val="center"/>
              <w:rPr>
                <w:rFonts w:cstheme="minorHAnsi"/>
                <w:szCs w:val="20"/>
              </w:rPr>
            </w:pPr>
            <w:r w:rsidRPr="00F04A75">
              <w:rPr>
                <w:rFonts w:cstheme="minorHAnsi"/>
                <w:szCs w:val="20"/>
              </w:rPr>
              <w:t>67 (21)</w:t>
            </w:r>
          </w:p>
        </w:tc>
        <w:tc>
          <w:tcPr>
            <w:tcW w:w="873" w:type="pct"/>
          </w:tcPr>
          <w:p w14:paraId="01DAFA7F" w14:textId="77777777" w:rsidR="007A63C6" w:rsidRPr="00F04A75" w:rsidRDefault="007A63C6" w:rsidP="0087219F">
            <w:pPr>
              <w:pStyle w:val="Tabletext"/>
              <w:jc w:val="center"/>
              <w:rPr>
                <w:rFonts w:cstheme="minorHAnsi"/>
                <w:szCs w:val="20"/>
              </w:rPr>
            </w:pPr>
            <w:r w:rsidRPr="00F04A75">
              <w:rPr>
                <w:rFonts w:cstheme="minorHAnsi"/>
                <w:szCs w:val="20"/>
              </w:rPr>
              <w:t>76 (27)</w:t>
            </w:r>
          </w:p>
        </w:tc>
      </w:tr>
      <w:tr w:rsidR="007A63C6" w:rsidRPr="00F04A75" w14:paraId="4224C775" w14:textId="77777777" w:rsidTr="0087219F">
        <w:trPr>
          <w:trHeight w:val="229"/>
        </w:trPr>
        <w:tc>
          <w:tcPr>
            <w:tcW w:w="1438" w:type="pct"/>
          </w:tcPr>
          <w:p w14:paraId="4DC5D60D" w14:textId="77777777" w:rsidR="007A63C6" w:rsidRPr="00F04A75" w:rsidRDefault="007A63C6" w:rsidP="0087219F">
            <w:pPr>
              <w:pStyle w:val="Tabletext"/>
              <w:rPr>
                <w:szCs w:val="20"/>
              </w:rPr>
            </w:pPr>
            <w:r w:rsidRPr="00F04A75">
              <w:rPr>
                <w:rFonts w:cstheme="minorHAnsi"/>
                <w:szCs w:val="20"/>
              </w:rPr>
              <w:t xml:space="preserve">Pneumonia </w:t>
            </w:r>
          </w:p>
        </w:tc>
        <w:tc>
          <w:tcPr>
            <w:tcW w:w="942" w:type="pct"/>
            <w:vAlign w:val="center"/>
          </w:tcPr>
          <w:p w14:paraId="39B181DF" w14:textId="77777777" w:rsidR="007A63C6" w:rsidRPr="00F04A75" w:rsidRDefault="007A63C6" w:rsidP="0087219F">
            <w:pPr>
              <w:pStyle w:val="Tabletext"/>
              <w:jc w:val="center"/>
              <w:rPr>
                <w:color w:val="000000" w:themeColor="text1"/>
                <w:szCs w:val="20"/>
              </w:rPr>
            </w:pPr>
            <w:r w:rsidRPr="00F04A75">
              <w:rPr>
                <w:rFonts w:cstheme="minorHAnsi"/>
                <w:szCs w:val="20"/>
              </w:rPr>
              <w:t>63 (16.1)</w:t>
            </w:r>
          </w:p>
        </w:tc>
        <w:tc>
          <w:tcPr>
            <w:tcW w:w="874" w:type="pct"/>
            <w:vAlign w:val="center"/>
          </w:tcPr>
          <w:p w14:paraId="69D016FC" w14:textId="77777777" w:rsidR="007A63C6" w:rsidRPr="00F04A75" w:rsidRDefault="007A63C6" w:rsidP="0087219F">
            <w:pPr>
              <w:pStyle w:val="Tabletext"/>
              <w:jc w:val="center"/>
              <w:rPr>
                <w:color w:val="000000" w:themeColor="text1"/>
                <w:szCs w:val="20"/>
              </w:rPr>
            </w:pPr>
            <w:r w:rsidRPr="00F04A75">
              <w:rPr>
                <w:szCs w:val="20"/>
              </w:rPr>
              <w:t>42 (9.1)</w:t>
            </w:r>
          </w:p>
        </w:tc>
        <w:tc>
          <w:tcPr>
            <w:tcW w:w="873" w:type="pct"/>
          </w:tcPr>
          <w:p w14:paraId="6F0EAC9E" w14:textId="77777777" w:rsidR="007A63C6" w:rsidRPr="00F04A75" w:rsidRDefault="007A63C6" w:rsidP="0087219F">
            <w:pPr>
              <w:pStyle w:val="Tabletext"/>
              <w:jc w:val="center"/>
              <w:rPr>
                <w:rFonts w:cstheme="minorHAnsi"/>
                <w:szCs w:val="20"/>
              </w:rPr>
            </w:pPr>
            <w:r w:rsidRPr="00F04A75">
              <w:rPr>
                <w:rFonts w:cstheme="minorHAnsi"/>
                <w:szCs w:val="20"/>
              </w:rPr>
              <w:t>45 (14)</w:t>
            </w:r>
          </w:p>
        </w:tc>
        <w:tc>
          <w:tcPr>
            <w:tcW w:w="873" w:type="pct"/>
          </w:tcPr>
          <w:p w14:paraId="210118E5" w14:textId="77777777" w:rsidR="007A63C6" w:rsidRPr="00F04A75" w:rsidRDefault="007A63C6" w:rsidP="0087219F">
            <w:pPr>
              <w:pStyle w:val="Tabletext"/>
              <w:jc w:val="center"/>
              <w:rPr>
                <w:rFonts w:cstheme="minorHAnsi"/>
                <w:szCs w:val="20"/>
              </w:rPr>
            </w:pPr>
            <w:r w:rsidRPr="00F04A75">
              <w:rPr>
                <w:rFonts w:cstheme="minorHAnsi"/>
                <w:szCs w:val="20"/>
              </w:rPr>
              <w:t>32 (11)</w:t>
            </w:r>
          </w:p>
        </w:tc>
      </w:tr>
      <w:tr w:rsidR="007A63C6" w:rsidRPr="00F04A75" w14:paraId="7F377B2F" w14:textId="77777777" w:rsidTr="0087219F">
        <w:trPr>
          <w:trHeight w:val="229"/>
        </w:trPr>
        <w:tc>
          <w:tcPr>
            <w:tcW w:w="1438" w:type="pct"/>
          </w:tcPr>
          <w:p w14:paraId="1804AB2C" w14:textId="111ABC79" w:rsidR="007A63C6" w:rsidRPr="00F04A75" w:rsidRDefault="00DB420E" w:rsidP="0087219F">
            <w:pPr>
              <w:pStyle w:val="Tabletext"/>
              <w:rPr>
                <w:szCs w:val="20"/>
              </w:rPr>
            </w:pPr>
            <w:r w:rsidRPr="00F04A75">
              <w:rPr>
                <w:rFonts w:cstheme="minorHAnsi"/>
                <w:szCs w:val="20"/>
              </w:rPr>
              <w:t>Hypokalaemia</w:t>
            </w:r>
            <w:r w:rsidR="007A63C6" w:rsidRPr="00F04A75">
              <w:rPr>
                <w:rFonts w:cstheme="minorHAnsi"/>
                <w:szCs w:val="20"/>
              </w:rPr>
              <w:t xml:space="preserve"> </w:t>
            </w:r>
          </w:p>
        </w:tc>
        <w:tc>
          <w:tcPr>
            <w:tcW w:w="942" w:type="pct"/>
            <w:vAlign w:val="center"/>
          </w:tcPr>
          <w:p w14:paraId="06277E65" w14:textId="77777777" w:rsidR="007A63C6" w:rsidRPr="00F04A75" w:rsidRDefault="007A63C6" w:rsidP="0087219F">
            <w:pPr>
              <w:pStyle w:val="Tabletext"/>
              <w:jc w:val="center"/>
              <w:rPr>
                <w:color w:val="000000" w:themeColor="text1"/>
                <w:szCs w:val="20"/>
              </w:rPr>
            </w:pPr>
            <w:r w:rsidRPr="00F04A75">
              <w:rPr>
                <w:rFonts w:cstheme="minorHAnsi"/>
                <w:szCs w:val="20"/>
              </w:rPr>
              <w:t>41 (10.5)</w:t>
            </w:r>
          </w:p>
        </w:tc>
        <w:tc>
          <w:tcPr>
            <w:tcW w:w="874" w:type="pct"/>
            <w:vAlign w:val="center"/>
          </w:tcPr>
          <w:p w14:paraId="3428A024" w14:textId="77777777" w:rsidR="007A63C6" w:rsidRPr="00F04A75" w:rsidRDefault="007A63C6" w:rsidP="0087219F">
            <w:pPr>
              <w:pStyle w:val="Tabletext"/>
              <w:jc w:val="center"/>
              <w:rPr>
                <w:color w:val="000000" w:themeColor="text1"/>
                <w:szCs w:val="20"/>
              </w:rPr>
            </w:pPr>
            <w:r w:rsidRPr="00F04A75">
              <w:rPr>
                <w:szCs w:val="20"/>
              </w:rPr>
              <w:t>11 (2.4)</w:t>
            </w:r>
          </w:p>
        </w:tc>
        <w:tc>
          <w:tcPr>
            <w:tcW w:w="873" w:type="pct"/>
          </w:tcPr>
          <w:p w14:paraId="15944871" w14:textId="77777777" w:rsidR="007A63C6" w:rsidRPr="00F04A75" w:rsidRDefault="007A63C6" w:rsidP="0087219F">
            <w:pPr>
              <w:pStyle w:val="Tabletext"/>
              <w:jc w:val="center"/>
              <w:rPr>
                <w:rFonts w:cstheme="minorHAnsi"/>
                <w:szCs w:val="20"/>
              </w:rPr>
            </w:pPr>
            <w:r w:rsidRPr="00F04A75">
              <w:rPr>
                <w:rFonts w:cstheme="minorHAnsi"/>
                <w:szCs w:val="20"/>
              </w:rPr>
              <w:t xml:space="preserve">NR </w:t>
            </w:r>
          </w:p>
        </w:tc>
        <w:tc>
          <w:tcPr>
            <w:tcW w:w="873" w:type="pct"/>
          </w:tcPr>
          <w:p w14:paraId="74ABD5D6" w14:textId="77777777" w:rsidR="007A63C6" w:rsidRPr="00F04A75" w:rsidRDefault="007A63C6" w:rsidP="0087219F">
            <w:pPr>
              <w:pStyle w:val="Tabletext"/>
              <w:jc w:val="center"/>
              <w:rPr>
                <w:rFonts w:cstheme="minorHAnsi"/>
                <w:szCs w:val="20"/>
              </w:rPr>
            </w:pPr>
            <w:r w:rsidRPr="00F04A75">
              <w:rPr>
                <w:rFonts w:cstheme="minorHAnsi"/>
                <w:szCs w:val="20"/>
              </w:rPr>
              <w:t>17 (6)</w:t>
            </w:r>
          </w:p>
        </w:tc>
      </w:tr>
      <w:tr w:rsidR="007A63C6" w:rsidRPr="00F04A75" w14:paraId="674D8D24" w14:textId="77777777" w:rsidTr="0087219F">
        <w:trPr>
          <w:trHeight w:val="229"/>
        </w:trPr>
        <w:tc>
          <w:tcPr>
            <w:tcW w:w="1438" w:type="pct"/>
            <w:shd w:val="clear" w:color="auto" w:fill="auto"/>
          </w:tcPr>
          <w:p w14:paraId="0E7DB170" w14:textId="77777777" w:rsidR="007A63C6" w:rsidRPr="00F04A75" w:rsidRDefault="007A63C6" w:rsidP="0087219F">
            <w:pPr>
              <w:pStyle w:val="Tabletext"/>
              <w:rPr>
                <w:color w:val="222222"/>
                <w:szCs w:val="20"/>
              </w:rPr>
            </w:pPr>
            <w:r w:rsidRPr="00F04A75">
              <w:rPr>
                <w:rFonts w:cstheme="minorHAnsi"/>
                <w:szCs w:val="20"/>
              </w:rPr>
              <w:t xml:space="preserve">Hypertension </w:t>
            </w:r>
          </w:p>
        </w:tc>
        <w:tc>
          <w:tcPr>
            <w:tcW w:w="942" w:type="pct"/>
            <w:shd w:val="clear" w:color="auto" w:fill="auto"/>
            <w:vAlign w:val="center"/>
          </w:tcPr>
          <w:p w14:paraId="070CD6CE" w14:textId="77777777" w:rsidR="007A63C6" w:rsidRPr="00F04A75" w:rsidRDefault="007A63C6" w:rsidP="0087219F">
            <w:pPr>
              <w:pStyle w:val="Tabletext"/>
              <w:jc w:val="center"/>
              <w:rPr>
                <w:color w:val="000000" w:themeColor="text1"/>
                <w:szCs w:val="20"/>
              </w:rPr>
            </w:pPr>
            <w:r w:rsidRPr="00F04A75">
              <w:rPr>
                <w:rFonts w:cstheme="minorHAnsi"/>
                <w:szCs w:val="20"/>
              </w:rPr>
              <w:t>25 (6.4)</w:t>
            </w:r>
          </w:p>
        </w:tc>
        <w:tc>
          <w:tcPr>
            <w:tcW w:w="874" w:type="pct"/>
            <w:shd w:val="clear" w:color="auto" w:fill="auto"/>
            <w:vAlign w:val="center"/>
          </w:tcPr>
          <w:p w14:paraId="12994A65" w14:textId="77777777" w:rsidR="007A63C6" w:rsidRPr="00F04A75" w:rsidRDefault="007A63C6" w:rsidP="0087219F">
            <w:pPr>
              <w:pStyle w:val="Tabletext"/>
              <w:jc w:val="center"/>
              <w:rPr>
                <w:color w:val="000000" w:themeColor="text1"/>
                <w:szCs w:val="20"/>
              </w:rPr>
            </w:pPr>
            <w:r w:rsidRPr="00F04A75">
              <w:rPr>
                <w:szCs w:val="20"/>
              </w:rPr>
              <w:t>67 (14.5)</w:t>
            </w:r>
          </w:p>
        </w:tc>
        <w:tc>
          <w:tcPr>
            <w:tcW w:w="873" w:type="pct"/>
          </w:tcPr>
          <w:p w14:paraId="1DC7C8F4" w14:textId="77777777" w:rsidR="007A63C6" w:rsidRPr="00F04A75" w:rsidRDefault="007A63C6" w:rsidP="0087219F">
            <w:pPr>
              <w:pStyle w:val="Tabletext"/>
              <w:jc w:val="center"/>
              <w:rPr>
                <w:rFonts w:cstheme="minorHAnsi"/>
                <w:szCs w:val="20"/>
              </w:rPr>
            </w:pPr>
            <w:r w:rsidRPr="00F04A75">
              <w:rPr>
                <w:rFonts w:cstheme="minorHAnsi"/>
                <w:szCs w:val="20"/>
              </w:rPr>
              <w:t xml:space="preserve">NR </w:t>
            </w:r>
          </w:p>
        </w:tc>
        <w:tc>
          <w:tcPr>
            <w:tcW w:w="873" w:type="pct"/>
          </w:tcPr>
          <w:p w14:paraId="1474FE54" w14:textId="77777777" w:rsidR="007A63C6" w:rsidRPr="00F04A75" w:rsidRDefault="007A63C6" w:rsidP="0087219F">
            <w:pPr>
              <w:pStyle w:val="Tabletext"/>
              <w:jc w:val="center"/>
              <w:rPr>
                <w:rFonts w:cstheme="minorHAnsi"/>
                <w:szCs w:val="20"/>
              </w:rPr>
            </w:pPr>
            <w:r w:rsidRPr="00F04A75">
              <w:rPr>
                <w:rFonts w:cstheme="minorHAnsi"/>
                <w:szCs w:val="20"/>
              </w:rPr>
              <w:t>8 (3)</w:t>
            </w:r>
          </w:p>
        </w:tc>
      </w:tr>
      <w:tr w:rsidR="007A63C6" w:rsidRPr="00F04A75" w14:paraId="3945F22E" w14:textId="77777777" w:rsidTr="0087219F">
        <w:trPr>
          <w:trHeight w:val="229"/>
        </w:trPr>
        <w:tc>
          <w:tcPr>
            <w:tcW w:w="1438" w:type="pct"/>
          </w:tcPr>
          <w:p w14:paraId="252C99DD" w14:textId="77777777" w:rsidR="007A63C6" w:rsidRPr="00F04A75" w:rsidRDefault="007A63C6" w:rsidP="0087219F">
            <w:pPr>
              <w:pStyle w:val="Tabletext"/>
              <w:tabs>
                <w:tab w:val="center" w:pos="1189"/>
              </w:tabs>
              <w:rPr>
                <w:szCs w:val="20"/>
              </w:rPr>
            </w:pPr>
            <w:r w:rsidRPr="00F04A75">
              <w:rPr>
                <w:rFonts w:cstheme="minorHAnsi"/>
                <w:szCs w:val="20"/>
              </w:rPr>
              <w:t xml:space="preserve">Lymphocytopenia </w:t>
            </w:r>
          </w:p>
        </w:tc>
        <w:tc>
          <w:tcPr>
            <w:tcW w:w="942" w:type="pct"/>
            <w:vAlign w:val="center"/>
          </w:tcPr>
          <w:p w14:paraId="3B176975" w14:textId="77777777" w:rsidR="007A63C6" w:rsidRPr="00F04A75" w:rsidRDefault="007A63C6" w:rsidP="0087219F">
            <w:pPr>
              <w:pStyle w:val="Tabletext"/>
              <w:jc w:val="center"/>
              <w:rPr>
                <w:color w:val="000000" w:themeColor="text1"/>
                <w:szCs w:val="20"/>
              </w:rPr>
            </w:pPr>
            <w:r w:rsidRPr="00F04A75">
              <w:rPr>
                <w:rFonts w:cstheme="minorHAnsi"/>
                <w:szCs w:val="20"/>
              </w:rPr>
              <w:t>NR</w:t>
            </w:r>
          </w:p>
        </w:tc>
        <w:tc>
          <w:tcPr>
            <w:tcW w:w="874" w:type="pct"/>
            <w:vAlign w:val="center"/>
          </w:tcPr>
          <w:p w14:paraId="0C3593DC" w14:textId="77777777" w:rsidR="007A63C6" w:rsidRPr="00F04A75" w:rsidRDefault="007A63C6" w:rsidP="0087219F">
            <w:pPr>
              <w:pStyle w:val="Tabletext"/>
              <w:jc w:val="center"/>
              <w:rPr>
                <w:color w:val="000000" w:themeColor="text1"/>
                <w:szCs w:val="20"/>
              </w:rPr>
            </w:pPr>
            <w:r w:rsidRPr="00F04A75">
              <w:rPr>
                <w:rFonts w:cstheme="minorHAnsi"/>
                <w:szCs w:val="20"/>
              </w:rPr>
              <w:t>NR</w:t>
            </w:r>
          </w:p>
        </w:tc>
        <w:tc>
          <w:tcPr>
            <w:tcW w:w="873" w:type="pct"/>
          </w:tcPr>
          <w:p w14:paraId="7E76170A" w14:textId="77777777" w:rsidR="007A63C6" w:rsidRPr="00F04A75" w:rsidRDefault="007A63C6" w:rsidP="0087219F">
            <w:pPr>
              <w:pStyle w:val="Tabletext"/>
              <w:jc w:val="center"/>
              <w:rPr>
                <w:rFonts w:cstheme="minorHAnsi"/>
                <w:szCs w:val="20"/>
              </w:rPr>
            </w:pPr>
            <w:r w:rsidRPr="00F04A75">
              <w:rPr>
                <w:rFonts w:cstheme="minorHAnsi"/>
                <w:szCs w:val="20"/>
              </w:rPr>
              <w:t>250 (79)</w:t>
            </w:r>
          </w:p>
        </w:tc>
        <w:tc>
          <w:tcPr>
            <w:tcW w:w="873" w:type="pct"/>
          </w:tcPr>
          <w:p w14:paraId="135EDCB6" w14:textId="77777777" w:rsidR="007A63C6" w:rsidRPr="00F04A75" w:rsidRDefault="007A63C6" w:rsidP="0087219F">
            <w:pPr>
              <w:pStyle w:val="Tabletext"/>
              <w:jc w:val="center"/>
              <w:rPr>
                <w:rFonts w:cstheme="minorHAnsi"/>
                <w:szCs w:val="20"/>
              </w:rPr>
            </w:pPr>
            <w:r w:rsidRPr="00F04A75">
              <w:rPr>
                <w:rFonts w:cstheme="minorHAnsi"/>
                <w:szCs w:val="20"/>
              </w:rPr>
              <w:t>NR</w:t>
            </w:r>
          </w:p>
        </w:tc>
      </w:tr>
      <w:tr w:rsidR="007A63C6" w:rsidRPr="00F04A75" w14:paraId="3BC80E0A" w14:textId="77777777" w:rsidTr="0087219F">
        <w:trPr>
          <w:trHeight w:val="229"/>
        </w:trPr>
        <w:tc>
          <w:tcPr>
            <w:tcW w:w="1438" w:type="pct"/>
          </w:tcPr>
          <w:p w14:paraId="4B68B42A" w14:textId="77777777" w:rsidR="007A63C6" w:rsidRPr="00F04A75" w:rsidRDefault="007A63C6" w:rsidP="0087219F">
            <w:pPr>
              <w:pStyle w:val="Tabletext"/>
              <w:rPr>
                <w:szCs w:val="20"/>
              </w:rPr>
            </w:pPr>
            <w:r w:rsidRPr="00F04A75">
              <w:rPr>
                <w:rFonts w:cstheme="minorHAnsi"/>
                <w:szCs w:val="20"/>
              </w:rPr>
              <w:t xml:space="preserve">Infections </w:t>
            </w:r>
          </w:p>
        </w:tc>
        <w:tc>
          <w:tcPr>
            <w:tcW w:w="942" w:type="pct"/>
            <w:vAlign w:val="center"/>
          </w:tcPr>
          <w:p w14:paraId="0AD486DA" w14:textId="77777777" w:rsidR="007A63C6" w:rsidRPr="00F04A75" w:rsidRDefault="007A63C6" w:rsidP="0087219F">
            <w:pPr>
              <w:pStyle w:val="Tabletext"/>
              <w:jc w:val="center"/>
              <w:rPr>
                <w:color w:val="000000" w:themeColor="text1"/>
                <w:szCs w:val="20"/>
              </w:rPr>
            </w:pPr>
            <w:r w:rsidRPr="00F04A75">
              <w:rPr>
                <w:rFonts w:cstheme="minorHAnsi"/>
                <w:szCs w:val="20"/>
              </w:rPr>
              <w:t xml:space="preserve">NR </w:t>
            </w:r>
          </w:p>
        </w:tc>
        <w:tc>
          <w:tcPr>
            <w:tcW w:w="874" w:type="pct"/>
            <w:vAlign w:val="center"/>
          </w:tcPr>
          <w:p w14:paraId="164619A3" w14:textId="77777777" w:rsidR="007A63C6" w:rsidRPr="00F04A75" w:rsidRDefault="007A63C6" w:rsidP="0087219F">
            <w:pPr>
              <w:pStyle w:val="Tabletext"/>
              <w:jc w:val="center"/>
              <w:rPr>
                <w:color w:val="000000" w:themeColor="text1"/>
                <w:szCs w:val="20"/>
              </w:rPr>
            </w:pPr>
            <w:r w:rsidRPr="00F04A75">
              <w:rPr>
                <w:rFonts w:cstheme="minorHAnsi"/>
                <w:szCs w:val="20"/>
              </w:rPr>
              <w:t xml:space="preserve">NR </w:t>
            </w:r>
          </w:p>
        </w:tc>
        <w:tc>
          <w:tcPr>
            <w:tcW w:w="873" w:type="pct"/>
          </w:tcPr>
          <w:p w14:paraId="1A523DC9" w14:textId="77777777" w:rsidR="007A63C6" w:rsidRPr="00F04A75" w:rsidRDefault="007A63C6" w:rsidP="0087219F">
            <w:pPr>
              <w:pStyle w:val="Tabletext"/>
              <w:jc w:val="center"/>
              <w:rPr>
                <w:rFonts w:cstheme="minorHAnsi"/>
                <w:szCs w:val="20"/>
              </w:rPr>
            </w:pPr>
            <w:r w:rsidRPr="00F04A75">
              <w:rPr>
                <w:rFonts w:cstheme="minorHAnsi"/>
                <w:szCs w:val="20"/>
              </w:rPr>
              <w:t>105 (33)</w:t>
            </w:r>
          </w:p>
        </w:tc>
        <w:tc>
          <w:tcPr>
            <w:tcW w:w="873" w:type="pct"/>
          </w:tcPr>
          <w:p w14:paraId="60190B01" w14:textId="77777777" w:rsidR="007A63C6" w:rsidRPr="00F04A75" w:rsidRDefault="007A63C6" w:rsidP="0087219F">
            <w:pPr>
              <w:pStyle w:val="Tabletext"/>
              <w:jc w:val="center"/>
              <w:rPr>
                <w:rFonts w:cstheme="minorHAnsi"/>
                <w:szCs w:val="20"/>
              </w:rPr>
            </w:pPr>
            <w:r w:rsidRPr="00F04A75">
              <w:rPr>
                <w:rFonts w:cstheme="minorHAnsi"/>
                <w:szCs w:val="20"/>
              </w:rPr>
              <w:t>2 (&lt;1)</w:t>
            </w:r>
          </w:p>
        </w:tc>
      </w:tr>
      <w:tr w:rsidR="007A63C6" w:rsidRPr="00F04A75" w14:paraId="39C5D2E8" w14:textId="77777777" w:rsidTr="0087219F">
        <w:trPr>
          <w:trHeight w:val="229"/>
        </w:trPr>
        <w:tc>
          <w:tcPr>
            <w:tcW w:w="1438" w:type="pct"/>
          </w:tcPr>
          <w:p w14:paraId="04CF65F6" w14:textId="77777777" w:rsidR="007A63C6" w:rsidRPr="00F04A75" w:rsidRDefault="007A63C6" w:rsidP="0087219F">
            <w:pPr>
              <w:pStyle w:val="Tabletext"/>
              <w:rPr>
                <w:rFonts w:cstheme="minorHAnsi"/>
                <w:szCs w:val="20"/>
              </w:rPr>
            </w:pPr>
            <w:r w:rsidRPr="00F04A75">
              <w:rPr>
                <w:rFonts w:cstheme="minorHAnsi"/>
                <w:szCs w:val="20"/>
              </w:rPr>
              <w:t xml:space="preserve">Fatigue </w:t>
            </w:r>
          </w:p>
        </w:tc>
        <w:tc>
          <w:tcPr>
            <w:tcW w:w="942" w:type="pct"/>
            <w:vAlign w:val="center"/>
          </w:tcPr>
          <w:p w14:paraId="2387370E" w14:textId="77777777" w:rsidR="007A63C6" w:rsidRPr="00F04A75" w:rsidRDefault="007A63C6" w:rsidP="0087219F">
            <w:pPr>
              <w:pStyle w:val="Tabletext"/>
              <w:jc w:val="center"/>
              <w:rPr>
                <w:rFonts w:cstheme="minorHAnsi"/>
                <w:szCs w:val="20"/>
              </w:rPr>
            </w:pPr>
            <w:r w:rsidRPr="00F04A75">
              <w:rPr>
                <w:rFonts w:cstheme="minorHAnsi"/>
                <w:szCs w:val="20"/>
              </w:rPr>
              <w:t>32 (8.2)</w:t>
            </w:r>
          </w:p>
        </w:tc>
        <w:tc>
          <w:tcPr>
            <w:tcW w:w="874" w:type="pct"/>
            <w:vAlign w:val="center"/>
          </w:tcPr>
          <w:p w14:paraId="1557DFC4" w14:textId="77777777" w:rsidR="007A63C6" w:rsidRPr="00F04A75" w:rsidRDefault="007A63C6" w:rsidP="0087219F">
            <w:pPr>
              <w:pStyle w:val="Tabletext"/>
              <w:jc w:val="center"/>
              <w:rPr>
                <w:rFonts w:cstheme="minorHAnsi"/>
                <w:szCs w:val="20"/>
              </w:rPr>
            </w:pPr>
            <w:r w:rsidRPr="00F04A75">
              <w:rPr>
                <w:rFonts w:cstheme="minorHAnsi"/>
                <w:szCs w:val="20"/>
              </w:rPr>
              <w:t>31 (6.7)</w:t>
            </w:r>
          </w:p>
        </w:tc>
        <w:tc>
          <w:tcPr>
            <w:tcW w:w="873" w:type="pct"/>
          </w:tcPr>
          <w:p w14:paraId="67302736" w14:textId="77777777" w:rsidR="007A63C6" w:rsidRPr="00F04A75" w:rsidRDefault="007A63C6" w:rsidP="0087219F">
            <w:pPr>
              <w:pStyle w:val="Tabletext"/>
              <w:jc w:val="center"/>
              <w:rPr>
                <w:rFonts w:cstheme="minorHAnsi"/>
                <w:szCs w:val="20"/>
              </w:rPr>
            </w:pPr>
            <w:r w:rsidRPr="00F04A75">
              <w:rPr>
                <w:rFonts w:cstheme="minorHAnsi"/>
                <w:szCs w:val="20"/>
              </w:rPr>
              <w:t>32 (10)</w:t>
            </w:r>
          </w:p>
        </w:tc>
        <w:tc>
          <w:tcPr>
            <w:tcW w:w="873" w:type="pct"/>
          </w:tcPr>
          <w:p w14:paraId="3D5D279F" w14:textId="77777777" w:rsidR="007A63C6" w:rsidRPr="00F04A75" w:rsidRDefault="007A63C6" w:rsidP="0087219F">
            <w:pPr>
              <w:pStyle w:val="Tabletext"/>
              <w:jc w:val="center"/>
              <w:rPr>
                <w:rFonts w:cstheme="minorHAnsi"/>
                <w:szCs w:val="20"/>
              </w:rPr>
            </w:pPr>
            <w:r w:rsidRPr="00F04A75">
              <w:rPr>
                <w:rFonts w:cstheme="minorHAnsi"/>
                <w:szCs w:val="20"/>
              </w:rPr>
              <w:t>23 (8)</w:t>
            </w:r>
          </w:p>
        </w:tc>
      </w:tr>
      <w:tr w:rsidR="007A63C6" w:rsidRPr="00F04A75" w14:paraId="494793C0" w14:textId="77777777" w:rsidTr="007A63C6">
        <w:trPr>
          <w:trHeight w:val="229"/>
        </w:trPr>
        <w:tc>
          <w:tcPr>
            <w:tcW w:w="1438" w:type="pct"/>
          </w:tcPr>
          <w:p w14:paraId="7538E771" w14:textId="77777777" w:rsidR="007A63C6" w:rsidRPr="00F04A75" w:rsidRDefault="007A63C6" w:rsidP="0087219F">
            <w:pPr>
              <w:pStyle w:val="Tabletext"/>
              <w:rPr>
                <w:rFonts w:cstheme="minorHAnsi"/>
                <w:szCs w:val="20"/>
              </w:rPr>
            </w:pPr>
            <w:r w:rsidRPr="00F04A75">
              <w:t>Hyperglycaemia</w:t>
            </w:r>
          </w:p>
        </w:tc>
        <w:tc>
          <w:tcPr>
            <w:tcW w:w="942" w:type="pct"/>
          </w:tcPr>
          <w:p w14:paraId="2313E019" w14:textId="77777777" w:rsidR="007A63C6" w:rsidRPr="00F04A75" w:rsidRDefault="007A63C6" w:rsidP="0087219F">
            <w:pPr>
              <w:pStyle w:val="Tabletext"/>
              <w:jc w:val="center"/>
              <w:rPr>
                <w:rFonts w:cstheme="minorHAnsi"/>
                <w:szCs w:val="20"/>
              </w:rPr>
            </w:pPr>
            <w:r w:rsidRPr="00F04A75">
              <w:rPr>
                <w:rFonts w:cstheme="minorHAnsi"/>
                <w:szCs w:val="20"/>
              </w:rPr>
              <w:t>NR</w:t>
            </w:r>
          </w:p>
        </w:tc>
        <w:tc>
          <w:tcPr>
            <w:tcW w:w="874" w:type="pct"/>
            <w:vAlign w:val="center"/>
          </w:tcPr>
          <w:p w14:paraId="4C88F746" w14:textId="77777777" w:rsidR="007A63C6" w:rsidRPr="00F04A75" w:rsidRDefault="007A63C6" w:rsidP="0087219F">
            <w:pPr>
              <w:pStyle w:val="Tabletext"/>
              <w:jc w:val="center"/>
              <w:rPr>
                <w:rFonts w:cstheme="minorHAnsi"/>
                <w:szCs w:val="20"/>
              </w:rPr>
            </w:pPr>
            <w:r w:rsidRPr="00F04A75">
              <w:rPr>
                <w:szCs w:val="20"/>
              </w:rPr>
              <w:t>22 (4.8)</w:t>
            </w:r>
          </w:p>
        </w:tc>
        <w:tc>
          <w:tcPr>
            <w:tcW w:w="873" w:type="pct"/>
          </w:tcPr>
          <w:p w14:paraId="3D830A40" w14:textId="77777777" w:rsidR="007A63C6" w:rsidRPr="00F04A75" w:rsidRDefault="007A63C6" w:rsidP="0087219F">
            <w:pPr>
              <w:pStyle w:val="Tabletext"/>
              <w:jc w:val="center"/>
              <w:rPr>
                <w:rFonts w:cstheme="minorHAnsi"/>
                <w:szCs w:val="20"/>
              </w:rPr>
            </w:pPr>
            <w:r w:rsidRPr="00F04A75">
              <w:rPr>
                <w:rFonts w:cstheme="minorHAnsi"/>
                <w:szCs w:val="20"/>
              </w:rPr>
              <w:t>NR</w:t>
            </w:r>
          </w:p>
        </w:tc>
        <w:tc>
          <w:tcPr>
            <w:tcW w:w="873" w:type="pct"/>
          </w:tcPr>
          <w:p w14:paraId="672D2093" w14:textId="77777777" w:rsidR="007A63C6" w:rsidRPr="00F04A75" w:rsidRDefault="007A63C6" w:rsidP="0087219F">
            <w:pPr>
              <w:pStyle w:val="Tabletext"/>
              <w:jc w:val="center"/>
              <w:rPr>
                <w:rFonts w:cstheme="minorHAnsi"/>
                <w:szCs w:val="20"/>
              </w:rPr>
            </w:pPr>
            <w:r w:rsidRPr="00F04A75">
              <w:t>25 (10)</w:t>
            </w:r>
          </w:p>
        </w:tc>
      </w:tr>
      <w:tr w:rsidR="007A63C6" w:rsidRPr="00F04A75" w14:paraId="3B0C6D74" w14:textId="77777777" w:rsidTr="0087219F">
        <w:trPr>
          <w:trHeight w:val="229"/>
        </w:trPr>
        <w:tc>
          <w:tcPr>
            <w:tcW w:w="1438" w:type="pct"/>
          </w:tcPr>
          <w:p w14:paraId="59FBF940" w14:textId="77777777" w:rsidR="007A63C6" w:rsidRPr="00F04A75" w:rsidRDefault="007A63C6" w:rsidP="0087219F">
            <w:pPr>
              <w:pStyle w:val="Tabletext"/>
            </w:pPr>
            <w:r w:rsidRPr="00F04A75">
              <w:t>Diarrhoea</w:t>
            </w:r>
          </w:p>
        </w:tc>
        <w:tc>
          <w:tcPr>
            <w:tcW w:w="942" w:type="pct"/>
          </w:tcPr>
          <w:p w14:paraId="3295F78C" w14:textId="77777777" w:rsidR="007A63C6" w:rsidRPr="00F04A75" w:rsidRDefault="007A63C6" w:rsidP="0087219F">
            <w:pPr>
              <w:pStyle w:val="Tabletext"/>
              <w:jc w:val="center"/>
              <w:rPr>
                <w:rFonts w:cstheme="minorHAnsi"/>
                <w:szCs w:val="20"/>
              </w:rPr>
            </w:pPr>
            <w:r w:rsidRPr="00F04A75">
              <w:rPr>
                <w:rFonts w:cstheme="minorHAnsi"/>
                <w:szCs w:val="20"/>
              </w:rPr>
              <w:t>18 (4.6)</w:t>
            </w:r>
          </w:p>
        </w:tc>
        <w:tc>
          <w:tcPr>
            <w:tcW w:w="874" w:type="pct"/>
            <w:vAlign w:val="center"/>
          </w:tcPr>
          <w:p w14:paraId="3E4693E5" w14:textId="77777777" w:rsidR="007A63C6" w:rsidRPr="00F04A75" w:rsidRDefault="007A63C6" w:rsidP="0087219F">
            <w:pPr>
              <w:pStyle w:val="Tabletext"/>
              <w:jc w:val="center"/>
              <w:rPr>
                <w:rFonts w:cstheme="minorHAnsi"/>
                <w:szCs w:val="20"/>
              </w:rPr>
            </w:pPr>
            <w:r w:rsidRPr="00F04A75">
              <w:rPr>
                <w:rFonts w:cstheme="minorHAnsi"/>
                <w:szCs w:val="20"/>
              </w:rPr>
              <w:t>NR</w:t>
            </w:r>
          </w:p>
        </w:tc>
        <w:tc>
          <w:tcPr>
            <w:tcW w:w="873" w:type="pct"/>
          </w:tcPr>
          <w:p w14:paraId="34A49075" w14:textId="77777777" w:rsidR="007A63C6" w:rsidRPr="00F04A75" w:rsidRDefault="007A63C6" w:rsidP="0087219F">
            <w:pPr>
              <w:pStyle w:val="Tabletext"/>
              <w:jc w:val="center"/>
              <w:rPr>
                <w:rFonts w:cstheme="minorHAnsi"/>
                <w:szCs w:val="20"/>
              </w:rPr>
            </w:pPr>
            <w:r w:rsidRPr="00F04A75">
              <w:rPr>
                <w:rFonts w:cstheme="minorHAnsi"/>
                <w:szCs w:val="20"/>
              </w:rPr>
              <w:t>18 (6)</w:t>
            </w:r>
          </w:p>
        </w:tc>
        <w:tc>
          <w:tcPr>
            <w:tcW w:w="873" w:type="pct"/>
          </w:tcPr>
          <w:p w14:paraId="2846B14C" w14:textId="77777777" w:rsidR="007A63C6" w:rsidRPr="00F04A75" w:rsidRDefault="007A63C6" w:rsidP="0087219F">
            <w:pPr>
              <w:pStyle w:val="Tabletext"/>
              <w:jc w:val="center"/>
            </w:pPr>
            <w:r w:rsidRPr="00F04A75">
              <w:t>20 (7)</w:t>
            </w:r>
          </w:p>
        </w:tc>
      </w:tr>
    </w:tbl>
    <w:p w14:paraId="66CFC17F" w14:textId="77777777" w:rsidR="007A63C6" w:rsidRPr="00F04A75" w:rsidRDefault="007A63C6" w:rsidP="007A63C6">
      <w:pPr>
        <w:pStyle w:val="TableFooter"/>
      </w:pPr>
      <w:r w:rsidRPr="00F04A75">
        <w:t xml:space="preserve">Source: Table 2.5.10 p70, Table 2.5.11 p71, Table 2.5.12 p72-73, </w:t>
      </w:r>
      <w:r w:rsidRPr="00F04A75">
        <w:rPr>
          <w:rFonts w:eastAsiaTheme="minorHAnsi" w:cstheme="minorBidi"/>
          <w:lang w:eastAsia="en-US"/>
        </w:rPr>
        <w:t xml:space="preserve">Table 2.5-13 p74-75; </w:t>
      </w:r>
      <w:r w:rsidRPr="00F04A75">
        <w:t xml:space="preserve">Table 2.5-16 p82 of the resubmission, Table 8-5 carfilzomib abbreviated CSR April 2017; Table 1 p4037, </w:t>
      </w:r>
      <w:proofErr w:type="spellStart"/>
      <w:r w:rsidRPr="00F04A75">
        <w:t>Dimopoulos</w:t>
      </w:r>
      <w:proofErr w:type="spellEnd"/>
      <w:r w:rsidRPr="00F04A75">
        <w:t xml:space="preserve"> et al., 2018; Supplementary Table 4 p12, Table 2 p732 Siegel et al 2018; Table 3 p289 Richardson et al., 2019</w:t>
      </w:r>
    </w:p>
    <w:p w14:paraId="4E018960" w14:textId="33537921" w:rsidR="007A63C6" w:rsidRDefault="007A63C6" w:rsidP="00273039">
      <w:pPr>
        <w:pStyle w:val="TableFooter"/>
      </w:pPr>
      <w:r w:rsidRPr="00F04A75">
        <w:t xml:space="preserve">Cd56 </w:t>
      </w:r>
      <w:r w:rsidR="00AA7F11" w:rsidRPr="00F04A75">
        <w:t xml:space="preserve">BIW </w:t>
      </w:r>
      <w:r w:rsidRPr="00F04A75">
        <w:t>= carfilzomib 56 mg/m</w:t>
      </w:r>
      <w:r w:rsidRPr="00F04A75">
        <w:rPr>
          <w:vertAlign w:val="superscript"/>
        </w:rPr>
        <w:t>2</w:t>
      </w:r>
      <w:r w:rsidRPr="00F04A75">
        <w:t xml:space="preserve"> </w:t>
      </w:r>
      <w:r w:rsidR="00AA7F11" w:rsidRPr="00F04A75">
        <w:t>twice weekly and</w:t>
      </w:r>
      <w:r w:rsidRPr="00F04A75">
        <w:t xml:space="preserve"> dexamethasone; </w:t>
      </w:r>
      <w:proofErr w:type="spellStart"/>
      <w:r w:rsidRPr="00F04A75">
        <w:t>CLd</w:t>
      </w:r>
      <w:proofErr w:type="spellEnd"/>
      <w:r w:rsidRPr="00F04A75">
        <w:t xml:space="preserve"> = carfilzomib, lenalidomide, and dexamethasone; </w:t>
      </w:r>
      <w:proofErr w:type="spellStart"/>
      <w:r w:rsidRPr="00F04A75">
        <w:t>ELd</w:t>
      </w:r>
      <w:proofErr w:type="spellEnd"/>
      <w:r w:rsidRPr="00F04A75">
        <w:t xml:space="preserve"> = </w:t>
      </w:r>
      <w:proofErr w:type="spellStart"/>
      <w:r w:rsidRPr="00F04A75">
        <w:t>elotuzumab</w:t>
      </w:r>
      <w:proofErr w:type="spellEnd"/>
      <w:r w:rsidRPr="00F04A75">
        <w:t>, lenalidomide, and dexamethasone; NR</w:t>
      </w:r>
      <w:r w:rsidR="00AA7F11" w:rsidRPr="00F04A75">
        <w:t xml:space="preserve"> </w:t>
      </w:r>
      <w:r w:rsidRPr="00F04A75">
        <w:t>=</w:t>
      </w:r>
      <w:r w:rsidR="00AA7F11" w:rsidRPr="00F04A75">
        <w:t xml:space="preserve"> </w:t>
      </w:r>
      <w:r w:rsidRPr="00F04A75">
        <w:t>not reported</w:t>
      </w:r>
      <w:r w:rsidR="00AA7F11" w:rsidRPr="00F04A75">
        <w:t xml:space="preserve">; </w:t>
      </w:r>
      <w:proofErr w:type="spellStart"/>
      <w:r w:rsidRPr="00F04A75">
        <w:t>PBd</w:t>
      </w:r>
      <w:proofErr w:type="spellEnd"/>
      <w:r w:rsidRPr="00F04A75">
        <w:t xml:space="preserve"> = pomalidomide, bortezomib, and dexamethasone; SAE = serious adverse event; TEAE = treatment emergent adverse event</w:t>
      </w:r>
    </w:p>
    <w:p w14:paraId="245AA328" w14:textId="77777777" w:rsidR="00273039" w:rsidRPr="00273039" w:rsidRDefault="00273039" w:rsidP="00273039">
      <w:pPr>
        <w:pStyle w:val="TableFooter"/>
        <w:rPr>
          <w:sz w:val="22"/>
          <w:szCs w:val="22"/>
        </w:rPr>
      </w:pPr>
    </w:p>
    <w:p w14:paraId="2C0007C9" w14:textId="37B157EE" w:rsidR="007A63C6" w:rsidRPr="00F04A75" w:rsidRDefault="006E3C86" w:rsidP="007A63C6">
      <w:pPr>
        <w:pStyle w:val="3-BodyText"/>
        <w:rPr>
          <w:color w:val="000000" w:themeColor="text1"/>
        </w:rPr>
      </w:pPr>
      <w:r>
        <w:t>The proportion of patients experience events was similar across</w:t>
      </w:r>
      <w:r w:rsidR="00F97782" w:rsidRPr="00F04A75">
        <w:t xml:space="preserve"> the </w:t>
      </w:r>
      <w:proofErr w:type="spellStart"/>
      <w:r w:rsidR="00F97782" w:rsidRPr="00F04A75">
        <w:t>CLd</w:t>
      </w:r>
      <w:proofErr w:type="spellEnd"/>
      <w:r w:rsidR="00F97782" w:rsidRPr="00F04A75">
        <w:t xml:space="preserve"> and Cd arms in terms of patients experiencing at least one AE (98% vs. 98.7%); serious AE (65.3% vs. 59.0%); Grade 3 AE (87% vs. 81.4%) and AE leading to discontinuation (33.4% vs 28.7%). Similar rate of discontinuations may suggest that the AE profile of </w:t>
      </w:r>
      <w:proofErr w:type="spellStart"/>
      <w:r w:rsidR="00F97782" w:rsidRPr="00F04A75">
        <w:t>CLd</w:t>
      </w:r>
      <w:proofErr w:type="spellEnd"/>
      <w:r w:rsidR="00F97782" w:rsidRPr="00F04A75">
        <w:t xml:space="preserve"> was manageable. </w:t>
      </w:r>
    </w:p>
    <w:p w14:paraId="183770AE" w14:textId="5CF12854" w:rsidR="00617CA6" w:rsidRPr="00F04A75" w:rsidRDefault="00F97782" w:rsidP="0016658B">
      <w:pPr>
        <w:pStyle w:val="3-BodyText"/>
        <w:rPr>
          <w:color w:val="000000" w:themeColor="text1"/>
        </w:rPr>
      </w:pPr>
      <w:r w:rsidRPr="00F04A75">
        <w:t xml:space="preserve">The reported Grade 3-4 AEs that occurred in a higher proportion of </w:t>
      </w:r>
      <w:proofErr w:type="spellStart"/>
      <w:r w:rsidRPr="00F04A75">
        <w:t>CLd</w:t>
      </w:r>
      <w:proofErr w:type="spellEnd"/>
      <w:r w:rsidRPr="00F04A75">
        <w:t xml:space="preserve"> patients compared with Cd patients (≥ 5% difference in either treatment arm) were: neutropenia (31.1% vs 2.4%); pneumonia (16.1% vs. 9.1%) and </w:t>
      </w:r>
      <w:r w:rsidR="00DB420E" w:rsidRPr="00F04A75">
        <w:t>hypokalaemia</w:t>
      </w:r>
      <w:r w:rsidRPr="00F04A75">
        <w:t xml:space="preserve"> (10.5% vs. 2.4%). Conversely, the following Grade 3-4 AEs were reported in a higher proportion of Cd patients compared with </w:t>
      </w:r>
      <w:proofErr w:type="spellStart"/>
      <w:r w:rsidRPr="00F04A75">
        <w:t>CLd</w:t>
      </w:r>
      <w:proofErr w:type="spellEnd"/>
      <w:r w:rsidRPr="00F04A75">
        <w:t xml:space="preserve"> patients (≥ 5% difference in either treatment arm): hypertension (14.5% vs 5.4%). </w:t>
      </w:r>
    </w:p>
    <w:p w14:paraId="21EA81B4" w14:textId="2AA50758" w:rsidR="00F97782" w:rsidRPr="00F04A75" w:rsidRDefault="006E3C86" w:rsidP="0016658B">
      <w:pPr>
        <w:pStyle w:val="3-BodyText"/>
        <w:rPr>
          <w:color w:val="000000" w:themeColor="text1"/>
        </w:rPr>
      </w:pPr>
      <w:r>
        <w:t>The proportions were similar across</w:t>
      </w:r>
      <w:r w:rsidR="00F97782" w:rsidRPr="00F04A75">
        <w:t xml:space="preserve"> the </w:t>
      </w:r>
      <w:proofErr w:type="spellStart"/>
      <w:r w:rsidR="00F97782" w:rsidRPr="00F04A75">
        <w:t>CLd</w:t>
      </w:r>
      <w:proofErr w:type="spellEnd"/>
      <w:r w:rsidR="00F97782" w:rsidRPr="00F04A75">
        <w:t xml:space="preserve"> and </w:t>
      </w:r>
      <w:proofErr w:type="spellStart"/>
      <w:r w:rsidR="00617CA6" w:rsidRPr="00F04A75">
        <w:t>PBd</w:t>
      </w:r>
      <w:proofErr w:type="spellEnd"/>
      <w:r w:rsidR="00F97782" w:rsidRPr="00F04A75">
        <w:t xml:space="preserve"> arms in terms of the incidence of patients experiencing serious AE (65.3% vs. 57.2%) and AE leading to death (11.5% vs. 9.7</w:t>
      </w:r>
      <w:r>
        <w:t>%</w:t>
      </w:r>
      <w:r w:rsidR="00F97782" w:rsidRPr="00F04A75">
        <w:t xml:space="preserve">). However, the incidence of AE leading to discontinuation was higher in </w:t>
      </w:r>
      <w:proofErr w:type="spellStart"/>
      <w:r w:rsidR="00F97782" w:rsidRPr="00F04A75">
        <w:t>CLd</w:t>
      </w:r>
      <w:proofErr w:type="spellEnd"/>
      <w:r w:rsidR="00F97782" w:rsidRPr="00F04A75">
        <w:t xml:space="preserve"> (33.4% vs 23.7%) which may suggest that the AE profile of </w:t>
      </w:r>
      <w:proofErr w:type="spellStart"/>
      <w:r w:rsidR="00F97782" w:rsidRPr="00F04A75">
        <w:t>CLd</w:t>
      </w:r>
      <w:proofErr w:type="spellEnd"/>
      <w:r w:rsidR="00F97782" w:rsidRPr="00F04A75">
        <w:t xml:space="preserve"> was less manageable compared to </w:t>
      </w:r>
      <w:proofErr w:type="spellStart"/>
      <w:r w:rsidR="00F97782" w:rsidRPr="00F04A75">
        <w:t>PBd</w:t>
      </w:r>
      <w:proofErr w:type="spellEnd"/>
      <w:r w:rsidR="00F97782" w:rsidRPr="00F04A75">
        <w:t xml:space="preserve">. </w:t>
      </w:r>
    </w:p>
    <w:p w14:paraId="3C7E9C99" w14:textId="77777777" w:rsidR="00F97782" w:rsidRPr="00F04A75" w:rsidRDefault="00F97782" w:rsidP="0016658B">
      <w:pPr>
        <w:pStyle w:val="3-BodyText"/>
        <w:rPr>
          <w:color w:val="000000" w:themeColor="text1"/>
        </w:rPr>
      </w:pPr>
      <w:r w:rsidRPr="00F04A75">
        <w:t xml:space="preserve">The reported Grade 3-4 AEs that occurred in a higher proportion of </w:t>
      </w:r>
      <w:proofErr w:type="spellStart"/>
      <w:r w:rsidRPr="00F04A75">
        <w:t>CLd</w:t>
      </w:r>
      <w:proofErr w:type="spellEnd"/>
      <w:r w:rsidRPr="00F04A75">
        <w:t xml:space="preserve"> patients compared with </w:t>
      </w:r>
      <w:proofErr w:type="spellStart"/>
      <w:r w:rsidRPr="00F04A75">
        <w:t>PBd</w:t>
      </w:r>
      <w:proofErr w:type="spellEnd"/>
      <w:r w:rsidRPr="00F04A75">
        <w:t xml:space="preserve"> patients were anaemia (18.6% vs. 14%), pneumonia (16.1% vs. 12%) and hypokalaemia (10.5% vs. 6%). Conversely, the following Grade 3-4 AEs were reported in a higher proportion of (≥ 5% difference in either treatment arm) in </w:t>
      </w:r>
      <w:proofErr w:type="spellStart"/>
      <w:r w:rsidRPr="00F04A75">
        <w:t>PBd</w:t>
      </w:r>
      <w:proofErr w:type="spellEnd"/>
      <w:r w:rsidRPr="00F04A75">
        <w:t xml:space="preserve"> patients compared with </w:t>
      </w:r>
      <w:proofErr w:type="spellStart"/>
      <w:r w:rsidRPr="00F04A75">
        <w:t>CLd</w:t>
      </w:r>
      <w:proofErr w:type="spellEnd"/>
      <w:r w:rsidRPr="00F04A75">
        <w:t xml:space="preserve"> patients was neutropenia (42% vs. 31.1%) and thrombocytopenia (27% vs. 16.8%). </w:t>
      </w:r>
    </w:p>
    <w:p w14:paraId="604A7AFD" w14:textId="180CD5EF" w:rsidR="00F97782" w:rsidRPr="00F04A75" w:rsidRDefault="0005108B" w:rsidP="00800906">
      <w:pPr>
        <w:pStyle w:val="3-BodyText"/>
        <w:rPr>
          <w:color w:val="000000" w:themeColor="text1"/>
        </w:rPr>
      </w:pPr>
      <w:r>
        <w:t>The proportion</w:t>
      </w:r>
      <w:r w:rsidR="00CB0A27">
        <w:t>s</w:t>
      </w:r>
      <w:r>
        <w:t xml:space="preserve"> were similar across</w:t>
      </w:r>
      <w:r w:rsidR="00F97782" w:rsidRPr="00F04A75">
        <w:t xml:space="preserve"> the </w:t>
      </w:r>
      <w:proofErr w:type="spellStart"/>
      <w:r w:rsidR="00F97782" w:rsidRPr="00F04A75">
        <w:t>CLd</w:t>
      </w:r>
      <w:proofErr w:type="spellEnd"/>
      <w:r w:rsidR="00F97782" w:rsidRPr="00F04A75">
        <w:t xml:space="preserve"> and </w:t>
      </w:r>
      <w:proofErr w:type="spellStart"/>
      <w:r w:rsidR="00F97782" w:rsidRPr="00F04A75">
        <w:t>ELd</w:t>
      </w:r>
      <w:proofErr w:type="spellEnd"/>
      <w:r w:rsidR="00F97782" w:rsidRPr="00F04A75">
        <w:t xml:space="preserve"> arms in terms of the incidence of patients experiencing at least one AE (98% vs. 99.4%); serious AE (65.3% vs. 74.8%); and AE leading to discontinuation (33.4% vs 35.8%). However, the incidence of Grade 3 AE (87% vs. 76.7%)</w:t>
      </w:r>
      <w:r w:rsidR="002264E0" w:rsidRPr="00F04A75">
        <w:t xml:space="preserve"> was higher for </w:t>
      </w:r>
      <w:proofErr w:type="spellStart"/>
      <w:r w:rsidR="002264E0" w:rsidRPr="00F04A75">
        <w:t>ELd</w:t>
      </w:r>
      <w:proofErr w:type="spellEnd"/>
      <w:r w:rsidR="00F97782" w:rsidRPr="00F04A75">
        <w:t xml:space="preserve">. The reported Grade 3-4 AEs that occurred in </w:t>
      </w:r>
      <w:proofErr w:type="spellStart"/>
      <w:r w:rsidR="00F97782" w:rsidRPr="00F04A75">
        <w:t>ELd</w:t>
      </w:r>
      <w:proofErr w:type="spellEnd"/>
      <w:r w:rsidR="00F97782" w:rsidRPr="00F04A75">
        <w:t xml:space="preserve"> patients was lymphocytopenia (79%). </w:t>
      </w:r>
    </w:p>
    <w:p w14:paraId="245D1AD9" w14:textId="77777777" w:rsidR="00F97782" w:rsidRPr="00F04A75" w:rsidRDefault="00F97782" w:rsidP="0016658B">
      <w:pPr>
        <w:pStyle w:val="4-SubsectionHeading"/>
      </w:pPr>
      <w:bookmarkStart w:id="44" w:name="_Toc90455927"/>
      <w:bookmarkStart w:id="45" w:name="_Toc93412431"/>
      <w:r w:rsidRPr="00F04A75">
        <w:t>Benefits/harms</w:t>
      </w:r>
      <w:bookmarkEnd w:id="44"/>
      <w:bookmarkEnd w:id="45"/>
    </w:p>
    <w:p w14:paraId="22DBAFA1" w14:textId="1B20EA6D" w:rsidR="00F97782" w:rsidRPr="00F04A75" w:rsidRDefault="00F97782" w:rsidP="0016658B">
      <w:pPr>
        <w:pStyle w:val="3-BodyText"/>
        <w:ind w:left="810" w:hanging="810"/>
        <w:rPr>
          <w:rStyle w:val="CommentReference"/>
          <w:b w:val="0"/>
        </w:rPr>
      </w:pPr>
      <w:r w:rsidRPr="00F04A75">
        <w:t>A summary of the benefits and harms was not presented given the non-inferiority claim.</w:t>
      </w:r>
    </w:p>
    <w:p w14:paraId="60ED8130" w14:textId="77777777" w:rsidR="00F97782" w:rsidRPr="00F04A75" w:rsidRDefault="00F97782" w:rsidP="0016658B">
      <w:pPr>
        <w:pStyle w:val="4-SubsectionHeading"/>
      </w:pPr>
      <w:bookmarkStart w:id="46" w:name="_Toc90455928"/>
      <w:bookmarkStart w:id="47" w:name="_Toc93412432"/>
      <w:r w:rsidRPr="00F04A75">
        <w:t>Clinical claim</w:t>
      </w:r>
      <w:bookmarkEnd w:id="46"/>
      <w:bookmarkEnd w:id="47"/>
    </w:p>
    <w:p w14:paraId="7894FA78" w14:textId="77777777" w:rsidR="004C0472" w:rsidRPr="004C0472" w:rsidRDefault="004C0472" w:rsidP="004C0472">
      <w:pPr>
        <w:pStyle w:val="3-BodyText"/>
        <w:numPr>
          <w:ilvl w:val="0"/>
          <w:numId w:val="0"/>
        </w:numPr>
        <w:ind w:left="720" w:hanging="720"/>
        <w:rPr>
          <w:color w:val="000000" w:themeColor="text1"/>
          <w:u w:val="single"/>
        </w:rPr>
      </w:pPr>
      <w:r w:rsidRPr="004C0472">
        <w:rPr>
          <w:color w:val="000000" w:themeColor="text1"/>
          <w:u w:val="single"/>
        </w:rPr>
        <w:t xml:space="preserve">Indirect treatment comparison - </w:t>
      </w:r>
      <w:proofErr w:type="spellStart"/>
      <w:r w:rsidRPr="004C0472">
        <w:rPr>
          <w:color w:val="000000" w:themeColor="text1"/>
          <w:u w:val="single"/>
        </w:rPr>
        <w:t>CLd</w:t>
      </w:r>
      <w:proofErr w:type="spellEnd"/>
      <w:r w:rsidRPr="004C0472">
        <w:rPr>
          <w:color w:val="000000" w:themeColor="text1"/>
          <w:u w:val="single"/>
        </w:rPr>
        <w:t xml:space="preserve"> vs Cd</w:t>
      </w:r>
    </w:p>
    <w:p w14:paraId="1281F624" w14:textId="728522CD" w:rsidR="00617CA6" w:rsidRPr="00F04A75" w:rsidRDefault="00F97782" w:rsidP="0016658B">
      <w:pPr>
        <w:pStyle w:val="3-BodyText"/>
        <w:rPr>
          <w:color w:val="000000" w:themeColor="text1"/>
        </w:rPr>
      </w:pPr>
      <w:proofErr w:type="gramStart"/>
      <w:r w:rsidRPr="00F04A75">
        <w:rPr>
          <w:color w:val="000000" w:themeColor="text1"/>
        </w:rPr>
        <w:t>On the basis of</w:t>
      </w:r>
      <w:proofErr w:type="gramEnd"/>
      <w:r w:rsidRPr="00F04A75">
        <w:rPr>
          <w:color w:val="000000" w:themeColor="text1"/>
        </w:rPr>
        <w:t xml:space="preserve"> the ITC, the resubmission claimed that </w:t>
      </w:r>
      <w:proofErr w:type="spellStart"/>
      <w:r w:rsidRPr="00F04A75">
        <w:rPr>
          <w:color w:val="000000" w:themeColor="text1"/>
        </w:rPr>
        <w:t>CLd</w:t>
      </w:r>
      <w:proofErr w:type="spellEnd"/>
      <w:r w:rsidRPr="00F04A75">
        <w:rPr>
          <w:color w:val="000000" w:themeColor="text1"/>
        </w:rPr>
        <w:t xml:space="preserve"> was non-inferior in terms of effectiveness compared to Cd. </w:t>
      </w:r>
    </w:p>
    <w:p w14:paraId="1ECC858B" w14:textId="430DECE6" w:rsidR="00617CA6" w:rsidRPr="00F04A75" w:rsidRDefault="00F97782" w:rsidP="0016658B">
      <w:pPr>
        <w:pStyle w:val="3-BodyText"/>
        <w:rPr>
          <w:color w:val="000000" w:themeColor="text1"/>
        </w:rPr>
      </w:pPr>
      <w:r w:rsidRPr="00F04A75">
        <w:rPr>
          <w:color w:val="000000" w:themeColor="text1"/>
        </w:rPr>
        <w:t>The</w:t>
      </w:r>
      <w:r w:rsidR="00A51DE3" w:rsidRPr="00F04A75">
        <w:rPr>
          <w:color w:val="000000" w:themeColor="text1"/>
        </w:rPr>
        <w:t xml:space="preserve"> </w:t>
      </w:r>
      <w:r w:rsidR="00716E3F" w:rsidRPr="00F04A75">
        <w:rPr>
          <w:color w:val="000000" w:themeColor="text1"/>
        </w:rPr>
        <w:t xml:space="preserve">ESC considered that the </w:t>
      </w:r>
      <w:r w:rsidR="00617CA6" w:rsidRPr="00F04A75">
        <w:rPr>
          <w:color w:val="000000" w:themeColor="text1"/>
        </w:rPr>
        <w:t xml:space="preserve">clinical claim in terms of </w:t>
      </w:r>
      <w:r w:rsidR="00BD0AB0">
        <w:rPr>
          <w:color w:val="000000" w:themeColor="text1"/>
        </w:rPr>
        <w:t>comparative effectiveness</w:t>
      </w:r>
      <w:r w:rsidR="00BD0AB0" w:rsidRPr="00F04A75">
        <w:rPr>
          <w:color w:val="000000" w:themeColor="text1"/>
        </w:rPr>
        <w:t xml:space="preserve"> </w:t>
      </w:r>
      <w:r w:rsidR="00617CA6" w:rsidRPr="00F04A75">
        <w:rPr>
          <w:color w:val="000000" w:themeColor="text1"/>
        </w:rPr>
        <w:t xml:space="preserve">was </w:t>
      </w:r>
      <w:r w:rsidR="00716E3F" w:rsidRPr="00F04A75">
        <w:rPr>
          <w:color w:val="000000" w:themeColor="text1"/>
        </w:rPr>
        <w:t xml:space="preserve">likely supported, noting that there were </w:t>
      </w:r>
      <w:r w:rsidR="00617CA6" w:rsidRPr="00F04A75">
        <w:rPr>
          <w:color w:val="000000" w:themeColor="text1"/>
        </w:rPr>
        <w:t>uncertain</w:t>
      </w:r>
      <w:r w:rsidR="00716E3F" w:rsidRPr="00F04A75">
        <w:rPr>
          <w:color w:val="000000" w:themeColor="text1"/>
        </w:rPr>
        <w:t>ties relating to</w:t>
      </w:r>
      <w:r w:rsidR="00617CA6" w:rsidRPr="00F04A75">
        <w:rPr>
          <w:color w:val="000000" w:themeColor="text1"/>
        </w:rPr>
        <w:t>:</w:t>
      </w:r>
    </w:p>
    <w:p w14:paraId="272BDD65" w14:textId="2EE1F6CC" w:rsidR="007166D8" w:rsidRPr="00F04A75" w:rsidRDefault="00B0216B" w:rsidP="009A5B4B">
      <w:pPr>
        <w:pStyle w:val="3-BodyText"/>
        <w:numPr>
          <w:ilvl w:val="1"/>
          <w:numId w:val="16"/>
        </w:numPr>
        <w:ind w:left="1077" w:hanging="357"/>
        <w:rPr>
          <w:color w:val="000000" w:themeColor="text1"/>
        </w:rPr>
      </w:pPr>
      <w:r w:rsidRPr="00F04A75">
        <w:rPr>
          <w:color w:val="000000" w:themeColor="text1"/>
        </w:rPr>
        <w:t>T</w:t>
      </w:r>
      <w:r w:rsidR="00617CA6" w:rsidRPr="00F04A75">
        <w:rPr>
          <w:color w:val="000000" w:themeColor="text1"/>
        </w:rPr>
        <w:t xml:space="preserve">he </w:t>
      </w:r>
      <w:r w:rsidR="00F97782" w:rsidRPr="00F04A75">
        <w:rPr>
          <w:color w:val="000000" w:themeColor="text1"/>
        </w:rPr>
        <w:t xml:space="preserve">results </w:t>
      </w:r>
      <w:r w:rsidR="00617CA6" w:rsidRPr="00F04A75">
        <w:rPr>
          <w:color w:val="000000" w:themeColor="text1"/>
        </w:rPr>
        <w:t xml:space="preserve">from </w:t>
      </w:r>
      <w:r w:rsidR="00F97782" w:rsidRPr="00F04A75">
        <w:rPr>
          <w:color w:val="000000" w:themeColor="text1"/>
        </w:rPr>
        <w:t>the ITC</w:t>
      </w:r>
      <w:r w:rsidR="00617CA6" w:rsidRPr="00F04A75">
        <w:rPr>
          <w:color w:val="000000" w:themeColor="text1"/>
        </w:rPr>
        <w:t>s</w:t>
      </w:r>
      <w:r w:rsidR="00F97782" w:rsidRPr="00F04A75">
        <w:rPr>
          <w:color w:val="000000" w:themeColor="text1"/>
        </w:rPr>
        <w:t xml:space="preserve"> for both PFS and OS</w:t>
      </w:r>
      <w:r w:rsidR="00716E3F" w:rsidRPr="00F04A75">
        <w:rPr>
          <w:color w:val="000000" w:themeColor="text1"/>
        </w:rPr>
        <w:t xml:space="preserve">. </w:t>
      </w:r>
      <w:r w:rsidR="00CB0A27">
        <w:rPr>
          <w:color w:val="000000" w:themeColor="text1"/>
        </w:rPr>
        <w:t xml:space="preserve">The lack of a statistically significant difference did not adequately establish non-inferiority. </w:t>
      </w:r>
      <w:r w:rsidR="00CB0A27" w:rsidRPr="00F04A75">
        <w:t>This would have required that the confidence limits of the difference in treatment effect do not include an a priori stated clinically meaningful difference favouring the comparator (PBAC Guidelines, Section 2.4.5, p39)</w:t>
      </w:r>
      <w:r w:rsidR="00CB0A27">
        <w:t xml:space="preserve">. </w:t>
      </w:r>
      <w:r w:rsidR="00CB0A27">
        <w:rPr>
          <w:color w:val="000000" w:themeColor="text1"/>
        </w:rPr>
        <w:t xml:space="preserve">In addition, </w:t>
      </w:r>
      <w:r w:rsidR="00F97782" w:rsidRPr="00F04A75">
        <w:rPr>
          <w:color w:val="000000" w:themeColor="text1"/>
        </w:rPr>
        <w:t xml:space="preserve">PFS </w:t>
      </w:r>
      <w:r w:rsidR="00CB0A27">
        <w:rPr>
          <w:color w:val="000000" w:themeColor="text1"/>
        </w:rPr>
        <w:t>was</w:t>
      </w:r>
      <w:r w:rsidR="00CB0A27" w:rsidRPr="00F04A75">
        <w:rPr>
          <w:color w:val="000000" w:themeColor="text1"/>
        </w:rPr>
        <w:t xml:space="preserve"> </w:t>
      </w:r>
      <w:r w:rsidR="00F97782" w:rsidRPr="00F04A75">
        <w:rPr>
          <w:color w:val="000000" w:themeColor="text1"/>
        </w:rPr>
        <w:t>numerically in favour of Cd (HR &gt; 1</w:t>
      </w:r>
      <w:proofErr w:type="gramStart"/>
      <w:r w:rsidR="00F97782" w:rsidRPr="00F04A75">
        <w:rPr>
          <w:color w:val="000000" w:themeColor="text1"/>
        </w:rPr>
        <w:t>)</w:t>
      </w:r>
      <w:r w:rsidR="007166D8" w:rsidRPr="00F04A75">
        <w:t>;</w:t>
      </w:r>
      <w:proofErr w:type="gramEnd"/>
    </w:p>
    <w:p w14:paraId="58D9327F" w14:textId="1356FC18" w:rsidR="007166D8" w:rsidRPr="00F2377B" w:rsidRDefault="007166D8" w:rsidP="009A5B4B">
      <w:pPr>
        <w:pStyle w:val="3-BodyText"/>
        <w:numPr>
          <w:ilvl w:val="1"/>
          <w:numId w:val="16"/>
        </w:numPr>
        <w:ind w:left="1077" w:hanging="357"/>
        <w:rPr>
          <w:color w:val="000000" w:themeColor="text1"/>
        </w:rPr>
      </w:pPr>
      <w:r w:rsidRPr="00F04A75">
        <w:rPr>
          <w:color w:val="000000" w:themeColor="text1"/>
        </w:rPr>
        <w:t>T</w:t>
      </w:r>
      <w:r w:rsidR="00617CA6" w:rsidRPr="00F04A75">
        <w:rPr>
          <w:color w:val="000000" w:themeColor="text1"/>
        </w:rPr>
        <w:t xml:space="preserve">he potential transitivity issues between the ASPIRE and ENDEAVOR trials which may have affected their </w:t>
      </w:r>
      <w:r w:rsidR="00617CA6" w:rsidRPr="00F2377B">
        <w:rPr>
          <w:color w:val="000000" w:themeColor="text1"/>
        </w:rPr>
        <w:t>comparability</w:t>
      </w:r>
      <w:r w:rsidRPr="00F2377B">
        <w:rPr>
          <w:color w:val="000000" w:themeColor="text1"/>
        </w:rPr>
        <w:t xml:space="preserve"> (see paragraphs 6.</w:t>
      </w:r>
      <w:r w:rsidR="00F2377B" w:rsidRPr="00F2377B">
        <w:rPr>
          <w:color w:val="000000" w:themeColor="text1"/>
        </w:rPr>
        <w:t>10</w:t>
      </w:r>
      <w:r w:rsidRPr="00F2377B">
        <w:rPr>
          <w:color w:val="000000" w:themeColor="text1"/>
        </w:rPr>
        <w:t xml:space="preserve"> </w:t>
      </w:r>
      <w:r w:rsidR="00F4014E" w:rsidRPr="00F2377B">
        <w:rPr>
          <w:color w:val="000000" w:themeColor="text1"/>
        </w:rPr>
        <w:t>to 6.1</w:t>
      </w:r>
      <w:r w:rsidR="00F2377B" w:rsidRPr="00F2377B">
        <w:rPr>
          <w:color w:val="000000" w:themeColor="text1"/>
        </w:rPr>
        <w:t>3</w:t>
      </w:r>
      <w:r w:rsidRPr="00F2377B">
        <w:rPr>
          <w:color w:val="000000" w:themeColor="text1"/>
        </w:rPr>
        <w:t xml:space="preserve">); and </w:t>
      </w:r>
    </w:p>
    <w:p w14:paraId="1F7324EE" w14:textId="496B87A2" w:rsidR="00F97782" w:rsidRPr="00F2377B" w:rsidRDefault="007166D8" w:rsidP="009A5B4B">
      <w:pPr>
        <w:pStyle w:val="3-BodyText"/>
        <w:numPr>
          <w:ilvl w:val="1"/>
          <w:numId w:val="16"/>
        </w:numPr>
        <w:ind w:left="1077" w:hanging="357"/>
        <w:rPr>
          <w:color w:val="000000" w:themeColor="text1"/>
        </w:rPr>
      </w:pPr>
      <w:r w:rsidRPr="00F2377B">
        <w:rPr>
          <w:color w:val="000000" w:themeColor="text1"/>
        </w:rPr>
        <w:t xml:space="preserve">The assumption that </w:t>
      </w:r>
      <w:proofErr w:type="spellStart"/>
      <w:r w:rsidRPr="00F2377B">
        <w:rPr>
          <w:color w:val="000000" w:themeColor="text1"/>
        </w:rPr>
        <w:t>Ld</w:t>
      </w:r>
      <w:proofErr w:type="spellEnd"/>
      <w:r w:rsidRPr="00F2377B">
        <w:rPr>
          <w:color w:val="000000" w:themeColor="text1"/>
        </w:rPr>
        <w:t xml:space="preserve"> and Bd were the same in terms of efficacy and could be used as a common comparator may not have been appropriate (see paragraph</w:t>
      </w:r>
      <w:r w:rsidR="00F4014E" w:rsidRPr="00F2377B">
        <w:rPr>
          <w:color w:val="000000" w:themeColor="text1"/>
        </w:rPr>
        <w:t>s</w:t>
      </w:r>
      <w:r w:rsidRPr="00F2377B">
        <w:rPr>
          <w:color w:val="000000" w:themeColor="text1"/>
        </w:rPr>
        <w:t xml:space="preserve"> 6.</w:t>
      </w:r>
      <w:r w:rsidR="00F2377B" w:rsidRPr="00F2377B">
        <w:rPr>
          <w:color w:val="000000" w:themeColor="text1"/>
        </w:rPr>
        <w:t>5</w:t>
      </w:r>
      <w:r w:rsidRPr="00F2377B">
        <w:rPr>
          <w:color w:val="000000" w:themeColor="text1"/>
        </w:rPr>
        <w:t xml:space="preserve"> and 6.</w:t>
      </w:r>
      <w:r w:rsidR="00F4014E" w:rsidRPr="00F2377B">
        <w:rPr>
          <w:color w:val="000000" w:themeColor="text1"/>
        </w:rPr>
        <w:t>2</w:t>
      </w:r>
      <w:r w:rsidR="00F2377B" w:rsidRPr="00F2377B">
        <w:rPr>
          <w:color w:val="000000" w:themeColor="text1"/>
        </w:rPr>
        <w:t>4</w:t>
      </w:r>
      <w:r w:rsidRPr="00F2377B">
        <w:rPr>
          <w:color w:val="000000" w:themeColor="text1"/>
        </w:rPr>
        <w:t>)</w:t>
      </w:r>
      <w:r w:rsidR="00617CA6" w:rsidRPr="00F2377B">
        <w:rPr>
          <w:color w:val="000000" w:themeColor="text1"/>
        </w:rPr>
        <w:t xml:space="preserve">. </w:t>
      </w:r>
    </w:p>
    <w:p w14:paraId="1F5C7C6E" w14:textId="7BAA06C8" w:rsidR="00F97782" w:rsidRPr="00F04A75" w:rsidRDefault="00F97782" w:rsidP="0016658B">
      <w:pPr>
        <w:pStyle w:val="3-BodyText"/>
        <w:rPr>
          <w:rFonts w:eastAsia="Calibri"/>
        </w:rPr>
      </w:pPr>
      <w:r w:rsidRPr="00F04A75">
        <w:rPr>
          <w:rFonts w:eastAsia="Calibri"/>
        </w:rPr>
        <w:t>The resubmission claimed</w:t>
      </w:r>
      <w:r w:rsidR="00275B0B" w:rsidRPr="00F04A75">
        <w:rPr>
          <w:rFonts w:eastAsia="Calibri"/>
        </w:rPr>
        <w:t xml:space="preserve">, based on </w:t>
      </w:r>
      <w:r w:rsidRPr="00F04A75">
        <w:rPr>
          <w:rFonts w:eastAsia="Calibri"/>
        </w:rPr>
        <w:t>a naïve ITC</w:t>
      </w:r>
      <w:r w:rsidR="00275B0B" w:rsidRPr="00F04A75">
        <w:rPr>
          <w:rFonts w:eastAsia="Calibri"/>
        </w:rPr>
        <w:t>,</w:t>
      </w:r>
      <w:r w:rsidRPr="00F04A75">
        <w:rPr>
          <w:rFonts w:eastAsia="Calibri"/>
        </w:rPr>
        <w:t xml:space="preserve"> that </w:t>
      </w:r>
      <w:proofErr w:type="spellStart"/>
      <w:r w:rsidRPr="00F04A75">
        <w:rPr>
          <w:rFonts w:eastAsia="Calibri"/>
        </w:rPr>
        <w:t>CLd</w:t>
      </w:r>
      <w:proofErr w:type="spellEnd"/>
      <w:r w:rsidRPr="00F04A75">
        <w:rPr>
          <w:rFonts w:eastAsia="Calibri"/>
        </w:rPr>
        <w:t xml:space="preserve"> has a different, yet non-inferior, safety profile relative to Cd. </w:t>
      </w:r>
      <w:r w:rsidR="00716E3F" w:rsidRPr="00F04A75">
        <w:rPr>
          <w:rFonts w:eastAsia="Calibri"/>
        </w:rPr>
        <w:t xml:space="preserve">The ESC considered that this claim was likely supported, noting that </w:t>
      </w:r>
      <w:r w:rsidRPr="00F04A75">
        <w:rPr>
          <w:rFonts w:eastAsia="Calibri"/>
        </w:rPr>
        <w:t>the durations of follow-up differed between the trials and may have favoured Cd</w:t>
      </w:r>
      <w:r w:rsidR="00716E3F" w:rsidRPr="00F04A75">
        <w:rPr>
          <w:rFonts w:eastAsia="Calibri"/>
        </w:rPr>
        <w:t xml:space="preserve">. The ESC noted that </w:t>
      </w:r>
      <w:proofErr w:type="spellStart"/>
      <w:r w:rsidRPr="00F04A75">
        <w:rPr>
          <w:rFonts w:eastAsia="Calibri"/>
        </w:rPr>
        <w:t>CLd</w:t>
      </w:r>
      <w:proofErr w:type="spellEnd"/>
      <w:r w:rsidRPr="00F04A75">
        <w:rPr>
          <w:rFonts w:eastAsia="Calibri"/>
        </w:rPr>
        <w:t xml:space="preserve"> resulted in a higher frequency of Grade 3-4 AEs (87.0% vs. 81.4</w:t>
      </w:r>
      <w:r w:rsidR="00942742" w:rsidRPr="00F04A75">
        <w:rPr>
          <w:rFonts w:eastAsia="Calibri"/>
        </w:rPr>
        <w:t>%</w:t>
      </w:r>
      <w:r w:rsidRPr="00F04A75">
        <w:rPr>
          <w:rFonts w:eastAsia="Calibri"/>
        </w:rPr>
        <w:t>) compared to Cd</w:t>
      </w:r>
      <w:r w:rsidR="00716E3F" w:rsidRPr="00F04A75">
        <w:rPr>
          <w:rFonts w:eastAsia="Calibri"/>
        </w:rPr>
        <w:t xml:space="preserve"> and </w:t>
      </w:r>
      <w:r w:rsidR="00C937CC" w:rsidRPr="00F04A75">
        <w:rPr>
          <w:rFonts w:eastAsia="Calibri"/>
        </w:rPr>
        <w:t xml:space="preserve">ESC considered </w:t>
      </w:r>
      <w:r w:rsidR="00716E3F" w:rsidRPr="00F04A75">
        <w:rPr>
          <w:rFonts w:eastAsia="Calibri"/>
        </w:rPr>
        <w:t xml:space="preserve">that </w:t>
      </w:r>
      <w:r w:rsidR="00C937CC" w:rsidRPr="00F04A75">
        <w:rPr>
          <w:rFonts w:eastAsia="Calibri"/>
        </w:rPr>
        <w:t xml:space="preserve">the </w:t>
      </w:r>
      <w:r w:rsidRPr="00F04A75">
        <w:rPr>
          <w:rFonts w:eastAsia="Calibri"/>
        </w:rPr>
        <w:t>higher occurrence of neutropenia</w:t>
      </w:r>
      <w:r w:rsidR="0054087E" w:rsidRPr="00F04A75">
        <w:rPr>
          <w:rFonts w:eastAsia="Calibri"/>
        </w:rPr>
        <w:t xml:space="preserve"> (31%</w:t>
      </w:r>
      <w:r w:rsidR="001361BF" w:rsidRPr="00F04A75">
        <w:rPr>
          <w:rFonts w:eastAsia="Calibri"/>
        </w:rPr>
        <w:t xml:space="preserve"> vs</w:t>
      </w:r>
      <w:r w:rsidR="006E597A" w:rsidRPr="00F04A75">
        <w:rPr>
          <w:rFonts w:eastAsia="Calibri"/>
        </w:rPr>
        <w:t xml:space="preserve"> 2.4%)</w:t>
      </w:r>
      <w:r w:rsidRPr="00F04A75">
        <w:rPr>
          <w:rFonts w:eastAsia="Calibri"/>
        </w:rPr>
        <w:t xml:space="preserve"> </w:t>
      </w:r>
      <w:r w:rsidR="007166D8" w:rsidRPr="00F04A75">
        <w:rPr>
          <w:rFonts w:eastAsia="Calibri"/>
        </w:rPr>
        <w:t xml:space="preserve">was </w:t>
      </w:r>
      <w:r w:rsidRPr="00F04A75">
        <w:rPr>
          <w:rFonts w:eastAsia="Calibri"/>
        </w:rPr>
        <w:t xml:space="preserve">of particular </w:t>
      </w:r>
      <w:r w:rsidR="007166D8" w:rsidRPr="00F04A75">
        <w:rPr>
          <w:rFonts w:eastAsia="Calibri"/>
        </w:rPr>
        <w:t>concern</w:t>
      </w:r>
      <w:r w:rsidRPr="00F04A75">
        <w:rPr>
          <w:rFonts w:eastAsia="Calibri"/>
        </w:rPr>
        <w:t xml:space="preserve"> given that 30% of </w:t>
      </w:r>
      <w:proofErr w:type="spellStart"/>
      <w:r w:rsidRPr="00F04A75">
        <w:rPr>
          <w:rFonts w:eastAsia="Calibri"/>
        </w:rPr>
        <w:t>CLd</w:t>
      </w:r>
      <w:proofErr w:type="spellEnd"/>
      <w:r w:rsidRPr="00F04A75">
        <w:rPr>
          <w:rFonts w:eastAsia="Calibri"/>
        </w:rPr>
        <w:t xml:space="preserve"> patients were receiving </w:t>
      </w:r>
      <w:r w:rsidRPr="00F04A75">
        <w:rPr>
          <w:rFonts w:cstheme="minorHAnsi"/>
          <w:szCs w:val="22"/>
        </w:rPr>
        <w:t xml:space="preserve">G-CSF concomitant medication in ASPIRE. The </w:t>
      </w:r>
      <w:r w:rsidR="00942742" w:rsidRPr="00F04A75">
        <w:rPr>
          <w:rFonts w:cstheme="minorHAnsi"/>
          <w:szCs w:val="22"/>
        </w:rPr>
        <w:t>neutropenia</w:t>
      </w:r>
      <w:r w:rsidRPr="00F04A75">
        <w:rPr>
          <w:rFonts w:cstheme="minorHAnsi"/>
          <w:szCs w:val="22"/>
        </w:rPr>
        <w:t xml:space="preserve"> was accounted for in the economic evaluation and financial estimates. </w:t>
      </w:r>
    </w:p>
    <w:p w14:paraId="759775C3" w14:textId="657C2167" w:rsidR="004C0472" w:rsidRPr="004C0472" w:rsidRDefault="004C0472" w:rsidP="004C0472">
      <w:pPr>
        <w:pStyle w:val="3-BodyText"/>
        <w:numPr>
          <w:ilvl w:val="0"/>
          <w:numId w:val="0"/>
        </w:numPr>
        <w:rPr>
          <w:rFonts w:eastAsia="Calibri"/>
        </w:rPr>
      </w:pPr>
      <w:r w:rsidRPr="00F04A75">
        <w:rPr>
          <w:u w:val="single"/>
        </w:rPr>
        <w:t>Indirect treatment comparison</w:t>
      </w:r>
      <w:r>
        <w:rPr>
          <w:u w:val="single"/>
        </w:rPr>
        <w:t>s</w:t>
      </w:r>
      <w:r w:rsidRPr="00F04A75">
        <w:rPr>
          <w:u w:val="single"/>
        </w:rPr>
        <w:t xml:space="preserve"> - </w:t>
      </w:r>
      <w:proofErr w:type="spellStart"/>
      <w:r w:rsidRPr="00F04A75">
        <w:rPr>
          <w:u w:val="single"/>
        </w:rPr>
        <w:t>CLd</w:t>
      </w:r>
      <w:proofErr w:type="spellEnd"/>
      <w:r w:rsidRPr="00F04A75">
        <w:rPr>
          <w:u w:val="single"/>
        </w:rPr>
        <w:t xml:space="preserve"> vs </w:t>
      </w:r>
      <w:proofErr w:type="spellStart"/>
      <w:r w:rsidRPr="00F04A75">
        <w:rPr>
          <w:u w:val="single"/>
        </w:rPr>
        <w:t>PBd</w:t>
      </w:r>
      <w:proofErr w:type="spellEnd"/>
      <w:r>
        <w:rPr>
          <w:u w:val="single"/>
        </w:rPr>
        <w:t xml:space="preserve"> and </w:t>
      </w:r>
      <w:proofErr w:type="spellStart"/>
      <w:r>
        <w:rPr>
          <w:u w:val="single"/>
        </w:rPr>
        <w:t>ELd</w:t>
      </w:r>
      <w:proofErr w:type="spellEnd"/>
    </w:p>
    <w:p w14:paraId="3A1E43C1" w14:textId="5F191A81" w:rsidR="00F97782" w:rsidRPr="00F2377B" w:rsidRDefault="00F97782" w:rsidP="0016658B">
      <w:pPr>
        <w:pStyle w:val="3-BodyText"/>
        <w:rPr>
          <w:rFonts w:eastAsia="Calibri"/>
        </w:rPr>
      </w:pPr>
      <w:proofErr w:type="gramStart"/>
      <w:r w:rsidRPr="00F04A75">
        <w:rPr>
          <w:color w:val="000000" w:themeColor="text1"/>
        </w:rPr>
        <w:t>On the basis of</w:t>
      </w:r>
      <w:proofErr w:type="gramEnd"/>
      <w:r w:rsidRPr="00F04A75">
        <w:rPr>
          <w:color w:val="000000" w:themeColor="text1"/>
        </w:rPr>
        <w:t xml:space="preserve"> the ITC, the resubmission claimed that </w:t>
      </w:r>
      <w:proofErr w:type="spellStart"/>
      <w:r w:rsidRPr="00F04A75">
        <w:rPr>
          <w:color w:val="000000" w:themeColor="text1"/>
        </w:rPr>
        <w:t>CLd</w:t>
      </w:r>
      <w:proofErr w:type="spellEnd"/>
      <w:r w:rsidRPr="00F04A75">
        <w:rPr>
          <w:color w:val="000000" w:themeColor="text1"/>
        </w:rPr>
        <w:t xml:space="preserve"> was non-inferior in terms of effectiveness compared to </w:t>
      </w:r>
      <w:proofErr w:type="spellStart"/>
      <w:r w:rsidRPr="00F04A75">
        <w:rPr>
          <w:color w:val="000000" w:themeColor="text1"/>
        </w:rPr>
        <w:t>PBd</w:t>
      </w:r>
      <w:proofErr w:type="spellEnd"/>
      <w:r w:rsidRPr="00F04A75">
        <w:rPr>
          <w:color w:val="000000" w:themeColor="text1"/>
        </w:rPr>
        <w:t>. The results of the ITC for both PFS and OS were not statistically significantly different.</w:t>
      </w:r>
      <w:r w:rsidRPr="00F04A75">
        <w:t xml:space="preserve"> </w:t>
      </w:r>
      <w:r w:rsidR="007166D8" w:rsidRPr="00F04A75">
        <w:rPr>
          <w:color w:val="000000" w:themeColor="text1"/>
        </w:rPr>
        <w:t xml:space="preserve">The clinical claim was uncertain due to the </w:t>
      </w:r>
      <w:r w:rsidR="002264E0" w:rsidRPr="00F04A75">
        <w:rPr>
          <w:color w:val="000000" w:themeColor="text1"/>
        </w:rPr>
        <w:t>lack of a nominated non-</w:t>
      </w:r>
      <w:r w:rsidR="002264E0" w:rsidRPr="00F2377B">
        <w:rPr>
          <w:color w:val="000000" w:themeColor="text1"/>
        </w:rPr>
        <w:t xml:space="preserve">inferiority margin, potential transitivity issues between the ASPIRE and OPTIMISMM trials (see </w:t>
      </w:r>
      <w:r w:rsidR="00B26A7F" w:rsidRPr="00F2377B">
        <w:rPr>
          <w:color w:val="000000" w:themeColor="text1"/>
        </w:rPr>
        <w:t>paragraphs</w:t>
      </w:r>
      <w:r w:rsidR="002264E0" w:rsidRPr="00F2377B">
        <w:rPr>
          <w:color w:val="000000" w:themeColor="text1"/>
        </w:rPr>
        <w:t xml:space="preserve"> 6.</w:t>
      </w:r>
      <w:r w:rsidR="00F2377B" w:rsidRPr="00F2377B">
        <w:rPr>
          <w:color w:val="000000" w:themeColor="text1"/>
        </w:rPr>
        <w:t>10</w:t>
      </w:r>
      <w:r w:rsidR="002264E0" w:rsidRPr="00F2377B">
        <w:rPr>
          <w:color w:val="000000" w:themeColor="text1"/>
        </w:rPr>
        <w:t xml:space="preserve"> </w:t>
      </w:r>
      <w:r w:rsidR="00F4014E" w:rsidRPr="00F2377B">
        <w:rPr>
          <w:color w:val="000000" w:themeColor="text1"/>
        </w:rPr>
        <w:t>to 6.1</w:t>
      </w:r>
      <w:r w:rsidR="00F2377B" w:rsidRPr="00F2377B">
        <w:rPr>
          <w:color w:val="000000" w:themeColor="text1"/>
        </w:rPr>
        <w:t>3</w:t>
      </w:r>
      <w:r w:rsidR="002264E0" w:rsidRPr="00F2377B">
        <w:rPr>
          <w:color w:val="000000" w:themeColor="text1"/>
        </w:rPr>
        <w:t xml:space="preserve">) and as the assumption that </w:t>
      </w:r>
      <w:proofErr w:type="spellStart"/>
      <w:r w:rsidR="002264E0" w:rsidRPr="00F2377B">
        <w:rPr>
          <w:color w:val="000000" w:themeColor="text1"/>
        </w:rPr>
        <w:t>Ld</w:t>
      </w:r>
      <w:proofErr w:type="spellEnd"/>
      <w:r w:rsidR="002264E0" w:rsidRPr="00F2377B">
        <w:rPr>
          <w:color w:val="000000" w:themeColor="text1"/>
        </w:rPr>
        <w:t xml:space="preserve"> and Bd were the same in terms of efficacy and could be used as a common comparator may not have been appropriate (see paragraph 6.</w:t>
      </w:r>
      <w:r w:rsidR="00F2377B" w:rsidRPr="00F2377B">
        <w:rPr>
          <w:color w:val="000000" w:themeColor="text1"/>
        </w:rPr>
        <w:t>5</w:t>
      </w:r>
      <w:r w:rsidR="002264E0" w:rsidRPr="00F2377B">
        <w:rPr>
          <w:color w:val="000000" w:themeColor="text1"/>
        </w:rPr>
        <w:t xml:space="preserve">). </w:t>
      </w:r>
    </w:p>
    <w:p w14:paraId="361A1B01" w14:textId="55408ED0" w:rsidR="00F97782" w:rsidRPr="00F2377B" w:rsidRDefault="00F97782" w:rsidP="0016658B">
      <w:pPr>
        <w:pStyle w:val="3-BodyText"/>
        <w:rPr>
          <w:rFonts w:eastAsia="Calibri"/>
        </w:rPr>
      </w:pPr>
      <w:proofErr w:type="gramStart"/>
      <w:r w:rsidRPr="00F2377B">
        <w:rPr>
          <w:color w:val="000000" w:themeColor="text1"/>
        </w:rPr>
        <w:t>On the basis of</w:t>
      </w:r>
      <w:proofErr w:type="gramEnd"/>
      <w:r w:rsidRPr="00F2377B">
        <w:rPr>
          <w:color w:val="000000" w:themeColor="text1"/>
        </w:rPr>
        <w:t xml:space="preserve"> the ITC, the resubmission claimed that </w:t>
      </w:r>
      <w:proofErr w:type="spellStart"/>
      <w:r w:rsidRPr="00F2377B">
        <w:rPr>
          <w:color w:val="000000" w:themeColor="text1"/>
        </w:rPr>
        <w:t>CLd</w:t>
      </w:r>
      <w:proofErr w:type="spellEnd"/>
      <w:r w:rsidRPr="00F2377B">
        <w:rPr>
          <w:color w:val="000000" w:themeColor="text1"/>
        </w:rPr>
        <w:t xml:space="preserve"> was non-inferior in terms of effectiveness compared to </w:t>
      </w:r>
      <w:proofErr w:type="spellStart"/>
      <w:r w:rsidRPr="00F2377B">
        <w:rPr>
          <w:color w:val="000000" w:themeColor="text1"/>
        </w:rPr>
        <w:t>ELd</w:t>
      </w:r>
      <w:proofErr w:type="spellEnd"/>
      <w:r w:rsidRPr="00F2377B">
        <w:rPr>
          <w:color w:val="000000" w:themeColor="text1"/>
        </w:rPr>
        <w:t>. The results of the ITC for both PFS and OS were not statistically significantly different.</w:t>
      </w:r>
      <w:r w:rsidRPr="00F2377B">
        <w:rPr>
          <w:rFonts w:eastAsia="Calibri"/>
        </w:rPr>
        <w:t xml:space="preserve"> </w:t>
      </w:r>
      <w:r w:rsidR="002264E0" w:rsidRPr="00F2377B">
        <w:rPr>
          <w:color w:val="000000" w:themeColor="text1"/>
        </w:rPr>
        <w:t>The clinical claim was uncertain due to the lack of a nominated non-</w:t>
      </w:r>
      <w:r w:rsidR="00B26A7F" w:rsidRPr="00F2377B">
        <w:rPr>
          <w:color w:val="000000" w:themeColor="text1"/>
        </w:rPr>
        <w:t>inferiority</w:t>
      </w:r>
      <w:r w:rsidR="002264E0" w:rsidRPr="00F2377B">
        <w:rPr>
          <w:color w:val="000000" w:themeColor="text1"/>
        </w:rPr>
        <w:t xml:space="preserve"> margin and potential transitivity issues between the ASPIRE and </w:t>
      </w:r>
      <w:r w:rsidR="00C97F91" w:rsidRPr="00F2377B">
        <w:rPr>
          <w:color w:val="000000" w:themeColor="text1"/>
        </w:rPr>
        <w:t xml:space="preserve">ELOQUENT-2 </w:t>
      </w:r>
      <w:r w:rsidR="002264E0" w:rsidRPr="00F2377B">
        <w:rPr>
          <w:color w:val="000000" w:themeColor="text1"/>
        </w:rPr>
        <w:t xml:space="preserve">trials (see </w:t>
      </w:r>
      <w:r w:rsidR="00B26A7F" w:rsidRPr="00F2377B">
        <w:rPr>
          <w:color w:val="000000" w:themeColor="text1"/>
        </w:rPr>
        <w:t>paragraphs</w:t>
      </w:r>
      <w:r w:rsidR="002264E0" w:rsidRPr="00F2377B">
        <w:rPr>
          <w:color w:val="000000" w:themeColor="text1"/>
        </w:rPr>
        <w:t xml:space="preserve"> 6.</w:t>
      </w:r>
      <w:r w:rsidR="00F2377B" w:rsidRPr="00F2377B">
        <w:rPr>
          <w:color w:val="000000" w:themeColor="text1"/>
        </w:rPr>
        <w:t>10</w:t>
      </w:r>
      <w:r w:rsidR="002264E0" w:rsidRPr="00F2377B">
        <w:rPr>
          <w:color w:val="000000" w:themeColor="text1"/>
        </w:rPr>
        <w:t xml:space="preserve"> </w:t>
      </w:r>
      <w:r w:rsidR="00F4014E" w:rsidRPr="00F2377B">
        <w:rPr>
          <w:color w:val="000000" w:themeColor="text1"/>
        </w:rPr>
        <w:t>to 6.1</w:t>
      </w:r>
      <w:r w:rsidR="00F2377B" w:rsidRPr="00F2377B">
        <w:rPr>
          <w:color w:val="000000" w:themeColor="text1"/>
        </w:rPr>
        <w:t>3</w:t>
      </w:r>
      <w:r w:rsidR="002264E0" w:rsidRPr="00F2377B">
        <w:rPr>
          <w:color w:val="000000" w:themeColor="text1"/>
        </w:rPr>
        <w:t>).</w:t>
      </w:r>
    </w:p>
    <w:p w14:paraId="1E961985" w14:textId="3C33B72E" w:rsidR="00794D0D" w:rsidRPr="00F04A75" w:rsidRDefault="00F97782" w:rsidP="00794D0D">
      <w:pPr>
        <w:pStyle w:val="3-BodyText"/>
        <w:rPr>
          <w:rFonts w:eastAsia="Calibri"/>
        </w:rPr>
      </w:pPr>
      <w:r w:rsidRPr="00F04A75">
        <w:rPr>
          <w:rFonts w:eastAsia="Calibri"/>
        </w:rPr>
        <w:t xml:space="preserve">The resubmission claimed that </w:t>
      </w:r>
      <w:proofErr w:type="gramStart"/>
      <w:r w:rsidRPr="00F04A75">
        <w:rPr>
          <w:rFonts w:eastAsia="Calibri"/>
        </w:rPr>
        <w:t>on the basis of</w:t>
      </w:r>
      <w:proofErr w:type="gramEnd"/>
      <w:r w:rsidRPr="00F04A75">
        <w:rPr>
          <w:rFonts w:eastAsia="Calibri"/>
        </w:rPr>
        <w:t xml:space="preserve"> a naïve ITC that </w:t>
      </w:r>
      <w:proofErr w:type="spellStart"/>
      <w:r w:rsidRPr="00F04A75">
        <w:rPr>
          <w:rFonts w:eastAsia="Calibri"/>
        </w:rPr>
        <w:t>CLd</w:t>
      </w:r>
      <w:proofErr w:type="spellEnd"/>
      <w:r w:rsidRPr="00F04A75">
        <w:rPr>
          <w:rFonts w:eastAsia="Calibri"/>
        </w:rPr>
        <w:t xml:space="preserve"> has </w:t>
      </w:r>
      <w:r w:rsidR="002264E0" w:rsidRPr="00F04A75">
        <w:rPr>
          <w:rFonts w:eastAsia="Calibri"/>
        </w:rPr>
        <w:t xml:space="preserve">a </w:t>
      </w:r>
      <w:r w:rsidRPr="00F04A75">
        <w:rPr>
          <w:rFonts w:eastAsia="Calibri"/>
        </w:rPr>
        <w:t>non-inferior</w:t>
      </w:r>
      <w:r w:rsidR="002264E0" w:rsidRPr="00F04A75">
        <w:rPr>
          <w:rFonts w:eastAsia="Calibri"/>
        </w:rPr>
        <w:t>, but different,</w:t>
      </w:r>
      <w:r w:rsidRPr="00F04A75">
        <w:rPr>
          <w:rFonts w:eastAsia="Calibri"/>
        </w:rPr>
        <w:t xml:space="preserve"> safety profile </w:t>
      </w:r>
      <w:r w:rsidR="002264E0" w:rsidRPr="00F04A75">
        <w:rPr>
          <w:rFonts w:eastAsia="Calibri"/>
        </w:rPr>
        <w:t>compared</w:t>
      </w:r>
      <w:r w:rsidRPr="00F04A75">
        <w:rPr>
          <w:rFonts w:eastAsia="Calibri"/>
        </w:rPr>
        <w:t xml:space="preserve"> to </w:t>
      </w:r>
      <w:proofErr w:type="spellStart"/>
      <w:r w:rsidRPr="00F04A75">
        <w:rPr>
          <w:rFonts w:eastAsia="Calibri"/>
        </w:rPr>
        <w:t>PBd</w:t>
      </w:r>
      <w:proofErr w:type="spellEnd"/>
      <w:r w:rsidRPr="00F04A75">
        <w:rPr>
          <w:rFonts w:eastAsia="Calibri"/>
        </w:rPr>
        <w:t xml:space="preserve"> and </w:t>
      </w:r>
      <w:proofErr w:type="spellStart"/>
      <w:r w:rsidRPr="00F04A75">
        <w:rPr>
          <w:rFonts w:eastAsia="Calibri"/>
        </w:rPr>
        <w:t>ELd</w:t>
      </w:r>
      <w:proofErr w:type="spellEnd"/>
      <w:r w:rsidRPr="00F04A75">
        <w:rPr>
          <w:rFonts w:eastAsia="Calibri"/>
        </w:rPr>
        <w:t>.</w:t>
      </w:r>
    </w:p>
    <w:p w14:paraId="228AD1AD" w14:textId="6100A2F7" w:rsidR="00F97782" w:rsidRPr="00F04A75" w:rsidRDefault="00B0216B" w:rsidP="0016658B">
      <w:pPr>
        <w:pStyle w:val="3-BodyText"/>
        <w:rPr>
          <w:rFonts w:eastAsia="Calibri"/>
        </w:rPr>
      </w:pPr>
      <w:r w:rsidRPr="00F04A75">
        <w:rPr>
          <w:rFonts w:eastAsia="Calibri"/>
        </w:rPr>
        <w:t>Regarding</w:t>
      </w:r>
      <w:r w:rsidR="00B547A2" w:rsidRPr="00F04A75">
        <w:rPr>
          <w:rFonts w:eastAsia="Calibri"/>
        </w:rPr>
        <w:t xml:space="preserve"> the secondary comparators, the ESC considered that the </w:t>
      </w:r>
      <w:r w:rsidRPr="00F04A75">
        <w:rPr>
          <w:rFonts w:eastAsia="Calibri"/>
        </w:rPr>
        <w:t>re</w:t>
      </w:r>
      <w:r w:rsidR="00B547A2" w:rsidRPr="00F04A75">
        <w:rPr>
          <w:rFonts w:eastAsia="Calibri"/>
        </w:rPr>
        <w:t xml:space="preserve">submission’s claims that </w:t>
      </w:r>
      <w:proofErr w:type="spellStart"/>
      <w:r w:rsidR="00B547A2" w:rsidRPr="00F04A75">
        <w:rPr>
          <w:rFonts w:eastAsia="Calibri"/>
        </w:rPr>
        <w:t>CLd</w:t>
      </w:r>
      <w:proofErr w:type="spellEnd"/>
      <w:r w:rsidR="00B547A2" w:rsidRPr="00F04A75">
        <w:rPr>
          <w:rFonts w:eastAsia="Calibri"/>
        </w:rPr>
        <w:t xml:space="preserve"> </w:t>
      </w:r>
      <w:r w:rsidR="00716E3F" w:rsidRPr="00F04A75">
        <w:rPr>
          <w:rFonts w:eastAsia="Calibri"/>
        </w:rPr>
        <w:t>was</w:t>
      </w:r>
      <w:r w:rsidR="00B547A2" w:rsidRPr="00F04A75">
        <w:rPr>
          <w:rFonts w:eastAsia="Calibri"/>
        </w:rPr>
        <w:t xml:space="preserve"> non</w:t>
      </w:r>
      <w:r w:rsidR="00716E3F" w:rsidRPr="00F04A75">
        <w:rPr>
          <w:rFonts w:eastAsia="Calibri"/>
        </w:rPr>
        <w:t>-</w:t>
      </w:r>
      <w:r w:rsidR="00B547A2" w:rsidRPr="00F04A75">
        <w:rPr>
          <w:rFonts w:eastAsia="Calibri"/>
        </w:rPr>
        <w:t xml:space="preserve">inferior to both </w:t>
      </w:r>
      <w:proofErr w:type="spellStart"/>
      <w:r w:rsidR="00B547A2" w:rsidRPr="00F04A75">
        <w:rPr>
          <w:rFonts w:eastAsia="Calibri"/>
        </w:rPr>
        <w:t>PBd</w:t>
      </w:r>
      <w:proofErr w:type="spellEnd"/>
      <w:r w:rsidR="00B547A2" w:rsidRPr="00F04A75">
        <w:rPr>
          <w:rFonts w:eastAsia="Calibri"/>
        </w:rPr>
        <w:t xml:space="preserve"> and </w:t>
      </w:r>
      <w:proofErr w:type="spellStart"/>
      <w:r w:rsidR="00B547A2" w:rsidRPr="00F04A75">
        <w:rPr>
          <w:rFonts w:eastAsia="Calibri"/>
        </w:rPr>
        <w:t>ELd</w:t>
      </w:r>
      <w:proofErr w:type="spellEnd"/>
      <w:r w:rsidR="00B547A2" w:rsidRPr="00F04A75">
        <w:rPr>
          <w:rFonts w:eastAsia="Calibri"/>
        </w:rPr>
        <w:t xml:space="preserve"> in terms of effectiveness and safety, w</w:t>
      </w:r>
      <w:r w:rsidRPr="00F04A75">
        <w:rPr>
          <w:rFonts w:eastAsia="Calibri"/>
        </w:rPr>
        <w:t>ere</w:t>
      </w:r>
      <w:r w:rsidR="004873C7" w:rsidRPr="00F04A75">
        <w:rPr>
          <w:rFonts w:eastAsia="Calibri"/>
        </w:rPr>
        <w:t xml:space="preserve"> likely to be</w:t>
      </w:r>
      <w:r w:rsidR="00B547A2" w:rsidRPr="00F04A75">
        <w:rPr>
          <w:rFonts w:eastAsia="Calibri"/>
        </w:rPr>
        <w:t xml:space="preserve"> supported by the data presented, no</w:t>
      </w:r>
      <w:r w:rsidR="00544041" w:rsidRPr="00F04A75">
        <w:rPr>
          <w:rFonts w:eastAsia="Calibri"/>
        </w:rPr>
        <w:t>ting that there were</w:t>
      </w:r>
      <w:r w:rsidR="00B547A2" w:rsidRPr="00F04A75">
        <w:rPr>
          <w:rFonts w:eastAsia="Calibri"/>
        </w:rPr>
        <w:t xml:space="preserve"> some </w:t>
      </w:r>
      <w:r w:rsidR="00544041" w:rsidRPr="00F04A75">
        <w:rPr>
          <w:rFonts w:eastAsia="Calibri"/>
        </w:rPr>
        <w:t>uncertainties relating to the lack of a non-inferiority margin and transitivity issues between the trials</w:t>
      </w:r>
      <w:r w:rsidR="00B547A2" w:rsidRPr="00F04A75">
        <w:rPr>
          <w:rFonts w:eastAsia="Calibri"/>
        </w:rPr>
        <w:t>.</w:t>
      </w:r>
    </w:p>
    <w:p w14:paraId="6682365A" w14:textId="002C9379" w:rsidR="00A05E89" w:rsidRPr="00FE6998" w:rsidRDefault="00A05E89" w:rsidP="00A05E89">
      <w:pPr>
        <w:widowControl w:val="0"/>
        <w:numPr>
          <w:ilvl w:val="1"/>
          <w:numId w:val="1"/>
        </w:numPr>
        <w:spacing w:after="120"/>
        <w:rPr>
          <w:rFonts w:asciiTheme="minorHAnsi" w:hAnsiTheme="minorHAnsi"/>
          <w:snapToGrid w:val="0"/>
          <w:szCs w:val="20"/>
        </w:rPr>
      </w:pPr>
      <w:bookmarkStart w:id="48" w:name="_Hlk76376200"/>
      <w:r w:rsidRPr="00FE6998">
        <w:rPr>
          <w:rFonts w:asciiTheme="minorHAnsi" w:hAnsiTheme="minorHAnsi"/>
          <w:iCs/>
          <w:snapToGrid w:val="0"/>
        </w:rPr>
        <w:t>The</w:t>
      </w:r>
      <w:r w:rsidRPr="00FE6998">
        <w:rPr>
          <w:rFonts w:asciiTheme="minorHAnsi" w:hAnsiTheme="minorHAnsi"/>
          <w:snapToGrid w:val="0"/>
          <w:szCs w:val="20"/>
        </w:rPr>
        <w:t xml:space="preserve"> PBAC considered that the claim</w:t>
      </w:r>
      <w:r w:rsidR="00FE6998" w:rsidRPr="00FE6998">
        <w:rPr>
          <w:rFonts w:asciiTheme="minorHAnsi" w:hAnsiTheme="minorHAnsi"/>
          <w:snapToGrid w:val="0"/>
          <w:szCs w:val="20"/>
        </w:rPr>
        <w:t>s</w:t>
      </w:r>
      <w:r w:rsidRPr="00FE6998">
        <w:rPr>
          <w:rFonts w:asciiTheme="minorHAnsi" w:hAnsiTheme="minorHAnsi"/>
          <w:snapToGrid w:val="0"/>
          <w:szCs w:val="20"/>
        </w:rPr>
        <w:t xml:space="preserve"> of non-inferior comparative effectiveness </w:t>
      </w:r>
      <w:r w:rsidR="003F09E1" w:rsidRPr="00FE6998">
        <w:rPr>
          <w:rFonts w:asciiTheme="minorHAnsi" w:hAnsiTheme="minorHAnsi"/>
          <w:snapToGrid w:val="0"/>
          <w:szCs w:val="20"/>
        </w:rPr>
        <w:t xml:space="preserve">for the comparisons </w:t>
      </w:r>
      <w:r w:rsidR="00FE6998" w:rsidRPr="00FE6998">
        <w:rPr>
          <w:rFonts w:asciiTheme="minorHAnsi" w:hAnsiTheme="minorHAnsi"/>
          <w:snapToGrid w:val="0"/>
          <w:szCs w:val="20"/>
        </w:rPr>
        <w:t>between</w:t>
      </w:r>
      <w:r w:rsidR="003F09E1" w:rsidRPr="00FE6998">
        <w:rPr>
          <w:rFonts w:asciiTheme="minorHAnsi" w:hAnsiTheme="minorHAnsi"/>
          <w:snapToGrid w:val="0"/>
          <w:szCs w:val="20"/>
        </w:rPr>
        <w:t xml:space="preserve"> </w:t>
      </w:r>
      <w:proofErr w:type="spellStart"/>
      <w:r w:rsidR="003F09E1" w:rsidRPr="00FE6998">
        <w:rPr>
          <w:rFonts w:asciiTheme="minorHAnsi" w:hAnsiTheme="minorHAnsi"/>
          <w:snapToGrid w:val="0"/>
          <w:szCs w:val="20"/>
        </w:rPr>
        <w:t>CLd</w:t>
      </w:r>
      <w:proofErr w:type="spellEnd"/>
      <w:r w:rsidR="003F09E1" w:rsidRPr="00FE6998">
        <w:rPr>
          <w:rFonts w:asciiTheme="minorHAnsi" w:hAnsiTheme="minorHAnsi"/>
          <w:snapToGrid w:val="0"/>
          <w:szCs w:val="20"/>
        </w:rPr>
        <w:t xml:space="preserve"> </w:t>
      </w:r>
      <w:r w:rsidR="004C0472">
        <w:rPr>
          <w:rFonts w:asciiTheme="minorHAnsi" w:hAnsiTheme="minorHAnsi"/>
          <w:snapToGrid w:val="0"/>
          <w:szCs w:val="20"/>
        </w:rPr>
        <w:t>vs</w:t>
      </w:r>
      <w:r w:rsidR="004C0472" w:rsidRPr="00FE6998">
        <w:rPr>
          <w:rFonts w:asciiTheme="minorHAnsi" w:hAnsiTheme="minorHAnsi"/>
          <w:snapToGrid w:val="0"/>
          <w:szCs w:val="20"/>
        </w:rPr>
        <w:t xml:space="preserve"> </w:t>
      </w:r>
      <w:r w:rsidR="003F09E1" w:rsidRPr="00FE6998">
        <w:rPr>
          <w:rFonts w:asciiTheme="minorHAnsi" w:hAnsiTheme="minorHAnsi"/>
          <w:snapToGrid w:val="0"/>
          <w:szCs w:val="20"/>
        </w:rPr>
        <w:t xml:space="preserve">Cd, </w:t>
      </w:r>
      <w:proofErr w:type="spellStart"/>
      <w:r w:rsidR="003F09E1" w:rsidRPr="00FE6998">
        <w:rPr>
          <w:rFonts w:asciiTheme="minorHAnsi" w:hAnsiTheme="minorHAnsi"/>
          <w:snapToGrid w:val="0"/>
          <w:szCs w:val="20"/>
        </w:rPr>
        <w:t>ELd</w:t>
      </w:r>
      <w:proofErr w:type="spellEnd"/>
      <w:r w:rsidR="003F09E1" w:rsidRPr="00FE6998">
        <w:rPr>
          <w:rFonts w:asciiTheme="minorHAnsi" w:hAnsiTheme="minorHAnsi"/>
          <w:snapToGrid w:val="0"/>
          <w:szCs w:val="20"/>
        </w:rPr>
        <w:t xml:space="preserve"> and </w:t>
      </w:r>
      <w:proofErr w:type="spellStart"/>
      <w:r w:rsidR="003F09E1" w:rsidRPr="00FE6998">
        <w:rPr>
          <w:rFonts w:asciiTheme="minorHAnsi" w:hAnsiTheme="minorHAnsi"/>
          <w:snapToGrid w:val="0"/>
          <w:szCs w:val="20"/>
        </w:rPr>
        <w:t>PBd</w:t>
      </w:r>
      <w:proofErr w:type="spellEnd"/>
      <w:r w:rsidR="00FE6998" w:rsidRPr="00FE6998">
        <w:rPr>
          <w:rFonts w:asciiTheme="minorHAnsi" w:hAnsiTheme="minorHAnsi"/>
          <w:snapToGrid w:val="0"/>
          <w:szCs w:val="20"/>
        </w:rPr>
        <w:t xml:space="preserve"> and were </w:t>
      </w:r>
      <w:r w:rsidR="00A91E4E">
        <w:rPr>
          <w:rFonts w:asciiTheme="minorHAnsi" w:hAnsiTheme="minorHAnsi"/>
          <w:snapToGrid w:val="0"/>
          <w:szCs w:val="20"/>
        </w:rPr>
        <w:t xml:space="preserve">reasonable and </w:t>
      </w:r>
      <w:r w:rsidR="00FE6998" w:rsidRPr="00FE6998">
        <w:rPr>
          <w:rFonts w:asciiTheme="minorHAnsi" w:hAnsiTheme="minorHAnsi"/>
          <w:snapToGrid w:val="0"/>
          <w:szCs w:val="20"/>
        </w:rPr>
        <w:t>adequately supported by the data</w:t>
      </w:r>
      <w:r w:rsidRPr="00FE6998">
        <w:rPr>
          <w:rFonts w:asciiTheme="minorHAnsi" w:hAnsiTheme="minorHAnsi"/>
          <w:snapToGrid w:val="0"/>
          <w:szCs w:val="20"/>
        </w:rPr>
        <w:t>.</w:t>
      </w:r>
    </w:p>
    <w:p w14:paraId="2C6C15CE" w14:textId="40EE2613" w:rsidR="00A05E89" w:rsidRPr="00FE6998" w:rsidRDefault="00A05E89" w:rsidP="00A05E89">
      <w:pPr>
        <w:widowControl w:val="0"/>
        <w:numPr>
          <w:ilvl w:val="1"/>
          <w:numId w:val="1"/>
        </w:numPr>
        <w:spacing w:after="120"/>
        <w:rPr>
          <w:rFonts w:asciiTheme="minorHAnsi" w:hAnsiTheme="minorHAnsi"/>
          <w:snapToGrid w:val="0"/>
          <w:szCs w:val="20"/>
        </w:rPr>
      </w:pPr>
      <w:r w:rsidRPr="00FE6998">
        <w:rPr>
          <w:rFonts w:asciiTheme="minorHAnsi" w:hAnsiTheme="minorHAnsi"/>
          <w:snapToGrid w:val="0"/>
          <w:szCs w:val="20"/>
        </w:rPr>
        <w:t>The PBAC considered that the claim</w:t>
      </w:r>
      <w:r w:rsidR="00FE6998" w:rsidRPr="00FE6998">
        <w:rPr>
          <w:rFonts w:asciiTheme="minorHAnsi" w:hAnsiTheme="minorHAnsi"/>
          <w:snapToGrid w:val="0"/>
          <w:szCs w:val="20"/>
        </w:rPr>
        <w:t>s</w:t>
      </w:r>
      <w:r w:rsidRPr="00FE6998">
        <w:rPr>
          <w:rFonts w:asciiTheme="minorHAnsi" w:hAnsiTheme="minorHAnsi"/>
          <w:snapToGrid w:val="0"/>
          <w:szCs w:val="20"/>
        </w:rPr>
        <w:t xml:space="preserve"> of non-inferior comparative safety </w:t>
      </w:r>
      <w:r w:rsidR="003F09E1" w:rsidRPr="00FE6998">
        <w:rPr>
          <w:rFonts w:asciiTheme="minorHAnsi" w:hAnsiTheme="minorHAnsi"/>
          <w:snapToGrid w:val="0"/>
          <w:szCs w:val="20"/>
        </w:rPr>
        <w:t xml:space="preserve">for the comparisons </w:t>
      </w:r>
      <w:r w:rsidR="00FE6998" w:rsidRPr="00FE6998">
        <w:rPr>
          <w:rFonts w:asciiTheme="minorHAnsi" w:hAnsiTheme="minorHAnsi"/>
          <w:snapToGrid w:val="0"/>
          <w:szCs w:val="20"/>
        </w:rPr>
        <w:t xml:space="preserve">between </w:t>
      </w:r>
      <w:proofErr w:type="spellStart"/>
      <w:r w:rsidR="003F09E1" w:rsidRPr="00FE6998">
        <w:rPr>
          <w:rFonts w:asciiTheme="minorHAnsi" w:hAnsiTheme="minorHAnsi"/>
          <w:snapToGrid w:val="0"/>
          <w:szCs w:val="20"/>
        </w:rPr>
        <w:t>CLd</w:t>
      </w:r>
      <w:proofErr w:type="spellEnd"/>
      <w:r w:rsidR="003F09E1" w:rsidRPr="00FE6998">
        <w:rPr>
          <w:rFonts w:asciiTheme="minorHAnsi" w:hAnsiTheme="minorHAnsi"/>
          <w:snapToGrid w:val="0"/>
          <w:szCs w:val="20"/>
        </w:rPr>
        <w:t xml:space="preserve"> </w:t>
      </w:r>
      <w:r w:rsidR="004C0472">
        <w:rPr>
          <w:rFonts w:asciiTheme="minorHAnsi" w:hAnsiTheme="minorHAnsi"/>
          <w:snapToGrid w:val="0"/>
          <w:szCs w:val="20"/>
        </w:rPr>
        <w:t>vs</w:t>
      </w:r>
      <w:r w:rsidR="004C0472" w:rsidRPr="00FE6998">
        <w:rPr>
          <w:rFonts w:asciiTheme="minorHAnsi" w:hAnsiTheme="minorHAnsi"/>
          <w:snapToGrid w:val="0"/>
          <w:szCs w:val="20"/>
        </w:rPr>
        <w:t xml:space="preserve"> </w:t>
      </w:r>
      <w:r w:rsidR="003F09E1" w:rsidRPr="00FE6998">
        <w:rPr>
          <w:rFonts w:asciiTheme="minorHAnsi" w:hAnsiTheme="minorHAnsi"/>
          <w:snapToGrid w:val="0"/>
          <w:szCs w:val="20"/>
        </w:rPr>
        <w:t xml:space="preserve">Cd, </w:t>
      </w:r>
      <w:proofErr w:type="spellStart"/>
      <w:r w:rsidR="003F09E1" w:rsidRPr="00FE6998">
        <w:rPr>
          <w:rFonts w:asciiTheme="minorHAnsi" w:hAnsiTheme="minorHAnsi"/>
          <w:snapToGrid w:val="0"/>
          <w:szCs w:val="20"/>
        </w:rPr>
        <w:t>ELd</w:t>
      </w:r>
      <w:proofErr w:type="spellEnd"/>
      <w:r w:rsidR="003F09E1" w:rsidRPr="00FE6998">
        <w:rPr>
          <w:rFonts w:asciiTheme="minorHAnsi" w:hAnsiTheme="minorHAnsi"/>
          <w:snapToGrid w:val="0"/>
          <w:szCs w:val="20"/>
        </w:rPr>
        <w:t xml:space="preserve"> and </w:t>
      </w:r>
      <w:proofErr w:type="spellStart"/>
      <w:r w:rsidR="003F09E1" w:rsidRPr="00FE6998">
        <w:rPr>
          <w:rFonts w:asciiTheme="minorHAnsi" w:hAnsiTheme="minorHAnsi"/>
          <w:snapToGrid w:val="0"/>
          <w:szCs w:val="20"/>
        </w:rPr>
        <w:t>PBd</w:t>
      </w:r>
      <w:proofErr w:type="spellEnd"/>
      <w:r w:rsidR="00FE6998" w:rsidRPr="00FE6998">
        <w:rPr>
          <w:rFonts w:asciiTheme="minorHAnsi" w:hAnsiTheme="minorHAnsi"/>
          <w:snapToGrid w:val="0"/>
          <w:szCs w:val="20"/>
        </w:rPr>
        <w:t xml:space="preserve"> and were </w:t>
      </w:r>
      <w:r w:rsidR="00A91E4E">
        <w:rPr>
          <w:rFonts w:asciiTheme="minorHAnsi" w:hAnsiTheme="minorHAnsi"/>
          <w:snapToGrid w:val="0"/>
          <w:szCs w:val="20"/>
        </w:rPr>
        <w:t xml:space="preserve">reasonable and </w:t>
      </w:r>
      <w:r w:rsidR="00FE6998" w:rsidRPr="00FE6998">
        <w:rPr>
          <w:rFonts w:asciiTheme="minorHAnsi" w:hAnsiTheme="minorHAnsi"/>
          <w:snapToGrid w:val="0"/>
          <w:szCs w:val="20"/>
        </w:rPr>
        <w:t>adequately supported by the data</w:t>
      </w:r>
      <w:r w:rsidRPr="00FE6998">
        <w:rPr>
          <w:rFonts w:asciiTheme="minorHAnsi" w:hAnsiTheme="minorHAnsi"/>
          <w:snapToGrid w:val="0"/>
          <w:szCs w:val="20"/>
        </w:rPr>
        <w:t>.</w:t>
      </w:r>
    </w:p>
    <w:p w14:paraId="429AAB4B" w14:textId="77777777" w:rsidR="00F97782" w:rsidRPr="00F04A75" w:rsidRDefault="00F97782" w:rsidP="0016658B">
      <w:pPr>
        <w:pStyle w:val="4-SubsectionHeading"/>
      </w:pPr>
      <w:bookmarkStart w:id="49" w:name="_Toc90455929"/>
      <w:bookmarkStart w:id="50" w:name="_Toc93412433"/>
      <w:bookmarkEnd w:id="48"/>
      <w:r w:rsidRPr="00F04A75">
        <w:t>Economic analysis</w:t>
      </w:r>
      <w:bookmarkEnd w:id="49"/>
      <w:bookmarkEnd w:id="50"/>
      <w:r w:rsidRPr="00F04A75">
        <w:t xml:space="preserve"> </w:t>
      </w:r>
    </w:p>
    <w:p w14:paraId="42AA4718" w14:textId="272E3024" w:rsidR="00F97782" w:rsidRPr="00F04A75" w:rsidRDefault="00F97782" w:rsidP="0016658B">
      <w:pPr>
        <w:pStyle w:val="3-BodyText"/>
      </w:pPr>
      <w:r w:rsidRPr="00F04A75">
        <w:t xml:space="preserve">The resubmission presented a CMA comparing </w:t>
      </w:r>
      <w:proofErr w:type="spellStart"/>
      <w:r w:rsidRPr="00F04A75">
        <w:t>CLd</w:t>
      </w:r>
      <w:proofErr w:type="spellEnd"/>
      <w:r w:rsidRPr="00F04A75">
        <w:t xml:space="preserve"> to Cd. </w:t>
      </w:r>
    </w:p>
    <w:p w14:paraId="19763E4F" w14:textId="356997F4" w:rsidR="0026755D" w:rsidRPr="00F04A75" w:rsidRDefault="00F97782" w:rsidP="00CC023A">
      <w:pPr>
        <w:pStyle w:val="3-BodyText"/>
      </w:pPr>
      <w:r w:rsidRPr="00F04A75">
        <w:t xml:space="preserve">The CMA applied </w:t>
      </w:r>
      <w:r w:rsidR="00C97F91" w:rsidRPr="00F04A75">
        <w:t>mean carfilzomib doses per infusion calculated using individual patient data (IPD) from ASPIRE (</w:t>
      </w:r>
      <w:r w:rsidR="00D66676" w:rsidRPr="00F04A75">
        <w:t xml:space="preserve">for </w:t>
      </w:r>
      <w:proofErr w:type="spellStart"/>
      <w:r w:rsidR="00C97F91" w:rsidRPr="00F04A75">
        <w:t>CLd</w:t>
      </w:r>
      <w:proofErr w:type="spellEnd"/>
      <w:r w:rsidR="00C97F91" w:rsidRPr="00F04A75">
        <w:t xml:space="preserve"> dosing), ENDEAVOR (</w:t>
      </w:r>
      <w:r w:rsidR="00D66676" w:rsidRPr="00F04A75">
        <w:t>for twice weekly (</w:t>
      </w:r>
      <w:r w:rsidR="00C97F91" w:rsidRPr="00F04A75">
        <w:t>BIW</w:t>
      </w:r>
      <w:r w:rsidR="00D66676" w:rsidRPr="00F04A75">
        <w:t>)</w:t>
      </w:r>
      <w:r w:rsidR="00C97F91" w:rsidRPr="00F04A75">
        <w:t xml:space="preserve"> Cd dosing) and ARROW (</w:t>
      </w:r>
      <w:r w:rsidR="00D66676" w:rsidRPr="00F04A75">
        <w:t>for once weekly (</w:t>
      </w:r>
      <w:r w:rsidR="00C97F91" w:rsidRPr="00F04A75">
        <w:t>QW</w:t>
      </w:r>
      <w:r w:rsidR="00D66676" w:rsidRPr="00F04A75">
        <w:t>)</w:t>
      </w:r>
      <w:r w:rsidR="00C97F91" w:rsidRPr="00F04A75">
        <w:t xml:space="preserve"> Cd dosing). To account for wastage, the doses were rounded up to the nearest 10 mg</w:t>
      </w:r>
      <w:r w:rsidR="004B71FA" w:rsidRPr="00F04A75">
        <w:t>.</w:t>
      </w:r>
      <w:r w:rsidR="00C97F91" w:rsidRPr="00F04A75">
        <w:t xml:space="preserve"> The CMA applied a mean relative dose intensity (RDI) for lenalidomide calculated using IPD from ASPIRE. The IPD analysis from </w:t>
      </w:r>
      <w:r w:rsidR="001E52AD" w:rsidRPr="00F04A75">
        <w:t xml:space="preserve">the ENDEAVOR and ARROW trials, from </w:t>
      </w:r>
      <w:r w:rsidR="00C97F91" w:rsidRPr="00F04A75">
        <w:t xml:space="preserve">which the </w:t>
      </w:r>
      <w:r w:rsidR="001E52AD" w:rsidRPr="00F04A75">
        <w:t>Cd</w:t>
      </w:r>
      <w:r w:rsidR="00C97F91" w:rsidRPr="00F04A75">
        <w:t xml:space="preserve"> mean doses per infusions were derived</w:t>
      </w:r>
      <w:r w:rsidR="001E52AD" w:rsidRPr="00F04A75">
        <w:t>,</w:t>
      </w:r>
      <w:r w:rsidR="00C97F91" w:rsidRPr="00F04A75">
        <w:t xml:space="preserve"> were not provided in the resubmission. </w:t>
      </w:r>
      <w:r w:rsidR="00CC023A" w:rsidRPr="00F04A75">
        <w:t xml:space="preserve">Based on the IPD analysis supplied with the PSCR, the </w:t>
      </w:r>
      <w:r w:rsidR="00D66676" w:rsidRPr="00F04A75">
        <w:t>dose intensity (</w:t>
      </w:r>
      <w:r w:rsidR="00CC023A" w:rsidRPr="00F04A75">
        <w:t>DI</w:t>
      </w:r>
      <w:r w:rsidR="00D66676" w:rsidRPr="00F04A75">
        <w:t>)</w:t>
      </w:r>
      <w:r w:rsidR="00CC023A" w:rsidRPr="00F04A75">
        <w:t xml:space="preserve"> data applied in the calculation of </w:t>
      </w:r>
      <w:r w:rsidR="00F52AD5" w:rsidRPr="00F04A75">
        <w:t xml:space="preserve">the </w:t>
      </w:r>
      <w:proofErr w:type="spellStart"/>
      <w:r w:rsidR="00CC023A" w:rsidRPr="00F04A75">
        <w:t>equi</w:t>
      </w:r>
      <w:proofErr w:type="spellEnd"/>
      <w:r w:rsidR="00CC023A" w:rsidRPr="00F04A75">
        <w:t>-effective dose</w:t>
      </w:r>
      <w:r w:rsidR="00F52AD5" w:rsidRPr="00F04A75">
        <w:t xml:space="preserve">s of </w:t>
      </w:r>
      <w:r w:rsidR="00C97F91" w:rsidRPr="00F04A75">
        <w:t xml:space="preserve">BIW </w:t>
      </w:r>
      <w:r w:rsidR="00CC023A" w:rsidRPr="00F04A75">
        <w:t>Cd (ENDE</w:t>
      </w:r>
      <w:r w:rsidR="00B0216B" w:rsidRPr="00F04A75">
        <w:t>A</w:t>
      </w:r>
      <w:r w:rsidR="00CC023A" w:rsidRPr="00F04A75">
        <w:t>VOR trial)</w:t>
      </w:r>
      <w:r w:rsidR="00716E3F" w:rsidRPr="00F04A75">
        <w:t xml:space="preserve"> could be verified</w:t>
      </w:r>
      <w:r w:rsidR="00CC023A" w:rsidRPr="00F04A75">
        <w:t>. However, the IPD data from ARROW</w:t>
      </w:r>
      <w:r w:rsidR="00B0216B" w:rsidRPr="00F04A75">
        <w:t>, which</w:t>
      </w:r>
      <w:r w:rsidR="00CC023A" w:rsidRPr="00F04A75">
        <w:t xml:space="preserve"> inform</w:t>
      </w:r>
      <w:r w:rsidR="00716E3F" w:rsidRPr="00F04A75">
        <w:t>ed</w:t>
      </w:r>
      <w:r w:rsidR="00CC023A" w:rsidRPr="00F04A75">
        <w:t xml:space="preserve"> the use of the </w:t>
      </w:r>
      <w:r w:rsidR="00C97F91" w:rsidRPr="00F04A75">
        <w:t>QW Cd</w:t>
      </w:r>
      <w:r w:rsidR="00CC023A" w:rsidRPr="00F04A75">
        <w:t xml:space="preserve"> regimen, were not included in the analysis supplied by the PSCR and therefore could not be verified.</w:t>
      </w:r>
      <w:r w:rsidR="001E52AD" w:rsidRPr="00F04A75">
        <w:t xml:space="preserve"> The calculated doses are summarised in Table </w:t>
      </w:r>
      <w:r w:rsidR="00C8791A">
        <w:t>17</w:t>
      </w:r>
      <w:r w:rsidR="001E52AD" w:rsidRPr="00F04A75">
        <w:t>.</w:t>
      </w:r>
    </w:p>
    <w:p w14:paraId="268E980F" w14:textId="0220645E" w:rsidR="0026755D" w:rsidRPr="00F04A75" w:rsidRDefault="00273B39" w:rsidP="009F4869">
      <w:pPr>
        <w:pStyle w:val="3-BodyText"/>
      </w:pPr>
      <w:r w:rsidRPr="00F04A75">
        <w:t xml:space="preserve">The number of infusions per course of treatment for Cd was calculated using PBS data for July and August 2021, resulting in a weighted average of Cd QW (55%) and Cd BIW (45%) regimens. </w:t>
      </w:r>
      <w:r w:rsidR="009F4869" w:rsidRPr="00F04A75">
        <w:t xml:space="preserve"> </w:t>
      </w:r>
    </w:p>
    <w:p w14:paraId="476C496C" w14:textId="180E8816" w:rsidR="00F97782" w:rsidRPr="00F04A75" w:rsidRDefault="00BD6BE7" w:rsidP="0016658B">
      <w:pPr>
        <w:pStyle w:val="3-BodyText"/>
      </w:pPr>
      <w:r w:rsidRPr="00F04A75">
        <w:t>The resubmission did not include dexame</w:t>
      </w:r>
      <w:r w:rsidR="007E2499" w:rsidRPr="00F04A75">
        <w:t xml:space="preserve">thasone </w:t>
      </w:r>
      <w:r w:rsidR="00F97782" w:rsidRPr="00F04A75">
        <w:t xml:space="preserve">in the calculation of </w:t>
      </w:r>
      <w:proofErr w:type="spellStart"/>
      <w:r w:rsidR="00F97782" w:rsidRPr="00F04A75">
        <w:t>equi</w:t>
      </w:r>
      <w:proofErr w:type="spellEnd"/>
      <w:r w:rsidR="00F97782" w:rsidRPr="00F04A75">
        <w:t xml:space="preserve">-effective dose for </w:t>
      </w:r>
      <w:proofErr w:type="spellStart"/>
      <w:r w:rsidR="00F97782" w:rsidRPr="00F04A75">
        <w:t>CLd</w:t>
      </w:r>
      <w:proofErr w:type="spellEnd"/>
      <w:r w:rsidR="00F97782" w:rsidRPr="00F04A75">
        <w:t xml:space="preserve"> and Cd. </w:t>
      </w:r>
    </w:p>
    <w:p w14:paraId="20498323" w14:textId="77777777" w:rsidR="00F97782" w:rsidRPr="00F04A75" w:rsidRDefault="00F97782" w:rsidP="0016658B">
      <w:pPr>
        <w:pStyle w:val="3-BodyText"/>
      </w:pPr>
      <w:r w:rsidRPr="00F04A75">
        <w:t xml:space="preserve">The resultant </w:t>
      </w:r>
      <w:proofErr w:type="spellStart"/>
      <w:r w:rsidRPr="00F04A75">
        <w:t>equi</w:t>
      </w:r>
      <w:proofErr w:type="spellEnd"/>
      <w:r w:rsidRPr="00F04A75">
        <w:t xml:space="preserve">-effective doses per course of treatment (15 cycles), as estimated by the resubmission, were: </w:t>
      </w:r>
    </w:p>
    <w:p w14:paraId="3F389375" w14:textId="77777777" w:rsidR="005E22A4" w:rsidRPr="00F04A75" w:rsidRDefault="009F4869" w:rsidP="000976FD">
      <w:pPr>
        <w:pStyle w:val="3-BodyText"/>
        <w:numPr>
          <w:ilvl w:val="0"/>
          <w:numId w:val="0"/>
        </w:numPr>
        <w:ind w:left="720"/>
      </w:pPr>
      <w:r w:rsidRPr="00F04A75">
        <w:t>4,478 mg carfilzomib + 6,213 mg lenalidomide</w:t>
      </w:r>
      <w:r w:rsidR="005E22A4" w:rsidRPr="00F04A75">
        <w:t xml:space="preserve"> (given as </w:t>
      </w:r>
      <w:proofErr w:type="spellStart"/>
      <w:r w:rsidR="005E22A4" w:rsidRPr="00F04A75">
        <w:t>CLd</w:t>
      </w:r>
      <w:proofErr w:type="spellEnd"/>
      <w:r w:rsidR="005E22A4" w:rsidRPr="00F04A75">
        <w:t xml:space="preserve">) = </w:t>
      </w:r>
    </w:p>
    <w:p w14:paraId="0ABF1C5F" w14:textId="427B85FF" w:rsidR="00F97782" w:rsidRPr="00F04A75" w:rsidRDefault="00F97782" w:rsidP="000976FD">
      <w:pPr>
        <w:pStyle w:val="3-BodyText"/>
        <w:numPr>
          <w:ilvl w:val="0"/>
          <w:numId w:val="0"/>
        </w:numPr>
        <w:ind w:left="720"/>
      </w:pPr>
      <w:r w:rsidRPr="00F04A75">
        <w:t>9</w:t>
      </w:r>
      <w:r w:rsidR="009F4869" w:rsidRPr="00F04A75">
        <w:t>,</w:t>
      </w:r>
      <w:r w:rsidRPr="00F04A75">
        <w:t xml:space="preserve">076 mg </w:t>
      </w:r>
      <w:r w:rsidR="000B7A74" w:rsidRPr="00F04A75">
        <w:t xml:space="preserve">carfilzomib </w:t>
      </w:r>
      <w:r w:rsidR="0036521D" w:rsidRPr="00F04A75">
        <w:t>BIW</w:t>
      </w:r>
      <w:r w:rsidR="009F4869" w:rsidRPr="00F04A75">
        <w:t xml:space="preserve"> </w:t>
      </w:r>
      <w:r w:rsidR="005E22A4" w:rsidRPr="00F04A75">
        <w:t xml:space="preserve">(given as Cd) </w:t>
      </w:r>
      <w:r w:rsidR="000976FD">
        <w:t xml:space="preserve">OR </w:t>
      </w:r>
      <w:r w:rsidRPr="00F04A75">
        <w:t>5</w:t>
      </w:r>
      <w:r w:rsidR="009F4869" w:rsidRPr="00F04A75">
        <w:t>,</w:t>
      </w:r>
      <w:r w:rsidRPr="00F04A75">
        <w:t>603 mg</w:t>
      </w:r>
      <w:r w:rsidR="0036521D" w:rsidRPr="00F04A75">
        <w:t xml:space="preserve"> carfilzomib </w:t>
      </w:r>
      <w:r w:rsidRPr="00F04A75">
        <w:t xml:space="preserve">QW </w:t>
      </w:r>
      <w:r w:rsidR="005E22A4" w:rsidRPr="00F04A75">
        <w:t>(given as Cd)</w:t>
      </w:r>
    </w:p>
    <w:p w14:paraId="5F6807FE" w14:textId="70949E81" w:rsidR="00F97782" w:rsidRPr="00F04A75" w:rsidRDefault="005E3CF9" w:rsidP="0016658B">
      <w:pPr>
        <w:pStyle w:val="3-BodyText"/>
      </w:pPr>
      <w:r>
        <w:t>T</w:t>
      </w:r>
      <w:r w:rsidR="00F74D08" w:rsidRPr="00F04A75">
        <w:t>he</w:t>
      </w:r>
      <w:r w:rsidR="00D13485" w:rsidRPr="00F04A75">
        <w:t xml:space="preserve"> resubmission presented the</w:t>
      </w:r>
      <w:r w:rsidR="00F74D08" w:rsidRPr="00F04A75">
        <w:t xml:space="preserve"> </w:t>
      </w:r>
      <w:r w:rsidR="00F52AD5" w:rsidRPr="00F04A75">
        <w:t>CMA</w:t>
      </w:r>
      <w:r w:rsidR="00D13485" w:rsidRPr="00F04A75">
        <w:t xml:space="preserve"> based on</w:t>
      </w:r>
      <w:r w:rsidR="00F74D08" w:rsidRPr="00F04A75">
        <w:t xml:space="preserve"> the mean treatment duration of 15 cycles from ENDEAVOR for Cd (</w:t>
      </w:r>
      <w:r w:rsidR="00A060BE" w:rsidRPr="00F04A75">
        <w:t xml:space="preserve">equivalent to </w:t>
      </w:r>
      <w:r w:rsidR="00F74D08" w:rsidRPr="00F04A75">
        <w:t>62.53 weeks</w:t>
      </w:r>
      <w:r w:rsidR="00C14BCF">
        <w:t>/13.8 months</w:t>
      </w:r>
      <w:r w:rsidR="00F74D08" w:rsidRPr="00F04A75">
        <w:t>)</w:t>
      </w:r>
      <w:r w:rsidR="00101246">
        <w:t xml:space="preserve"> – see Table </w:t>
      </w:r>
      <w:r w:rsidR="004F28A6">
        <w:t>18</w:t>
      </w:r>
      <w:r w:rsidR="00610AD4" w:rsidRPr="00F04A75">
        <w:t>.</w:t>
      </w:r>
      <w:r w:rsidR="00F97782" w:rsidRPr="00F04A75">
        <w:t xml:space="preserve"> </w:t>
      </w:r>
      <w:r w:rsidR="00F97782" w:rsidRPr="00034559">
        <w:t xml:space="preserve">This </w:t>
      </w:r>
      <w:r w:rsidR="005E22A4" w:rsidRPr="00034559">
        <w:t>was</w:t>
      </w:r>
      <w:r w:rsidR="00234968" w:rsidRPr="00034559">
        <w:t xml:space="preserve"> consistent with </w:t>
      </w:r>
      <w:r w:rsidR="00D43A6B" w:rsidRPr="00034559">
        <w:t xml:space="preserve">the </w:t>
      </w:r>
      <w:proofErr w:type="gramStart"/>
      <w:r w:rsidR="000960C3" w:rsidRPr="00443BC9">
        <w:rPr>
          <w:color w:val="000000"/>
          <w:w w:val="15"/>
          <w:shd w:val="solid" w:color="000000" w:fill="000000"/>
          <w:fitText w:val="-20" w:id="-1506043888"/>
          <w14:textFill>
            <w14:solidFill>
              <w14:srgbClr w14:val="000000">
                <w14:alpha w14:val="100000"/>
              </w14:srgbClr>
            </w14:solidFill>
          </w14:textFill>
        </w:rPr>
        <w:t xml:space="preserve">|  </w:t>
      </w:r>
      <w:r w:rsidR="000960C3" w:rsidRPr="00443BC9">
        <w:rPr>
          <w:color w:val="000000"/>
          <w:spacing w:val="-69"/>
          <w:w w:val="15"/>
          <w:shd w:val="solid" w:color="000000" w:fill="000000"/>
          <w:fitText w:val="-20" w:id="-1506043888"/>
          <w14:textFill>
            <w14:solidFill>
              <w14:srgbClr w14:val="000000">
                <w14:alpha w14:val="100000"/>
              </w14:srgbClr>
            </w14:solidFill>
          </w14:textFill>
        </w:rPr>
        <w:t>|</w:t>
      </w:r>
      <w:proofErr w:type="gramEnd"/>
      <w:r w:rsidR="00934F6F" w:rsidRPr="00034559">
        <w:t xml:space="preserve"> cap applied </w:t>
      </w:r>
      <w:r w:rsidR="00697408" w:rsidRPr="00034559">
        <w:t xml:space="preserve">in the current </w:t>
      </w:r>
      <w:r w:rsidR="00D66676" w:rsidRPr="00034559">
        <w:t>risk sharing arrangement (</w:t>
      </w:r>
      <w:r w:rsidR="00697408" w:rsidRPr="00034559">
        <w:t>RSA</w:t>
      </w:r>
      <w:r w:rsidR="00D66676" w:rsidRPr="00034559">
        <w:t>)</w:t>
      </w:r>
      <w:r w:rsidR="00697408" w:rsidRPr="00034559">
        <w:t xml:space="preserve"> for carfilzomib</w:t>
      </w:r>
      <w:r w:rsidR="001341B0" w:rsidRPr="00034559">
        <w:t>;</w:t>
      </w:r>
      <w:r w:rsidR="001341B0" w:rsidRPr="00F04A75">
        <w:t xml:space="preserve"> h</w:t>
      </w:r>
      <w:r w:rsidR="00F97782" w:rsidRPr="00F04A75">
        <w:t xml:space="preserve">owever, </w:t>
      </w:r>
      <w:r w:rsidR="001341B0" w:rsidRPr="00F04A75">
        <w:t xml:space="preserve">differed from </w:t>
      </w:r>
      <w:r w:rsidR="00F97782" w:rsidRPr="00F04A75">
        <w:t>the</w:t>
      </w:r>
      <w:r w:rsidR="00DD1893" w:rsidRPr="00F04A75">
        <w:t xml:space="preserve"> maximum</w:t>
      </w:r>
      <w:r w:rsidR="00F97782" w:rsidRPr="00F04A75">
        <w:t xml:space="preserve"> treatment duration </w:t>
      </w:r>
      <w:r w:rsidR="00F45F95" w:rsidRPr="00F04A75">
        <w:t xml:space="preserve">of carfilzomib </w:t>
      </w:r>
      <w:r w:rsidR="00F97782" w:rsidRPr="00F04A75">
        <w:t xml:space="preserve">in ASPIRE </w:t>
      </w:r>
      <w:r w:rsidR="001341B0" w:rsidRPr="00F04A75">
        <w:t xml:space="preserve">which </w:t>
      </w:r>
      <w:r w:rsidR="00F97782" w:rsidRPr="00F04A75">
        <w:t>was 18 cycles</w:t>
      </w:r>
      <w:r w:rsidR="002C34DA">
        <w:t xml:space="preserve"> and</w:t>
      </w:r>
      <w:r w:rsidR="00322DF3" w:rsidRPr="00F04A75">
        <w:t xml:space="preserve"> the treatment duration applied in the November 2020 submission for the QW Cd regimen of 13.3 cycles</w:t>
      </w:r>
      <w:r w:rsidR="00F97782" w:rsidRPr="00F04A75">
        <w:t>.</w:t>
      </w:r>
      <w:r w:rsidR="00EC613B" w:rsidRPr="00F04A75">
        <w:t xml:space="preserve"> </w:t>
      </w:r>
      <w:r w:rsidR="001341B0" w:rsidRPr="00F04A75">
        <w:rPr>
          <w:rFonts w:cstheme="minorHAnsi"/>
        </w:rPr>
        <w:t>The PSCR stated that the treatment duration of 15 cycles assumed in the base case was appropriate, referencing a Kaplan-Meier analysis of PBS utilisation data provided by the DUSC Secretariat that indicated a mean treatment time of 339.9 days for carfilzomib (equivalent to 12.1 x 28-day cycles, or 11.2 months).</w:t>
      </w:r>
      <w:r w:rsidR="00EC613B" w:rsidRPr="00F04A75">
        <w:t xml:space="preserve"> </w:t>
      </w:r>
      <w:r w:rsidR="00A06F2D" w:rsidRPr="00F04A75">
        <w:t>Sensitivity analyses revealed reductions in the calculated price of carfilzomib when shorter durations of Cd were assumed.</w:t>
      </w:r>
      <w:r w:rsidR="00744572" w:rsidRPr="00F04A75">
        <w:t xml:space="preserve"> </w:t>
      </w:r>
    </w:p>
    <w:p w14:paraId="35079555" w14:textId="08285C47" w:rsidR="00F97782" w:rsidRPr="00F04A75" w:rsidRDefault="00F97782" w:rsidP="0016658B">
      <w:pPr>
        <w:pStyle w:val="3-BodyText"/>
      </w:pPr>
      <w:r w:rsidRPr="00F04A75">
        <w:t xml:space="preserve">The resubmission included additional costs associated with differences in the administration of </w:t>
      </w:r>
      <w:proofErr w:type="spellStart"/>
      <w:r w:rsidRPr="00F04A75">
        <w:t>CLd</w:t>
      </w:r>
      <w:proofErr w:type="spellEnd"/>
      <w:r w:rsidRPr="00F04A75">
        <w:t xml:space="preserve"> and Cd and management of AEs. The cost of AE management was based on the incidence of neutropenia in </w:t>
      </w:r>
      <w:proofErr w:type="spellStart"/>
      <w:r w:rsidRPr="00F04A75">
        <w:t>CLd</w:t>
      </w:r>
      <w:proofErr w:type="spellEnd"/>
      <w:r w:rsidRPr="00F04A75">
        <w:t xml:space="preserve"> in ASPIRE </w:t>
      </w:r>
      <w:r w:rsidR="002C34DA">
        <w:t>with</w:t>
      </w:r>
      <w:r w:rsidR="002C34DA" w:rsidRPr="00F04A75">
        <w:t xml:space="preserve"> </w:t>
      </w:r>
      <w:r w:rsidR="002C34DA">
        <w:t xml:space="preserve">the </w:t>
      </w:r>
      <w:r w:rsidRPr="00F04A75">
        <w:t xml:space="preserve">effective price for </w:t>
      </w:r>
      <w:proofErr w:type="spellStart"/>
      <w:r w:rsidRPr="00F04A75">
        <w:t>pegfilgrastim</w:t>
      </w:r>
      <w:proofErr w:type="spellEnd"/>
      <w:r w:rsidRPr="00F04A75">
        <w:t xml:space="preserve"> ($</w:t>
      </w:r>
      <w:r w:rsidRPr="00034559">
        <w:t>346.39</w:t>
      </w:r>
      <w:r w:rsidRPr="00F04A75">
        <w:t xml:space="preserve">/dose) applied in 15% </w:t>
      </w:r>
      <w:r w:rsidR="0003269C" w:rsidRPr="00F04A75">
        <w:t xml:space="preserve">of </w:t>
      </w:r>
      <w:r w:rsidRPr="00F04A75">
        <w:t xml:space="preserve">cycles. </w:t>
      </w:r>
    </w:p>
    <w:p w14:paraId="7EF8B398" w14:textId="0F68D807" w:rsidR="00F97782" w:rsidRPr="00F04A75" w:rsidRDefault="00F97782" w:rsidP="0016658B">
      <w:pPr>
        <w:pStyle w:val="3-BodyText"/>
      </w:pPr>
      <w:r w:rsidRPr="00F04A75">
        <w:t xml:space="preserve">The CMA presented by the resubmission was based on the effective AEMP for carfilzomib. The effective price of lenalidomide was not known to the sponsor and was estimated based on the </w:t>
      </w:r>
      <w:r w:rsidR="00D66676" w:rsidRPr="00F04A75">
        <w:t>dispensed price per maximum quantity (</w:t>
      </w:r>
      <w:r w:rsidRPr="00F04A75">
        <w:t>DPMQ</w:t>
      </w:r>
      <w:r w:rsidR="00D66676" w:rsidRPr="00F04A75">
        <w:t>)</w:t>
      </w:r>
      <w:r w:rsidRPr="00F04A75">
        <w:t xml:space="preserve"> adjusted to an estimated </w:t>
      </w:r>
      <w:r w:rsidRPr="009356FD">
        <w:t>55</w:t>
      </w:r>
      <w:r w:rsidRPr="00F04A75">
        <w:t xml:space="preserve">% rebate in the resubmission. The resubmission stated </w:t>
      </w:r>
      <w:r w:rsidR="00777E0A" w:rsidRPr="00F04A75">
        <w:t xml:space="preserve">that </w:t>
      </w:r>
      <w:r w:rsidRPr="00F04A75">
        <w:t xml:space="preserve">the rebate applied to lenalidomide was derived based on </w:t>
      </w:r>
      <w:r w:rsidR="00DD1893" w:rsidRPr="00F04A75">
        <w:t xml:space="preserve">the </w:t>
      </w:r>
      <w:r w:rsidRPr="00F04A75">
        <w:t xml:space="preserve">effective </w:t>
      </w:r>
      <w:r w:rsidR="00DD1893" w:rsidRPr="00F04A75">
        <w:t xml:space="preserve">price </w:t>
      </w:r>
      <w:r w:rsidRPr="00F04A75">
        <w:t xml:space="preserve">for bortezomib in August 2017 disclosed to the sponsor, and further adjusted to </w:t>
      </w:r>
      <w:r w:rsidR="00DD1893" w:rsidRPr="00F04A75">
        <w:t xml:space="preserve">accommodate the </w:t>
      </w:r>
      <w:r w:rsidRPr="00F04A75">
        <w:t xml:space="preserve">10% price </w:t>
      </w:r>
      <w:r w:rsidR="002C34DA">
        <w:t>reduction</w:t>
      </w:r>
      <w:r w:rsidR="002C34DA" w:rsidRPr="00F04A75">
        <w:t xml:space="preserve"> </w:t>
      </w:r>
      <w:r w:rsidRPr="00F04A75">
        <w:t xml:space="preserve">offered by the sponsor of lenalidomide (paragraph 5.18, </w:t>
      </w:r>
      <w:proofErr w:type="spellStart"/>
      <w:r w:rsidRPr="00F04A75">
        <w:t>elotuzumab</w:t>
      </w:r>
      <w:proofErr w:type="spellEnd"/>
      <w:r w:rsidRPr="00F04A75">
        <w:t xml:space="preserve"> PSD, July 2021) and </w:t>
      </w:r>
      <w:r w:rsidR="00DD1893" w:rsidRPr="00F04A75">
        <w:t xml:space="preserve">the </w:t>
      </w:r>
      <w:r w:rsidRPr="00F04A75">
        <w:t xml:space="preserve">expected 25% F2 price reduction in 2022. </w:t>
      </w:r>
    </w:p>
    <w:p w14:paraId="260EC6A1" w14:textId="254BCCF8" w:rsidR="00F97782" w:rsidRPr="00F04A75" w:rsidRDefault="00F97782" w:rsidP="0016658B">
      <w:pPr>
        <w:pStyle w:val="3-BodyText"/>
        <w:rPr>
          <w:rFonts w:cstheme="minorHAnsi"/>
        </w:rPr>
      </w:pPr>
      <w:r w:rsidRPr="00F04A75">
        <w:t xml:space="preserve">The 10% price reduction applied to </w:t>
      </w:r>
      <w:r w:rsidR="00DD1893" w:rsidRPr="00F04A75">
        <w:t xml:space="preserve">the </w:t>
      </w:r>
      <w:r w:rsidRPr="00F04A75">
        <w:t xml:space="preserve">estimated effective price of lenalidomide in </w:t>
      </w:r>
      <w:proofErr w:type="spellStart"/>
      <w:r w:rsidRPr="00F04A75">
        <w:t>CLd</w:t>
      </w:r>
      <w:proofErr w:type="spellEnd"/>
      <w:r w:rsidRPr="00F04A75">
        <w:t xml:space="preserve"> was consistent with the price rebate offered by the sponsor in </w:t>
      </w:r>
      <w:proofErr w:type="spellStart"/>
      <w:r w:rsidRPr="00F04A75">
        <w:t>elotuzumab</w:t>
      </w:r>
      <w:proofErr w:type="spellEnd"/>
      <w:r w:rsidRPr="00F04A75">
        <w:t xml:space="preserve"> resubmission (paragraph 5.18, </w:t>
      </w:r>
      <w:proofErr w:type="spellStart"/>
      <w:r w:rsidRPr="00F04A75">
        <w:t>elotuzumab</w:t>
      </w:r>
      <w:proofErr w:type="spellEnd"/>
      <w:r w:rsidRPr="00F04A75">
        <w:t xml:space="preserve"> PSD, July 2021). However, the 10% price reduction proposed by the </w:t>
      </w:r>
      <w:proofErr w:type="spellStart"/>
      <w:r w:rsidRPr="00F04A75">
        <w:t>elotuzumab</w:t>
      </w:r>
      <w:proofErr w:type="spellEnd"/>
      <w:r w:rsidRPr="00F04A75">
        <w:t xml:space="preserve"> sponsor was specific to the use of lenalidomide in combination with </w:t>
      </w:r>
      <w:proofErr w:type="spellStart"/>
      <w:r w:rsidRPr="00F04A75">
        <w:t>elotuzumab</w:t>
      </w:r>
      <w:proofErr w:type="spellEnd"/>
      <w:r w:rsidRPr="00F04A75">
        <w:t xml:space="preserve">. Moreover, </w:t>
      </w:r>
      <w:proofErr w:type="spellStart"/>
      <w:r w:rsidRPr="00F04A75">
        <w:t>elotuzumab</w:t>
      </w:r>
      <w:proofErr w:type="spellEnd"/>
      <w:r w:rsidRPr="00F04A75">
        <w:t xml:space="preserve"> </w:t>
      </w:r>
      <w:r w:rsidR="00101246">
        <w:t xml:space="preserve">was </w:t>
      </w:r>
      <w:r w:rsidRPr="00F04A75">
        <w:t>not PBS listed</w:t>
      </w:r>
      <w:r w:rsidR="00101246">
        <w:t xml:space="preserve"> at the time of PBAC consideration</w:t>
      </w:r>
      <w:r w:rsidRPr="00F04A75">
        <w:t xml:space="preserve">. </w:t>
      </w:r>
    </w:p>
    <w:p w14:paraId="1FE6E46F" w14:textId="56258B07" w:rsidR="00F97782" w:rsidRPr="00F04A75" w:rsidRDefault="00F97782" w:rsidP="00B26A7F">
      <w:pPr>
        <w:pStyle w:val="Caption"/>
        <w:keepNext/>
        <w:spacing w:after="0"/>
        <w:jc w:val="left"/>
        <w:rPr>
          <w:rStyle w:val="CommentReference"/>
          <w:b/>
          <w:szCs w:val="20"/>
        </w:rPr>
      </w:pPr>
      <w:bookmarkStart w:id="51" w:name="_Ref91869350"/>
      <w:r w:rsidRPr="00F04A75">
        <w:rPr>
          <w:rFonts w:ascii="Arial Narrow" w:hAnsi="Arial Narrow"/>
          <w:color w:val="auto"/>
          <w:sz w:val="20"/>
          <w:szCs w:val="20"/>
        </w:rPr>
        <w:t xml:space="preserve">Table </w:t>
      </w:r>
      <w:bookmarkEnd w:id="51"/>
      <w:r w:rsidR="00FE6998">
        <w:rPr>
          <w:rFonts w:ascii="Arial Narrow" w:hAnsi="Arial Narrow"/>
          <w:color w:val="auto"/>
          <w:sz w:val="20"/>
          <w:szCs w:val="20"/>
        </w:rPr>
        <w:t>1</w:t>
      </w:r>
      <w:r w:rsidR="00C8791A">
        <w:rPr>
          <w:rFonts w:ascii="Arial Narrow" w:hAnsi="Arial Narrow"/>
          <w:color w:val="auto"/>
          <w:sz w:val="20"/>
          <w:szCs w:val="20"/>
        </w:rPr>
        <w:t>7</w:t>
      </w:r>
      <w:r w:rsidRPr="00F04A75">
        <w:rPr>
          <w:rFonts w:ascii="Arial Narrow" w:hAnsi="Arial Narrow"/>
          <w:color w:val="auto"/>
          <w:sz w:val="20"/>
          <w:szCs w:val="20"/>
        </w:rPr>
        <w:t xml:space="preserve">: Input parameters of the cost-minimisation model applied in the resubmission </w:t>
      </w:r>
    </w:p>
    <w:tbl>
      <w:tblPr>
        <w:tblStyle w:val="TableGridLight14"/>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7"/>
        <w:gridCol w:w="1561"/>
        <w:gridCol w:w="3202"/>
      </w:tblGrid>
      <w:tr w:rsidR="007730A6" w:rsidRPr="00F04A75" w14:paraId="4F28E808" w14:textId="77777777" w:rsidTr="00E150A6">
        <w:trPr>
          <w:cnfStyle w:val="100000000000" w:firstRow="1" w:lastRow="0" w:firstColumn="0" w:lastColumn="0" w:oddVBand="0" w:evenVBand="0" w:oddHBand="0" w:evenHBand="0" w:firstRowFirstColumn="0" w:firstRowLastColumn="0" w:lastRowFirstColumn="0" w:lastRowLastColumn="0"/>
          <w:cantSplit/>
          <w:trHeight w:val="141"/>
          <w:tblHeader/>
        </w:trPr>
        <w:tc>
          <w:tcPr>
            <w:tcW w:w="2357" w:type="pct"/>
            <w:shd w:val="clear" w:color="auto" w:fill="auto"/>
            <w:vAlign w:val="center"/>
          </w:tcPr>
          <w:p w14:paraId="77D636E9" w14:textId="77777777" w:rsidR="007730A6" w:rsidRPr="00F04A75" w:rsidRDefault="007730A6" w:rsidP="00B26A7F">
            <w:pPr>
              <w:keepNext/>
              <w:keepLines/>
              <w:jc w:val="left"/>
              <w:rPr>
                <w:rFonts w:ascii="Arial Narrow" w:hAnsi="Arial Narrow" w:cstheme="minorHAnsi"/>
                <w:b/>
                <w:color w:val="000000"/>
                <w:sz w:val="20"/>
                <w:szCs w:val="20"/>
                <w:lang w:val="en-AU"/>
              </w:rPr>
            </w:pPr>
            <w:r w:rsidRPr="00F04A75">
              <w:rPr>
                <w:rFonts w:ascii="Arial Narrow" w:hAnsi="Arial Narrow" w:cstheme="minorHAnsi"/>
                <w:b/>
                <w:color w:val="000000"/>
                <w:sz w:val="20"/>
                <w:szCs w:val="20"/>
                <w:lang w:val="en-AU"/>
              </w:rPr>
              <w:t>Parameter</w:t>
            </w:r>
          </w:p>
        </w:tc>
        <w:tc>
          <w:tcPr>
            <w:tcW w:w="866" w:type="pct"/>
            <w:shd w:val="clear" w:color="auto" w:fill="auto"/>
            <w:vAlign w:val="center"/>
          </w:tcPr>
          <w:p w14:paraId="70057883" w14:textId="77777777" w:rsidR="007730A6" w:rsidRPr="00F04A75" w:rsidRDefault="007730A6" w:rsidP="00A91E4E">
            <w:pPr>
              <w:keepNext/>
              <w:keepLines/>
              <w:jc w:val="center"/>
              <w:rPr>
                <w:rFonts w:ascii="Arial Narrow" w:hAnsi="Arial Narrow" w:cstheme="minorHAnsi"/>
                <w:b/>
                <w:color w:val="000000"/>
                <w:sz w:val="20"/>
                <w:szCs w:val="20"/>
                <w:lang w:val="en-AU"/>
              </w:rPr>
            </w:pPr>
            <w:r w:rsidRPr="00F04A75">
              <w:rPr>
                <w:rFonts w:ascii="Arial Narrow" w:hAnsi="Arial Narrow" w:cstheme="minorHAnsi"/>
                <w:b/>
                <w:color w:val="000000"/>
                <w:sz w:val="20"/>
                <w:szCs w:val="20"/>
                <w:lang w:val="en-AU"/>
              </w:rPr>
              <w:t>Base case</w:t>
            </w:r>
          </w:p>
        </w:tc>
        <w:tc>
          <w:tcPr>
            <w:tcW w:w="1777" w:type="pct"/>
            <w:shd w:val="clear" w:color="auto" w:fill="auto"/>
            <w:vAlign w:val="center"/>
          </w:tcPr>
          <w:p w14:paraId="1CED1AC6" w14:textId="77777777" w:rsidR="007730A6" w:rsidRPr="00F04A75" w:rsidRDefault="007730A6" w:rsidP="00B26A7F">
            <w:pPr>
              <w:keepNext/>
              <w:keepLines/>
              <w:jc w:val="left"/>
              <w:rPr>
                <w:rFonts w:ascii="Arial Narrow" w:hAnsi="Arial Narrow" w:cstheme="minorHAnsi"/>
                <w:b/>
                <w:color w:val="000000"/>
                <w:sz w:val="20"/>
                <w:szCs w:val="20"/>
                <w:lang w:val="en-AU"/>
              </w:rPr>
            </w:pPr>
            <w:r w:rsidRPr="00F04A75">
              <w:rPr>
                <w:rFonts w:ascii="Arial Narrow" w:hAnsi="Arial Narrow" w:cstheme="minorHAnsi"/>
                <w:b/>
                <w:color w:val="000000"/>
                <w:sz w:val="20"/>
                <w:szCs w:val="20"/>
                <w:lang w:val="en-AU"/>
              </w:rPr>
              <w:t>Source</w:t>
            </w:r>
          </w:p>
        </w:tc>
      </w:tr>
      <w:tr w:rsidR="007730A6" w:rsidRPr="00F04A75" w14:paraId="1FA90DFD" w14:textId="77777777" w:rsidTr="00E150A6">
        <w:trPr>
          <w:trHeight w:val="141"/>
        </w:trPr>
        <w:tc>
          <w:tcPr>
            <w:tcW w:w="2357" w:type="pct"/>
            <w:shd w:val="clear" w:color="auto" w:fill="auto"/>
            <w:vAlign w:val="center"/>
          </w:tcPr>
          <w:p w14:paraId="6F5A6D65" w14:textId="77777777" w:rsidR="007730A6" w:rsidRPr="00F04A75" w:rsidRDefault="007730A6" w:rsidP="00B26A7F">
            <w:pPr>
              <w:keepNext/>
              <w:keepLines/>
              <w:jc w:val="left"/>
              <w:rPr>
                <w:rFonts w:ascii="Arial Narrow" w:hAnsi="Arial Narrow" w:cstheme="minorHAnsi"/>
                <w:color w:val="000000"/>
                <w:sz w:val="20"/>
                <w:szCs w:val="20"/>
                <w:lang w:val="en-AU"/>
              </w:rPr>
            </w:pPr>
            <w:r w:rsidRPr="00F04A75">
              <w:rPr>
                <w:rFonts w:ascii="Arial Narrow" w:hAnsi="Arial Narrow" w:cstheme="minorHAnsi"/>
                <w:color w:val="000000"/>
                <w:sz w:val="20"/>
                <w:szCs w:val="20"/>
                <w:lang w:val="en-AU"/>
              </w:rPr>
              <w:t>Proportion of Cd patients using the weekly regimen</w:t>
            </w:r>
          </w:p>
        </w:tc>
        <w:tc>
          <w:tcPr>
            <w:tcW w:w="866" w:type="pct"/>
            <w:shd w:val="clear" w:color="auto" w:fill="auto"/>
            <w:vAlign w:val="center"/>
          </w:tcPr>
          <w:p w14:paraId="7B23AA82" w14:textId="77777777" w:rsidR="007730A6" w:rsidRPr="00F04A75" w:rsidRDefault="007730A6" w:rsidP="00A91E4E">
            <w:pPr>
              <w:keepNext/>
              <w:keepLines/>
              <w:tabs>
                <w:tab w:val="decimal" w:pos="162"/>
              </w:tabs>
              <w:jc w:val="center"/>
              <w:rPr>
                <w:rFonts w:ascii="Arial Narrow" w:hAnsi="Arial Narrow" w:cstheme="minorHAnsi"/>
                <w:color w:val="000000"/>
                <w:sz w:val="20"/>
                <w:szCs w:val="20"/>
                <w:lang w:val="en-AU"/>
              </w:rPr>
            </w:pPr>
            <w:r w:rsidRPr="00F04A75">
              <w:rPr>
                <w:rFonts w:ascii="Arial Narrow" w:hAnsi="Arial Narrow" w:cstheme="minorHAnsi"/>
                <w:color w:val="000000"/>
                <w:sz w:val="20"/>
                <w:szCs w:val="20"/>
                <w:lang w:val="en-AU"/>
              </w:rPr>
              <w:t>0.55</w:t>
            </w:r>
          </w:p>
        </w:tc>
        <w:tc>
          <w:tcPr>
            <w:tcW w:w="1777" w:type="pct"/>
            <w:shd w:val="clear" w:color="auto" w:fill="auto"/>
            <w:vAlign w:val="center"/>
          </w:tcPr>
          <w:p w14:paraId="22512FF2" w14:textId="77777777" w:rsidR="007730A6" w:rsidRPr="00F04A75" w:rsidRDefault="007730A6" w:rsidP="00B26A7F">
            <w:pPr>
              <w:keepNext/>
              <w:keepLines/>
              <w:jc w:val="left"/>
              <w:rPr>
                <w:rFonts w:ascii="Arial Narrow" w:hAnsi="Arial Narrow" w:cstheme="minorHAnsi"/>
                <w:color w:val="000000"/>
                <w:sz w:val="20"/>
                <w:szCs w:val="20"/>
                <w:lang w:val="en-AU"/>
              </w:rPr>
            </w:pPr>
            <w:r w:rsidRPr="00F04A75">
              <w:rPr>
                <w:rFonts w:ascii="Arial Narrow" w:hAnsi="Arial Narrow" w:cstheme="minorHAnsi"/>
                <w:color w:val="000000"/>
                <w:sz w:val="20"/>
                <w:szCs w:val="20"/>
                <w:lang w:val="en-AU"/>
              </w:rPr>
              <w:t>PBS data July and August 2021</w:t>
            </w:r>
          </w:p>
        </w:tc>
      </w:tr>
      <w:tr w:rsidR="007730A6" w:rsidRPr="00F04A75" w14:paraId="2AF42BBF" w14:textId="77777777" w:rsidTr="00E150A6">
        <w:trPr>
          <w:trHeight w:val="141"/>
        </w:trPr>
        <w:tc>
          <w:tcPr>
            <w:tcW w:w="2357" w:type="pct"/>
            <w:shd w:val="clear" w:color="auto" w:fill="auto"/>
            <w:vAlign w:val="center"/>
          </w:tcPr>
          <w:p w14:paraId="338A69CB" w14:textId="77777777" w:rsidR="007730A6" w:rsidRPr="00F04A75" w:rsidRDefault="007730A6" w:rsidP="00B26A7F">
            <w:pPr>
              <w:keepNext/>
              <w:keepLines/>
              <w:jc w:val="left"/>
              <w:rPr>
                <w:rFonts w:ascii="Arial Narrow" w:hAnsi="Arial Narrow" w:cstheme="minorHAnsi"/>
                <w:color w:val="000000"/>
                <w:sz w:val="20"/>
                <w:szCs w:val="20"/>
                <w:lang w:val="en-AU"/>
              </w:rPr>
            </w:pPr>
            <w:r w:rsidRPr="00F04A75">
              <w:rPr>
                <w:rFonts w:ascii="Arial Narrow" w:hAnsi="Arial Narrow" w:cstheme="minorHAnsi"/>
                <w:color w:val="000000"/>
                <w:sz w:val="20"/>
                <w:szCs w:val="20"/>
                <w:lang w:val="en-AU"/>
              </w:rPr>
              <w:t>Known or assumed rebates for:</w:t>
            </w:r>
          </w:p>
          <w:p w14:paraId="60096424" w14:textId="77777777" w:rsidR="007730A6" w:rsidRPr="00F04A75" w:rsidRDefault="007730A6" w:rsidP="00B26A7F">
            <w:pPr>
              <w:keepNext/>
              <w:keepLines/>
              <w:widowControl w:val="0"/>
              <w:jc w:val="left"/>
              <w:rPr>
                <w:rFonts w:ascii="Arial Narrow" w:hAnsi="Arial Narrow" w:cstheme="minorHAnsi"/>
                <w:color w:val="000000"/>
                <w:sz w:val="20"/>
                <w:szCs w:val="20"/>
                <w:lang w:val="en-AU"/>
              </w:rPr>
            </w:pPr>
            <w:r w:rsidRPr="00F04A75">
              <w:rPr>
                <w:rFonts w:ascii="Arial Narrow" w:hAnsi="Arial Narrow" w:cstheme="minorHAnsi"/>
                <w:color w:val="000000"/>
                <w:sz w:val="20"/>
                <w:szCs w:val="20"/>
                <w:lang w:val="en-AU"/>
              </w:rPr>
              <w:t>Carfilzomib in Cd (twice weekly)</w:t>
            </w:r>
          </w:p>
          <w:p w14:paraId="63539949" w14:textId="77777777" w:rsidR="007730A6" w:rsidRPr="00F04A75" w:rsidRDefault="007730A6" w:rsidP="00B26A7F">
            <w:pPr>
              <w:keepNext/>
              <w:keepLines/>
              <w:widowControl w:val="0"/>
              <w:jc w:val="left"/>
              <w:rPr>
                <w:rFonts w:ascii="Arial Narrow" w:hAnsi="Arial Narrow" w:cstheme="minorHAnsi"/>
                <w:color w:val="000000"/>
                <w:sz w:val="20"/>
                <w:szCs w:val="20"/>
                <w:lang w:val="en-AU"/>
              </w:rPr>
            </w:pPr>
            <w:r w:rsidRPr="00F04A75">
              <w:rPr>
                <w:rFonts w:ascii="Arial Narrow" w:hAnsi="Arial Narrow" w:cstheme="minorHAnsi"/>
                <w:color w:val="000000"/>
                <w:sz w:val="20"/>
                <w:szCs w:val="20"/>
                <w:lang w:val="en-AU"/>
              </w:rPr>
              <w:t>Carfilzomib in Cd (weekly)</w:t>
            </w:r>
          </w:p>
          <w:p w14:paraId="192C680E" w14:textId="77777777" w:rsidR="007730A6" w:rsidRPr="00F04A75" w:rsidRDefault="007730A6" w:rsidP="00B26A7F">
            <w:pPr>
              <w:keepNext/>
              <w:keepLines/>
              <w:jc w:val="left"/>
              <w:rPr>
                <w:rFonts w:ascii="Arial Narrow" w:hAnsi="Arial Narrow" w:cstheme="minorHAnsi"/>
                <w:color w:val="000000"/>
                <w:sz w:val="20"/>
                <w:szCs w:val="20"/>
                <w:lang w:val="en-AU"/>
              </w:rPr>
            </w:pPr>
            <w:r w:rsidRPr="00F04A75">
              <w:rPr>
                <w:rFonts w:ascii="Arial Narrow" w:hAnsi="Arial Narrow" w:cstheme="minorHAnsi"/>
                <w:color w:val="000000"/>
                <w:sz w:val="20"/>
                <w:szCs w:val="20"/>
                <w:lang w:val="en-AU"/>
              </w:rPr>
              <w:t>Lenalidomide</w:t>
            </w:r>
          </w:p>
        </w:tc>
        <w:tc>
          <w:tcPr>
            <w:tcW w:w="866" w:type="pct"/>
            <w:shd w:val="clear" w:color="auto" w:fill="auto"/>
            <w:vAlign w:val="center"/>
          </w:tcPr>
          <w:p w14:paraId="57A08F17" w14:textId="77777777" w:rsidR="007730A6" w:rsidRPr="00F04A75" w:rsidRDefault="007730A6" w:rsidP="00A91E4E">
            <w:pPr>
              <w:keepNext/>
              <w:keepLines/>
              <w:tabs>
                <w:tab w:val="decimal" w:pos="162"/>
              </w:tabs>
              <w:jc w:val="center"/>
              <w:rPr>
                <w:rFonts w:ascii="Arial Narrow" w:hAnsi="Arial Narrow" w:cstheme="minorHAnsi"/>
                <w:color w:val="000000"/>
                <w:sz w:val="20"/>
                <w:szCs w:val="20"/>
                <w:lang w:val="en-AU"/>
              </w:rPr>
            </w:pPr>
          </w:p>
          <w:p w14:paraId="459E536D" w14:textId="006BBCDF" w:rsidR="007730A6" w:rsidRPr="00F04A75" w:rsidRDefault="007730A6" w:rsidP="00A91E4E">
            <w:pPr>
              <w:keepNext/>
              <w:keepLines/>
              <w:tabs>
                <w:tab w:val="decimal" w:pos="162"/>
              </w:tabs>
              <w:jc w:val="center"/>
              <w:rPr>
                <w:rFonts w:ascii="Arial Narrow" w:hAnsi="Arial Narrow" w:cstheme="minorHAnsi"/>
                <w:color w:val="000000"/>
                <w:sz w:val="20"/>
                <w:szCs w:val="20"/>
                <w:lang w:val="en-AU"/>
              </w:rPr>
            </w:pPr>
            <w:r w:rsidRPr="00F04A75">
              <w:rPr>
                <w:rFonts w:ascii="Arial Narrow" w:hAnsi="Arial Narrow" w:cstheme="minorHAnsi"/>
                <w:color w:val="000000"/>
                <w:sz w:val="20"/>
                <w:szCs w:val="20"/>
                <w:lang w:val="en-AU"/>
              </w:rPr>
              <w:t>0.</w:t>
            </w:r>
            <w:r w:rsidR="000960C3" w:rsidRPr="000960C3">
              <w:rPr>
                <w:rFonts w:ascii="Arial Narrow" w:hAnsi="Arial Narrow" w:cstheme="minorHAnsi"/>
                <w:color w:val="000000"/>
                <w:sz w:val="20"/>
                <w:szCs w:val="20"/>
                <w:shd w:val="solid" w:color="000000" w:fill="000000"/>
                <w:lang w:val="en-AU"/>
                <w14:textFill>
                  <w14:solidFill>
                    <w14:srgbClr w14:val="000000">
                      <w14:alpha w14:val="100000"/>
                    </w14:srgbClr>
                  </w14:solidFill>
                </w14:textFill>
              </w:rPr>
              <w:t>|</w:t>
            </w:r>
          </w:p>
          <w:p w14:paraId="65F34FEA" w14:textId="6B160E23" w:rsidR="007730A6" w:rsidRPr="00F04A75" w:rsidRDefault="007730A6" w:rsidP="00A91E4E">
            <w:pPr>
              <w:keepNext/>
              <w:keepLines/>
              <w:tabs>
                <w:tab w:val="decimal" w:pos="162"/>
              </w:tabs>
              <w:jc w:val="center"/>
              <w:rPr>
                <w:rFonts w:ascii="Arial Narrow" w:hAnsi="Arial Narrow" w:cstheme="minorHAnsi"/>
                <w:color w:val="000000"/>
                <w:sz w:val="20"/>
                <w:szCs w:val="20"/>
                <w:lang w:val="en-AU"/>
              </w:rPr>
            </w:pPr>
            <w:r w:rsidRPr="00F04A75">
              <w:rPr>
                <w:rFonts w:ascii="Arial Narrow" w:hAnsi="Arial Narrow" w:cstheme="minorHAnsi"/>
                <w:color w:val="000000"/>
                <w:sz w:val="20"/>
                <w:szCs w:val="20"/>
                <w:lang w:val="en-AU"/>
              </w:rPr>
              <w:t>0.</w:t>
            </w:r>
            <w:r w:rsidR="000960C3" w:rsidRPr="000960C3">
              <w:rPr>
                <w:rFonts w:ascii="Arial Narrow" w:hAnsi="Arial Narrow" w:cstheme="minorHAnsi"/>
                <w:color w:val="000000"/>
                <w:sz w:val="20"/>
                <w:szCs w:val="20"/>
                <w:shd w:val="solid" w:color="000000" w:fill="000000"/>
                <w:lang w:val="en-AU"/>
                <w14:textFill>
                  <w14:solidFill>
                    <w14:srgbClr w14:val="000000">
                      <w14:alpha w14:val="100000"/>
                    </w14:srgbClr>
                  </w14:solidFill>
                </w14:textFill>
              </w:rPr>
              <w:t>|</w:t>
            </w:r>
          </w:p>
          <w:p w14:paraId="424DC39C" w14:textId="336E95E7" w:rsidR="007730A6" w:rsidRPr="00F04A75" w:rsidRDefault="007730A6" w:rsidP="00A91E4E">
            <w:pPr>
              <w:keepNext/>
              <w:keepLines/>
              <w:tabs>
                <w:tab w:val="decimal" w:pos="162"/>
              </w:tabs>
              <w:jc w:val="center"/>
              <w:rPr>
                <w:rFonts w:ascii="Arial Narrow" w:hAnsi="Arial Narrow" w:cstheme="minorHAnsi"/>
                <w:color w:val="000000"/>
                <w:sz w:val="20"/>
                <w:szCs w:val="20"/>
                <w:lang w:val="en-AU"/>
              </w:rPr>
            </w:pPr>
            <w:r w:rsidRPr="00F04A75">
              <w:rPr>
                <w:rFonts w:ascii="Arial Narrow" w:hAnsi="Arial Narrow" w:cstheme="minorHAnsi"/>
                <w:color w:val="000000"/>
                <w:sz w:val="20"/>
                <w:szCs w:val="20"/>
                <w:lang w:val="en-AU"/>
              </w:rPr>
              <w:t>0.</w:t>
            </w:r>
            <w:r w:rsidR="00273B39" w:rsidRPr="009356FD">
              <w:rPr>
                <w:rFonts w:ascii="Arial Narrow" w:hAnsi="Arial Narrow" w:cstheme="minorHAnsi"/>
                <w:color w:val="000000"/>
                <w:sz w:val="20"/>
                <w:szCs w:val="20"/>
                <w:lang w:val="en-AU"/>
              </w:rPr>
              <w:t>55</w:t>
            </w:r>
          </w:p>
        </w:tc>
        <w:tc>
          <w:tcPr>
            <w:tcW w:w="1777" w:type="pct"/>
            <w:shd w:val="clear" w:color="auto" w:fill="auto"/>
            <w:vAlign w:val="center"/>
          </w:tcPr>
          <w:p w14:paraId="3C561E53" w14:textId="77777777" w:rsidR="007730A6" w:rsidRPr="00F04A75" w:rsidRDefault="007730A6" w:rsidP="00B26A7F">
            <w:pPr>
              <w:keepNext/>
              <w:keepLines/>
              <w:jc w:val="left"/>
              <w:rPr>
                <w:rFonts w:ascii="Arial Narrow" w:hAnsi="Arial Narrow" w:cstheme="minorHAnsi"/>
                <w:color w:val="000000"/>
                <w:sz w:val="20"/>
                <w:szCs w:val="20"/>
                <w:lang w:val="en-AU"/>
              </w:rPr>
            </w:pPr>
          </w:p>
          <w:p w14:paraId="4ED62A25" w14:textId="77777777" w:rsidR="007730A6" w:rsidRPr="00F04A75" w:rsidRDefault="007730A6" w:rsidP="00B26A7F">
            <w:pPr>
              <w:keepNext/>
              <w:keepLines/>
              <w:jc w:val="left"/>
              <w:rPr>
                <w:rFonts w:ascii="Arial Narrow" w:hAnsi="Arial Narrow" w:cstheme="minorHAnsi"/>
                <w:color w:val="000000"/>
                <w:sz w:val="20"/>
                <w:szCs w:val="20"/>
                <w:lang w:val="en-AU"/>
              </w:rPr>
            </w:pPr>
            <w:r w:rsidRPr="00F04A75">
              <w:rPr>
                <w:rFonts w:ascii="Arial Narrow" w:hAnsi="Arial Narrow" w:cstheme="minorHAnsi"/>
                <w:color w:val="000000"/>
                <w:sz w:val="20"/>
                <w:szCs w:val="20"/>
                <w:lang w:val="en-AU"/>
              </w:rPr>
              <w:t>Carfilzomib SPA</w:t>
            </w:r>
          </w:p>
          <w:p w14:paraId="091BBF09" w14:textId="77777777" w:rsidR="007730A6" w:rsidRPr="00F04A75" w:rsidRDefault="007730A6" w:rsidP="00B26A7F">
            <w:pPr>
              <w:keepNext/>
              <w:keepLines/>
              <w:jc w:val="left"/>
              <w:rPr>
                <w:rFonts w:ascii="Arial Narrow" w:hAnsi="Arial Narrow" w:cstheme="minorHAnsi"/>
                <w:color w:val="000000"/>
                <w:sz w:val="20"/>
                <w:szCs w:val="20"/>
                <w:lang w:val="en-AU"/>
              </w:rPr>
            </w:pPr>
          </w:p>
          <w:p w14:paraId="087C7DD6" w14:textId="77777777" w:rsidR="007730A6" w:rsidRPr="00F04A75" w:rsidRDefault="007730A6" w:rsidP="00B26A7F">
            <w:pPr>
              <w:keepNext/>
              <w:keepLines/>
              <w:jc w:val="left"/>
              <w:rPr>
                <w:rFonts w:ascii="Arial Narrow" w:hAnsi="Arial Narrow" w:cstheme="minorHAnsi"/>
                <w:color w:val="000000"/>
                <w:sz w:val="20"/>
                <w:szCs w:val="20"/>
                <w:lang w:val="en-AU"/>
              </w:rPr>
            </w:pPr>
            <w:r w:rsidRPr="00F04A75">
              <w:rPr>
                <w:rFonts w:ascii="Arial Narrow" w:hAnsi="Arial Narrow" w:cstheme="minorHAnsi"/>
                <w:color w:val="000000"/>
                <w:sz w:val="20"/>
                <w:szCs w:val="20"/>
                <w:lang w:val="en-AU"/>
              </w:rPr>
              <w:t>Estimated from pricing history</w:t>
            </w:r>
          </w:p>
        </w:tc>
      </w:tr>
      <w:tr w:rsidR="007730A6" w:rsidRPr="00F04A75" w14:paraId="388ACF3E" w14:textId="77777777" w:rsidTr="00E150A6">
        <w:trPr>
          <w:trHeight w:val="141"/>
        </w:trPr>
        <w:tc>
          <w:tcPr>
            <w:tcW w:w="2357" w:type="pct"/>
            <w:shd w:val="clear" w:color="auto" w:fill="auto"/>
            <w:vAlign w:val="center"/>
          </w:tcPr>
          <w:p w14:paraId="743F1048" w14:textId="77777777" w:rsidR="007730A6" w:rsidRPr="00F04A75" w:rsidRDefault="007730A6" w:rsidP="00B26A7F">
            <w:pPr>
              <w:keepNext/>
              <w:keepLines/>
              <w:jc w:val="left"/>
              <w:rPr>
                <w:rFonts w:ascii="Arial Narrow" w:hAnsi="Arial Narrow" w:cstheme="minorHAnsi"/>
                <w:color w:val="000000"/>
                <w:sz w:val="20"/>
                <w:szCs w:val="20"/>
                <w:lang w:val="en-AU"/>
              </w:rPr>
            </w:pPr>
            <w:r w:rsidRPr="00F04A75">
              <w:rPr>
                <w:rFonts w:ascii="Arial Narrow" w:hAnsi="Arial Narrow" w:cstheme="minorHAnsi"/>
                <w:color w:val="000000"/>
                <w:sz w:val="20"/>
                <w:szCs w:val="20"/>
                <w:lang w:val="en-AU"/>
              </w:rPr>
              <w:t>Mean duration of a course of treatment (28</w:t>
            </w:r>
            <w:r w:rsidRPr="00F04A75">
              <w:rPr>
                <w:rFonts w:ascii="Arial Narrow" w:hAnsi="Arial Narrow" w:cstheme="minorHAnsi"/>
                <w:color w:val="000000"/>
                <w:sz w:val="20"/>
                <w:szCs w:val="20"/>
                <w:lang w:val="en-AU"/>
              </w:rPr>
              <w:noBreakHyphen/>
              <w:t>day cycles)</w:t>
            </w:r>
          </w:p>
        </w:tc>
        <w:tc>
          <w:tcPr>
            <w:tcW w:w="866" w:type="pct"/>
            <w:shd w:val="clear" w:color="auto" w:fill="auto"/>
            <w:vAlign w:val="center"/>
          </w:tcPr>
          <w:p w14:paraId="32608874" w14:textId="77777777" w:rsidR="007730A6" w:rsidRPr="00F04A75" w:rsidRDefault="007730A6" w:rsidP="00A91E4E">
            <w:pPr>
              <w:keepNext/>
              <w:keepLines/>
              <w:tabs>
                <w:tab w:val="decimal" w:pos="162"/>
              </w:tabs>
              <w:jc w:val="center"/>
              <w:rPr>
                <w:rFonts w:ascii="Arial Narrow" w:hAnsi="Arial Narrow" w:cstheme="minorHAnsi"/>
                <w:color w:val="000000"/>
                <w:sz w:val="20"/>
                <w:szCs w:val="20"/>
                <w:lang w:val="en-AU"/>
              </w:rPr>
            </w:pPr>
            <w:r w:rsidRPr="00F04A75">
              <w:rPr>
                <w:rFonts w:ascii="Arial Narrow" w:hAnsi="Arial Narrow" w:cstheme="minorHAnsi"/>
                <w:color w:val="000000"/>
                <w:sz w:val="20"/>
                <w:szCs w:val="20"/>
                <w:lang w:val="en-AU"/>
              </w:rPr>
              <w:t>15 cycles</w:t>
            </w:r>
          </w:p>
        </w:tc>
        <w:tc>
          <w:tcPr>
            <w:tcW w:w="1777" w:type="pct"/>
            <w:shd w:val="clear" w:color="auto" w:fill="auto"/>
            <w:vAlign w:val="center"/>
          </w:tcPr>
          <w:p w14:paraId="3C5F8C01" w14:textId="77777777" w:rsidR="007730A6" w:rsidRPr="00F04A75" w:rsidRDefault="007730A6" w:rsidP="00B26A7F">
            <w:pPr>
              <w:keepNext/>
              <w:keepLines/>
              <w:jc w:val="left"/>
              <w:rPr>
                <w:rFonts w:ascii="Arial Narrow" w:hAnsi="Arial Narrow" w:cstheme="minorHAnsi"/>
                <w:color w:val="000000"/>
                <w:sz w:val="20"/>
                <w:szCs w:val="20"/>
                <w:lang w:val="en-AU"/>
              </w:rPr>
            </w:pPr>
            <w:r w:rsidRPr="00F04A75">
              <w:rPr>
                <w:rFonts w:ascii="Arial Narrow" w:hAnsi="Arial Narrow" w:cstheme="minorHAnsi"/>
                <w:color w:val="000000"/>
                <w:sz w:val="20"/>
                <w:szCs w:val="20"/>
                <w:lang w:val="en-AU"/>
              </w:rPr>
              <w:t>Mean treatment duration in ENDEAVOR</w:t>
            </w:r>
          </w:p>
        </w:tc>
      </w:tr>
      <w:tr w:rsidR="007730A6" w:rsidRPr="00F04A75" w14:paraId="325D8BD2" w14:textId="77777777" w:rsidTr="00E150A6">
        <w:trPr>
          <w:trHeight w:val="141"/>
        </w:trPr>
        <w:tc>
          <w:tcPr>
            <w:tcW w:w="2357" w:type="pct"/>
            <w:shd w:val="clear" w:color="auto" w:fill="auto"/>
            <w:vAlign w:val="center"/>
          </w:tcPr>
          <w:p w14:paraId="403D3EF0" w14:textId="77777777" w:rsidR="007730A6" w:rsidRPr="00F04A75" w:rsidRDefault="007730A6" w:rsidP="00B26A7F">
            <w:pPr>
              <w:keepNext/>
              <w:jc w:val="left"/>
              <w:rPr>
                <w:rFonts w:ascii="Arial Narrow" w:hAnsi="Arial Narrow" w:cstheme="minorHAnsi"/>
                <w:color w:val="000000"/>
                <w:sz w:val="20"/>
                <w:szCs w:val="20"/>
                <w:lang w:val="en-AU"/>
              </w:rPr>
            </w:pPr>
            <w:r w:rsidRPr="00F04A75">
              <w:rPr>
                <w:rFonts w:ascii="Arial Narrow" w:hAnsi="Arial Narrow" w:cstheme="minorHAnsi"/>
                <w:color w:val="000000"/>
                <w:sz w:val="20"/>
                <w:szCs w:val="20"/>
                <w:lang w:val="en-AU"/>
              </w:rPr>
              <w:t>Cd regimen twice weekly, 28</w:t>
            </w:r>
            <w:r w:rsidRPr="00F04A75">
              <w:rPr>
                <w:rFonts w:ascii="Arial Narrow" w:hAnsi="Arial Narrow" w:cstheme="minorHAnsi"/>
                <w:color w:val="000000"/>
                <w:sz w:val="20"/>
                <w:szCs w:val="20"/>
                <w:lang w:val="en-AU"/>
              </w:rPr>
              <w:noBreakHyphen/>
              <w:t>day cycles</w:t>
            </w:r>
          </w:p>
          <w:p w14:paraId="08A4469F" w14:textId="4398FECD" w:rsidR="007730A6" w:rsidRPr="00F04A75" w:rsidRDefault="007730A6" w:rsidP="00B26A7F">
            <w:pPr>
              <w:keepNext/>
              <w:jc w:val="left"/>
              <w:rPr>
                <w:rFonts w:ascii="Arial Narrow" w:hAnsi="Arial Narrow" w:cstheme="minorHAnsi"/>
                <w:color w:val="000000"/>
                <w:sz w:val="20"/>
                <w:szCs w:val="20"/>
                <w:lang w:val="en-AU"/>
              </w:rPr>
            </w:pPr>
            <w:r w:rsidRPr="00F04A75">
              <w:rPr>
                <w:rFonts w:ascii="Arial Narrow" w:hAnsi="Arial Narrow" w:cstheme="minorHAnsi"/>
                <w:color w:val="000000"/>
                <w:sz w:val="20"/>
                <w:szCs w:val="20"/>
                <w:lang w:val="en-AU"/>
              </w:rPr>
              <w:t>2 infusions at 20 mg/m</w:t>
            </w:r>
            <w:r w:rsidRPr="00F04A75">
              <w:rPr>
                <w:rFonts w:ascii="Arial Narrow" w:hAnsi="Arial Narrow" w:cstheme="minorHAnsi"/>
                <w:color w:val="000000"/>
                <w:sz w:val="20"/>
                <w:szCs w:val="20"/>
                <w:vertAlign w:val="superscript"/>
                <w:lang w:val="en-AU"/>
              </w:rPr>
              <w:t>2</w:t>
            </w:r>
            <w:r w:rsidRPr="00F04A75">
              <w:rPr>
                <w:rFonts w:ascii="Arial Narrow" w:hAnsi="Arial Narrow" w:cstheme="minorHAnsi"/>
                <w:color w:val="000000"/>
                <w:sz w:val="20"/>
                <w:szCs w:val="20"/>
                <w:lang w:val="en-AU"/>
              </w:rPr>
              <w:t xml:space="preserve"> </w:t>
            </w:r>
            <w:r w:rsidR="00D20DF8" w:rsidRPr="00F04A75">
              <w:rPr>
                <w:rFonts w:ascii="Arial Narrow" w:hAnsi="Arial Narrow" w:cstheme="minorHAnsi"/>
                <w:color w:val="000000"/>
                <w:sz w:val="20"/>
                <w:szCs w:val="20"/>
                <w:lang w:val="en-AU"/>
              </w:rPr>
              <w:t>C</w:t>
            </w:r>
            <w:r w:rsidRPr="00F04A75">
              <w:rPr>
                <w:rFonts w:ascii="Arial Narrow" w:hAnsi="Arial Narrow" w:cstheme="minorHAnsi"/>
                <w:color w:val="000000"/>
                <w:sz w:val="20"/>
                <w:szCs w:val="20"/>
                <w:lang w:val="en-AU"/>
              </w:rPr>
              <w:t>ycle 1 only</w:t>
            </w:r>
          </w:p>
          <w:p w14:paraId="2135F58A" w14:textId="77777777" w:rsidR="007730A6" w:rsidRPr="00F04A75" w:rsidRDefault="007730A6" w:rsidP="00B26A7F">
            <w:pPr>
              <w:keepNext/>
              <w:jc w:val="left"/>
              <w:rPr>
                <w:rFonts w:ascii="Arial Narrow" w:hAnsi="Arial Narrow" w:cstheme="minorHAnsi"/>
                <w:color w:val="000000"/>
                <w:sz w:val="20"/>
                <w:szCs w:val="20"/>
                <w:lang w:val="en-AU"/>
              </w:rPr>
            </w:pPr>
            <w:r w:rsidRPr="00F04A75">
              <w:rPr>
                <w:rFonts w:ascii="Arial Narrow" w:hAnsi="Arial Narrow" w:cstheme="minorHAnsi"/>
                <w:color w:val="000000"/>
                <w:sz w:val="20"/>
                <w:szCs w:val="20"/>
                <w:lang w:val="en-AU"/>
              </w:rPr>
              <w:t>88 infusions at 56 mg/m</w:t>
            </w:r>
            <w:r w:rsidRPr="00F04A75">
              <w:rPr>
                <w:rFonts w:ascii="Arial Narrow" w:hAnsi="Arial Narrow" w:cstheme="minorHAnsi"/>
                <w:color w:val="000000"/>
                <w:sz w:val="20"/>
                <w:szCs w:val="20"/>
                <w:vertAlign w:val="superscript"/>
                <w:lang w:val="en-AU"/>
              </w:rPr>
              <w:t>2</w:t>
            </w:r>
          </w:p>
        </w:tc>
        <w:tc>
          <w:tcPr>
            <w:tcW w:w="866" w:type="pct"/>
            <w:shd w:val="clear" w:color="auto" w:fill="auto"/>
            <w:vAlign w:val="center"/>
          </w:tcPr>
          <w:p w14:paraId="2E197651" w14:textId="77777777" w:rsidR="007730A6" w:rsidRPr="00F04A75" w:rsidRDefault="007730A6" w:rsidP="00A91E4E">
            <w:pPr>
              <w:keepNext/>
              <w:keepLines/>
              <w:tabs>
                <w:tab w:val="decimal" w:pos="162"/>
              </w:tabs>
              <w:jc w:val="center"/>
              <w:rPr>
                <w:rFonts w:ascii="Arial Narrow" w:hAnsi="Arial Narrow" w:cstheme="minorHAnsi"/>
                <w:color w:val="000000"/>
                <w:sz w:val="20"/>
                <w:szCs w:val="20"/>
                <w:lang w:val="en-AU"/>
              </w:rPr>
            </w:pPr>
          </w:p>
          <w:p w14:paraId="21DCCA55" w14:textId="77777777" w:rsidR="007730A6" w:rsidRPr="00F04A75" w:rsidRDefault="007730A6" w:rsidP="00A91E4E">
            <w:pPr>
              <w:keepNext/>
              <w:keepLines/>
              <w:tabs>
                <w:tab w:val="decimal" w:pos="162"/>
              </w:tabs>
              <w:jc w:val="center"/>
              <w:rPr>
                <w:rFonts w:ascii="Arial Narrow" w:hAnsi="Arial Narrow" w:cstheme="minorHAnsi"/>
                <w:color w:val="000000"/>
                <w:sz w:val="20"/>
                <w:szCs w:val="20"/>
                <w:lang w:val="en-AU"/>
              </w:rPr>
            </w:pPr>
            <w:r w:rsidRPr="00F04A75">
              <w:rPr>
                <w:rFonts w:ascii="Arial Narrow" w:hAnsi="Arial Narrow" w:cstheme="minorHAnsi"/>
                <w:color w:val="000000"/>
                <w:sz w:val="20"/>
                <w:szCs w:val="20"/>
                <w:lang w:val="en-AU"/>
              </w:rPr>
              <w:t>41.2 mg</w:t>
            </w:r>
          </w:p>
          <w:p w14:paraId="2E4AEE9B" w14:textId="77777777" w:rsidR="007730A6" w:rsidRPr="00F04A75" w:rsidRDefault="007730A6" w:rsidP="00A91E4E">
            <w:pPr>
              <w:keepNext/>
              <w:keepLines/>
              <w:tabs>
                <w:tab w:val="decimal" w:pos="162"/>
              </w:tabs>
              <w:jc w:val="center"/>
              <w:rPr>
                <w:rFonts w:ascii="Arial Narrow" w:hAnsi="Arial Narrow" w:cstheme="minorHAnsi"/>
                <w:color w:val="000000"/>
                <w:sz w:val="20"/>
                <w:szCs w:val="20"/>
                <w:lang w:val="en-AU"/>
              </w:rPr>
            </w:pPr>
            <w:r w:rsidRPr="00F04A75">
              <w:rPr>
                <w:rFonts w:ascii="Arial Narrow" w:hAnsi="Arial Narrow" w:cstheme="minorHAnsi"/>
                <w:color w:val="000000"/>
                <w:sz w:val="20"/>
                <w:szCs w:val="20"/>
                <w:lang w:val="en-AU"/>
              </w:rPr>
              <w:t>102.2 mg</w:t>
            </w:r>
          </w:p>
        </w:tc>
        <w:tc>
          <w:tcPr>
            <w:tcW w:w="1777" w:type="pct"/>
            <w:shd w:val="clear" w:color="auto" w:fill="auto"/>
            <w:vAlign w:val="center"/>
          </w:tcPr>
          <w:p w14:paraId="0BB06DFA" w14:textId="77777777" w:rsidR="007730A6" w:rsidRPr="00F04A75" w:rsidRDefault="007730A6" w:rsidP="00B26A7F">
            <w:pPr>
              <w:keepNext/>
              <w:keepLines/>
              <w:jc w:val="left"/>
              <w:rPr>
                <w:rFonts w:ascii="Arial Narrow" w:hAnsi="Arial Narrow" w:cstheme="minorHAnsi"/>
                <w:color w:val="000000"/>
                <w:sz w:val="20"/>
                <w:szCs w:val="20"/>
                <w:lang w:val="en-AU"/>
              </w:rPr>
            </w:pPr>
          </w:p>
          <w:p w14:paraId="0A77D61B" w14:textId="77777777" w:rsidR="007730A6" w:rsidRPr="00F04A75" w:rsidRDefault="007730A6" w:rsidP="00B26A7F">
            <w:pPr>
              <w:keepNext/>
              <w:keepLines/>
              <w:jc w:val="left"/>
              <w:rPr>
                <w:rFonts w:ascii="Arial Narrow" w:hAnsi="Arial Narrow" w:cstheme="minorHAnsi"/>
                <w:color w:val="000000"/>
                <w:sz w:val="20"/>
                <w:szCs w:val="20"/>
                <w:lang w:val="en-AU"/>
              </w:rPr>
            </w:pPr>
            <w:r w:rsidRPr="00F04A75">
              <w:rPr>
                <w:rFonts w:ascii="Arial Narrow" w:hAnsi="Arial Narrow" w:cstheme="minorHAnsi"/>
                <w:color w:val="000000"/>
                <w:sz w:val="20"/>
                <w:szCs w:val="20"/>
                <w:lang w:val="en-AU"/>
              </w:rPr>
              <w:t>ENDEAVOR IPD; 15 cycles at 6 doses per cycle</w:t>
            </w:r>
          </w:p>
        </w:tc>
      </w:tr>
      <w:tr w:rsidR="007730A6" w:rsidRPr="00F04A75" w14:paraId="0E9BCD8E" w14:textId="77777777" w:rsidTr="00E150A6">
        <w:trPr>
          <w:trHeight w:val="141"/>
        </w:trPr>
        <w:tc>
          <w:tcPr>
            <w:tcW w:w="2357" w:type="pct"/>
            <w:shd w:val="clear" w:color="auto" w:fill="auto"/>
            <w:vAlign w:val="center"/>
          </w:tcPr>
          <w:p w14:paraId="49C9D21A" w14:textId="77777777" w:rsidR="007730A6" w:rsidRPr="00F04A75" w:rsidRDefault="007730A6" w:rsidP="00B26A7F">
            <w:pPr>
              <w:keepNext/>
              <w:jc w:val="left"/>
              <w:rPr>
                <w:rFonts w:ascii="Arial Narrow" w:hAnsi="Arial Narrow" w:cstheme="minorHAnsi"/>
                <w:color w:val="000000"/>
                <w:sz w:val="20"/>
                <w:szCs w:val="20"/>
                <w:lang w:val="en-AU"/>
              </w:rPr>
            </w:pPr>
            <w:r w:rsidRPr="00F04A75">
              <w:rPr>
                <w:rFonts w:ascii="Arial Narrow" w:hAnsi="Arial Narrow" w:cstheme="minorHAnsi"/>
                <w:color w:val="000000"/>
                <w:sz w:val="20"/>
                <w:szCs w:val="20"/>
                <w:lang w:val="en-AU"/>
              </w:rPr>
              <w:t>Cd regimen once weekly, 28</w:t>
            </w:r>
            <w:r w:rsidRPr="00F04A75">
              <w:rPr>
                <w:rFonts w:ascii="Arial Narrow" w:hAnsi="Arial Narrow" w:cstheme="minorHAnsi"/>
                <w:color w:val="000000"/>
                <w:sz w:val="20"/>
                <w:szCs w:val="20"/>
                <w:lang w:val="en-AU"/>
              </w:rPr>
              <w:noBreakHyphen/>
              <w:t>day cycles</w:t>
            </w:r>
          </w:p>
          <w:p w14:paraId="5E8E0EFA" w14:textId="7B8BB7BB" w:rsidR="007730A6" w:rsidRPr="00F04A75" w:rsidRDefault="007730A6" w:rsidP="00B26A7F">
            <w:pPr>
              <w:keepNext/>
              <w:jc w:val="left"/>
              <w:rPr>
                <w:rFonts w:ascii="Arial Narrow" w:hAnsi="Arial Narrow" w:cstheme="minorHAnsi"/>
                <w:color w:val="000000"/>
                <w:sz w:val="20"/>
                <w:szCs w:val="20"/>
                <w:lang w:val="en-AU"/>
              </w:rPr>
            </w:pPr>
            <w:r w:rsidRPr="00F04A75">
              <w:rPr>
                <w:rFonts w:ascii="Arial Narrow" w:hAnsi="Arial Narrow" w:cstheme="minorHAnsi"/>
                <w:color w:val="000000"/>
                <w:sz w:val="20"/>
                <w:szCs w:val="20"/>
                <w:lang w:val="en-AU"/>
              </w:rPr>
              <w:t>1 infusion at 20 mg/m</w:t>
            </w:r>
            <w:r w:rsidRPr="00F04A75">
              <w:rPr>
                <w:rFonts w:ascii="Arial Narrow" w:hAnsi="Arial Narrow" w:cstheme="minorHAnsi"/>
                <w:color w:val="000000"/>
                <w:sz w:val="20"/>
                <w:szCs w:val="20"/>
                <w:vertAlign w:val="superscript"/>
                <w:lang w:val="en-AU"/>
              </w:rPr>
              <w:t>2</w:t>
            </w:r>
            <w:r w:rsidRPr="00F04A75">
              <w:rPr>
                <w:rFonts w:ascii="Arial Narrow" w:hAnsi="Arial Narrow" w:cstheme="minorHAnsi"/>
                <w:color w:val="000000"/>
                <w:sz w:val="20"/>
                <w:szCs w:val="20"/>
                <w:lang w:val="en-AU"/>
              </w:rPr>
              <w:t xml:space="preserve"> </w:t>
            </w:r>
            <w:r w:rsidR="00D20DF8" w:rsidRPr="00F04A75">
              <w:rPr>
                <w:rFonts w:ascii="Arial Narrow" w:hAnsi="Arial Narrow" w:cstheme="minorHAnsi"/>
                <w:color w:val="000000"/>
                <w:sz w:val="20"/>
                <w:szCs w:val="20"/>
                <w:lang w:val="en-AU"/>
              </w:rPr>
              <w:t>C</w:t>
            </w:r>
            <w:r w:rsidRPr="00F04A75">
              <w:rPr>
                <w:rFonts w:ascii="Arial Narrow" w:hAnsi="Arial Narrow" w:cstheme="minorHAnsi"/>
                <w:color w:val="000000"/>
                <w:sz w:val="20"/>
                <w:szCs w:val="20"/>
                <w:lang w:val="en-AU"/>
              </w:rPr>
              <w:t>ycle 1 only</w:t>
            </w:r>
          </w:p>
          <w:p w14:paraId="0AE17D5E" w14:textId="34799E14" w:rsidR="007730A6" w:rsidRPr="00F04A75" w:rsidRDefault="007730A6" w:rsidP="00B26A7F">
            <w:pPr>
              <w:keepNext/>
              <w:jc w:val="left"/>
              <w:rPr>
                <w:rFonts w:ascii="Arial Narrow" w:hAnsi="Arial Narrow" w:cstheme="minorHAnsi"/>
                <w:color w:val="000000"/>
                <w:sz w:val="20"/>
                <w:szCs w:val="20"/>
                <w:lang w:val="en-AU"/>
              </w:rPr>
            </w:pPr>
            <w:r w:rsidRPr="00F04A75">
              <w:rPr>
                <w:rFonts w:ascii="Arial Narrow" w:hAnsi="Arial Narrow" w:cstheme="minorHAnsi"/>
                <w:color w:val="000000"/>
                <w:sz w:val="20"/>
                <w:szCs w:val="20"/>
                <w:lang w:val="en-AU"/>
              </w:rPr>
              <w:t xml:space="preserve">44 infusions at </w:t>
            </w:r>
            <w:r w:rsidR="00646CAE" w:rsidRPr="00F04A75">
              <w:rPr>
                <w:rFonts w:ascii="Arial Narrow" w:hAnsi="Arial Narrow" w:cstheme="minorHAnsi"/>
                <w:color w:val="000000"/>
                <w:sz w:val="20"/>
                <w:szCs w:val="20"/>
                <w:lang w:val="en-AU"/>
              </w:rPr>
              <w:t xml:space="preserve">70 </w:t>
            </w:r>
            <w:r w:rsidRPr="00F04A75">
              <w:rPr>
                <w:rFonts w:ascii="Arial Narrow" w:hAnsi="Arial Narrow" w:cstheme="minorHAnsi"/>
                <w:color w:val="000000"/>
                <w:sz w:val="20"/>
                <w:szCs w:val="20"/>
                <w:lang w:val="en-AU"/>
              </w:rPr>
              <w:t>mg/m</w:t>
            </w:r>
            <w:r w:rsidRPr="00F04A75">
              <w:rPr>
                <w:rFonts w:ascii="Arial Narrow" w:hAnsi="Arial Narrow" w:cstheme="minorHAnsi"/>
                <w:color w:val="000000"/>
                <w:sz w:val="20"/>
                <w:szCs w:val="20"/>
                <w:vertAlign w:val="superscript"/>
                <w:lang w:val="en-AU"/>
              </w:rPr>
              <w:t>2</w:t>
            </w:r>
          </w:p>
        </w:tc>
        <w:tc>
          <w:tcPr>
            <w:tcW w:w="866" w:type="pct"/>
            <w:shd w:val="clear" w:color="auto" w:fill="auto"/>
            <w:vAlign w:val="center"/>
          </w:tcPr>
          <w:p w14:paraId="07932BE2" w14:textId="77777777" w:rsidR="007730A6" w:rsidRPr="00F04A75" w:rsidRDefault="007730A6" w:rsidP="00A91E4E">
            <w:pPr>
              <w:keepNext/>
              <w:keepLines/>
              <w:tabs>
                <w:tab w:val="decimal" w:pos="162"/>
              </w:tabs>
              <w:jc w:val="center"/>
              <w:rPr>
                <w:rFonts w:ascii="Arial Narrow" w:hAnsi="Arial Narrow" w:cstheme="minorHAnsi"/>
                <w:color w:val="000000"/>
                <w:sz w:val="20"/>
                <w:szCs w:val="20"/>
                <w:lang w:val="en-AU"/>
              </w:rPr>
            </w:pPr>
          </w:p>
          <w:p w14:paraId="34074170" w14:textId="77777777" w:rsidR="007730A6" w:rsidRPr="00F04A75" w:rsidRDefault="007730A6" w:rsidP="00A91E4E">
            <w:pPr>
              <w:keepNext/>
              <w:keepLines/>
              <w:tabs>
                <w:tab w:val="decimal" w:pos="162"/>
              </w:tabs>
              <w:jc w:val="center"/>
              <w:rPr>
                <w:rFonts w:ascii="Arial Narrow" w:hAnsi="Arial Narrow" w:cstheme="minorHAnsi"/>
                <w:color w:val="000000"/>
                <w:sz w:val="20"/>
                <w:szCs w:val="20"/>
                <w:lang w:val="en-AU"/>
              </w:rPr>
            </w:pPr>
            <w:r w:rsidRPr="00F04A75">
              <w:rPr>
                <w:rFonts w:ascii="Arial Narrow" w:hAnsi="Arial Narrow" w:cstheme="minorHAnsi"/>
                <w:color w:val="000000"/>
                <w:sz w:val="20"/>
                <w:szCs w:val="20"/>
                <w:lang w:val="en-AU"/>
              </w:rPr>
              <w:t>41.2 mg</w:t>
            </w:r>
          </w:p>
          <w:p w14:paraId="15663258" w14:textId="77777777" w:rsidR="007730A6" w:rsidRPr="00F04A75" w:rsidRDefault="007730A6" w:rsidP="00A91E4E">
            <w:pPr>
              <w:keepNext/>
              <w:keepLines/>
              <w:tabs>
                <w:tab w:val="decimal" w:pos="162"/>
              </w:tabs>
              <w:jc w:val="center"/>
              <w:rPr>
                <w:rFonts w:ascii="Arial Narrow" w:hAnsi="Arial Narrow" w:cstheme="minorHAnsi"/>
                <w:color w:val="000000"/>
                <w:sz w:val="20"/>
                <w:szCs w:val="20"/>
                <w:lang w:val="en-AU"/>
              </w:rPr>
            </w:pPr>
            <w:r w:rsidRPr="00F04A75">
              <w:rPr>
                <w:rFonts w:ascii="Arial Narrow" w:hAnsi="Arial Narrow" w:cstheme="minorHAnsi"/>
                <w:color w:val="000000"/>
                <w:sz w:val="20"/>
                <w:szCs w:val="20"/>
                <w:lang w:val="en-AU"/>
              </w:rPr>
              <w:t>126.4 mg</w:t>
            </w:r>
          </w:p>
        </w:tc>
        <w:tc>
          <w:tcPr>
            <w:tcW w:w="1777" w:type="pct"/>
            <w:shd w:val="clear" w:color="auto" w:fill="auto"/>
            <w:vAlign w:val="center"/>
          </w:tcPr>
          <w:p w14:paraId="0CA6067B" w14:textId="77777777" w:rsidR="007730A6" w:rsidRPr="00F04A75" w:rsidRDefault="007730A6" w:rsidP="00B26A7F">
            <w:pPr>
              <w:keepNext/>
              <w:keepLines/>
              <w:jc w:val="left"/>
              <w:rPr>
                <w:rFonts w:ascii="Arial Narrow" w:hAnsi="Arial Narrow" w:cstheme="minorHAnsi"/>
                <w:color w:val="000000"/>
                <w:sz w:val="20"/>
                <w:szCs w:val="20"/>
                <w:lang w:val="en-AU"/>
              </w:rPr>
            </w:pPr>
          </w:p>
          <w:p w14:paraId="58534C1D" w14:textId="77777777" w:rsidR="007730A6" w:rsidRPr="00F04A75" w:rsidRDefault="007730A6" w:rsidP="00B26A7F">
            <w:pPr>
              <w:keepNext/>
              <w:keepLines/>
              <w:jc w:val="left"/>
              <w:rPr>
                <w:rFonts w:ascii="Arial Narrow" w:hAnsi="Arial Narrow" w:cstheme="minorHAnsi"/>
                <w:color w:val="000000"/>
                <w:sz w:val="20"/>
                <w:szCs w:val="20"/>
                <w:lang w:val="en-AU"/>
              </w:rPr>
            </w:pPr>
            <w:r w:rsidRPr="00F04A75">
              <w:rPr>
                <w:rFonts w:ascii="Arial Narrow" w:hAnsi="Arial Narrow" w:cstheme="minorHAnsi"/>
                <w:color w:val="000000"/>
                <w:sz w:val="20"/>
                <w:szCs w:val="20"/>
                <w:lang w:val="en-AU"/>
              </w:rPr>
              <w:t>ARROW IPD; 15 cycles at 3 doses per cycle</w:t>
            </w:r>
          </w:p>
        </w:tc>
      </w:tr>
      <w:tr w:rsidR="007730A6" w:rsidRPr="00F04A75" w14:paraId="1F02C38C" w14:textId="77777777" w:rsidTr="00E150A6">
        <w:trPr>
          <w:trHeight w:val="141"/>
        </w:trPr>
        <w:tc>
          <w:tcPr>
            <w:tcW w:w="2357" w:type="pct"/>
            <w:shd w:val="clear" w:color="auto" w:fill="auto"/>
            <w:vAlign w:val="center"/>
          </w:tcPr>
          <w:p w14:paraId="0A296BF9" w14:textId="77777777" w:rsidR="007730A6" w:rsidRPr="00F04A75" w:rsidRDefault="007730A6" w:rsidP="00B26A7F">
            <w:pPr>
              <w:keepNext/>
              <w:jc w:val="left"/>
              <w:rPr>
                <w:rFonts w:ascii="Arial Narrow" w:hAnsi="Arial Narrow" w:cstheme="minorHAnsi"/>
                <w:color w:val="000000"/>
                <w:sz w:val="20"/>
                <w:szCs w:val="20"/>
                <w:lang w:val="en-AU"/>
              </w:rPr>
            </w:pPr>
            <w:proofErr w:type="spellStart"/>
            <w:r w:rsidRPr="00F04A75">
              <w:rPr>
                <w:rFonts w:ascii="Arial Narrow" w:hAnsi="Arial Narrow" w:cstheme="minorHAnsi"/>
                <w:color w:val="000000"/>
                <w:sz w:val="20"/>
                <w:szCs w:val="20"/>
                <w:lang w:val="en-AU"/>
              </w:rPr>
              <w:t>CLd</w:t>
            </w:r>
            <w:proofErr w:type="spellEnd"/>
            <w:r w:rsidRPr="00F04A75">
              <w:rPr>
                <w:rFonts w:ascii="Arial Narrow" w:hAnsi="Arial Narrow" w:cstheme="minorHAnsi"/>
                <w:color w:val="000000"/>
                <w:sz w:val="20"/>
                <w:szCs w:val="20"/>
                <w:lang w:val="en-AU"/>
              </w:rPr>
              <w:t xml:space="preserve"> regimen, carfilzomib</w:t>
            </w:r>
          </w:p>
          <w:p w14:paraId="721FE973" w14:textId="19551530" w:rsidR="007730A6" w:rsidRPr="00F04A75" w:rsidRDefault="007730A6" w:rsidP="00B26A7F">
            <w:pPr>
              <w:keepNext/>
              <w:widowControl w:val="0"/>
              <w:jc w:val="left"/>
              <w:rPr>
                <w:rFonts w:ascii="Arial Narrow" w:hAnsi="Arial Narrow" w:cstheme="minorHAnsi"/>
                <w:color w:val="000000"/>
                <w:sz w:val="20"/>
                <w:szCs w:val="20"/>
                <w:lang w:val="en-AU"/>
              </w:rPr>
            </w:pPr>
            <w:r w:rsidRPr="00F04A75">
              <w:rPr>
                <w:rFonts w:ascii="Arial Narrow" w:hAnsi="Arial Narrow" w:cstheme="minorHAnsi"/>
                <w:color w:val="000000"/>
                <w:sz w:val="20"/>
                <w:szCs w:val="20"/>
                <w:lang w:val="en-AU"/>
              </w:rPr>
              <w:t>2 infusions at 20 mg/m</w:t>
            </w:r>
            <w:r w:rsidRPr="00F04A75">
              <w:rPr>
                <w:rFonts w:ascii="Arial Narrow" w:hAnsi="Arial Narrow" w:cstheme="minorHAnsi"/>
                <w:color w:val="000000"/>
                <w:sz w:val="20"/>
                <w:szCs w:val="20"/>
                <w:vertAlign w:val="superscript"/>
                <w:lang w:val="en-AU"/>
              </w:rPr>
              <w:t>2</w:t>
            </w:r>
            <w:r w:rsidRPr="00F04A75">
              <w:rPr>
                <w:rFonts w:ascii="Arial Narrow" w:hAnsi="Arial Narrow" w:cstheme="minorHAnsi"/>
                <w:color w:val="000000"/>
                <w:sz w:val="20"/>
                <w:szCs w:val="20"/>
                <w:lang w:val="en-AU"/>
              </w:rPr>
              <w:t xml:space="preserve"> </w:t>
            </w:r>
            <w:r w:rsidR="00D20DF8" w:rsidRPr="00F04A75">
              <w:rPr>
                <w:rFonts w:ascii="Arial Narrow" w:hAnsi="Arial Narrow" w:cstheme="minorHAnsi"/>
                <w:color w:val="000000"/>
                <w:sz w:val="20"/>
                <w:szCs w:val="20"/>
                <w:lang w:val="en-AU"/>
              </w:rPr>
              <w:t>C</w:t>
            </w:r>
            <w:r w:rsidRPr="00F04A75">
              <w:rPr>
                <w:rFonts w:ascii="Arial Narrow" w:hAnsi="Arial Narrow" w:cstheme="minorHAnsi"/>
                <w:color w:val="000000"/>
                <w:sz w:val="20"/>
                <w:szCs w:val="20"/>
                <w:lang w:val="en-AU"/>
              </w:rPr>
              <w:t>ycle 1 only</w:t>
            </w:r>
          </w:p>
          <w:p w14:paraId="4D4BD13F" w14:textId="4BEAE84B" w:rsidR="007730A6" w:rsidRPr="00F04A75" w:rsidRDefault="007730A6" w:rsidP="00B26A7F">
            <w:pPr>
              <w:keepNext/>
              <w:widowControl w:val="0"/>
              <w:jc w:val="left"/>
              <w:rPr>
                <w:rFonts w:ascii="Arial Narrow" w:hAnsi="Arial Narrow" w:cstheme="minorHAnsi"/>
                <w:color w:val="000000"/>
                <w:sz w:val="20"/>
                <w:szCs w:val="20"/>
                <w:lang w:val="en-AU"/>
              </w:rPr>
            </w:pPr>
            <w:r w:rsidRPr="00F04A75">
              <w:rPr>
                <w:rFonts w:ascii="Arial Narrow" w:hAnsi="Arial Narrow" w:cstheme="minorHAnsi"/>
                <w:color w:val="000000"/>
                <w:sz w:val="20"/>
                <w:szCs w:val="20"/>
                <w:lang w:val="en-AU"/>
              </w:rPr>
              <w:t>70 infusions (after D</w:t>
            </w:r>
            <w:r w:rsidR="00AA7F11" w:rsidRPr="00F04A75">
              <w:rPr>
                <w:rFonts w:ascii="Arial Narrow" w:hAnsi="Arial Narrow" w:cstheme="minorHAnsi"/>
                <w:color w:val="000000"/>
                <w:sz w:val="20"/>
                <w:szCs w:val="20"/>
                <w:lang w:val="en-AU"/>
              </w:rPr>
              <w:t xml:space="preserve">ay </w:t>
            </w:r>
            <w:r w:rsidRPr="00F04A75">
              <w:rPr>
                <w:rFonts w:ascii="Arial Narrow" w:hAnsi="Arial Narrow" w:cstheme="minorHAnsi"/>
                <w:color w:val="000000"/>
                <w:sz w:val="20"/>
                <w:szCs w:val="20"/>
                <w:lang w:val="en-AU"/>
              </w:rPr>
              <w:t>2; 27 mg/m</w:t>
            </w:r>
            <w:r w:rsidRPr="00F04A75">
              <w:rPr>
                <w:rFonts w:ascii="Arial Narrow" w:hAnsi="Arial Narrow" w:cstheme="minorHAnsi"/>
                <w:color w:val="000000"/>
                <w:sz w:val="20"/>
                <w:szCs w:val="20"/>
                <w:vertAlign w:val="superscript"/>
                <w:lang w:val="en-AU"/>
              </w:rPr>
              <w:t>2</w:t>
            </w:r>
            <w:r w:rsidRPr="00F04A75">
              <w:rPr>
                <w:rFonts w:ascii="Arial Narrow" w:hAnsi="Arial Narrow" w:cstheme="minorHAnsi"/>
                <w:color w:val="000000"/>
                <w:sz w:val="20"/>
                <w:szCs w:val="20"/>
                <w:lang w:val="en-AU"/>
              </w:rPr>
              <w:t>; 6/cycle)</w:t>
            </w:r>
          </w:p>
          <w:p w14:paraId="70A72A16" w14:textId="77777777" w:rsidR="007730A6" w:rsidRPr="00F04A75" w:rsidRDefault="007730A6" w:rsidP="00B26A7F">
            <w:pPr>
              <w:keepNext/>
              <w:jc w:val="left"/>
              <w:rPr>
                <w:rFonts w:ascii="Arial Narrow" w:hAnsi="Arial Narrow" w:cstheme="minorHAnsi"/>
                <w:color w:val="000000"/>
                <w:sz w:val="20"/>
                <w:szCs w:val="20"/>
                <w:lang w:val="en-AU"/>
              </w:rPr>
            </w:pPr>
            <w:r w:rsidRPr="00F04A75">
              <w:rPr>
                <w:rFonts w:ascii="Arial Narrow" w:hAnsi="Arial Narrow" w:cstheme="minorHAnsi"/>
                <w:color w:val="000000"/>
                <w:sz w:val="20"/>
                <w:szCs w:val="20"/>
                <w:lang w:val="en-AU"/>
              </w:rPr>
              <w:t>12 infusions (after Cycle 12; 27 mg/m</w:t>
            </w:r>
            <w:r w:rsidRPr="00F04A75">
              <w:rPr>
                <w:rFonts w:ascii="Arial Narrow" w:hAnsi="Arial Narrow" w:cstheme="minorHAnsi"/>
                <w:color w:val="000000"/>
                <w:sz w:val="20"/>
                <w:szCs w:val="20"/>
                <w:vertAlign w:val="superscript"/>
                <w:lang w:val="en-AU"/>
              </w:rPr>
              <w:t>2</w:t>
            </w:r>
            <w:r w:rsidRPr="00F04A75">
              <w:rPr>
                <w:rFonts w:ascii="Arial Narrow" w:hAnsi="Arial Narrow" w:cstheme="minorHAnsi"/>
                <w:color w:val="000000"/>
                <w:sz w:val="20"/>
                <w:szCs w:val="20"/>
                <w:lang w:val="en-AU"/>
              </w:rPr>
              <w:t>; 4/cycle)</w:t>
            </w:r>
          </w:p>
        </w:tc>
        <w:tc>
          <w:tcPr>
            <w:tcW w:w="866" w:type="pct"/>
            <w:shd w:val="clear" w:color="auto" w:fill="auto"/>
            <w:vAlign w:val="center"/>
          </w:tcPr>
          <w:p w14:paraId="580683C7" w14:textId="77777777" w:rsidR="007730A6" w:rsidRPr="00F04A75" w:rsidRDefault="007730A6" w:rsidP="00A91E4E">
            <w:pPr>
              <w:keepNext/>
              <w:keepLines/>
              <w:tabs>
                <w:tab w:val="decimal" w:pos="162"/>
              </w:tabs>
              <w:jc w:val="center"/>
              <w:rPr>
                <w:rFonts w:ascii="Arial Narrow" w:hAnsi="Arial Narrow" w:cstheme="minorHAnsi"/>
                <w:color w:val="000000"/>
                <w:sz w:val="20"/>
                <w:szCs w:val="20"/>
                <w:lang w:val="en-AU"/>
              </w:rPr>
            </w:pPr>
          </w:p>
          <w:p w14:paraId="0CFA57D1" w14:textId="77777777" w:rsidR="007730A6" w:rsidRPr="00F04A75" w:rsidRDefault="007730A6" w:rsidP="00A91E4E">
            <w:pPr>
              <w:keepNext/>
              <w:keepLines/>
              <w:tabs>
                <w:tab w:val="decimal" w:pos="162"/>
              </w:tabs>
              <w:jc w:val="center"/>
              <w:rPr>
                <w:rFonts w:ascii="Arial Narrow" w:hAnsi="Arial Narrow" w:cstheme="minorHAnsi"/>
                <w:color w:val="000000"/>
                <w:sz w:val="20"/>
                <w:szCs w:val="20"/>
                <w:lang w:val="en-AU"/>
              </w:rPr>
            </w:pPr>
            <w:r w:rsidRPr="00F04A75">
              <w:rPr>
                <w:rFonts w:ascii="Arial Narrow" w:hAnsi="Arial Narrow" w:cstheme="minorHAnsi"/>
                <w:color w:val="000000"/>
                <w:sz w:val="20"/>
                <w:szCs w:val="20"/>
                <w:lang w:val="en-AU"/>
              </w:rPr>
              <w:t>41.2 mg</w:t>
            </w:r>
          </w:p>
          <w:p w14:paraId="7B079D54" w14:textId="77777777" w:rsidR="007730A6" w:rsidRPr="00F04A75" w:rsidRDefault="007730A6" w:rsidP="00A91E4E">
            <w:pPr>
              <w:keepNext/>
              <w:keepLines/>
              <w:tabs>
                <w:tab w:val="decimal" w:pos="170"/>
              </w:tabs>
              <w:jc w:val="center"/>
              <w:rPr>
                <w:rFonts w:ascii="Arial Narrow" w:hAnsi="Arial Narrow" w:cstheme="minorHAnsi"/>
                <w:color w:val="000000"/>
                <w:sz w:val="20"/>
                <w:szCs w:val="20"/>
                <w:lang w:val="en-AU"/>
              </w:rPr>
            </w:pPr>
            <w:r w:rsidRPr="00F04A75">
              <w:rPr>
                <w:rFonts w:ascii="Arial Narrow" w:hAnsi="Arial Narrow" w:cstheme="minorHAnsi"/>
                <w:color w:val="000000"/>
                <w:sz w:val="20"/>
                <w:szCs w:val="20"/>
                <w:lang w:val="en-AU"/>
              </w:rPr>
              <w:t>53.6 mg</w:t>
            </w:r>
          </w:p>
          <w:p w14:paraId="6E2B8664" w14:textId="77777777" w:rsidR="007730A6" w:rsidRPr="00F04A75" w:rsidRDefault="007730A6" w:rsidP="00A91E4E">
            <w:pPr>
              <w:keepNext/>
              <w:keepLines/>
              <w:tabs>
                <w:tab w:val="decimal" w:pos="162"/>
              </w:tabs>
              <w:jc w:val="center"/>
              <w:rPr>
                <w:rFonts w:ascii="Arial Narrow" w:hAnsi="Arial Narrow" w:cstheme="minorHAnsi"/>
                <w:color w:val="000000"/>
                <w:sz w:val="20"/>
                <w:szCs w:val="20"/>
                <w:lang w:val="en-AU"/>
              </w:rPr>
            </w:pPr>
            <w:r w:rsidRPr="00F04A75">
              <w:rPr>
                <w:rFonts w:ascii="Arial Narrow" w:hAnsi="Arial Narrow" w:cstheme="minorHAnsi"/>
                <w:color w:val="000000"/>
                <w:sz w:val="20"/>
                <w:szCs w:val="20"/>
                <w:lang w:val="en-AU"/>
              </w:rPr>
              <w:t>53.6 mg</w:t>
            </w:r>
          </w:p>
        </w:tc>
        <w:tc>
          <w:tcPr>
            <w:tcW w:w="1777" w:type="pct"/>
            <w:shd w:val="clear" w:color="auto" w:fill="auto"/>
            <w:vAlign w:val="center"/>
          </w:tcPr>
          <w:p w14:paraId="16CF934E" w14:textId="77777777" w:rsidR="007730A6" w:rsidRPr="00F04A75" w:rsidRDefault="007730A6" w:rsidP="00B26A7F">
            <w:pPr>
              <w:keepNext/>
              <w:keepLines/>
              <w:jc w:val="left"/>
              <w:rPr>
                <w:rFonts w:ascii="Arial Narrow" w:hAnsi="Arial Narrow" w:cstheme="minorHAnsi"/>
                <w:color w:val="000000"/>
                <w:sz w:val="20"/>
                <w:szCs w:val="20"/>
                <w:lang w:val="en-AU"/>
              </w:rPr>
            </w:pPr>
          </w:p>
          <w:p w14:paraId="3452DD3F" w14:textId="77777777" w:rsidR="007730A6" w:rsidRPr="00F04A75" w:rsidRDefault="007730A6" w:rsidP="00B26A7F">
            <w:pPr>
              <w:keepNext/>
              <w:keepLines/>
              <w:jc w:val="left"/>
              <w:rPr>
                <w:rFonts w:ascii="Arial Narrow" w:hAnsi="Arial Narrow" w:cstheme="minorHAnsi"/>
                <w:color w:val="000000"/>
                <w:sz w:val="20"/>
                <w:szCs w:val="20"/>
                <w:lang w:val="en-AU"/>
              </w:rPr>
            </w:pPr>
            <w:r w:rsidRPr="00F04A75">
              <w:rPr>
                <w:rFonts w:ascii="Arial Narrow" w:hAnsi="Arial Narrow" w:cstheme="minorHAnsi"/>
                <w:color w:val="000000"/>
                <w:sz w:val="20"/>
                <w:szCs w:val="20"/>
                <w:lang w:val="en-AU"/>
              </w:rPr>
              <w:t>ENDEAVOR</w:t>
            </w:r>
          </w:p>
          <w:p w14:paraId="69FE7F6B" w14:textId="77777777" w:rsidR="007730A6" w:rsidRPr="00F04A75" w:rsidRDefault="007730A6" w:rsidP="00B26A7F">
            <w:pPr>
              <w:keepNext/>
              <w:keepLines/>
              <w:jc w:val="left"/>
              <w:rPr>
                <w:rFonts w:ascii="Arial Narrow" w:hAnsi="Arial Narrow" w:cstheme="minorHAnsi"/>
                <w:color w:val="000000"/>
                <w:sz w:val="20"/>
                <w:szCs w:val="20"/>
                <w:lang w:val="en-AU"/>
              </w:rPr>
            </w:pPr>
            <w:r w:rsidRPr="00F04A75">
              <w:rPr>
                <w:rFonts w:ascii="Arial Narrow" w:hAnsi="Arial Narrow" w:cstheme="minorHAnsi"/>
                <w:color w:val="000000"/>
                <w:sz w:val="20"/>
                <w:szCs w:val="20"/>
                <w:lang w:val="en-AU"/>
              </w:rPr>
              <w:t>ASPIRE</w:t>
            </w:r>
          </w:p>
          <w:p w14:paraId="636B1B4A" w14:textId="77777777" w:rsidR="007730A6" w:rsidRPr="00F04A75" w:rsidRDefault="007730A6" w:rsidP="00B26A7F">
            <w:pPr>
              <w:keepNext/>
              <w:keepLines/>
              <w:jc w:val="left"/>
              <w:rPr>
                <w:rFonts w:ascii="Arial Narrow" w:hAnsi="Arial Narrow" w:cstheme="minorHAnsi"/>
                <w:color w:val="000000"/>
                <w:sz w:val="20"/>
                <w:szCs w:val="20"/>
                <w:lang w:val="en-AU"/>
              </w:rPr>
            </w:pPr>
            <w:r w:rsidRPr="00F04A75">
              <w:rPr>
                <w:rFonts w:ascii="Arial Narrow" w:hAnsi="Arial Narrow" w:cstheme="minorHAnsi"/>
                <w:color w:val="000000"/>
                <w:sz w:val="20"/>
                <w:szCs w:val="20"/>
                <w:lang w:val="en-AU"/>
              </w:rPr>
              <w:t>ASPIRE</w:t>
            </w:r>
          </w:p>
        </w:tc>
      </w:tr>
      <w:tr w:rsidR="007730A6" w:rsidRPr="00F04A75" w14:paraId="5F0D14DC" w14:textId="77777777" w:rsidTr="00E150A6">
        <w:trPr>
          <w:trHeight w:val="141"/>
        </w:trPr>
        <w:tc>
          <w:tcPr>
            <w:tcW w:w="2357" w:type="pct"/>
            <w:shd w:val="clear" w:color="auto" w:fill="auto"/>
            <w:vAlign w:val="center"/>
          </w:tcPr>
          <w:p w14:paraId="48148748" w14:textId="77777777" w:rsidR="007730A6" w:rsidRPr="00F04A75" w:rsidRDefault="007730A6" w:rsidP="00B26A7F">
            <w:pPr>
              <w:keepNext/>
              <w:jc w:val="left"/>
              <w:rPr>
                <w:rFonts w:ascii="Arial Narrow" w:hAnsi="Arial Narrow" w:cstheme="minorHAnsi"/>
                <w:color w:val="000000"/>
                <w:sz w:val="20"/>
                <w:szCs w:val="20"/>
                <w:lang w:val="en-AU"/>
              </w:rPr>
            </w:pPr>
            <w:proofErr w:type="spellStart"/>
            <w:r w:rsidRPr="00F04A75">
              <w:rPr>
                <w:rFonts w:ascii="Arial Narrow" w:hAnsi="Arial Narrow" w:cstheme="minorHAnsi"/>
                <w:color w:val="000000"/>
                <w:sz w:val="20"/>
                <w:szCs w:val="20"/>
                <w:lang w:val="en-AU"/>
              </w:rPr>
              <w:t>CLd</w:t>
            </w:r>
            <w:proofErr w:type="spellEnd"/>
            <w:r w:rsidRPr="00F04A75">
              <w:rPr>
                <w:rFonts w:ascii="Arial Narrow" w:hAnsi="Arial Narrow" w:cstheme="minorHAnsi"/>
                <w:color w:val="000000"/>
                <w:sz w:val="20"/>
                <w:szCs w:val="20"/>
                <w:lang w:val="en-AU"/>
              </w:rPr>
              <w:t xml:space="preserve"> regimen, lenalidomide</w:t>
            </w:r>
          </w:p>
          <w:p w14:paraId="5696C28D" w14:textId="77777777" w:rsidR="007730A6" w:rsidRPr="00F04A75" w:rsidRDefault="007730A6" w:rsidP="00B26A7F">
            <w:pPr>
              <w:keepNext/>
              <w:jc w:val="left"/>
              <w:rPr>
                <w:rFonts w:ascii="Arial Narrow" w:hAnsi="Arial Narrow" w:cstheme="minorHAnsi"/>
                <w:color w:val="000000"/>
                <w:sz w:val="20"/>
                <w:szCs w:val="20"/>
                <w:lang w:val="en-AU"/>
              </w:rPr>
            </w:pPr>
            <w:r w:rsidRPr="00F04A75">
              <w:rPr>
                <w:rFonts w:ascii="Arial Narrow" w:hAnsi="Arial Narrow" w:cstheme="minorHAnsi"/>
                <w:color w:val="000000"/>
                <w:sz w:val="20"/>
                <w:szCs w:val="20"/>
                <w:lang w:val="en-AU"/>
              </w:rPr>
              <w:t xml:space="preserve">28-day cycles of 21 x 25 mg tablets </w:t>
            </w:r>
          </w:p>
          <w:p w14:paraId="70B27C8D" w14:textId="77777777" w:rsidR="007730A6" w:rsidRPr="00F04A75" w:rsidRDefault="007730A6" w:rsidP="00B26A7F">
            <w:pPr>
              <w:keepNext/>
              <w:jc w:val="left"/>
              <w:rPr>
                <w:rFonts w:ascii="Arial Narrow" w:hAnsi="Arial Narrow" w:cstheme="minorHAnsi"/>
                <w:color w:val="000000"/>
                <w:sz w:val="20"/>
                <w:szCs w:val="20"/>
                <w:lang w:val="en-AU"/>
              </w:rPr>
            </w:pPr>
            <w:r w:rsidRPr="00F04A75">
              <w:rPr>
                <w:rFonts w:ascii="Arial Narrow" w:hAnsi="Arial Narrow" w:cstheme="minorHAnsi"/>
                <w:color w:val="000000"/>
                <w:sz w:val="20"/>
                <w:szCs w:val="20"/>
                <w:lang w:val="en-AU"/>
              </w:rPr>
              <w:t>Relative dose intensity</w:t>
            </w:r>
          </w:p>
        </w:tc>
        <w:tc>
          <w:tcPr>
            <w:tcW w:w="866" w:type="pct"/>
            <w:shd w:val="clear" w:color="auto" w:fill="auto"/>
            <w:vAlign w:val="center"/>
          </w:tcPr>
          <w:p w14:paraId="0A612B8E" w14:textId="77777777" w:rsidR="007730A6" w:rsidRPr="00F04A75" w:rsidRDefault="007730A6" w:rsidP="00A91E4E">
            <w:pPr>
              <w:keepNext/>
              <w:keepLines/>
              <w:tabs>
                <w:tab w:val="decimal" w:pos="162"/>
              </w:tabs>
              <w:jc w:val="center"/>
              <w:rPr>
                <w:rFonts w:ascii="Arial Narrow" w:hAnsi="Arial Narrow" w:cstheme="minorHAnsi"/>
                <w:color w:val="000000"/>
                <w:sz w:val="20"/>
                <w:szCs w:val="20"/>
                <w:lang w:val="en-AU"/>
              </w:rPr>
            </w:pPr>
          </w:p>
          <w:p w14:paraId="4CD0A3A7" w14:textId="77777777" w:rsidR="007730A6" w:rsidRPr="00F04A75" w:rsidRDefault="007730A6" w:rsidP="00A91E4E">
            <w:pPr>
              <w:keepNext/>
              <w:keepLines/>
              <w:tabs>
                <w:tab w:val="decimal" w:pos="162"/>
              </w:tabs>
              <w:jc w:val="center"/>
              <w:rPr>
                <w:rFonts w:ascii="Arial Narrow" w:hAnsi="Arial Narrow" w:cstheme="minorHAnsi"/>
                <w:color w:val="000000"/>
                <w:sz w:val="20"/>
                <w:szCs w:val="20"/>
                <w:lang w:val="en-AU"/>
              </w:rPr>
            </w:pPr>
          </w:p>
          <w:p w14:paraId="7B2318ED" w14:textId="77777777" w:rsidR="007730A6" w:rsidRPr="00F04A75" w:rsidRDefault="007730A6" w:rsidP="00A91E4E">
            <w:pPr>
              <w:keepNext/>
              <w:keepLines/>
              <w:tabs>
                <w:tab w:val="decimal" w:pos="162"/>
              </w:tabs>
              <w:jc w:val="center"/>
              <w:rPr>
                <w:rFonts w:ascii="Arial Narrow" w:hAnsi="Arial Narrow" w:cstheme="minorHAnsi"/>
                <w:color w:val="000000"/>
                <w:sz w:val="20"/>
                <w:szCs w:val="20"/>
                <w:lang w:val="en-AU"/>
              </w:rPr>
            </w:pPr>
            <w:r w:rsidRPr="00F04A75">
              <w:rPr>
                <w:rFonts w:ascii="Arial Narrow" w:hAnsi="Arial Narrow" w:cstheme="minorHAnsi"/>
                <w:color w:val="000000"/>
                <w:sz w:val="20"/>
                <w:szCs w:val="20"/>
                <w:lang w:val="en-AU"/>
              </w:rPr>
              <w:t>0.789</w:t>
            </w:r>
          </w:p>
        </w:tc>
        <w:tc>
          <w:tcPr>
            <w:tcW w:w="1777" w:type="pct"/>
            <w:shd w:val="clear" w:color="auto" w:fill="auto"/>
            <w:vAlign w:val="center"/>
          </w:tcPr>
          <w:p w14:paraId="3CF34CC2" w14:textId="77777777" w:rsidR="00D20DF8" w:rsidRPr="00F04A75" w:rsidRDefault="00D20DF8" w:rsidP="00B26A7F">
            <w:pPr>
              <w:keepNext/>
              <w:keepLines/>
              <w:jc w:val="left"/>
              <w:rPr>
                <w:rFonts w:ascii="Arial Narrow" w:hAnsi="Arial Narrow" w:cstheme="minorHAnsi"/>
                <w:color w:val="000000"/>
                <w:sz w:val="20"/>
                <w:szCs w:val="20"/>
                <w:lang w:val="en-AU"/>
              </w:rPr>
            </w:pPr>
          </w:p>
          <w:p w14:paraId="0C804572" w14:textId="3A146F01" w:rsidR="007730A6" w:rsidRPr="00F04A75" w:rsidRDefault="007730A6" w:rsidP="00B26A7F">
            <w:pPr>
              <w:keepNext/>
              <w:keepLines/>
              <w:jc w:val="left"/>
              <w:rPr>
                <w:rFonts w:ascii="Arial Narrow" w:hAnsi="Arial Narrow" w:cstheme="minorHAnsi"/>
                <w:color w:val="000000"/>
                <w:sz w:val="20"/>
                <w:szCs w:val="20"/>
                <w:lang w:val="en-AU"/>
              </w:rPr>
            </w:pPr>
            <w:r w:rsidRPr="00F04A75">
              <w:rPr>
                <w:rFonts w:ascii="Arial Narrow" w:hAnsi="Arial Narrow" w:cstheme="minorHAnsi"/>
                <w:color w:val="000000"/>
                <w:sz w:val="20"/>
                <w:szCs w:val="20"/>
                <w:lang w:val="en-AU"/>
              </w:rPr>
              <w:t>ASPIRE / Product Information</w:t>
            </w:r>
          </w:p>
          <w:p w14:paraId="2FF4D7F1" w14:textId="77777777" w:rsidR="007730A6" w:rsidRPr="00F04A75" w:rsidRDefault="007730A6" w:rsidP="00B26A7F">
            <w:pPr>
              <w:keepNext/>
              <w:keepLines/>
              <w:jc w:val="left"/>
              <w:rPr>
                <w:rFonts w:ascii="Arial Narrow" w:hAnsi="Arial Narrow" w:cstheme="minorHAnsi"/>
                <w:color w:val="000000"/>
                <w:sz w:val="20"/>
                <w:szCs w:val="20"/>
                <w:lang w:val="en-AU"/>
              </w:rPr>
            </w:pPr>
            <w:r w:rsidRPr="00F04A75">
              <w:rPr>
                <w:rFonts w:ascii="Arial Narrow" w:hAnsi="Arial Narrow" w:cstheme="minorHAnsi"/>
                <w:color w:val="000000"/>
                <w:sz w:val="20"/>
                <w:szCs w:val="20"/>
                <w:lang w:val="en-AU"/>
              </w:rPr>
              <w:t xml:space="preserve">ASPIRE </w:t>
            </w:r>
          </w:p>
        </w:tc>
      </w:tr>
      <w:tr w:rsidR="007730A6" w:rsidRPr="00F04A75" w14:paraId="77447B6A" w14:textId="77777777" w:rsidTr="00E150A6">
        <w:trPr>
          <w:trHeight w:val="141"/>
        </w:trPr>
        <w:tc>
          <w:tcPr>
            <w:tcW w:w="2357" w:type="pct"/>
            <w:shd w:val="clear" w:color="auto" w:fill="auto"/>
            <w:vAlign w:val="center"/>
          </w:tcPr>
          <w:p w14:paraId="13E633BC" w14:textId="5CD48EAF" w:rsidR="007730A6" w:rsidRPr="00F04A75" w:rsidRDefault="007730A6" w:rsidP="00B26A7F">
            <w:pPr>
              <w:keepNext/>
              <w:jc w:val="left"/>
              <w:rPr>
                <w:rFonts w:ascii="Arial Narrow" w:hAnsi="Arial Narrow" w:cstheme="minorHAnsi"/>
                <w:color w:val="000000"/>
                <w:sz w:val="20"/>
                <w:szCs w:val="20"/>
                <w:lang w:val="en-AU"/>
              </w:rPr>
            </w:pPr>
            <w:r w:rsidRPr="00F04A75">
              <w:rPr>
                <w:rFonts w:ascii="Arial Narrow" w:hAnsi="Arial Narrow" w:cstheme="minorHAnsi"/>
                <w:color w:val="000000"/>
                <w:sz w:val="20"/>
                <w:szCs w:val="20"/>
                <w:lang w:val="en-AU"/>
              </w:rPr>
              <w:t>Cost for treating Grade ≥</w:t>
            </w:r>
            <w:r w:rsidR="00D20DF8" w:rsidRPr="00F04A75">
              <w:rPr>
                <w:rFonts w:ascii="Arial Narrow" w:hAnsi="Arial Narrow" w:cstheme="minorHAnsi"/>
                <w:color w:val="000000"/>
                <w:sz w:val="20"/>
                <w:szCs w:val="20"/>
                <w:lang w:val="en-AU"/>
              </w:rPr>
              <w:t xml:space="preserve"> </w:t>
            </w:r>
            <w:r w:rsidRPr="00F04A75">
              <w:rPr>
                <w:rFonts w:ascii="Arial Narrow" w:hAnsi="Arial Narrow" w:cstheme="minorHAnsi"/>
                <w:color w:val="000000"/>
                <w:sz w:val="20"/>
                <w:szCs w:val="20"/>
                <w:lang w:val="en-AU"/>
              </w:rPr>
              <w:t>3 neutropenia (</w:t>
            </w:r>
            <w:proofErr w:type="spellStart"/>
            <w:r w:rsidRPr="00F04A75">
              <w:rPr>
                <w:rFonts w:ascii="Arial Narrow" w:hAnsi="Arial Narrow" w:cstheme="minorHAnsi"/>
                <w:color w:val="000000"/>
                <w:sz w:val="20"/>
                <w:szCs w:val="20"/>
                <w:lang w:val="en-AU"/>
              </w:rPr>
              <w:t>CLd</w:t>
            </w:r>
            <w:proofErr w:type="spellEnd"/>
            <w:r w:rsidRPr="00F04A75">
              <w:rPr>
                <w:rFonts w:ascii="Arial Narrow" w:hAnsi="Arial Narrow" w:cstheme="minorHAnsi"/>
                <w:color w:val="000000"/>
                <w:sz w:val="20"/>
                <w:szCs w:val="20"/>
                <w:lang w:val="en-AU"/>
              </w:rPr>
              <w:t>)</w:t>
            </w:r>
          </w:p>
          <w:p w14:paraId="015B77C9" w14:textId="77777777" w:rsidR="007730A6" w:rsidRPr="00F04A75" w:rsidRDefault="007730A6" w:rsidP="00B26A7F">
            <w:pPr>
              <w:keepNext/>
              <w:jc w:val="left"/>
              <w:rPr>
                <w:rFonts w:ascii="Arial Narrow" w:hAnsi="Arial Narrow" w:cstheme="minorHAnsi"/>
                <w:color w:val="000000"/>
                <w:sz w:val="20"/>
                <w:szCs w:val="20"/>
                <w:lang w:val="en-AU"/>
              </w:rPr>
            </w:pPr>
            <w:r w:rsidRPr="00F04A75">
              <w:rPr>
                <w:rFonts w:ascii="Arial Narrow" w:hAnsi="Arial Narrow" w:cstheme="minorHAnsi"/>
                <w:color w:val="000000"/>
                <w:sz w:val="20"/>
                <w:szCs w:val="20"/>
                <w:lang w:val="en-AU"/>
              </w:rPr>
              <w:t xml:space="preserve">Patients </w:t>
            </w:r>
          </w:p>
          <w:p w14:paraId="2D0F0E3F" w14:textId="77777777" w:rsidR="007730A6" w:rsidRPr="00F04A75" w:rsidRDefault="007730A6" w:rsidP="00B26A7F">
            <w:pPr>
              <w:keepNext/>
              <w:jc w:val="left"/>
              <w:rPr>
                <w:rFonts w:ascii="Arial Narrow" w:hAnsi="Arial Narrow" w:cstheme="minorHAnsi"/>
                <w:color w:val="000000"/>
                <w:sz w:val="20"/>
                <w:szCs w:val="20"/>
                <w:lang w:val="en-AU"/>
              </w:rPr>
            </w:pPr>
            <w:r w:rsidRPr="00F04A75">
              <w:rPr>
                <w:rFonts w:ascii="Arial Narrow" w:hAnsi="Arial Narrow" w:cstheme="minorHAnsi"/>
                <w:color w:val="000000"/>
                <w:sz w:val="20"/>
                <w:szCs w:val="20"/>
                <w:lang w:val="en-AU"/>
              </w:rPr>
              <w:t xml:space="preserve">Cycles </w:t>
            </w:r>
          </w:p>
          <w:p w14:paraId="35A25184" w14:textId="2F779E0E" w:rsidR="007730A6" w:rsidRPr="00F04A75" w:rsidRDefault="007730A6" w:rsidP="00B26A7F">
            <w:pPr>
              <w:keepNext/>
              <w:jc w:val="left"/>
              <w:rPr>
                <w:rFonts w:ascii="Arial Narrow" w:hAnsi="Arial Narrow" w:cstheme="minorHAnsi"/>
                <w:color w:val="000000"/>
                <w:sz w:val="20"/>
                <w:szCs w:val="20"/>
                <w:lang w:val="en-AU"/>
              </w:rPr>
            </w:pPr>
            <w:r w:rsidRPr="00F04A75">
              <w:rPr>
                <w:rFonts w:ascii="Arial Narrow" w:hAnsi="Arial Narrow" w:cstheme="minorHAnsi"/>
                <w:color w:val="000000"/>
                <w:sz w:val="20"/>
                <w:szCs w:val="20"/>
                <w:lang w:val="en-AU"/>
              </w:rPr>
              <w:t>Cost per treatment (</w:t>
            </w:r>
            <w:proofErr w:type="spellStart"/>
            <w:r w:rsidR="00B26A7F" w:rsidRPr="00F04A75">
              <w:rPr>
                <w:rFonts w:ascii="Arial Narrow" w:hAnsi="Arial Narrow" w:cstheme="minorHAnsi"/>
                <w:color w:val="000000"/>
                <w:sz w:val="20"/>
                <w:szCs w:val="20"/>
                <w:lang w:val="en-AU"/>
              </w:rPr>
              <w:t>pegfilgrastim</w:t>
            </w:r>
            <w:proofErr w:type="spellEnd"/>
            <w:r w:rsidRPr="00F04A75">
              <w:rPr>
                <w:rFonts w:ascii="Arial Narrow" w:hAnsi="Arial Narrow" w:cstheme="minorHAnsi"/>
                <w:color w:val="000000"/>
                <w:sz w:val="20"/>
                <w:szCs w:val="20"/>
                <w:lang w:val="en-AU"/>
              </w:rPr>
              <w:t>)</w:t>
            </w:r>
          </w:p>
        </w:tc>
        <w:tc>
          <w:tcPr>
            <w:tcW w:w="866" w:type="pct"/>
            <w:shd w:val="clear" w:color="auto" w:fill="auto"/>
            <w:vAlign w:val="center"/>
          </w:tcPr>
          <w:p w14:paraId="2F1E1700" w14:textId="77777777" w:rsidR="007730A6" w:rsidRPr="00F04A75" w:rsidRDefault="007730A6" w:rsidP="00A91E4E">
            <w:pPr>
              <w:keepNext/>
              <w:keepLines/>
              <w:tabs>
                <w:tab w:val="decimal" w:pos="162"/>
              </w:tabs>
              <w:jc w:val="center"/>
              <w:rPr>
                <w:rFonts w:ascii="Arial Narrow" w:hAnsi="Arial Narrow" w:cstheme="minorHAnsi"/>
                <w:color w:val="000000"/>
                <w:sz w:val="20"/>
                <w:szCs w:val="20"/>
                <w:lang w:val="en-AU"/>
              </w:rPr>
            </w:pPr>
          </w:p>
          <w:p w14:paraId="3065154C" w14:textId="77777777" w:rsidR="007730A6" w:rsidRPr="00F04A75" w:rsidRDefault="007730A6" w:rsidP="00A91E4E">
            <w:pPr>
              <w:keepNext/>
              <w:keepLines/>
              <w:tabs>
                <w:tab w:val="decimal" w:pos="162"/>
              </w:tabs>
              <w:jc w:val="center"/>
              <w:rPr>
                <w:rFonts w:ascii="Arial Narrow" w:hAnsi="Arial Narrow" w:cstheme="minorHAnsi"/>
                <w:color w:val="000000"/>
                <w:sz w:val="20"/>
                <w:szCs w:val="20"/>
                <w:lang w:val="en-AU"/>
              </w:rPr>
            </w:pPr>
            <w:r w:rsidRPr="00F04A75">
              <w:rPr>
                <w:rFonts w:ascii="Arial Narrow" w:hAnsi="Arial Narrow" w:cstheme="minorHAnsi"/>
                <w:color w:val="000000"/>
                <w:sz w:val="20"/>
                <w:szCs w:val="20"/>
                <w:lang w:val="en-AU"/>
              </w:rPr>
              <w:t>30%</w:t>
            </w:r>
          </w:p>
          <w:p w14:paraId="30EEC43A" w14:textId="77777777" w:rsidR="007730A6" w:rsidRPr="00F04A75" w:rsidRDefault="007730A6" w:rsidP="00A91E4E">
            <w:pPr>
              <w:keepNext/>
              <w:keepLines/>
              <w:tabs>
                <w:tab w:val="decimal" w:pos="162"/>
              </w:tabs>
              <w:jc w:val="center"/>
              <w:rPr>
                <w:rFonts w:ascii="Arial Narrow" w:hAnsi="Arial Narrow" w:cstheme="minorHAnsi"/>
                <w:color w:val="000000"/>
                <w:sz w:val="20"/>
                <w:szCs w:val="20"/>
                <w:lang w:val="en-AU"/>
              </w:rPr>
            </w:pPr>
            <w:r w:rsidRPr="00F04A75">
              <w:rPr>
                <w:rFonts w:ascii="Arial Narrow" w:hAnsi="Arial Narrow" w:cstheme="minorHAnsi"/>
                <w:color w:val="000000"/>
                <w:sz w:val="20"/>
                <w:szCs w:val="20"/>
                <w:lang w:val="en-AU"/>
              </w:rPr>
              <w:t>15% of 15</w:t>
            </w:r>
          </w:p>
          <w:p w14:paraId="52EAA0B6" w14:textId="77777777" w:rsidR="007730A6" w:rsidRPr="00F04A75" w:rsidRDefault="007730A6" w:rsidP="00A91E4E">
            <w:pPr>
              <w:keepNext/>
              <w:keepLines/>
              <w:tabs>
                <w:tab w:val="decimal" w:pos="162"/>
              </w:tabs>
              <w:jc w:val="center"/>
              <w:rPr>
                <w:rFonts w:ascii="Arial Narrow" w:hAnsi="Arial Narrow" w:cstheme="minorHAnsi"/>
                <w:color w:val="000000"/>
                <w:sz w:val="20"/>
                <w:szCs w:val="20"/>
                <w:lang w:val="en-AU"/>
              </w:rPr>
            </w:pPr>
            <w:r w:rsidRPr="00F04A75">
              <w:rPr>
                <w:rFonts w:ascii="Arial Narrow" w:hAnsi="Arial Narrow" w:cstheme="minorHAnsi"/>
                <w:color w:val="000000"/>
                <w:sz w:val="20"/>
                <w:szCs w:val="20"/>
                <w:lang w:val="en-AU"/>
              </w:rPr>
              <w:t>$346.39</w:t>
            </w:r>
          </w:p>
        </w:tc>
        <w:tc>
          <w:tcPr>
            <w:tcW w:w="1777" w:type="pct"/>
            <w:shd w:val="clear" w:color="auto" w:fill="auto"/>
            <w:vAlign w:val="center"/>
          </w:tcPr>
          <w:p w14:paraId="0E245670" w14:textId="77777777" w:rsidR="007730A6" w:rsidRPr="00F04A75" w:rsidRDefault="007730A6" w:rsidP="00B26A7F">
            <w:pPr>
              <w:keepNext/>
              <w:keepLines/>
              <w:jc w:val="left"/>
              <w:rPr>
                <w:rFonts w:ascii="Arial Narrow" w:hAnsi="Arial Narrow" w:cstheme="minorHAnsi"/>
                <w:color w:val="000000"/>
                <w:sz w:val="20"/>
                <w:szCs w:val="20"/>
                <w:lang w:val="en-AU"/>
              </w:rPr>
            </w:pPr>
          </w:p>
          <w:p w14:paraId="2314C4E1" w14:textId="77777777" w:rsidR="007730A6" w:rsidRPr="00F04A75" w:rsidRDefault="007730A6" w:rsidP="00B26A7F">
            <w:pPr>
              <w:keepNext/>
              <w:keepLines/>
              <w:jc w:val="left"/>
              <w:rPr>
                <w:rFonts w:ascii="Arial Narrow" w:hAnsi="Arial Narrow" w:cstheme="minorHAnsi"/>
                <w:color w:val="000000"/>
                <w:sz w:val="20"/>
                <w:szCs w:val="20"/>
                <w:lang w:val="en-AU"/>
              </w:rPr>
            </w:pPr>
            <w:r w:rsidRPr="00F04A75">
              <w:rPr>
                <w:rFonts w:ascii="Arial Narrow" w:hAnsi="Arial Narrow" w:cstheme="minorHAnsi"/>
                <w:color w:val="000000"/>
                <w:sz w:val="20"/>
                <w:szCs w:val="20"/>
                <w:lang w:val="en-AU"/>
              </w:rPr>
              <w:t>ASPIRE</w:t>
            </w:r>
          </w:p>
          <w:p w14:paraId="6ED1BC6F" w14:textId="77777777" w:rsidR="007730A6" w:rsidRPr="00F04A75" w:rsidRDefault="007730A6" w:rsidP="00B26A7F">
            <w:pPr>
              <w:keepNext/>
              <w:keepLines/>
              <w:jc w:val="left"/>
              <w:rPr>
                <w:rFonts w:ascii="Arial Narrow" w:hAnsi="Arial Narrow" w:cstheme="minorHAnsi"/>
                <w:color w:val="000000"/>
                <w:sz w:val="20"/>
                <w:szCs w:val="20"/>
                <w:lang w:val="en-AU"/>
              </w:rPr>
            </w:pPr>
            <w:r w:rsidRPr="00F04A75">
              <w:rPr>
                <w:rFonts w:ascii="Arial Narrow" w:hAnsi="Arial Narrow" w:cstheme="minorHAnsi"/>
                <w:color w:val="000000"/>
                <w:sz w:val="20"/>
                <w:szCs w:val="20"/>
                <w:lang w:val="en-AU"/>
              </w:rPr>
              <w:t>ASPIRE</w:t>
            </w:r>
          </w:p>
          <w:p w14:paraId="7F36E036" w14:textId="0858A4A9" w:rsidR="007730A6" w:rsidRPr="00F04A75" w:rsidRDefault="007730A6" w:rsidP="00B26A7F">
            <w:pPr>
              <w:keepNext/>
              <w:keepLines/>
              <w:jc w:val="left"/>
              <w:rPr>
                <w:rFonts w:ascii="Arial Narrow" w:hAnsi="Arial Narrow" w:cstheme="minorHAnsi"/>
                <w:color w:val="000000"/>
                <w:sz w:val="20"/>
                <w:szCs w:val="20"/>
                <w:lang w:val="en-AU"/>
              </w:rPr>
            </w:pPr>
            <w:r w:rsidRPr="00F04A75">
              <w:rPr>
                <w:rFonts w:ascii="Arial Narrow" w:hAnsi="Arial Narrow" w:cstheme="minorHAnsi"/>
                <w:color w:val="000000"/>
                <w:sz w:val="20"/>
                <w:szCs w:val="20"/>
                <w:lang w:val="en-AU"/>
              </w:rPr>
              <w:t xml:space="preserve">PBS </w:t>
            </w:r>
            <w:r w:rsidR="00D20DF8" w:rsidRPr="00F04A75">
              <w:rPr>
                <w:rFonts w:ascii="Arial Narrow" w:hAnsi="Arial Narrow" w:cstheme="minorHAnsi"/>
                <w:color w:val="000000"/>
                <w:sz w:val="20"/>
                <w:szCs w:val="20"/>
                <w:lang w:val="en-AU"/>
              </w:rPr>
              <w:t>AEMP</w:t>
            </w:r>
            <w:r w:rsidRPr="00F04A75">
              <w:rPr>
                <w:rFonts w:ascii="Arial Narrow" w:hAnsi="Arial Narrow" w:cstheme="minorHAnsi"/>
                <w:color w:val="000000"/>
                <w:sz w:val="20"/>
                <w:szCs w:val="20"/>
                <w:lang w:val="en-AU"/>
              </w:rPr>
              <w:t xml:space="preserve"> Oct 21</w:t>
            </w:r>
          </w:p>
        </w:tc>
      </w:tr>
      <w:tr w:rsidR="007730A6" w:rsidRPr="00F04A75" w14:paraId="4E6ABAF3" w14:textId="77777777" w:rsidTr="00E150A6">
        <w:trPr>
          <w:trHeight w:val="141"/>
        </w:trPr>
        <w:tc>
          <w:tcPr>
            <w:tcW w:w="2357" w:type="pct"/>
            <w:shd w:val="clear" w:color="auto" w:fill="auto"/>
            <w:vAlign w:val="center"/>
          </w:tcPr>
          <w:p w14:paraId="193F7ED5" w14:textId="77777777" w:rsidR="007730A6" w:rsidRPr="00F04A75" w:rsidRDefault="007730A6" w:rsidP="00B26A7F">
            <w:pPr>
              <w:keepNext/>
              <w:jc w:val="left"/>
              <w:rPr>
                <w:rFonts w:ascii="Arial Narrow" w:hAnsi="Arial Narrow" w:cstheme="minorHAnsi"/>
                <w:color w:val="000000"/>
                <w:sz w:val="20"/>
                <w:szCs w:val="20"/>
                <w:lang w:val="en-AU"/>
              </w:rPr>
            </w:pPr>
            <w:r w:rsidRPr="00F04A75">
              <w:rPr>
                <w:rFonts w:ascii="Arial Narrow" w:hAnsi="Arial Narrow" w:cstheme="minorHAnsi"/>
                <w:color w:val="000000"/>
                <w:sz w:val="20"/>
                <w:szCs w:val="20"/>
                <w:lang w:val="en-AU"/>
              </w:rPr>
              <w:t>Cost per infusion</w:t>
            </w:r>
          </w:p>
        </w:tc>
        <w:tc>
          <w:tcPr>
            <w:tcW w:w="866" w:type="pct"/>
            <w:shd w:val="clear" w:color="auto" w:fill="auto"/>
            <w:vAlign w:val="center"/>
          </w:tcPr>
          <w:p w14:paraId="33F16575" w14:textId="77777777" w:rsidR="007730A6" w:rsidRPr="00F04A75" w:rsidRDefault="007730A6" w:rsidP="00A91E4E">
            <w:pPr>
              <w:keepNext/>
              <w:keepLines/>
              <w:tabs>
                <w:tab w:val="decimal" w:pos="162"/>
              </w:tabs>
              <w:jc w:val="center"/>
              <w:rPr>
                <w:rFonts w:ascii="Arial Narrow" w:hAnsi="Arial Narrow" w:cstheme="minorHAnsi"/>
                <w:color w:val="000000"/>
                <w:sz w:val="20"/>
                <w:szCs w:val="20"/>
                <w:lang w:val="en-AU"/>
              </w:rPr>
            </w:pPr>
            <w:r w:rsidRPr="00F04A75">
              <w:rPr>
                <w:rFonts w:ascii="Arial Narrow" w:hAnsi="Arial Narrow" w:cstheme="minorHAnsi"/>
                <w:color w:val="000000"/>
                <w:sz w:val="20"/>
                <w:szCs w:val="20"/>
                <w:lang w:val="en-AU"/>
              </w:rPr>
              <w:t>$112.40</w:t>
            </w:r>
          </w:p>
        </w:tc>
        <w:tc>
          <w:tcPr>
            <w:tcW w:w="1777" w:type="pct"/>
            <w:shd w:val="clear" w:color="auto" w:fill="auto"/>
            <w:vAlign w:val="center"/>
          </w:tcPr>
          <w:p w14:paraId="4ECDF632" w14:textId="77777777" w:rsidR="007730A6" w:rsidRPr="00F04A75" w:rsidRDefault="007730A6" w:rsidP="00B26A7F">
            <w:pPr>
              <w:keepNext/>
              <w:keepLines/>
              <w:jc w:val="left"/>
              <w:rPr>
                <w:rFonts w:ascii="Arial Narrow" w:hAnsi="Arial Narrow" w:cstheme="minorHAnsi"/>
                <w:color w:val="000000"/>
                <w:sz w:val="20"/>
                <w:szCs w:val="20"/>
                <w:lang w:val="en-AU"/>
              </w:rPr>
            </w:pPr>
            <w:r w:rsidRPr="00F04A75">
              <w:rPr>
                <w:rFonts w:ascii="Arial Narrow" w:hAnsi="Arial Narrow" w:cstheme="minorHAnsi"/>
                <w:color w:val="000000"/>
                <w:sz w:val="20"/>
                <w:szCs w:val="20"/>
                <w:lang w:val="en-AU"/>
              </w:rPr>
              <w:t>MBS item 13950</w:t>
            </w:r>
          </w:p>
        </w:tc>
      </w:tr>
    </w:tbl>
    <w:p w14:paraId="6F92CD7F" w14:textId="15338A07" w:rsidR="00F97782" w:rsidRPr="00F04A75" w:rsidRDefault="00F97782" w:rsidP="0016658B">
      <w:pPr>
        <w:pStyle w:val="Tablenotes1"/>
        <w:spacing w:after="0"/>
        <w:rPr>
          <w:rFonts w:ascii="Arial Narrow" w:hAnsi="Arial Narrow"/>
          <w:sz w:val="18"/>
          <w:szCs w:val="18"/>
        </w:rPr>
      </w:pPr>
      <w:r w:rsidRPr="00F04A75">
        <w:rPr>
          <w:rFonts w:ascii="Arial Narrow" w:hAnsi="Arial Narrow"/>
          <w:sz w:val="18"/>
          <w:szCs w:val="18"/>
        </w:rPr>
        <w:t>Source: Table 3.4.1, pp106 of the resubmission</w:t>
      </w:r>
      <w:r w:rsidRPr="00F04A75">
        <w:rPr>
          <w:rFonts w:ascii="Arial Narrow" w:hAnsi="Arial Narrow"/>
          <w:sz w:val="18"/>
          <w:szCs w:val="18"/>
        </w:rPr>
        <w:br/>
      </w:r>
      <w:r w:rsidR="00D20DF8" w:rsidRPr="00F04A75">
        <w:rPr>
          <w:rFonts w:ascii="Arial Narrow" w:hAnsi="Arial Narrow"/>
          <w:sz w:val="18"/>
          <w:szCs w:val="18"/>
        </w:rPr>
        <w:t xml:space="preserve">AEMP = approved ex-manufacturer price; </w:t>
      </w:r>
      <w:r w:rsidRPr="00F04A75">
        <w:rPr>
          <w:rFonts w:ascii="Arial Narrow" w:hAnsi="Arial Narrow"/>
          <w:sz w:val="18"/>
          <w:szCs w:val="18"/>
        </w:rPr>
        <w:t xml:space="preserve">Cd = carfilzomib </w:t>
      </w:r>
      <w:r w:rsidR="00AA7F11" w:rsidRPr="00F04A75">
        <w:rPr>
          <w:rFonts w:ascii="Arial Narrow" w:hAnsi="Arial Narrow"/>
          <w:sz w:val="18"/>
          <w:szCs w:val="18"/>
        </w:rPr>
        <w:t xml:space="preserve">and </w:t>
      </w:r>
      <w:r w:rsidRPr="00F04A75">
        <w:rPr>
          <w:rFonts w:ascii="Arial Narrow" w:hAnsi="Arial Narrow"/>
          <w:sz w:val="18"/>
          <w:szCs w:val="18"/>
        </w:rPr>
        <w:t xml:space="preserve">dexamethasone; </w:t>
      </w:r>
      <w:proofErr w:type="spellStart"/>
      <w:r w:rsidRPr="00F04A75">
        <w:rPr>
          <w:rFonts w:ascii="Arial Narrow" w:hAnsi="Arial Narrow"/>
          <w:sz w:val="18"/>
          <w:szCs w:val="18"/>
        </w:rPr>
        <w:t>CLd</w:t>
      </w:r>
      <w:proofErr w:type="spellEnd"/>
      <w:r w:rsidRPr="00F04A75">
        <w:rPr>
          <w:rFonts w:ascii="Arial Narrow" w:hAnsi="Arial Narrow"/>
          <w:sz w:val="18"/>
          <w:szCs w:val="18"/>
        </w:rPr>
        <w:t xml:space="preserve"> = carfilzomib</w:t>
      </w:r>
      <w:r w:rsidR="00AA7F11" w:rsidRPr="00F04A75">
        <w:rPr>
          <w:rFonts w:ascii="Arial Narrow" w:hAnsi="Arial Narrow"/>
          <w:sz w:val="18"/>
          <w:szCs w:val="18"/>
        </w:rPr>
        <w:t>,</w:t>
      </w:r>
      <w:r w:rsidRPr="00F04A75">
        <w:rPr>
          <w:rFonts w:ascii="Arial Narrow" w:hAnsi="Arial Narrow"/>
          <w:sz w:val="18"/>
          <w:szCs w:val="18"/>
        </w:rPr>
        <w:t xml:space="preserve"> lenalidomide and dexamethasone; IPD = individual patient data; MBS = Medicare Benefits Schedule; </w:t>
      </w:r>
      <w:r w:rsidR="00777E0A" w:rsidRPr="00F04A75">
        <w:rPr>
          <w:rFonts w:ascii="Arial Narrow" w:hAnsi="Arial Narrow"/>
          <w:sz w:val="18"/>
          <w:szCs w:val="18"/>
        </w:rPr>
        <w:t>PBS</w:t>
      </w:r>
      <w:r w:rsidR="00AA7F11" w:rsidRPr="00F04A75">
        <w:rPr>
          <w:rFonts w:ascii="Arial Narrow" w:hAnsi="Arial Narrow"/>
          <w:sz w:val="18"/>
          <w:szCs w:val="18"/>
        </w:rPr>
        <w:t xml:space="preserve"> </w:t>
      </w:r>
      <w:r w:rsidR="00777E0A" w:rsidRPr="00F04A75">
        <w:rPr>
          <w:rFonts w:ascii="Arial Narrow" w:hAnsi="Arial Narrow"/>
          <w:sz w:val="18"/>
          <w:szCs w:val="18"/>
        </w:rPr>
        <w:t xml:space="preserve">= Pharmaceutical Benefit Scheme; </w:t>
      </w:r>
      <w:r w:rsidRPr="00F04A75">
        <w:rPr>
          <w:rFonts w:ascii="Arial Narrow" w:hAnsi="Arial Narrow"/>
          <w:sz w:val="18"/>
          <w:szCs w:val="18"/>
        </w:rPr>
        <w:t>SPA</w:t>
      </w:r>
      <w:r w:rsidR="00AA7F11" w:rsidRPr="00F04A75">
        <w:rPr>
          <w:rFonts w:ascii="Arial Narrow" w:hAnsi="Arial Narrow"/>
          <w:sz w:val="18"/>
          <w:szCs w:val="18"/>
        </w:rPr>
        <w:t xml:space="preserve"> </w:t>
      </w:r>
      <w:r w:rsidRPr="00F04A75">
        <w:rPr>
          <w:rFonts w:ascii="Arial Narrow" w:hAnsi="Arial Narrow"/>
          <w:sz w:val="18"/>
          <w:szCs w:val="18"/>
        </w:rPr>
        <w:t>=</w:t>
      </w:r>
      <w:r w:rsidR="00AA7F11" w:rsidRPr="00F04A75">
        <w:rPr>
          <w:rFonts w:ascii="Arial Narrow" w:hAnsi="Arial Narrow"/>
          <w:sz w:val="18"/>
          <w:szCs w:val="18"/>
        </w:rPr>
        <w:t xml:space="preserve"> s</w:t>
      </w:r>
      <w:r w:rsidRPr="00F04A75">
        <w:rPr>
          <w:rFonts w:ascii="Arial Narrow" w:hAnsi="Arial Narrow"/>
          <w:sz w:val="18"/>
          <w:szCs w:val="18"/>
        </w:rPr>
        <w:t xml:space="preserve">pecial </w:t>
      </w:r>
      <w:r w:rsidR="00AA7F11" w:rsidRPr="00F04A75">
        <w:rPr>
          <w:rFonts w:ascii="Arial Narrow" w:hAnsi="Arial Narrow"/>
          <w:sz w:val="18"/>
          <w:szCs w:val="18"/>
        </w:rPr>
        <w:t>p</w:t>
      </w:r>
      <w:r w:rsidRPr="00F04A75">
        <w:rPr>
          <w:rFonts w:ascii="Arial Narrow" w:hAnsi="Arial Narrow"/>
          <w:sz w:val="18"/>
          <w:szCs w:val="18"/>
        </w:rPr>
        <w:t xml:space="preserve">ricing </w:t>
      </w:r>
      <w:r w:rsidR="00D20DF8" w:rsidRPr="00F04A75">
        <w:rPr>
          <w:rFonts w:ascii="Arial Narrow" w:hAnsi="Arial Narrow"/>
          <w:sz w:val="18"/>
          <w:szCs w:val="18"/>
        </w:rPr>
        <w:t>arrangement</w:t>
      </w:r>
    </w:p>
    <w:p w14:paraId="6DE27D71" w14:textId="77777777" w:rsidR="00F97782" w:rsidRPr="00F04A75" w:rsidRDefault="00F97782" w:rsidP="0016658B">
      <w:pPr>
        <w:pStyle w:val="TableFigureFooter"/>
        <w:spacing w:after="0"/>
      </w:pPr>
    </w:p>
    <w:p w14:paraId="24F33F14" w14:textId="1399B1CE" w:rsidR="0087219F" w:rsidRPr="00F04A75" w:rsidRDefault="0087219F" w:rsidP="00EB3700">
      <w:pPr>
        <w:pStyle w:val="TableHeading0"/>
        <w:spacing w:after="0"/>
      </w:pPr>
      <w:r w:rsidRPr="00F04A75">
        <w:t xml:space="preserve">Table </w:t>
      </w:r>
      <w:r w:rsidR="00C8791A">
        <w:t>18</w:t>
      </w:r>
      <w:r w:rsidRPr="00F04A75">
        <w:t>: Estimated cost-minimised price of carfilzomib presented in the resubmission</w:t>
      </w:r>
    </w:p>
    <w:tbl>
      <w:tblPr>
        <w:tblStyle w:val="TableGrid"/>
        <w:tblW w:w="9067" w:type="dxa"/>
        <w:tblLook w:val="04A0" w:firstRow="1" w:lastRow="0" w:firstColumn="1" w:lastColumn="0" w:noHBand="0" w:noVBand="1"/>
      </w:tblPr>
      <w:tblGrid>
        <w:gridCol w:w="3853"/>
        <w:gridCol w:w="1245"/>
        <w:gridCol w:w="3969"/>
      </w:tblGrid>
      <w:tr w:rsidR="0087219F" w:rsidRPr="00F04A75" w14:paraId="445326FC" w14:textId="77777777" w:rsidTr="0087219F">
        <w:tc>
          <w:tcPr>
            <w:tcW w:w="3853" w:type="dxa"/>
          </w:tcPr>
          <w:p w14:paraId="22C7B2D1" w14:textId="77777777" w:rsidR="0087219F" w:rsidRPr="00F04A75" w:rsidRDefault="0087219F" w:rsidP="00EB3700">
            <w:pPr>
              <w:pStyle w:val="Tabletext"/>
              <w:keepNext/>
              <w:rPr>
                <w:b/>
                <w:bCs/>
                <w:szCs w:val="20"/>
              </w:rPr>
            </w:pPr>
            <w:r w:rsidRPr="00F04A75">
              <w:rPr>
                <w:b/>
                <w:szCs w:val="20"/>
              </w:rPr>
              <w:t>Parameter</w:t>
            </w:r>
          </w:p>
        </w:tc>
        <w:tc>
          <w:tcPr>
            <w:tcW w:w="1245" w:type="dxa"/>
          </w:tcPr>
          <w:p w14:paraId="6223B984" w14:textId="77777777" w:rsidR="0087219F" w:rsidRPr="00F04A75" w:rsidRDefault="0087219F" w:rsidP="00E150A6">
            <w:pPr>
              <w:pStyle w:val="Tabletext"/>
              <w:keepNext/>
              <w:jc w:val="center"/>
              <w:rPr>
                <w:b/>
                <w:bCs/>
                <w:szCs w:val="20"/>
              </w:rPr>
            </w:pPr>
            <w:r w:rsidRPr="00F04A75">
              <w:rPr>
                <w:b/>
                <w:szCs w:val="20"/>
              </w:rPr>
              <w:t>Inputs</w:t>
            </w:r>
          </w:p>
        </w:tc>
        <w:tc>
          <w:tcPr>
            <w:tcW w:w="3969" w:type="dxa"/>
          </w:tcPr>
          <w:p w14:paraId="0F90E2A2" w14:textId="77777777" w:rsidR="0087219F" w:rsidRPr="00F04A75" w:rsidRDefault="0087219F" w:rsidP="00EB3700">
            <w:pPr>
              <w:pStyle w:val="Tabletext"/>
              <w:keepNext/>
              <w:rPr>
                <w:b/>
                <w:bCs/>
                <w:szCs w:val="20"/>
              </w:rPr>
            </w:pPr>
            <w:r w:rsidRPr="00F04A75">
              <w:rPr>
                <w:b/>
                <w:szCs w:val="20"/>
              </w:rPr>
              <w:t>Source/calculation</w:t>
            </w:r>
          </w:p>
        </w:tc>
      </w:tr>
      <w:tr w:rsidR="0087219F" w:rsidRPr="00F04A75" w14:paraId="5C472E28" w14:textId="77777777" w:rsidTr="0087219F">
        <w:tc>
          <w:tcPr>
            <w:tcW w:w="3853" w:type="dxa"/>
          </w:tcPr>
          <w:p w14:paraId="450B6BFC" w14:textId="77777777" w:rsidR="0087219F" w:rsidRPr="00F04A75" w:rsidRDefault="0087219F" w:rsidP="00EB3700">
            <w:pPr>
              <w:pStyle w:val="Tabletext"/>
              <w:keepNext/>
              <w:rPr>
                <w:szCs w:val="20"/>
              </w:rPr>
            </w:pPr>
            <w:r w:rsidRPr="00F04A75">
              <w:rPr>
                <w:rFonts w:cstheme="minorHAnsi"/>
                <w:szCs w:val="20"/>
              </w:rPr>
              <w:t>Total amount of carfilzomib (Cd twice weekly)</w:t>
            </w:r>
          </w:p>
        </w:tc>
        <w:tc>
          <w:tcPr>
            <w:tcW w:w="1245" w:type="dxa"/>
          </w:tcPr>
          <w:p w14:paraId="623A859A" w14:textId="77777777" w:rsidR="0087219F" w:rsidRPr="00F04A75" w:rsidRDefault="0087219F" w:rsidP="00E150A6">
            <w:pPr>
              <w:keepNext/>
              <w:jc w:val="center"/>
              <w:rPr>
                <w:rFonts w:ascii="Arial Narrow" w:hAnsi="Arial Narrow" w:cs="Calibri"/>
                <w:color w:val="000000"/>
                <w:sz w:val="20"/>
                <w:szCs w:val="20"/>
                <w:lang w:eastAsia="en-US"/>
              </w:rPr>
            </w:pPr>
            <w:r w:rsidRPr="00F04A75">
              <w:rPr>
                <w:rFonts w:ascii="Arial Narrow" w:hAnsi="Arial Narrow" w:cstheme="minorHAnsi"/>
                <w:sz w:val="20"/>
                <w:szCs w:val="20"/>
              </w:rPr>
              <w:t>9,076 mg</w:t>
            </w:r>
          </w:p>
        </w:tc>
        <w:tc>
          <w:tcPr>
            <w:tcW w:w="3969" w:type="dxa"/>
          </w:tcPr>
          <w:p w14:paraId="7A2443BA" w14:textId="77777777" w:rsidR="0087219F" w:rsidRPr="00F04A75" w:rsidRDefault="0087219F" w:rsidP="00EB3700">
            <w:pPr>
              <w:pStyle w:val="Tabletext"/>
              <w:keepNext/>
              <w:rPr>
                <w:szCs w:val="20"/>
              </w:rPr>
            </w:pPr>
            <w:r w:rsidRPr="00F04A75">
              <w:rPr>
                <w:rFonts w:cstheme="minorHAnsi"/>
                <w:szCs w:val="20"/>
              </w:rPr>
              <w:t xml:space="preserve">Sum product of infusions and doses </w:t>
            </w:r>
          </w:p>
        </w:tc>
      </w:tr>
      <w:tr w:rsidR="0087219F" w:rsidRPr="00F04A75" w14:paraId="6F00F0E9" w14:textId="77777777" w:rsidTr="0087219F">
        <w:tc>
          <w:tcPr>
            <w:tcW w:w="3853" w:type="dxa"/>
          </w:tcPr>
          <w:p w14:paraId="31C28A7A" w14:textId="77777777" w:rsidR="0087219F" w:rsidRPr="00F04A75" w:rsidRDefault="0087219F" w:rsidP="00EB3700">
            <w:pPr>
              <w:pStyle w:val="Tabletext"/>
              <w:keepNext/>
              <w:rPr>
                <w:szCs w:val="20"/>
              </w:rPr>
            </w:pPr>
            <w:r w:rsidRPr="00F04A75">
              <w:rPr>
                <w:rFonts w:cstheme="minorHAnsi"/>
                <w:szCs w:val="20"/>
              </w:rPr>
              <w:t>Total amount of carfilzomib (Cd once weekly)</w:t>
            </w:r>
          </w:p>
        </w:tc>
        <w:tc>
          <w:tcPr>
            <w:tcW w:w="1245" w:type="dxa"/>
          </w:tcPr>
          <w:p w14:paraId="0F472AE9" w14:textId="77777777" w:rsidR="0087219F" w:rsidRPr="00F04A75" w:rsidRDefault="0087219F" w:rsidP="00E150A6">
            <w:pPr>
              <w:keepNext/>
              <w:jc w:val="center"/>
              <w:rPr>
                <w:rFonts w:ascii="Arial Narrow" w:hAnsi="Arial Narrow" w:cs="Calibri"/>
                <w:color w:val="000000"/>
                <w:sz w:val="20"/>
                <w:szCs w:val="20"/>
                <w:lang w:eastAsia="en-US"/>
              </w:rPr>
            </w:pPr>
            <w:r w:rsidRPr="00F04A75">
              <w:rPr>
                <w:rFonts w:ascii="Arial Narrow" w:hAnsi="Arial Narrow" w:cstheme="minorHAnsi"/>
                <w:sz w:val="20"/>
                <w:szCs w:val="20"/>
              </w:rPr>
              <w:t>5,603 mg</w:t>
            </w:r>
          </w:p>
        </w:tc>
        <w:tc>
          <w:tcPr>
            <w:tcW w:w="3969" w:type="dxa"/>
          </w:tcPr>
          <w:p w14:paraId="3845F626" w14:textId="77777777" w:rsidR="0087219F" w:rsidRPr="00F04A75" w:rsidRDefault="0087219F" w:rsidP="00EB3700">
            <w:pPr>
              <w:pStyle w:val="Tabletext"/>
              <w:keepNext/>
              <w:rPr>
                <w:szCs w:val="20"/>
              </w:rPr>
            </w:pPr>
            <w:r w:rsidRPr="00F04A75">
              <w:rPr>
                <w:rFonts w:cstheme="minorHAnsi"/>
                <w:szCs w:val="20"/>
              </w:rPr>
              <w:t xml:space="preserve">Sum product of infusions and doses </w:t>
            </w:r>
          </w:p>
        </w:tc>
      </w:tr>
      <w:tr w:rsidR="0087219F" w:rsidRPr="00F04A75" w14:paraId="0E6C763E" w14:textId="77777777" w:rsidTr="0087219F">
        <w:tc>
          <w:tcPr>
            <w:tcW w:w="3853" w:type="dxa"/>
          </w:tcPr>
          <w:p w14:paraId="12270412" w14:textId="77777777" w:rsidR="0087219F" w:rsidRPr="00F04A75" w:rsidRDefault="0087219F" w:rsidP="00EB3700">
            <w:pPr>
              <w:pStyle w:val="Tabletext"/>
              <w:keepNext/>
              <w:rPr>
                <w:szCs w:val="20"/>
              </w:rPr>
            </w:pPr>
            <w:proofErr w:type="spellStart"/>
            <w:r w:rsidRPr="00F04A75">
              <w:rPr>
                <w:rFonts w:cstheme="minorHAnsi"/>
                <w:szCs w:val="20"/>
              </w:rPr>
              <w:t>CLd</w:t>
            </w:r>
            <w:proofErr w:type="spellEnd"/>
            <w:r w:rsidRPr="00F04A75">
              <w:rPr>
                <w:rFonts w:cstheme="minorHAnsi"/>
                <w:szCs w:val="20"/>
              </w:rPr>
              <w:t xml:space="preserve"> regimen, total amount of carfilzomib </w:t>
            </w:r>
          </w:p>
        </w:tc>
        <w:tc>
          <w:tcPr>
            <w:tcW w:w="1245" w:type="dxa"/>
          </w:tcPr>
          <w:p w14:paraId="7DD3EFE4" w14:textId="77777777" w:rsidR="0087219F" w:rsidRPr="00F04A75" w:rsidRDefault="0087219F" w:rsidP="00E150A6">
            <w:pPr>
              <w:keepNext/>
              <w:jc w:val="center"/>
              <w:rPr>
                <w:rFonts w:ascii="Arial Narrow" w:hAnsi="Arial Narrow" w:cs="Calibri"/>
                <w:color w:val="000000"/>
                <w:sz w:val="20"/>
                <w:szCs w:val="20"/>
                <w:lang w:eastAsia="en-US"/>
              </w:rPr>
            </w:pPr>
            <w:r w:rsidRPr="00F04A75">
              <w:rPr>
                <w:rFonts w:ascii="Arial Narrow" w:hAnsi="Arial Narrow" w:cstheme="minorHAnsi"/>
                <w:sz w:val="20"/>
                <w:szCs w:val="20"/>
              </w:rPr>
              <w:t>4,478 mg</w:t>
            </w:r>
          </w:p>
        </w:tc>
        <w:tc>
          <w:tcPr>
            <w:tcW w:w="3969" w:type="dxa"/>
          </w:tcPr>
          <w:p w14:paraId="46A6F75D" w14:textId="77777777" w:rsidR="0087219F" w:rsidRPr="00F04A75" w:rsidRDefault="0087219F" w:rsidP="00EB3700">
            <w:pPr>
              <w:pStyle w:val="Tabletext"/>
              <w:keepNext/>
              <w:rPr>
                <w:szCs w:val="20"/>
              </w:rPr>
            </w:pPr>
            <w:r w:rsidRPr="00F04A75">
              <w:rPr>
                <w:rFonts w:cstheme="minorHAnsi"/>
                <w:szCs w:val="20"/>
              </w:rPr>
              <w:t xml:space="preserve">Sum product of infusions and doses </w:t>
            </w:r>
          </w:p>
        </w:tc>
      </w:tr>
      <w:tr w:rsidR="0087219F" w:rsidRPr="00F04A75" w14:paraId="7BAA4E58" w14:textId="77777777" w:rsidTr="0087219F">
        <w:tc>
          <w:tcPr>
            <w:tcW w:w="3853" w:type="dxa"/>
          </w:tcPr>
          <w:p w14:paraId="7200D8A0" w14:textId="77777777" w:rsidR="0087219F" w:rsidRPr="00F04A75" w:rsidRDefault="0087219F" w:rsidP="00EB3700">
            <w:pPr>
              <w:pStyle w:val="Tabletext"/>
              <w:keepNext/>
              <w:jc w:val="both"/>
              <w:rPr>
                <w:i/>
                <w:iCs/>
                <w:szCs w:val="20"/>
              </w:rPr>
            </w:pPr>
            <w:proofErr w:type="spellStart"/>
            <w:r w:rsidRPr="00F04A75">
              <w:rPr>
                <w:rFonts w:cstheme="minorHAnsi"/>
                <w:szCs w:val="20"/>
              </w:rPr>
              <w:t>CLd</w:t>
            </w:r>
            <w:proofErr w:type="spellEnd"/>
            <w:r w:rsidRPr="00F04A75">
              <w:rPr>
                <w:rFonts w:cstheme="minorHAnsi"/>
                <w:szCs w:val="20"/>
              </w:rPr>
              <w:t xml:space="preserve"> regimen, total amount of lenalidomide</w:t>
            </w:r>
          </w:p>
        </w:tc>
        <w:tc>
          <w:tcPr>
            <w:tcW w:w="1245" w:type="dxa"/>
          </w:tcPr>
          <w:p w14:paraId="2583637E" w14:textId="77777777" w:rsidR="0087219F" w:rsidRPr="00F04A75" w:rsidRDefault="0087219F" w:rsidP="00E150A6">
            <w:pPr>
              <w:pStyle w:val="Tabletext"/>
              <w:keepNext/>
              <w:jc w:val="center"/>
              <w:rPr>
                <w:i/>
                <w:iCs/>
                <w:szCs w:val="20"/>
              </w:rPr>
            </w:pPr>
            <w:r w:rsidRPr="00F04A75">
              <w:rPr>
                <w:rFonts w:cstheme="minorHAnsi"/>
                <w:szCs w:val="20"/>
              </w:rPr>
              <w:t>6,213 mg</w:t>
            </w:r>
          </w:p>
        </w:tc>
        <w:tc>
          <w:tcPr>
            <w:tcW w:w="3969" w:type="dxa"/>
          </w:tcPr>
          <w:p w14:paraId="3C8CABDF" w14:textId="77777777" w:rsidR="0087219F" w:rsidRPr="00F04A75" w:rsidRDefault="0087219F" w:rsidP="00EB3700">
            <w:pPr>
              <w:pStyle w:val="Tabletext"/>
              <w:keepNext/>
              <w:jc w:val="both"/>
              <w:rPr>
                <w:i/>
                <w:iCs/>
                <w:szCs w:val="20"/>
              </w:rPr>
            </w:pPr>
            <w:r w:rsidRPr="00F04A75">
              <w:rPr>
                <w:rFonts w:cstheme="minorHAnsi"/>
                <w:szCs w:val="20"/>
              </w:rPr>
              <w:t>15 x 21 x 25 mg x 0.789</w:t>
            </w:r>
          </w:p>
        </w:tc>
      </w:tr>
      <w:tr w:rsidR="0087219F" w:rsidRPr="00F04A75" w14:paraId="7CD180A9" w14:textId="77777777" w:rsidTr="0087219F">
        <w:tc>
          <w:tcPr>
            <w:tcW w:w="3853" w:type="dxa"/>
          </w:tcPr>
          <w:p w14:paraId="4F8C78FC" w14:textId="026CD61E" w:rsidR="0087219F" w:rsidRPr="00F04A75" w:rsidRDefault="0087219F" w:rsidP="00EB3700">
            <w:pPr>
              <w:pStyle w:val="Tabletext"/>
              <w:keepNext/>
              <w:jc w:val="both"/>
              <w:rPr>
                <w:i/>
                <w:iCs/>
                <w:szCs w:val="20"/>
              </w:rPr>
            </w:pPr>
            <w:r w:rsidRPr="00F04A75">
              <w:rPr>
                <w:rFonts w:cstheme="minorHAnsi"/>
                <w:szCs w:val="20"/>
              </w:rPr>
              <w:t>Cost for treating Grade ≥</w:t>
            </w:r>
            <w:r w:rsidR="00D20DF8" w:rsidRPr="00F04A75">
              <w:rPr>
                <w:rFonts w:cstheme="minorHAnsi"/>
                <w:szCs w:val="20"/>
              </w:rPr>
              <w:t xml:space="preserve"> </w:t>
            </w:r>
            <w:r w:rsidRPr="00F04A75">
              <w:rPr>
                <w:rFonts w:cstheme="minorHAnsi"/>
                <w:szCs w:val="20"/>
              </w:rPr>
              <w:t>3 neutropenia (</w:t>
            </w:r>
            <w:proofErr w:type="spellStart"/>
            <w:r w:rsidRPr="00F04A75">
              <w:rPr>
                <w:rFonts w:cstheme="minorHAnsi"/>
                <w:szCs w:val="20"/>
              </w:rPr>
              <w:t>CLd</w:t>
            </w:r>
            <w:proofErr w:type="spellEnd"/>
            <w:r w:rsidRPr="00F04A75">
              <w:rPr>
                <w:rFonts w:cstheme="minorHAnsi"/>
                <w:szCs w:val="20"/>
              </w:rPr>
              <w:t>)</w:t>
            </w:r>
          </w:p>
        </w:tc>
        <w:tc>
          <w:tcPr>
            <w:tcW w:w="1245" w:type="dxa"/>
          </w:tcPr>
          <w:p w14:paraId="5B0A2E7E" w14:textId="77777777" w:rsidR="0087219F" w:rsidRPr="00F04A75" w:rsidRDefault="0087219F" w:rsidP="00E150A6">
            <w:pPr>
              <w:pStyle w:val="Tabletext"/>
              <w:keepNext/>
              <w:jc w:val="center"/>
              <w:rPr>
                <w:i/>
                <w:iCs/>
                <w:szCs w:val="20"/>
              </w:rPr>
            </w:pPr>
            <w:r w:rsidRPr="00F04A75">
              <w:rPr>
                <w:rFonts w:cstheme="minorHAnsi"/>
                <w:szCs w:val="20"/>
              </w:rPr>
              <w:t>$233.81</w:t>
            </w:r>
          </w:p>
        </w:tc>
        <w:tc>
          <w:tcPr>
            <w:tcW w:w="3969" w:type="dxa"/>
          </w:tcPr>
          <w:p w14:paraId="30A67489" w14:textId="77777777" w:rsidR="0087219F" w:rsidRPr="00F04A75" w:rsidRDefault="0087219F" w:rsidP="00EB3700">
            <w:pPr>
              <w:pStyle w:val="Tabletext"/>
              <w:keepNext/>
              <w:jc w:val="both"/>
              <w:rPr>
                <w:i/>
                <w:iCs/>
                <w:szCs w:val="20"/>
              </w:rPr>
            </w:pPr>
            <w:r w:rsidRPr="00F04A75">
              <w:rPr>
                <w:rFonts w:cstheme="minorHAnsi"/>
                <w:szCs w:val="20"/>
              </w:rPr>
              <w:t>30% x 15% x 15 cycles x $346.39</w:t>
            </w:r>
          </w:p>
        </w:tc>
      </w:tr>
      <w:tr w:rsidR="0087219F" w:rsidRPr="00F04A75" w14:paraId="1C385353" w14:textId="77777777" w:rsidTr="0087219F">
        <w:tc>
          <w:tcPr>
            <w:tcW w:w="3853" w:type="dxa"/>
          </w:tcPr>
          <w:p w14:paraId="0C41CBE2" w14:textId="77777777" w:rsidR="0087219F" w:rsidRPr="00F04A75" w:rsidRDefault="0087219F" w:rsidP="00EB3700">
            <w:pPr>
              <w:pStyle w:val="TableText1"/>
              <w:keepNext/>
              <w:widowControl/>
              <w:spacing w:before="0" w:after="0"/>
              <w:jc w:val="left"/>
              <w:rPr>
                <w:rFonts w:ascii="Arial Narrow" w:hAnsi="Arial Narrow" w:cstheme="minorHAnsi"/>
                <w:sz w:val="20"/>
                <w:szCs w:val="20"/>
              </w:rPr>
            </w:pPr>
            <w:r w:rsidRPr="00F04A75">
              <w:rPr>
                <w:rFonts w:ascii="Arial Narrow" w:hAnsi="Arial Narrow" w:cstheme="minorHAnsi"/>
                <w:sz w:val="20"/>
                <w:szCs w:val="20"/>
              </w:rPr>
              <w:t>Cost for infusions</w:t>
            </w:r>
          </w:p>
          <w:p w14:paraId="53375393" w14:textId="77777777" w:rsidR="0087219F" w:rsidRPr="00F04A75" w:rsidRDefault="0087219F" w:rsidP="00EB3700">
            <w:pPr>
              <w:pStyle w:val="TableText1"/>
              <w:keepNext/>
              <w:widowControl/>
              <w:spacing w:before="0" w:after="0"/>
              <w:jc w:val="left"/>
              <w:rPr>
                <w:rFonts w:ascii="Arial Narrow" w:hAnsi="Arial Narrow" w:cstheme="minorHAnsi"/>
                <w:sz w:val="20"/>
                <w:szCs w:val="20"/>
              </w:rPr>
            </w:pPr>
            <w:r w:rsidRPr="00F04A75">
              <w:rPr>
                <w:rFonts w:ascii="Arial Narrow" w:hAnsi="Arial Narrow" w:cstheme="minorHAnsi"/>
                <w:sz w:val="20"/>
                <w:szCs w:val="20"/>
              </w:rPr>
              <w:t>Cd BIW, 90 infusions</w:t>
            </w:r>
          </w:p>
          <w:p w14:paraId="0C8E0A45" w14:textId="77777777" w:rsidR="0087219F" w:rsidRPr="00F04A75" w:rsidRDefault="0087219F" w:rsidP="00EB3700">
            <w:pPr>
              <w:pStyle w:val="TableText1"/>
              <w:keepNext/>
              <w:widowControl/>
              <w:spacing w:before="0" w:after="0"/>
              <w:jc w:val="left"/>
              <w:rPr>
                <w:rFonts w:ascii="Arial Narrow" w:hAnsi="Arial Narrow" w:cstheme="minorHAnsi"/>
                <w:sz w:val="20"/>
                <w:szCs w:val="20"/>
              </w:rPr>
            </w:pPr>
            <w:r w:rsidRPr="00F04A75">
              <w:rPr>
                <w:rFonts w:ascii="Arial Narrow" w:hAnsi="Arial Narrow" w:cstheme="minorHAnsi"/>
                <w:sz w:val="20"/>
                <w:szCs w:val="20"/>
              </w:rPr>
              <w:t>Cd QW, 45 infusions</w:t>
            </w:r>
          </w:p>
          <w:p w14:paraId="402CA0B4" w14:textId="77777777" w:rsidR="0087219F" w:rsidRPr="00F04A75" w:rsidRDefault="0087219F" w:rsidP="00EB3700">
            <w:pPr>
              <w:pStyle w:val="Tabletext"/>
              <w:keepNext/>
              <w:rPr>
                <w:szCs w:val="20"/>
              </w:rPr>
            </w:pPr>
            <w:proofErr w:type="spellStart"/>
            <w:r w:rsidRPr="00F04A75">
              <w:rPr>
                <w:rFonts w:cstheme="minorHAnsi"/>
                <w:szCs w:val="20"/>
              </w:rPr>
              <w:t>CLd</w:t>
            </w:r>
            <w:proofErr w:type="spellEnd"/>
            <w:r w:rsidRPr="00F04A75">
              <w:rPr>
                <w:rFonts w:cstheme="minorHAnsi"/>
                <w:szCs w:val="20"/>
              </w:rPr>
              <w:t>, 84 infusions</w:t>
            </w:r>
          </w:p>
        </w:tc>
        <w:tc>
          <w:tcPr>
            <w:tcW w:w="1245" w:type="dxa"/>
          </w:tcPr>
          <w:p w14:paraId="0B1DF69B" w14:textId="77777777" w:rsidR="0087219F" w:rsidRPr="00F04A75" w:rsidRDefault="0087219F" w:rsidP="00E150A6">
            <w:pPr>
              <w:pStyle w:val="TableText1"/>
              <w:keepNext/>
              <w:widowControl/>
              <w:tabs>
                <w:tab w:val="decimal" w:pos="162"/>
              </w:tabs>
              <w:spacing w:before="0" w:after="0"/>
              <w:ind w:left="162"/>
              <w:jc w:val="center"/>
              <w:rPr>
                <w:rFonts w:ascii="Arial Narrow" w:hAnsi="Arial Narrow" w:cstheme="minorHAnsi"/>
                <w:sz w:val="20"/>
                <w:szCs w:val="20"/>
              </w:rPr>
            </w:pPr>
          </w:p>
          <w:p w14:paraId="178A4A4A" w14:textId="77777777" w:rsidR="0087219F" w:rsidRPr="00F04A75" w:rsidRDefault="0087219F" w:rsidP="00E150A6">
            <w:pPr>
              <w:pStyle w:val="TableText1"/>
              <w:keepNext/>
              <w:widowControl/>
              <w:tabs>
                <w:tab w:val="decimal" w:pos="162"/>
              </w:tabs>
              <w:spacing w:before="0" w:after="0"/>
              <w:jc w:val="center"/>
              <w:rPr>
                <w:rFonts w:ascii="Arial Narrow" w:hAnsi="Arial Narrow" w:cstheme="minorHAnsi"/>
                <w:sz w:val="20"/>
                <w:szCs w:val="20"/>
              </w:rPr>
            </w:pPr>
            <w:r w:rsidRPr="00F04A75">
              <w:rPr>
                <w:rFonts w:ascii="Arial Narrow" w:hAnsi="Arial Narrow" w:cstheme="minorHAnsi"/>
                <w:sz w:val="20"/>
                <w:szCs w:val="20"/>
              </w:rPr>
              <w:t>$10,116</w:t>
            </w:r>
          </w:p>
          <w:p w14:paraId="2F50B247" w14:textId="77777777" w:rsidR="0087219F" w:rsidRPr="00F04A75" w:rsidRDefault="0087219F" w:rsidP="00E150A6">
            <w:pPr>
              <w:pStyle w:val="TableText1"/>
              <w:keepNext/>
              <w:widowControl/>
              <w:tabs>
                <w:tab w:val="decimal" w:pos="162"/>
              </w:tabs>
              <w:spacing w:before="0" w:after="0"/>
              <w:jc w:val="center"/>
              <w:rPr>
                <w:rFonts w:ascii="Arial Narrow" w:hAnsi="Arial Narrow" w:cstheme="minorHAnsi"/>
                <w:sz w:val="20"/>
                <w:szCs w:val="20"/>
              </w:rPr>
            </w:pPr>
            <w:r w:rsidRPr="00F04A75">
              <w:rPr>
                <w:rFonts w:ascii="Arial Narrow" w:hAnsi="Arial Narrow" w:cstheme="minorHAnsi"/>
                <w:sz w:val="20"/>
                <w:szCs w:val="20"/>
              </w:rPr>
              <w:t>$5,058</w:t>
            </w:r>
          </w:p>
          <w:p w14:paraId="45D42CE0" w14:textId="77777777" w:rsidR="0087219F" w:rsidRPr="00F04A75" w:rsidRDefault="0087219F" w:rsidP="00E150A6">
            <w:pPr>
              <w:pStyle w:val="Tabletext"/>
              <w:keepNext/>
              <w:jc w:val="center"/>
              <w:rPr>
                <w:szCs w:val="20"/>
              </w:rPr>
            </w:pPr>
            <w:r w:rsidRPr="00F04A75">
              <w:rPr>
                <w:rFonts w:cstheme="minorHAnsi"/>
                <w:szCs w:val="20"/>
              </w:rPr>
              <w:t>$9,442</w:t>
            </w:r>
          </w:p>
        </w:tc>
        <w:tc>
          <w:tcPr>
            <w:tcW w:w="3969" w:type="dxa"/>
          </w:tcPr>
          <w:p w14:paraId="77CA7A78" w14:textId="77777777" w:rsidR="0087219F" w:rsidRPr="00F04A75" w:rsidRDefault="0087219F" w:rsidP="00EB3700">
            <w:pPr>
              <w:pStyle w:val="TableText1"/>
              <w:keepNext/>
              <w:widowControl/>
              <w:spacing w:before="0" w:after="0"/>
              <w:jc w:val="left"/>
              <w:rPr>
                <w:rFonts w:ascii="Arial Narrow" w:hAnsi="Arial Narrow" w:cstheme="minorHAnsi"/>
                <w:sz w:val="20"/>
                <w:szCs w:val="20"/>
              </w:rPr>
            </w:pPr>
          </w:p>
          <w:p w14:paraId="2DC9396B" w14:textId="77777777" w:rsidR="0087219F" w:rsidRPr="00F04A75" w:rsidRDefault="0087219F" w:rsidP="00EB3700">
            <w:pPr>
              <w:pStyle w:val="TableText1"/>
              <w:keepNext/>
              <w:widowControl/>
              <w:spacing w:before="0" w:after="0"/>
              <w:jc w:val="left"/>
              <w:rPr>
                <w:rFonts w:ascii="Arial Narrow" w:hAnsi="Arial Narrow" w:cstheme="minorHAnsi"/>
                <w:sz w:val="20"/>
                <w:szCs w:val="20"/>
              </w:rPr>
            </w:pPr>
            <w:r w:rsidRPr="00F04A75">
              <w:rPr>
                <w:rFonts w:ascii="Arial Narrow" w:hAnsi="Arial Narrow" w:cstheme="minorHAnsi"/>
                <w:sz w:val="20"/>
                <w:szCs w:val="20"/>
              </w:rPr>
              <w:t>90 x $112.40</w:t>
            </w:r>
          </w:p>
          <w:p w14:paraId="1BAC8009" w14:textId="77777777" w:rsidR="0087219F" w:rsidRPr="00F04A75" w:rsidRDefault="0087219F" w:rsidP="00EB3700">
            <w:pPr>
              <w:pStyle w:val="TableText1"/>
              <w:keepNext/>
              <w:widowControl/>
              <w:spacing w:before="0" w:after="0"/>
              <w:jc w:val="left"/>
              <w:rPr>
                <w:rFonts w:ascii="Arial Narrow" w:hAnsi="Arial Narrow" w:cstheme="minorHAnsi"/>
                <w:sz w:val="20"/>
                <w:szCs w:val="20"/>
              </w:rPr>
            </w:pPr>
            <w:r w:rsidRPr="00F04A75">
              <w:rPr>
                <w:rFonts w:ascii="Arial Narrow" w:hAnsi="Arial Narrow" w:cstheme="minorHAnsi"/>
                <w:sz w:val="20"/>
                <w:szCs w:val="20"/>
              </w:rPr>
              <w:t>45 x $112.40</w:t>
            </w:r>
          </w:p>
          <w:p w14:paraId="43B89BA8" w14:textId="77777777" w:rsidR="0087219F" w:rsidRPr="00F04A75" w:rsidRDefault="0087219F" w:rsidP="00EB3700">
            <w:pPr>
              <w:pStyle w:val="Tabletext"/>
              <w:keepNext/>
              <w:rPr>
                <w:szCs w:val="20"/>
              </w:rPr>
            </w:pPr>
            <w:r w:rsidRPr="00F04A75">
              <w:rPr>
                <w:rFonts w:cstheme="minorHAnsi"/>
                <w:szCs w:val="20"/>
              </w:rPr>
              <w:t>84 x $112.40</w:t>
            </w:r>
          </w:p>
        </w:tc>
      </w:tr>
      <w:tr w:rsidR="0087219F" w:rsidRPr="00F04A75" w14:paraId="19D75E18" w14:textId="77777777" w:rsidTr="0087219F">
        <w:tc>
          <w:tcPr>
            <w:tcW w:w="3853" w:type="dxa"/>
          </w:tcPr>
          <w:p w14:paraId="37E16215" w14:textId="77777777" w:rsidR="0087219F" w:rsidRPr="00F04A75" w:rsidRDefault="0087219F" w:rsidP="00EB3700">
            <w:pPr>
              <w:pStyle w:val="TableText1"/>
              <w:keepNext/>
              <w:widowControl/>
              <w:spacing w:before="0" w:after="0"/>
              <w:jc w:val="left"/>
              <w:rPr>
                <w:rFonts w:ascii="Arial Narrow" w:hAnsi="Arial Narrow" w:cstheme="minorHAnsi"/>
                <w:sz w:val="20"/>
                <w:szCs w:val="20"/>
              </w:rPr>
            </w:pPr>
            <w:r w:rsidRPr="00F04A75">
              <w:rPr>
                <w:rFonts w:ascii="Arial Narrow" w:hAnsi="Arial Narrow" w:cstheme="minorHAnsi"/>
                <w:sz w:val="20"/>
                <w:szCs w:val="20"/>
              </w:rPr>
              <w:t>Cost of Cd</w:t>
            </w:r>
          </w:p>
          <w:p w14:paraId="5C7C8BAE" w14:textId="5B6E8FD6" w:rsidR="0087219F" w:rsidRPr="00F04A75" w:rsidRDefault="0087219F" w:rsidP="00EB3700">
            <w:pPr>
              <w:pStyle w:val="TableText1"/>
              <w:keepNext/>
              <w:widowControl/>
              <w:spacing w:before="0" w:after="0"/>
              <w:jc w:val="left"/>
              <w:rPr>
                <w:rFonts w:ascii="Arial Narrow" w:hAnsi="Arial Narrow" w:cstheme="minorHAnsi"/>
                <w:sz w:val="20"/>
                <w:szCs w:val="20"/>
              </w:rPr>
            </w:pPr>
            <w:r w:rsidRPr="00F04A75">
              <w:rPr>
                <w:rFonts w:ascii="Arial Narrow" w:hAnsi="Arial Narrow" w:cstheme="minorHAnsi"/>
                <w:sz w:val="20"/>
                <w:szCs w:val="20"/>
              </w:rPr>
              <w:t xml:space="preserve">Cd BIW (including </w:t>
            </w:r>
            <w:r w:rsidR="000960C3" w:rsidRPr="000960C3">
              <w:rPr>
                <w:rFonts w:ascii="Arial Narrow" w:hAnsi="Arial Narrow" w:cstheme="minorHAnsi"/>
                <w:spacing w:val="53"/>
                <w:sz w:val="20"/>
                <w:szCs w:val="20"/>
                <w:shd w:val="solid" w:color="000000" w:fill="000000"/>
                <w:fitText w:val="330" w:id="-1506043904"/>
                <w14:textFill>
                  <w14:solidFill>
                    <w14:srgbClr w14:val="000000">
                      <w14:alpha w14:val="100000"/>
                    </w14:srgbClr>
                  </w14:solidFill>
                </w14:textFill>
              </w:rPr>
              <w:t>|||</w:t>
            </w:r>
            <w:r w:rsidR="000960C3" w:rsidRPr="000960C3">
              <w:rPr>
                <w:rFonts w:ascii="Arial Narrow" w:hAnsi="Arial Narrow" w:cstheme="minorHAnsi"/>
                <w:spacing w:val="1"/>
                <w:sz w:val="20"/>
                <w:szCs w:val="20"/>
                <w:shd w:val="solid" w:color="000000" w:fill="000000"/>
                <w:fitText w:val="330" w:id="-1506043904"/>
                <w14:textFill>
                  <w14:solidFill>
                    <w14:srgbClr w14:val="000000">
                      <w14:alpha w14:val="100000"/>
                    </w14:srgbClr>
                  </w14:solidFill>
                </w14:textFill>
              </w:rPr>
              <w:t>|</w:t>
            </w:r>
            <w:r w:rsidRPr="00F04A75">
              <w:rPr>
                <w:rFonts w:ascii="Arial Narrow" w:hAnsi="Arial Narrow" w:cstheme="minorHAnsi"/>
                <w:sz w:val="20"/>
                <w:szCs w:val="20"/>
              </w:rPr>
              <w:t>% rebate)</w:t>
            </w:r>
          </w:p>
          <w:p w14:paraId="31077A10" w14:textId="12E9B364" w:rsidR="0087219F" w:rsidRPr="00F04A75" w:rsidRDefault="0087219F" w:rsidP="00EB3700">
            <w:pPr>
              <w:pStyle w:val="Tabletext"/>
              <w:keepNext/>
              <w:rPr>
                <w:i/>
                <w:iCs/>
                <w:szCs w:val="20"/>
              </w:rPr>
            </w:pPr>
            <w:r w:rsidRPr="00F04A75">
              <w:rPr>
                <w:rFonts w:cstheme="minorHAnsi"/>
                <w:szCs w:val="20"/>
              </w:rPr>
              <w:t xml:space="preserve">Cd QW (including </w:t>
            </w:r>
            <w:r w:rsidR="000960C3" w:rsidRPr="000960C3">
              <w:rPr>
                <w:rFonts w:cstheme="minorHAnsi"/>
                <w:color w:val="000000"/>
                <w:spacing w:val="53"/>
                <w:szCs w:val="20"/>
                <w:shd w:val="solid" w:color="000000" w:fill="000000"/>
                <w:fitText w:val="330" w:id="-1506043903"/>
                <w14:textFill>
                  <w14:solidFill>
                    <w14:srgbClr w14:val="000000">
                      <w14:alpha w14:val="100000"/>
                    </w14:srgbClr>
                  </w14:solidFill>
                </w14:textFill>
              </w:rPr>
              <w:t>|||</w:t>
            </w:r>
            <w:r w:rsidR="000960C3" w:rsidRPr="000960C3">
              <w:rPr>
                <w:rFonts w:cstheme="minorHAnsi"/>
                <w:color w:val="000000"/>
                <w:spacing w:val="1"/>
                <w:szCs w:val="20"/>
                <w:shd w:val="solid" w:color="000000" w:fill="000000"/>
                <w:fitText w:val="330" w:id="-1506043903"/>
                <w14:textFill>
                  <w14:solidFill>
                    <w14:srgbClr w14:val="000000">
                      <w14:alpha w14:val="100000"/>
                    </w14:srgbClr>
                  </w14:solidFill>
                </w14:textFill>
              </w:rPr>
              <w:t>|</w:t>
            </w:r>
            <w:r w:rsidRPr="00F04A75">
              <w:rPr>
                <w:rFonts w:cstheme="minorHAnsi"/>
                <w:szCs w:val="20"/>
              </w:rPr>
              <w:t>% rebate)</w:t>
            </w:r>
          </w:p>
        </w:tc>
        <w:tc>
          <w:tcPr>
            <w:tcW w:w="1245" w:type="dxa"/>
          </w:tcPr>
          <w:p w14:paraId="06E28837" w14:textId="77777777" w:rsidR="0087219F" w:rsidRPr="00F04A75" w:rsidRDefault="0087219F" w:rsidP="00E150A6">
            <w:pPr>
              <w:pStyle w:val="TableText1"/>
              <w:keepNext/>
              <w:widowControl/>
              <w:tabs>
                <w:tab w:val="decimal" w:pos="162"/>
              </w:tabs>
              <w:spacing w:before="0" w:after="0"/>
              <w:ind w:left="162"/>
              <w:jc w:val="center"/>
              <w:rPr>
                <w:rFonts w:ascii="Arial Narrow" w:hAnsi="Arial Narrow" w:cstheme="minorHAnsi"/>
                <w:sz w:val="20"/>
                <w:szCs w:val="20"/>
              </w:rPr>
            </w:pPr>
          </w:p>
          <w:p w14:paraId="3B9055A3" w14:textId="3A04A026" w:rsidR="0087219F" w:rsidRPr="00F04A75" w:rsidRDefault="0087219F" w:rsidP="00E150A6">
            <w:pPr>
              <w:pStyle w:val="TableText1"/>
              <w:keepNext/>
              <w:widowControl/>
              <w:tabs>
                <w:tab w:val="decimal" w:pos="162"/>
              </w:tabs>
              <w:spacing w:before="0" w:after="0"/>
              <w:jc w:val="center"/>
              <w:rPr>
                <w:rFonts w:ascii="Arial Narrow" w:hAnsi="Arial Narrow" w:cstheme="minorHAnsi"/>
                <w:sz w:val="20"/>
                <w:szCs w:val="20"/>
              </w:rPr>
            </w:pPr>
            <w:r w:rsidRPr="00F04A75">
              <w:rPr>
                <w:rFonts w:ascii="Arial Narrow" w:hAnsi="Arial Narrow" w:cstheme="minorHAnsi"/>
                <w:sz w:val="20"/>
                <w:szCs w:val="20"/>
              </w:rPr>
              <w:t>$</w:t>
            </w:r>
            <w:r w:rsidR="000960C3" w:rsidRPr="000960C3">
              <w:rPr>
                <w:rFonts w:ascii="Arial Narrow" w:hAnsi="Arial Narrow" w:cstheme="minorHAnsi" w:hint="eastAsia"/>
                <w:w w:val="16"/>
                <w:sz w:val="20"/>
                <w:szCs w:val="20"/>
                <w:shd w:val="solid" w:color="000000" w:fill="000000"/>
                <w:fitText w:val="75" w:id="-1506043902"/>
                <w14:textFill>
                  <w14:solidFill>
                    <w14:srgbClr w14:val="000000">
                      <w14:alpha w14:val="100000"/>
                    </w14:srgbClr>
                  </w14:solidFill>
                </w14:textFill>
              </w:rPr>
              <w:t xml:space="preserve">　</w:t>
            </w:r>
            <w:r w:rsidR="000960C3" w:rsidRPr="000960C3">
              <w:rPr>
                <w:rFonts w:ascii="Arial Narrow" w:hAnsi="Arial Narrow" w:cstheme="minorHAnsi"/>
                <w:w w:val="16"/>
                <w:sz w:val="20"/>
                <w:szCs w:val="20"/>
                <w:shd w:val="solid" w:color="000000" w:fill="000000"/>
                <w:fitText w:val="75" w:id="-1506043902"/>
                <w14:textFill>
                  <w14:solidFill>
                    <w14:srgbClr w14:val="000000">
                      <w14:alpha w14:val="100000"/>
                    </w14:srgbClr>
                  </w14:solidFill>
                </w14:textFill>
              </w:rPr>
              <w:t>|</w:t>
            </w:r>
            <w:r w:rsidR="000960C3" w:rsidRPr="000960C3">
              <w:rPr>
                <w:rFonts w:ascii="Arial Narrow" w:hAnsi="Arial Narrow" w:cstheme="minorHAnsi" w:hint="eastAsia"/>
                <w:spacing w:val="5"/>
                <w:w w:val="16"/>
                <w:sz w:val="20"/>
                <w:szCs w:val="20"/>
                <w:shd w:val="solid" w:color="000000" w:fill="000000"/>
                <w:fitText w:val="75" w:id="-1506043902"/>
                <w14:textFill>
                  <w14:solidFill>
                    <w14:srgbClr w14:val="000000">
                      <w14:alpha w14:val="100000"/>
                    </w14:srgbClr>
                  </w14:solidFill>
                </w14:textFill>
              </w:rPr>
              <w:t xml:space="preserve">　</w:t>
            </w:r>
          </w:p>
          <w:p w14:paraId="2B3215C6" w14:textId="30F613B6" w:rsidR="0087219F" w:rsidRPr="00F04A75" w:rsidRDefault="0087219F" w:rsidP="00E150A6">
            <w:pPr>
              <w:pStyle w:val="Tabletext"/>
              <w:keepNext/>
              <w:jc w:val="center"/>
              <w:rPr>
                <w:i/>
                <w:iCs/>
                <w:szCs w:val="20"/>
              </w:rPr>
            </w:pPr>
            <w:r w:rsidRPr="00F04A75">
              <w:rPr>
                <w:rFonts w:cstheme="minorHAnsi"/>
                <w:szCs w:val="20"/>
              </w:rPr>
              <w:t>$</w:t>
            </w:r>
            <w:r w:rsidR="000960C3" w:rsidRPr="000960C3">
              <w:rPr>
                <w:rFonts w:cstheme="minorHAnsi" w:hint="eastAsia"/>
                <w:color w:val="000000"/>
                <w:w w:val="16"/>
                <w:szCs w:val="20"/>
                <w:shd w:val="solid" w:color="000000" w:fill="000000"/>
                <w:fitText w:val="75" w:id="-1506043901"/>
                <w14:textFill>
                  <w14:solidFill>
                    <w14:srgbClr w14:val="000000">
                      <w14:alpha w14:val="100000"/>
                    </w14:srgbClr>
                  </w14:solidFill>
                </w14:textFill>
              </w:rPr>
              <w:t xml:space="preserve">　</w:t>
            </w:r>
            <w:r w:rsidR="000960C3" w:rsidRPr="000960C3">
              <w:rPr>
                <w:rFonts w:cstheme="minorHAnsi"/>
                <w:color w:val="000000"/>
                <w:w w:val="16"/>
                <w:szCs w:val="20"/>
                <w:shd w:val="solid" w:color="000000" w:fill="000000"/>
                <w:fitText w:val="75" w:id="-1506043901"/>
                <w14:textFill>
                  <w14:solidFill>
                    <w14:srgbClr w14:val="000000">
                      <w14:alpha w14:val="100000"/>
                    </w14:srgbClr>
                  </w14:solidFill>
                </w14:textFill>
              </w:rPr>
              <w:t>|</w:t>
            </w:r>
            <w:r w:rsidR="000960C3" w:rsidRPr="000960C3">
              <w:rPr>
                <w:rFonts w:cstheme="minorHAnsi" w:hint="eastAsia"/>
                <w:color w:val="000000"/>
                <w:spacing w:val="5"/>
                <w:w w:val="16"/>
                <w:szCs w:val="20"/>
                <w:shd w:val="solid" w:color="000000" w:fill="000000"/>
                <w:fitText w:val="75" w:id="-1506043901"/>
                <w14:textFill>
                  <w14:solidFill>
                    <w14:srgbClr w14:val="000000">
                      <w14:alpha w14:val="100000"/>
                    </w14:srgbClr>
                  </w14:solidFill>
                </w14:textFill>
              </w:rPr>
              <w:t xml:space="preserve">　</w:t>
            </w:r>
          </w:p>
        </w:tc>
        <w:tc>
          <w:tcPr>
            <w:tcW w:w="3969" w:type="dxa"/>
          </w:tcPr>
          <w:p w14:paraId="3B7A1250" w14:textId="77777777" w:rsidR="0087219F" w:rsidRPr="00F04A75" w:rsidRDefault="0087219F" w:rsidP="00EB3700">
            <w:pPr>
              <w:pStyle w:val="TableText1"/>
              <w:keepNext/>
              <w:widowControl/>
              <w:spacing w:before="0" w:after="0"/>
              <w:jc w:val="left"/>
              <w:rPr>
                <w:rFonts w:ascii="Arial Narrow" w:hAnsi="Arial Narrow" w:cstheme="minorHAnsi"/>
                <w:sz w:val="20"/>
                <w:szCs w:val="20"/>
              </w:rPr>
            </w:pPr>
          </w:p>
          <w:p w14:paraId="551D688B" w14:textId="0E685FE5" w:rsidR="0087219F" w:rsidRPr="00F04A75" w:rsidRDefault="0087219F" w:rsidP="00EB3700">
            <w:pPr>
              <w:pStyle w:val="TableText1"/>
              <w:keepNext/>
              <w:widowControl/>
              <w:spacing w:before="0" w:after="0"/>
              <w:jc w:val="left"/>
              <w:rPr>
                <w:rFonts w:ascii="Arial Narrow" w:hAnsi="Arial Narrow" w:cstheme="minorHAnsi"/>
                <w:sz w:val="20"/>
                <w:szCs w:val="20"/>
              </w:rPr>
            </w:pPr>
            <w:r w:rsidRPr="00F04A75">
              <w:rPr>
                <w:rFonts w:ascii="Arial Narrow" w:hAnsi="Arial Narrow" w:cstheme="minorHAnsi"/>
                <w:sz w:val="20"/>
                <w:szCs w:val="20"/>
              </w:rPr>
              <w:t>9</w:t>
            </w:r>
            <w:r w:rsidR="001D4D74" w:rsidRPr="00F04A75">
              <w:rPr>
                <w:rFonts w:ascii="Arial Narrow" w:hAnsi="Arial Narrow" w:cstheme="minorHAnsi"/>
                <w:sz w:val="20"/>
                <w:szCs w:val="20"/>
              </w:rPr>
              <w:t>,</w:t>
            </w:r>
            <w:r w:rsidRPr="00F04A75">
              <w:rPr>
                <w:rFonts w:ascii="Arial Narrow" w:hAnsi="Arial Narrow" w:cstheme="minorHAnsi"/>
                <w:sz w:val="20"/>
                <w:szCs w:val="20"/>
              </w:rPr>
              <w:t>076 mg x $</w:t>
            </w:r>
            <w:r w:rsidR="000960C3" w:rsidRPr="000960C3">
              <w:rPr>
                <w:rFonts w:ascii="Arial Narrow" w:hAnsi="Arial Narrow" w:cstheme="minorHAnsi"/>
                <w:spacing w:val="48"/>
                <w:sz w:val="20"/>
                <w:szCs w:val="20"/>
                <w:shd w:val="solid" w:color="000000" w:fill="000000"/>
                <w:fitText w:val="315" w:id="-1506043900"/>
                <w14:textFill>
                  <w14:solidFill>
                    <w14:srgbClr w14:val="000000">
                      <w14:alpha w14:val="100000"/>
                    </w14:srgbClr>
                  </w14:solidFill>
                </w14:textFill>
              </w:rPr>
              <w:t>|||</w:t>
            </w:r>
            <w:r w:rsidR="000960C3" w:rsidRPr="000960C3">
              <w:rPr>
                <w:rFonts w:ascii="Arial Narrow" w:hAnsi="Arial Narrow" w:cstheme="minorHAnsi"/>
                <w:spacing w:val="1"/>
                <w:sz w:val="20"/>
                <w:szCs w:val="20"/>
                <w:shd w:val="solid" w:color="000000" w:fill="000000"/>
                <w:fitText w:val="315" w:id="-1506043900"/>
                <w14:textFill>
                  <w14:solidFill>
                    <w14:srgbClr w14:val="000000">
                      <w14:alpha w14:val="100000"/>
                    </w14:srgbClr>
                  </w14:solidFill>
                </w14:textFill>
              </w:rPr>
              <w:t>|</w:t>
            </w:r>
            <w:r w:rsidRPr="00F04A75">
              <w:rPr>
                <w:rFonts w:ascii="Arial Narrow" w:hAnsi="Arial Narrow" w:cstheme="minorHAnsi"/>
                <w:sz w:val="20"/>
                <w:szCs w:val="20"/>
              </w:rPr>
              <w:t>/mg +</w:t>
            </w:r>
            <w:r w:rsidR="00FF5D46" w:rsidRPr="00F04A75">
              <w:rPr>
                <w:rFonts w:ascii="Arial Narrow" w:hAnsi="Arial Narrow" w:cstheme="minorHAnsi"/>
                <w:sz w:val="20"/>
                <w:szCs w:val="20"/>
              </w:rPr>
              <w:t xml:space="preserve"> </w:t>
            </w:r>
            <w:r w:rsidRPr="00F04A75">
              <w:rPr>
                <w:rFonts w:ascii="Arial Narrow" w:hAnsi="Arial Narrow" w:cstheme="minorHAnsi"/>
                <w:sz w:val="20"/>
                <w:szCs w:val="20"/>
              </w:rPr>
              <w:t>$10,116</w:t>
            </w:r>
          </w:p>
          <w:p w14:paraId="64408266" w14:textId="133DB330" w:rsidR="0087219F" w:rsidRPr="00F04A75" w:rsidRDefault="0087219F" w:rsidP="00EB3700">
            <w:pPr>
              <w:pStyle w:val="Tabletext"/>
              <w:keepNext/>
              <w:rPr>
                <w:i/>
                <w:iCs/>
                <w:szCs w:val="20"/>
              </w:rPr>
            </w:pPr>
            <w:r w:rsidRPr="00F04A75">
              <w:rPr>
                <w:rFonts w:cstheme="minorHAnsi"/>
                <w:szCs w:val="20"/>
              </w:rPr>
              <w:t>6</w:t>
            </w:r>
            <w:r w:rsidR="001D4D74" w:rsidRPr="00F04A75">
              <w:rPr>
                <w:rFonts w:cstheme="minorHAnsi"/>
                <w:szCs w:val="20"/>
              </w:rPr>
              <w:t>,</w:t>
            </w:r>
            <w:r w:rsidRPr="00F04A75">
              <w:rPr>
                <w:rFonts w:cstheme="minorHAnsi"/>
                <w:szCs w:val="20"/>
              </w:rPr>
              <w:t>197 mg x $</w:t>
            </w:r>
            <w:r w:rsidR="000960C3" w:rsidRPr="000960C3">
              <w:rPr>
                <w:rFonts w:cstheme="minorHAnsi"/>
                <w:color w:val="000000"/>
                <w:spacing w:val="48"/>
                <w:szCs w:val="20"/>
                <w:shd w:val="solid" w:color="000000" w:fill="000000"/>
                <w:fitText w:val="315" w:id="-1506043899"/>
                <w14:textFill>
                  <w14:solidFill>
                    <w14:srgbClr w14:val="000000">
                      <w14:alpha w14:val="100000"/>
                    </w14:srgbClr>
                  </w14:solidFill>
                </w14:textFill>
              </w:rPr>
              <w:t>|||</w:t>
            </w:r>
            <w:r w:rsidR="000960C3" w:rsidRPr="000960C3">
              <w:rPr>
                <w:rFonts w:cstheme="minorHAnsi"/>
                <w:color w:val="000000"/>
                <w:spacing w:val="1"/>
                <w:szCs w:val="20"/>
                <w:shd w:val="solid" w:color="000000" w:fill="000000"/>
                <w:fitText w:val="315" w:id="-1506043899"/>
                <w14:textFill>
                  <w14:solidFill>
                    <w14:srgbClr w14:val="000000">
                      <w14:alpha w14:val="100000"/>
                    </w14:srgbClr>
                  </w14:solidFill>
                </w14:textFill>
              </w:rPr>
              <w:t>|</w:t>
            </w:r>
            <w:r w:rsidRPr="00F04A75">
              <w:rPr>
                <w:rFonts w:cstheme="minorHAnsi"/>
                <w:szCs w:val="20"/>
              </w:rPr>
              <w:t>/mg +</w:t>
            </w:r>
            <w:r w:rsidR="00FF5D46" w:rsidRPr="00F04A75">
              <w:rPr>
                <w:rFonts w:cstheme="minorHAnsi"/>
                <w:szCs w:val="20"/>
              </w:rPr>
              <w:t xml:space="preserve"> </w:t>
            </w:r>
            <w:r w:rsidRPr="00F04A75">
              <w:rPr>
                <w:rFonts w:cstheme="minorHAnsi"/>
                <w:szCs w:val="20"/>
              </w:rPr>
              <w:t>$5,058</w:t>
            </w:r>
          </w:p>
        </w:tc>
      </w:tr>
      <w:tr w:rsidR="0087219F" w:rsidRPr="00F04A75" w14:paraId="50B79E6E" w14:textId="77777777" w:rsidTr="0087219F">
        <w:tc>
          <w:tcPr>
            <w:tcW w:w="3853" w:type="dxa"/>
          </w:tcPr>
          <w:p w14:paraId="76418CCB" w14:textId="77777777" w:rsidR="0087219F" w:rsidRPr="00F04A75" w:rsidRDefault="0087219F" w:rsidP="00EB3700">
            <w:pPr>
              <w:pStyle w:val="Tabletext"/>
              <w:keepNext/>
              <w:rPr>
                <w:i/>
                <w:iCs/>
                <w:szCs w:val="20"/>
              </w:rPr>
            </w:pPr>
            <w:r w:rsidRPr="00F04A75">
              <w:rPr>
                <w:rFonts w:cstheme="minorHAnsi"/>
                <w:szCs w:val="20"/>
              </w:rPr>
              <w:t>Weighted cost of Cd QW or BIW</w:t>
            </w:r>
          </w:p>
        </w:tc>
        <w:tc>
          <w:tcPr>
            <w:tcW w:w="1245" w:type="dxa"/>
          </w:tcPr>
          <w:p w14:paraId="4BC32BED" w14:textId="7464FED6" w:rsidR="0087219F" w:rsidRPr="00F04A75" w:rsidRDefault="0087219F" w:rsidP="00E150A6">
            <w:pPr>
              <w:pStyle w:val="Tabletext"/>
              <w:keepNext/>
              <w:jc w:val="center"/>
              <w:rPr>
                <w:i/>
                <w:iCs/>
                <w:szCs w:val="20"/>
              </w:rPr>
            </w:pPr>
            <w:r w:rsidRPr="00F04A75">
              <w:rPr>
                <w:rFonts w:cstheme="minorHAnsi"/>
                <w:szCs w:val="20"/>
              </w:rPr>
              <w:t>$</w:t>
            </w:r>
            <w:r w:rsidR="000960C3" w:rsidRPr="000960C3">
              <w:rPr>
                <w:rFonts w:cstheme="minorHAnsi" w:hint="eastAsia"/>
                <w:color w:val="000000"/>
                <w:w w:val="16"/>
                <w:szCs w:val="20"/>
                <w:shd w:val="solid" w:color="000000" w:fill="000000"/>
                <w:fitText w:val="75" w:id="-1506043898"/>
                <w14:textFill>
                  <w14:solidFill>
                    <w14:srgbClr w14:val="000000">
                      <w14:alpha w14:val="100000"/>
                    </w14:srgbClr>
                  </w14:solidFill>
                </w14:textFill>
              </w:rPr>
              <w:t xml:space="preserve">　</w:t>
            </w:r>
            <w:r w:rsidR="000960C3" w:rsidRPr="000960C3">
              <w:rPr>
                <w:rFonts w:cstheme="minorHAnsi"/>
                <w:color w:val="000000"/>
                <w:w w:val="16"/>
                <w:szCs w:val="20"/>
                <w:shd w:val="solid" w:color="000000" w:fill="000000"/>
                <w:fitText w:val="75" w:id="-1506043898"/>
                <w14:textFill>
                  <w14:solidFill>
                    <w14:srgbClr w14:val="000000">
                      <w14:alpha w14:val="100000"/>
                    </w14:srgbClr>
                  </w14:solidFill>
                </w14:textFill>
              </w:rPr>
              <w:t>|</w:t>
            </w:r>
            <w:r w:rsidR="000960C3" w:rsidRPr="000960C3">
              <w:rPr>
                <w:rFonts w:cstheme="minorHAnsi" w:hint="eastAsia"/>
                <w:color w:val="000000"/>
                <w:spacing w:val="5"/>
                <w:w w:val="16"/>
                <w:szCs w:val="20"/>
                <w:shd w:val="solid" w:color="000000" w:fill="000000"/>
                <w:fitText w:val="75" w:id="-1506043898"/>
                <w14:textFill>
                  <w14:solidFill>
                    <w14:srgbClr w14:val="000000">
                      <w14:alpha w14:val="100000"/>
                    </w14:srgbClr>
                  </w14:solidFill>
                </w14:textFill>
              </w:rPr>
              <w:t xml:space="preserve">　</w:t>
            </w:r>
          </w:p>
        </w:tc>
        <w:tc>
          <w:tcPr>
            <w:tcW w:w="3969" w:type="dxa"/>
          </w:tcPr>
          <w:p w14:paraId="1978F765" w14:textId="77777777" w:rsidR="0087219F" w:rsidRPr="00F04A75" w:rsidRDefault="0087219F" w:rsidP="00EB3700">
            <w:pPr>
              <w:pStyle w:val="Tabletext"/>
              <w:keepNext/>
              <w:rPr>
                <w:i/>
                <w:iCs/>
                <w:szCs w:val="20"/>
              </w:rPr>
            </w:pPr>
            <w:r w:rsidRPr="00F04A75">
              <w:rPr>
                <w:rFonts w:cstheme="minorHAnsi"/>
                <w:szCs w:val="20"/>
              </w:rPr>
              <w:t>Costs above with weighting by infusions (0.55 QW)</w:t>
            </w:r>
          </w:p>
        </w:tc>
      </w:tr>
      <w:tr w:rsidR="0087219F" w:rsidRPr="00F04A75" w14:paraId="4DFFC608" w14:textId="77777777" w:rsidTr="0087219F">
        <w:tc>
          <w:tcPr>
            <w:tcW w:w="3853" w:type="dxa"/>
          </w:tcPr>
          <w:p w14:paraId="2F45B967" w14:textId="77777777" w:rsidR="0087219F" w:rsidRPr="00F04A75" w:rsidRDefault="0087219F" w:rsidP="00EB3700">
            <w:pPr>
              <w:pStyle w:val="TableText1"/>
              <w:keepNext/>
              <w:widowControl/>
              <w:spacing w:before="0" w:after="0"/>
              <w:jc w:val="left"/>
              <w:rPr>
                <w:rFonts w:ascii="Arial Narrow" w:hAnsi="Arial Narrow" w:cstheme="minorHAnsi"/>
                <w:sz w:val="20"/>
                <w:szCs w:val="20"/>
              </w:rPr>
            </w:pPr>
            <w:r w:rsidRPr="00F04A75">
              <w:rPr>
                <w:rFonts w:ascii="Arial Narrow" w:hAnsi="Arial Narrow" w:cstheme="minorHAnsi"/>
                <w:sz w:val="20"/>
                <w:szCs w:val="20"/>
              </w:rPr>
              <w:t xml:space="preserve">Cost minimised treatment course cost of </w:t>
            </w:r>
            <w:proofErr w:type="spellStart"/>
            <w:r w:rsidRPr="00F04A75">
              <w:rPr>
                <w:rFonts w:ascii="Arial Narrow" w:hAnsi="Arial Narrow" w:cstheme="minorHAnsi"/>
                <w:sz w:val="20"/>
                <w:szCs w:val="20"/>
              </w:rPr>
              <w:t>CLd</w:t>
            </w:r>
            <w:proofErr w:type="spellEnd"/>
          </w:p>
          <w:p w14:paraId="20E67D49" w14:textId="77777777" w:rsidR="0087219F" w:rsidRPr="00F04A75" w:rsidRDefault="0087219F" w:rsidP="00EB3700">
            <w:pPr>
              <w:pStyle w:val="TableText1"/>
              <w:keepNext/>
              <w:widowControl/>
              <w:spacing w:before="0" w:after="0"/>
              <w:jc w:val="left"/>
              <w:rPr>
                <w:rFonts w:ascii="Arial Narrow" w:hAnsi="Arial Narrow" w:cstheme="minorHAnsi"/>
                <w:sz w:val="20"/>
                <w:szCs w:val="20"/>
              </w:rPr>
            </w:pPr>
            <w:r w:rsidRPr="00F04A75">
              <w:rPr>
                <w:rFonts w:ascii="Arial Narrow" w:hAnsi="Arial Narrow" w:cstheme="minorHAnsi"/>
                <w:sz w:val="20"/>
                <w:szCs w:val="20"/>
              </w:rPr>
              <w:t>Lenalidomide</w:t>
            </w:r>
          </w:p>
          <w:p w14:paraId="45611D54" w14:textId="77777777" w:rsidR="0087219F" w:rsidRPr="00F04A75" w:rsidRDefault="0087219F" w:rsidP="00EB3700">
            <w:pPr>
              <w:pStyle w:val="TableText1"/>
              <w:keepNext/>
              <w:widowControl/>
              <w:spacing w:before="0" w:after="0"/>
              <w:jc w:val="left"/>
              <w:rPr>
                <w:rFonts w:ascii="Arial Narrow" w:hAnsi="Arial Narrow" w:cstheme="minorHAnsi"/>
                <w:sz w:val="20"/>
                <w:szCs w:val="20"/>
              </w:rPr>
            </w:pPr>
            <w:r w:rsidRPr="00F04A75">
              <w:rPr>
                <w:rFonts w:ascii="Arial Narrow" w:hAnsi="Arial Narrow" w:cstheme="minorHAnsi"/>
                <w:sz w:val="20"/>
                <w:szCs w:val="20"/>
              </w:rPr>
              <w:t>Infusions</w:t>
            </w:r>
          </w:p>
          <w:p w14:paraId="39AF081E" w14:textId="77777777" w:rsidR="0087219F" w:rsidRPr="00F04A75" w:rsidRDefault="0087219F" w:rsidP="00EB3700">
            <w:pPr>
              <w:pStyle w:val="TableText1"/>
              <w:keepNext/>
              <w:widowControl/>
              <w:spacing w:before="0" w:after="0"/>
              <w:jc w:val="left"/>
              <w:rPr>
                <w:rFonts w:ascii="Arial Narrow" w:hAnsi="Arial Narrow" w:cstheme="minorHAnsi"/>
                <w:sz w:val="20"/>
                <w:szCs w:val="20"/>
              </w:rPr>
            </w:pPr>
            <w:r w:rsidRPr="00F04A75">
              <w:rPr>
                <w:rFonts w:ascii="Arial Narrow" w:hAnsi="Arial Narrow" w:cstheme="minorHAnsi"/>
                <w:sz w:val="20"/>
                <w:szCs w:val="20"/>
              </w:rPr>
              <w:t>Adverse events</w:t>
            </w:r>
          </w:p>
          <w:p w14:paraId="0AD73042" w14:textId="77777777" w:rsidR="0087219F" w:rsidRPr="00F04A75" w:rsidRDefault="0087219F" w:rsidP="00EB3700">
            <w:pPr>
              <w:pStyle w:val="TableText1"/>
              <w:keepNext/>
              <w:widowControl/>
              <w:spacing w:before="0" w:after="0"/>
              <w:jc w:val="left"/>
              <w:rPr>
                <w:rFonts w:ascii="Arial Narrow" w:hAnsi="Arial Narrow" w:cstheme="minorHAnsi"/>
                <w:sz w:val="20"/>
                <w:szCs w:val="20"/>
              </w:rPr>
            </w:pPr>
            <w:r w:rsidRPr="00F04A75">
              <w:rPr>
                <w:rFonts w:ascii="Arial Narrow" w:hAnsi="Arial Narrow" w:cstheme="minorHAnsi"/>
                <w:sz w:val="20"/>
                <w:szCs w:val="20"/>
              </w:rPr>
              <w:t>Remaining for carfilzomib</w:t>
            </w:r>
          </w:p>
          <w:p w14:paraId="7C6300C8" w14:textId="77777777" w:rsidR="0087219F" w:rsidRPr="00F04A75" w:rsidRDefault="0087219F" w:rsidP="00EB3700">
            <w:pPr>
              <w:pStyle w:val="TableText1"/>
              <w:keepNext/>
              <w:widowControl/>
              <w:spacing w:before="0" w:after="0"/>
              <w:jc w:val="left"/>
              <w:rPr>
                <w:rFonts w:ascii="Arial Narrow" w:hAnsi="Arial Narrow" w:cstheme="minorHAnsi"/>
                <w:sz w:val="20"/>
                <w:szCs w:val="20"/>
              </w:rPr>
            </w:pPr>
            <w:r w:rsidRPr="00F04A75">
              <w:rPr>
                <w:rFonts w:ascii="Arial Narrow" w:hAnsi="Arial Narrow" w:cstheme="minorHAnsi"/>
                <w:sz w:val="20"/>
                <w:szCs w:val="20"/>
              </w:rPr>
              <w:t>Cost per mg</w:t>
            </w:r>
          </w:p>
          <w:p w14:paraId="7D21EA52" w14:textId="092608CE" w:rsidR="0087219F" w:rsidRPr="00F04A75" w:rsidRDefault="004F1212" w:rsidP="00EB3700">
            <w:pPr>
              <w:pStyle w:val="Tabletext"/>
              <w:keepNext/>
              <w:rPr>
                <w:szCs w:val="20"/>
              </w:rPr>
            </w:pPr>
            <w:r w:rsidRPr="00F04A75">
              <w:rPr>
                <w:rFonts w:cstheme="minorHAnsi"/>
                <w:szCs w:val="20"/>
              </w:rPr>
              <w:t>SPA</w:t>
            </w:r>
            <w:r w:rsidR="00CB36EC" w:rsidRPr="00F04A75">
              <w:rPr>
                <w:rFonts w:cstheme="minorHAnsi"/>
                <w:szCs w:val="20"/>
              </w:rPr>
              <w:t xml:space="preserve"> (</w:t>
            </w:r>
            <w:r w:rsidR="0087219F" w:rsidRPr="00F04A75">
              <w:rPr>
                <w:rFonts w:cstheme="minorHAnsi"/>
                <w:szCs w:val="20"/>
              </w:rPr>
              <w:t>Rebate</w:t>
            </w:r>
            <w:r w:rsidR="00CB36EC" w:rsidRPr="00F04A75">
              <w:rPr>
                <w:rFonts w:cstheme="minorHAnsi"/>
                <w:szCs w:val="20"/>
              </w:rPr>
              <w:t xml:space="preserve"> on published price of carfilzomib)</w:t>
            </w:r>
          </w:p>
        </w:tc>
        <w:tc>
          <w:tcPr>
            <w:tcW w:w="1245" w:type="dxa"/>
          </w:tcPr>
          <w:p w14:paraId="19273AC3" w14:textId="77777777" w:rsidR="0087219F" w:rsidRPr="009356FD" w:rsidRDefault="0087219F" w:rsidP="00E150A6">
            <w:pPr>
              <w:pStyle w:val="TableText1"/>
              <w:keepNext/>
              <w:tabs>
                <w:tab w:val="decimal" w:pos="162"/>
              </w:tabs>
              <w:spacing w:before="0" w:after="0"/>
              <w:jc w:val="center"/>
              <w:rPr>
                <w:rFonts w:ascii="Arial Narrow" w:hAnsi="Arial Narrow" w:cstheme="minorHAnsi"/>
                <w:sz w:val="20"/>
                <w:szCs w:val="20"/>
              </w:rPr>
            </w:pPr>
            <w:r w:rsidRPr="00F04A75">
              <w:rPr>
                <w:rFonts w:ascii="Arial Narrow" w:hAnsi="Arial Narrow" w:cstheme="minorHAnsi"/>
                <w:sz w:val="20"/>
                <w:szCs w:val="20"/>
              </w:rPr>
              <w:t>$</w:t>
            </w:r>
            <w:r w:rsidRPr="009356FD">
              <w:rPr>
                <w:rFonts w:ascii="Arial Narrow" w:hAnsi="Arial Narrow" w:cstheme="minorHAnsi"/>
                <w:sz w:val="20"/>
                <w:szCs w:val="20"/>
              </w:rPr>
              <w:t>98,404</w:t>
            </w:r>
          </w:p>
          <w:p w14:paraId="1105FEC5" w14:textId="77777777" w:rsidR="0087219F" w:rsidRPr="00F04A75" w:rsidRDefault="0087219F" w:rsidP="00E150A6">
            <w:pPr>
              <w:pStyle w:val="TableText1"/>
              <w:keepNext/>
              <w:tabs>
                <w:tab w:val="decimal" w:pos="162"/>
              </w:tabs>
              <w:spacing w:before="0" w:after="0"/>
              <w:jc w:val="center"/>
              <w:rPr>
                <w:rFonts w:ascii="Arial Narrow" w:hAnsi="Arial Narrow" w:cstheme="minorHAnsi"/>
                <w:sz w:val="20"/>
                <w:szCs w:val="20"/>
              </w:rPr>
            </w:pPr>
            <w:r w:rsidRPr="009356FD">
              <w:rPr>
                <w:rFonts w:ascii="Arial Narrow" w:hAnsi="Arial Narrow" w:cstheme="minorHAnsi"/>
                <w:sz w:val="20"/>
                <w:szCs w:val="20"/>
              </w:rPr>
              <w:t>$31,575</w:t>
            </w:r>
          </w:p>
          <w:p w14:paraId="2E0B7A53" w14:textId="77777777" w:rsidR="0087219F" w:rsidRPr="00F04A75" w:rsidRDefault="0087219F" w:rsidP="00E150A6">
            <w:pPr>
              <w:pStyle w:val="TableText1"/>
              <w:keepNext/>
              <w:tabs>
                <w:tab w:val="decimal" w:pos="162"/>
              </w:tabs>
              <w:spacing w:before="0" w:after="0"/>
              <w:jc w:val="center"/>
              <w:rPr>
                <w:rFonts w:ascii="Arial Narrow" w:hAnsi="Arial Narrow" w:cstheme="minorHAnsi"/>
                <w:sz w:val="20"/>
                <w:szCs w:val="20"/>
              </w:rPr>
            </w:pPr>
            <w:r w:rsidRPr="00F04A75">
              <w:rPr>
                <w:rFonts w:ascii="Arial Narrow" w:hAnsi="Arial Narrow" w:cstheme="minorHAnsi"/>
                <w:sz w:val="20"/>
                <w:szCs w:val="20"/>
              </w:rPr>
              <w:t>$9,442</w:t>
            </w:r>
          </w:p>
          <w:p w14:paraId="096082D2" w14:textId="77777777" w:rsidR="0087219F" w:rsidRPr="00F04A75" w:rsidRDefault="0087219F" w:rsidP="00E150A6">
            <w:pPr>
              <w:pStyle w:val="TableText1"/>
              <w:keepNext/>
              <w:widowControl/>
              <w:tabs>
                <w:tab w:val="decimal" w:pos="162"/>
              </w:tabs>
              <w:spacing w:before="0" w:after="0"/>
              <w:jc w:val="center"/>
              <w:rPr>
                <w:rFonts w:ascii="Arial Narrow" w:hAnsi="Arial Narrow" w:cstheme="minorHAnsi"/>
                <w:sz w:val="20"/>
                <w:szCs w:val="20"/>
              </w:rPr>
            </w:pPr>
            <w:r w:rsidRPr="00F04A75">
              <w:rPr>
                <w:rFonts w:ascii="Arial Narrow" w:hAnsi="Arial Narrow" w:cstheme="minorHAnsi"/>
                <w:sz w:val="20"/>
                <w:szCs w:val="20"/>
              </w:rPr>
              <w:t>$234</w:t>
            </w:r>
          </w:p>
          <w:p w14:paraId="56875C66" w14:textId="0F91A268" w:rsidR="0087219F" w:rsidRPr="00F04A75" w:rsidRDefault="0087219F" w:rsidP="00E150A6">
            <w:pPr>
              <w:pStyle w:val="TableText1"/>
              <w:keepNext/>
              <w:widowControl/>
              <w:tabs>
                <w:tab w:val="decimal" w:pos="162"/>
              </w:tabs>
              <w:spacing w:before="0" w:after="0"/>
              <w:jc w:val="center"/>
              <w:rPr>
                <w:rFonts w:ascii="Arial Narrow" w:hAnsi="Arial Narrow" w:cstheme="minorHAnsi"/>
                <w:sz w:val="20"/>
                <w:szCs w:val="20"/>
              </w:rPr>
            </w:pPr>
            <w:r w:rsidRPr="00F04A75">
              <w:rPr>
                <w:rFonts w:ascii="Arial Narrow" w:hAnsi="Arial Narrow" w:cstheme="minorHAnsi"/>
                <w:sz w:val="20"/>
                <w:szCs w:val="20"/>
              </w:rPr>
              <w:t>$</w:t>
            </w:r>
            <w:r w:rsidR="000960C3" w:rsidRPr="000960C3">
              <w:rPr>
                <w:rFonts w:ascii="Arial Narrow" w:hAnsi="Arial Narrow" w:cstheme="minorHAnsi" w:hint="eastAsia"/>
                <w:w w:val="16"/>
                <w:sz w:val="20"/>
                <w:szCs w:val="20"/>
                <w:shd w:val="solid" w:color="000000" w:fill="000000"/>
                <w:fitText w:val="75" w:id="-1506043648"/>
                <w14:textFill>
                  <w14:solidFill>
                    <w14:srgbClr w14:val="000000">
                      <w14:alpha w14:val="100000"/>
                    </w14:srgbClr>
                  </w14:solidFill>
                </w14:textFill>
              </w:rPr>
              <w:t xml:space="preserve">　</w:t>
            </w:r>
            <w:r w:rsidR="000960C3" w:rsidRPr="000960C3">
              <w:rPr>
                <w:rFonts w:ascii="Arial Narrow" w:hAnsi="Arial Narrow" w:cstheme="minorHAnsi"/>
                <w:w w:val="16"/>
                <w:sz w:val="20"/>
                <w:szCs w:val="20"/>
                <w:shd w:val="solid" w:color="000000" w:fill="000000"/>
                <w:fitText w:val="75" w:id="-1506043648"/>
                <w14:textFill>
                  <w14:solidFill>
                    <w14:srgbClr w14:val="000000">
                      <w14:alpha w14:val="100000"/>
                    </w14:srgbClr>
                  </w14:solidFill>
                </w14:textFill>
              </w:rPr>
              <w:t>|</w:t>
            </w:r>
            <w:r w:rsidR="000960C3" w:rsidRPr="000960C3">
              <w:rPr>
                <w:rFonts w:ascii="Arial Narrow" w:hAnsi="Arial Narrow" w:cstheme="minorHAnsi" w:hint="eastAsia"/>
                <w:spacing w:val="5"/>
                <w:w w:val="16"/>
                <w:sz w:val="20"/>
                <w:szCs w:val="20"/>
                <w:shd w:val="solid" w:color="000000" w:fill="000000"/>
                <w:fitText w:val="75" w:id="-1506043648"/>
                <w14:textFill>
                  <w14:solidFill>
                    <w14:srgbClr w14:val="000000">
                      <w14:alpha w14:val="100000"/>
                    </w14:srgbClr>
                  </w14:solidFill>
                </w14:textFill>
              </w:rPr>
              <w:t xml:space="preserve">　</w:t>
            </w:r>
          </w:p>
          <w:p w14:paraId="21F0920B" w14:textId="42C1AF36" w:rsidR="0087219F" w:rsidRPr="00F04A75" w:rsidRDefault="0087219F" w:rsidP="00E150A6">
            <w:pPr>
              <w:pStyle w:val="TableText1"/>
              <w:keepNext/>
              <w:widowControl/>
              <w:tabs>
                <w:tab w:val="decimal" w:pos="162"/>
              </w:tabs>
              <w:spacing w:before="0" w:after="0"/>
              <w:jc w:val="center"/>
              <w:rPr>
                <w:rFonts w:ascii="Arial Narrow" w:hAnsi="Arial Narrow" w:cstheme="minorHAnsi"/>
                <w:sz w:val="20"/>
                <w:szCs w:val="20"/>
              </w:rPr>
            </w:pPr>
            <w:r w:rsidRPr="00F04A75">
              <w:rPr>
                <w:rFonts w:ascii="Arial Narrow" w:hAnsi="Arial Narrow" w:cstheme="minorHAnsi"/>
                <w:sz w:val="20"/>
                <w:szCs w:val="20"/>
              </w:rPr>
              <w:t>$</w:t>
            </w:r>
            <w:r w:rsidR="000960C3" w:rsidRPr="000960C3">
              <w:rPr>
                <w:rFonts w:ascii="Arial Narrow" w:hAnsi="Arial Narrow" w:cstheme="minorHAnsi" w:hint="eastAsia"/>
                <w:w w:val="16"/>
                <w:sz w:val="20"/>
                <w:szCs w:val="20"/>
                <w:shd w:val="solid" w:color="000000" w:fill="000000"/>
                <w:fitText w:val="75" w:id="-1506043647"/>
                <w14:textFill>
                  <w14:solidFill>
                    <w14:srgbClr w14:val="000000">
                      <w14:alpha w14:val="100000"/>
                    </w14:srgbClr>
                  </w14:solidFill>
                </w14:textFill>
              </w:rPr>
              <w:t xml:space="preserve">　</w:t>
            </w:r>
            <w:r w:rsidR="000960C3" w:rsidRPr="000960C3">
              <w:rPr>
                <w:rFonts w:ascii="Arial Narrow" w:hAnsi="Arial Narrow" w:cstheme="minorHAnsi"/>
                <w:w w:val="16"/>
                <w:sz w:val="20"/>
                <w:szCs w:val="20"/>
                <w:shd w:val="solid" w:color="000000" w:fill="000000"/>
                <w:fitText w:val="75" w:id="-1506043647"/>
                <w14:textFill>
                  <w14:solidFill>
                    <w14:srgbClr w14:val="000000">
                      <w14:alpha w14:val="100000"/>
                    </w14:srgbClr>
                  </w14:solidFill>
                </w14:textFill>
              </w:rPr>
              <w:t>|</w:t>
            </w:r>
            <w:r w:rsidR="000960C3" w:rsidRPr="000960C3">
              <w:rPr>
                <w:rFonts w:ascii="Arial Narrow" w:hAnsi="Arial Narrow" w:cstheme="minorHAnsi" w:hint="eastAsia"/>
                <w:spacing w:val="5"/>
                <w:w w:val="16"/>
                <w:sz w:val="20"/>
                <w:szCs w:val="20"/>
                <w:shd w:val="solid" w:color="000000" w:fill="000000"/>
                <w:fitText w:val="75" w:id="-1506043647"/>
                <w14:textFill>
                  <w14:solidFill>
                    <w14:srgbClr w14:val="000000">
                      <w14:alpha w14:val="100000"/>
                    </w14:srgbClr>
                  </w14:solidFill>
                </w14:textFill>
              </w:rPr>
              <w:t xml:space="preserve">　</w:t>
            </w:r>
          </w:p>
          <w:p w14:paraId="251F736F" w14:textId="2E857E02" w:rsidR="0087219F" w:rsidRPr="00F04A75" w:rsidRDefault="000960C3" w:rsidP="00E150A6">
            <w:pPr>
              <w:keepNext/>
              <w:jc w:val="center"/>
              <w:rPr>
                <w:rFonts w:ascii="Arial Narrow" w:hAnsi="Arial Narrow" w:cs="Calibri"/>
                <w:color w:val="000000"/>
                <w:sz w:val="20"/>
                <w:szCs w:val="20"/>
                <w:lang w:eastAsia="en-US"/>
              </w:rPr>
            </w:pPr>
            <w:r w:rsidRPr="000960C3">
              <w:rPr>
                <w:rFonts w:ascii="Arial Narrow" w:hAnsi="Arial Narrow" w:cstheme="minorHAnsi" w:hint="eastAsia"/>
                <w:color w:val="000000"/>
                <w:w w:val="23"/>
                <w:sz w:val="20"/>
                <w:szCs w:val="20"/>
                <w:shd w:val="solid" w:color="000000" w:fill="000000"/>
                <w:fitText w:val="105" w:id="-1506043646"/>
                <w14:textFill>
                  <w14:solidFill>
                    <w14:srgbClr w14:val="000000">
                      <w14:alpha w14:val="100000"/>
                    </w14:srgbClr>
                  </w14:solidFill>
                </w14:textFill>
              </w:rPr>
              <w:t xml:space="preserve">　</w:t>
            </w:r>
            <w:r w:rsidRPr="000960C3">
              <w:rPr>
                <w:rFonts w:ascii="Arial Narrow" w:hAnsi="Arial Narrow" w:cstheme="minorHAnsi"/>
                <w:color w:val="000000"/>
                <w:w w:val="23"/>
                <w:sz w:val="20"/>
                <w:szCs w:val="20"/>
                <w:shd w:val="solid" w:color="000000" w:fill="000000"/>
                <w:fitText w:val="105" w:id="-1506043646"/>
                <w14:textFill>
                  <w14:solidFill>
                    <w14:srgbClr w14:val="000000">
                      <w14:alpha w14:val="100000"/>
                    </w14:srgbClr>
                  </w14:solidFill>
                </w14:textFill>
              </w:rPr>
              <w:t>|</w:t>
            </w:r>
            <w:r w:rsidRPr="000960C3">
              <w:rPr>
                <w:rFonts w:ascii="Arial Narrow" w:hAnsi="Arial Narrow" w:cstheme="minorHAnsi" w:hint="eastAsia"/>
                <w:color w:val="000000"/>
                <w:spacing w:val="4"/>
                <w:w w:val="23"/>
                <w:sz w:val="20"/>
                <w:szCs w:val="20"/>
                <w:shd w:val="solid" w:color="000000" w:fill="000000"/>
                <w:fitText w:val="105" w:id="-1506043646"/>
                <w14:textFill>
                  <w14:solidFill>
                    <w14:srgbClr w14:val="000000">
                      <w14:alpha w14:val="100000"/>
                    </w14:srgbClr>
                  </w14:solidFill>
                </w14:textFill>
              </w:rPr>
              <w:t xml:space="preserve">　</w:t>
            </w:r>
            <w:r w:rsidR="0087219F" w:rsidRPr="00F04A75">
              <w:rPr>
                <w:rFonts w:ascii="Arial Narrow" w:hAnsi="Arial Narrow" w:cstheme="minorHAnsi"/>
                <w:sz w:val="20"/>
                <w:szCs w:val="20"/>
              </w:rPr>
              <w:t>%</w:t>
            </w:r>
          </w:p>
        </w:tc>
        <w:tc>
          <w:tcPr>
            <w:tcW w:w="3969" w:type="dxa"/>
          </w:tcPr>
          <w:p w14:paraId="429C2F15" w14:textId="77777777" w:rsidR="00FF5D46" w:rsidRPr="00F04A75" w:rsidRDefault="00FF5D46" w:rsidP="00EB3700">
            <w:pPr>
              <w:pStyle w:val="TableText1"/>
              <w:keepNext/>
              <w:widowControl/>
              <w:spacing w:before="0" w:after="0"/>
              <w:jc w:val="left"/>
              <w:rPr>
                <w:rFonts w:ascii="Arial Narrow" w:hAnsi="Arial Narrow" w:cstheme="minorHAnsi"/>
                <w:sz w:val="20"/>
                <w:szCs w:val="20"/>
              </w:rPr>
            </w:pPr>
          </w:p>
          <w:p w14:paraId="7CC71696" w14:textId="7C06D8CB" w:rsidR="0087219F" w:rsidRPr="00F04A75" w:rsidRDefault="0087219F" w:rsidP="00EB3700">
            <w:pPr>
              <w:pStyle w:val="TableText1"/>
              <w:keepNext/>
              <w:widowControl/>
              <w:spacing w:before="0" w:after="0"/>
              <w:jc w:val="left"/>
              <w:rPr>
                <w:rFonts w:ascii="Arial Narrow" w:hAnsi="Arial Narrow" w:cstheme="minorHAnsi"/>
                <w:sz w:val="20"/>
                <w:szCs w:val="20"/>
              </w:rPr>
            </w:pPr>
            <w:r w:rsidRPr="00F04A75">
              <w:rPr>
                <w:rFonts w:ascii="Arial Narrow" w:hAnsi="Arial Narrow" w:cstheme="minorHAnsi"/>
                <w:sz w:val="20"/>
                <w:szCs w:val="20"/>
              </w:rPr>
              <w:t xml:space="preserve">$70,167 x </w:t>
            </w:r>
            <w:r w:rsidR="000960C3" w:rsidRPr="000960C3">
              <w:rPr>
                <w:rFonts w:ascii="Arial Narrow" w:hAnsi="Arial Narrow" w:cstheme="minorHAnsi"/>
                <w:spacing w:val="53"/>
                <w:sz w:val="20"/>
                <w:szCs w:val="20"/>
                <w:shd w:val="solid" w:color="000000" w:fill="000000"/>
                <w:fitText w:val="330" w:id="-1506043645"/>
                <w14:textFill>
                  <w14:solidFill>
                    <w14:srgbClr w14:val="000000">
                      <w14:alpha w14:val="100000"/>
                    </w14:srgbClr>
                  </w14:solidFill>
                </w14:textFill>
              </w:rPr>
              <w:t>|||</w:t>
            </w:r>
            <w:r w:rsidR="000960C3" w:rsidRPr="000960C3">
              <w:rPr>
                <w:rFonts w:ascii="Arial Narrow" w:hAnsi="Arial Narrow" w:cstheme="minorHAnsi"/>
                <w:spacing w:val="1"/>
                <w:sz w:val="20"/>
                <w:szCs w:val="20"/>
                <w:shd w:val="solid" w:color="000000" w:fill="000000"/>
                <w:fitText w:val="330" w:id="-1506043645"/>
                <w14:textFill>
                  <w14:solidFill>
                    <w14:srgbClr w14:val="000000">
                      <w14:alpha w14:val="100000"/>
                    </w14:srgbClr>
                  </w14:solidFill>
                </w14:textFill>
              </w:rPr>
              <w:t>|</w:t>
            </w:r>
            <w:r w:rsidRPr="00F04A75">
              <w:rPr>
                <w:rFonts w:ascii="Arial Narrow" w:hAnsi="Arial Narrow" w:cstheme="minorHAnsi"/>
                <w:sz w:val="20"/>
                <w:szCs w:val="20"/>
              </w:rPr>
              <w:t xml:space="preserve">% rebate </w:t>
            </w:r>
          </w:p>
          <w:p w14:paraId="7CBA7026" w14:textId="77777777" w:rsidR="0087219F" w:rsidRPr="00F04A75" w:rsidRDefault="0087219F" w:rsidP="00EB3700">
            <w:pPr>
              <w:pStyle w:val="TableText1"/>
              <w:keepNext/>
              <w:widowControl/>
              <w:spacing w:before="0" w:after="0"/>
              <w:jc w:val="left"/>
              <w:rPr>
                <w:rFonts w:ascii="Arial Narrow" w:hAnsi="Arial Narrow" w:cstheme="minorHAnsi"/>
                <w:sz w:val="20"/>
                <w:szCs w:val="20"/>
              </w:rPr>
            </w:pPr>
            <w:r w:rsidRPr="00F04A75">
              <w:rPr>
                <w:rFonts w:ascii="Arial Narrow" w:hAnsi="Arial Narrow" w:cstheme="minorHAnsi"/>
                <w:sz w:val="20"/>
                <w:szCs w:val="20"/>
              </w:rPr>
              <w:t>84 x $112.40</w:t>
            </w:r>
          </w:p>
          <w:p w14:paraId="176D6528" w14:textId="7480FA6F" w:rsidR="0087219F" w:rsidRPr="00FC0499" w:rsidRDefault="0087219F" w:rsidP="00EB3700">
            <w:pPr>
              <w:pStyle w:val="TableText1"/>
              <w:keepNext/>
              <w:widowControl/>
              <w:spacing w:before="0" w:after="0"/>
              <w:jc w:val="left"/>
              <w:rPr>
                <w:rFonts w:ascii="Arial Narrow" w:hAnsi="Arial Narrow" w:cstheme="minorHAnsi"/>
                <w:sz w:val="20"/>
                <w:szCs w:val="20"/>
              </w:rPr>
            </w:pPr>
            <w:r w:rsidRPr="00FC0499">
              <w:rPr>
                <w:rFonts w:ascii="Arial Narrow" w:hAnsi="Arial Narrow" w:cstheme="minorHAnsi"/>
                <w:sz w:val="20"/>
                <w:szCs w:val="20"/>
              </w:rPr>
              <w:t xml:space="preserve">$346.39 x </w:t>
            </w:r>
            <w:r w:rsidR="000960C3" w:rsidRPr="000960C3">
              <w:rPr>
                <w:rFonts w:ascii="Arial Narrow" w:hAnsi="Arial Narrow" w:cstheme="minorHAnsi"/>
                <w:spacing w:val="53"/>
                <w:sz w:val="20"/>
                <w:szCs w:val="20"/>
                <w:shd w:val="solid" w:color="000000" w:fill="000000"/>
                <w:fitText w:val="330" w:id="-1506043644"/>
                <w14:textFill>
                  <w14:solidFill>
                    <w14:srgbClr w14:val="000000">
                      <w14:alpha w14:val="100000"/>
                    </w14:srgbClr>
                  </w14:solidFill>
                </w14:textFill>
              </w:rPr>
              <w:t>|||</w:t>
            </w:r>
            <w:r w:rsidR="000960C3" w:rsidRPr="000960C3">
              <w:rPr>
                <w:rFonts w:ascii="Arial Narrow" w:hAnsi="Arial Narrow" w:cstheme="minorHAnsi"/>
                <w:spacing w:val="1"/>
                <w:sz w:val="20"/>
                <w:szCs w:val="20"/>
                <w:shd w:val="solid" w:color="000000" w:fill="000000"/>
                <w:fitText w:val="330" w:id="-1506043644"/>
                <w14:textFill>
                  <w14:solidFill>
                    <w14:srgbClr w14:val="000000">
                      <w14:alpha w14:val="100000"/>
                    </w14:srgbClr>
                  </w14:solidFill>
                </w14:textFill>
              </w:rPr>
              <w:t>|</w:t>
            </w:r>
            <w:r w:rsidRPr="00FC0499">
              <w:rPr>
                <w:rFonts w:ascii="Arial Narrow" w:hAnsi="Arial Narrow" w:cstheme="minorHAnsi"/>
                <w:sz w:val="20"/>
                <w:szCs w:val="20"/>
              </w:rPr>
              <w:t xml:space="preserve">% x </w:t>
            </w:r>
            <w:r w:rsidR="000960C3" w:rsidRPr="000960C3">
              <w:rPr>
                <w:rFonts w:ascii="Arial Narrow" w:hAnsi="Arial Narrow" w:cstheme="minorHAnsi"/>
                <w:spacing w:val="53"/>
                <w:sz w:val="20"/>
                <w:szCs w:val="20"/>
                <w:shd w:val="solid" w:color="000000" w:fill="000000"/>
                <w:fitText w:val="330" w:id="-1506043643"/>
                <w14:textFill>
                  <w14:solidFill>
                    <w14:srgbClr w14:val="000000">
                      <w14:alpha w14:val="100000"/>
                    </w14:srgbClr>
                  </w14:solidFill>
                </w14:textFill>
              </w:rPr>
              <w:t>|||</w:t>
            </w:r>
            <w:r w:rsidR="000960C3" w:rsidRPr="000960C3">
              <w:rPr>
                <w:rFonts w:ascii="Arial Narrow" w:hAnsi="Arial Narrow" w:cstheme="minorHAnsi"/>
                <w:spacing w:val="1"/>
                <w:sz w:val="20"/>
                <w:szCs w:val="20"/>
                <w:shd w:val="solid" w:color="000000" w:fill="000000"/>
                <w:fitText w:val="330" w:id="-1506043643"/>
                <w14:textFill>
                  <w14:solidFill>
                    <w14:srgbClr w14:val="000000">
                      <w14:alpha w14:val="100000"/>
                    </w14:srgbClr>
                  </w14:solidFill>
                </w14:textFill>
              </w:rPr>
              <w:t>|</w:t>
            </w:r>
            <w:r w:rsidRPr="00FC0499">
              <w:rPr>
                <w:rFonts w:ascii="Arial Narrow" w:hAnsi="Arial Narrow" w:cstheme="minorHAnsi"/>
                <w:sz w:val="20"/>
                <w:szCs w:val="20"/>
              </w:rPr>
              <w:t>%</w:t>
            </w:r>
          </w:p>
          <w:p w14:paraId="5ACE730A" w14:textId="77777777" w:rsidR="0087219F" w:rsidRPr="00F04A75" w:rsidRDefault="0087219F" w:rsidP="00EB3700">
            <w:pPr>
              <w:pStyle w:val="TableText1"/>
              <w:keepNext/>
              <w:widowControl/>
              <w:spacing w:before="0" w:after="0"/>
              <w:jc w:val="left"/>
              <w:rPr>
                <w:rFonts w:ascii="Arial Narrow" w:hAnsi="Arial Narrow" w:cstheme="minorHAnsi"/>
                <w:sz w:val="20"/>
                <w:szCs w:val="20"/>
              </w:rPr>
            </w:pPr>
            <w:r w:rsidRPr="00F04A75">
              <w:rPr>
                <w:rFonts w:ascii="Arial Narrow" w:hAnsi="Arial Narrow" w:cstheme="minorHAnsi"/>
                <w:sz w:val="20"/>
                <w:szCs w:val="20"/>
              </w:rPr>
              <w:t>Subtraction from total cost</w:t>
            </w:r>
          </w:p>
          <w:p w14:paraId="3D2039B9" w14:textId="6B3C1A03" w:rsidR="0087219F" w:rsidRPr="00F04A75" w:rsidRDefault="0087219F" w:rsidP="00EB3700">
            <w:pPr>
              <w:pStyle w:val="TableText1"/>
              <w:keepNext/>
              <w:widowControl/>
              <w:spacing w:before="0" w:after="0"/>
              <w:jc w:val="left"/>
              <w:rPr>
                <w:rFonts w:ascii="Arial Narrow" w:hAnsi="Arial Narrow" w:cstheme="minorHAnsi"/>
                <w:sz w:val="20"/>
                <w:szCs w:val="20"/>
              </w:rPr>
            </w:pPr>
            <w:r w:rsidRPr="00F04A75">
              <w:rPr>
                <w:rFonts w:ascii="Arial Narrow" w:hAnsi="Arial Narrow" w:cstheme="minorHAnsi"/>
                <w:sz w:val="20"/>
                <w:szCs w:val="20"/>
              </w:rPr>
              <w:t>$</w:t>
            </w:r>
            <w:r w:rsidR="000960C3" w:rsidRPr="000960C3">
              <w:rPr>
                <w:rFonts w:ascii="Arial Narrow" w:hAnsi="Arial Narrow" w:cstheme="minorHAnsi"/>
                <w:spacing w:val="53"/>
                <w:sz w:val="20"/>
                <w:szCs w:val="20"/>
                <w:shd w:val="solid" w:color="000000" w:fill="000000"/>
                <w:fitText w:val="330" w:id="-1506043642"/>
                <w14:textFill>
                  <w14:solidFill>
                    <w14:srgbClr w14:val="000000">
                      <w14:alpha w14:val="100000"/>
                    </w14:srgbClr>
                  </w14:solidFill>
                </w14:textFill>
              </w:rPr>
              <w:t>|||</w:t>
            </w:r>
            <w:r w:rsidR="000960C3" w:rsidRPr="000960C3">
              <w:rPr>
                <w:rFonts w:ascii="Arial Narrow" w:hAnsi="Arial Narrow" w:cstheme="minorHAnsi"/>
                <w:spacing w:val="1"/>
                <w:sz w:val="20"/>
                <w:szCs w:val="20"/>
                <w:shd w:val="solid" w:color="000000" w:fill="000000"/>
                <w:fitText w:val="330" w:id="-1506043642"/>
                <w14:textFill>
                  <w14:solidFill>
                    <w14:srgbClr w14:val="000000">
                      <w14:alpha w14:val="100000"/>
                    </w14:srgbClr>
                  </w14:solidFill>
                </w14:textFill>
              </w:rPr>
              <w:t>|</w:t>
            </w:r>
            <w:r w:rsidRPr="00F04A75">
              <w:rPr>
                <w:rFonts w:ascii="Arial Narrow" w:hAnsi="Arial Narrow" w:cstheme="minorHAnsi"/>
                <w:sz w:val="20"/>
                <w:szCs w:val="20"/>
              </w:rPr>
              <w:t xml:space="preserve"> /</w:t>
            </w:r>
            <w:r w:rsidR="00FF5D46" w:rsidRPr="00F04A75">
              <w:rPr>
                <w:rFonts w:ascii="Arial Narrow" w:hAnsi="Arial Narrow" w:cstheme="minorHAnsi"/>
                <w:sz w:val="20"/>
                <w:szCs w:val="20"/>
              </w:rPr>
              <w:t xml:space="preserve"> </w:t>
            </w:r>
            <w:r w:rsidRPr="00F04A75">
              <w:rPr>
                <w:rFonts w:ascii="Arial Narrow" w:hAnsi="Arial Narrow" w:cstheme="minorHAnsi"/>
                <w:sz w:val="20"/>
                <w:szCs w:val="20"/>
              </w:rPr>
              <w:t>4</w:t>
            </w:r>
            <w:r w:rsidR="001D4D74" w:rsidRPr="00F04A75">
              <w:rPr>
                <w:rFonts w:ascii="Arial Narrow" w:hAnsi="Arial Narrow" w:cstheme="minorHAnsi"/>
                <w:sz w:val="20"/>
                <w:szCs w:val="20"/>
              </w:rPr>
              <w:t>,</w:t>
            </w:r>
            <w:r w:rsidRPr="00F04A75">
              <w:rPr>
                <w:rFonts w:ascii="Arial Narrow" w:hAnsi="Arial Narrow" w:cstheme="minorHAnsi"/>
                <w:sz w:val="20"/>
                <w:szCs w:val="20"/>
              </w:rPr>
              <w:t xml:space="preserve">478 mg </w:t>
            </w:r>
          </w:p>
          <w:p w14:paraId="1853480C" w14:textId="037E3EC8" w:rsidR="0087219F" w:rsidRPr="00F04A75" w:rsidRDefault="0087219F" w:rsidP="00EB3700">
            <w:pPr>
              <w:pStyle w:val="Tabletext"/>
              <w:keepNext/>
              <w:rPr>
                <w:szCs w:val="20"/>
              </w:rPr>
            </w:pPr>
            <w:r w:rsidRPr="00F04A75">
              <w:rPr>
                <w:rFonts w:cstheme="minorHAnsi"/>
                <w:szCs w:val="20"/>
              </w:rPr>
              <w:t>Rebate vs. $21.1</w:t>
            </w:r>
            <w:r w:rsidR="004F1212" w:rsidRPr="00F04A75">
              <w:rPr>
                <w:rFonts w:cstheme="minorHAnsi"/>
                <w:szCs w:val="20"/>
              </w:rPr>
              <w:t>5</w:t>
            </w:r>
            <w:r w:rsidRPr="00F04A75">
              <w:rPr>
                <w:rFonts w:cstheme="minorHAnsi"/>
                <w:szCs w:val="20"/>
              </w:rPr>
              <w:t>/mg</w:t>
            </w:r>
          </w:p>
        </w:tc>
      </w:tr>
    </w:tbl>
    <w:p w14:paraId="685CFA4B" w14:textId="77777777" w:rsidR="0087219F" w:rsidRPr="00F04A75" w:rsidRDefault="0087219F" w:rsidP="0087219F">
      <w:pPr>
        <w:pStyle w:val="TableFooter"/>
      </w:pPr>
      <w:r w:rsidRPr="00F04A75">
        <w:t>Source: Table 3.4-2, p107-108 of the resubmission</w:t>
      </w:r>
      <w:r w:rsidRPr="00F04A75" w:rsidDel="001766AE">
        <w:t xml:space="preserve"> </w:t>
      </w:r>
    </w:p>
    <w:p w14:paraId="51FB03D5" w14:textId="0E2DB1DF" w:rsidR="0087219F" w:rsidRPr="00F04A75" w:rsidRDefault="0087219F" w:rsidP="0087219F">
      <w:pPr>
        <w:pStyle w:val="TableFooter"/>
      </w:pPr>
      <w:r w:rsidRPr="00F04A75">
        <w:t xml:space="preserve">BIW = </w:t>
      </w:r>
      <w:r w:rsidR="00D20DF8" w:rsidRPr="00F04A75">
        <w:t xml:space="preserve">twice </w:t>
      </w:r>
      <w:r w:rsidRPr="00F04A75">
        <w:t xml:space="preserve">weekly; Cd = carfilzomib </w:t>
      </w:r>
      <w:r w:rsidR="00D20DF8" w:rsidRPr="00F04A75">
        <w:t xml:space="preserve">and </w:t>
      </w:r>
      <w:r w:rsidRPr="00F04A75">
        <w:t xml:space="preserve">dexamethasone; </w:t>
      </w:r>
      <w:proofErr w:type="spellStart"/>
      <w:r w:rsidRPr="00F04A75">
        <w:t>CLd</w:t>
      </w:r>
      <w:proofErr w:type="spellEnd"/>
      <w:r w:rsidRPr="00F04A75">
        <w:t xml:space="preserve"> = carfilzomib</w:t>
      </w:r>
      <w:r w:rsidR="00D20DF8" w:rsidRPr="00F04A75">
        <w:t xml:space="preserve">, </w:t>
      </w:r>
      <w:r w:rsidRPr="00F04A75">
        <w:t>lenalidomide and dexamethasone; QW = once weekly</w:t>
      </w:r>
      <w:r w:rsidR="004F1212" w:rsidRPr="00F04A75">
        <w:t xml:space="preserve">; SPA = </w:t>
      </w:r>
      <w:r w:rsidR="00D20DF8" w:rsidRPr="00F04A75">
        <w:t>s</w:t>
      </w:r>
      <w:r w:rsidR="004F1212" w:rsidRPr="00F04A75">
        <w:t xml:space="preserve">pecial </w:t>
      </w:r>
      <w:r w:rsidR="00D20DF8" w:rsidRPr="00F04A75">
        <w:t>p</w:t>
      </w:r>
      <w:r w:rsidR="004F1212" w:rsidRPr="00F04A75">
        <w:t xml:space="preserve">ricing </w:t>
      </w:r>
      <w:r w:rsidR="00D20DF8" w:rsidRPr="00F04A75">
        <w:t>a</w:t>
      </w:r>
      <w:r w:rsidR="004F1212" w:rsidRPr="00F04A75">
        <w:t>rrangement</w:t>
      </w:r>
    </w:p>
    <w:p w14:paraId="25CEF47F" w14:textId="77777777" w:rsidR="0087219F" w:rsidRPr="00F04A75" w:rsidRDefault="0087219F" w:rsidP="0087219F">
      <w:pPr>
        <w:pStyle w:val="3-BodyText"/>
        <w:numPr>
          <w:ilvl w:val="0"/>
          <w:numId w:val="0"/>
        </w:numPr>
        <w:rPr>
          <w:rFonts w:ascii="Arial Narrow" w:hAnsi="Arial Narrow"/>
          <w:sz w:val="20"/>
          <w:szCs w:val="16"/>
        </w:rPr>
      </w:pPr>
    </w:p>
    <w:p w14:paraId="35AD8992" w14:textId="539CED91" w:rsidR="00A06F2D" w:rsidRPr="00F04A75" w:rsidRDefault="0087219F" w:rsidP="00275B0B">
      <w:pPr>
        <w:pStyle w:val="3-BodyText"/>
        <w:keepNext/>
        <w:spacing w:after="0"/>
        <w:rPr>
          <w:rFonts w:cstheme="minorHAnsi"/>
          <w:i/>
        </w:rPr>
      </w:pPr>
      <w:r w:rsidRPr="00F04A75">
        <w:t xml:space="preserve">The results of sensitivity analyses are </w:t>
      </w:r>
      <w:r w:rsidRPr="00F04A75">
        <w:rPr>
          <w:rFonts w:cstheme="minorHAnsi"/>
        </w:rPr>
        <w:t xml:space="preserve">presented in </w:t>
      </w:r>
      <w:r w:rsidRPr="00F04A75">
        <w:rPr>
          <w:rFonts w:cstheme="minorHAnsi"/>
        </w:rPr>
        <w:fldChar w:fldCharType="begin"/>
      </w:r>
      <w:r w:rsidRPr="00F04A75">
        <w:rPr>
          <w:rFonts w:cstheme="minorHAnsi"/>
        </w:rPr>
        <w:instrText xml:space="preserve"> REF _Ref92450840 \h  \* MERGEFORMAT </w:instrText>
      </w:r>
      <w:r w:rsidRPr="00F04A75">
        <w:rPr>
          <w:rFonts w:cstheme="minorHAnsi"/>
        </w:rPr>
      </w:r>
      <w:r w:rsidRPr="00F04A75">
        <w:rPr>
          <w:rFonts w:cstheme="minorHAnsi"/>
        </w:rPr>
        <w:fldChar w:fldCharType="separate"/>
      </w:r>
      <w:r w:rsidR="00443BC9" w:rsidRPr="00443BC9">
        <w:rPr>
          <w:rFonts w:cstheme="minorHAnsi"/>
        </w:rPr>
        <w:t>Table</w:t>
      </w:r>
      <w:r w:rsidR="00443BC9" w:rsidRPr="00F04A75">
        <w:rPr>
          <w:rFonts w:ascii="Arial Narrow" w:hAnsi="Arial Narrow"/>
          <w:sz w:val="20"/>
          <w:szCs w:val="20"/>
        </w:rPr>
        <w:t xml:space="preserve"> </w:t>
      </w:r>
      <w:r w:rsidRPr="00F04A75">
        <w:rPr>
          <w:rFonts w:cstheme="minorHAnsi"/>
        </w:rPr>
        <w:fldChar w:fldCharType="end"/>
      </w:r>
      <w:r w:rsidR="00B63828">
        <w:rPr>
          <w:rFonts w:cstheme="minorHAnsi"/>
        </w:rPr>
        <w:t xml:space="preserve"> </w:t>
      </w:r>
      <w:r w:rsidR="00C8791A">
        <w:rPr>
          <w:rFonts w:cstheme="minorHAnsi"/>
        </w:rPr>
        <w:t>19</w:t>
      </w:r>
      <w:r w:rsidRPr="00F04A75">
        <w:rPr>
          <w:rFonts w:cstheme="minorHAnsi"/>
        </w:rPr>
        <w:t xml:space="preserve">. </w:t>
      </w:r>
    </w:p>
    <w:p w14:paraId="0DAC8014" w14:textId="77777777" w:rsidR="00727F21" w:rsidRPr="00F04A75" w:rsidRDefault="00727F21" w:rsidP="00727F21"/>
    <w:p w14:paraId="34BAD16B" w14:textId="42B19B03" w:rsidR="0087219F" w:rsidRPr="00F04A75" w:rsidRDefault="0087219F" w:rsidP="00727F21">
      <w:pPr>
        <w:pStyle w:val="Caption"/>
        <w:keepNext/>
        <w:spacing w:after="0"/>
        <w:rPr>
          <w:rStyle w:val="CommentReference"/>
          <w:szCs w:val="20"/>
        </w:rPr>
      </w:pPr>
      <w:bookmarkStart w:id="52" w:name="_Ref92450840"/>
      <w:r w:rsidRPr="00F04A75">
        <w:rPr>
          <w:rFonts w:ascii="Arial Narrow" w:hAnsi="Arial Narrow"/>
          <w:color w:val="auto"/>
          <w:sz w:val="20"/>
          <w:szCs w:val="20"/>
        </w:rPr>
        <w:t xml:space="preserve">Table </w:t>
      </w:r>
      <w:bookmarkEnd w:id="52"/>
      <w:r w:rsidR="00C8791A">
        <w:rPr>
          <w:rFonts w:ascii="Arial Narrow" w:hAnsi="Arial Narrow"/>
          <w:color w:val="auto"/>
          <w:sz w:val="20"/>
          <w:szCs w:val="20"/>
        </w:rPr>
        <w:t>19</w:t>
      </w:r>
      <w:r w:rsidRPr="00F04A75">
        <w:rPr>
          <w:rFonts w:ascii="Arial Narrow" w:hAnsi="Arial Narrow"/>
          <w:color w:val="auto"/>
          <w:sz w:val="20"/>
          <w:szCs w:val="20"/>
        </w:rPr>
        <w:t xml:space="preserve">: Sensitivity analyses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2"/>
        <w:gridCol w:w="1558"/>
        <w:gridCol w:w="1367"/>
      </w:tblGrid>
      <w:tr w:rsidR="0087219F" w:rsidRPr="00F04A75" w14:paraId="3F521BB4" w14:textId="77777777" w:rsidTr="004E32F8">
        <w:trPr>
          <w:cantSplit/>
          <w:trHeight w:val="242"/>
          <w:tblHeader/>
        </w:trPr>
        <w:tc>
          <w:tcPr>
            <w:tcW w:w="3378" w:type="pct"/>
            <w:vAlign w:val="center"/>
          </w:tcPr>
          <w:p w14:paraId="7E00CA63" w14:textId="77777777" w:rsidR="0087219F" w:rsidRPr="00F04A75" w:rsidRDefault="0087219F" w:rsidP="00B26A7F">
            <w:pPr>
              <w:pStyle w:val="In-tableHeading"/>
              <w:rPr>
                <w:szCs w:val="20"/>
                <w:lang w:val="en-AU"/>
              </w:rPr>
            </w:pPr>
            <w:r w:rsidRPr="00F04A75">
              <w:rPr>
                <w:szCs w:val="20"/>
                <w:lang w:val="en-AU"/>
              </w:rPr>
              <w:t>Analyses</w:t>
            </w:r>
          </w:p>
        </w:tc>
        <w:tc>
          <w:tcPr>
            <w:tcW w:w="864" w:type="pct"/>
          </w:tcPr>
          <w:p w14:paraId="7F6133F8" w14:textId="77777777" w:rsidR="0087219F" w:rsidRPr="00F04A75" w:rsidRDefault="0087219F" w:rsidP="00B26A7F">
            <w:pPr>
              <w:pStyle w:val="In-tableHeading"/>
              <w:jc w:val="center"/>
              <w:rPr>
                <w:szCs w:val="20"/>
                <w:lang w:val="en-AU"/>
              </w:rPr>
            </w:pPr>
            <w:r w:rsidRPr="00F04A75">
              <w:rPr>
                <w:szCs w:val="20"/>
                <w:lang w:val="en-AU"/>
              </w:rPr>
              <w:t>Price per course of treatment</w:t>
            </w:r>
          </w:p>
        </w:tc>
        <w:tc>
          <w:tcPr>
            <w:tcW w:w="758" w:type="pct"/>
          </w:tcPr>
          <w:p w14:paraId="4F13A29C" w14:textId="2807557E" w:rsidR="0087219F" w:rsidRPr="00F04A75" w:rsidRDefault="0087219F" w:rsidP="00FA7A9A">
            <w:pPr>
              <w:pStyle w:val="In-tableHeading"/>
              <w:jc w:val="center"/>
              <w:rPr>
                <w:szCs w:val="20"/>
                <w:lang w:val="en-AU"/>
              </w:rPr>
            </w:pPr>
            <w:r w:rsidRPr="00F04A75">
              <w:rPr>
                <w:szCs w:val="20"/>
                <w:lang w:val="en-AU"/>
              </w:rPr>
              <w:t>Change from base case</w:t>
            </w:r>
          </w:p>
        </w:tc>
      </w:tr>
      <w:tr w:rsidR="0087219F" w:rsidRPr="00F04A75" w14:paraId="6EC88611" w14:textId="77777777" w:rsidTr="004E32F8">
        <w:trPr>
          <w:cantSplit/>
          <w:trHeight w:val="183"/>
        </w:trPr>
        <w:tc>
          <w:tcPr>
            <w:tcW w:w="3378" w:type="pct"/>
            <w:vAlign w:val="center"/>
          </w:tcPr>
          <w:p w14:paraId="4BFDAAD9" w14:textId="1DD4CE06" w:rsidR="0087219F" w:rsidRPr="00F04A75" w:rsidRDefault="0087219F" w:rsidP="00B26A7F">
            <w:pPr>
              <w:pStyle w:val="TableText0"/>
              <w:rPr>
                <w:b/>
                <w:szCs w:val="20"/>
              </w:rPr>
            </w:pPr>
            <w:bookmarkStart w:id="53" w:name="_Hlk98406041"/>
            <w:r w:rsidRPr="00F04A75">
              <w:rPr>
                <w:b/>
                <w:szCs w:val="20"/>
              </w:rPr>
              <w:t xml:space="preserve">Base case </w:t>
            </w:r>
            <w:r w:rsidR="007C6101" w:rsidRPr="00F04A75">
              <w:rPr>
                <w:b/>
                <w:bCs w:val="0"/>
                <w:szCs w:val="20"/>
              </w:rPr>
              <w:t>(</w:t>
            </w:r>
            <w:r w:rsidR="002C2756" w:rsidRPr="00F04A75">
              <w:rPr>
                <w:b/>
                <w:bCs w:val="0"/>
                <w:szCs w:val="20"/>
              </w:rPr>
              <w:t xml:space="preserve">DOT = </w:t>
            </w:r>
            <w:r w:rsidR="007C6101" w:rsidRPr="00F04A75">
              <w:rPr>
                <w:b/>
                <w:bCs w:val="0"/>
                <w:szCs w:val="20"/>
              </w:rPr>
              <w:t>15 cycles</w:t>
            </w:r>
            <w:r w:rsidR="002C2756" w:rsidRPr="00F04A75">
              <w:rPr>
                <w:b/>
                <w:bCs w:val="0"/>
                <w:szCs w:val="20"/>
              </w:rPr>
              <w:t>; Cd 55% QW and 45% BIW</w:t>
            </w:r>
            <w:r w:rsidR="007C6101" w:rsidRPr="00F04A75">
              <w:rPr>
                <w:b/>
                <w:bCs w:val="0"/>
                <w:szCs w:val="20"/>
              </w:rPr>
              <w:t>)</w:t>
            </w:r>
          </w:p>
        </w:tc>
        <w:tc>
          <w:tcPr>
            <w:tcW w:w="864" w:type="pct"/>
            <w:vAlign w:val="center"/>
          </w:tcPr>
          <w:p w14:paraId="5D90143B" w14:textId="61B40EC6" w:rsidR="0087219F" w:rsidRPr="00F04A75" w:rsidRDefault="0087219F" w:rsidP="00B26A7F">
            <w:pPr>
              <w:pStyle w:val="TableText0"/>
              <w:jc w:val="center"/>
              <w:rPr>
                <w:b/>
                <w:szCs w:val="20"/>
                <w:highlight w:val="black"/>
              </w:rPr>
            </w:pPr>
            <w:r w:rsidRPr="00F04A75">
              <w:rPr>
                <w:b/>
                <w:szCs w:val="20"/>
              </w:rPr>
              <w:t>$</w:t>
            </w:r>
            <w:r w:rsidR="000960C3" w:rsidRPr="000960C3">
              <w:rPr>
                <w:b/>
                <w:color w:val="000000"/>
                <w:szCs w:val="20"/>
                <w:shd w:val="solid" w:color="000000" w:fill="000000"/>
                <w14:textFill>
                  <w14:solidFill>
                    <w14:srgbClr w14:val="000000">
                      <w14:alpha w14:val="100000"/>
                    </w14:srgbClr>
                  </w14:solidFill>
                </w14:textFill>
              </w:rPr>
              <w:t>|</w:t>
            </w:r>
          </w:p>
        </w:tc>
        <w:tc>
          <w:tcPr>
            <w:tcW w:w="758" w:type="pct"/>
            <w:vAlign w:val="center"/>
          </w:tcPr>
          <w:p w14:paraId="7B650D9F" w14:textId="7935428B" w:rsidR="0087219F" w:rsidRPr="00F04A75" w:rsidRDefault="00B26A7F" w:rsidP="00B26A7F">
            <w:pPr>
              <w:pStyle w:val="TableText0"/>
              <w:jc w:val="center"/>
              <w:rPr>
                <w:bCs w:val="0"/>
                <w:szCs w:val="20"/>
              </w:rPr>
            </w:pPr>
            <w:r w:rsidRPr="00F04A75">
              <w:rPr>
                <w:bCs w:val="0"/>
                <w:szCs w:val="20"/>
              </w:rPr>
              <w:t>-</w:t>
            </w:r>
          </w:p>
        </w:tc>
      </w:tr>
      <w:tr w:rsidR="007C6101" w:rsidRPr="00F04A75" w14:paraId="13D6886F" w14:textId="77777777" w:rsidTr="004E32F8">
        <w:trPr>
          <w:cantSplit/>
          <w:trHeight w:val="133"/>
        </w:trPr>
        <w:tc>
          <w:tcPr>
            <w:tcW w:w="3378" w:type="pct"/>
            <w:vAlign w:val="center"/>
          </w:tcPr>
          <w:p w14:paraId="30AA6B88" w14:textId="77777777" w:rsidR="007C6101" w:rsidRPr="00F04A75" w:rsidRDefault="007C6101" w:rsidP="00B26A7F">
            <w:pPr>
              <w:pStyle w:val="TableText0"/>
              <w:rPr>
                <w:b/>
                <w:bCs w:val="0"/>
                <w:szCs w:val="20"/>
              </w:rPr>
            </w:pPr>
            <w:r w:rsidRPr="00F04A75">
              <w:rPr>
                <w:szCs w:val="20"/>
              </w:rPr>
              <w:t xml:space="preserve">Lenalidomide </w:t>
            </w:r>
          </w:p>
        </w:tc>
        <w:tc>
          <w:tcPr>
            <w:tcW w:w="864" w:type="pct"/>
            <w:vAlign w:val="center"/>
          </w:tcPr>
          <w:p w14:paraId="14EC1980" w14:textId="77777777" w:rsidR="007C6101" w:rsidRPr="00F04A75" w:rsidRDefault="00F95A29" w:rsidP="00B26A7F">
            <w:pPr>
              <w:pStyle w:val="TableText0"/>
              <w:jc w:val="center"/>
              <w:rPr>
                <w:szCs w:val="20"/>
              </w:rPr>
            </w:pPr>
            <w:r w:rsidRPr="00F04A75">
              <w:rPr>
                <w:szCs w:val="20"/>
              </w:rPr>
              <w:t>$31,575</w:t>
            </w:r>
          </w:p>
        </w:tc>
        <w:tc>
          <w:tcPr>
            <w:tcW w:w="758" w:type="pct"/>
            <w:vAlign w:val="center"/>
          </w:tcPr>
          <w:p w14:paraId="409AF5DA" w14:textId="0B46C8B5" w:rsidR="007C6101" w:rsidRPr="00F04A75" w:rsidRDefault="00B26A7F" w:rsidP="00B26A7F">
            <w:pPr>
              <w:pStyle w:val="TableText0"/>
              <w:jc w:val="center"/>
              <w:rPr>
                <w:bCs w:val="0"/>
                <w:szCs w:val="20"/>
              </w:rPr>
            </w:pPr>
            <w:r w:rsidRPr="00F04A75">
              <w:rPr>
                <w:bCs w:val="0"/>
                <w:szCs w:val="20"/>
              </w:rPr>
              <w:t>-</w:t>
            </w:r>
          </w:p>
        </w:tc>
      </w:tr>
      <w:tr w:rsidR="007C6101" w:rsidRPr="00F04A75" w14:paraId="142046DB" w14:textId="77777777" w:rsidTr="004E32F8">
        <w:trPr>
          <w:cantSplit/>
          <w:trHeight w:val="60"/>
        </w:trPr>
        <w:tc>
          <w:tcPr>
            <w:tcW w:w="3378" w:type="pct"/>
            <w:vAlign w:val="center"/>
          </w:tcPr>
          <w:p w14:paraId="283CD4CE" w14:textId="77777777" w:rsidR="007C6101" w:rsidRPr="00F04A75" w:rsidRDefault="007C6101" w:rsidP="00B26A7F">
            <w:pPr>
              <w:pStyle w:val="TableText0"/>
              <w:rPr>
                <w:b/>
                <w:bCs w:val="0"/>
                <w:szCs w:val="20"/>
              </w:rPr>
            </w:pPr>
            <w:r w:rsidRPr="00F04A75">
              <w:rPr>
                <w:szCs w:val="20"/>
              </w:rPr>
              <w:t xml:space="preserve">Remaining for carfilzomib </w:t>
            </w:r>
          </w:p>
        </w:tc>
        <w:tc>
          <w:tcPr>
            <w:tcW w:w="864" w:type="pct"/>
            <w:vAlign w:val="center"/>
          </w:tcPr>
          <w:p w14:paraId="40BCAB71" w14:textId="032A55F0" w:rsidR="007C6101" w:rsidRPr="00F04A75" w:rsidRDefault="00431D40" w:rsidP="00B26A7F">
            <w:pPr>
              <w:pStyle w:val="TableText0"/>
              <w:jc w:val="center"/>
              <w:rPr>
                <w:szCs w:val="20"/>
              </w:rPr>
            </w:pPr>
            <w:r w:rsidRPr="00F04A75">
              <w:rPr>
                <w:szCs w:val="20"/>
              </w:rPr>
              <w:t>$</w:t>
            </w:r>
            <w:r w:rsidR="000960C3" w:rsidRPr="000960C3">
              <w:rPr>
                <w:color w:val="000000"/>
                <w:szCs w:val="20"/>
                <w:shd w:val="solid" w:color="000000" w:fill="000000"/>
                <w14:textFill>
                  <w14:solidFill>
                    <w14:srgbClr w14:val="000000">
                      <w14:alpha w14:val="100000"/>
                    </w14:srgbClr>
                  </w14:solidFill>
                </w14:textFill>
              </w:rPr>
              <w:t>|</w:t>
            </w:r>
          </w:p>
        </w:tc>
        <w:tc>
          <w:tcPr>
            <w:tcW w:w="758" w:type="pct"/>
            <w:vAlign w:val="center"/>
          </w:tcPr>
          <w:p w14:paraId="2109E844" w14:textId="358E851F" w:rsidR="007C6101" w:rsidRPr="00F04A75" w:rsidRDefault="00B26A7F" w:rsidP="00B26A7F">
            <w:pPr>
              <w:pStyle w:val="TableText0"/>
              <w:jc w:val="center"/>
              <w:rPr>
                <w:bCs w:val="0"/>
                <w:szCs w:val="20"/>
              </w:rPr>
            </w:pPr>
            <w:r w:rsidRPr="00F04A75">
              <w:rPr>
                <w:bCs w:val="0"/>
                <w:szCs w:val="20"/>
              </w:rPr>
              <w:t>-</w:t>
            </w:r>
          </w:p>
        </w:tc>
      </w:tr>
      <w:tr w:rsidR="007C6101" w:rsidRPr="00F04A75" w14:paraId="24CA619E" w14:textId="77777777" w:rsidTr="004E32F8">
        <w:trPr>
          <w:cantSplit/>
          <w:trHeight w:val="60"/>
        </w:trPr>
        <w:tc>
          <w:tcPr>
            <w:tcW w:w="3378" w:type="pct"/>
            <w:vAlign w:val="center"/>
          </w:tcPr>
          <w:p w14:paraId="354B0458" w14:textId="77777777" w:rsidR="007C6101" w:rsidRPr="00F04A75" w:rsidRDefault="00581F0F" w:rsidP="00B26A7F">
            <w:pPr>
              <w:pStyle w:val="TableText0"/>
              <w:rPr>
                <w:b/>
                <w:bCs w:val="0"/>
                <w:szCs w:val="20"/>
              </w:rPr>
            </w:pPr>
            <w:r w:rsidRPr="00F04A75">
              <w:rPr>
                <w:szCs w:val="20"/>
              </w:rPr>
              <w:t xml:space="preserve">Carfilzomib </w:t>
            </w:r>
            <w:r w:rsidR="00336410" w:rsidRPr="00F04A75">
              <w:rPr>
                <w:szCs w:val="20"/>
              </w:rPr>
              <w:t>price</w:t>
            </w:r>
            <w:r w:rsidR="007C6101" w:rsidRPr="00F04A75">
              <w:rPr>
                <w:szCs w:val="20"/>
              </w:rPr>
              <w:t xml:space="preserve"> per mg </w:t>
            </w:r>
          </w:p>
        </w:tc>
        <w:tc>
          <w:tcPr>
            <w:tcW w:w="864" w:type="pct"/>
            <w:vAlign w:val="center"/>
          </w:tcPr>
          <w:p w14:paraId="19F27412" w14:textId="050B55A8" w:rsidR="007C6101" w:rsidRPr="00F04A75" w:rsidRDefault="004F36D9" w:rsidP="00B26A7F">
            <w:pPr>
              <w:pStyle w:val="TableText0"/>
              <w:jc w:val="center"/>
              <w:rPr>
                <w:szCs w:val="20"/>
              </w:rPr>
            </w:pPr>
            <w:r w:rsidRPr="00F04A75">
              <w:rPr>
                <w:szCs w:val="20"/>
              </w:rPr>
              <w:t>$</w:t>
            </w:r>
            <w:r w:rsidR="000960C3" w:rsidRPr="000960C3">
              <w:rPr>
                <w:color w:val="000000"/>
                <w:szCs w:val="20"/>
                <w:shd w:val="solid" w:color="000000" w:fill="000000"/>
                <w14:textFill>
                  <w14:solidFill>
                    <w14:srgbClr w14:val="000000">
                      <w14:alpha w14:val="100000"/>
                    </w14:srgbClr>
                  </w14:solidFill>
                </w14:textFill>
              </w:rPr>
              <w:t>|</w:t>
            </w:r>
          </w:p>
        </w:tc>
        <w:tc>
          <w:tcPr>
            <w:tcW w:w="758" w:type="pct"/>
            <w:vAlign w:val="center"/>
          </w:tcPr>
          <w:p w14:paraId="055B90B0" w14:textId="3795C709" w:rsidR="007C6101" w:rsidRPr="00F04A75" w:rsidRDefault="00B26A7F" w:rsidP="00B26A7F">
            <w:pPr>
              <w:pStyle w:val="TableText0"/>
              <w:jc w:val="center"/>
              <w:rPr>
                <w:bCs w:val="0"/>
                <w:szCs w:val="20"/>
              </w:rPr>
            </w:pPr>
            <w:r w:rsidRPr="00F04A75">
              <w:rPr>
                <w:bCs w:val="0"/>
                <w:szCs w:val="20"/>
              </w:rPr>
              <w:t>-</w:t>
            </w:r>
          </w:p>
        </w:tc>
      </w:tr>
      <w:tr w:rsidR="007C6101" w:rsidRPr="00F04A75" w14:paraId="0ABB0461" w14:textId="77777777" w:rsidTr="004E32F8">
        <w:trPr>
          <w:cantSplit/>
          <w:trHeight w:val="60"/>
        </w:trPr>
        <w:tc>
          <w:tcPr>
            <w:tcW w:w="3378" w:type="pct"/>
            <w:vAlign w:val="center"/>
          </w:tcPr>
          <w:p w14:paraId="030FAE4A" w14:textId="42886644" w:rsidR="007C6101" w:rsidRPr="00F04A75" w:rsidRDefault="004F1212" w:rsidP="00B26A7F">
            <w:pPr>
              <w:pStyle w:val="TableText0"/>
              <w:rPr>
                <w:b/>
                <w:bCs w:val="0"/>
                <w:szCs w:val="20"/>
              </w:rPr>
            </w:pPr>
            <w:r w:rsidRPr="00F04A75">
              <w:rPr>
                <w:szCs w:val="20"/>
              </w:rPr>
              <w:t>SPA (estimated rebate on published price)</w:t>
            </w:r>
            <w:r w:rsidR="007C6101" w:rsidRPr="00F04A75">
              <w:rPr>
                <w:szCs w:val="20"/>
              </w:rPr>
              <w:t xml:space="preserve"> </w:t>
            </w:r>
          </w:p>
        </w:tc>
        <w:tc>
          <w:tcPr>
            <w:tcW w:w="864" w:type="pct"/>
            <w:vAlign w:val="center"/>
          </w:tcPr>
          <w:p w14:paraId="0B9DEFBA" w14:textId="351ECC18" w:rsidR="007C6101" w:rsidRPr="00F04A75" w:rsidRDefault="000960C3" w:rsidP="00B26A7F">
            <w:pPr>
              <w:pStyle w:val="TableText0"/>
              <w:jc w:val="center"/>
              <w:rPr>
                <w:szCs w:val="20"/>
              </w:rPr>
            </w:pPr>
            <w:r w:rsidRPr="000960C3">
              <w:rPr>
                <w:color w:val="000000"/>
                <w:szCs w:val="20"/>
                <w:shd w:val="solid" w:color="000000" w:fill="000000"/>
                <w14:textFill>
                  <w14:solidFill>
                    <w14:srgbClr w14:val="000000">
                      <w14:alpha w14:val="100000"/>
                    </w14:srgbClr>
                  </w14:solidFill>
                </w14:textFill>
              </w:rPr>
              <w:t>|</w:t>
            </w:r>
            <w:r w:rsidR="004F36D9" w:rsidRPr="00F04A75">
              <w:rPr>
                <w:szCs w:val="20"/>
              </w:rPr>
              <w:t>%</w:t>
            </w:r>
          </w:p>
        </w:tc>
        <w:tc>
          <w:tcPr>
            <w:tcW w:w="758" w:type="pct"/>
            <w:vAlign w:val="center"/>
          </w:tcPr>
          <w:p w14:paraId="450277CE" w14:textId="080176C5" w:rsidR="007C6101" w:rsidRPr="00F04A75" w:rsidRDefault="00B26A7F" w:rsidP="00B26A7F">
            <w:pPr>
              <w:pStyle w:val="TableText0"/>
              <w:jc w:val="center"/>
              <w:rPr>
                <w:bCs w:val="0"/>
                <w:szCs w:val="20"/>
              </w:rPr>
            </w:pPr>
            <w:r w:rsidRPr="00F04A75">
              <w:rPr>
                <w:bCs w:val="0"/>
                <w:szCs w:val="20"/>
              </w:rPr>
              <w:t>-</w:t>
            </w:r>
          </w:p>
        </w:tc>
      </w:tr>
      <w:bookmarkEnd w:id="53"/>
      <w:tr w:rsidR="00280F24" w:rsidRPr="00F04A75" w14:paraId="76572CB2" w14:textId="77777777" w:rsidTr="004E32F8">
        <w:trPr>
          <w:cantSplit/>
          <w:trHeight w:val="60"/>
        </w:trPr>
        <w:tc>
          <w:tcPr>
            <w:tcW w:w="3378" w:type="pct"/>
            <w:vAlign w:val="center"/>
          </w:tcPr>
          <w:p w14:paraId="1247EF76" w14:textId="5ADE7039" w:rsidR="00280F24" w:rsidRPr="00F04A75" w:rsidRDefault="00280F24" w:rsidP="00B26A7F">
            <w:pPr>
              <w:pStyle w:val="TableText0"/>
              <w:rPr>
                <w:b/>
                <w:bCs w:val="0"/>
                <w:szCs w:val="20"/>
              </w:rPr>
            </w:pPr>
            <w:r w:rsidRPr="00F04A75">
              <w:rPr>
                <w:b/>
                <w:bCs w:val="0"/>
                <w:szCs w:val="20"/>
              </w:rPr>
              <w:t>DOT = 12 cycles (based on the November 2016 submission)</w:t>
            </w:r>
          </w:p>
        </w:tc>
        <w:tc>
          <w:tcPr>
            <w:tcW w:w="864" w:type="pct"/>
            <w:vAlign w:val="center"/>
          </w:tcPr>
          <w:p w14:paraId="6CBA4F91" w14:textId="0BC8A3AF" w:rsidR="00280F24" w:rsidRPr="00F04A75" w:rsidRDefault="00280F24" w:rsidP="00B26A7F">
            <w:pPr>
              <w:pStyle w:val="TableText0"/>
              <w:jc w:val="center"/>
              <w:rPr>
                <w:rFonts w:eastAsia="Calibri"/>
                <w:b/>
                <w:bCs w:val="0"/>
                <w:szCs w:val="20"/>
              </w:rPr>
            </w:pPr>
            <w:r w:rsidRPr="00F04A75">
              <w:rPr>
                <w:rFonts w:eastAsia="Calibri"/>
                <w:b/>
                <w:bCs w:val="0"/>
                <w:szCs w:val="20"/>
              </w:rPr>
              <w:t>$</w:t>
            </w:r>
            <w:r w:rsidR="000960C3" w:rsidRPr="000960C3">
              <w:rPr>
                <w:rFonts w:eastAsia="Calibri"/>
                <w:b/>
                <w:bCs w:val="0"/>
                <w:color w:val="000000"/>
                <w:szCs w:val="20"/>
                <w:shd w:val="solid" w:color="000000" w:fill="000000"/>
                <w14:textFill>
                  <w14:solidFill>
                    <w14:srgbClr w14:val="000000">
                      <w14:alpha w14:val="100000"/>
                    </w14:srgbClr>
                  </w14:solidFill>
                </w14:textFill>
              </w:rPr>
              <w:t>|</w:t>
            </w:r>
          </w:p>
        </w:tc>
        <w:tc>
          <w:tcPr>
            <w:tcW w:w="758" w:type="pct"/>
            <w:vAlign w:val="bottom"/>
          </w:tcPr>
          <w:p w14:paraId="428B5560" w14:textId="7AD5287D" w:rsidR="00280F24" w:rsidRPr="00F04A75" w:rsidRDefault="00FE6A21" w:rsidP="00B26A7F">
            <w:pPr>
              <w:pStyle w:val="TableText0"/>
              <w:jc w:val="center"/>
              <w:rPr>
                <w:rFonts w:eastAsia="Calibri"/>
                <w:b/>
                <w:bCs w:val="0"/>
                <w:szCs w:val="20"/>
              </w:rPr>
            </w:pPr>
            <w:r w:rsidRPr="00F04A75">
              <w:rPr>
                <w:rFonts w:eastAsia="Calibri" w:cs="Calibri"/>
                <w:b/>
                <w:bCs w:val="0"/>
                <w:color w:val="000000"/>
                <w:szCs w:val="20"/>
              </w:rPr>
              <w:t>-</w:t>
            </w:r>
            <w:r w:rsidR="00280F24" w:rsidRPr="00F04A75">
              <w:rPr>
                <w:rFonts w:eastAsia="Calibri" w:cs="Calibri"/>
                <w:b/>
                <w:bCs w:val="0"/>
                <w:color w:val="000000"/>
                <w:szCs w:val="20"/>
              </w:rPr>
              <w:t>20%</w:t>
            </w:r>
          </w:p>
        </w:tc>
      </w:tr>
      <w:tr w:rsidR="00280F24" w:rsidRPr="00F04A75" w14:paraId="0EFD47D5" w14:textId="77777777" w:rsidTr="004E32F8">
        <w:trPr>
          <w:cantSplit/>
          <w:trHeight w:val="60"/>
        </w:trPr>
        <w:tc>
          <w:tcPr>
            <w:tcW w:w="3378" w:type="pct"/>
            <w:vAlign w:val="center"/>
          </w:tcPr>
          <w:p w14:paraId="095AAD4A" w14:textId="77777777" w:rsidR="00280F24" w:rsidRPr="00F04A75" w:rsidRDefault="00280F24" w:rsidP="00B26A7F">
            <w:pPr>
              <w:pStyle w:val="TableText0"/>
              <w:rPr>
                <w:szCs w:val="20"/>
              </w:rPr>
            </w:pPr>
            <w:r w:rsidRPr="00F04A75">
              <w:rPr>
                <w:szCs w:val="20"/>
              </w:rPr>
              <w:t xml:space="preserve">Lenalidomide </w:t>
            </w:r>
          </w:p>
        </w:tc>
        <w:tc>
          <w:tcPr>
            <w:tcW w:w="864" w:type="pct"/>
            <w:vAlign w:val="center"/>
          </w:tcPr>
          <w:p w14:paraId="76B6B6D6" w14:textId="6E9D2C06" w:rsidR="00280F24" w:rsidRPr="00F04A75" w:rsidRDefault="00280F24" w:rsidP="00B26A7F">
            <w:pPr>
              <w:pStyle w:val="TableText0"/>
              <w:jc w:val="center"/>
              <w:rPr>
                <w:rFonts w:eastAsia="Calibri"/>
                <w:szCs w:val="20"/>
              </w:rPr>
            </w:pPr>
            <w:r w:rsidRPr="00F04A75">
              <w:rPr>
                <w:rFonts w:eastAsia="Calibri"/>
                <w:szCs w:val="20"/>
              </w:rPr>
              <w:t>$</w:t>
            </w:r>
            <w:r w:rsidR="000960C3" w:rsidRPr="000960C3">
              <w:rPr>
                <w:rFonts w:eastAsia="Calibri"/>
                <w:color w:val="000000"/>
                <w:szCs w:val="20"/>
                <w:shd w:val="solid" w:color="000000" w:fill="000000"/>
                <w14:textFill>
                  <w14:solidFill>
                    <w14:srgbClr w14:val="000000">
                      <w14:alpha w14:val="100000"/>
                    </w14:srgbClr>
                  </w14:solidFill>
                </w14:textFill>
              </w:rPr>
              <w:t>|</w:t>
            </w:r>
          </w:p>
        </w:tc>
        <w:tc>
          <w:tcPr>
            <w:tcW w:w="758" w:type="pct"/>
            <w:vAlign w:val="bottom"/>
          </w:tcPr>
          <w:p w14:paraId="5A913078" w14:textId="77777777" w:rsidR="00280F24" w:rsidRPr="00F04A75" w:rsidRDefault="00FE6A21" w:rsidP="00B26A7F">
            <w:pPr>
              <w:pStyle w:val="TableText0"/>
              <w:jc w:val="center"/>
              <w:rPr>
                <w:rFonts w:eastAsia="Calibri"/>
                <w:szCs w:val="20"/>
              </w:rPr>
            </w:pPr>
            <w:r w:rsidRPr="00F04A75">
              <w:rPr>
                <w:rFonts w:eastAsia="Calibri" w:cs="Calibri"/>
                <w:color w:val="000000"/>
                <w:szCs w:val="20"/>
              </w:rPr>
              <w:t>-</w:t>
            </w:r>
            <w:r w:rsidR="00280F24" w:rsidRPr="00F04A75">
              <w:rPr>
                <w:rFonts w:eastAsia="Calibri" w:cs="Calibri"/>
                <w:color w:val="000000"/>
                <w:szCs w:val="20"/>
              </w:rPr>
              <w:t>20%</w:t>
            </w:r>
          </w:p>
        </w:tc>
      </w:tr>
      <w:tr w:rsidR="00280F24" w:rsidRPr="00F04A75" w14:paraId="65849320" w14:textId="77777777" w:rsidTr="004E32F8">
        <w:trPr>
          <w:cantSplit/>
          <w:trHeight w:val="60"/>
        </w:trPr>
        <w:tc>
          <w:tcPr>
            <w:tcW w:w="3378" w:type="pct"/>
            <w:vAlign w:val="center"/>
          </w:tcPr>
          <w:p w14:paraId="25B980DC" w14:textId="77777777" w:rsidR="00280F24" w:rsidRPr="00F04A75" w:rsidRDefault="00280F24" w:rsidP="00B26A7F">
            <w:pPr>
              <w:pStyle w:val="TableText0"/>
              <w:rPr>
                <w:szCs w:val="20"/>
              </w:rPr>
            </w:pPr>
            <w:r w:rsidRPr="00F04A75">
              <w:rPr>
                <w:szCs w:val="20"/>
              </w:rPr>
              <w:t xml:space="preserve">Remaining for carfilzomib </w:t>
            </w:r>
          </w:p>
        </w:tc>
        <w:tc>
          <w:tcPr>
            <w:tcW w:w="864" w:type="pct"/>
            <w:vAlign w:val="center"/>
          </w:tcPr>
          <w:p w14:paraId="58914087" w14:textId="762CABA5" w:rsidR="00280F24" w:rsidRPr="00F04A75" w:rsidRDefault="00280F24" w:rsidP="00B26A7F">
            <w:pPr>
              <w:pStyle w:val="TableText0"/>
              <w:jc w:val="center"/>
              <w:rPr>
                <w:rFonts w:eastAsia="Calibri"/>
                <w:szCs w:val="20"/>
              </w:rPr>
            </w:pPr>
            <w:r w:rsidRPr="00F04A75">
              <w:rPr>
                <w:rFonts w:eastAsia="Calibri"/>
                <w:szCs w:val="20"/>
              </w:rPr>
              <w:t>$</w:t>
            </w:r>
            <w:r w:rsidR="000960C3" w:rsidRPr="000960C3">
              <w:rPr>
                <w:rFonts w:eastAsia="Calibri"/>
                <w:color w:val="000000"/>
                <w:szCs w:val="20"/>
                <w:shd w:val="solid" w:color="000000" w:fill="000000"/>
                <w14:textFill>
                  <w14:solidFill>
                    <w14:srgbClr w14:val="000000">
                      <w14:alpha w14:val="100000"/>
                    </w14:srgbClr>
                  </w14:solidFill>
                </w14:textFill>
              </w:rPr>
              <w:t>|</w:t>
            </w:r>
          </w:p>
        </w:tc>
        <w:tc>
          <w:tcPr>
            <w:tcW w:w="758" w:type="pct"/>
            <w:vAlign w:val="bottom"/>
          </w:tcPr>
          <w:p w14:paraId="57655541" w14:textId="77777777" w:rsidR="00280F24" w:rsidRPr="00F04A75" w:rsidRDefault="00FE6A21" w:rsidP="00B26A7F">
            <w:pPr>
              <w:pStyle w:val="TableText0"/>
              <w:jc w:val="center"/>
              <w:rPr>
                <w:rFonts w:eastAsia="Calibri"/>
                <w:szCs w:val="20"/>
              </w:rPr>
            </w:pPr>
            <w:r w:rsidRPr="00F04A75">
              <w:rPr>
                <w:rFonts w:eastAsia="Calibri" w:cs="Calibri"/>
                <w:color w:val="000000"/>
                <w:szCs w:val="20"/>
              </w:rPr>
              <w:t>-</w:t>
            </w:r>
            <w:r w:rsidR="00280F24" w:rsidRPr="00F04A75">
              <w:rPr>
                <w:rFonts w:eastAsia="Calibri" w:cs="Calibri"/>
                <w:color w:val="000000"/>
                <w:szCs w:val="20"/>
              </w:rPr>
              <w:t>21%</w:t>
            </w:r>
          </w:p>
        </w:tc>
      </w:tr>
      <w:tr w:rsidR="00280F24" w:rsidRPr="00F04A75" w14:paraId="2E1CD0C4" w14:textId="77777777" w:rsidTr="004E32F8">
        <w:trPr>
          <w:cantSplit/>
          <w:trHeight w:val="103"/>
        </w:trPr>
        <w:tc>
          <w:tcPr>
            <w:tcW w:w="3378" w:type="pct"/>
            <w:vAlign w:val="center"/>
          </w:tcPr>
          <w:p w14:paraId="2A0D1DC6" w14:textId="77777777" w:rsidR="00280F24" w:rsidRPr="00F04A75" w:rsidRDefault="00581F0F" w:rsidP="00B26A7F">
            <w:pPr>
              <w:pStyle w:val="TableText0"/>
              <w:rPr>
                <w:szCs w:val="20"/>
              </w:rPr>
            </w:pPr>
            <w:r w:rsidRPr="00F04A75">
              <w:rPr>
                <w:szCs w:val="20"/>
              </w:rPr>
              <w:t>Carfilzomib</w:t>
            </w:r>
            <w:r w:rsidR="00336410" w:rsidRPr="00F04A75">
              <w:rPr>
                <w:szCs w:val="20"/>
              </w:rPr>
              <w:t xml:space="preserve"> price</w:t>
            </w:r>
            <w:r w:rsidRPr="00F04A75">
              <w:rPr>
                <w:szCs w:val="20"/>
              </w:rPr>
              <w:t xml:space="preserve"> per mg</w:t>
            </w:r>
          </w:p>
        </w:tc>
        <w:tc>
          <w:tcPr>
            <w:tcW w:w="864" w:type="pct"/>
            <w:vAlign w:val="center"/>
          </w:tcPr>
          <w:p w14:paraId="543C0507" w14:textId="2F6EBA6B" w:rsidR="00280F24" w:rsidRPr="00F04A75" w:rsidRDefault="00280F24" w:rsidP="00B26A7F">
            <w:pPr>
              <w:pStyle w:val="TableText0"/>
              <w:jc w:val="center"/>
              <w:rPr>
                <w:rFonts w:eastAsia="Calibri"/>
                <w:szCs w:val="20"/>
              </w:rPr>
            </w:pPr>
            <w:r w:rsidRPr="00F04A75">
              <w:rPr>
                <w:rFonts w:eastAsia="Calibri"/>
                <w:szCs w:val="20"/>
              </w:rPr>
              <w:t>$</w:t>
            </w:r>
            <w:r w:rsidR="000960C3" w:rsidRPr="000960C3">
              <w:rPr>
                <w:rFonts w:eastAsia="Calibri"/>
                <w:color w:val="000000"/>
                <w:szCs w:val="20"/>
                <w:shd w:val="solid" w:color="000000" w:fill="000000"/>
                <w14:textFill>
                  <w14:solidFill>
                    <w14:srgbClr w14:val="000000">
                      <w14:alpha w14:val="100000"/>
                    </w14:srgbClr>
                  </w14:solidFill>
                </w14:textFill>
              </w:rPr>
              <w:t>|</w:t>
            </w:r>
          </w:p>
        </w:tc>
        <w:tc>
          <w:tcPr>
            <w:tcW w:w="758" w:type="pct"/>
            <w:vAlign w:val="bottom"/>
          </w:tcPr>
          <w:p w14:paraId="1D99BE0E" w14:textId="77777777" w:rsidR="00280F24" w:rsidRPr="00F04A75" w:rsidRDefault="00FE6A21" w:rsidP="00B26A7F">
            <w:pPr>
              <w:pStyle w:val="TableText0"/>
              <w:jc w:val="center"/>
              <w:rPr>
                <w:rFonts w:eastAsia="Calibri"/>
                <w:szCs w:val="20"/>
              </w:rPr>
            </w:pPr>
            <w:r w:rsidRPr="00F04A75">
              <w:rPr>
                <w:rFonts w:eastAsia="Calibri" w:cs="Calibri"/>
                <w:color w:val="000000"/>
                <w:szCs w:val="20"/>
              </w:rPr>
              <w:t>-</w:t>
            </w:r>
            <w:r w:rsidR="00280F24" w:rsidRPr="00F04A75">
              <w:rPr>
                <w:rFonts w:eastAsia="Calibri" w:cs="Calibri"/>
                <w:color w:val="000000"/>
                <w:szCs w:val="20"/>
              </w:rPr>
              <w:t>8%</w:t>
            </w:r>
          </w:p>
        </w:tc>
      </w:tr>
      <w:tr w:rsidR="00280F24" w:rsidRPr="00F04A75" w14:paraId="597FF567" w14:textId="77777777" w:rsidTr="004E32F8">
        <w:trPr>
          <w:cantSplit/>
          <w:trHeight w:val="60"/>
        </w:trPr>
        <w:tc>
          <w:tcPr>
            <w:tcW w:w="3378" w:type="pct"/>
            <w:vAlign w:val="center"/>
          </w:tcPr>
          <w:p w14:paraId="2281B317" w14:textId="0F1E4BE8" w:rsidR="00280F24" w:rsidRPr="00F04A75" w:rsidRDefault="004F1212" w:rsidP="00B26A7F">
            <w:pPr>
              <w:pStyle w:val="TableText0"/>
              <w:rPr>
                <w:szCs w:val="20"/>
              </w:rPr>
            </w:pPr>
            <w:r w:rsidRPr="00F04A75">
              <w:rPr>
                <w:szCs w:val="20"/>
              </w:rPr>
              <w:t>SPA (estimated rebate on published price)</w:t>
            </w:r>
          </w:p>
        </w:tc>
        <w:tc>
          <w:tcPr>
            <w:tcW w:w="864" w:type="pct"/>
            <w:vAlign w:val="center"/>
          </w:tcPr>
          <w:p w14:paraId="64C0428F" w14:textId="77777777" w:rsidR="00280F24" w:rsidRPr="00F04A75" w:rsidRDefault="00280F24" w:rsidP="00B26A7F">
            <w:pPr>
              <w:pStyle w:val="TableText0"/>
              <w:jc w:val="center"/>
              <w:rPr>
                <w:rFonts w:eastAsia="Calibri"/>
                <w:szCs w:val="20"/>
              </w:rPr>
            </w:pPr>
            <w:r w:rsidRPr="00F04A75">
              <w:rPr>
                <w:rFonts w:eastAsia="Calibri"/>
                <w:szCs w:val="20"/>
              </w:rPr>
              <w:t>45%</w:t>
            </w:r>
          </w:p>
        </w:tc>
        <w:tc>
          <w:tcPr>
            <w:tcW w:w="758" w:type="pct"/>
            <w:vAlign w:val="bottom"/>
          </w:tcPr>
          <w:p w14:paraId="3EC6538C" w14:textId="77777777" w:rsidR="00280F24" w:rsidRPr="00F04A75" w:rsidRDefault="00280F24" w:rsidP="00B26A7F">
            <w:pPr>
              <w:pStyle w:val="TableText0"/>
              <w:jc w:val="center"/>
              <w:rPr>
                <w:rFonts w:eastAsia="Calibri"/>
                <w:szCs w:val="20"/>
              </w:rPr>
            </w:pPr>
            <w:r w:rsidRPr="00F04A75">
              <w:rPr>
                <w:rFonts w:eastAsia="Calibri" w:cs="Calibri"/>
                <w:color w:val="000000"/>
                <w:szCs w:val="20"/>
              </w:rPr>
              <w:t>5%</w:t>
            </w:r>
          </w:p>
        </w:tc>
      </w:tr>
      <w:tr w:rsidR="00280F24" w:rsidRPr="00F04A75" w14:paraId="1B2F25D7" w14:textId="77777777" w:rsidTr="004E32F8">
        <w:trPr>
          <w:cantSplit/>
          <w:trHeight w:val="60"/>
        </w:trPr>
        <w:tc>
          <w:tcPr>
            <w:tcW w:w="3378" w:type="pct"/>
            <w:vAlign w:val="center"/>
          </w:tcPr>
          <w:p w14:paraId="1CF65E91" w14:textId="41EC7B52" w:rsidR="00280F24" w:rsidRPr="00F04A75" w:rsidRDefault="00280F24" w:rsidP="00B26A7F">
            <w:pPr>
              <w:pStyle w:val="TableText0"/>
              <w:rPr>
                <w:b/>
                <w:bCs w:val="0"/>
                <w:szCs w:val="20"/>
              </w:rPr>
            </w:pPr>
            <w:r w:rsidRPr="00F04A75">
              <w:rPr>
                <w:b/>
                <w:bCs w:val="0"/>
                <w:szCs w:val="20"/>
              </w:rPr>
              <w:t>DOT = 18 cycles (maximum permitted in ASPIRE)</w:t>
            </w:r>
          </w:p>
        </w:tc>
        <w:tc>
          <w:tcPr>
            <w:tcW w:w="864" w:type="pct"/>
            <w:vAlign w:val="center"/>
          </w:tcPr>
          <w:p w14:paraId="3296949A" w14:textId="47EBA010" w:rsidR="00280F24" w:rsidRPr="00F04A75" w:rsidRDefault="00280F24" w:rsidP="00B26A7F">
            <w:pPr>
              <w:pStyle w:val="TableText0"/>
              <w:jc w:val="center"/>
              <w:rPr>
                <w:rFonts w:eastAsia="Calibri"/>
                <w:b/>
                <w:bCs w:val="0"/>
                <w:szCs w:val="20"/>
              </w:rPr>
            </w:pPr>
            <w:r w:rsidRPr="00F04A75">
              <w:rPr>
                <w:rFonts w:eastAsia="Calibri"/>
                <w:b/>
                <w:bCs w:val="0"/>
                <w:szCs w:val="20"/>
              </w:rPr>
              <w:t>$</w:t>
            </w:r>
            <w:r w:rsidR="000960C3" w:rsidRPr="000960C3">
              <w:rPr>
                <w:rFonts w:eastAsia="Calibri"/>
                <w:b/>
                <w:bCs w:val="0"/>
                <w:color w:val="000000"/>
                <w:szCs w:val="20"/>
                <w:shd w:val="solid" w:color="000000" w:fill="000000"/>
                <w14:textFill>
                  <w14:solidFill>
                    <w14:srgbClr w14:val="000000">
                      <w14:alpha w14:val="100000"/>
                    </w14:srgbClr>
                  </w14:solidFill>
                </w14:textFill>
              </w:rPr>
              <w:t>|</w:t>
            </w:r>
          </w:p>
        </w:tc>
        <w:tc>
          <w:tcPr>
            <w:tcW w:w="758" w:type="pct"/>
            <w:vAlign w:val="bottom"/>
          </w:tcPr>
          <w:p w14:paraId="55CFAD10" w14:textId="5E7F4BB4" w:rsidR="00280F24" w:rsidRPr="00F04A75" w:rsidRDefault="00280F24" w:rsidP="00B26A7F">
            <w:pPr>
              <w:pStyle w:val="TableText0"/>
              <w:jc w:val="center"/>
              <w:rPr>
                <w:rFonts w:eastAsia="Calibri"/>
                <w:b/>
                <w:bCs w:val="0"/>
                <w:szCs w:val="20"/>
              </w:rPr>
            </w:pPr>
            <w:r w:rsidRPr="00F04A75">
              <w:rPr>
                <w:rFonts w:eastAsia="Calibri" w:cs="Calibri"/>
                <w:b/>
                <w:bCs w:val="0"/>
                <w:color w:val="000000"/>
                <w:szCs w:val="20"/>
              </w:rPr>
              <w:t>20%</w:t>
            </w:r>
          </w:p>
        </w:tc>
      </w:tr>
      <w:tr w:rsidR="00280F24" w:rsidRPr="00F04A75" w14:paraId="63A990ED" w14:textId="77777777" w:rsidTr="004E32F8">
        <w:trPr>
          <w:cantSplit/>
          <w:trHeight w:val="60"/>
        </w:trPr>
        <w:tc>
          <w:tcPr>
            <w:tcW w:w="3378" w:type="pct"/>
            <w:vAlign w:val="center"/>
          </w:tcPr>
          <w:p w14:paraId="7ACB7993" w14:textId="77777777" w:rsidR="00280F24" w:rsidRPr="00F04A75" w:rsidRDefault="00280F24" w:rsidP="00B26A7F">
            <w:pPr>
              <w:pStyle w:val="TableText0"/>
              <w:rPr>
                <w:szCs w:val="20"/>
              </w:rPr>
            </w:pPr>
            <w:r w:rsidRPr="00F04A75">
              <w:rPr>
                <w:szCs w:val="20"/>
              </w:rPr>
              <w:t xml:space="preserve">Lenalidomide </w:t>
            </w:r>
          </w:p>
        </w:tc>
        <w:tc>
          <w:tcPr>
            <w:tcW w:w="864" w:type="pct"/>
            <w:vAlign w:val="center"/>
          </w:tcPr>
          <w:p w14:paraId="6B03FFC0" w14:textId="77777777" w:rsidR="00280F24" w:rsidRPr="00F04A75" w:rsidRDefault="00280F24" w:rsidP="00B26A7F">
            <w:pPr>
              <w:pStyle w:val="TableText0"/>
              <w:jc w:val="center"/>
              <w:rPr>
                <w:rFonts w:eastAsia="Calibri"/>
                <w:szCs w:val="20"/>
              </w:rPr>
            </w:pPr>
            <w:r w:rsidRPr="00F04A75">
              <w:rPr>
                <w:rFonts w:eastAsia="Calibri"/>
                <w:szCs w:val="20"/>
              </w:rPr>
              <w:t>$37,890</w:t>
            </w:r>
          </w:p>
        </w:tc>
        <w:tc>
          <w:tcPr>
            <w:tcW w:w="758" w:type="pct"/>
            <w:vAlign w:val="bottom"/>
          </w:tcPr>
          <w:p w14:paraId="137752A0" w14:textId="77777777" w:rsidR="00280F24" w:rsidRPr="00F04A75" w:rsidRDefault="00280F24" w:rsidP="00B26A7F">
            <w:pPr>
              <w:pStyle w:val="TableText0"/>
              <w:jc w:val="center"/>
              <w:rPr>
                <w:rFonts w:eastAsia="Calibri"/>
                <w:szCs w:val="20"/>
              </w:rPr>
            </w:pPr>
            <w:r w:rsidRPr="00F04A75">
              <w:rPr>
                <w:rFonts w:eastAsia="Calibri" w:cs="Calibri"/>
                <w:color w:val="000000"/>
                <w:szCs w:val="20"/>
              </w:rPr>
              <w:t>20%</w:t>
            </w:r>
          </w:p>
        </w:tc>
      </w:tr>
      <w:tr w:rsidR="00280F24" w:rsidRPr="00F04A75" w14:paraId="1D6D2405" w14:textId="77777777" w:rsidTr="004E32F8">
        <w:trPr>
          <w:cantSplit/>
          <w:trHeight w:val="60"/>
        </w:trPr>
        <w:tc>
          <w:tcPr>
            <w:tcW w:w="3378" w:type="pct"/>
            <w:vAlign w:val="center"/>
          </w:tcPr>
          <w:p w14:paraId="7B29B4E7" w14:textId="77777777" w:rsidR="00280F24" w:rsidRPr="00F04A75" w:rsidRDefault="00280F24" w:rsidP="00B26A7F">
            <w:pPr>
              <w:pStyle w:val="TableText0"/>
              <w:rPr>
                <w:szCs w:val="20"/>
              </w:rPr>
            </w:pPr>
            <w:r w:rsidRPr="00F04A75">
              <w:rPr>
                <w:szCs w:val="20"/>
              </w:rPr>
              <w:t xml:space="preserve">Remaining for carfilzomib </w:t>
            </w:r>
          </w:p>
        </w:tc>
        <w:tc>
          <w:tcPr>
            <w:tcW w:w="864" w:type="pct"/>
            <w:vAlign w:val="center"/>
          </w:tcPr>
          <w:p w14:paraId="0A0DF5D6" w14:textId="043F7146" w:rsidR="00280F24" w:rsidRPr="00F04A75" w:rsidRDefault="00280F24" w:rsidP="00B26A7F">
            <w:pPr>
              <w:pStyle w:val="TableText0"/>
              <w:jc w:val="center"/>
              <w:rPr>
                <w:rFonts w:eastAsia="Calibri"/>
                <w:szCs w:val="20"/>
              </w:rPr>
            </w:pPr>
            <w:r w:rsidRPr="00F04A75">
              <w:rPr>
                <w:rFonts w:eastAsia="Calibri"/>
                <w:szCs w:val="20"/>
              </w:rPr>
              <w:t>$</w:t>
            </w:r>
            <w:r w:rsidR="000960C3" w:rsidRPr="000960C3">
              <w:rPr>
                <w:rFonts w:eastAsia="Calibri"/>
                <w:color w:val="000000"/>
                <w:szCs w:val="20"/>
                <w:shd w:val="solid" w:color="000000" w:fill="000000"/>
                <w14:textFill>
                  <w14:solidFill>
                    <w14:srgbClr w14:val="000000">
                      <w14:alpha w14:val="100000"/>
                    </w14:srgbClr>
                  </w14:solidFill>
                </w14:textFill>
              </w:rPr>
              <w:t>|</w:t>
            </w:r>
          </w:p>
        </w:tc>
        <w:tc>
          <w:tcPr>
            <w:tcW w:w="758" w:type="pct"/>
            <w:vAlign w:val="bottom"/>
          </w:tcPr>
          <w:p w14:paraId="549CC638" w14:textId="77777777" w:rsidR="00280F24" w:rsidRPr="00F04A75" w:rsidRDefault="00280F24" w:rsidP="00B26A7F">
            <w:pPr>
              <w:pStyle w:val="TableText0"/>
              <w:jc w:val="center"/>
              <w:rPr>
                <w:rFonts w:eastAsia="Calibri"/>
                <w:szCs w:val="20"/>
              </w:rPr>
            </w:pPr>
            <w:r w:rsidRPr="00F04A75">
              <w:rPr>
                <w:rFonts w:eastAsia="Calibri" w:cs="Calibri"/>
                <w:color w:val="000000"/>
                <w:szCs w:val="20"/>
              </w:rPr>
              <w:t>21%</w:t>
            </w:r>
          </w:p>
        </w:tc>
      </w:tr>
      <w:tr w:rsidR="00280F24" w:rsidRPr="00F04A75" w14:paraId="462096EC" w14:textId="77777777" w:rsidTr="004E32F8">
        <w:trPr>
          <w:cantSplit/>
          <w:trHeight w:val="60"/>
        </w:trPr>
        <w:tc>
          <w:tcPr>
            <w:tcW w:w="3378" w:type="pct"/>
            <w:vAlign w:val="center"/>
          </w:tcPr>
          <w:p w14:paraId="7F0B86D7" w14:textId="77777777" w:rsidR="00280F24" w:rsidRPr="00F04A75" w:rsidRDefault="00581F0F" w:rsidP="00B26A7F">
            <w:pPr>
              <w:pStyle w:val="TableText0"/>
              <w:rPr>
                <w:szCs w:val="20"/>
              </w:rPr>
            </w:pPr>
            <w:r w:rsidRPr="00F04A75">
              <w:rPr>
                <w:szCs w:val="20"/>
              </w:rPr>
              <w:t xml:space="preserve">Carfilzomib </w:t>
            </w:r>
            <w:r w:rsidR="00336410" w:rsidRPr="00F04A75">
              <w:rPr>
                <w:szCs w:val="20"/>
              </w:rPr>
              <w:t>price</w:t>
            </w:r>
            <w:r w:rsidRPr="00F04A75">
              <w:rPr>
                <w:szCs w:val="20"/>
              </w:rPr>
              <w:t xml:space="preserve"> per mg</w:t>
            </w:r>
          </w:p>
        </w:tc>
        <w:tc>
          <w:tcPr>
            <w:tcW w:w="864" w:type="pct"/>
            <w:vAlign w:val="center"/>
          </w:tcPr>
          <w:p w14:paraId="7840DAB1" w14:textId="479C7ED4" w:rsidR="00280F24" w:rsidRPr="00F04A75" w:rsidRDefault="00280F24" w:rsidP="00B26A7F">
            <w:pPr>
              <w:pStyle w:val="TableText0"/>
              <w:jc w:val="center"/>
              <w:rPr>
                <w:rFonts w:eastAsia="Calibri"/>
                <w:szCs w:val="20"/>
              </w:rPr>
            </w:pPr>
            <w:r w:rsidRPr="00F04A75">
              <w:rPr>
                <w:rFonts w:eastAsia="Calibri"/>
                <w:szCs w:val="20"/>
              </w:rPr>
              <w:t>$</w:t>
            </w:r>
            <w:r w:rsidR="000960C3" w:rsidRPr="000960C3">
              <w:rPr>
                <w:rFonts w:eastAsia="Calibri"/>
                <w:color w:val="000000"/>
                <w:szCs w:val="20"/>
                <w:shd w:val="solid" w:color="000000" w:fill="000000"/>
                <w14:textFill>
                  <w14:solidFill>
                    <w14:srgbClr w14:val="000000">
                      <w14:alpha w14:val="100000"/>
                    </w14:srgbClr>
                  </w14:solidFill>
                </w14:textFill>
              </w:rPr>
              <w:t>|</w:t>
            </w:r>
          </w:p>
        </w:tc>
        <w:tc>
          <w:tcPr>
            <w:tcW w:w="758" w:type="pct"/>
            <w:vAlign w:val="bottom"/>
          </w:tcPr>
          <w:p w14:paraId="6B12AA6A" w14:textId="77777777" w:rsidR="00280F24" w:rsidRPr="00F04A75" w:rsidRDefault="00280F24" w:rsidP="00B26A7F">
            <w:pPr>
              <w:pStyle w:val="TableText0"/>
              <w:jc w:val="center"/>
              <w:rPr>
                <w:rFonts w:eastAsia="Calibri"/>
                <w:szCs w:val="20"/>
              </w:rPr>
            </w:pPr>
            <w:r w:rsidRPr="00F04A75">
              <w:rPr>
                <w:rFonts w:eastAsia="Calibri" w:cs="Calibri"/>
                <w:color w:val="000000"/>
                <w:szCs w:val="20"/>
              </w:rPr>
              <w:t>6%</w:t>
            </w:r>
          </w:p>
        </w:tc>
      </w:tr>
      <w:tr w:rsidR="00280F24" w:rsidRPr="00F04A75" w14:paraId="44B74555" w14:textId="77777777" w:rsidTr="004E32F8">
        <w:trPr>
          <w:cantSplit/>
          <w:trHeight w:val="60"/>
        </w:trPr>
        <w:tc>
          <w:tcPr>
            <w:tcW w:w="3378" w:type="pct"/>
            <w:vAlign w:val="center"/>
          </w:tcPr>
          <w:p w14:paraId="6B4AC3A8" w14:textId="38D25B4B" w:rsidR="00280F24" w:rsidRPr="00F04A75" w:rsidRDefault="004F1212" w:rsidP="00B26A7F">
            <w:pPr>
              <w:pStyle w:val="TableText0"/>
              <w:rPr>
                <w:szCs w:val="20"/>
              </w:rPr>
            </w:pPr>
            <w:r w:rsidRPr="00F04A75">
              <w:rPr>
                <w:szCs w:val="20"/>
              </w:rPr>
              <w:t>SPA (estimated rebate on published price)</w:t>
            </w:r>
          </w:p>
        </w:tc>
        <w:tc>
          <w:tcPr>
            <w:tcW w:w="864" w:type="pct"/>
            <w:vAlign w:val="center"/>
          </w:tcPr>
          <w:p w14:paraId="2E4101C3" w14:textId="77777777" w:rsidR="00280F24" w:rsidRPr="00F04A75" w:rsidRDefault="00280F24" w:rsidP="00B26A7F">
            <w:pPr>
              <w:pStyle w:val="TableText0"/>
              <w:jc w:val="center"/>
              <w:rPr>
                <w:rFonts w:eastAsia="Calibri"/>
                <w:szCs w:val="20"/>
              </w:rPr>
            </w:pPr>
            <w:r w:rsidRPr="00F04A75">
              <w:rPr>
                <w:rFonts w:eastAsia="Calibri"/>
                <w:szCs w:val="20"/>
              </w:rPr>
              <w:t>36%</w:t>
            </w:r>
          </w:p>
        </w:tc>
        <w:tc>
          <w:tcPr>
            <w:tcW w:w="758" w:type="pct"/>
            <w:vAlign w:val="bottom"/>
          </w:tcPr>
          <w:p w14:paraId="0EED67E4" w14:textId="77777777" w:rsidR="00280F24" w:rsidRPr="00F04A75" w:rsidRDefault="00DD0F72" w:rsidP="00B26A7F">
            <w:pPr>
              <w:pStyle w:val="TableText0"/>
              <w:jc w:val="center"/>
              <w:rPr>
                <w:rFonts w:eastAsia="Calibri"/>
                <w:szCs w:val="20"/>
              </w:rPr>
            </w:pPr>
            <w:r w:rsidRPr="00F04A75">
              <w:rPr>
                <w:rFonts w:eastAsia="Calibri" w:cs="Calibri"/>
                <w:color w:val="000000"/>
                <w:szCs w:val="20"/>
              </w:rPr>
              <w:t>-</w:t>
            </w:r>
            <w:r w:rsidR="00280F24" w:rsidRPr="00F04A75">
              <w:rPr>
                <w:rFonts w:eastAsia="Calibri" w:cs="Calibri"/>
                <w:color w:val="000000"/>
                <w:szCs w:val="20"/>
              </w:rPr>
              <w:t>4%</w:t>
            </w:r>
          </w:p>
        </w:tc>
      </w:tr>
      <w:tr w:rsidR="00B86CA5" w:rsidRPr="00B63828" w14:paraId="216C1260" w14:textId="77777777" w:rsidTr="004E32F8">
        <w:trPr>
          <w:cantSplit/>
          <w:trHeight w:val="60"/>
        </w:trPr>
        <w:tc>
          <w:tcPr>
            <w:tcW w:w="3378" w:type="pct"/>
            <w:tcBorders>
              <w:top w:val="single" w:sz="4" w:space="0" w:color="auto"/>
              <w:left w:val="single" w:sz="4" w:space="0" w:color="auto"/>
              <w:bottom w:val="single" w:sz="4" w:space="0" w:color="auto"/>
              <w:right w:val="single" w:sz="4" w:space="0" w:color="auto"/>
            </w:tcBorders>
            <w:vAlign w:val="center"/>
          </w:tcPr>
          <w:p w14:paraId="2F798F93" w14:textId="4F166396" w:rsidR="00B86CA5" w:rsidRPr="00B63828" w:rsidRDefault="00B86CA5" w:rsidP="00C70E4B">
            <w:pPr>
              <w:pStyle w:val="TableText0"/>
              <w:rPr>
                <w:b/>
                <w:iCs/>
                <w:szCs w:val="20"/>
              </w:rPr>
            </w:pPr>
            <w:proofErr w:type="spellStart"/>
            <w:r w:rsidRPr="00B63828">
              <w:rPr>
                <w:b/>
                <w:iCs/>
                <w:szCs w:val="20"/>
              </w:rPr>
              <w:t>CLd</w:t>
            </w:r>
            <w:proofErr w:type="spellEnd"/>
            <w:r w:rsidRPr="00B63828">
              <w:rPr>
                <w:b/>
                <w:iCs/>
                <w:szCs w:val="20"/>
              </w:rPr>
              <w:t xml:space="preserve"> vs Cd </w:t>
            </w:r>
            <w:r w:rsidR="00646CAE" w:rsidRPr="00B63828">
              <w:rPr>
                <w:b/>
                <w:iCs/>
                <w:szCs w:val="20"/>
              </w:rPr>
              <w:t xml:space="preserve">100% </w:t>
            </w:r>
            <w:r w:rsidRPr="00B63828">
              <w:rPr>
                <w:b/>
                <w:iCs/>
                <w:szCs w:val="20"/>
              </w:rPr>
              <w:t>QW</w:t>
            </w:r>
            <w:r w:rsidR="00646CAE" w:rsidRPr="00B63828">
              <w:rPr>
                <w:b/>
                <w:iCs/>
                <w:szCs w:val="20"/>
              </w:rPr>
              <w:t xml:space="preserve"> </w:t>
            </w:r>
          </w:p>
        </w:tc>
        <w:tc>
          <w:tcPr>
            <w:tcW w:w="864" w:type="pct"/>
            <w:tcBorders>
              <w:top w:val="single" w:sz="4" w:space="0" w:color="auto"/>
              <w:left w:val="single" w:sz="4" w:space="0" w:color="auto"/>
              <w:bottom w:val="single" w:sz="4" w:space="0" w:color="auto"/>
              <w:right w:val="single" w:sz="4" w:space="0" w:color="auto"/>
            </w:tcBorders>
            <w:vAlign w:val="center"/>
          </w:tcPr>
          <w:p w14:paraId="6585C33B" w14:textId="621993B2" w:rsidR="00B86CA5" w:rsidRPr="00B63828" w:rsidRDefault="00B86CA5" w:rsidP="00C70E4B">
            <w:pPr>
              <w:pStyle w:val="TableText0"/>
              <w:jc w:val="center"/>
              <w:rPr>
                <w:rFonts w:eastAsia="Calibri"/>
                <w:b/>
                <w:bCs w:val="0"/>
                <w:iCs/>
                <w:szCs w:val="20"/>
              </w:rPr>
            </w:pPr>
            <w:r w:rsidRPr="00B63828">
              <w:rPr>
                <w:rFonts w:eastAsia="Calibri"/>
                <w:b/>
                <w:bCs w:val="0"/>
                <w:iCs/>
                <w:szCs w:val="20"/>
              </w:rPr>
              <w:t>$</w:t>
            </w:r>
            <w:r w:rsidR="000960C3" w:rsidRPr="000960C3">
              <w:rPr>
                <w:rFonts w:eastAsia="Calibri"/>
                <w:b/>
                <w:bCs w:val="0"/>
                <w:iCs/>
                <w:color w:val="000000"/>
                <w:szCs w:val="20"/>
                <w:shd w:val="solid" w:color="000000" w:fill="000000"/>
                <w14:textFill>
                  <w14:solidFill>
                    <w14:srgbClr w14:val="000000">
                      <w14:alpha w14:val="100000"/>
                    </w14:srgbClr>
                  </w14:solidFill>
                </w14:textFill>
              </w:rPr>
              <w:t>|</w:t>
            </w:r>
          </w:p>
        </w:tc>
        <w:tc>
          <w:tcPr>
            <w:tcW w:w="758" w:type="pct"/>
            <w:tcBorders>
              <w:top w:val="single" w:sz="4" w:space="0" w:color="auto"/>
              <w:left w:val="single" w:sz="4" w:space="0" w:color="auto"/>
              <w:bottom w:val="single" w:sz="4" w:space="0" w:color="auto"/>
              <w:right w:val="single" w:sz="4" w:space="0" w:color="auto"/>
            </w:tcBorders>
            <w:vAlign w:val="bottom"/>
          </w:tcPr>
          <w:p w14:paraId="579F9D8D" w14:textId="242B8019" w:rsidR="00B86CA5" w:rsidRPr="00B63828" w:rsidRDefault="00646CAE" w:rsidP="00C70E4B">
            <w:pPr>
              <w:pStyle w:val="TableText0"/>
              <w:jc w:val="center"/>
              <w:rPr>
                <w:rFonts w:eastAsia="Calibri" w:cs="Calibri"/>
                <w:b/>
                <w:bCs w:val="0"/>
                <w:iCs/>
                <w:color w:val="000000"/>
                <w:szCs w:val="20"/>
              </w:rPr>
            </w:pPr>
            <w:r w:rsidRPr="00B63828">
              <w:rPr>
                <w:rFonts w:eastAsia="Calibri" w:cs="Calibri"/>
                <w:b/>
                <w:bCs w:val="0"/>
                <w:iCs/>
                <w:color w:val="000000"/>
                <w:szCs w:val="20"/>
              </w:rPr>
              <w:t>-23%</w:t>
            </w:r>
          </w:p>
        </w:tc>
      </w:tr>
      <w:tr w:rsidR="00B86CA5" w:rsidRPr="00B63828" w14:paraId="5B26BF50" w14:textId="77777777" w:rsidTr="004E32F8">
        <w:trPr>
          <w:cantSplit/>
          <w:trHeight w:val="60"/>
        </w:trPr>
        <w:tc>
          <w:tcPr>
            <w:tcW w:w="3378" w:type="pct"/>
            <w:tcBorders>
              <w:top w:val="single" w:sz="4" w:space="0" w:color="auto"/>
              <w:left w:val="single" w:sz="4" w:space="0" w:color="auto"/>
              <w:bottom w:val="single" w:sz="4" w:space="0" w:color="auto"/>
              <w:right w:val="single" w:sz="4" w:space="0" w:color="auto"/>
            </w:tcBorders>
            <w:vAlign w:val="center"/>
          </w:tcPr>
          <w:p w14:paraId="4A09B2C8" w14:textId="77777777" w:rsidR="00B86CA5" w:rsidRPr="00B63828" w:rsidRDefault="00B86CA5" w:rsidP="00C70E4B">
            <w:pPr>
              <w:pStyle w:val="TableText0"/>
              <w:rPr>
                <w:iCs/>
                <w:szCs w:val="20"/>
              </w:rPr>
            </w:pPr>
            <w:r w:rsidRPr="00B63828">
              <w:rPr>
                <w:iCs/>
                <w:szCs w:val="20"/>
              </w:rPr>
              <w:t xml:space="preserve">Lenalidomide </w:t>
            </w:r>
          </w:p>
        </w:tc>
        <w:tc>
          <w:tcPr>
            <w:tcW w:w="864" w:type="pct"/>
            <w:tcBorders>
              <w:top w:val="single" w:sz="4" w:space="0" w:color="auto"/>
              <w:left w:val="single" w:sz="4" w:space="0" w:color="auto"/>
              <w:bottom w:val="single" w:sz="4" w:space="0" w:color="auto"/>
              <w:right w:val="single" w:sz="4" w:space="0" w:color="auto"/>
            </w:tcBorders>
            <w:vAlign w:val="center"/>
          </w:tcPr>
          <w:p w14:paraId="711C8E8D" w14:textId="5E95D56E" w:rsidR="00B86CA5" w:rsidRPr="00B63828" w:rsidRDefault="00B86CA5" w:rsidP="00C70E4B">
            <w:pPr>
              <w:pStyle w:val="TableText0"/>
              <w:jc w:val="center"/>
              <w:rPr>
                <w:rFonts w:eastAsia="Calibri"/>
                <w:iCs/>
                <w:szCs w:val="20"/>
              </w:rPr>
            </w:pPr>
            <w:r w:rsidRPr="00B63828">
              <w:rPr>
                <w:rFonts w:eastAsia="Calibri"/>
                <w:iCs/>
                <w:szCs w:val="20"/>
              </w:rPr>
              <w:t>$31,575</w:t>
            </w:r>
          </w:p>
        </w:tc>
        <w:tc>
          <w:tcPr>
            <w:tcW w:w="758" w:type="pct"/>
            <w:tcBorders>
              <w:top w:val="single" w:sz="4" w:space="0" w:color="auto"/>
              <w:left w:val="single" w:sz="4" w:space="0" w:color="auto"/>
              <w:bottom w:val="single" w:sz="4" w:space="0" w:color="auto"/>
              <w:right w:val="single" w:sz="4" w:space="0" w:color="auto"/>
            </w:tcBorders>
            <w:vAlign w:val="bottom"/>
          </w:tcPr>
          <w:p w14:paraId="6F95A6A3" w14:textId="690D5750" w:rsidR="00B86CA5" w:rsidRPr="00B63828" w:rsidRDefault="00646CAE" w:rsidP="00C70E4B">
            <w:pPr>
              <w:pStyle w:val="TableText0"/>
              <w:jc w:val="center"/>
              <w:rPr>
                <w:rFonts w:eastAsia="Calibri" w:cs="Calibri"/>
                <w:iCs/>
                <w:color w:val="000000"/>
                <w:szCs w:val="20"/>
              </w:rPr>
            </w:pPr>
            <w:r w:rsidRPr="00B63828">
              <w:rPr>
                <w:rFonts w:eastAsia="Calibri" w:cs="Calibri"/>
                <w:iCs/>
                <w:color w:val="000000"/>
                <w:szCs w:val="20"/>
              </w:rPr>
              <w:t>0%</w:t>
            </w:r>
          </w:p>
        </w:tc>
      </w:tr>
      <w:tr w:rsidR="00B86CA5" w:rsidRPr="00B63828" w14:paraId="27392D30" w14:textId="77777777" w:rsidTr="004E32F8">
        <w:trPr>
          <w:cantSplit/>
          <w:trHeight w:val="60"/>
        </w:trPr>
        <w:tc>
          <w:tcPr>
            <w:tcW w:w="3378" w:type="pct"/>
            <w:tcBorders>
              <w:top w:val="single" w:sz="4" w:space="0" w:color="auto"/>
              <w:left w:val="single" w:sz="4" w:space="0" w:color="auto"/>
              <w:bottom w:val="single" w:sz="4" w:space="0" w:color="auto"/>
              <w:right w:val="single" w:sz="4" w:space="0" w:color="auto"/>
            </w:tcBorders>
            <w:vAlign w:val="center"/>
          </w:tcPr>
          <w:p w14:paraId="788642E4" w14:textId="77777777" w:rsidR="00B86CA5" w:rsidRPr="00B63828" w:rsidRDefault="00B86CA5" w:rsidP="00C70E4B">
            <w:pPr>
              <w:pStyle w:val="TableText0"/>
              <w:rPr>
                <w:iCs/>
                <w:szCs w:val="20"/>
              </w:rPr>
            </w:pPr>
            <w:r w:rsidRPr="00B63828">
              <w:rPr>
                <w:iCs/>
                <w:szCs w:val="20"/>
              </w:rPr>
              <w:t xml:space="preserve">Remaining for carfilzomib </w:t>
            </w:r>
          </w:p>
        </w:tc>
        <w:tc>
          <w:tcPr>
            <w:tcW w:w="864" w:type="pct"/>
            <w:tcBorders>
              <w:top w:val="single" w:sz="4" w:space="0" w:color="auto"/>
              <w:left w:val="single" w:sz="4" w:space="0" w:color="auto"/>
              <w:bottom w:val="single" w:sz="4" w:space="0" w:color="auto"/>
              <w:right w:val="single" w:sz="4" w:space="0" w:color="auto"/>
            </w:tcBorders>
            <w:vAlign w:val="center"/>
          </w:tcPr>
          <w:p w14:paraId="51C11512" w14:textId="742961AA" w:rsidR="00B86CA5" w:rsidRPr="00B63828" w:rsidRDefault="00B86CA5" w:rsidP="00C70E4B">
            <w:pPr>
              <w:pStyle w:val="TableText0"/>
              <w:jc w:val="center"/>
              <w:rPr>
                <w:rFonts w:eastAsia="Calibri"/>
                <w:iCs/>
                <w:szCs w:val="20"/>
              </w:rPr>
            </w:pPr>
            <w:r w:rsidRPr="00B63828">
              <w:rPr>
                <w:rFonts w:eastAsia="Calibri"/>
                <w:iCs/>
                <w:szCs w:val="20"/>
              </w:rPr>
              <w:t>$</w:t>
            </w:r>
            <w:r w:rsidR="000960C3" w:rsidRPr="000960C3">
              <w:rPr>
                <w:rFonts w:eastAsia="Calibri"/>
                <w:iCs/>
                <w:color w:val="000000"/>
                <w:szCs w:val="20"/>
                <w:shd w:val="solid" w:color="000000" w:fill="000000"/>
                <w14:textFill>
                  <w14:solidFill>
                    <w14:srgbClr w14:val="000000">
                      <w14:alpha w14:val="100000"/>
                    </w14:srgbClr>
                  </w14:solidFill>
                </w14:textFill>
              </w:rPr>
              <w:t>|</w:t>
            </w:r>
          </w:p>
        </w:tc>
        <w:tc>
          <w:tcPr>
            <w:tcW w:w="758" w:type="pct"/>
            <w:tcBorders>
              <w:top w:val="single" w:sz="4" w:space="0" w:color="auto"/>
              <w:left w:val="single" w:sz="4" w:space="0" w:color="auto"/>
              <w:bottom w:val="single" w:sz="4" w:space="0" w:color="auto"/>
              <w:right w:val="single" w:sz="4" w:space="0" w:color="auto"/>
            </w:tcBorders>
            <w:vAlign w:val="bottom"/>
          </w:tcPr>
          <w:p w14:paraId="77523145" w14:textId="4E745557" w:rsidR="00B86CA5" w:rsidRPr="00B63828" w:rsidRDefault="002365B7" w:rsidP="00C70E4B">
            <w:pPr>
              <w:pStyle w:val="TableText0"/>
              <w:jc w:val="center"/>
              <w:rPr>
                <w:rFonts w:eastAsia="Calibri" w:cs="Calibri"/>
                <w:iCs/>
                <w:color w:val="000000"/>
                <w:szCs w:val="20"/>
              </w:rPr>
            </w:pPr>
            <w:r w:rsidRPr="00B63828">
              <w:rPr>
                <w:rFonts w:eastAsia="Calibri" w:cs="Calibri"/>
                <w:iCs/>
                <w:color w:val="000000"/>
                <w:szCs w:val="20"/>
              </w:rPr>
              <w:t>-39%</w:t>
            </w:r>
          </w:p>
        </w:tc>
      </w:tr>
      <w:tr w:rsidR="00B86CA5" w:rsidRPr="00B63828" w14:paraId="620F6B6B" w14:textId="77777777" w:rsidTr="004E32F8">
        <w:trPr>
          <w:cantSplit/>
          <w:trHeight w:val="60"/>
        </w:trPr>
        <w:tc>
          <w:tcPr>
            <w:tcW w:w="3378" w:type="pct"/>
            <w:tcBorders>
              <w:top w:val="single" w:sz="4" w:space="0" w:color="auto"/>
              <w:left w:val="single" w:sz="4" w:space="0" w:color="auto"/>
              <w:bottom w:val="single" w:sz="4" w:space="0" w:color="auto"/>
              <w:right w:val="single" w:sz="4" w:space="0" w:color="auto"/>
            </w:tcBorders>
            <w:vAlign w:val="center"/>
          </w:tcPr>
          <w:p w14:paraId="57874D7F" w14:textId="77777777" w:rsidR="00B86CA5" w:rsidRPr="00B63828" w:rsidRDefault="00B86CA5" w:rsidP="00C70E4B">
            <w:pPr>
              <w:pStyle w:val="TableText0"/>
              <w:rPr>
                <w:iCs/>
                <w:szCs w:val="20"/>
              </w:rPr>
            </w:pPr>
            <w:r w:rsidRPr="00B63828">
              <w:rPr>
                <w:iCs/>
                <w:szCs w:val="20"/>
              </w:rPr>
              <w:t>Carfilzomib price per mg</w:t>
            </w:r>
          </w:p>
        </w:tc>
        <w:tc>
          <w:tcPr>
            <w:tcW w:w="864" w:type="pct"/>
            <w:tcBorders>
              <w:top w:val="single" w:sz="4" w:space="0" w:color="auto"/>
              <w:left w:val="single" w:sz="4" w:space="0" w:color="auto"/>
              <w:bottom w:val="single" w:sz="4" w:space="0" w:color="auto"/>
              <w:right w:val="single" w:sz="4" w:space="0" w:color="auto"/>
            </w:tcBorders>
            <w:vAlign w:val="center"/>
          </w:tcPr>
          <w:p w14:paraId="7CB4F0C7" w14:textId="4AA5A6E7" w:rsidR="00B86CA5" w:rsidRPr="00B63828" w:rsidRDefault="00B86CA5" w:rsidP="00C70E4B">
            <w:pPr>
              <w:pStyle w:val="TableText0"/>
              <w:jc w:val="center"/>
              <w:rPr>
                <w:rFonts w:eastAsia="Calibri"/>
                <w:iCs/>
                <w:szCs w:val="20"/>
              </w:rPr>
            </w:pPr>
            <w:r w:rsidRPr="00B63828">
              <w:rPr>
                <w:rFonts w:eastAsia="Calibri"/>
                <w:iCs/>
                <w:szCs w:val="20"/>
              </w:rPr>
              <w:t>$</w:t>
            </w:r>
            <w:r w:rsidR="000960C3" w:rsidRPr="000960C3">
              <w:rPr>
                <w:rFonts w:eastAsia="Calibri"/>
                <w:iCs/>
                <w:color w:val="000000"/>
                <w:szCs w:val="20"/>
                <w:shd w:val="solid" w:color="000000" w:fill="000000"/>
                <w14:textFill>
                  <w14:solidFill>
                    <w14:srgbClr w14:val="000000">
                      <w14:alpha w14:val="100000"/>
                    </w14:srgbClr>
                  </w14:solidFill>
                </w14:textFill>
              </w:rPr>
              <w:t>|</w:t>
            </w:r>
          </w:p>
        </w:tc>
        <w:tc>
          <w:tcPr>
            <w:tcW w:w="758" w:type="pct"/>
            <w:tcBorders>
              <w:top w:val="single" w:sz="4" w:space="0" w:color="auto"/>
              <w:left w:val="single" w:sz="4" w:space="0" w:color="auto"/>
              <w:bottom w:val="single" w:sz="4" w:space="0" w:color="auto"/>
              <w:right w:val="single" w:sz="4" w:space="0" w:color="auto"/>
            </w:tcBorders>
            <w:vAlign w:val="bottom"/>
          </w:tcPr>
          <w:p w14:paraId="4485F4DC" w14:textId="31EA1683" w:rsidR="00B86CA5" w:rsidRPr="00B63828" w:rsidRDefault="002365B7" w:rsidP="00C70E4B">
            <w:pPr>
              <w:pStyle w:val="TableText0"/>
              <w:jc w:val="center"/>
              <w:rPr>
                <w:rFonts w:eastAsia="Calibri" w:cs="Calibri"/>
                <w:iCs/>
                <w:color w:val="000000"/>
                <w:szCs w:val="20"/>
              </w:rPr>
            </w:pPr>
            <w:r w:rsidRPr="00B63828">
              <w:rPr>
                <w:rFonts w:eastAsia="Calibri" w:cs="Calibri"/>
                <w:iCs/>
                <w:color w:val="000000"/>
                <w:szCs w:val="20"/>
              </w:rPr>
              <w:t>-39%</w:t>
            </w:r>
          </w:p>
        </w:tc>
      </w:tr>
      <w:tr w:rsidR="00B86CA5" w:rsidRPr="00B63828" w14:paraId="3680CF20" w14:textId="77777777" w:rsidTr="004E32F8">
        <w:trPr>
          <w:cantSplit/>
          <w:trHeight w:val="60"/>
        </w:trPr>
        <w:tc>
          <w:tcPr>
            <w:tcW w:w="3378" w:type="pct"/>
            <w:tcBorders>
              <w:top w:val="single" w:sz="4" w:space="0" w:color="auto"/>
              <w:left w:val="single" w:sz="4" w:space="0" w:color="auto"/>
              <w:bottom w:val="single" w:sz="4" w:space="0" w:color="auto"/>
              <w:right w:val="single" w:sz="4" w:space="0" w:color="auto"/>
            </w:tcBorders>
            <w:vAlign w:val="center"/>
          </w:tcPr>
          <w:p w14:paraId="0498DD5D" w14:textId="77777777" w:rsidR="00B86CA5" w:rsidRPr="00B63828" w:rsidRDefault="00B86CA5" w:rsidP="00C70E4B">
            <w:pPr>
              <w:pStyle w:val="TableText0"/>
              <w:rPr>
                <w:iCs/>
                <w:szCs w:val="20"/>
              </w:rPr>
            </w:pPr>
            <w:r w:rsidRPr="00B63828">
              <w:rPr>
                <w:iCs/>
                <w:szCs w:val="20"/>
              </w:rPr>
              <w:t>SPA (estimated rebate on published price)</w:t>
            </w:r>
          </w:p>
        </w:tc>
        <w:tc>
          <w:tcPr>
            <w:tcW w:w="864" w:type="pct"/>
            <w:tcBorders>
              <w:top w:val="single" w:sz="4" w:space="0" w:color="auto"/>
              <w:left w:val="single" w:sz="4" w:space="0" w:color="auto"/>
              <w:bottom w:val="single" w:sz="4" w:space="0" w:color="auto"/>
              <w:right w:val="single" w:sz="4" w:space="0" w:color="auto"/>
            </w:tcBorders>
            <w:vAlign w:val="center"/>
          </w:tcPr>
          <w:p w14:paraId="7770E511" w14:textId="622D68E8" w:rsidR="00B86CA5" w:rsidRPr="00B63828" w:rsidRDefault="00B86CA5" w:rsidP="00C70E4B">
            <w:pPr>
              <w:pStyle w:val="TableText0"/>
              <w:jc w:val="center"/>
              <w:rPr>
                <w:rFonts w:eastAsia="Calibri"/>
                <w:iCs/>
                <w:szCs w:val="20"/>
              </w:rPr>
            </w:pPr>
            <w:r w:rsidRPr="00B63828">
              <w:rPr>
                <w:rFonts w:eastAsia="Calibri"/>
                <w:iCs/>
                <w:szCs w:val="20"/>
              </w:rPr>
              <w:t>63%</w:t>
            </w:r>
          </w:p>
        </w:tc>
        <w:tc>
          <w:tcPr>
            <w:tcW w:w="758" w:type="pct"/>
            <w:tcBorders>
              <w:top w:val="single" w:sz="4" w:space="0" w:color="auto"/>
              <w:left w:val="single" w:sz="4" w:space="0" w:color="auto"/>
              <w:bottom w:val="single" w:sz="4" w:space="0" w:color="auto"/>
              <w:right w:val="single" w:sz="4" w:space="0" w:color="auto"/>
            </w:tcBorders>
            <w:vAlign w:val="bottom"/>
          </w:tcPr>
          <w:p w14:paraId="4110A46D" w14:textId="2F260F80" w:rsidR="00B86CA5" w:rsidRPr="00B63828" w:rsidRDefault="002365B7" w:rsidP="00C70E4B">
            <w:pPr>
              <w:pStyle w:val="TableText0"/>
              <w:jc w:val="center"/>
              <w:rPr>
                <w:rFonts w:eastAsia="Calibri" w:cs="Calibri"/>
                <w:iCs/>
                <w:color w:val="000000"/>
                <w:szCs w:val="20"/>
              </w:rPr>
            </w:pPr>
            <w:r w:rsidRPr="00B63828">
              <w:rPr>
                <w:rFonts w:eastAsia="Calibri" w:cs="Calibri"/>
                <w:iCs/>
                <w:color w:val="000000"/>
                <w:szCs w:val="20"/>
              </w:rPr>
              <w:t>58%</w:t>
            </w:r>
          </w:p>
        </w:tc>
      </w:tr>
      <w:tr w:rsidR="00B86CA5" w:rsidRPr="00B63828" w14:paraId="2E2F9C5C" w14:textId="77777777" w:rsidTr="004E32F8">
        <w:trPr>
          <w:cantSplit/>
          <w:trHeight w:val="60"/>
        </w:trPr>
        <w:tc>
          <w:tcPr>
            <w:tcW w:w="3378" w:type="pct"/>
            <w:tcBorders>
              <w:top w:val="single" w:sz="4" w:space="0" w:color="auto"/>
              <w:left w:val="single" w:sz="4" w:space="0" w:color="auto"/>
              <w:bottom w:val="single" w:sz="4" w:space="0" w:color="auto"/>
              <w:right w:val="single" w:sz="4" w:space="0" w:color="auto"/>
            </w:tcBorders>
            <w:vAlign w:val="center"/>
          </w:tcPr>
          <w:p w14:paraId="06F1F668" w14:textId="3564A745" w:rsidR="00B86CA5" w:rsidRPr="00B63828" w:rsidRDefault="00B86CA5" w:rsidP="00C70E4B">
            <w:pPr>
              <w:pStyle w:val="TableText0"/>
              <w:rPr>
                <w:b/>
                <w:iCs/>
                <w:szCs w:val="20"/>
              </w:rPr>
            </w:pPr>
            <w:proofErr w:type="spellStart"/>
            <w:r w:rsidRPr="00B63828">
              <w:rPr>
                <w:b/>
                <w:iCs/>
                <w:szCs w:val="20"/>
              </w:rPr>
              <w:t>CLd</w:t>
            </w:r>
            <w:proofErr w:type="spellEnd"/>
            <w:r w:rsidRPr="00B63828">
              <w:rPr>
                <w:b/>
                <w:iCs/>
                <w:szCs w:val="20"/>
              </w:rPr>
              <w:t xml:space="preserve"> vs Cd </w:t>
            </w:r>
            <w:r w:rsidR="00646CAE" w:rsidRPr="00B63828">
              <w:rPr>
                <w:b/>
                <w:iCs/>
                <w:szCs w:val="20"/>
              </w:rPr>
              <w:t xml:space="preserve">100% </w:t>
            </w:r>
            <w:r w:rsidRPr="00B63828">
              <w:rPr>
                <w:b/>
                <w:iCs/>
                <w:szCs w:val="20"/>
              </w:rPr>
              <w:t>BIW</w:t>
            </w:r>
            <w:r w:rsidR="00646CAE" w:rsidRPr="00B63828">
              <w:rPr>
                <w:b/>
                <w:iCs/>
                <w:szCs w:val="20"/>
              </w:rPr>
              <w:t xml:space="preserve"> </w:t>
            </w:r>
          </w:p>
        </w:tc>
        <w:tc>
          <w:tcPr>
            <w:tcW w:w="864" w:type="pct"/>
            <w:tcBorders>
              <w:top w:val="single" w:sz="4" w:space="0" w:color="auto"/>
              <w:left w:val="single" w:sz="4" w:space="0" w:color="auto"/>
              <w:bottom w:val="single" w:sz="4" w:space="0" w:color="auto"/>
              <w:right w:val="single" w:sz="4" w:space="0" w:color="auto"/>
            </w:tcBorders>
            <w:vAlign w:val="center"/>
          </w:tcPr>
          <w:p w14:paraId="0B86B619" w14:textId="04D06A98" w:rsidR="00B86CA5" w:rsidRPr="00B63828" w:rsidRDefault="00B86CA5" w:rsidP="00C70E4B">
            <w:pPr>
              <w:pStyle w:val="TableText0"/>
              <w:jc w:val="center"/>
              <w:rPr>
                <w:rFonts w:eastAsia="Calibri"/>
                <w:b/>
                <w:bCs w:val="0"/>
                <w:iCs/>
                <w:szCs w:val="20"/>
              </w:rPr>
            </w:pPr>
            <w:r w:rsidRPr="00B63828">
              <w:rPr>
                <w:rFonts w:eastAsia="Calibri"/>
                <w:b/>
                <w:bCs w:val="0"/>
                <w:iCs/>
                <w:szCs w:val="20"/>
              </w:rPr>
              <w:t>$</w:t>
            </w:r>
            <w:r w:rsidR="000960C3" w:rsidRPr="000960C3">
              <w:rPr>
                <w:rFonts w:eastAsia="Calibri"/>
                <w:b/>
                <w:bCs w:val="0"/>
                <w:iCs/>
                <w:color w:val="000000"/>
                <w:szCs w:val="20"/>
                <w:shd w:val="solid" w:color="000000" w:fill="000000"/>
                <w14:textFill>
                  <w14:solidFill>
                    <w14:srgbClr w14:val="000000">
                      <w14:alpha w14:val="100000"/>
                    </w14:srgbClr>
                  </w14:solidFill>
                </w14:textFill>
              </w:rPr>
              <w:t>|</w:t>
            </w:r>
          </w:p>
        </w:tc>
        <w:tc>
          <w:tcPr>
            <w:tcW w:w="758" w:type="pct"/>
            <w:tcBorders>
              <w:top w:val="single" w:sz="4" w:space="0" w:color="auto"/>
              <w:left w:val="single" w:sz="4" w:space="0" w:color="auto"/>
              <w:bottom w:val="single" w:sz="4" w:space="0" w:color="auto"/>
              <w:right w:val="single" w:sz="4" w:space="0" w:color="auto"/>
            </w:tcBorders>
            <w:vAlign w:val="bottom"/>
          </w:tcPr>
          <w:p w14:paraId="4A049E09" w14:textId="172E1A42" w:rsidR="00B86CA5" w:rsidRPr="00B63828" w:rsidRDefault="002365B7" w:rsidP="00C70E4B">
            <w:pPr>
              <w:pStyle w:val="TableText0"/>
              <w:jc w:val="center"/>
              <w:rPr>
                <w:rFonts w:eastAsia="Calibri" w:cs="Calibri"/>
                <w:b/>
                <w:bCs w:val="0"/>
                <w:iCs/>
                <w:color w:val="000000"/>
                <w:szCs w:val="20"/>
              </w:rPr>
            </w:pPr>
            <w:r w:rsidRPr="00B63828">
              <w:rPr>
                <w:rFonts w:eastAsia="Calibri" w:cs="Calibri"/>
                <w:b/>
                <w:bCs w:val="0"/>
                <w:iCs/>
                <w:color w:val="000000"/>
                <w:szCs w:val="20"/>
              </w:rPr>
              <w:t>27%</w:t>
            </w:r>
          </w:p>
        </w:tc>
      </w:tr>
      <w:tr w:rsidR="00B86CA5" w:rsidRPr="00B63828" w14:paraId="5D377A15" w14:textId="77777777" w:rsidTr="004E32F8">
        <w:trPr>
          <w:cantSplit/>
          <w:trHeight w:val="60"/>
        </w:trPr>
        <w:tc>
          <w:tcPr>
            <w:tcW w:w="3378" w:type="pct"/>
            <w:tcBorders>
              <w:top w:val="single" w:sz="4" w:space="0" w:color="auto"/>
              <w:left w:val="single" w:sz="4" w:space="0" w:color="auto"/>
              <w:bottom w:val="single" w:sz="4" w:space="0" w:color="auto"/>
              <w:right w:val="single" w:sz="4" w:space="0" w:color="auto"/>
            </w:tcBorders>
            <w:vAlign w:val="center"/>
          </w:tcPr>
          <w:p w14:paraId="738E473E" w14:textId="77777777" w:rsidR="00B86CA5" w:rsidRPr="00B63828" w:rsidRDefault="00B86CA5" w:rsidP="00C70E4B">
            <w:pPr>
              <w:pStyle w:val="TableText0"/>
              <w:rPr>
                <w:iCs/>
                <w:szCs w:val="20"/>
              </w:rPr>
            </w:pPr>
            <w:r w:rsidRPr="00B63828">
              <w:rPr>
                <w:iCs/>
                <w:szCs w:val="20"/>
              </w:rPr>
              <w:t xml:space="preserve">Lenalidomide </w:t>
            </w:r>
          </w:p>
        </w:tc>
        <w:tc>
          <w:tcPr>
            <w:tcW w:w="864" w:type="pct"/>
            <w:tcBorders>
              <w:top w:val="single" w:sz="4" w:space="0" w:color="auto"/>
              <w:left w:val="single" w:sz="4" w:space="0" w:color="auto"/>
              <w:bottom w:val="single" w:sz="4" w:space="0" w:color="auto"/>
              <w:right w:val="single" w:sz="4" w:space="0" w:color="auto"/>
            </w:tcBorders>
            <w:vAlign w:val="center"/>
          </w:tcPr>
          <w:p w14:paraId="344FFCDA" w14:textId="779A897F" w:rsidR="00B86CA5" w:rsidRPr="00B63828" w:rsidRDefault="00B86CA5" w:rsidP="00C70E4B">
            <w:pPr>
              <w:pStyle w:val="TableText0"/>
              <w:jc w:val="center"/>
              <w:rPr>
                <w:rFonts w:eastAsia="Calibri"/>
                <w:iCs/>
                <w:szCs w:val="20"/>
              </w:rPr>
            </w:pPr>
            <w:r w:rsidRPr="00B63828">
              <w:rPr>
                <w:rFonts w:eastAsia="Calibri"/>
                <w:iCs/>
                <w:szCs w:val="20"/>
              </w:rPr>
              <w:t>$31,575</w:t>
            </w:r>
          </w:p>
        </w:tc>
        <w:tc>
          <w:tcPr>
            <w:tcW w:w="758" w:type="pct"/>
            <w:tcBorders>
              <w:top w:val="single" w:sz="4" w:space="0" w:color="auto"/>
              <w:left w:val="single" w:sz="4" w:space="0" w:color="auto"/>
              <w:bottom w:val="single" w:sz="4" w:space="0" w:color="auto"/>
              <w:right w:val="single" w:sz="4" w:space="0" w:color="auto"/>
            </w:tcBorders>
            <w:vAlign w:val="bottom"/>
          </w:tcPr>
          <w:p w14:paraId="7BA3FD40" w14:textId="6ED99C0B" w:rsidR="00B86CA5" w:rsidRPr="00B63828" w:rsidRDefault="002365B7" w:rsidP="00C70E4B">
            <w:pPr>
              <w:pStyle w:val="TableText0"/>
              <w:jc w:val="center"/>
              <w:rPr>
                <w:rFonts w:eastAsia="Calibri" w:cs="Calibri"/>
                <w:iCs/>
                <w:color w:val="000000"/>
                <w:szCs w:val="20"/>
              </w:rPr>
            </w:pPr>
            <w:r w:rsidRPr="00B63828">
              <w:rPr>
                <w:rFonts w:eastAsia="Calibri" w:cs="Calibri"/>
                <w:iCs/>
                <w:color w:val="000000"/>
                <w:szCs w:val="20"/>
              </w:rPr>
              <w:t>0%</w:t>
            </w:r>
          </w:p>
        </w:tc>
      </w:tr>
      <w:tr w:rsidR="00B86CA5" w:rsidRPr="00B63828" w14:paraId="0B03F785" w14:textId="77777777" w:rsidTr="004E32F8">
        <w:trPr>
          <w:cantSplit/>
          <w:trHeight w:val="60"/>
        </w:trPr>
        <w:tc>
          <w:tcPr>
            <w:tcW w:w="3378" w:type="pct"/>
            <w:tcBorders>
              <w:top w:val="single" w:sz="4" w:space="0" w:color="auto"/>
              <w:left w:val="single" w:sz="4" w:space="0" w:color="auto"/>
              <w:bottom w:val="single" w:sz="4" w:space="0" w:color="auto"/>
              <w:right w:val="single" w:sz="4" w:space="0" w:color="auto"/>
            </w:tcBorders>
            <w:vAlign w:val="center"/>
          </w:tcPr>
          <w:p w14:paraId="34535EF5" w14:textId="77777777" w:rsidR="00B86CA5" w:rsidRPr="00B63828" w:rsidRDefault="00B86CA5" w:rsidP="00C70E4B">
            <w:pPr>
              <w:pStyle w:val="TableText0"/>
              <w:rPr>
                <w:iCs/>
                <w:szCs w:val="20"/>
              </w:rPr>
            </w:pPr>
            <w:r w:rsidRPr="00B63828">
              <w:rPr>
                <w:iCs/>
                <w:szCs w:val="20"/>
              </w:rPr>
              <w:t xml:space="preserve">Remaining for carfilzomib </w:t>
            </w:r>
          </w:p>
        </w:tc>
        <w:tc>
          <w:tcPr>
            <w:tcW w:w="864" w:type="pct"/>
            <w:tcBorders>
              <w:top w:val="single" w:sz="4" w:space="0" w:color="auto"/>
              <w:left w:val="single" w:sz="4" w:space="0" w:color="auto"/>
              <w:bottom w:val="single" w:sz="4" w:space="0" w:color="auto"/>
              <w:right w:val="single" w:sz="4" w:space="0" w:color="auto"/>
            </w:tcBorders>
            <w:vAlign w:val="center"/>
          </w:tcPr>
          <w:p w14:paraId="7D6EA2FC" w14:textId="79FCA549" w:rsidR="00B86CA5" w:rsidRPr="00B63828" w:rsidRDefault="00B86CA5" w:rsidP="00C70E4B">
            <w:pPr>
              <w:pStyle w:val="TableText0"/>
              <w:jc w:val="center"/>
              <w:rPr>
                <w:rFonts w:eastAsia="Calibri"/>
                <w:iCs/>
                <w:szCs w:val="20"/>
              </w:rPr>
            </w:pPr>
            <w:r w:rsidRPr="00B63828">
              <w:rPr>
                <w:rFonts w:eastAsia="Calibri"/>
                <w:iCs/>
                <w:szCs w:val="20"/>
              </w:rPr>
              <w:t>$</w:t>
            </w:r>
            <w:r w:rsidR="000960C3" w:rsidRPr="000960C3">
              <w:rPr>
                <w:rFonts w:eastAsia="Calibri"/>
                <w:iCs/>
                <w:color w:val="000000"/>
                <w:szCs w:val="20"/>
                <w:shd w:val="solid" w:color="000000" w:fill="000000"/>
                <w14:textFill>
                  <w14:solidFill>
                    <w14:srgbClr w14:val="000000">
                      <w14:alpha w14:val="100000"/>
                    </w14:srgbClr>
                  </w14:solidFill>
                </w14:textFill>
              </w:rPr>
              <w:t>|</w:t>
            </w:r>
          </w:p>
        </w:tc>
        <w:tc>
          <w:tcPr>
            <w:tcW w:w="758" w:type="pct"/>
            <w:tcBorders>
              <w:top w:val="single" w:sz="4" w:space="0" w:color="auto"/>
              <w:left w:val="single" w:sz="4" w:space="0" w:color="auto"/>
              <w:bottom w:val="single" w:sz="4" w:space="0" w:color="auto"/>
              <w:right w:val="single" w:sz="4" w:space="0" w:color="auto"/>
            </w:tcBorders>
            <w:vAlign w:val="bottom"/>
          </w:tcPr>
          <w:p w14:paraId="186F906A" w14:textId="3446AA2D" w:rsidR="00B86CA5" w:rsidRPr="00B63828" w:rsidRDefault="002365B7" w:rsidP="00C70E4B">
            <w:pPr>
              <w:pStyle w:val="TableText0"/>
              <w:jc w:val="center"/>
              <w:rPr>
                <w:rFonts w:eastAsia="Calibri" w:cs="Calibri"/>
                <w:iCs/>
                <w:color w:val="000000"/>
                <w:szCs w:val="20"/>
              </w:rPr>
            </w:pPr>
            <w:r w:rsidRPr="00B63828">
              <w:rPr>
                <w:rFonts w:eastAsia="Calibri" w:cs="Calibri"/>
                <w:iCs/>
                <w:color w:val="000000"/>
                <w:szCs w:val="20"/>
              </w:rPr>
              <w:t>47%</w:t>
            </w:r>
          </w:p>
        </w:tc>
      </w:tr>
      <w:tr w:rsidR="00B86CA5" w:rsidRPr="00B63828" w14:paraId="1C9051C8" w14:textId="77777777" w:rsidTr="004E32F8">
        <w:trPr>
          <w:cantSplit/>
          <w:trHeight w:val="60"/>
        </w:trPr>
        <w:tc>
          <w:tcPr>
            <w:tcW w:w="3378" w:type="pct"/>
            <w:tcBorders>
              <w:top w:val="single" w:sz="4" w:space="0" w:color="auto"/>
              <w:left w:val="single" w:sz="4" w:space="0" w:color="auto"/>
              <w:bottom w:val="single" w:sz="4" w:space="0" w:color="auto"/>
              <w:right w:val="single" w:sz="4" w:space="0" w:color="auto"/>
            </w:tcBorders>
            <w:vAlign w:val="center"/>
          </w:tcPr>
          <w:p w14:paraId="323B67F5" w14:textId="77777777" w:rsidR="00B86CA5" w:rsidRPr="00B63828" w:rsidRDefault="00B86CA5" w:rsidP="00C70E4B">
            <w:pPr>
              <w:pStyle w:val="TableText0"/>
              <w:rPr>
                <w:iCs/>
                <w:szCs w:val="20"/>
              </w:rPr>
            </w:pPr>
            <w:r w:rsidRPr="00B63828">
              <w:rPr>
                <w:iCs/>
                <w:szCs w:val="20"/>
              </w:rPr>
              <w:t>Carfilzomib price per mg</w:t>
            </w:r>
          </w:p>
        </w:tc>
        <w:tc>
          <w:tcPr>
            <w:tcW w:w="864" w:type="pct"/>
            <w:tcBorders>
              <w:top w:val="single" w:sz="4" w:space="0" w:color="auto"/>
              <w:left w:val="single" w:sz="4" w:space="0" w:color="auto"/>
              <w:bottom w:val="single" w:sz="4" w:space="0" w:color="auto"/>
              <w:right w:val="single" w:sz="4" w:space="0" w:color="auto"/>
            </w:tcBorders>
            <w:vAlign w:val="center"/>
          </w:tcPr>
          <w:p w14:paraId="2C0FF626" w14:textId="4346E039" w:rsidR="00B86CA5" w:rsidRPr="00B63828" w:rsidRDefault="00B86CA5" w:rsidP="00C70E4B">
            <w:pPr>
              <w:pStyle w:val="TableText0"/>
              <w:jc w:val="center"/>
              <w:rPr>
                <w:rFonts w:eastAsia="Calibri"/>
                <w:iCs/>
                <w:szCs w:val="20"/>
              </w:rPr>
            </w:pPr>
            <w:r w:rsidRPr="00B63828">
              <w:rPr>
                <w:rFonts w:eastAsia="Calibri"/>
                <w:iCs/>
                <w:szCs w:val="20"/>
              </w:rPr>
              <w:t>$</w:t>
            </w:r>
            <w:r w:rsidR="000960C3" w:rsidRPr="000960C3">
              <w:rPr>
                <w:rFonts w:eastAsia="Calibri"/>
                <w:iCs/>
                <w:color w:val="000000"/>
                <w:szCs w:val="20"/>
                <w:shd w:val="solid" w:color="000000" w:fill="000000"/>
                <w14:textFill>
                  <w14:solidFill>
                    <w14:srgbClr w14:val="000000">
                      <w14:alpha w14:val="100000"/>
                    </w14:srgbClr>
                  </w14:solidFill>
                </w14:textFill>
              </w:rPr>
              <w:t>|</w:t>
            </w:r>
          </w:p>
        </w:tc>
        <w:tc>
          <w:tcPr>
            <w:tcW w:w="758" w:type="pct"/>
            <w:tcBorders>
              <w:top w:val="single" w:sz="4" w:space="0" w:color="auto"/>
              <w:left w:val="single" w:sz="4" w:space="0" w:color="auto"/>
              <w:bottom w:val="single" w:sz="4" w:space="0" w:color="auto"/>
              <w:right w:val="single" w:sz="4" w:space="0" w:color="auto"/>
            </w:tcBorders>
            <w:vAlign w:val="bottom"/>
          </w:tcPr>
          <w:p w14:paraId="7B62E8F7" w14:textId="08EDDCD9" w:rsidR="00B86CA5" w:rsidRPr="00B63828" w:rsidRDefault="002365B7" w:rsidP="00C70E4B">
            <w:pPr>
              <w:pStyle w:val="TableText0"/>
              <w:jc w:val="center"/>
              <w:rPr>
                <w:rFonts w:eastAsia="Calibri" w:cs="Calibri"/>
                <w:iCs/>
                <w:color w:val="000000"/>
                <w:szCs w:val="20"/>
              </w:rPr>
            </w:pPr>
            <w:r w:rsidRPr="00B63828">
              <w:rPr>
                <w:rFonts w:eastAsia="Calibri" w:cs="Calibri"/>
                <w:iCs/>
                <w:color w:val="000000"/>
                <w:szCs w:val="20"/>
              </w:rPr>
              <w:t>47%</w:t>
            </w:r>
          </w:p>
        </w:tc>
      </w:tr>
      <w:tr w:rsidR="00B86CA5" w:rsidRPr="00B63828" w14:paraId="665D64CD" w14:textId="77777777" w:rsidTr="004E32F8">
        <w:trPr>
          <w:cantSplit/>
          <w:trHeight w:val="60"/>
        </w:trPr>
        <w:tc>
          <w:tcPr>
            <w:tcW w:w="3378" w:type="pct"/>
            <w:tcBorders>
              <w:top w:val="single" w:sz="4" w:space="0" w:color="auto"/>
              <w:left w:val="single" w:sz="4" w:space="0" w:color="auto"/>
              <w:bottom w:val="single" w:sz="4" w:space="0" w:color="auto"/>
              <w:right w:val="single" w:sz="4" w:space="0" w:color="auto"/>
            </w:tcBorders>
            <w:vAlign w:val="center"/>
          </w:tcPr>
          <w:p w14:paraId="679E177B" w14:textId="77777777" w:rsidR="00B86CA5" w:rsidRPr="00B63828" w:rsidRDefault="00B86CA5" w:rsidP="00C70E4B">
            <w:pPr>
              <w:pStyle w:val="TableText0"/>
              <w:rPr>
                <w:iCs/>
                <w:szCs w:val="20"/>
              </w:rPr>
            </w:pPr>
            <w:r w:rsidRPr="00B63828">
              <w:rPr>
                <w:iCs/>
                <w:szCs w:val="20"/>
              </w:rPr>
              <w:t>SPA (estimated rebate on published price)</w:t>
            </w:r>
          </w:p>
        </w:tc>
        <w:tc>
          <w:tcPr>
            <w:tcW w:w="864" w:type="pct"/>
            <w:tcBorders>
              <w:top w:val="single" w:sz="4" w:space="0" w:color="auto"/>
              <w:left w:val="single" w:sz="4" w:space="0" w:color="auto"/>
              <w:bottom w:val="single" w:sz="4" w:space="0" w:color="auto"/>
              <w:right w:val="single" w:sz="4" w:space="0" w:color="auto"/>
            </w:tcBorders>
            <w:vAlign w:val="center"/>
          </w:tcPr>
          <w:p w14:paraId="36F7C1DF" w14:textId="5ACC8A6B" w:rsidR="00B86CA5" w:rsidRPr="00B63828" w:rsidRDefault="00B86CA5" w:rsidP="00C70E4B">
            <w:pPr>
              <w:pStyle w:val="TableText0"/>
              <w:jc w:val="center"/>
              <w:rPr>
                <w:rFonts w:eastAsia="Calibri"/>
                <w:iCs/>
                <w:szCs w:val="20"/>
              </w:rPr>
            </w:pPr>
            <w:r w:rsidRPr="00B63828">
              <w:rPr>
                <w:rFonts w:eastAsia="Calibri"/>
                <w:iCs/>
                <w:szCs w:val="20"/>
              </w:rPr>
              <w:t>11%</w:t>
            </w:r>
          </w:p>
        </w:tc>
        <w:tc>
          <w:tcPr>
            <w:tcW w:w="758" w:type="pct"/>
            <w:tcBorders>
              <w:top w:val="single" w:sz="4" w:space="0" w:color="auto"/>
              <w:left w:val="single" w:sz="4" w:space="0" w:color="auto"/>
              <w:bottom w:val="single" w:sz="4" w:space="0" w:color="auto"/>
              <w:right w:val="single" w:sz="4" w:space="0" w:color="auto"/>
            </w:tcBorders>
            <w:vAlign w:val="bottom"/>
          </w:tcPr>
          <w:p w14:paraId="59D548F9" w14:textId="7E575C2E" w:rsidR="00B86CA5" w:rsidRPr="00B63828" w:rsidRDefault="002365B7" w:rsidP="00C70E4B">
            <w:pPr>
              <w:pStyle w:val="TableText0"/>
              <w:jc w:val="center"/>
              <w:rPr>
                <w:rFonts w:eastAsia="Calibri" w:cs="Calibri"/>
                <w:iCs/>
                <w:color w:val="000000"/>
                <w:szCs w:val="20"/>
              </w:rPr>
            </w:pPr>
            <w:r w:rsidRPr="00B63828">
              <w:rPr>
                <w:rFonts w:eastAsia="Calibri" w:cs="Calibri"/>
                <w:iCs/>
                <w:color w:val="000000"/>
                <w:szCs w:val="20"/>
              </w:rPr>
              <w:t>-73%</w:t>
            </w:r>
          </w:p>
        </w:tc>
      </w:tr>
      <w:tr w:rsidR="00B63828" w:rsidRPr="004E32F8" w14:paraId="2D392B3B" w14:textId="77777777" w:rsidTr="004E32F8">
        <w:trPr>
          <w:cantSplit/>
          <w:trHeight w:val="60"/>
        </w:trPr>
        <w:tc>
          <w:tcPr>
            <w:tcW w:w="3378" w:type="pct"/>
            <w:tcBorders>
              <w:top w:val="single" w:sz="4" w:space="0" w:color="auto"/>
              <w:left w:val="single" w:sz="4" w:space="0" w:color="auto"/>
              <w:bottom w:val="single" w:sz="4" w:space="0" w:color="auto"/>
              <w:right w:val="single" w:sz="4" w:space="0" w:color="auto"/>
            </w:tcBorders>
            <w:vAlign w:val="center"/>
          </w:tcPr>
          <w:p w14:paraId="4375A6E1" w14:textId="42497F0D" w:rsidR="00B63828" w:rsidRPr="004E32F8" w:rsidRDefault="00B63828" w:rsidP="00ED5716">
            <w:pPr>
              <w:pStyle w:val="TableText0"/>
              <w:rPr>
                <w:b/>
                <w:bCs w:val="0"/>
                <w:iCs/>
                <w:szCs w:val="20"/>
              </w:rPr>
            </w:pPr>
            <w:r w:rsidRPr="004E32F8">
              <w:rPr>
                <w:b/>
                <w:bCs w:val="0"/>
                <w:iCs/>
                <w:szCs w:val="20"/>
              </w:rPr>
              <w:t xml:space="preserve">Revised pre-PBAC case </w:t>
            </w:r>
            <w:proofErr w:type="spellStart"/>
            <w:r w:rsidRPr="004E32F8">
              <w:rPr>
                <w:b/>
                <w:bCs w:val="0"/>
                <w:iCs/>
                <w:szCs w:val="20"/>
              </w:rPr>
              <w:t>case</w:t>
            </w:r>
            <w:proofErr w:type="spellEnd"/>
            <w:r w:rsidRPr="004E32F8">
              <w:rPr>
                <w:b/>
                <w:bCs w:val="0"/>
                <w:iCs/>
                <w:szCs w:val="20"/>
              </w:rPr>
              <w:t xml:space="preserve"> (DOT = 15 </w:t>
            </w:r>
            <w:proofErr w:type="gramStart"/>
            <w:r w:rsidRPr="004E32F8">
              <w:rPr>
                <w:b/>
                <w:bCs w:val="0"/>
                <w:iCs/>
                <w:szCs w:val="20"/>
              </w:rPr>
              <w:t>cycles;</w:t>
            </w:r>
            <w:proofErr w:type="gramEnd"/>
            <w:r w:rsidRPr="004E32F8">
              <w:rPr>
                <w:b/>
                <w:bCs w:val="0"/>
                <w:iCs/>
                <w:szCs w:val="20"/>
              </w:rPr>
              <w:t xml:space="preserve"> Cd 60% QW and 40% BIW)</w:t>
            </w:r>
          </w:p>
        </w:tc>
        <w:tc>
          <w:tcPr>
            <w:tcW w:w="864" w:type="pct"/>
            <w:tcBorders>
              <w:top w:val="single" w:sz="4" w:space="0" w:color="auto"/>
              <w:left w:val="single" w:sz="4" w:space="0" w:color="auto"/>
              <w:bottom w:val="single" w:sz="4" w:space="0" w:color="auto"/>
              <w:right w:val="single" w:sz="4" w:space="0" w:color="auto"/>
            </w:tcBorders>
            <w:vAlign w:val="center"/>
          </w:tcPr>
          <w:p w14:paraId="138FD7F0" w14:textId="4E9E8606" w:rsidR="00B63828" w:rsidRPr="004E32F8" w:rsidRDefault="00B63828" w:rsidP="00ED5716">
            <w:pPr>
              <w:pStyle w:val="TableText0"/>
              <w:jc w:val="center"/>
              <w:rPr>
                <w:rFonts w:eastAsia="Calibri"/>
                <w:b/>
                <w:bCs w:val="0"/>
                <w:iCs/>
                <w:szCs w:val="20"/>
              </w:rPr>
            </w:pPr>
            <w:r w:rsidRPr="004E32F8">
              <w:rPr>
                <w:rFonts w:eastAsia="Calibri"/>
                <w:b/>
                <w:bCs w:val="0"/>
                <w:iCs/>
                <w:szCs w:val="20"/>
              </w:rPr>
              <w:t>$</w:t>
            </w:r>
            <w:r w:rsidR="000960C3" w:rsidRPr="000960C3">
              <w:rPr>
                <w:rFonts w:eastAsia="Calibri"/>
                <w:b/>
                <w:bCs w:val="0"/>
                <w:iCs/>
                <w:color w:val="000000"/>
                <w:szCs w:val="20"/>
                <w:shd w:val="solid" w:color="000000" w:fill="000000"/>
                <w14:textFill>
                  <w14:solidFill>
                    <w14:srgbClr w14:val="000000">
                      <w14:alpha w14:val="100000"/>
                    </w14:srgbClr>
                  </w14:solidFill>
                </w14:textFill>
              </w:rPr>
              <w:t>|</w:t>
            </w:r>
          </w:p>
        </w:tc>
        <w:tc>
          <w:tcPr>
            <w:tcW w:w="758" w:type="pct"/>
            <w:tcBorders>
              <w:top w:val="single" w:sz="4" w:space="0" w:color="auto"/>
              <w:left w:val="single" w:sz="4" w:space="0" w:color="auto"/>
              <w:bottom w:val="single" w:sz="4" w:space="0" w:color="auto"/>
              <w:right w:val="single" w:sz="4" w:space="0" w:color="auto"/>
            </w:tcBorders>
            <w:vAlign w:val="bottom"/>
          </w:tcPr>
          <w:p w14:paraId="105BCFA2" w14:textId="749FE16E" w:rsidR="00B63828" w:rsidRPr="004E32F8" w:rsidRDefault="00B63828" w:rsidP="00ED5716">
            <w:pPr>
              <w:pStyle w:val="TableText0"/>
              <w:jc w:val="center"/>
              <w:rPr>
                <w:rFonts w:eastAsia="Calibri" w:cs="Calibri"/>
                <w:b/>
                <w:bCs w:val="0"/>
                <w:iCs/>
                <w:color w:val="000000"/>
                <w:szCs w:val="20"/>
              </w:rPr>
            </w:pPr>
            <w:r w:rsidRPr="004E32F8">
              <w:rPr>
                <w:rFonts w:eastAsia="Calibri" w:cs="Calibri"/>
                <w:b/>
                <w:bCs w:val="0"/>
                <w:iCs/>
                <w:color w:val="000000"/>
                <w:szCs w:val="20"/>
              </w:rPr>
              <w:t>-3%</w:t>
            </w:r>
          </w:p>
        </w:tc>
      </w:tr>
      <w:tr w:rsidR="00B63828" w:rsidRPr="00F04A75" w14:paraId="08278DF3" w14:textId="77777777" w:rsidTr="004E32F8">
        <w:trPr>
          <w:cantSplit/>
          <w:trHeight w:val="60"/>
        </w:trPr>
        <w:tc>
          <w:tcPr>
            <w:tcW w:w="3378" w:type="pct"/>
            <w:tcBorders>
              <w:top w:val="single" w:sz="4" w:space="0" w:color="auto"/>
              <w:left w:val="single" w:sz="4" w:space="0" w:color="auto"/>
              <w:bottom w:val="single" w:sz="4" w:space="0" w:color="auto"/>
              <w:right w:val="single" w:sz="4" w:space="0" w:color="auto"/>
            </w:tcBorders>
            <w:vAlign w:val="center"/>
          </w:tcPr>
          <w:p w14:paraId="053C44D0" w14:textId="77777777" w:rsidR="00B63828" w:rsidRPr="00B63828" w:rsidRDefault="00B63828" w:rsidP="00ED5716">
            <w:pPr>
              <w:pStyle w:val="TableText0"/>
              <w:rPr>
                <w:iCs/>
                <w:szCs w:val="20"/>
              </w:rPr>
            </w:pPr>
            <w:r w:rsidRPr="00B63828">
              <w:rPr>
                <w:iCs/>
                <w:szCs w:val="20"/>
              </w:rPr>
              <w:t xml:space="preserve">Lenalidomide </w:t>
            </w:r>
          </w:p>
        </w:tc>
        <w:tc>
          <w:tcPr>
            <w:tcW w:w="864" w:type="pct"/>
            <w:tcBorders>
              <w:top w:val="single" w:sz="4" w:space="0" w:color="auto"/>
              <w:left w:val="single" w:sz="4" w:space="0" w:color="auto"/>
              <w:bottom w:val="single" w:sz="4" w:space="0" w:color="auto"/>
              <w:right w:val="single" w:sz="4" w:space="0" w:color="auto"/>
            </w:tcBorders>
            <w:vAlign w:val="center"/>
          </w:tcPr>
          <w:p w14:paraId="742892E3" w14:textId="77777777" w:rsidR="00B63828" w:rsidRPr="00B63828" w:rsidRDefault="00B63828" w:rsidP="00ED5716">
            <w:pPr>
              <w:pStyle w:val="TableText0"/>
              <w:jc w:val="center"/>
              <w:rPr>
                <w:rFonts w:eastAsia="Calibri"/>
                <w:iCs/>
                <w:szCs w:val="20"/>
              </w:rPr>
            </w:pPr>
            <w:r w:rsidRPr="00B63828">
              <w:rPr>
                <w:rFonts w:eastAsia="Calibri"/>
                <w:iCs/>
                <w:szCs w:val="20"/>
              </w:rPr>
              <w:t>$31,575</w:t>
            </w:r>
          </w:p>
        </w:tc>
        <w:tc>
          <w:tcPr>
            <w:tcW w:w="758" w:type="pct"/>
            <w:tcBorders>
              <w:top w:val="single" w:sz="4" w:space="0" w:color="auto"/>
              <w:left w:val="single" w:sz="4" w:space="0" w:color="auto"/>
              <w:bottom w:val="single" w:sz="4" w:space="0" w:color="auto"/>
              <w:right w:val="single" w:sz="4" w:space="0" w:color="auto"/>
            </w:tcBorders>
            <w:vAlign w:val="bottom"/>
          </w:tcPr>
          <w:p w14:paraId="5397F890" w14:textId="36EBFF92" w:rsidR="00B63828" w:rsidRPr="00B63828" w:rsidRDefault="009478CF" w:rsidP="00ED5716">
            <w:pPr>
              <w:pStyle w:val="TableText0"/>
              <w:jc w:val="center"/>
              <w:rPr>
                <w:rFonts w:eastAsia="Calibri" w:cs="Calibri"/>
                <w:iCs/>
                <w:color w:val="000000"/>
                <w:szCs w:val="20"/>
              </w:rPr>
            </w:pPr>
            <w:r>
              <w:rPr>
                <w:rFonts w:eastAsia="Calibri" w:cs="Calibri"/>
                <w:iCs/>
                <w:color w:val="000000"/>
                <w:szCs w:val="20"/>
              </w:rPr>
              <w:t>0%</w:t>
            </w:r>
          </w:p>
        </w:tc>
      </w:tr>
      <w:tr w:rsidR="00B63828" w:rsidRPr="00F04A75" w14:paraId="614CE3C8" w14:textId="77777777" w:rsidTr="004E32F8">
        <w:trPr>
          <w:cantSplit/>
          <w:trHeight w:val="60"/>
        </w:trPr>
        <w:tc>
          <w:tcPr>
            <w:tcW w:w="3378" w:type="pct"/>
            <w:tcBorders>
              <w:top w:val="single" w:sz="4" w:space="0" w:color="auto"/>
              <w:left w:val="single" w:sz="4" w:space="0" w:color="auto"/>
              <w:bottom w:val="single" w:sz="4" w:space="0" w:color="auto"/>
              <w:right w:val="single" w:sz="4" w:space="0" w:color="auto"/>
            </w:tcBorders>
            <w:vAlign w:val="center"/>
          </w:tcPr>
          <w:p w14:paraId="707D4A63" w14:textId="77777777" w:rsidR="00B63828" w:rsidRPr="00B63828" w:rsidRDefault="00B63828" w:rsidP="00ED5716">
            <w:pPr>
              <w:pStyle w:val="TableText0"/>
              <w:rPr>
                <w:iCs/>
                <w:szCs w:val="20"/>
              </w:rPr>
            </w:pPr>
            <w:r w:rsidRPr="00B63828">
              <w:rPr>
                <w:iCs/>
                <w:szCs w:val="20"/>
              </w:rPr>
              <w:t xml:space="preserve">Remaining for carfilzomib </w:t>
            </w:r>
          </w:p>
        </w:tc>
        <w:tc>
          <w:tcPr>
            <w:tcW w:w="864" w:type="pct"/>
            <w:tcBorders>
              <w:top w:val="single" w:sz="4" w:space="0" w:color="auto"/>
              <w:left w:val="single" w:sz="4" w:space="0" w:color="auto"/>
              <w:bottom w:val="single" w:sz="4" w:space="0" w:color="auto"/>
              <w:right w:val="single" w:sz="4" w:space="0" w:color="auto"/>
            </w:tcBorders>
            <w:vAlign w:val="center"/>
          </w:tcPr>
          <w:p w14:paraId="119BB121" w14:textId="7CE055E8" w:rsidR="00B63828" w:rsidRPr="00B63828" w:rsidRDefault="00B63828" w:rsidP="00ED5716">
            <w:pPr>
              <w:pStyle w:val="TableText0"/>
              <w:jc w:val="center"/>
              <w:rPr>
                <w:rFonts w:eastAsia="Calibri"/>
                <w:iCs/>
                <w:szCs w:val="20"/>
              </w:rPr>
            </w:pPr>
            <w:r w:rsidRPr="00B63828">
              <w:rPr>
                <w:rFonts w:eastAsia="Calibri"/>
                <w:iCs/>
                <w:szCs w:val="20"/>
              </w:rPr>
              <w:t>$</w:t>
            </w:r>
            <w:r w:rsidR="000960C3" w:rsidRPr="000960C3">
              <w:rPr>
                <w:rFonts w:eastAsia="Calibri"/>
                <w:iCs/>
                <w:color w:val="000000"/>
                <w:szCs w:val="20"/>
                <w:shd w:val="solid" w:color="000000" w:fill="000000"/>
                <w14:textFill>
                  <w14:solidFill>
                    <w14:srgbClr w14:val="000000">
                      <w14:alpha w14:val="100000"/>
                    </w14:srgbClr>
                  </w14:solidFill>
                </w14:textFill>
              </w:rPr>
              <w:t>|</w:t>
            </w:r>
          </w:p>
        </w:tc>
        <w:tc>
          <w:tcPr>
            <w:tcW w:w="758" w:type="pct"/>
            <w:tcBorders>
              <w:top w:val="single" w:sz="4" w:space="0" w:color="auto"/>
              <w:left w:val="single" w:sz="4" w:space="0" w:color="auto"/>
              <w:bottom w:val="single" w:sz="4" w:space="0" w:color="auto"/>
              <w:right w:val="single" w:sz="4" w:space="0" w:color="auto"/>
            </w:tcBorders>
            <w:vAlign w:val="bottom"/>
          </w:tcPr>
          <w:p w14:paraId="1CE6E787" w14:textId="26DA1EE8" w:rsidR="00B63828" w:rsidRPr="00B63828" w:rsidRDefault="00B63828" w:rsidP="00ED5716">
            <w:pPr>
              <w:pStyle w:val="TableText0"/>
              <w:jc w:val="center"/>
              <w:rPr>
                <w:rFonts w:eastAsia="Calibri" w:cs="Calibri"/>
                <w:iCs/>
                <w:color w:val="000000"/>
                <w:szCs w:val="20"/>
              </w:rPr>
            </w:pPr>
            <w:r>
              <w:rPr>
                <w:rFonts w:eastAsia="Calibri" w:cs="Calibri"/>
                <w:iCs/>
                <w:color w:val="000000"/>
                <w:szCs w:val="20"/>
              </w:rPr>
              <w:t>-5%</w:t>
            </w:r>
          </w:p>
        </w:tc>
      </w:tr>
      <w:tr w:rsidR="00B63828" w:rsidRPr="00F04A75" w14:paraId="72C9A8D4" w14:textId="77777777" w:rsidTr="004E32F8">
        <w:trPr>
          <w:cantSplit/>
          <w:trHeight w:val="60"/>
        </w:trPr>
        <w:tc>
          <w:tcPr>
            <w:tcW w:w="3378" w:type="pct"/>
            <w:tcBorders>
              <w:top w:val="single" w:sz="4" w:space="0" w:color="auto"/>
              <w:left w:val="single" w:sz="4" w:space="0" w:color="auto"/>
              <w:bottom w:val="single" w:sz="4" w:space="0" w:color="auto"/>
              <w:right w:val="single" w:sz="4" w:space="0" w:color="auto"/>
            </w:tcBorders>
            <w:vAlign w:val="center"/>
          </w:tcPr>
          <w:p w14:paraId="5DCB6345" w14:textId="77777777" w:rsidR="00B63828" w:rsidRPr="00B63828" w:rsidRDefault="00B63828" w:rsidP="00ED5716">
            <w:pPr>
              <w:pStyle w:val="TableText0"/>
              <w:rPr>
                <w:iCs/>
                <w:szCs w:val="20"/>
              </w:rPr>
            </w:pPr>
            <w:r w:rsidRPr="00B63828">
              <w:rPr>
                <w:iCs/>
                <w:szCs w:val="20"/>
              </w:rPr>
              <w:t xml:space="preserve">Carfilzomib price per mg </w:t>
            </w:r>
          </w:p>
        </w:tc>
        <w:tc>
          <w:tcPr>
            <w:tcW w:w="864" w:type="pct"/>
            <w:tcBorders>
              <w:top w:val="single" w:sz="4" w:space="0" w:color="auto"/>
              <w:left w:val="single" w:sz="4" w:space="0" w:color="auto"/>
              <w:bottom w:val="single" w:sz="4" w:space="0" w:color="auto"/>
              <w:right w:val="single" w:sz="4" w:space="0" w:color="auto"/>
            </w:tcBorders>
            <w:vAlign w:val="center"/>
          </w:tcPr>
          <w:p w14:paraId="5EAC3252" w14:textId="3EED99B5" w:rsidR="00B63828" w:rsidRPr="00B63828" w:rsidRDefault="00B63828" w:rsidP="00ED5716">
            <w:pPr>
              <w:pStyle w:val="TableText0"/>
              <w:jc w:val="center"/>
              <w:rPr>
                <w:rFonts w:eastAsia="Calibri"/>
                <w:iCs/>
                <w:szCs w:val="20"/>
              </w:rPr>
            </w:pPr>
            <w:r w:rsidRPr="00B63828">
              <w:rPr>
                <w:rFonts w:eastAsia="Calibri"/>
                <w:iCs/>
                <w:szCs w:val="20"/>
              </w:rPr>
              <w:t>$</w:t>
            </w:r>
            <w:r w:rsidR="000960C3" w:rsidRPr="000960C3">
              <w:rPr>
                <w:rFonts w:eastAsia="Calibri"/>
                <w:iCs/>
                <w:color w:val="000000"/>
                <w:szCs w:val="20"/>
                <w:shd w:val="solid" w:color="000000" w:fill="000000"/>
                <w14:textFill>
                  <w14:solidFill>
                    <w14:srgbClr w14:val="000000">
                      <w14:alpha w14:val="100000"/>
                    </w14:srgbClr>
                  </w14:solidFill>
                </w14:textFill>
              </w:rPr>
              <w:t>|</w:t>
            </w:r>
          </w:p>
        </w:tc>
        <w:tc>
          <w:tcPr>
            <w:tcW w:w="758" w:type="pct"/>
            <w:tcBorders>
              <w:top w:val="single" w:sz="4" w:space="0" w:color="auto"/>
              <w:left w:val="single" w:sz="4" w:space="0" w:color="auto"/>
              <w:bottom w:val="single" w:sz="4" w:space="0" w:color="auto"/>
              <w:right w:val="single" w:sz="4" w:space="0" w:color="auto"/>
            </w:tcBorders>
            <w:vAlign w:val="bottom"/>
          </w:tcPr>
          <w:p w14:paraId="0F134EFB" w14:textId="6B4C4687" w:rsidR="00B63828" w:rsidRPr="00B63828" w:rsidRDefault="00B63828" w:rsidP="00ED5716">
            <w:pPr>
              <w:pStyle w:val="TableText0"/>
              <w:jc w:val="center"/>
              <w:rPr>
                <w:rFonts w:eastAsia="Calibri" w:cs="Calibri"/>
                <w:iCs/>
                <w:color w:val="000000"/>
                <w:szCs w:val="20"/>
              </w:rPr>
            </w:pPr>
            <w:r>
              <w:rPr>
                <w:rFonts w:eastAsia="Calibri" w:cs="Calibri"/>
                <w:iCs/>
                <w:color w:val="000000"/>
                <w:szCs w:val="20"/>
              </w:rPr>
              <w:t>-5%</w:t>
            </w:r>
          </w:p>
        </w:tc>
      </w:tr>
      <w:tr w:rsidR="00B63828" w:rsidRPr="00F04A75" w14:paraId="29222D6A" w14:textId="77777777" w:rsidTr="004E32F8">
        <w:trPr>
          <w:cantSplit/>
          <w:trHeight w:val="60"/>
        </w:trPr>
        <w:tc>
          <w:tcPr>
            <w:tcW w:w="3378" w:type="pct"/>
            <w:tcBorders>
              <w:top w:val="single" w:sz="4" w:space="0" w:color="auto"/>
              <w:left w:val="single" w:sz="4" w:space="0" w:color="auto"/>
              <w:bottom w:val="single" w:sz="4" w:space="0" w:color="auto"/>
              <w:right w:val="single" w:sz="4" w:space="0" w:color="auto"/>
            </w:tcBorders>
            <w:vAlign w:val="center"/>
          </w:tcPr>
          <w:p w14:paraId="3D5ECF51" w14:textId="77777777" w:rsidR="00B63828" w:rsidRPr="00B63828" w:rsidRDefault="00B63828" w:rsidP="00ED5716">
            <w:pPr>
              <w:pStyle w:val="TableText0"/>
              <w:rPr>
                <w:iCs/>
                <w:szCs w:val="20"/>
              </w:rPr>
            </w:pPr>
            <w:r w:rsidRPr="00B63828">
              <w:rPr>
                <w:iCs/>
                <w:szCs w:val="20"/>
              </w:rPr>
              <w:t xml:space="preserve">SPA (estimated rebate on published price) </w:t>
            </w:r>
          </w:p>
        </w:tc>
        <w:tc>
          <w:tcPr>
            <w:tcW w:w="864" w:type="pct"/>
            <w:tcBorders>
              <w:top w:val="single" w:sz="4" w:space="0" w:color="auto"/>
              <w:left w:val="single" w:sz="4" w:space="0" w:color="auto"/>
              <w:bottom w:val="single" w:sz="4" w:space="0" w:color="auto"/>
              <w:right w:val="single" w:sz="4" w:space="0" w:color="auto"/>
            </w:tcBorders>
            <w:vAlign w:val="center"/>
          </w:tcPr>
          <w:p w14:paraId="79442B77" w14:textId="1F50486E" w:rsidR="00B63828" w:rsidRPr="00B63828" w:rsidRDefault="00B63828" w:rsidP="00ED5716">
            <w:pPr>
              <w:pStyle w:val="TableText0"/>
              <w:jc w:val="center"/>
              <w:rPr>
                <w:rFonts w:eastAsia="Calibri"/>
                <w:iCs/>
                <w:szCs w:val="20"/>
              </w:rPr>
            </w:pPr>
            <w:r w:rsidRPr="00B63828">
              <w:rPr>
                <w:rFonts w:eastAsia="Calibri"/>
                <w:iCs/>
                <w:szCs w:val="20"/>
              </w:rPr>
              <w:t>4</w:t>
            </w:r>
            <w:r>
              <w:rPr>
                <w:rFonts w:eastAsia="Calibri"/>
                <w:iCs/>
                <w:szCs w:val="20"/>
              </w:rPr>
              <w:t>2</w:t>
            </w:r>
            <w:r w:rsidRPr="00B63828">
              <w:rPr>
                <w:rFonts w:eastAsia="Calibri"/>
                <w:iCs/>
                <w:szCs w:val="20"/>
              </w:rPr>
              <w:t>%</w:t>
            </w:r>
          </w:p>
        </w:tc>
        <w:tc>
          <w:tcPr>
            <w:tcW w:w="758" w:type="pct"/>
            <w:tcBorders>
              <w:top w:val="single" w:sz="4" w:space="0" w:color="auto"/>
              <w:left w:val="single" w:sz="4" w:space="0" w:color="auto"/>
              <w:bottom w:val="single" w:sz="4" w:space="0" w:color="auto"/>
              <w:right w:val="single" w:sz="4" w:space="0" w:color="auto"/>
            </w:tcBorders>
            <w:vAlign w:val="bottom"/>
          </w:tcPr>
          <w:p w14:paraId="47447AA7" w14:textId="4CD3ABAB" w:rsidR="00B63828" w:rsidRPr="00B63828" w:rsidRDefault="00B63828" w:rsidP="00ED5716">
            <w:pPr>
              <w:pStyle w:val="TableText0"/>
              <w:jc w:val="center"/>
              <w:rPr>
                <w:rFonts w:eastAsia="Calibri" w:cs="Calibri"/>
                <w:iCs/>
                <w:color w:val="000000"/>
                <w:szCs w:val="20"/>
              </w:rPr>
            </w:pPr>
            <w:r>
              <w:rPr>
                <w:rFonts w:eastAsia="Calibri" w:cs="Calibri"/>
                <w:iCs/>
                <w:color w:val="000000"/>
                <w:szCs w:val="20"/>
              </w:rPr>
              <w:t>5%</w:t>
            </w:r>
          </w:p>
        </w:tc>
      </w:tr>
    </w:tbl>
    <w:p w14:paraId="45EBADDD" w14:textId="33CAD0FC" w:rsidR="0087219F" w:rsidRPr="00F04A75" w:rsidRDefault="0087219F" w:rsidP="0087219F">
      <w:pPr>
        <w:rPr>
          <w:rFonts w:ascii="Arial Narrow" w:hAnsi="Arial Narrow"/>
          <w:sz w:val="18"/>
          <w:szCs w:val="18"/>
        </w:rPr>
      </w:pPr>
      <w:r w:rsidRPr="00F04A75">
        <w:rPr>
          <w:rFonts w:ascii="Arial Narrow" w:hAnsi="Arial Narrow"/>
          <w:sz w:val="18"/>
          <w:szCs w:val="18"/>
        </w:rPr>
        <w:t xml:space="preserve">Source: Prepared by the Commentary during the evaluation </w:t>
      </w:r>
      <w:r w:rsidR="00646CAE" w:rsidRPr="00F04A75">
        <w:rPr>
          <w:rFonts w:ascii="Arial Narrow" w:hAnsi="Arial Narrow"/>
          <w:sz w:val="18"/>
          <w:szCs w:val="18"/>
        </w:rPr>
        <w:t>and during preparation of the ESC ADV</w:t>
      </w:r>
    </w:p>
    <w:p w14:paraId="7D79C4E8" w14:textId="6412EB8A" w:rsidR="0087219F" w:rsidRPr="00F04A75" w:rsidRDefault="00646CAE" w:rsidP="0087219F">
      <w:pPr>
        <w:rPr>
          <w:rFonts w:ascii="Arial Narrow" w:hAnsi="Arial Narrow"/>
          <w:sz w:val="18"/>
          <w:szCs w:val="18"/>
        </w:rPr>
      </w:pPr>
      <w:r w:rsidRPr="00F04A75">
        <w:rPr>
          <w:rFonts w:ascii="Arial Narrow" w:hAnsi="Arial Narrow"/>
          <w:sz w:val="18"/>
          <w:szCs w:val="18"/>
        </w:rPr>
        <w:t>BIW</w:t>
      </w:r>
      <w:r w:rsidR="00D20DF8" w:rsidRPr="00F04A75">
        <w:rPr>
          <w:rFonts w:ascii="Arial Narrow" w:hAnsi="Arial Narrow"/>
          <w:sz w:val="18"/>
          <w:szCs w:val="18"/>
        </w:rPr>
        <w:t xml:space="preserve"> </w:t>
      </w:r>
      <w:r w:rsidRPr="00F04A75">
        <w:rPr>
          <w:rFonts w:ascii="Arial Narrow" w:hAnsi="Arial Narrow"/>
          <w:sz w:val="18"/>
          <w:szCs w:val="18"/>
        </w:rPr>
        <w:t>=</w:t>
      </w:r>
      <w:r w:rsidR="00D20DF8" w:rsidRPr="00F04A75">
        <w:rPr>
          <w:rFonts w:ascii="Arial Narrow" w:hAnsi="Arial Narrow"/>
          <w:sz w:val="18"/>
          <w:szCs w:val="18"/>
        </w:rPr>
        <w:t xml:space="preserve"> </w:t>
      </w:r>
      <w:r w:rsidRPr="00F04A75">
        <w:rPr>
          <w:rFonts w:ascii="Arial Narrow" w:hAnsi="Arial Narrow"/>
          <w:sz w:val="18"/>
          <w:szCs w:val="18"/>
        </w:rPr>
        <w:t>twice weekly; Cd</w:t>
      </w:r>
      <w:r w:rsidR="00D20DF8" w:rsidRPr="00F04A75">
        <w:rPr>
          <w:rFonts w:ascii="Arial Narrow" w:hAnsi="Arial Narrow"/>
          <w:sz w:val="18"/>
          <w:szCs w:val="18"/>
        </w:rPr>
        <w:t xml:space="preserve"> </w:t>
      </w:r>
      <w:r w:rsidRPr="00F04A75">
        <w:rPr>
          <w:rFonts w:ascii="Arial Narrow" w:hAnsi="Arial Narrow"/>
          <w:sz w:val="18"/>
          <w:szCs w:val="18"/>
        </w:rPr>
        <w:t>=</w:t>
      </w:r>
      <w:r w:rsidR="00D20DF8" w:rsidRPr="00F04A75">
        <w:rPr>
          <w:rFonts w:ascii="Arial Narrow" w:hAnsi="Arial Narrow"/>
          <w:sz w:val="18"/>
          <w:szCs w:val="18"/>
        </w:rPr>
        <w:t xml:space="preserve"> </w:t>
      </w:r>
      <w:r w:rsidRPr="00F04A75">
        <w:rPr>
          <w:rFonts w:ascii="Arial Narrow" w:hAnsi="Arial Narrow"/>
          <w:sz w:val="18"/>
          <w:szCs w:val="18"/>
        </w:rPr>
        <w:t xml:space="preserve">carfilzomib and dexamethasone; </w:t>
      </w:r>
      <w:proofErr w:type="spellStart"/>
      <w:r w:rsidR="0087219F" w:rsidRPr="00F04A75">
        <w:rPr>
          <w:rFonts w:ascii="Arial Narrow" w:hAnsi="Arial Narrow"/>
          <w:sz w:val="18"/>
          <w:szCs w:val="18"/>
        </w:rPr>
        <w:t>CLd</w:t>
      </w:r>
      <w:proofErr w:type="spellEnd"/>
      <w:r w:rsidR="00D20DF8" w:rsidRPr="00F04A75">
        <w:rPr>
          <w:rFonts w:ascii="Arial Narrow" w:hAnsi="Arial Narrow"/>
          <w:sz w:val="18"/>
          <w:szCs w:val="18"/>
        </w:rPr>
        <w:t xml:space="preserve"> </w:t>
      </w:r>
      <w:r w:rsidR="0087219F" w:rsidRPr="00F04A75">
        <w:rPr>
          <w:rFonts w:ascii="Arial Narrow" w:hAnsi="Arial Narrow"/>
          <w:sz w:val="18"/>
          <w:szCs w:val="18"/>
        </w:rPr>
        <w:t>=</w:t>
      </w:r>
      <w:r w:rsidR="00D20DF8" w:rsidRPr="00F04A75">
        <w:rPr>
          <w:rFonts w:ascii="Arial Narrow" w:hAnsi="Arial Narrow"/>
          <w:sz w:val="18"/>
          <w:szCs w:val="18"/>
        </w:rPr>
        <w:t xml:space="preserve"> </w:t>
      </w:r>
      <w:r w:rsidR="0087219F" w:rsidRPr="00F04A75">
        <w:rPr>
          <w:rFonts w:ascii="Arial Narrow" w:hAnsi="Arial Narrow"/>
          <w:sz w:val="18"/>
          <w:szCs w:val="18"/>
        </w:rPr>
        <w:t>carfilzomib</w:t>
      </w:r>
      <w:r w:rsidR="00D20DF8" w:rsidRPr="00F04A75">
        <w:rPr>
          <w:rFonts w:ascii="Arial Narrow" w:hAnsi="Arial Narrow"/>
          <w:sz w:val="18"/>
          <w:szCs w:val="18"/>
        </w:rPr>
        <w:t xml:space="preserve">, </w:t>
      </w:r>
      <w:r w:rsidR="0087219F" w:rsidRPr="00F04A75">
        <w:rPr>
          <w:rFonts w:ascii="Arial Narrow" w:hAnsi="Arial Narrow"/>
          <w:sz w:val="18"/>
          <w:szCs w:val="18"/>
        </w:rPr>
        <w:t>lenalidomide and dexamethasone; DOT</w:t>
      </w:r>
      <w:r w:rsidR="00D20DF8" w:rsidRPr="00F04A75">
        <w:rPr>
          <w:rFonts w:ascii="Arial Narrow" w:hAnsi="Arial Narrow"/>
          <w:sz w:val="18"/>
          <w:szCs w:val="18"/>
        </w:rPr>
        <w:t xml:space="preserve"> </w:t>
      </w:r>
      <w:r w:rsidR="0087219F" w:rsidRPr="00F04A75">
        <w:rPr>
          <w:rFonts w:ascii="Arial Narrow" w:hAnsi="Arial Narrow"/>
          <w:sz w:val="18"/>
          <w:szCs w:val="18"/>
        </w:rPr>
        <w:t>=</w:t>
      </w:r>
      <w:r w:rsidR="00D20DF8" w:rsidRPr="00F04A75">
        <w:rPr>
          <w:rFonts w:ascii="Arial Narrow" w:hAnsi="Arial Narrow"/>
          <w:sz w:val="18"/>
          <w:szCs w:val="18"/>
        </w:rPr>
        <w:t xml:space="preserve"> </w:t>
      </w:r>
      <w:r w:rsidR="0087219F" w:rsidRPr="00F04A75">
        <w:rPr>
          <w:rFonts w:ascii="Arial Narrow" w:hAnsi="Arial Narrow"/>
          <w:sz w:val="18"/>
          <w:szCs w:val="18"/>
        </w:rPr>
        <w:t xml:space="preserve">duration of treatment; </w:t>
      </w:r>
      <w:r w:rsidRPr="00F04A75">
        <w:rPr>
          <w:rFonts w:ascii="Arial Narrow" w:hAnsi="Arial Narrow"/>
          <w:sz w:val="18"/>
          <w:szCs w:val="18"/>
        </w:rPr>
        <w:t>QW</w:t>
      </w:r>
      <w:r w:rsidR="00D20DF8" w:rsidRPr="00F04A75">
        <w:rPr>
          <w:rFonts w:ascii="Arial Narrow" w:hAnsi="Arial Narrow"/>
          <w:sz w:val="18"/>
          <w:szCs w:val="18"/>
        </w:rPr>
        <w:t xml:space="preserve"> </w:t>
      </w:r>
      <w:r w:rsidRPr="00F04A75">
        <w:rPr>
          <w:rFonts w:ascii="Arial Narrow" w:hAnsi="Arial Narrow"/>
          <w:sz w:val="18"/>
          <w:szCs w:val="18"/>
        </w:rPr>
        <w:t>=</w:t>
      </w:r>
      <w:r w:rsidR="00D20DF8" w:rsidRPr="00F04A75">
        <w:rPr>
          <w:rFonts w:ascii="Arial Narrow" w:hAnsi="Arial Narrow"/>
          <w:sz w:val="18"/>
          <w:szCs w:val="18"/>
        </w:rPr>
        <w:t xml:space="preserve"> </w:t>
      </w:r>
      <w:r w:rsidRPr="00F04A75">
        <w:rPr>
          <w:rFonts w:ascii="Arial Narrow" w:hAnsi="Arial Narrow"/>
          <w:sz w:val="18"/>
          <w:szCs w:val="18"/>
        </w:rPr>
        <w:t xml:space="preserve">once weekly; </w:t>
      </w:r>
      <w:r w:rsidR="004F1212" w:rsidRPr="00F04A75">
        <w:rPr>
          <w:rFonts w:ascii="Arial Narrow" w:hAnsi="Arial Narrow"/>
          <w:sz w:val="18"/>
          <w:szCs w:val="18"/>
        </w:rPr>
        <w:t>SPA</w:t>
      </w:r>
      <w:r w:rsidR="00D20DF8" w:rsidRPr="00F04A75">
        <w:rPr>
          <w:rFonts w:ascii="Arial Narrow" w:hAnsi="Arial Narrow"/>
          <w:sz w:val="18"/>
          <w:szCs w:val="18"/>
        </w:rPr>
        <w:t xml:space="preserve"> </w:t>
      </w:r>
      <w:r w:rsidR="004F1212" w:rsidRPr="00F04A75">
        <w:rPr>
          <w:rFonts w:ascii="Arial Narrow" w:hAnsi="Arial Narrow"/>
          <w:sz w:val="18"/>
          <w:szCs w:val="18"/>
        </w:rPr>
        <w:t>=</w:t>
      </w:r>
      <w:r w:rsidR="00D20DF8" w:rsidRPr="00F04A75">
        <w:rPr>
          <w:rFonts w:ascii="Arial Narrow" w:hAnsi="Arial Narrow"/>
          <w:sz w:val="18"/>
          <w:szCs w:val="18"/>
        </w:rPr>
        <w:t xml:space="preserve"> s</w:t>
      </w:r>
      <w:r w:rsidR="004F1212" w:rsidRPr="00F04A75">
        <w:rPr>
          <w:rFonts w:ascii="Arial Narrow" w:hAnsi="Arial Narrow"/>
          <w:sz w:val="18"/>
          <w:szCs w:val="18"/>
        </w:rPr>
        <w:t xml:space="preserve">pecial </w:t>
      </w:r>
      <w:r w:rsidR="00D20DF8" w:rsidRPr="00F04A75">
        <w:rPr>
          <w:rFonts w:ascii="Arial Narrow" w:hAnsi="Arial Narrow"/>
          <w:sz w:val="18"/>
          <w:szCs w:val="18"/>
        </w:rPr>
        <w:t>p</w:t>
      </w:r>
      <w:r w:rsidR="004F1212" w:rsidRPr="00F04A75">
        <w:rPr>
          <w:rFonts w:ascii="Arial Narrow" w:hAnsi="Arial Narrow"/>
          <w:sz w:val="18"/>
          <w:szCs w:val="18"/>
        </w:rPr>
        <w:t xml:space="preserve">ricing </w:t>
      </w:r>
      <w:r w:rsidR="00D20DF8" w:rsidRPr="00F04A75">
        <w:rPr>
          <w:rFonts w:ascii="Arial Narrow" w:hAnsi="Arial Narrow"/>
          <w:sz w:val="18"/>
          <w:szCs w:val="18"/>
        </w:rPr>
        <w:t>a</w:t>
      </w:r>
      <w:r w:rsidR="004F1212" w:rsidRPr="00F04A75">
        <w:rPr>
          <w:rFonts w:ascii="Arial Narrow" w:hAnsi="Arial Narrow"/>
          <w:sz w:val="18"/>
          <w:szCs w:val="18"/>
        </w:rPr>
        <w:t>rrangement</w:t>
      </w:r>
      <w:r w:rsidR="0087219F" w:rsidRPr="00F04A75">
        <w:rPr>
          <w:rFonts w:ascii="Arial Narrow" w:hAnsi="Arial Narrow"/>
          <w:sz w:val="18"/>
          <w:szCs w:val="18"/>
        </w:rPr>
        <w:t xml:space="preserve"> </w:t>
      </w:r>
    </w:p>
    <w:p w14:paraId="68B28A87" w14:textId="77777777" w:rsidR="000E2D24" w:rsidRPr="00F04A75" w:rsidRDefault="000E2D24" w:rsidP="000E2D24">
      <w:pPr>
        <w:pStyle w:val="3-BodyText"/>
        <w:keepNext/>
        <w:numPr>
          <w:ilvl w:val="0"/>
          <w:numId w:val="0"/>
        </w:numPr>
        <w:spacing w:after="0"/>
        <w:ind w:left="720"/>
        <w:rPr>
          <w:i/>
        </w:rPr>
      </w:pPr>
      <w:bookmarkStart w:id="54" w:name="_Toc90455930"/>
      <w:bookmarkStart w:id="55" w:name="_Toc93412434"/>
    </w:p>
    <w:p w14:paraId="4B04BC9D" w14:textId="18DDA9FB" w:rsidR="00B86CA5" w:rsidRPr="00F04A75" w:rsidRDefault="00B86CA5" w:rsidP="00B86CA5">
      <w:pPr>
        <w:pStyle w:val="3-BodyText"/>
        <w:rPr>
          <w:iCs/>
        </w:rPr>
      </w:pPr>
      <w:r w:rsidRPr="00F04A75">
        <w:rPr>
          <w:iCs/>
        </w:rPr>
        <w:t xml:space="preserve">The ESC noted the cost-minimised price of carfilzomib when used as </w:t>
      </w:r>
      <w:proofErr w:type="spellStart"/>
      <w:r w:rsidRPr="00F04A75">
        <w:rPr>
          <w:iCs/>
        </w:rPr>
        <w:t>CLd</w:t>
      </w:r>
      <w:proofErr w:type="spellEnd"/>
      <w:r w:rsidRPr="00F04A75">
        <w:rPr>
          <w:iCs/>
        </w:rPr>
        <w:t xml:space="preserve"> was substantially different when based on the comparison with Cd QW</w:t>
      </w:r>
      <w:r w:rsidR="00EB7495" w:rsidRPr="00F04A75">
        <w:rPr>
          <w:iCs/>
        </w:rPr>
        <w:t xml:space="preserve"> ($</w:t>
      </w:r>
      <w:proofErr w:type="gramStart"/>
      <w:r w:rsidR="000960C3" w:rsidRPr="00443BC9">
        <w:rPr>
          <w:iCs/>
          <w:color w:val="000000"/>
          <w:w w:val="15"/>
          <w:shd w:val="solid" w:color="000000" w:fill="000000"/>
          <w:fitText w:val="-20" w:id="-1506043641"/>
          <w14:textFill>
            <w14:solidFill>
              <w14:srgbClr w14:val="000000">
                <w14:alpha w14:val="100000"/>
              </w14:srgbClr>
            </w14:solidFill>
          </w14:textFill>
        </w:rPr>
        <w:t xml:space="preserve">|  </w:t>
      </w:r>
      <w:r w:rsidR="000960C3" w:rsidRPr="00443BC9">
        <w:rPr>
          <w:iCs/>
          <w:color w:val="000000"/>
          <w:spacing w:val="-69"/>
          <w:w w:val="15"/>
          <w:shd w:val="solid" w:color="000000" w:fill="000000"/>
          <w:fitText w:val="-20" w:id="-1506043641"/>
          <w14:textFill>
            <w14:solidFill>
              <w14:srgbClr w14:val="000000">
                <w14:alpha w14:val="100000"/>
              </w14:srgbClr>
            </w14:solidFill>
          </w14:textFill>
        </w:rPr>
        <w:t>|</w:t>
      </w:r>
      <w:proofErr w:type="gramEnd"/>
      <w:r w:rsidR="00EB7495" w:rsidRPr="00F04A75">
        <w:rPr>
          <w:iCs/>
        </w:rPr>
        <w:t xml:space="preserve"> per mg)</w:t>
      </w:r>
      <w:r w:rsidRPr="00F04A75">
        <w:rPr>
          <w:iCs/>
        </w:rPr>
        <w:t xml:space="preserve"> versus Cd BIW</w:t>
      </w:r>
      <w:r w:rsidR="00EB7495" w:rsidRPr="00F04A75">
        <w:rPr>
          <w:iCs/>
        </w:rPr>
        <w:t xml:space="preserve"> ($</w:t>
      </w:r>
      <w:r w:rsidR="000960C3" w:rsidRPr="00443BC9">
        <w:rPr>
          <w:iCs/>
          <w:color w:val="000000"/>
          <w:w w:val="15"/>
          <w:shd w:val="solid" w:color="000000" w:fill="000000"/>
          <w:fitText w:val="-20" w:id="-1506043640"/>
          <w14:textFill>
            <w14:solidFill>
              <w14:srgbClr w14:val="000000">
                <w14:alpha w14:val="100000"/>
              </w14:srgbClr>
            </w14:solidFill>
          </w14:textFill>
        </w:rPr>
        <w:t xml:space="preserve">|  </w:t>
      </w:r>
      <w:r w:rsidR="000960C3" w:rsidRPr="00443BC9">
        <w:rPr>
          <w:iCs/>
          <w:color w:val="000000"/>
          <w:spacing w:val="-69"/>
          <w:w w:val="15"/>
          <w:shd w:val="solid" w:color="000000" w:fill="000000"/>
          <w:fitText w:val="-20" w:id="-1506043640"/>
          <w14:textFill>
            <w14:solidFill>
              <w14:srgbClr w14:val="000000">
                <w14:alpha w14:val="100000"/>
              </w14:srgbClr>
            </w14:solidFill>
          </w14:textFill>
        </w:rPr>
        <w:t>|</w:t>
      </w:r>
      <w:r w:rsidR="00EB7495" w:rsidRPr="00F04A75">
        <w:rPr>
          <w:iCs/>
        </w:rPr>
        <w:t xml:space="preserve"> per mg). The ESC noted the reasons for this large difference were not clear</w:t>
      </w:r>
      <w:r w:rsidR="00D66676" w:rsidRPr="00F04A75">
        <w:rPr>
          <w:iCs/>
        </w:rPr>
        <w:t xml:space="preserve">, but </w:t>
      </w:r>
      <w:r w:rsidR="009B5AF4" w:rsidRPr="00F04A75">
        <w:rPr>
          <w:iCs/>
        </w:rPr>
        <w:t xml:space="preserve">considered that </w:t>
      </w:r>
      <w:r w:rsidR="00EB7495" w:rsidRPr="00F04A75">
        <w:rPr>
          <w:iCs/>
        </w:rPr>
        <w:t>the difference may in part be due to:</w:t>
      </w:r>
    </w:p>
    <w:p w14:paraId="57E77E99" w14:textId="316B9810" w:rsidR="000E2D24" w:rsidRPr="00F04A75" w:rsidRDefault="00EB7495" w:rsidP="009A5B4B">
      <w:pPr>
        <w:pStyle w:val="3-BodyText"/>
        <w:numPr>
          <w:ilvl w:val="0"/>
          <w:numId w:val="23"/>
        </w:numPr>
        <w:ind w:left="1077" w:hanging="357"/>
        <w:rPr>
          <w:iCs/>
        </w:rPr>
      </w:pPr>
      <w:r w:rsidRPr="00F04A75">
        <w:rPr>
          <w:iCs/>
        </w:rPr>
        <w:t xml:space="preserve">The proposed </w:t>
      </w:r>
      <w:proofErr w:type="spellStart"/>
      <w:r w:rsidRPr="00F04A75">
        <w:rPr>
          <w:iCs/>
        </w:rPr>
        <w:t>equi</w:t>
      </w:r>
      <w:proofErr w:type="spellEnd"/>
      <w:r w:rsidRPr="00F04A75">
        <w:rPr>
          <w:iCs/>
        </w:rPr>
        <w:t>-effective doses for the BIW and QW Cd regimens (9,076 mg: 5,603 mg = 1.62 mg: 1mg) being different to th</w:t>
      </w:r>
      <w:r w:rsidR="002365B7" w:rsidRPr="00F04A75">
        <w:rPr>
          <w:iCs/>
        </w:rPr>
        <w:t>ose</w:t>
      </w:r>
      <w:r w:rsidRPr="00F04A75">
        <w:rPr>
          <w:iCs/>
        </w:rPr>
        <w:t xml:space="preserve"> previously accepted by the PBAC (7,278 mg: 4,969 mg = 1.46 mg: 1 mg). </w:t>
      </w:r>
      <w:r w:rsidR="000E2D24" w:rsidRPr="00F04A75">
        <w:rPr>
          <w:iCs/>
        </w:rPr>
        <w:t xml:space="preserve">The doses applied for carfilzomib in the Cd regimen were consistent with those applied in the July 2020 PBAC submission for the listing of the QW regimen (initial dose of 41.2 mg versus 40.6 in the July 2020 submission; 126.4 mg for subsequent QW dose in both current and July 2020 submissions; 102.2 mg versus 100.0 </w:t>
      </w:r>
      <w:r w:rsidR="002365B7" w:rsidRPr="00F04A75">
        <w:rPr>
          <w:iCs/>
        </w:rPr>
        <w:t xml:space="preserve">mg </w:t>
      </w:r>
      <w:r w:rsidR="000E2D24" w:rsidRPr="00F04A75">
        <w:rPr>
          <w:iCs/>
        </w:rPr>
        <w:t>for subsequent BIW doses in the July 2020 submission</w:t>
      </w:r>
      <w:r w:rsidR="002365B7" w:rsidRPr="00F04A75">
        <w:rPr>
          <w:iCs/>
        </w:rPr>
        <w:t>)</w:t>
      </w:r>
      <w:r w:rsidR="000E2D24" w:rsidRPr="00F04A75">
        <w:rPr>
          <w:iCs/>
        </w:rPr>
        <w:t>. However, there was a difference in the number of infusions in the current submission versus the July 2020</w:t>
      </w:r>
      <w:r w:rsidR="002365B7" w:rsidRPr="00F04A75">
        <w:rPr>
          <w:iCs/>
        </w:rPr>
        <w:t xml:space="preserve"> submission</w:t>
      </w:r>
      <w:r w:rsidR="000E2D24" w:rsidRPr="00F04A75">
        <w:rPr>
          <w:iCs/>
        </w:rPr>
        <w:t>. The current submission assume</w:t>
      </w:r>
      <w:r w:rsidR="002365B7" w:rsidRPr="00F04A75">
        <w:rPr>
          <w:iCs/>
        </w:rPr>
        <w:t>d</w:t>
      </w:r>
      <w:r w:rsidR="000E2D24" w:rsidRPr="00F04A75">
        <w:rPr>
          <w:iCs/>
        </w:rPr>
        <w:t xml:space="preserve"> a total of 90 infusions for the BIW regimen (2 + 88) and 45 infusions for the QW regimen (1 + 44) (</w:t>
      </w:r>
      <w:proofErr w:type="gramStart"/>
      <w:r w:rsidR="000E2D24" w:rsidRPr="00F04A75">
        <w:rPr>
          <w:iCs/>
        </w:rPr>
        <w:t>i.e.</w:t>
      </w:r>
      <w:proofErr w:type="gramEnd"/>
      <w:r w:rsidR="000E2D24" w:rsidRPr="00F04A75">
        <w:rPr>
          <w:iCs/>
        </w:rPr>
        <w:t xml:space="preserve"> a ratio of 2:1) whereas the PBAC accepted </w:t>
      </w:r>
      <w:proofErr w:type="spellStart"/>
      <w:r w:rsidR="000E2D24" w:rsidRPr="00F04A75">
        <w:rPr>
          <w:iCs/>
        </w:rPr>
        <w:t>equi</w:t>
      </w:r>
      <w:proofErr w:type="spellEnd"/>
      <w:r w:rsidR="000E2D24" w:rsidRPr="00F04A75">
        <w:rPr>
          <w:iCs/>
        </w:rPr>
        <w:t>-effective doses were based on a total of 74 infusions for the BIW regimen (2 + 72) and 40 infusions for the QW regimen (1 + 39) (i.e. a ratio of 1.85:1)</w:t>
      </w:r>
      <w:r w:rsidR="002365B7" w:rsidRPr="00F04A75">
        <w:rPr>
          <w:iCs/>
        </w:rPr>
        <w:t xml:space="preserve"> (Table 5, carfilzomib </w:t>
      </w:r>
      <w:r w:rsidR="00665B89">
        <w:rPr>
          <w:iCs/>
        </w:rPr>
        <w:t>PSD</w:t>
      </w:r>
      <w:r w:rsidR="002365B7" w:rsidRPr="00F04A75">
        <w:rPr>
          <w:iCs/>
        </w:rPr>
        <w:t>, July 2020)</w:t>
      </w:r>
      <w:r w:rsidR="000E2D24" w:rsidRPr="00F04A75">
        <w:rPr>
          <w:iCs/>
        </w:rPr>
        <w:t xml:space="preserve">. </w:t>
      </w:r>
    </w:p>
    <w:p w14:paraId="05DB4BE5" w14:textId="4873C88C" w:rsidR="00CA652F" w:rsidRPr="00F04A75" w:rsidRDefault="00CA652F" w:rsidP="009A5B4B">
      <w:pPr>
        <w:pStyle w:val="3-BodyText"/>
        <w:numPr>
          <w:ilvl w:val="0"/>
          <w:numId w:val="23"/>
        </w:numPr>
        <w:ind w:left="1077" w:hanging="357"/>
        <w:rPr>
          <w:iCs/>
        </w:rPr>
      </w:pPr>
      <w:r w:rsidRPr="00F04A75">
        <w:rPr>
          <w:iCs/>
        </w:rPr>
        <w:t xml:space="preserve">The </w:t>
      </w:r>
      <w:r w:rsidR="008309AD">
        <w:rPr>
          <w:iCs/>
        </w:rPr>
        <w:t>current</w:t>
      </w:r>
      <w:r w:rsidR="008309AD" w:rsidRPr="00F04A75">
        <w:rPr>
          <w:iCs/>
        </w:rPr>
        <w:t xml:space="preserve"> </w:t>
      </w:r>
      <w:r w:rsidR="008309AD">
        <w:rPr>
          <w:iCs/>
        </w:rPr>
        <w:t xml:space="preserve">per mg price for </w:t>
      </w:r>
      <w:r w:rsidRPr="00F04A75">
        <w:rPr>
          <w:iCs/>
        </w:rPr>
        <w:t xml:space="preserve">carfilzomib price </w:t>
      </w:r>
      <w:r w:rsidR="00FC0499">
        <w:rPr>
          <w:iCs/>
        </w:rPr>
        <w:t xml:space="preserve">was </w:t>
      </w:r>
      <w:r w:rsidRPr="00F04A75">
        <w:rPr>
          <w:iCs/>
        </w:rPr>
        <w:t xml:space="preserve">applied for </w:t>
      </w:r>
      <w:r w:rsidR="003F3684">
        <w:rPr>
          <w:iCs/>
        </w:rPr>
        <w:t xml:space="preserve">both </w:t>
      </w:r>
      <w:r w:rsidRPr="00F04A75">
        <w:rPr>
          <w:iCs/>
        </w:rPr>
        <w:t>the BIW and QW regimens</w:t>
      </w:r>
      <w:r w:rsidR="00FC0499">
        <w:rPr>
          <w:iCs/>
        </w:rPr>
        <w:t>;</w:t>
      </w:r>
      <w:r w:rsidR="003119B2" w:rsidRPr="00F04A75">
        <w:rPr>
          <w:iCs/>
        </w:rPr>
        <w:t xml:space="preserve"> whereas</w:t>
      </w:r>
      <w:r w:rsidR="00FC0499">
        <w:rPr>
          <w:iCs/>
        </w:rPr>
        <w:t>,</w:t>
      </w:r>
      <w:r w:rsidR="003119B2" w:rsidRPr="00F04A75">
        <w:rPr>
          <w:iCs/>
        </w:rPr>
        <w:t xml:space="preserve"> the cost-effective price for the BIW</w:t>
      </w:r>
      <w:r w:rsidR="009B08A9" w:rsidRPr="00F04A75">
        <w:rPr>
          <w:iCs/>
        </w:rPr>
        <w:t xml:space="preserve"> regimen</w:t>
      </w:r>
      <w:r w:rsidR="003119B2" w:rsidRPr="00F04A75">
        <w:rPr>
          <w:iCs/>
        </w:rPr>
        <w:t xml:space="preserve"> is </w:t>
      </w:r>
      <w:proofErr w:type="gramStart"/>
      <w:r w:rsidR="000960C3" w:rsidRPr="00443BC9">
        <w:rPr>
          <w:iCs/>
          <w:color w:val="000000"/>
          <w:w w:val="15"/>
          <w:shd w:val="solid" w:color="000000" w:fill="000000"/>
          <w:fitText w:val="-20" w:id="-1506043639"/>
          <w14:textFill>
            <w14:solidFill>
              <w14:srgbClr w14:val="000000">
                <w14:alpha w14:val="100000"/>
              </w14:srgbClr>
            </w14:solidFill>
          </w14:textFill>
        </w:rPr>
        <w:t xml:space="preserve">|  </w:t>
      </w:r>
      <w:r w:rsidR="000960C3" w:rsidRPr="00443BC9">
        <w:rPr>
          <w:iCs/>
          <w:color w:val="000000"/>
          <w:spacing w:val="-69"/>
          <w:w w:val="15"/>
          <w:shd w:val="solid" w:color="000000" w:fill="000000"/>
          <w:fitText w:val="-20" w:id="-1506043639"/>
          <w14:textFill>
            <w14:solidFill>
              <w14:srgbClr w14:val="000000">
                <w14:alpha w14:val="100000"/>
              </w14:srgbClr>
            </w14:solidFill>
          </w14:textFill>
        </w:rPr>
        <w:t>|</w:t>
      </w:r>
      <w:proofErr w:type="gramEnd"/>
      <w:r w:rsidR="003119B2" w:rsidRPr="00F04A75">
        <w:rPr>
          <w:iCs/>
        </w:rPr>
        <w:t xml:space="preserve"> </w:t>
      </w:r>
      <w:r w:rsidR="008309AD">
        <w:rPr>
          <w:iCs/>
        </w:rPr>
        <w:t>and the cost-effective price</w:t>
      </w:r>
      <w:r w:rsidR="008309AD" w:rsidRPr="00F04A75">
        <w:rPr>
          <w:iCs/>
        </w:rPr>
        <w:t xml:space="preserve"> </w:t>
      </w:r>
      <w:r w:rsidR="003119B2" w:rsidRPr="00F04A75">
        <w:rPr>
          <w:iCs/>
        </w:rPr>
        <w:t>for the QW regimen</w:t>
      </w:r>
      <w:r w:rsidR="008309AD">
        <w:rPr>
          <w:iCs/>
        </w:rPr>
        <w:t xml:space="preserve"> is </w:t>
      </w:r>
      <w:r w:rsidR="000960C3" w:rsidRPr="00443BC9">
        <w:rPr>
          <w:iCs/>
          <w:color w:val="000000"/>
          <w:w w:val="15"/>
          <w:shd w:val="solid" w:color="000000" w:fill="000000"/>
          <w:fitText w:val="-20" w:id="-1506043638"/>
          <w14:textFill>
            <w14:solidFill>
              <w14:srgbClr w14:val="000000">
                <w14:alpha w14:val="100000"/>
              </w14:srgbClr>
            </w14:solidFill>
          </w14:textFill>
        </w:rPr>
        <w:t xml:space="preserve">|  </w:t>
      </w:r>
      <w:r w:rsidR="000960C3" w:rsidRPr="00443BC9">
        <w:rPr>
          <w:iCs/>
          <w:color w:val="000000"/>
          <w:spacing w:val="-69"/>
          <w:w w:val="15"/>
          <w:shd w:val="solid" w:color="000000" w:fill="000000"/>
          <w:fitText w:val="-20" w:id="-1506043638"/>
          <w14:textFill>
            <w14:solidFill>
              <w14:srgbClr w14:val="000000">
                <w14:alpha w14:val="100000"/>
              </w14:srgbClr>
            </w14:solidFill>
          </w14:textFill>
        </w:rPr>
        <w:t>|</w:t>
      </w:r>
      <w:r w:rsidR="003119B2" w:rsidRPr="00F04A75">
        <w:rPr>
          <w:iCs/>
        </w:rPr>
        <w:t>.</w:t>
      </w:r>
    </w:p>
    <w:p w14:paraId="459A7968" w14:textId="4784C544" w:rsidR="006E3361" w:rsidRPr="00F04A75" w:rsidRDefault="003119B2" w:rsidP="003119B2">
      <w:pPr>
        <w:pStyle w:val="3-BodyText"/>
        <w:rPr>
          <w:iCs/>
        </w:rPr>
      </w:pPr>
      <w:r w:rsidRPr="00F04A75">
        <w:rPr>
          <w:iCs/>
        </w:rPr>
        <w:t>The ESC noted</w:t>
      </w:r>
      <w:r w:rsidR="002365B7" w:rsidRPr="00F04A75">
        <w:rPr>
          <w:iCs/>
        </w:rPr>
        <w:t>,</w:t>
      </w:r>
      <w:r w:rsidRPr="00F04A75">
        <w:rPr>
          <w:iCs/>
        </w:rPr>
        <w:t xml:space="preserve"> given the large</w:t>
      </w:r>
      <w:r w:rsidR="00D9233D" w:rsidRPr="00F04A75">
        <w:rPr>
          <w:iCs/>
        </w:rPr>
        <w:t xml:space="preserve"> difference in price based on the comparison </w:t>
      </w:r>
      <w:r w:rsidR="002365B7" w:rsidRPr="00F04A75">
        <w:rPr>
          <w:iCs/>
        </w:rPr>
        <w:t xml:space="preserve">between </w:t>
      </w:r>
      <w:r w:rsidR="00D9233D" w:rsidRPr="00F04A75">
        <w:rPr>
          <w:iCs/>
        </w:rPr>
        <w:t xml:space="preserve">Cd QW </w:t>
      </w:r>
      <w:r w:rsidR="002365B7" w:rsidRPr="00F04A75">
        <w:rPr>
          <w:iCs/>
        </w:rPr>
        <w:t>and</w:t>
      </w:r>
      <w:r w:rsidR="00D9233D" w:rsidRPr="00F04A75">
        <w:rPr>
          <w:iCs/>
        </w:rPr>
        <w:t xml:space="preserve"> Cd BIW</w:t>
      </w:r>
      <w:r w:rsidR="002365B7" w:rsidRPr="00F04A75">
        <w:rPr>
          <w:iCs/>
        </w:rPr>
        <w:t>,</w:t>
      </w:r>
      <w:r w:rsidR="00D9233D" w:rsidRPr="00F04A75">
        <w:rPr>
          <w:iCs/>
        </w:rPr>
        <w:t xml:space="preserve"> that the relative use of these regimens was a driver for the analysis. The ESC further noted the assumed 55% use of the QW regimen was inconsistent with the estimate</w:t>
      </w:r>
      <w:r w:rsidR="00C33D67" w:rsidRPr="00F04A75">
        <w:rPr>
          <w:iCs/>
        </w:rPr>
        <w:t>s</w:t>
      </w:r>
      <w:r w:rsidR="00D9233D" w:rsidRPr="00F04A75">
        <w:rPr>
          <w:iCs/>
        </w:rPr>
        <w:t xml:space="preserve"> included in the July 2020 submission (</w:t>
      </w:r>
      <w:proofErr w:type="gramStart"/>
      <w:r w:rsidR="000960C3" w:rsidRPr="00443BC9">
        <w:rPr>
          <w:iCs/>
          <w:color w:val="000000"/>
          <w:w w:val="15"/>
          <w:shd w:val="solid" w:color="000000" w:fill="000000"/>
          <w:fitText w:val="-20" w:id="-1506043637"/>
          <w14:textFill>
            <w14:solidFill>
              <w14:srgbClr w14:val="000000">
                <w14:alpha w14:val="100000"/>
              </w14:srgbClr>
            </w14:solidFill>
          </w14:textFill>
        </w:rPr>
        <w:t xml:space="preserve">|  </w:t>
      </w:r>
      <w:r w:rsidR="000960C3" w:rsidRPr="00443BC9">
        <w:rPr>
          <w:iCs/>
          <w:color w:val="000000"/>
          <w:spacing w:val="-69"/>
          <w:w w:val="15"/>
          <w:shd w:val="solid" w:color="000000" w:fill="000000"/>
          <w:fitText w:val="-20" w:id="-1506043637"/>
          <w14:textFill>
            <w14:solidFill>
              <w14:srgbClr w14:val="000000">
                <w14:alpha w14:val="100000"/>
              </w14:srgbClr>
            </w14:solidFill>
          </w14:textFill>
        </w:rPr>
        <w:t>|</w:t>
      </w:r>
      <w:proofErr w:type="gramEnd"/>
      <w:r w:rsidR="00D9233D" w:rsidRPr="00F04A75">
        <w:rPr>
          <w:iCs/>
        </w:rPr>
        <w:t xml:space="preserve">% in </w:t>
      </w:r>
      <w:r w:rsidR="002365B7" w:rsidRPr="00F04A75">
        <w:rPr>
          <w:iCs/>
        </w:rPr>
        <w:t>Y</w:t>
      </w:r>
      <w:r w:rsidR="00D9233D" w:rsidRPr="00F04A75">
        <w:rPr>
          <w:iCs/>
        </w:rPr>
        <w:t xml:space="preserve">ear 1 increasing to </w:t>
      </w:r>
      <w:r w:rsidR="000960C3" w:rsidRPr="00443BC9">
        <w:rPr>
          <w:iCs/>
          <w:color w:val="000000"/>
          <w:w w:val="15"/>
          <w:shd w:val="solid" w:color="000000" w:fill="000000"/>
          <w:fitText w:val="-20" w:id="-1506043636"/>
          <w14:textFill>
            <w14:solidFill>
              <w14:srgbClr w14:val="000000">
                <w14:alpha w14:val="100000"/>
              </w14:srgbClr>
            </w14:solidFill>
          </w14:textFill>
        </w:rPr>
        <w:t xml:space="preserve">|  </w:t>
      </w:r>
      <w:r w:rsidR="000960C3" w:rsidRPr="00443BC9">
        <w:rPr>
          <w:iCs/>
          <w:color w:val="000000"/>
          <w:spacing w:val="-69"/>
          <w:w w:val="15"/>
          <w:shd w:val="solid" w:color="000000" w:fill="000000"/>
          <w:fitText w:val="-20" w:id="-1506043636"/>
          <w14:textFill>
            <w14:solidFill>
              <w14:srgbClr w14:val="000000">
                <w14:alpha w14:val="100000"/>
              </w14:srgbClr>
            </w14:solidFill>
          </w14:textFill>
        </w:rPr>
        <w:t>|</w:t>
      </w:r>
      <w:r w:rsidR="00D9233D" w:rsidRPr="00F04A75">
        <w:rPr>
          <w:iCs/>
        </w:rPr>
        <w:t xml:space="preserve">% in </w:t>
      </w:r>
      <w:r w:rsidR="002365B7" w:rsidRPr="00F04A75">
        <w:rPr>
          <w:iCs/>
        </w:rPr>
        <w:t>Y</w:t>
      </w:r>
      <w:r w:rsidR="00D9233D" w:rsidRPr="00F04A75">
        <w:rPr>
          <w:iCs/>
        </w:rPr>
        <w:t>ear 6</w:t>
      </w:r>
      <w:r w:rsidR="002365B7" w:rsidRPr="00F04A75">
        <w:rPr>
          <w:iCs/>
        </w:rPr>
        <w:t xml:space="preserve">; paragraph 5.16, carfilzomib </w:t>
      </w:r>
      <w:r w:rsidR="00665B89">
        <w:rPr>
          <w:iCs/>
        </w:rPr>
        <w:t>PSD</w:t>
      </w:r>
      <w:r w:rsidR="002365B7" w:rsidRPr="00F04A75">
        <w:rPr>
          <w:iCs/>
        </w:rPr>
        <w:t>, July 2020</w:t>
      </w:r>
      <w:r w:rsidR="00D9233D" w:rsidRPr="00F04A75">
        <w:rPr>
          <w:iCs/>
        </w:rPr>
        <w:t>)</w:t>
      </w:r>
      <w:r w:rsidR="000F730D" w:rsidRPr="00F04A75">
        <w:rPr>
          <w:iCs/>
        </w:rPr>
        <w:t xml:space="preserve">. </w:t>
      </w:r>
    </w:p>
    <w:p w14:paraId="47A6C9F8" w14:textId="5C8A83FE" w:rsidR="002C24EF" w:rsidRPr="00F04A75" w:rsidRDefault="002C24EF" w:rsidP="004328BD">
      <w:pPr>
        <w:pStyle w:val="3-BodyText"/>
        <w:rPr>
          <w:iCs/>
        </w:rPr>
      </w:pPr>
      <w:r w:rsidRPr="00F04A75">
        <w:rPr>
          <w:iCs/>
        </w:rPr>
        <w:t xml:space="preserve">The pre-PBAC response (p1) stated that when Cd QW was PBS listed a weighted average rebate was calculated assuming 60% Cd QW versus 40% Cd BIW. If 60% QW is assumed within the current submission, the rebate </w:t>
      </w:r>
      <w:r w:rsidRPr="00F04A75">
        <w:rPr>
          <w:rFonts w:cstheme="minorHAnsi"/>
          <w:iCs/>
        </w:rPr>
        <w:t xml:space="preserve">for carfilzomib in </w:t>
      </w:r>
      <w:proofErr w:type="spellStart"/>
      <w:r w:rsidRPr="00F04A75">
        <w:rPr>
          <w:rFonts w:cstheme="minorHAnsi"/>
          <w:iCs/>
        </w:rPr>
        <w:t>CLd</w:t>
      </w:r>
      <w:proofErr w:type="spellEnd"/>
      <w:r w:rsidRPr="00F04A75">
        <w:rPr>
          <w:rFonts w:cstheme="minorHAnsi"/>
          <w:iCs/>
        </w:rPr>
        <w:t xml:space="preserve"> would be </w:t>
      </w:r>
      <w:proofErr w:type="gramStart"/>
      <w:r w:rsidR="000960C3" w:rsidRPr="00443BC9">
        <w:rPr>
          <w:rFonts w:cstheme="minorHAnsi"/>
          <w:iCs/>
          <w:color w:val="000000"/>
          <w:w w:val="15"/>
          <w:shd w:val="solid" w:color="000000" w:fill="000000"/>
          <w:fitText w:val="-20" w:id="-1506043635"/>
          <w14:textFill>
            <w14:solidFill>
              <w14:srgbClr w14:val="000000">
                <w14:alpha w14:val="100000"/>
              </w14:srgbClr>
            </w14:solidFill>
          </w14:textFill>
        </w:rPr>
        <w:t xml:space="preserve">|  </w:t>
      </w:r>
      <w:r w:rsidR="000960C3" w:rsidRPr="00443BC9">
        <w:rPr>
          <w:rFonts w:cstheme="minorHAnsi"/>
          <w:iCs/>
          <w:color w:val="000000"/>
          <w:spacing w:val="-69"/>
          <w:w w:val="15"/>
          <w:shd w:val="solid" w:color="000000" w:fill="000000"/>
          <w:fitText w:val="-20" w:id="-1506043635"/>
          <w14:textFill>
            <w14:solidFill>
              <w14:srgbClr w14:val="000000">
                <w14:alpha w14:val="100000"/>
              </w14:srgbClr>
            </w14:solidFill>
          </w14:textFill>
        </w:rPr>
        <w:t>|</w:t>
      </w:r>
      <w:proofErr w:type="gramEnd"/>
      <w:r w:rsidRPr="00F04A75">
        <w:rPr>
          <w:rFonts w:cstheme="minorHAnsi"/>
          <w:iCs/>
        </w:rPr>
        <w:t xml:space="preserve">%, </w:t>
      </w:r>
      <w:r w:rsidR="00452D6B" w:rsidRPr="00F04A75">
        <w:rPr>
          <w:rFonts w:cstheme="minorHAnsi"/>
          <w:iCs/>
        </w:rPr>
        <w:t>compared with</w:t>
      </w:r>
      <w:r w:rsidRPr="00F04A75">
        <w:rPr>
          <w:rFonts w:cstheme="minorHAnsi"/>
          <w:iCs/>
        </w:rPr>
        <w:t xml:space="preserve"> </w:t>
      </w:r>
      <w:r w:rsidR="000960C3" w:rsidRPr="00443BC9">
        <w:rPr>
          <w:rFonts w:cstheme="minorHAnsi"/>
          <w:iCs/>
          <w:color w:val="000000"/>
          <w:w w:val="15"/>
          <w:shd w:val="solid" w:color="000000" w:fill="000000"/>
          <w:fitText w:val="-20" w:id="-1506043634"/>
          <w14:textFill>
            <w14:solidFill>
              <w14:srgbClr w14:val="000000">
                <w14:alpha w14:val="100000"/>
              </w14:srgbClr>
            </w14:solidFill>
          </w14:textFill>
        </w:rPr>
        <w:t xml:space="preserve">|  </w:t>
      </w:r>
      <w:r w:rsidR="000960C3" w:rsidRPr="00443BC9">
        <w:rPr>
          <w:rFonts w:cstheme="minorHAnsi"/>
          <w:iCs/>
          <w:color w:val="000000"/>
          <w:spacing w:val="-69"/>
          <w:w w:val="15"/>
          <w:shd w:val="solid" w:color="000000" w:fill="000000"/>
          <w:fitText w:val="-20" w:id="-1506043634"/>
          <w14:textFill>
            <w14:solidFill>
              <w14:srgbClr w14:val="000000">
                <w14:alpha w14:val="100000"/>
              </w14:srgbClr>
            </w14:solidFill>
          </w14:textFill>
        </w:rPr>
        <w:t>|</w:t>
      </w:r>
      <w:r w:rsidRPr="00F04A75">
        <w:rPr>
          <w:rFonts w:cstheme="minorHAnsi"/>
          <w:iCs/>
        </w:rPr>
        <w:t xml:space="preserve">% </w:t>
      </w:r>
      <w:r w:rsidR="00B63828">
        <w:rPr>
          <w:rFonts w:cstheme="minorHAnsi"/>
          <w:iCs/>
        </w:rPr>
        <w:t>in the submission’s base case</w:t>
      </w:r>
      <w:r w:rsidRPr="00F04A75">
        <w:rPr>
          <w:rFonts w:cstheme="minorHAnsi"/>
          <w:iCs/>
        </w:rPr>
        <w:t xml:space="preserve"> (see </w:t>
      </w:r>
      <w:r w:rsidR="00B63828">
        <w:rPr>
          <w:rFonts w:cstheme="minorHAnsi"/>
          <w:iCs/>
        </w:rPr>
        <w:t xml:space="preserve">Table </w:t>
      </w:r>
      <w:r w:rsidR="00C8791A">
        <w:rPr>
          <w:rFonts w:cstheme="minorHAnsi"/>
          <w:iCs/>
        </w:rPr>
        <w:t>19</w:t>
      </w:r>
      <w:r w:rsidRPr="00F04A75">
        <w:rPr>
          <w:rFonts w:cstheme="minorHAnsi"/>
          <w:iCs/>
        </w:rPr>
        <w:t>).</w:t>
      </w:r>
    </w:p>
    <w:p w14:paraId="39E8F2E5" w14:textId="0E544092" w:rsidR="00F97782" w:rsidRPr="00F04A75" w:rsidRDefault="00F97782" w:rsidP="0016658B">
      <w:pPr>
        <w:pStyle w:val="4-SubsectionHeading"/>
      </w:pPr>
      <w:r w:rsidRPr="00F04A75">
        <w:t>Drug cost/patient/course</w:t>
      </w:r>
      <w:bookmarkEnd w:id="54"/>
      <w:bookmarkEnd w:id="55"/>
    </w:p>
    <w:p w14:paraId="38BB200C" w14:textId="7987A038" w:rsidR="00F97782" w:rsidRPr="00F04A75" w:rsidRDefault="00F97782" w:rsidP="0016658B">
      <w:pPr>
        <w:pStyle w:val="3-BodyText"/>
        <w:rPr>
          <w:rFonts w:cstheme="minorHAnsi"/>
        </w:rPr>
      </w:pPr>
      <w:r w:rsidRPr="00F04A75">
        <w:t xml:space="preserve">Applying the </w:t>
      </w:r>
      <w:proofErr w:type="spellStart"/>
      <w:r w:rsidRPr="00F04A75">
        <w:t>equi</w:t>
      </w:r>
      <w:proofErr w:type="spellEnd"/>
      <w:r w:rsidRPr="00F04A75">
        <w:t xml:space="preserve">-effective doses estimated in the resubmission, the cost of </w:t>
      </w:r>
      <w:proofErr w:type="spellStart"/>
      <w:r w:rsidRPr="00F04A75">
        <w:t>CLd</w:t>
      </w:r>
      <w:proofErr w:type="spellEnd"/>
      <w:r w:rsidRPr="00F04A75">
        <w:t xml:space="preserve"> per course</w:t>
      </w:r>
      <w:r w:rsidR="00F50A78" w:rsidRPr="00F04A75">
        <w:t>, based on the CMA,</w:t>
      </w:r>
      <w:r w:rsidRPr="00F04A75">
        <w:t xml:space="preserve"> was estimated to be $</w:t>
      </w:r>
      <w:proofErr w:type="gramStart"/>
      <w:r w:rsidR="000960C3" w:rsidRPr="00443BC9">
        <w:rPr>
          <w:color w:val="000000"/>
          <w:w w:val="15"/>
          <w:shd w:val="solid" w:color="000000" w:fill="000000"/>
          <w:fitText w:val="-20" w:id="-1506043633"/>
          <w14:textFill>
            <w14:solidFill>
              <w14:srgbClr w14:val="000000">
                <w14:alpha w14:val="100000"/>
              </w14:srgbClr>
            </w14:solidFill>
          </w14:textFill>
        </w:rPr>
        <w:t xml:space="preserve">|  </w:t>
      </w:r>
      <w:r w:rsidR="000960C3" w:rsidRPr="00443BC9">
        <w:rPr>
          <w:color w:val="000000"/>
          <w:spacing w:val="-69"/>
          <w:w w:val="15"/>
          <w:shd w:val="solid" w:color="000000" w:fill="000000"/>
          <w:fitText w:val="-20" w:id="-1506043633"/>
          <w14:textFill>
            <w14:solidFill>
              <w14:srgbClr w14:val="000000">
                <w14:alpha w14:val="100000"/>
              </w14:srgbClr>
            </w14:solidFill>
          </w14:textFill>
        </w:rPr>
        <w:t>|</w:t>
      </w:r>
      <w:proofErr w:type="gramEnd"/>
      <w:r w:rsidRPr="00F04A75">
        <w:t>, with the cost of carfilzomib equal to $</w:t>
      </w:r>
      <w:r w:rsidR="000960C3" w:rsidRPr="00443BC9">
        <w:rPr>
          <w:color w:val="000000"/>
          <w:w w:val="15"/>
          <w:shd w:val="solid" w:color="000000" w:fill="000000"/>
          <w:fitText w:val="-20" w:id="-1506043632"/>
          <w14:textFill>
            <w14:solidFill>
              <w14:srgbClr w14:val="000000">
                <w14:alpha w14:val="100000"/>
              </w14:srgbClr>
            </w14:solidFill>
          </w14:textFill>
        </w:rPr>
        <w:t xml:space="preserve">|  </w:t>
      </w:r>
      <w:r w:rsidR="000960C3" w:rsidRPr="00443BC9">
        <w:rPr>
          <w:color w:val="000000"/>
          <w:spacing w:val="-69"/>
          <w:w w:val="15"/>
          <w:shd w:val="solid" w:color="000000" w:fill="000000"/>
          <w:fitText w:val="-20" w:id="-1506043632"/>
          <w14:textFill>
            <w14:solidFill>
              <w14:srgbClr w14:val="000000">
                <w14:alpha w14:val="100000"/>
              </w14:srgbClr>
            </w14:solidFill>
          </w14:textFill>
        </w:rPr>
        <w:t>|</w:t>
      </w:r>
      <w:r w:rsidR="00D02409" w:rsidRPr="00F04A75">
        <w:t xml:space="preserve"> and the</w:t>
      </w:r>
      <w:r w:rsidRPr="00F04A75">
        <w:t xml:space="preserve"> cost of lenalidomide equal to $</w:t>
      </w:r>
      <w:r w:rsidRPr="003A4A04">
        <w:t>31,575</w:t>
      </w:r>
      <w:r w:rsidRPr="00F04A75">
        <w:t xml:space="preserve">. The cost minimised price for </w:t>
      </w:r>
      <w:proofErr w:type="spellStart"/>
      <w:r w:rsidRPr="00F04A75">
        <w:t>CLd</w:t>
      </w:r>
      <w:proofErr w:type="spellEnd"/>
      <w:r w:rsidRPr="00F04A75">
        <w:t xml:space="preserve"> per course of treatment was based on an estimated </w:t>
      </w:r>
      <w:r w:rsidR="00FF5D46" w:rsidRPr="00F04A75">
        <w:t xml:space="preserve">effective </w:t>
      </w:r>
      <w:r w:rsidRPr="00F04A75">
        <w:t>AEMP for carfilzomib of $</w:t>
      </w:r>
      <w:proofErr w:type="gramStart"/>
      <w:r w:rsidR="000960C3" w:rsidRPr="00443BC9">
        <w:rPr>
          <w:color w:val="000000"/>
          <w:w w:val="15"/>
          <w:shd w:val="solid" w:color="000000" w:fill="000000"/>
          <w:fitText w:val="-20" w:id="-1506043648"/>
          <w14:textFill>
            <w14:solidFill>
              <w14:srgbClr w14:val="000000">
                <w14:alpha w14:val="100000"/>
              </w14:srgbClr>
            </w14:solidFill>
          </w14:textFill>
        </w:rPr>
        <w:t xml:space="preserve">|  </w:t>
      </w:r>
      <w:r w:rsidR="000960C3" w:rsidRPr="00443BC9">
        <w:rPr>
          <w:color w:val="000000"/>
          <w:spacing w:val="-69"/>
          <w:w w:val="15"/>
          <w:shd w:val="solid" w:color="000000" w:fill="000000"/>
          <w:fitText w:val="-20" w:id="-1506043648"/>
          <w14:textFill>
            <w14:solidFill>
              <w14:srgbClr w14:val="000000">
                <w14:alpha w14:val="100000"/>
              </w14:srgbClr>
            </w14:solidFill>
          </w14:textFill>
        </w:rPr>
        <w:t>|</w:t>
      </w:r>
      <w:proofErr w:type="gramEnd"/>
      <w:r w:rsidRPr="00F04A75">
        <w:t xml:space="preserve">/mg </w:t>
      </w:r>
      <w:r w:rsidR="00F50A78" w:rsidRPr="00F04A75">
        <w:t>and</w:t>
      </w:r>
      <w:r w:rsidRPr="00F04A75">
        <w:t xml:space="preserve"> of $</w:t>
      </w:r>
      <w:r w:rsidRPr="003A4A04">
        <w:t>11.29</w:t>
      </w:r>
      <w:r w:rsidRPr="00F04A75">
        <w:t xml:space="preserve">/mg </w:t>
      </w:r>
      <w:r w:rsidR="00F50A78" w:rsidRPr="00F04A75">
        <w:t>for lenalidomide</w:t>
      </w:r>
      <w:r w:rsidRPr="00F04A75">
        <w:t xml:space="preserve"> (as estimated in the resubmission)</w:t>
      </w:r>
      <w:r w:rsidRPr="00F04A75">
        <w:rPr>
          <w:rFonts w:cstheme="minorHAnsi"/>
        </w:rPr>
        <w:t xml:space="preserve">. </w:t>
      </w:r>
    </w:p>
    <w:p w14:paraId="7DC93290" w14:textId="2DBB40F3" w:rsidR="00F97782" w:rsidRPr="00F04A75" w:rsidRDefault="00F97782" w:rsidP="0016658B">
      <w:pPr>
        <w:pStyle w:val="Caption"/>
        <w:keepNext/>
        <w:spacing w:after="0"/>
        <w:jc w:val="left"/>
        <w:rPr>
          <w:rStyle w:val="CommentReference"/>
          <w:szCs w:val="20"/>
        </w:rPr>
      </w:pPr>
      <w:bookmarkStart w:id="56" w:name="_Ref92085369"/>
      <w:r w:rsidRPr="00F04A75">
        <w:rPr>
          <w:rFonts w:ascii="Arial Narrow" w:hAnsi="Arial Narrow"/>
          <w:color w:val="auto"/>
          <w:sz w:val="20"/>
          <w:szCs w:val="20"/>
        </w:rPr>
        <w:t xml:space="preserve">Table </w:t>
      </w:r>
      <w:r w:rsidRPr="00F04A75">
        <w:rPr>
          <w:rFonts w:ascii="Arial Narrow" w:hAnsi="Arial Narrow"/>
          <w:color w:val="auto"/>
          <w:sz w:val="20"/>
          <w:szCs w:val="20"/>
        </w:rPr>
        <w:fldChar w:fldCharType="begin"/>
      </w:r>
      <w:r w:rsidRPr="00F04A75">
        <w:rPr>
          <w:rFonts w:ascii="Arial Narrow" w:hAnsi="Arial Narrow"/>
          <w:color w:val="auto"/>
          <w:sz w:val="20"/>
          <w:szCs w:val="20"/>
        </w:rPr>
        <w:instrText xml:space="preserve"> SEQ Table \* ARABIC </w:instrText>
      </w:r>
      <w:r w:rsidRPr="00F04A75">
        <w:rPr>
          <w:rFonts w:ascii="Arial Narrow" w:hAnsi="Arial Narrow"/>
          <w:color w:val="auto"/>
          <w:sz w:val="20"/>
          <w:szCs w:val="20"/>
        </w:rPr>
        <w:fldChar w:fldCharType="separate"/>
      </w:r>
      <w:r w:rsidR="00443BC9">
        <w:rPr>
          <w:rFonts w:ascii="Arial Narrow" w:hAnsi="Arial Narrow"/>
          <w:noProof/>
          <w:color w:val="auto"/>
          <w:sz w:val="20"/>
          <w:szCs w:val="20"/>
        </w:rPr>
        <w:t>14</w:t>
      </w:r>
      <w:r w:rsidRPr="00F04A75">
        <w:rPr>
          <w:rFonts w:ascii="Arial Narrow" w:hAnsi="Arial Narrow"/>
          <w:color w:val="auto"/>
          <w:sz w:val="20"/>
          <w:szCs w:val="20"/>
        </w:rPr>
        <w:fldChar w:fldCharType="end"/>
      </w:r>
      <w:bookmarkEnd w:id="56"/>
      <w:r w:rsidR="00C8791A">
        <w:rPr>
          <w:rFonts w:ascii="Arial Narrow" w:hAnsi="Arial Narrow"/>
          <w:color w:val="auto"/>
          <w:sz w:val="20"/>
          <w:szCs w:val="20"/>
        </w:rPr>
        <w:t>0</w:t>
      </w:r>
      <w:r w:rsidRPr="00F04A75">
        <w:rPr>
          <w:rFonts w:ascii="Arial Narrow" w:hAnsi="Arial Narrow"/>
          <w:color w:val="auto"/>
          <w:sz w:val="20"/>
          <w:szCs w:val="20"/>
        </w:rPr>
        <w:t xml:space="preserve">: </w:t>
      </w:r>
      <w:r w:rsidRPr="00F04A75">
        <w:rPr>
          <w:rStyle w:val="CommentReference"/>
          <w:b/>
          <w:bCs w:val="0"/>
          <w:color w:val="auto"/>
          <w:szCs w:val="20"/>
        </w:rPr>
        <w:t>Drug cost per patient for proposed and comparator drugs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31"/>
        <w:gridCol w:w="1275"/>
        <w:gridCol w:w="1275"/>
        <w:gridCol w:w="1277"/>
        <w:gridCol w:w="1417"/>
        <w:gridCol w:w="1277"/>
        <w:gridCol w:w="1365"/>
      </w:tblGrid>
      <w:tr w:rsidR="00FF5D46" w:rsidRPr="00F04A75" w14:paraId="2C28B8A9" w14:textId="77777777" w:rsidTr="001D4D74">
        <w:trPr>
          <w:cantSplit/>
          <w:tblHeader/>
          <w:jc w:val="center"/>
        </w:trPr>
        <w:tc>
          <w:tcPr>
            <w:tcW w:w="627" w:type="pct"/>
            <w:vMerge w:val="restart"/>
            <w:shd w:val="clear" w:color="auto" w:fill="auto"/>
            <w:vAlign w:val="center"/>
          </w:tcPr>
          <w:p w14:paraId="2AA5C616" w14:textId="77777777" w:rsidR="00FF5D46" w:rsidRPr="00F04A75" w:rsidRDefault="00FF5D46" w:rsidP="0016658B">
            <w:pPr>
              <w:pStyle w:val="In-tableHeading"/>
              <w:jc w:val="center"/>
              <w:rPr>
                <w:szCs w:val="20"/>
                <w:lang w:val="en-AU"/>
              </w:rPr>
            </w:pPr>
          </w:p>
        </w:tc>
        <w:tc>
          <w:tcPr>
            <w:tcW w:w="2122" w:type="pct"/>
            <w:gridSpan w:val="3"/>
            <w:shd w:val="clear" w:color="auto" w:fill="auto"/>
            <w:vAlign w:val="center"/>
          </w:tcPr>
          <w:p w14:paraId="34ACF290" w14:textId="77777777" w:rsidR="00FF5D46" w:rsidRPr="00F04A75" w:rsidRDefault="00FF5D46" w:rsidP="0016658B">
            <w:pPr>
              <w:pStyle w:val="In-tableHeading"/>
              <w:jc w:val="center"/>
              <w:rPr>
                <w:szCs w:val="20"/>
                <w:lang w:val="en-AU"/>
              </w:rPr>
            </w:pPr>
            <w:proofErr w:type="spellStart"/>
            <w:r w:rsidRPr="00F04A75">
              <w:rPr>
                <w:szCs w:val="20"/>
                <w:lang w:val="en-AU"/>
              </w:rPr>
              <w:t>CLd</w:t>
            </w:r>
            <w:proofErr w:type="spellEnd"/>
          </w:p>
        </w:tc>
        <w:tc>
          <w:tcPr>
            <w:tcW w:w="2251" w:type="pct"/>
            <w:gridSpan w:val="3"/>
            <w:shd w:val="clear" w:color="auto" w:fill="auto"/>
            <w:vAlign w:val="center"/>
          </w:tcPr>
          <w:p w14:paraId="69E25D78" w14:textId="77777777" w:rsidR="00FF5D46" w:rsidRPr="00F04A75" w:rsidRDefault="00FF5D46" w:rsidP="0016658B">
            <w:pPr>
              <w:pStyle w:val="In-tableHeading"/>
              <w:jc w:val="center"/>
              <w:rPr>
                <w:szCs w:val="20"/>
                <w:lang w:val="en-AU"/>
              </w:rPr>
            </w:pPr>
            <w:r w:rsidRPr="00F04A75">
              <w:rPr>
                <w:szCs w:val="20"/>
                <w:lang w:val="en-AU"/>
              </w:rPr>
              <w:t>Cd</w:t>
            </w:r>
          </w:p>
        </w:tc>
      </w:tr>
      <w:tr w:rsidR="001D4D74" w:rsidRPr="00F04A75" w14:paraId="514FB5C5" w14:textId="77777777" w:rsidTr="001D4D74">
        <w:trPr>
          <w:cantSplit/>
          <w:tblHeader/>
          <w:jc w:val="center"/>
        </w:trPr>
        <w:tc>
          <w:tcPr>
            <w:tcW w:w="627" w:type="pct"/>
            <w:vMerge/>
            <w:shd w:val="clear" w:color="auto" w:fill="auto"/>
            <w:vAlign w:val="center"/>
          </w:tcPr>
          <w:p w14:paraId="3140ECBC" w14:textId="77777777" w:rsidR="00FF5D46" w:rsidRPr="00F04A75" w:rsidRDefault="00FF5D46" w:rsidP="0016658B">
            <w:pPr>
              <w:pStyle w:val="In-tableHeading"/>
              <w:jc w:val="center"/>
              <w:rPr>
                <w:szCs w:val="20"/>
                <w:lang w:val="en-AU"/>
              </w:rPr>
            </w:pPr>
          </w:p>
        </w:tc>
        <w:tc>
          <w:tcPr>
            <w:tcW w:w="707" w:type="pct"/>
            <w:shd w:val="clear" w:color="auto" w:fill="auto"/>
            <w:vAlign w:val="center"/>
          </w:tcPr>
          <w:p w14:paraId="22C6AAC3" w14:textId="77777777" w:rsidR="00FF5D46" w:rsidRPr="00F04A75" w:rsidRDefault="00FF5D46" w:rsidP="0016658B">
            <w:pPr>
              <w:pStyle w:val="In-tableHeading"/>
              <w:jc w:val="center"/>
              <w:rPr>
                <w:szCs w:val="20"/>
                <w:lang w:val="en-AU"/>
              </w:rPr>
            </w:pPr>
            <w:r w:rsidRPr="00F04A75">
              <w:rPr>
                <w:szCs w:val="20"/>
                <w:lang w:val="en-AU"/>
              </w:rPr>
              <w:t>Trial dose and duration</w:t>
            </w:r>
          </w:p>
        </w:tc>
        <w:tc>
          <w:tcPr>
            <w:tcW w:w="707" w:type="pct"/>
            <w:shd w:val="clear" w:color="auto" w:fill="auto"/>
            <w:vAlign w:val="center"/>
          </w:tcPr>
          <w:p w14:paraId="3A91B2BD" w14:textId="77777777" w:rsidR="00FF5D46" w:rsidRPr="00F04A75" w:rsidRDefault="00FF5D46" w:rsidP="0016658B">
            <w:pPr>
              <w:pStyle w:val="In-tableHeading"/>
              <w:jc w:val="center"/>
              <w:rPr>
                <w:szCs w:val="20"/>
                <w:lang w:val="en-AU"/>
              </w:rPr>
            </w:pPr>
            <w:r w:rsidRPr="00F04A75">
              <w:rPr>
                <w:szCs w:val="20"/>
                <w:lang w:val="en-AU"/>
              </w:rPr>
              <w:t>CMA</w:t>
            </w:r>
          </w:p>
        </w:tc>
        <w:tc>
          <w:tcPr>
            <w:tcW w:w="708" w:type="pct"/>
            <w:shd w:val="clear" w:color="auto" w:fill="auto"/>
            <w:vAlign w:val="center"/>
          </w:tcPr>
          <w:p w14:paraId="0282C379" w14:textId="77777777" w:rsidR="00FF5D46" w:rsidRPr="00F04A75" w:rsidRDefault="00FF5D46" w:rsidP="0016658B">
            <w:pPr>
              <w:pStyle w:val="In-tableHeading"/>
              <w:jc w:val="center"/>
              <w:rPr>
                <w:szCs w:val="20"/>
                <w:lang w:val="en-AU"/>
              </w:rPr>
            </w:pPr>
            <w:r w:rsidRPr="00F04A75">
              <w:rPr>
                <w:szCs w:val="20"/>
                <w:lang w:val="en-AU"/>
              </w:rPr>
              <w:t>Financial estimates</w:t>
            </w:r>
          </w:p>
        </w:tc>
        <w:tc>
          <w:tcPr>
            <w:tcW w:w="786" w:type="pct"/>
            <w:shd w:val="clear" w:color="auto" w:fill="auto"/>
            <w:vAlign w:val="center"/>
          </w:tcPr>
          <w:p w14:paraId="6D919F05" w14:textId="77777777" w:rsidR="00FF5D46" w:rsidRPr="00F04A75" w:rsidRDefault="00FF5D46" w:rsidP="0016658B">
            <w:pPr>
              <w:pStyle w:val="In-tableHeading"/>
              <w:jc w:val="center"/>
              <w:rPr>
                <w:szCs w:val="20"/>
                <w:lang w:val="en-AU"/>
              </w:rPr>
            </w:pPr>
            <w:r w:rsidRPr="00F04A75">
              <w:rPr>
                <w:szCs w:val="20"/>
                <w:lang w:val="en-AU"/>
              </w:rPr>
              <w:t>Trial dose and duration</w:t>
            </w:r>
          </w:p>
        </w:tc>
        <w:tc>
          <w:tcPr>
            <w:tcW w:w="708" w:type="pct"/>
            <w:shd w:val="clear" w:color="auto" w:fill="auto"/>
            <w:vAlign w:val="center"/>
          </w:tcPr>
          <w:p w14:paraId="068E6727" w14:textId="77777777" w:rsidR="00FF5D46" w:rsidRPr="00F04A75" w:rsidRDefault="00FF5D46" w:rsidP="0016658B">
            <w:pPr>
              <w:pStyle w:val="In-tableHeading"/>
              <w:jc w:val="center"/>
              <w:rPr>
                <w:szCs w:val="20"/>
                <w:lang w:val="en-AU"/>
              </w:rPr>
            </w:pPr>
            <w:r w:rsidRPr="00F04A75">
              <w:rPr>
                <w:szCs w:val="20"/>
                <w:lang w:val="en-AU"/>
              </w:rPr>
              <w:t>CMA</w:t>
            </w:r>
          </w:p>
        </w:tc>
        <w:tc>
          <w:tcPr>
            <w:tcW w:w="757" w:type="pct"/>
          </w:tcPr>
          <w:p w14:paraId="2017EF9A" w14:textId="77777777" w:rsidR="00FF5D46" w:rsidRPr="00F04A75" w:rsidRDefault="00FF5D46" w:rsidP="0016658B">
            <w:pPr>
              <w:pStyle w:val="In-tableHeading"/>
              <w:jc w:val="center"/>
              <w:rPr>
                <w:szCs w:val="20"/>
                <w:lang w:val="en-AU"/>
              </w:rPr>
            </w:pPr>
            <w:r w:rsidRPr="00F04A75">
              <w:rPr>
                <w:szCs w:val="20"/>
                <w:lang w:val="en-AU"/>
              </w:rPr>
              <w:t>Financial estimates</w:t>
            </w:r>
          </w:p>
        </w:tc>
      </w:tr>
      <w:tr w:rsidR="001D4D74" w:rsidRPr="00F04A75" w14:paraId="1EF96B17" w14:textId="77777777" w:rsidTr="001D4D74">
        <w:trPr>
          <w:cantSplit/>
          <w:jc w:val="center"/>
        </w:trPr>
        <w:tc>
          <w:tcPr>
            <w:tcW w:w="627" w:type="pct"/>
            <w:shd w:val="clear" w:color="auto" w:fill="auto"/>
            <w:vAlign w:val="center"/>
          </w:tcPr>
          <w:p w14:paraId="79FD23B3" w14:textId="77777777" w:rsidR="00F97782" w:rsidRPr="00F04A75" w:rsidRDefault="00F97782" w:rsidP="0016658B">
            <w:pPr>
              <w:pStyle w:val="TableText0"/>
              <w:rPr>
                <w:szCs w:val="20"/>
              </w:rPr>
            </w:pPr>
            <w:r w:rsidRPr="00F04A75">
              <w:rPr>
                <w:szCs w:val="20"/>
              </w:rPr>
              <w:t>Mean dose</w:t>
            </w:r>
          </w:p>
        </w:tc>
        <w:tc>
          <w:tcPr>
            <w:tcW w:w="707" w:type="pct"/>
            <w:shd w:val="clear" w:color="auto" w:fill="auto"/>
            <w:vAlign w:val="center"/>
          </w:tcPr>
          <w:p w14:paraId="7F4F81C2" w14:textId="77777777" w:rsidR="00F97782" w:rsidRPr="00F04A75" w:rsidRDefault="00F97782" w:rsidP="001D4D74">
            <w:pPr>
              <w:pStyle w:val="TableText0"/>
              <w:jc w:val="center"/>
              <w:rPr>
                <w:bCs w:val="0"/>
                <w:szCs w:val="20"/>
              </w:rPr>
            </w:pPr>
            <w:proofErr w:type="spellStart"/>
            <w:r w:rsidRPr="00F04A75">
              <w:rPr>
                <w:bCs w:val="0"/>
                <w:szCs w:val="20"/>
              </w:rPr>
              <w:t>C</w:t>
            </w:r>
            <w:r w:rsidR="001D4D74" w:rsidRPr="00F04A75">
              <w:rPr>
                <w:bCs w:val="0"/>
                <w:szCs w:val="20"/>
              </w:rPr>
              <w:t>arf</w:t>
            </w:r>
            <w:proofErr w:type="spellEnd"/>
            <w:r w:rsidRPr="00F04A75">
              <w:rPr>
                <w:bCs w:val="0"/>
                <w:szCs w:val="20"/>
              </w:rPr>
              <w:t xml:space="preserve">: </w:t>
            </w:r>
            <w:r w:rsidR="001D4D74" w:rsidRPr="00F04A75">
              <w:rPr>
                <w:bCs w:val="0"/>
                <w:szCs w:val="20"/>
              </w:rPr>
              <w:br/>
            </w:r>
            <w:r w:rsidRPr="00F04A75">
              <w:rPr>
                <w:bCs w:val="0"/>
                <w:szCs w:val="20"/>
              </w:rPr>
              <w:t xml:space="preserve">41.20 </w:t>
            </w:r>
            <w:proofErr w:type="spellStart"/>
            <w:proofErr w:type="gramStart"/>
            <w:r w:rsidRPr="00F04A75">
              <w:rPr>
                <w:bCs w:val="0"/>
                <w:szCs w:val="20"/>
              </w:rPr>
              <w:t>mg</w:t>
            </w:r>
            <w:r w:rsidRPr="00F04A75">
              <w:rPr>
                <w:bCs w:val="0"/>
                <w:szCs w:val="20"/>
                <w:vertAlign w:val="superscript"/>
              </w:rPr>
              <w:t>a</w:t>
            </w:r>
            <w:proofErr w:type="spellEnd"/>
            <w:r w:rsidRPr="00F04A75">
              <w:rPr>
                <w:bCs w:val="0"/>
                <w:szCs w:val="20"/>
              </w:rPr>
              <w:t>;</w:t>
            </w:r>
            <w:proofErr w:type="gramEnd"/>
          </w:p>
          <w:p w14:paraId="2831F9DF" w14:textId="77777777" w:rsidR="00F97782" w:rsidRPr="00F04A75" w:rsidRDefault="00F97782" w:rsidP="001D4D74">
            <w:pPr>
              <w:pStyle w:val="TableText0"/>
              <w:jc w:val="center"/>
              <w:rPr>
                <w:bCs w:val="0"/>
                <w:szCs w:val="20"/>
                <w:vertAlign w:val="superscript"/>
              </w:rPr>
            </w:pPr>
            <w:r w:rsidRPr="00F04A75">
              <w:rPr>
                <w:bCs w:val="0"/>
                <w:szCs w:val="20"/>
              </w:rPr>
              <w:t>53.6mg</w:t>
            </w:r>
            <w:r w:rsidRPr="00F04A75">
              <w:rPr>
                <w:bCs w:val="0"/>
                <w:szCs w:val="20"/>
                <w:vertAlign w:val="superscript"/>
              </w:rPr>
              <w:t>b</w:t>
            </w:r>
          </w:p>
          <w:p w14:paraId="204BA65F" w14:textId="77777777" w:rsidR="00F97782" w:rsidRPr="00F04A75" w:rsidRDefault="00F97782" w:rsidP="001D4D74">
            <w:pPr>
              <w:pStyle w:val="TableText0"/>
              <w:jc w:val="center"/>
              <w:rPr>
                <w:bCs w:val="0"/>
                <w:szCs w:val="20"/>
                <w:vertAlign w:val="superscript"/>
              </w:rPr>
            </w:pPr>
            <w:r w:rsidRPr="00F04A75">
              <w:rPr>
                <w:bCs w:val="0"/>
                <w:szCs w:val="20"/>
              </w:rPr>
              <w:t>L</w:t>
            </w:r>
            <w:r w:rsidR="005E4ABB" w:rsidRPr="00F04A75">
              <w:rPr>
                <w:bCs w:val="0"/>
                <w:szCs w:val="20"/>
              </w:rPr>
              <w:t>en</w:t>
            </w:r>
            <w:r w:rsidRPr="00F04A75">
              <w:rPr>
                <w:bCs w:val="0"/>
                <w:szCs w:val="20"/>
              </w:rPr>
              <w:t xml:space="preserve">: </w:t>
            </w:r>
            <w:r w:rsidR="001D4D74" w:rsidRPr="00F04A75">
              <w:rPr>
                <w:bCs w:val="0"/>
                <w:szCs w:val="20"/>
              </w:rPr>
              <w:br/>
            </w:r>
            <w:r w:rsidRPr="00F04A75">
              <w:rPr>
                <w:bCs w:val="0"/>
                <w:szCs w:val="20"/>
              </w:rPr>
              <w:t>RDI 78.9%</w:t>
            </w:r>
            <w:r w:rsidRPr="00F04A75">
              <w:rPr>
                <w:bCs w:val="0"/>
                <w:szCs w:val="20"/>
                <w:vertAlign w:val="superscript"/>
              </w:rPr>
              <w:t>c</w:t>
            </w:r>
          </w:p>
        </w:tc>
        <w:tc>
          <w:tcPr>
            <w:tcW w:w="707" w:type="pct"/>
            <w:shd w:val="clear" w:color="auto" w:fill="auto"/>
            <w:vAlign w:val="center"/>
          </w:tcPr>
          <w:p w14:paraId="113A537F" w14:textId="77777777" w:rsidR="00F97782" w:rsidRPr="00F04A75" w:rsidRDefault="00F97782" w:rsidP="001D4D74">
            <w:pPr>
              <w:pStyle w:val="TableText0"/>
              <w:jc w:val="center"/>
              <w:rPr>
                <w:bCs w:val="0"/>
                <w:szCs w:val="20"/>
              </w:rPr>
            </w:pPr>
            <w:proofErr w:type="spellStart"/>
            <w:r w:rsidRPr="00F04A75">
              <w:rPr>
                <w:bCs w:val="0"/>
                <w:szCs w:val="20"/>
              </w:rPr>
              <w:t>C</w:t>
            </w:r>
            <w:r w:rsidR="001D4D74" w:rsidRPr="00F04A75">
              <w:rPr>
                <w:bCs w:val="0"/>
                <w:szCs w:val="20"/>
              </w:rPr>
              <w:t>arf</w:t>
            </w:r>
            <w:proofErr w:type="spellEnd"/>
            <w:r w:rsidRPr="00F04A75">
              <w:rPr>
                <w:bCs w:val="0"/>
                <w:szCs w:val="20"/>
              </w:rPr>
              <w:t xml:space="preserve">: </w:t>
            </w:r>
            <w:r w:rsidR="001D4D74" w:rsidRPr="00F04A75">
              <w:rPr>
                <w:bCs w:val="0"/>
                <w:szCs w:val="20"/>
              </w:rPr>
              <w:br/>
            </w:r>
            <w:r w:rsidRPr="00F04A75">
              <w:rPr>
                <w:bCs w:val="0"/>
                <w:szCs w:val="20"/>
              </w:rPr>
              <w:t xml:space="preserve">41.20 </w:t>
            </w:r>
            <w:proofErr w:type="spellStart"/>
            <w:proofErr w:type="gramStart"/>
            <w:r w:rsidRPr="00F04A75">
              <w:rPr>
                <w:bCs w:val="0"/>
                <w:szCs w:val="20"/>
              </w:rPr>
              <w:t>mg</w:t>
            </w:r>
            <w:r w:rsidRPr="00F04A75">
              <w:rPr>
                <w:bCs w:val="0"/>
                <w:szCs w:val="20"/>
                <w:vertAlign w:val="superscript"/>
              </w:rPr>
              <w:t>a</w:t>
            </w:r>
            <w:proofErr w:type="spellEnd"/>
            <w:r w:rsidRPr="00F04A75">
              <w:rPr>
                <w:bCs w:val="0"/>
                <w:szCs w:val="20"/>
              </w:rPr>
              <w:t>;</w:t>
            </w:r>
            <w:proofErr w:type="gramEnd"/>
          </w:p>
          <w:p w14:paraId="05A1DF78" w14:textId="77777777" w:rsidR="00F97782" w:rsidRPr="00F04A75" w:rsidRDefault="00F97782" w:rsidP="001D4D74">
            <w:pPr>
              <w:pStyle w:val="TableText0"/>
              <w:jc w:val="center"/>
              <w:rPr>
                <w:bCs w:val="0"/>
                <w:szCs w:val="20"/>
                <w:vertAlign w:val="superscript"/>
              </w:rPr>
            </w:pPr>
            <w:r w:rsidRPr="00F04A75">
              <w:rPr>
                <w:bCs w:val="0"/>
                <w:szCs w:val="20"/>
              </w:rPr>
              <w:t>53.6mg</w:t>
            </w:r>
            <w:r w:rsidRPr="00F04A75">
              <w:rPr>
                <w:bCs w:val="0"/>
                <w:szCs w:val="20"/>
                <w:vertAlign w:val="superscript"/>
              </w:rPr>
              <w:t>b</w:t>
            </w:r>
          </w:p>
          <w:p w14:paraId="2E06B824" w14:textId="77777777" w:rsidR="00F97782" w:rsidRPr="00F04A75" w:rsidRDefault="00F97782" w:rsidP="001D4D74">
            <w:pPr>
              <w:pStyle w:val="TableText0"/>
              <w:jc w:val="center"/>
              <w:rPr>
                <w:bCs w:val="0"/>
                <w:szCs w:val="20"/>
                <w:vertAlign w:val="superscript"/>
              </w:rPr>
            </w:pPr>
            <w:r w:rsidRPr="00F04A75">
              <w:rPr>
                <w:bCs w:val="0"/>
                <w:szCs w:val="20"/>
              </w:rPr>
              <w:t>L</w:t>
            </w:r>
            <w:r w:rsidR="005E4ABB" w:rsidRPr="00F04A75">
              <w:rPr>
                <w:bCs w:val="0"/>
                <w:szCs w:val="20"/>
              </w:rPr>
              <w:t>en</w:t>
            </w:r>
            <w:r w:rsidRPr="00F04A75">
              <w:rPr>
                <w:bCs w:val="0"/>
                <w:szCs w:val="20"/>
              </w:rPr>
              <w:t xml:space="preserve">: </w:t>
            </w:r>
            <w:r w:rsidR="001D4D74" w:rsidRPr="00F04A75">
              <w:rPr>
                <w:bCs w:val="0"/>
                <w:szCs w:val="20"/>
              </w:rPr>
              <w:br/>
            </w:r>
            <w:r w:rsidRPr="00F04A75">
              <w:rPr>
                <w:bCs w:val="0"/>
                <w:szCs w:val="20"/>
              </w:rPr>
              <w:t>RDI 78.9%</w:t>
            </w:r>
            <w:r w:rsidR="00DF5CA6" w:rsidRPr="00F04A75">
              <w:rPr>
                <w:bCs w:val="0"/>
                <w:szCs w:val="20"/>
                <w:vertAlign w:val="superscript"/>
              </w:rPr>
              <w:t>c</w:t>
            </w:r>
          </w:p>
        </w:tc>
        <w:tc>
          <w:tcPr>
            <w:tcW w:w="708" w:type="pct"/>
            <w:shd w:val="clear" w:color="auto" w:fill="auto"/>
            <w:vAlign w:val="center"/>
          </w:tcPr>
          <w:p w14:paraId="52D303BC" w14:textId="77777777" w:rsidR="00F97782" w:rsidRPr="00F04A75" w:rsidRDefault="00F97782" w:rsidP="001D4D74">
            <w:pPr>
              <w:pStyle w:val="TableText0"/>
              <w:jc w:val="center"/>
              <w:rPr>
                <w:bCs w:val="0"/>
                <w:szCs w:val="20"/>
              </w:rPr>
            </w:pPr>
            <w:proofErr w:type="spellStart"/>
            <w:r w:rsidRPr="00F04A75">
              <w:rPr>
                <w:bCs w:val="0"/>
                <w:szCs w:val="20"/>
              </w:rPr>
              <w:t>C</w:t>
            </w:r>
            <w:r w:rsidR="001D4D74" w:rsidRPr="00F04A75">
              <w:rPr>
                <w:bCs w:val="0"/>
                <w:szCs w:val="20"/>
              </w:rPr>
              <w:t>arf</w:t>
            </w:r>
            <w:proofErr w:type="spellEnd"/>
            <w:r w:rsidRPr="00F04A75">
              <w:rPr>
                <w:bCs w:val="0"/>
                <w:szCs w:val="20"/>
              </w:rPr>
              <w:t xml:space="preserve">: </w:t>
            </w:r>
            <w:r w:rsidR="001D4D74" w:rsidRPr="00F04A75">
              <w:rPr>
                <w:bCs w:val="0"/>
                <w:szCs w:val="20"/>
              </w:rPr>
              <w:br/>
            </w:r>
            <w:r w:rsidRPr="00F04A75">
              <w:rPr>
                <w:bCs w:val="0"/>
                <w:szCs w:val="20"/>
              </w:rPr>
              <w:t xml:space="preserve">41.20 </w:t>
            </w:r>
            <w:proofErr w:type="spellStart"/>
            <w:proofErr w:type="gramStart"/>
            <w:r w:rsidRPr="00F04A75">
              <w:rPr>
                <w:bCs w:val="0"/>
                <w:szCs w:val="20"/>
              </w:rPr>
              <w:t>mg</w:t>
            </w:r>
            <w:r w:rsidRPr="00F04A75">
              <w:rPr>
                <w:bCs w:val="0"/>
                <w:szCs w:val="20"/>
                <w:vertAlign w:val="superscript"/>
              </w:rPr>
              <w:t>a</w:t>
            </w:r>
            <w:proofErr w:type="spellEnd"/>
            <w:r w:rsidRPr="00F04A75">
              <w:rPr>
                <w:bCs w:val="0"/>
                <w:szCs w:val="20"/>
              </w:rPr>
              <w:t>;</w:t>
            </w:r>
            <w:proofErr w:type="gramEnd"/>
          </w:p>
          <w:p w14:paraId="04432828" w14:textId="77777777" w:rsidR="00F97782" w:rsidRPr="00F04A75" w:rsidRDefault="00F97782" w:rsidP="001D4D74">
            <w:pPr>
              <w:pStyle w:val="TableText0"/>
              <w:jc w:val="center"/>
              <w:rPr>
                <w:bCs w:val="0"/>
                <w:szCs w:val="20"/>
                <w:vertAlign w:val="superscript"/>
              </w:rPr>
            </w:pPr>
            <w:r w:rsidRPr="00F04A75">
              <w:rPr>
                <w:bCs w:val="0"/>
                <w:szCs w:val="20"/>
              </w:rPr>
              <w:t>53.6mg</w:t>
            </w:r>
            <w:r w:rsidRPr="00F04A75">
              <w:rPr>
                <w:bCs w:val="0"/>
                <w:szCs w:val="20"/>
                <w:vertAlign w:val="superscript"/>
              </w:rPr>
              <w:t>b</w:t>
            </w:r>
          </w:p>
          <w:p w14:paraId="1F682661" w14:textId="77777777" w:rsidR="00F97782" w:rsidRPr="00F04A75" w:rsidRDefault="00F97782" w:rsidP="001D4D74">
            <w:pPr>
              <w:pStyle w:val="TableText0"/>
              <w:jc w:val="center"/>
              <w:rPr>
                <w:bCs w:val="0"/>
                <w:szCs w:val="20"/>
                <w:vertAlign w:val="superscript"/>
              </w:rPr>
            </w:pPr>
            <w:r w:rsidRPr="00F04A75">
              <w:rPr>
                <w:bCs w:val="0"/>
                <w:szCs w:val="20"/>
              </w:rPr>
              <w:t>L</w:t>
            </w:r>
            <w:r w:rsidR="005E4ABB" w:rsidRPr="00F04A75">
              <w:rPr>
                <w:bCs w:val="0"/>
                <w:szCs w:val="20"/>
              </w:rPr>
              <w:t>en</w:t>
            </w:r>
            <w:r w:rsidRPr="00F04A75">
              <w:rPr>
                <w:bCs w:val="0"/>
                <w:szCs w:val="20"/>
              </w:rPr>
              <w:t xml:space="preserve">: </w:t>
            </w:r>
            <w:r w:rsidR="001D4D74" w:rsidRPr="00F04A75">
              <w:rPr>
                <w:bCs w:val="0"/>
                <w:szCs w:val="20"/>
              </w:rPr>
              <w:br/>
            </w:r>
            <w:r w:rsidRPr="00F04A75">
              <w:rPr>
                <w:bCs w:val="0"/>
                <w:szCs w:val="20"/>
              </w:rPr>
              <w:t>RDI 78.9%</w:t>
            </w:r>
            <w:r w:rsidR="00DF5CA6" w:rsidRPr="00F04A75">
              <w:rPr>
                <w:bCs w:val="0"/>
                <w:szCs w:val="20"/>
                <w:vertAlign w:val="superscript"/>
              </w:rPr>
              <w:t>c</w:t>
            </w:r>
          </w:p>
        </w:tc>
        <w:tc>
          <w:tcPr>
            <w:tcW w:w="786" w:type="pct"/>
            <w:shd w:val="clear" w:color="auto" w:fill="auto"/>
            <w:vAlign w:val="center"/>
          </w:tcPr>
          <w:p w14:paraId="79951247" w14:textId="77777777" w:rsidR="00F97782" w:rsidRPr="00F04A75" w:rsidRDefault="00F97782" w:rsidP="001D4D74">
            <w:pPr>
              <w:pStyle w:val="TableText0"/>
              <w:jc w:val="center"/>
              <w:rPr>
                <w:bCs w:val="0"/>
                <w:szCs w:val="20"/>
              </w:rPr>
            </w:pPr>
            <w:proofErr w:type="spellStart"/>
            <w:r w:rsidRPr="00F04A75">
              <w:rPr>
                <w:bCs w:val="0"/>
                <w:szCs w:val="20"/>
              </w:rPr>
              <w:t>C</w:t>
            </w:r>
            <w:r w:rsidR="001D4D74" w:rsidRPr="00F04A75">
              <w:rPr>
                <w:bCs w:val="0"/>
                <w:szCs w:val="20"/>
              </w:rPr>
              <w:t>arf</w:t>
            </w:r>
            <w:proofErr w:type="spellEnd"/>
            <w:r w:rsidRPr="00F04A75">
              <w:rPr>
                <w:bCs w:val="0"/>
                <w:szCs w:val="20"/>
              </w:rPr>
              <w:t xml:space="preserve"> QW: </w:t>
            </w:r>
            <w:r w:rsidR="001D4D74" w:rsidRPr="00F04A75">
              <w:rPr>
                <w:bCs w:val="0"/>
                <w:szCs w:val="20"/>
              </w:rPr>
              <w:br/>
            </w:r>
            <w:r w:rsidRPr="00F04A75">
              <w:rPr>
                <w:bCs w:val="0"/>
                <w:szCs w:val="20"/>
              </w:rPr>
              <w:t xml:space="preserve">41.2 mg; </w:t>
            </w:r>
            <w:r w:rsidR="001D4D74" w:rsidRPr="00F04A75">
              <w:rPr>
                <w:bCs w:val="0"/>
                <w:szCs w:val="20"/>
              </w:rPr>
              <w:br/>
            </w:r>
            <w:r w:rsidRPr="00F04A75">
              <w:rPr>
                <w:bCs w:val="0"/>
                <w:szCs w:val="20"/>
              </w:rPr>
              <w:t>126.4 mg</w:t>
            </w:r>
          </w:p>
          <w:p w14:paraId="66EB3317" w14:textId="77777777" w:rsidR="00F97782" w:rsidRPr="00F04A75" w:rsidRDefault="00F97782" w:rsidP="001D4D74">
            <w:pPr>
              <w:pStyle w:val="TableText0"/>
              <w:jc w:val="center"/>
              <w:rPr>
                <w:bCs w:val="0"/>
                <w:szCs w:val="20"/>
              </w:rPr>
            </w:pPr>
            <w:proofErr w:type="spellStart"/>
            <w:r w:rsidRPr="00F04A75">
              <w:rPr>
                <w:bCs w:val="0"/>
                <w:szCs w:val="20"/>
              </w:rPr>
              <w:t>C</w:t>
            </w:r>
            <w:r w:rsidR="001D4D74" w:rsidRPr="00F04A75">
              <w:rPr>
                <w:bCs w:val="0"/>
                <w:szCs w:val="20"/>
              </w:rPr>
              <w:t>arf</w:t>
            </w:r>
            <w:proofErr w:type="spellEnd"/>
            <w:r w:rsidRPr="00F04A75">
              <w:rPr>
                <w:bCs w:val="0"/>
                <w:szCs w:val="20"/>
              </w:rPr>
              <w:t xml:space="preserve"> BIW: </w:t>
            </w:r>
            <w:r w:rsidR="001D4D74" w:rsidRPr="00F04A75">
              <w:rPr>
                <w:bCs w:val="0"/>
                <w:szCs w:val="20"/>
              </w:rPr>
              <w:br/>
            </w:r>
            <w:r w:rsidRPr="00F04A75">
              <w:rPr>
                <w:bCs w:val="0"/>
                <w:szCs w:val="20"/>
              </w:rPr>
              <w:t xml:space="preserve">41.2 mg; </w:t>
            </w:r>
            <w:r w:rsidR="001D4D74" w:rsidRPr="00F04A75">
              <w:rPr>
                <w:bCs w:val="0"/>
                <w:szCs w:val="20"/>
              </w:rPr>
              <w:br/>
            </w:r>
            <w:r w:rsidRPr="00F04A75">
              <w:rPr>
                <w:bCs w:val="0"/>
                <w:szCs w:val="20"/>
              </w:rPr>
              <w:t>102.2 mg</w:t>
            </w:r>
          </w:p>
        </w:tc>
        <w:tc>
          <w:tcPr>
            <w:tcW w:w="708" w:type="pct"/>
            <w:shd w:val="clear" w:color="auto" w:fill="auto"/>
            <w:vAlign w:val="center"/>
          </w:tcPr>
          <w:p w14:paraId="6813D896" w14:textId="77777777" w:rsidR="00F97782" w:rsidRPr="00F04A75" w:rsidRDefault="00F97782" w:rsidP="001D4D74">
            <w:pPr>
              <w:pStyle w:val="TableText0"/>
              <w:jc w:val="center"/>
              <w:rPr>
                <w:bCs w:val="0"/>
                <w:szCs w:val="20"/>
                <w:vertAlign w:val="superscript"/>
              </w:rPr>
            </w:pPr>
            <w:proofErr w:type="spellStart"/>
            <w:r w:rsidRPr="00F04A75">
              <w:rPr>
                <w:bCs w:val="0"/>
                <w:szCs w:val="20"/>
              </w:rPr>
              <w:t>C</w:t>
            </w:r>
            <w:r w:rsidR="001D4D74" w:rsidRPr="00F04A75">
              <w:rPr>
                <w:bCs w:val="0"/>
                <w:szCs w:val="20"/>
              </w:rPr>
              <w:t>arf</w:t>
            </w:r>
            <w:proofErr w:type="spellEnd"/>
            <w:r w:rsidRPr="00F04A75">
              <w:rPr>
                <w:bCs w:val="0"/>
                <w:szCs w:val="20"/>
              </w:rPr>
              <w:t xml:space="preserve"> QW: </w:t>
            </w:r>
            <w:r w:rsidR="001D4D74" w:rsidRPr="00F04A75">
              <w:rPr>
                <w:bCs w:val="0"/>
                <w:szCs w:val="20"/>
              </w:rPr>
              <w:br/>
            </w:r>
            <w:r w:rsidRPr="00F04A75">
              <w:rPr>
                <w:bCs w:val="0"/>
                <w:szCs w:val="20"/>
              </w:rPr>
              <w:t xml:space="preserve">41.2 </w:t>
            </w:r>
            <w:proofErr w:type="spellStart"/>
            <w:r w:rsidRPr="00F04A75">
              <w:rPr>
                <w:bCs w:val="0"/>
                <w:szCs w:val="20"/>
              </w:rPr>
              <w:t>mg</w:t>
            </w:r>
            <w:r w:rsidR="00157D46" w:rsidRPr="00F04A75">
              <w:rPr>
                <w:bCs w:val="0"/>
                <w:szCs w:val="20"/>
                <w:vertAlign w:val="superscript"/>
              </w:rPr>
              <w:t>d</w:t>
            </w:r>
            <w:proofErr w:type="spellEnd"/>
            <w:r w:rsidRPr="00F04A75">
              <w:rPr>
                <w:bCs w:val="0"/>
                <w:szCs w:val="20"/>
              </w:rPr>
              <w:t xml:space="preserve">; </w:t>
            </w:r>
            <w:r w:rsidR="001D4D74" w:rsidRPr="00F04A75">
              <w:rPr>
                <w:bCs w:val="0"/>
                <w:szCs w:val="20"/>
              </w:rPr>
              <w:br/>
            </w:r>
            <w:r w:rsidRPr="00F04A75">
              <w:rPr>
                <w:bCs w:val="0"/>
                <w:szCs w:val="20"/>
              </w:rPr>
              <w:t xml:space="preserve">126.4 </w:t>
            </w:r>
            <w:proofErr w:type="spellStart"/>
            <w:r w:rsidRPr="00F04A75">
              <w:rPr>
                <w:bCs w:val="0"/>
                <w:szCs w:val="20"/>
              </w:rPr>
              <w:t>mg</w:t>
            </w:r>
            <w:r w:rsidR="00157D46" w:rsidRPr="00F04A75">
              <w:rPr>
                <w:bCs w:val="0"/>
                <w:szCs w:val="20"/>
                <w:vertAlign w:val="superscript"/>
              </w:rPr>
              <w:t>e</w:t>
            </w:r>
            <w:proofErr w:type="spellEnd"/>
          </w:p>
          <w:p w14:paraId="5C68ED86" w14:textId="77777777" w:rsidR="00F97782" w:rsidRPr="00F04A75" w:rsidRDefault="00F97782" w:rsidP="001D4D74">
            <w:pPr>
              <w:pStyle w:val="TableText0"/>
              <w:jc w:val="center"/>
              <w:rPr>
                <w:bCs w:val="0"/>
                <w:szCs w:val="20"/>
                <w:vertAlign w:val="superscript"/>
              </w:rPr>
            </w:pPr>
            <w:proofErr w:type="spellStart"/>
            <w:r w:rsidRPr="00F04A75">
              <w:rPr>
                <w:bCs w:val="0"/>
                <w:szCs w:val="20"/>
              </w:rPr>
              <w:t>C</w:t>
            </w:r>
            <w:r w:rsidR="001D4D74" w:rsidRPr="00F04A75">
              <w:rPr>
                <w:bCs w:val="0"/>
                <w:szCs w:val="20"/>
              </w:rPr>
              <w:t>arf</w:t>
            </w:r>
            <w:proofErr w:type="spellEnd"/>
            <w:r w:rsidRPr="00F04A75">
              <w:rPr>
                <w:bCs w:val="0"/>
                <w:szCs w:val="20"/>
              </w:rPr>
              <w:t xml:space="preserve"> BIW: </w:t>
            </w:r>
            <w:r w:rsidR="001D4D74" w:rsidRPr="00F04A75">
              <w:rPr>
                <w:bCs w:val="0"/>
                <w:szCs w:val="20"/>
              </w:rPr>
              <w:br/>
            </w:r>
            <w:r w:rsidRPr="00F04A75">
              <w:rPr>
                <w:bCs w:val="0"/>
                <w:szCs w:val="20"/>
              </w:rPr>
              <w:t>41.2</w:t>
            </w:r>
            <w:r w:rsidR="001D4D74" w:rsidRPr="00F04A75">
              <w:rPr>
                <w:bCs w:val="0"/>
                <w:szCs w:val="20"/>
              </w:rPr>
              <w:t xml:space="preserve"> </w:t>
            </w:r>
            <w:proofErr w:type="spellStart"/>
            <w:r w:rsidR="001D4D74" w:rsidRPr="00F04A75">
              <w:rPr>
                <w:bCs w:val="0"/>
                <w:szCs w:val="20"/>
              </w:rPr>
              <w:t>mg</w:t>
            </w:r>
            <w:r w:rsidR="00157D46" w:rsidRPr="00F04A75">
              <w:rPr>
                <w:bCs w:val="0"/>
                <w:szCs w:val="20"/>
                <w:vertAlign w:val="superscript"/>
              </w:rPr>
              <w:t>d</w:t>
            </w:r>
            <w:proofErr w:type="spellEnd"/>
            <w:r w:rsidRPr="00F04A75">
              <w:rPr>
                <w:bCs w:val="0"/>
                <w:szCs w:val="20"/>
              </w:rPr>
              <w:t xml:space="preserve">; </w:t>
            </w:r>
            <w:r w:rsidR="001D4D74" w:rsidRPr="00F04A75">
              <w:rPr>
                <w:bCs w:val="0"/>
                <w:szCs w:val="20"/>
              </w:rPr>
              <w:br/>
            </w:r>
            <w:r w:rsidRPr="00F04A75">
              <w:rPr>
                <w:bCs w:val="0"/>
                <w:szCs w:val="20"/>
              </w:rPr>
              <w:t xml:space="preserve">102.2 </w:t>
            </w:r>
            <w:proofErr w:type="spellStart"/>
            <w:r w:rsidRPr="00F04A75">
              <w:rPr>
                <w:bCs w:val="0"/>
                <w:szCs w:val="20"/>
              </w:rPr>
              <w:t>mg</w:t>
            </w:r>
            <w:r w:rsidR="00157D46" w:rsidRPr="00F04A75">
              <w:rPr>
                <w:bCs w:val="0"/>
                <w:szCs w:val="20"/>
                <w:vertAlign w:val="superscript"/>
              </w:rPr>
              <w:t>e</w:t>
            </w:r>
            <w:proofErr w:type="spellEnd"/>
          </w:p>
        </w:tc>
        <w:tc>
          <w:tcPr>
            <w:tcW w:w="757" w:type="pct"/>
          </w:tcPr>
          <w:p w14:paraId="406D1142" w14:textId="77777777" w:rsidR="00F97782" w:rsidRPr="00F04A75" w:rsidRDefault="00F97782" w:rsidP="001D4D74">
            <w:pPr>
              <w:pStyle w:val="TableText0"/>
              <w:jc w:val="center"/>
              <w:rPr>
                <w:bCs w:val="0"/>
                <w:szCs w:val="20"/>
                <w:vertAlign w:val="superscript"/>
              </w:rPr>
            </w:pPr>
            <w:proofErr w:type="spellStart"/>
            <w:r w:rsidRPr="00F04A75">
              <w:rPr>
                <w:bCs w:val="0"/>
                <w:szCs w:val="20"/>
              </w:rPr>
              <w:t>C</w:t>
            </w:r>
            <w:r w:rsidR="001D4D74" w:rsidRPr="00F04A75">
              <w:rPr>
                <w:bCs w:val="0"/>
                <w:szCs w:val="20"/>
              </w:rPr>
              <w:t>arf</w:t>
            </w:r>
            <w:proofErr w:type="spellEnd"/>
            <w:r w:rsidRPr="00F04A75">
              <w:rPr>
                <w:bCs w:val="0"/>
                <w:szCs w:val="20"/>
              </w:rPr>
              <w:t xml:space="preserve"> QW: </w:t>
            </w:r>
            <w:r w:rsidR="001D4D74" w:rsidRPr="00F04A75">
              <w:rPr>
                <w:bCs w:val="0"/>
                <w:szCs w:val="20"/>
              </w:rPr>
              <w:br/>
            </w:r>
            <w:r w:rsidRPr="00F04A75">
              <w:rPr>
                <w:bCs w:val="0"/>
                <w:szCs w:val="20"/>
              </w:rPr>
              <w:t>41.2</w:t>
            </w:r>
            <w:r w:rsidR="001D4D74" w:rsidRPr="00F04A75">
              <w:rPr>
                <w:bCs w:val="0"/>
                <w:szCs w:val="20"/>
              </w:rPr>
              <w:t xml:space="preserve"> </w:t>
            </w:r>
            <w:proofErr w:type="spellStart"/>
            <w:r w:rsidR="001D4D74" w:rsidRPr="00F04A75">
              <w:rPr>
                <w:bCs w:val="0"/>
                <w:szCs w:val="20"/>
              </w:rPr>
              <w:t>mg</w:t>
            </w:r>
            <w:r w:rsidR="00157D46" w:rsidRPr="00F04A75">
              <w:rPr>
                <w:bCs w:val="0"/>
                <w:szCs w:val="20"/>
                <w:vertAlign w:val="superscript"/>
              </w:rPr>
              <w:t>d</w:t>
            </w:r>
            <w:proofErr w:type="spellEnd"/>
            <w:r w:rsidRPr="00F04A75">
              <w:rPr>
                <w:bCs w:val="0"/>
                <w:szCs w:val="20"/>
              </w:rPr>
              <w:t xml:space="preserve">; </w:t>
            </w:r>
            <w:r w:rsidR="001D4D74" w:rsidRPr="00F04A75">
              <w:rPr>
                <w:bCs w:val="0"/>
                <w:szCs w:val="20"/>
              </w:rPr>
              <w:br/>
            </w:r>
            <w:r w:rsidRPr="00F04A75">
              <w:rPr>
                <w:bCs w:val="0"/>
                <w:szCs w:val="20"/>
              </w:rPr>
              <w:t xml:space="preserve">126.4 </w:t>
            </w:r>
            <w:proofErr w:type="spellStart"/>
            <w:r w:rsidRPr="00F04A75">
              <w:rPr>
                <w:bCs w:val="0"/>
                <w:szCs w:val="20"/>
              </w:rPr>
              <w:t>mg</w:t>
            </w:r>
            <w:r w:rsidR="00157D46" w:rsidRPr="00F04A75">
              <w:rPr>
                <w:bCs w:val="0"/>
                <w:szCs w:val="20"/>
                <w:vertAlign w:val="superscript"/>
              </w:rPr>
              <w:t>e</w:t>
            </w:r>
            <w:proofErr w:type="spellEnd"/>
          </w:p>
          <w:p w14:paraId="333BFA2D" w14:textId="77777777" w:rsidR="00F97782" w:rsidRPr="00F04A75" w:rsidRDefault="00F97782" w:rsidP="001D4D74">
            <w:pPr>
              <w:pStyle w:val="TableText0"/>
              <w:jc w:val="center"/>
              <w:rPr>
                <w:bCs w:val="0"/>
                <w:szCs w:val="20"/>
                <w:vertAlign w:val="superscript"/>
              </w:rPr>
            </w:pPr>
            <w:proofErr w:type="spellStart"/>
            <w:r w:rsidRPr="00F04A75">
              <w:rPr>
                <w:bCs w:val="0"/>
                <w:szCs w:val="20"/>
              </w:rPr>
              <w:t>C</w:t>
            </w:r>
            <w:r w:rsidR="001D4D74" w:rsidRPr="00F04A75">
              <w:rPr>
                <w:bCs w:val="0"/>
                <w:szCs w:val="20"/>
              </w:rPr>
              <w:t>arf</w:t>
            </w:r>
            <w:proofErr w:type="spellEnd"/>
            <w:r w:rsidRPr="00F04A75">
              <w:rPr>
                <w:bCs w:val="0"/>
                <w:szCs w:val="20"/>
              </w:rPr>
              <w:t xml:space="preserve"> BIW: </w:t>
            </w:r>
            <w:r w:rsidR="001D4D74" w:rsidRPr="00F04A75">
              <w:rPr>
                <w:bCs w:val="0"/>
                <w:szCs w:val="20"/>
              </w:rPr>
              <w:br/>
            </w:r>
            <w:r w:rsidRPr="00F04A75">
              <w:rPr>
                <w:bCs w:val="0"/>
                <w:szCs w:val="20"/>
              </w:rPr>
              <w:t>41.2</w:t>
            </w:r>
            <w:r w:rsidR="001D4D74" w:rsidRPr="00F04A75">
              <w:rPr>
                <w:bCs w:val="0"/>
                <w:szCs w:val="20"/>
              </w:rPr>
              <w:t xml:space="preserve"> </w:t>
            </w:r>
            <w:proofErr w:type="spellStart"/>
            <w:r w:rsidR="001D4D74" w:rsidRPr="00F04A75">
              <w:rPr>
                <w:bCs w:val="0"/>
                <w:szCs w:val="20"/>
              </w:rPr>
              <w:t>mg</w:t>
            </w:r>
            <w:r w:rsidR="00157D46" w:rsidRPr="00F04A75">
              <w:rPr>
                <w:bCs w:val="0"/>
                <w:szCs w:val="20"/>
                <w:vertAlign w:val="superscript"/>
              </w:rPr>
              <w:t>d</w:t>
            </w:r>
            <w:proofErr w:type="spellEnd"/>
            <w:r w:rsidRPr="00F04A75">
              <w:rPr>
                <w:bCs w:val="0"/>
                <w:szCs w:val="20"/>
              </w:rPr>
              <w:t xml:space="preserve">; </w:t>
            </w:r>
            <w:r w:rsidR="001D4D74" w:rsidRPr="00F04A75">
              <w:rPr>
                <w:bCs w:val="0"/>
                <w:szCs w:val="20"/>
              </w:rPr>
              <w:br/>
            </w:r>
            <w:r w:rsidRPr="00F04A75">
              <w:rPr>
                <w:bCs w:val="0"/>
                <w:szCs w:val="20"/>
              </w:rPr>
              <w:t xml:space="preserve">102.2 </w:t>
            </w:r>
            <w:proofErr w:type="spellStart"/>
            <w:r w:rsidRPr="00F04A75">
              <w:rPr>
                <w:bCs w:val="0"/>
                <w:szCs w:val="20"/>
              </w:rPr>
              <w:t>mg</w:t>
            </w:r>
            <w:r w:rsidR="00157D46" w:rsidRPr="00F04A75">
              <w:rPr>
                <w:bCs w:val="0"/>
                <w:szCs w:val="20"/>
                <w:vertAlign w:val="superscript"/>
              </w:rPr>
              <w:t>e</w:t>
            </w:r>
            <w:proofErr w:type="spellEnd"/>
          </w:p>
        </w:tc>
      </w:tr>
      <w:tr w:rsidR="00F97782" w:rsidRPr="00F04A75" w14:paraId="22409F0E" w14:textId="77777777" w:rsidTr="001D4D74">
        <w:trPr>
          <w:cantSplit/>
          <w:jc w:val="center"/>
        </w:trPr>
        <w:tc>
          <w:tcPr>
            <w:tcW w:w="627" w:type="pct"/>
            <w:shd w:val="clear" w:color="auto" w:fill="auto"/>
            <w:vAlign w:val="center"/>
          </w:tcPr>
          <w:p w14:paraId="618E038E" w14:textId="77777777" w:rsidR="001D4D74" w:rsidRPr="00F04A75" w:rsidRDefault="00F97782" w:rsidP="0016658B">
            <w:pPr>
              <w:pStyle w:val="TableText0"/>
              <w:rPr>
                <w:szCs w:val="20"/>
              </w:rPr>
            </w:pPr>
            <w:r w:rsidRPr="00F04A75">
              <w:rPr>
                <w:szCs w:val="20"/>
              </w:rPr>
              <w:t>Frequency/</w:t>
            </w:r>
          </w:p>
          <w:p w14:paraId="202B5340" w14:textId="77777777" w:rsidR="00F97782" w:rsidRPr="00F04A75" w:rsidRDefault="00F97782" w:rsidP="0016658B">
            <w:pPr>
              <w:pStyle w:val="TableText0"/>
              <w:rPr>
                <w:szCs w:val="20"/>
              </w:rPr>
            </w:pPr>
            <w:r w:rsidRPr="00F04A75">
              <w:rPr>
                <w:szCs w:val="20"/>
              </w:rPr>
              <w:t>cycle</w:t>
            </w:r>
          </w:p>
        </w:tc>
        <w:tc>
          <w:tcPr>
            <w:tcW w:w="2122" w:type="pct"/>
            <w:gridSpan w:val="3"/>
            <w:shd w:val="clear" w:color="auto" w:fill="auto"/>
          </w:tcPr>
          <w:p w14:paraId="392590F9" w14:textId="77777777" w:rsidR="00F97782" w:rsidRPr="00F04A75" w:rsidRDefault="00F97782" w:rsidP="0016658B">
            <w:pPr>
              <w:pStyle w:val="TableText0"/>
              <w:rPr>
                <w:bCs w:val="0"/>
                <w:szCs w:val="20"/>
                <w:u w:val="single"/>
              </w:rPr>
            </w:pPr>
            <w:proofErr w:type="spellStart"/>
            <w:r w:rsidRPr="00F04A75">
              <w:rPr>
                <w:bCs w:val="0"/>
                <w:szCs w:val="20"/>
                <w:u w:val="single"/>
              </w:rPr>
              <w:t>C</w:t>
            </w:r>
            <w:r w:rsidR="001D4D74" w:rsidRPr="00F04A75">
              <w:rPr>
                <w:bCs w:val="0"/>
                <w:szCs w:val="20"/>
                <w:u w:val="single"/>
              </w:rPr>
              <w:t>arf</w:t>
            </w:r>
            <w:proofErr w:type="spellEnd"/>
            <w:r w:rsidRPr="00F04A75">
              <w:rPr>
                <w:bCs w:val="0"/>
                <w:szCs w:val="20"/>
                <w:u w:val="single"/>
              </w:rPr>
              <w:t xml:space="preserve">: </w:t>
            </w:r>
          </w:p>
          <w:p w14:paraId="71376850" w14:textId="79C45517" w:rsidR="00F97782" w:rsidRPr="00F04A75" w:rsidRDefault="00F97782" w:rsidP="0016658B">
            <w:pPr>
              <w:jc w:val="left"/>
              <w:rPr>
                <w:rFonts w:ascii="Arial Narrow" w:hAnsi="Arial Narrow" w:cs="Calibri"/>
                <w:color w:val="000000"/>
                <w:sz w:val="20"/>
                <w:szCs w:val="20"/>
                <w:lang w:eastAsia="en-US"/>
              </w:rPr>
            </w:pPr>
            <w:r w:rsidRPr="00F04A75">
              <w:rPr>
                <w:rFonts w:ascii="Arial Narrow" w:hAnsi="Arial Narrow" w:cs="Calibri"/>
                <w:color w:val="000000"/>
                <w:sz w:val="20"/>
                <w:szCs w:val="20"/>
              </w:rPr>
              <w:t>20 mg/m</w:t>
            </w:r>
            <w:r w:rsidRPr="00F04A75">
              <w:rPr>
                <w:rFonts w:ascii="Arial Narrow" w:hAnsi="Arial Narrow" w:cs="Calibri"/>
                <w:color w:val="000000"/>
                <w:sz w:val="20"/>
                <w:szCs w:val="20"/>
                <w:vertAlign w:val="superscript"/>
              </w:rPr>
              <w:t>2</w:t>
            </w:r>
            <w:r w:rsidRPr="00F04A75">
              <w:rPr>
                <w:rFonts w:ascii="Arial Narrow" w:hAnsi="Arial Narrow" w:cs="Calibri"/>
                <w:color w:val="000000"/>
                <w:sz w:val="20"/>
                <w:szCs w:val="20"/>
              </w:rPr>
              <w:t xml:space="preserve"> (D</w:t>
            </w:r>
            <w:r w:rsidR="00D20DF8" w:rsidRPr="00F04A75">
              <w:rPr>
                <w:rFonts w:ascii="Arial Narrow" w:hAnsi="Arial Narrow" w:cs="Calibri"/>
                <w:color w:val="000000"/>
                <w:sz w:val="20"/>
                <w:szCs w:val="20"/>
              </w:rPr>
              <w:t xml:space="preserve">ays </w:t>
            </w:r>
            <w:r w:rsidRPr="00F04A75">
              <w:rPr>
                <w:rFonts w:ascii="Arial Narrow" w:hAnsi="Arial Narrow" w:cs="Calibri"/>
                <w:color w:val="000000"/>
                <w:sz w:val="20"/>
                <w:szCs w:val="20"/>
              </w:rPr>
              <w:t xml:space="preserve">1 and 2 </w:t>
            </w:r>
            <w:r w:rsidR="00D20DF8" w:rsidRPr="00F04A75">
              <w:rPr>
                <w:rFonts w:ascii="Arial Narrow" w:hAnsi="Arial Narrow" w:cs="Calibri"/>
                <w:color w:val="000000"/>
                <w:sz w:val="20"/>
                <w:szCs w:val="20"/>
              </w:rPr>
              <w:t>of</w:t>
            </w:r>
            <w:r w:rsidRPr="00F04A75">
              <w:rPr>
                <w:rFonts w:ascii="Arial Narrow" w:hAnsi="Arial Narrow" w:cs="Calibri"/>
                <w:color w:val="000000"/>
                <w:sz w:val="20"/>
                <w:szCs w:val="20"/>
              </w:rPr>
              <w:t xml:space="preserve"> C</w:t>
            </w:r>
            <w:r w:rsidR="00D20DF8" w:rsidRPr="00F04A75">
              <w:rPr>
                <w:rFonts w:ascii="Arial Narrow" w:hAnsi="Arial Narrow" w:cs="Calibri"/>
                <w:color w:val="000000"/>
                <w:sz w:val="20"/>
                <w:szCs w:val="20"/>
              </w:rPr>
              <w:t xml:space="preserve">ycle </w:t>
            </w:r>
            <w:r w:rsidRPr="00F04A75">
              <w:rPr>
                <w:rFonts w:ascii="Arial Narrow" w:hAnsi="Arial Narrow" w:cs="Calibri"/>
                <w:color w:val="000000"/>
                <w:sz w:val="20"/>
                <w:szCs w:val="20"/>
              </w:rPr>
              <w:t>1)</w:t>
            </w:r>
          </w:p>
          <w:p w14:paraId="75A9A651" w14:textId="564173E7" w:rsidR="00F97782" w:rsidRPr="00F04A75" w:rsidRDefault="00F97782" w:rsidP="0016658B">
            <w:pPr>
              <w:jc w:val="left"/>
              <w:rPr>
                <w:rFonts w:ascii="Arial Narrow" w:hAnsi="Arial Narrow" w:cs="Calibri"/>
                <w:color w:val="000000"/>
                <w:sz w:val="20"/>
                <w:szCs w:val="20"/>
                <w:lang w:eastAsia="en-US"/>
              </w:rPr>
            </w:pPr>
            <w:r w:rsidRPr="00F04A75">
              <w:rPr>
                <w:rFonts w:ascii="Arial Narrow" w:hAnsi="Arial Narrow" w:cs="Calibri"/>
                <w:color w:val="000000"/>
                <w:sz w:val="20"/>
                <w:szCs w:val="20"/>
              </w:rPr>
              <w:t>27 mg/m</w:t>
            </w:r>
            <w:r w:rsidRPr="00F04A75">
              <w:rPr>
                <w:rFonts w:ascii="Arial Narrow" w:hAnsi="Arial Narrow" w:cs="Calibri"/>
                <w:color w:val="000000"/>
                <w:sz w:val="20"/>
                <w:szCs w:val="20"/>
                <w:vertAlign w:val="superscript"/>
              </w:rPr>
              <w:t>2</w:t>
            </w:r>
            <w:r w:rsidRPr="00F04A75">
              <w:rPr>
                <w:rFonts w:ascii="Arial Narrow" w:hAnsi="Arial Narrow" w:cs="Calibri"/>
                <w:color w:val="000000"/>
                <w:sz w:val="20"/>
                <w:szCs w:val="20"/>
              </w:rPr>
              <w:t xml:space="preserve"> (after D</w:t>
            </w:r>
            <w:r w:rsidR="00D20DF8" w:rsidRPr="00F04A75">
              <w:rPr>
                <w:rFonts w:ascii="Arial Narrow" w:hAnsi="Arial Narrow" w:cs="Calibri"/>
                <w:color w:val="000000"/>
                <w:sz w:val="20"/>
                <w:szCs w:val="20"/>
              </w:rPr>
              <w:t xml:space="preserve">ay </w:t>
            </w:r>
            <w:r w:rsidRPr="00F04A75">
              <w:rPr>
                <w:rFonts w:ascii="Arial Narrow" w:hAnsi="Arial Narrow" w:cs="Calibri"/>
                <w:color w:val="000000"/>
                <w:sz w:val="20"/>
                <w:szCs w:val="20"/>
              </w:rPr>
              <w:t xml:space="preserve">2 </w:t>
            </w:r>
            <w:r w:rsidR="00D20DF8" w:rsidRPr="00F04A75">
              <w:rPr>
                <w:rFonts w:ascii="Arial Narrow" w:hAnsi="Arial Narrow" w:cs="Calibri"/>
                <w:color w:val="000000"/>
                <w:sz w:val="20"/>
                <w:szCs w:val="20"/>
              </w:rPr>
              <w:t>of</w:t>
            </w:r>
            <w:r w:rsidRPr="00F04A75">
              <w:rPr>
                <w:rFonts w:ascii="Arial Narrow" w:hAnsi="Arial Narrow" w:cs="Calibri"/>
                <w:color w:val="000000"/>
                <w:sz w:val="20"/>
                <w:szCs w:val="20"/>
              </w:rPr>
              <w:t xml:space="preserve"> C</w:t>
            </w:r>
            <w:r w:rsidR="00D20DF8" w:rsidRPr="00F04A75">
              <w:rPr>
                <w:rFonts w:ascii="Arial Narrow" w:hAnsi="Arial Narrow" w:cs="Calibri"/>
                <w:color w:val="000000"/>
                <w:sz w:val="20"/>
                <w:szCs w:val="20"/>
              </w:rPr>
              <w:t xml:space="preserve">ycle </w:t>
            </w:r>
            <w:r w:rsidRPr="00F04A75">
              <w:rPr>
                <w:rFonts w:ascii="Arial Narrow" w:hAnsi="Arial Narrow" w:cs="Calibri"/>
                <w:color w:val="000000"/>
                <w:sz w:val="20"/>
                <w:szCs w:val="20"/>
              </w:rPr>
              <w:t>1; 6/cycle</w:t>
            </w:r>
            <w:proofErr w:type="gramStart"/>
            <w:r w:rsidRPr="00F04A75">
              <w:rPr>
                <w:rFonts w:ascii="Arial Narrow" w:hAnsi="Arial Narrow" w:cs="Calibri"/>
                <w:color w:val="000000"/>
                <w:sz w:val="20"/>
                <w:szCs w:val="20"/>
              </w:rPr>
              <w:t>);</w:t>
            </w:r>
            <w:proofErr w:type="gramEnd"/>
            <w:r w:rsidRPr="00F04A75">
              <w:rPr>
                <w:rFonts w:ascii="Arial Narrow" w:hAnsi="Arial Narrow" w:cs="Calibri"/>
                <w:color w:val="000000"/>
                <w:sz w:val="20"/>
                <w:szCs w:val="20"/>
              </w:rPr>
              <w:t xml:space="preserve"> </w:t>
            </w:r>
          </w:p>
          <w:p w14:paraId="085E68F1" w14:textId="52733FEF" w:rsidR="00F97782" w:rsidRPr="00F04A75" w:rsidRDefault="00F97782" w:rsidP="0016658B">
            <w:pPr>
              <w:jc w:val="left"/>
              <w:rPr>
                <w:rFonts w:ascii="Arial Narrow" w:hAnsi="Arial Narrow" w:cs="Calibri"/>
                <w:color w:val="000000"/>
                <w:sz w:val="20"/>
                <w:szCs w:val="20"/>
                <w:lang w:eastAsia="en-US"/>
              </w:rPr>
            </w:pPr>
            <w:r w:rsidRPr="00F04A75">
              <w:rPr>
                <w:rFonts w:ascii="Arial Narrow" w:hAnsi="Arial Narrow" w:cs="Calibri"/>
                <w:color w:val="000000"/>
                <w:sz w:val="20"/>
                <w:szCs w:val="20"/>
              </w:rPr>
              <w:t>27 mg/m</w:t>
            </w:r>
            <w:r w:rsidRPr="00F04A75">
              <w:rPr>
                <w:rFonts w:ascii="Arial Narrow" w:hAnsi="Arial Narrow" w:cs="Calibri"/>
                <w:color w:val="000000"/>
                <w:sz w:val="20"/>
                <w:szCs w:val="20"/>
                <w:vertAlign w:val="superscript"/>
              </w:rPr>
              <w:t>2</w:t>
            </w:r>
            <w:r w:rsidRPr="00F04A75">
              <w:rPr>
                <w:rFonts w:ascii="Arial Narrow" w:hAnsi="Arial Narrow" w:cs="Calibri"/>
                <w:color w:val="000000"/>
                <w:sz w:val="20"/>
                <w:szCs w:val="20"/>
              </w:rPr>
              <w:t xml:space="preserve"> (after C</w:t>
            </w:r>
            <w:r w:rsidR="00D20DF8" w:rsidRPr="00F04A75">
              <w:rPr>
                <w:rFonts w:ascii="Arial Narrow" w:hAnsi="Arial Narrow" w:cs="Calibri"/>
                <w:color w:val="000000"/>
                <w:sz w:val="20"/>
                <w:szCs w:val="20"/>
              </w:rPr>
              <w:t xml:space="preserve">ycle </w:t>
            </w:r>
            <w:r w:rsidRPr="00F04A75">
              <w:rPr>
                <w:rFonts w:ascii="Arial Narrow" w:hAnsi="Arial Narrow" w:cs="Calibri"/>
                <w:color w:val="000000"/>
                <w:sz w:val="20"/>
                <w:szCs w:val="20"/>
              </w:rPr>
              <w:t>12; 4/cycle)</w:t>
            </w:r>
          </w:p>
          <w:p w14:paraId="28EC8E3D" w14:textId="07578CB6" w:rsidR="00F97782" w:rsidRPr="00F04A75" w:rsidRDefault="00F97782" w:rsidP="0016658B">
            <w:pPr>
              <w:pStyle w:val="TableText1"/>
              <w:keepNext/>
              <w:keepLines/>
              <w:widowControl/>
              <w:spacing w:before="20" w:after="20" w:line="276" w:lineRule="auto"/>
              <w:jc w:val="left"/>
              <w:rPr>
                <w:rFonts w:ascii="Arial Narrow" w:hAnsi="Arial Narrow" w:cstheme="minorHAnsi"/>
                <w:sz w:val="20"/>
                <w:szCs w:val="20"/>
              </w:rPr>
            </w:pPr>
            <w:r w:rsidRPr="00F04A75">
              <w:rPr>
                <w:rFonts w:ascii="Arial Narrow" w:hAnsi="Arial Narrow" w:cstheme="minorHAnsi"/>
                <w:sz w:val="20"/>
                <w:szCs w:val="20"/>
                <w:u w:val="single"/>
              </w:rPr>
              <w:t>L</w:t>
            </w:r>
            <w:r w:rsidR="005E4ABB" w:rsidRPr="00F04A75">
              <w:rPr>
                <w:rFonts w:ascii="Arial Narrow" w:hAnsi="Arial Narrow" w:cstheme="minorHAnsi"/>
                <w:sz w:val="20"/>
                <w:szCs w:val="20"/>
                <w:u w:val="single"/>
              </w:rPr>
              <w:t>en</w:t>
            </w:r>
            <w:r w:rsidRPr="00F04A75">
              <w:rPr>
                <w:rFonts w:ascii="Arial Narrow" w:hAnsi="Arial Narrow" w:cstheme="minorHAnsi"/>
                <w:sz w:val="20"/>
                <w:szCs w:val="20"/>
                <w:u w:val="single"/>
              </w:rPr>
              <w:t>:</w:t>
            </w:r>
            <w:r w:rsidRPr="00F04A75">
              <w:rPr>
                <w:rFonts w:ascii="Arial Narrow" w:hAnsi="Arial Narrow" w:cstheme="minorHAnsi"/>
                <w:sz w:val="20"/>
                <w:szCs w:val="20"/>
              </w:rPr>
              <w:t xml:space="preserve"> </w:t>
            </w:r>
            <w:r w:rsidR="004F1212" w:rsidRPr="00F04A75">
              <w:rPr>
                <w:rFonts w:ascii="Arial Narrow" w:hAnsi="Arial Narrow" w:cstheme="minorHAnsi"/>
                <w:sz w:val="20"/>
                <w:szCs w:val="20"/>
              </w:rPr>
              <w:br/>
            </w:r>
            <w:r w:rsidRPr="00F04A75">
              <w:rPr>
                <w:rFonts w:ascii="Arial Narrow" w:hAnsi="Arial Narrow" w:cstheme="minorHAnsi"/>
                <w:sz w:val="20"/>
                <w:szCs w:val="20"/>
              </w:rPr>
              <w:t xml:space="preserve">25 mg orally on </w:t>
            </w:r>
            <w:r w:rsidR="00D20DF8" w:rsidRPr="00F04A75">
              <w:rPr>
                <w:rFonts w:ascii="Arial Narrow" w:hAnsi="Arial Narrow" w:cstheme="minorHAnsi"/>
                <w:sz w:val="20"/>
                <w:szCs w:val="20"/>
              </w:rPr>
              <w:t>D</w:t>
            </w:r>
            <w:r w:rsidRPr="00F04A75">
              <w:rPr>
                <w:rFonts w:ascii="Arial Narrow" w:hAnsi="Arial Narrow" w:cstheme="minorHAnsi"/>
                <w:sz w:val="20"/>
                <w:szCs w:val="20"/>
              </w:rPr>
              <w:t xml:space="preserve">ays 1 to 21 of </w:t>
            </w:r>
            <w:proofErr w:type="gramStart"/>
            <w:r w:rsidRPr="00F04A75">
              <w:rPr>
                <w:rFonts w:ascii="Arial Narrow" w:hAnsi="Arial Narrow" w:cstheme="minorHAnsi"/>
                <w:sz w:val="20"/>
                <w:szCs w:val="20"/>
              </w:rPr>
              <w:t>28 day</w:t>
            </w:r>
            <w:proofErr w:type="gramEnd"/>
            <w:r w:rsidRPr="00F04A75">
              <w:rPr>
                <w:rFonts w:ascii="Arial Narrow" w:hAnsi="Arial Narrow" w:cstheme="minorHAnsi"/>
                <w:sz w:val="20"/>
                <w:szCs w:val="20"/>
              </w:rPr>
              <w:t xml:space="preserve"> cycles</w:t>
            </w:r>
          </w:p>
        </w:tc>
        <w:tc>
          <w:tcPr>
            <w:tcW w:w="2251" w:type="pct"/>
            <w:gridSpan w:val="3"/>
            <w:shd w:val="clear" w:color="auto" w:fill="auto"/>
            <w:vAlign w:val="center"/>
          </w:tcPr>
          <w:p w14:paraId="161985D7" w14:textId="77777777" w:rsidR="00F97782" w:rsidRPr="00F04A75" w:rsidRDefault="00F97782" w:rsidP="0016658B">
            <w:pPr>
              <w:pStyle w:val="TableText0"/>
              <w:rPr>
                <w:bCs w:val="0"/>
                <w:szCs w:val="20"/>
                <w:u w:val="single"/>
              </w:rPr>
            </w:pPr>
            <w:proofErr w:type="spellStart"/>
            <w:r w:rsidRPr="00F04A75">
              <w:rPr>
                <w:bCs w:val="0"/>
                <w:szCs w:val="20"/>
                <w:u w:val="single"/>
              </w:rPr>
              <w:t>C</w:t>
            </w:r>
            <w:r w:rsidR="001D4D74" w:rsidRPr="00F04A75">
              <w:rPr>
                <w:bCs w:val="0"/>
                <w:szCs w:val="20"/>
                <w:u w:val="single"/>
              </w:rPr>
              <w:t>arf</w:t>
            </w:r>
            <w:proofErr w:type="spellEnd"/>
            <w:r w:rsidRPr="00F04A75">
              <w:rPr>
                <w:bCs w:val="0"/>
                <w:szCs w:val="20"/>
                <w:u w:val="single"/>
              </w:rPr>
              <w:t xml:space="preserve"> BIW: </w:t>
            </w:r>
          </w:p>
          <w:p w14:paraId="6C304E1D" w14:textId="086A55B6" w:rsidR="00F97782" w:rsidRPr="00F04A75" w:rsidRDefault="00F97782" w:rsidP="0016658B">
            <w:pPr>
              <w:jc w:val="left"/>
              <w:rPr>
                <w:rFonts w:ascii="Arial Narrow" w:hAnsi="Arial Narrow" w:cs="Calibri"/>
                <w:color w:val="000000"/>
                <w:sz w:val="20"/>
                <w:szCs w:val="20"/>
                <w:lang w:eastAsia="en-US"/>
              </w:rPr>
            </w:pPr>
            <w:r w:rsidRPr="00F04A75">
              <w:rPr>
                <w:rFonts w:ascii="Arial Narrow" w:hAnsi="Arial Narrow" w:cs="Calibri"/>
                <w:color w:val="000000"/>
                <w:sz w:val="20"/>
                <w:szCs w:val="20"/>
              </w:rPr>
              <w:t>20 mg/m</w:t>
            </w:r>
            <w:r w:rsidRPr="00F04A75">
              <w:rPr>
                <w:rFonts w:ascii="Arial Narrow" w:hAnsi="Arial Narrow" w:cs="Calibri"/>
                <w:color w:val="000000"/>
                <w:sz w:val="20"/>
                <w:szCs w:val="20"/>
                <w:vertAlign w:val="superscript"/>
              </w:rPr>
              <w:t>2</w:t>
            </w:r>
            <w:r w:rsidRPr="00F04A75">
              <w:rPr>
                <w:rFonts w:ascii="Arial Narrow" w:hAnsi="Arial Narrow" w:cs="Calibri"/>
                <w:color w:val="000000"/>
                <w:sz w:val="20"/>
                <w:szCs w:val="20"/>
              </w:rPr>
              <w:t xml:space="preserve"> (D</w:t>
            </w:r>
            <w:r w:rsidR="00D20DF8" w:rsidRPr="00F04A75">
              <w:rPr>
                <w:rFonts w:ascii="Arial Narrow" w:hAnsi="Arial Narrow" w:cs="Calibri"/>
                <w:color w:val="000000"/>
                <w:sz w:val="20"/>
                <w:szCs w:val="20"/>
              </w:rPr>
              <w:t xml:space="preserve">ays </w:t>
            </w:r>
            <w:r w:rsidRPr="00F04A75">
              <w:rPr>
                <w:rFonts w:ascii="Arial Narrow" w:hAnsi="Arial Narrow" w:cs="Calibri"/>
                <w:color w:val="000000"/>
                <w:sz w:val="20"/>
                <w:szCs w:val="20"/>
              </w:rPr>
              <w:t xml:space="preserve">1 and 2 </w:t>
            </w:r>
            <w:r w:rsidR="00D20DF8" w:rsidRPr="00F04A75">
              <w:rPr>
                <w:rFonts w:ascii="Arial Narrow" w:hAnsi="Arial Narrow" w:cs="Calibri"/>
                <w:color w:val="000000"/>
                <w:sz w:val="20"/>
                <w:szCs w:val="20"/>
              </w:rPr>
              <w:t>of</w:t>
            </w:r>
            <w:r w:rsidRPr="00F04A75">
              <w:rPr>
                <w:rFonts w:ascii="Arial Narrow" w:hAnsi="Arial Narrow" w:cs="Calibri"/>
                <w:color w:val="000000"/>
                <w:sz w:val="20"/>
                <w:szCs w:val="20"/>
              </w:rPr>
              <w:t xml:space="preserve"> C</w:t>
            </w:r>
            <w:r w:rsidR="00D20DF8" w:rsidRPr="00F04A75">
              <w:rPr>
                <w:rFonts w:ascii="Arial Narrow" w:hAnsi="Arial Narrow" w:cs="Calibri"/>
                <w:color w:val="000000"/>
                <w:sz w:val="20"/>
                <w:szCs w:val="20"/>
              </w:rPr>
              <w:t xml:space="preserve">ycle </w:t>
            </w:r>
            <w:r w:rsidRPr="00F04A75">
              <w:rPr>
                <w:rFonts w:ascii="Arial Narrow" w:hAnsi="Arial Narrow" w:cs="Calibri"/>
                <w:color w:val="000000"/>
                <w:sz w:val="20"/>
                <w:szCs w:val="20"/>
              </w:rPr>
              <w:t xml:space="preserve">1) </w:t>
            </w:r>
          </w:p>
          <w:p w14:paraId="1431938B" w14:textId="6A572B97" w:rsidR="00F97782" w:rsidRPr="00F04A75" w:rsidRDefault="00F97782" w:rsidP="0016658B">
            <w:pPr>
              <w:jc w:val="left"/>
              <w:rPr>
                <w:rFonts w:ascii="Arial Narrow" w:hAnsi="Arial Narrow" w:cs="Calibri"/>
                <w:color w:val="000000"/>
                <w:sz w:val="20"/>
                <w:szCs w:val="20"/>
                <w:lang w:eastAsia="en-US"/>
              </w:rPr>
            </w:pPr>
            <w:r w:rsidRPr="00F04A75">
              <w:rPr>
                <w:rFonts w:ascii="Arial Narrow" w:hAnsi="Arial Narrow" w:cs="Calibri"/>
                <w:color w:val="000000"/>
                <w:sz w:val="20"/>
                <w:szCs w:val="20"/>
              </w:rPr>
              <w:t>56 mg/m</w:t>
            </w:r>
            <w:r w:rsidRPr="00F04A75">
              <w:rPr>
                <w:rFonts w:ascii="Arial Narrow" w:hAnsi="Arial Narrow" w:cs="Calibri"/>
                <w:color w:val="000000"/>
                <w:sz w:val="20"/>
                <w:szCs w:val="20"/>
                <w:vertAlign w:val="superscript"/>
              </w:rPr>
              <w:t>2</w:t>
            </w:r>
            <w:r w:rsidRPr="00F04A75">
              <w:rPr>
                <w:rFonts w:ascii="Arial Narrow" w:hAnsi="Arial Narrow" w:cs="Calibri"/>
                <w:color w:val="000000"/>
                <w:sz w:val="20"/>
                <w:szCs w:val="20"/>
              </w:rPr>
              <w:t xml:space="preserve"> (after D</w:t>
            </w:r>
            <w:r w:rsidR="00D20DF8" w:rsidRPr="00F04A75">
              <w:rPr>
                <w:rFonts w:ascii="Arial Narrow" w:hAnsi="Arial Narrow" w:cs="Calibri"/>
                <w:color w:val="000000"/>
                <w:sz w:val="20"/>
                <w:szCs w:val="20"/>
              </w:rPr>
              <w:t xml:space="preserve">ay </w:t>
            </w:r>
            <w:r w:rsidRPr="00F04A75">
              <w:rPr>
                <w:rFonts w:ascii="Arial Narrow" w:hAnsi="Arial Narrow" w:cs="Calibri"/>
                <w:color w:val="000000"/>
                <w:sz w:val="20"/>
                <w:szCs w:val="20"/>
              </w:rPr>
              <w:t xml:space="preserve">2 </w:t>
            </w:r>
            <w:r w:rsidR="00D20DF8" w:rsidRPr="00F04A75">
              <w:rPr>
                <w:rFonts w:ascii="Arial Narrow" w:hAnsi="Arial Narrow" w:cs="Calibri"/>
                <w:color w:val="000000"/>
                <w:sz w:val="20"/>
                <w:szCs w:val="20"/>
              </w:rPr>
              <w:t>of</w:t>
            </w:r>
            <w:r w:rsidRPr="00F04A75">
              <w:rPr>
                <w:rFonts w:ascii="Arial Narrow" w:hAnsi="Arial Narrow" w:cs="Calibri"/>
                <w:color w:val="000000"/>
                <w:sz w:val="20"/>
                <w:szCs w:val="20"/>
              </w:rPr>
              <w:t xml:space="preserve"> C</w:t>
            </w:r>
            <w:r w:rsidR="00D20DF8" w:rsidRPr="00F04A75">
              <w:rPr>
                <w:rFonts w:ascii="Arial Narrow" w:hAnsi="Arial Narrow" w:cs="Calibri"/>
                <w:color w:val="000000"/>
                <w:sz w:val="20"/>
                <w:szCs w:val="20"/>
              </w:rPr>
              <w:t xml:space="preserve">ycle </w:t>
            </w:r>
            <w:r w:rsidRPr="00F04A75">
              <w:rPr>
                <w:rFonts w:ascii="Arial Narrow" w:hAnsi="Arial Narrow" w:cs="Calibri"/>
                <w:color w:val="000000"/>
                <w:sz w:val="20"/>
                <w:szCs w:val="20"/>
              </w:rPr>
              <w:t>1; 6/cycle)</w:t>
            </w:r>
          </w:p>
          <w:p w14:paraId="4CF5E947" w14:textId="77777777" w:rsidR="00F97782" w:rsidRPr="00F04A75" w:rsidRDefault="00F97782" w:rsidP="0016658B">
            <w:pPr>
              <w:jc w:val="left"/>
              <w:rPr>
                <w:rFonts w:ascii="Arial Narrow" w:hAnsi="Arial Narrow" w:cs="Calibri"/>
                <w:color w:val="000000"/>
                <w:sz w:val="20"/>
                <w:szCs w:val="20"/>
                <w:u w:val="single"/>
                <w:lang w:eastAsia="en-US"/>
              </w:rPr>
            </w:pPr>
            <w:proofErr w:type="spellStart"/>
            <w:r w:rsidRPr="00F04A75">
              <w:rPr>
                <w:rFonts w:ascii="Arial Narrow" w:hAnsi="Arial Narrow" w:cs="Calibri"/>
                <w:color w:val="000000"/>
                <w:sz w:val="20"/>
                <w:szCs w:val="20"/>
                <w:u w:val="single"/>
                <w:lang w:eastAsia="en-US"/>
              </w:rPr>
              <w:t>C</w:t>
            </w:r>
            <w:r w:rsidR="001D4D74" w:rsidRPr="00F04A75">
              <w:rPr>
                <w:rFonts w:ascii="Arial Narrow" w:hAnsi="Arial Narrow" w:cs="Calibri"/>
                <w:color w:val="000000"/>
                <w:sz w:val="20"/>
                <w:szCs w:val="20"/>
                <w:u w:val="single"/>
                <w:lang w:eastAsia="en-US"/>
              </w:rPr>
              <w:t>arf</w:t>
            </w:r>
            <w:proofErr w:type="spellEnd"/>
            <w:r w:rsidRPr="00F04A75">
              <w:rPr>
                <w:rFonts w:ascii="Arial Narrow" w:hAnsi="Arial Narrow" w:cs="Calibri"/>
                <w:color w:val="000000"/>
                <w:sz w:val="20"/>
                <w:szCs w:val="20"/>
                <w:u w:val="single"/>
                <w:lang w:eastAsia="en-US"/>
              </w:rPr>
              <w:t xml:space="preserve"> QW: </w:t>
            </w:r>
          </w:p>
          <w:p w14:paraId="110321F6" w14:textId="703FBD73" w:rsidR="00F97782" w:rsidRPr="00F04A75" w:rsidRDefault="00F97782" w:rsidP="0016658B">
            <w:pPr>
              <w:jc w:val="left"/>
              <w:rPr>
                <w:rFonts w:ascii="Arial Narrow" w:hAnsi="Arial Narrow" w:cs="Calibri"/>
                <w:color w:val="000000"/>
                <w:sz w:val="20"/>
                <w:szCs w:val="20"/>
                <w:lang w:eastAsia="en-US"/>
              </w:rPr>
            </w:pPr>
            <w:r w:rsidRPr="00F04A75">
              <w:rPr>
                <w:rFonts w:ascii="Arial Narrow" w:hAnsi="Arial Narrow" w:cs="Calibri"/>
                <w:color w:val="000000"/>
                <w:sz w:val="20"/>
                <w:szCs w:val="20"/>
              </w:rPr>
              <w:t>20 mg/m</w:t>
            </w:r>
            <w:r w:rsidRPr="00F04A75">
              <w:rPr>
                <w:rFonts w:ascii="Arial Narrow" w:hAnsi="Arial Narrow" w:cs="Calibri"/>
                <w:color w:val="000000"/>
                <w:sz w:val="20"/>
                <w:szCs w:val="20"/>
                <w:vertAlign w:val="superscript"/>
              </w:rPr>
              <w:t>2</w:t>
            </w:r>
            <w:r w:rsidRPr="00F04A75">
              <w:rPr>
                <w:rFonts w:ascii="Arial Narrow" w:hAnsi="Arial Narrow" w:cs="Calibri"/>
                <w:color w:val="000000"/>
                <w:sz w:val="20"/>
                <w:szCs w:val="20"/>
              </w:rPr>
              <w:t xml:space="preserve"> (D</w:t>
            </w:r>
            <w:r w:rsidR="00D20DF8" w:rsidRPr="00F04A75">
              <w:rPr>
                <w:rFonts w:ascii="Arial Narrow" w:hAnsi="Arial Narrow" w:cs="Calibri"/>
                <w:color w:val="000000"/>
                <w:sz w:val="20"/>
                <w:szCs w:val="20"/>
              </w:rPr>
              <w:t xml:space="preserve">ay </w:t>
            </w:r>
            <w:r w:rsidRPr="00F04A75">
              <w:rPr>
                <w:rFonts w:ascii="Arial Narrow" w:hAnsi="Arial Narrow" w:cs="Calibri"/>
                <w:color w:val="000000"/>
                <w:sz w:val="20"/>
                <w:szCs w:val="20"/>
              </w:rPr>
              <w:t xml:space="preserve">1 </w:t>
            </w:r>
            <w:r w:rsidR="00D20DF8" w:rsidRPr="00F04A75">
              <w:rPr>
                <w:rFonts w:ascii="Arial Narrow" w:hAnsi="Arial Narrow" w:cs="Calibri"/>
                <w:color w:val="000000"/>
                <w:sz w:val="20"/>
                <w:szCs w:val="20"/>
              </w:rPr>
              <w:t>of</w:t>
            </w:r>
            <w:r w:rsidRPr="00F04A75">
              <w:rPr>
                <w:rFonts w:ascii="Arial Narrow" w:hAnsi="Arial Narrow" w:cs="Calibri"/>
                <w:color w:val="000000"/>
                <w:sz w:val="20"/>
                <w:szCs w:val="20"/>
              </w:rPr>
              <w:t xml:space="preserve"> C1;)</w:t>
            </w:r>
          </w:p>
          <w:p w14:paraId="403A93B0" w14:textId="3D7E2CFD" w:rsidR="00F97782" w:rsidRPr="00F04A75" w:rsidRDefault="00F97782" w:rsidP="0016658B">
            <w:pPr>
              <w:jc w:val="left"/>
              <w:rPr>
                <w:rFonts w:ascii="Arial Narrow" w:hAnsi="Arial Narrow" w:cs="Calibri"/>
                <w:color w:val="000000"/>
                <w:sz w:val="20"/>
                <w:szCs w:val="20"/>
                <w:lang w:eastAsia="en-US"/>
              </w:rPr>
            </w:pPr>
            <w:r w:rsidRPr="00F04A75">
              <w:rPr>
                <w:rFonts w:ascii="Arial Narrow" w:hAnsi="Arial Narrow" w:cs="Calibri"/>
                <w:color w:val="000000"/>
                <w:sz w:val="20"/>
                <w:szCs w:val="20"/>
              </w:rPr>
              <w:t>70 mg/m</w:t>
            </w:r>
            <w:r w:rsidRPr="00F04A75">
              <w:rPr>
                <w:rFonts w:ascii="Arial Narrow" w:hAnsi="Arial Narrow" w:cs="Calibri"/>
                <w:color w:val="000000"/>
                <w:sz w:val="20"/>
                <w:szCs w:val="20"/>
                <w:vertAlign w:val="superscript"/>
              </w:rPr>
              <w:t>2</w:t>
            </w:r>
            <w:r w:rsidRPr="00F04A75">
              <w:rPr>
                <w:rFonts w:ascii="Arial Narrow" w:hAnsi="Arial Narrow" w:cs="Calibri"/>
                <w:color w:val="000000"/>
                <w:sz w:val="20"/>
                <w:szCs w:val="20"/>
              </w:rPr>
              <w:t xml:space="preserve"> (after D</w:t>
            </w:r>
            <w:r w:rsidR="00D20DF8" w:rsidRPr="00F04A75">
              <w:rPr>
                <w:rFonts w:ascii="Arial Narrow" w:hAnsi="Arial Narrow" w:cs="Calibri"/>
                <w:color w:val="000000"/>
                <w:sz w:val="20"/>
                <w:szCs w:val="20"/>
              </w:rPr>
              <w:t xml:space="preserve">ay </w:t>
            </w:r>
            <w:r w:rsidRPr="00F04A75">
              <w:rPr>
                <w:rFonts w:ascii="Arial Narrow" w:hAnsi="Arial Narrow" w:cs="Calibri"/>
                <w:color w:val="000000"/>
                <w:sz w:val="20"/>
                <w:szCs w:val="20"/>
              </w:rPr>
              <w:t xml:space="preserve">2 </w:t>
            </w:r>
            <w:r w:rsidR="00D20DF8" w:rsidRPr="00F04A75">
              <w:rPr>
                <w:rFonts w:ascii="Arial Narrow" w:hAnsi="Arial Narrow" w:cs="Calibri"/>
                <w:color w:val="000000"/>
                <w:sz w:val="20"/>
                <w:szCs w:val="20"/>
              </w:rPr>
              <w:t>of</w:t>
            </w:r>
            <w:r w:rsidRPr="00F04A75">
              <w:rPr>
                <w:rFonts w:ascii="Arial Narrow" w:hAnsi="Arial Narrow" w:cs="Calibri"/>
                <w:color w:val="000000"/>
                <w:sz w:val="20"/>
                <w:szCs w:val="20"/>
              </w:rPr>
              <w:t xml:space="preserve"> C</w:t>
            </w:r>
            <w:r w:rsidR="00D20DF8" w:rsidRPr="00F04A75">
              <w:rPr>
                <w:rFonts w:ascii="Arial Narrow" w:hAnsi="Arial Narrow" w:cs="Calibri"/>
                <w:color w:val="000000"/>
                <w:sz w:val="20"/>
                <w:szCs w:val="20"/>
              </w:rPr>
              <w:t xml:space="preserve">ycle </w:t>
            </w:r>
            <w:r w:rsidRPr="00F04A75">
              <w:rPr>
                <w:rFonts w:ascii="Arial Narrow" w:hAnsi="Arial Narrow" w:cs="Calibri"/>
                <w:color w:val="000000"/>
                <w:sz w:val="20"/>
                <w:szCs w:val="20"/>
              </w:rPr>
              <w:t>1; 3/cycle)</w:t>
            </w:r>
          </w:p>
        </w:tc>
      </w:tr>
      <w:tr w:rsidR="001D4D74" w:rsidRPr="00F04A75" w14:paraId="4E2E243A" w14:textId="77777777" w:rsidTr="001D4D74">
        <w:trPr>
          <w:cantSplit/>
          <w:jc w:val="center"/>
        </w:trPr>
        <w:tc>
          <w:tcPr>
            <w:tcW w:w="627" w:type="pct"/>
            <w:shd w:val="clear" w:color="auto" w:fill="auto"/>
            <w:vAlign w:val="center"/>
          </w:tcPr>
          <w:p w14:paraId="2422A6F1" w14:textId="77777777" w:rsidR="00F97782" w:rsidRPr="00F04A75" w:rsidRDefault="00F97782" w:rsidP="0016658B">
            <w:pPr>
              <w:pStyle w:val="TableText0"/>
              <w:rPr>
                <w:szCs w:val="20"/>
              </w:rPr>
            </w:pPr>
            <w:r w:rsidRPr="00F04A75">
              <w:rPr>
                <w:szCs w:val="20"/>
              </w:rPr>
              <w:t>Mean duration</w:t>
            </w:r>
          </w:p>
        </w:tc>
        <w:tc>
          <w:tcPr>
            <w:tcW w:w="707" w:type="pct"/>
            <w:shd w:val="clear" w:color="auto" w:fill="auto"/>
            <w:vAlign w:val="center"/>
          </w:tcPr>
          <w:p w14:paraId="606B30A2" w14:textId="77777777" w:rsidR="00F97782" w:rsidRPr="00F04A75" w:rsidRDefault="00F97782" w:rsidP="0016658B">
            <w:pPr>
              <w:pStyle w:val="TableText0"/>
              <w:jc w:val="center"/>
              <w:rPr>
                <w:bCs w:val="0"/>
                <w:szCs w:val="20"/>
                <w:highlight w:val="yellow"/>
              </w:rPr>
            </w:pPr>
            <w:r w:rsidRPr="00F04A75">
              <w:rPr>
                <w:bCs w:val="0"/>
                <w:szCs w:val="20"/>
              </w:rPr>
              <w:t xml:space="preserve">18 </w:t>
            </w:r>
            <w:proofErr w:type="spellStart"/>
            <w:r w:rsidRPr="00F04A75">
              <w:rPr>
                <w:bCs w:val="0"/>
                <w:szCs w:val="20"/>
              </w:rPr>
              <w:t>cycles</w:t>
            </w:r>
            <w:r w:rsidR="00012EE8" w:rsidRPr="00F04A75">
              <w:rPr>
                <w:bCs w:val="0"/>
                <w:szCs w:val="20"/>
                <w:vertAlign w:val="superscript"/>
              </w:rPr>
              <w:t>f</w:t>
            </w:r>
            <w:proofErr w:type="spellEnd"/>
            <w:r w:rsidRPr="00F04A75">
              <w:rPr>
                <w:bCs w:val="0"/>
                <w:szCs w:val="20"/>
              </w:rPr>
              <w:t xml:space="preserve"> </w:t>
            </w:r>
          </w:p>
        </w:tc>
        <w:tc>
          <w:tcPr>
            <w:tcW w:w="707" w:type="pct"/>
            <w:shd w:val="clear" w:color="auto" w:fill="auto"/>
            <w:vAlign w:val="center"/>
          </w:tcPr>
          <w:p w14:paraId="0B35A2D4" w14:textId="77777777" w:rsidR="00F97782" w:rsidRPr="00F04A75" w:rsidRDefault="00F97782" w:rsidP="0016658B">
            <w:pPr>
              <w:pStyle w:val="TableText0"/>
              <w:jc w:val="center"/>
              <w:rPr>
                <w:bCs w:val="0"/>
                <w:szCs w:val="20"/>
              </w:rPr>
            </w:pPr>
            <w:r w:rsidRPr="00F04A75">
              <w:rPr>
                <w:bCs w:val="0"/>
                <w:szCs w:val="20"/>
              </w:rPr>
              <w:t xml:space="preserve">15 cycles </w:t>
            </w:r>
          </w:p>
        </w:tc>
        <w:tc>
          <w:tcPr>
            <w:tcW w:w="708" w:type="pct"/>
            <w:shd w:val="clear" w:color="auto" w:fill="auto"/>
            <w:vAlign w:val="center"/>
          </w:tcPr>
          <w:p w14:paraId="23B448AE" w14:textId="21EE4676" w:rsidR="00F97782" w:rsidRPr="00F04A75" w:rsidRDefault="00F97782" w:rsidP="0016658B">
            <w:pPr>
              <w:pStyle w:val="TableText0"/>
              <w:jc w:val="center"/>
              <w:rPr>
                <w:bCs w:val="0"/>
                <w:szCs w:val="20"/>
              </w:rPr>
            </w:pPr>
            <w:r w:rsidRPr="00F04A75">
              <w:rPr>
                <w:bCs w:val="0"/>
                <w:szCs w:val="20"/>
              </w:rPr>
              <w:t>4.12</w:t>
            </w:r>
            <w:r w:rsidR="00777E0A" w:rsidRPr="00F04A75">
              <w:rPr>
                <w:bCs w:val="0"/>
                <w:szCs w:val="20"/>
              </w:rPr>
              <w:t xml:space="preserve"> cycles</w:t>
            </w:r>
            <w:r w:rsidR="001B66D9" w:rsidRPr="00F04A75">
              <w:rPr>
                <w:bCs w:val="0"/>
                <w:szCs w:val="20"/>
              </w:rPr>
              <w:t>/year</w:t>
            </w:r>
            <w:r w:rsidR="008B2596" w:rsidRPr="00F04A75">
              <w:rPr>
                <w:bCs w:val="0"/>
                <w:szCs w:val="20"/>
              </w:rPr>
              <w:t xml:space="preserve"> </w:t>
            </w:r>
          </w:p>
        </w:tc>
        <w:tc>
          <w:tcPr>
            <w:tcW w:w="786" w:type="pct"/>
            <w:shd w:val="clear" w:color="auto" w:fill="auto"/>
            <w:vAlign w:val="center"/>
          </w:tcPr>
          <w:p w14:paraId="5654EE63" w14:textId="77777777" w:rsidR="00F97782" w:rsidRPr="00F04A75" w:rsidRDefault="00F97782" w:rsidP="0016658B">
            <w:pPr>
              <w:pStyle w:val="TableText0"/>
              <w:jc w:val="center"/>
              <w:rPr>
                <w:bCs w:val="0"/>
                <w:szCs w:val="20"/>
              </w:rPr>
            </w:pPr>
            <w:r w:rsidRPr="00F04A75">
              <w:rPr>
                <w:bCs w:val="0"/>
                <w:szCs w:val="20"/>
              </w:rPr>
              <w:t xml:space="preserve">15 cycles </w:t>
            </w:r>
          </w:p>
        </w:tc>
        <w:tc>
          <w:tcPr>
            <w:tcW w:w="708" w:type="pct"/>
            <w:shd w:val="clear" w:color="auto" w:fill="auto"/>
            <w:vAlign w:val="center"/>
          </w:tcPr>
          <w:p w14:paraId="134A2821" w14:textId="77777777" w:rsidR="00F97782" w:rsidRPr="00F04A75" w:rsidRDefault="00F97782" w:rsidP="0016658B">
            <w:pPr>
              <w:pStyle w:val="TableText0"/>
              <w:jc w:val="center"/>
              <w:rPr>
                <w:bCs w:val="0"/>
                <w:szCs w:val="20"/>
              </w:rPr>
            </w:pPr>
            <w:r w:rsidRPr="00F04A75">
              <w:rPr>
                <w:bCs w:val="0"/>
                <w:szCs w:val="20"/>
              </w:rPr>
              <w:t xml:space="preserve">15 cycles </w:t>
            </w:r>
          </w:p>
        </w:tc>
        <w:tc>
          <w:tcPr>
            <w:tcW w:w="757" w:type="pct"/>
          </w:tcPr>
          <w:p w14:paraId="1EF23D80" w14:textId="531B0062" w:rsidR="00F97782" w:rsidRPr="00F04A75" w:rsidRDefault="00F97782" w:rsidP="0016658B">
            <w:pPr>
              <w:pStyle w:val="TableText0"/>
              <w:jc w:val="center"/>
              <w:rPr>
                <w:bCs w:val="0"/>
                <w:szCs w:val="20"/>
              </w:rPr>
            </w:pPr>
            <w:r w:rsidRPr="00F04A75">
              <w:rPr>
                <w:bCs w:val="0"/>
                <w:szCs w:val="20"/>
              </w:rPr>
              <w:t>4.12</w:t>
            </w:r>
            <w:r w:rsidR="00A65A76" w:rsidRPr="00F04A75">
              <w:rPr>
                <w:bCs w:val="0"/>
                <w:szCs w:val="20"/>
              </w:rPr>
              <w:t xml:space="preserve"> cycles</w:t>
            </w:r>
            <w:r w:rsidR="001B66D9" w:rsidRPr="00F04A75">
              <w:rPr>
                <w:bCs w:val="0"/>
                <w:szCs w:val="20"/>
              </w:rPr>
              <w:t>/year</w:t>
            </w:r>
            <w:r w:rsidR="001D4D74" w:rsidRPr="00F04A75">
              <w:rPr>
                <w:bCs w:val="0"/>
                <w:szCs w:val="20"/>
              </w:rPr>
              <w:t xml:space="preserve"> </w:t>
            </w:r>
          </w:p>
        </w:tc>
      </w:tr>
      <w:tr w:rsidR="001D4D74" w:rsidRPr="00F04A75" w14:paraId="612274D6" w14:textId="77777777" w:rsidTr="001D4D74">
        <w:trPr>
          <w:cantSplit/>
          <w:jc w:val="center"/>
        </w:trPr>
        <w:tc>
          <w:tcPr>
            <w:tcW w:w="627" w:type="pct"/>
            <w:shd w:val="clear" w:color="auto" w:fill="auto"/>
            <w:vAlign w:val="center"/>
          </w:tcPr>
          <w:p w14:paraId="5B309EE8" w14:textId="6A4B1400" w:rsidR="00F97782" w:rsidRPr="00F04A75" w:rsidRDefault="00F97782" w:rsidP="0016658B">
            <w:pPr>
              <w:pStyle w:val="TableText0"/>
              <w:rPr>
                <w:szCs w:val="20"/>
              </w:rPr>
            </w:pPr>
            <w:r w:rsidRPr="00F04A75">
              <w:rPr>
                <w:szCs w:val="20"/>
              </w:rPr>
              <w:t>Cost/</w:t>
            </w:r>
            <w:proofErr w:type="spellStart"/>
            <w:r w:rsidRPr="00F04A75">
              <w:rPr>
                <w:szCs w:val="20"/>
              </w:rPr>
              <w:t>course</w:t>
            </w:r>
            <w:r w:rsidR="001341B0" w:rsidRPr="00F04A75">
              <w:rPr>
                <w:szCs w:val="20"/>
                <w:vertAlign w:val="superscript"/>
              </w:rPr>
              <w:t>g</w:t>
            </w:r>
            <w:proofErr w:type="spellEnd"/>
          </w:p>
        </w:tc>
        <w:tc>
          <w:tcPr>
            <w:tcW w:w="707" w:type="pct"/>
            <w:shd w:val="clear" w:color="auto" w:fill="auto"/>
          </w:tcPr>
          <w:p w14:paraId="734D2250" w14:textId="497D4F4F" w:rsidR="00F97782" w:rsidRPr="00F04A75" w:rsidRDefault="00F97782" w:rsidP="0016658B">
            <w:pPr>
              <w:pStyle w:val="TableText0"/>
              <w:keepNext w:val="0"/>
              <w:widowControl w:val="0"/>
              <w:jc w:val="center"/>
              <w:rPr>
                <w:szCs w:val="20"/>
              </w:rPr>
            </w:pPr>
            <w:proofErr w:type="spellStart"/>
            <w:r w:rsidRPr="00F04A75">
              <w:rPr>
                <w:szCs w:val="20"/>
              </w:rPr>
              <w:t>CLd</w:t>
            </w:r>
            <w:proofErr w:type="spellEnd"/>
            <w:r w:rsidRPr="00F04A75">
              <w:rPr>
                <w:szCs w:val="20"/>
              </w:rPr>
              <w:t>: $</w:t>
            </w:r>
            <w:r w:rsidR="000960C3" w:rsidRPr="000960C3">
              <w:rPr>
                <w:color w:val="000000"/>
                <w:spacing w:val="94"/>
                <w:szCs w:val="20"/>
                <w:shd w:val="solid" w:color="000000" w:fill="000000"/>
                <w:fitText w:val="180" w:id="-1506043647"/>
                <w14:textFill>
                  <w14:solidFill>
                    <w14:srgbClr w14:val="000000">
                      <w14:alpha w14:val="100000"/>
                    </w14:srgbClr>
                  </w14:solidFill>
                </w14:textFill>
              </w:rPr>
              <w:t>|</w:t>
            </w:r>
            <w:r w:rsidR="000960C3" w:rsidRPr="000960C3">
              <w:rPr>
                <w:color w:val="000000"/>
                <w:spacing w:val="1"/>
                <w:szCs w:val="20"/>
                <w:shd w:val="solid" w:color="000000" w:fill="000000"/>
                <w:fitText w:val="180" w:id="-1506043647"/>
                <w14:textFill>
                  <w14:solidFill>
                    <w14:srgbClr w14:val="000000">
                      <w14:alpha w14:val="100000"/>
                    </w14:srgbClr>
                  </w14:solidFill>
                </w14:textFill>
              </w:rPr>
              <w:t>|</w:t>
            </w:r>
          </w:p>
          <w:p w14:paraId="712A56D0" w14:textId="77777777" w:rsidR="00F97782" w:rsidRPr="00F04A75" w:rsidRDefault="00F97782" w:rsidP="0016658B">
            <w:pPr>
              <w:pStyle w:val="TableText0"/>
              <w:keepNext w:val="0"/>
              <w:widowControl w:val="0"/>
              <w:jc w:val="center"/>
              <w:rPr>
                <w:szCs w:val="20"/>
              </w:rPr>
            </w:pPr>
          </w:p>
          <w:p w14:paraId="00515E3B" w14:textId="27BD3BC9" w:rsidR="00F97782" w:rsidRPr="00F04A75" w:rsidRDefault="00F97782" w:rsidP="0016658B">
            <w:pPr>
              <w:pStyle w:val="TableText0"/>
              <w:keepNext w:val="0"/>
              <w:widowControl w:val="0"/>
              <w:jc w:val="center"/>
              <w:rPr>
                <w:szCs w:val="20"/>
              </w:rPr>
            </w:pPr>
            <w:proofErr w:type="spellStart"/>
            <w:r w:rsidRPr="00F04A75">
              <w:rPr>
                <w:szCs w:val="20"/>
              </w:rPr>
              <w:t>Carf</w:t>
            </w:r>
            <w:proofErr w:type="spellEnd"/>
            <w:r w:rsidRPr="00F04A75">
              <w:rPr>
                <w:szCs w:val="20"/>
              </w:rPr>
              <w:t>: $</w:t>
            </w:r>
            <w:r w:rsidR="000960C3" w:rsidRPr="000960C3">
              <w:rPr>
                <w:color w:val="000000"/>
                <w:spacing w:val="94"/>
                <w:szCs w:val="20"/>
                <w:shd w:val="solid" w:color="000000" w:fill="000000"/>
                <w:fitText w:val="180" w:id="-1506043646"/>
                <w14:textFill>
                  <w14:solidFill>
                    <w14:srgbClr w14:val="000000">
                      <w14:alpha w14:val="100000"/>
                    </w14:srgbClr>
                  </w14:solidFill>
                </w14:textFill>
              </w:rPr>
              <w:t>|</w:t>
            </w:r>
            <w:r w:rsidR="000960C3" w:rsidRPr="000960C3">
              <w:rPr>
                <w:color w:val="000000"/>
                <w:spacing w:val="1"/>
                <w:szCs w:val="20"/>
                <w:shd w:val="solid" w:color="000000" w:fill="000000"/>
                <w:fitText w:val="180" w:id="-1506043646"/>
                <w14:textFill>
                  <w14:solidFill>
                    <w14:srgbClr w14:val="000000">
                      <w14:alpha w14:val="100000"/>
                    </w14:srgbClr>
                  </w14:solidFill>
                </w14:textFill>
              </w:rPr>
              <w:t>|</w:t>
            </w:r>
          </w:p>
          <w:p w14:paraId="4C98A9DE" w14:textId="77777777" w:rsidR="00F97782" w:rsidRPr="00F04A75" w:rsidRDefault="00F97782" w:rsidP="0016658B">
            <w:pPr>
              <w:pStyle w:val="TableText0"/>
              <w:jc w:val="center"/>
              <w:rPr>
                <w:szCs w:val="20"/>
              </w:rPr>
            </w:pPr>
            <w:r w:rsidRPr="00F04A75">
              <w:rPr>
                <w:szCs w:val="20"/>
              </w:rPr>
              <w:t xml:space="preserve">Len: $37,890 </w:t>
            </w:r>
            <w:proofErr w:type="spellStart"/>
            <w:r w:rsidRPr="00F04A75">
              <w:rPr>
                <w:szCs w:val="20"/>
              </w:rPr>
              <w:t>Dex</w:t>
            </w:r>
            <w:proofErr w:type="spellEnd"/>
            <w:r w:rsidRPr="00F04A75">
              <w:rPr>
                <w:szCs w:val="20"/>
              </w:rPr>
              <w:t>: NA</w:t>
            </w:r>
          </w:p>
        </w:tc>
        <w:tc>
          <w:tcPr>
            <w:tcW w:w="707" w:type="pct"/>
            <w:shd w:val="clear" w:color="auto" w:fill="auto"/>
          </w:tcPr>
          <w:p w14:paraId="17B9787A" w14:textId="05766403" w:rsidR="00F97782" w:rsidRPr="00F04A75" w:rsidRDefault="00F97782" w:rsidP="0016658B">
            <w:pPr>
              <w:pStyle w:val="TableText0"/>
              <w:keepNext w:val="0"/>
              <w:widowControl w:val="0"/>
              <w:jc w:val="center"/>
              <w:rPr>
                <w:szCs w:val="20"/>
              </w:rPr>
            </w:pPr>
            <w:proofErr w:type="spellStart"/>
            <w:r w:rsidRPr="00F04A75">
              <w:rPr>
                <w:szCs w:val="20"/>
              </w:rPr>
              <w:t>CLd</w:t>
            </w:r>
            <w:proofErr w:type="spellEnd"/>
            <w:r w:rsidRPr="00F04A75">
              <w:rPr>
                <w:szCs w:val="20"/>
              </w:rPr>
              <w:t>: $</w:t>
            </w:r>
            <w:r w:rsidR="000960C3" w:rsidRPr="000960C3">
              <w:rPr>
                <w:color w:val="000000"/>
                <w:spacing w:val="94"/>
                <w:szCs w:val="20"/>
                <w:shd w:val="solid" w:color="000000" w:fill="000000"/>
                <w:fitText w:val="180" w:id="-1506043645"/>
                <w14:textFill>
                  <w14:solidFill>
                    <w14:srgbClr w14:val="000000">
                      <w14:alpha w14:val="100000"/>
                    </w14:srgbClr>
                  </w14:solidFill>
                </w14:textFill>
              </w:rPr>
              <w:t>|</w:t>
            </w:r>
            <w:r w:rsidR="000960C3" w:rsidRPr="000960C3">
              <w:rPr>
                <w:color w:val="000000"/>
                <w:spacing w:val="1"/>
                <w:szCs w:val="20"/>
                <w:shd w:val="solid" w:color="000000" w:fill="000000"/>
                <w:fitText w:val="180" w:id="-1506043645"/>
                <w14:textFill>
                  <w14:solidFill>
                    <w14:srgbClr w14:val="000000">
                      <w14:alpha w14:val="100000"/>
                    </w14:srgbClr>
                  </w14:solidFill>
                </w14:textFill>
              </w:rPr>
              <w:t>|</w:t>
            </w:r>
          </w:p>
          <w:p w14:paraId="414FA57B" w14:textId="77777777" w:rsidR="00F97782" w:rsidRPr="00F04A75" w:rsidRDefault="00F97782" w:rsidP="0016658B">
            <w:pPr>
              <w:pStyle w:val="TableText0"/>
              <w:keepNext w:val="0"/>
              <w:widowControl w:val="0"/>
              <w:jc w:val="center"/>
              <w:rPr>
                <w:szCs w:val="20"/>
              </w:rPr>
            </w:pPr>
          </w:p>
          <w:p w14:paraId="278C2C43" w14:textId="011AF807" w:rsidR="00F97782" w:rsidRPr="00F04A75" w:rsidRDefault="00F97782" w:rsidP="0016658B">
            <w:pPr>
              <w:pStyle w:val="TableText0"/>
              <w:keepNext w:val="0"/>
              <w:widowControl w:val="0"/>
              <w:jc w:val="center"/>
              <w:rPr>
                <w:szCs w:val="20"/>
              </w:rPr>
            </w:pPr>
            <w:proofErr w:type="spellStart"/>
            <w:r w:rsidRPr="00F04A75">
              <w:rPr>
                <w:szCs w:val="20"/>
              </w:rPr>
              <w:t>Carf</w:t>
            </w:r>
            <w:proofErr w:type="spellEnd"/>
            <w:r w:rsidRPr="00F04A75">
              <w:rPr>
                <w:szCs w:val="20"/>
              </w:rPr>
              <w:t>:</w:t>
            </w:r>
            <w:r w:rsidR="00777E0A" w:rsidRPr="00F04A75">
              <w:rPr>
                <w:szCs w:val="20"/>
              </w:rPr>
              <w:t xml:space="preserve"> </w:t>
            </w:r>
            <w:r w:rsidRPr="00F04A75">
              <w:rPr>
                <w:szCs w:val="20"/>
              </w:rPr>
              <w:t>$</w:t>
            </w:r>
            <w:r w:rsidR="000960C3" w:rsidRPr="000960C3">
              <w:rPr>
                <w:color w:val="000000"/>
                <w:spacing w:val="94"/>
                <w:szCs w:val="20"/>
                <w:shd w:val="solid" w:color="000000" w:fill="000000"/>
                <w:fitText w:val="180" w:id="-1506043644"/>
                <w14:textFill>
                  <w14:solidFill>
                    <w14:srgbClr w14:val="000000">
                      <w14:alpha w14:val="100000"/>
                    </w14:srgbClr>
                  </w14:solidFill>
                </w14:textFill>
              </w:rPr>
              <w:t>|</w:t>
            </w:r>
            <w:r w:rsidR="000960C3" w:rsidRPr="000960C3">
              <w:rPr>
                <w:color w:val="000000"/>
                <w:spacing w:val="1"/>
                <w:szCs w:val="20"/>
                <w:shd w:val="solid" w:color="000000" w:fill="000000"/>
                <w:fitText w:val="180" w:id="-1506043644"/>
                <w14:textFill>
                  <w14:solidFill>
                    <w14:srgbClr w14:val="000000">
                      <w14:alpha w14:val="100000"/>
                    </w14:srgbClr>
                  </w14:solidFill>
                </w14:textFill>
              </w:rPr>
              <w:t>|</w:t>
            </w:r>
          </w:p>
          <w:p w14:paraId="478AD23E" w14:textId="77777777" w:rsidR="00F97782" w:rsidRPr="00F04A75" w:rsidRDefault="00F97782" w:rsidP="0016658B">
            <w:pPr>
              <w:pStyle w:val="TableText0"/>
              <w:jc w:val="center"/>
              <w:rPr>
                <w:szCs w:val="20"/>
              </w:rPr>
            </w:pPr>
            <w:r w:rsidRPr="00F04A75">
              <w:rPr>
                <w:szCs w:val="20"/>
              </w:rPr>
              <w:t xml:space="preserve">Len: $31,575 </w:t>
            </w:r>
            <w:proofErr w:type="spellStart"/>
            <w:r w:rsidRPr="00F04A75">
              <w:rPr>
                <w:szCs w:val="20"/>
              </w:rPr>
              <w:t>Dex</w:t>
            </w:r>
            <w:proofErr w:type="spellEnd"/>
            <w:r w:rsidRPr="00F04A75">
              <w:rPr>
                <w:szCs w:val="20"/>
              </w:rPr>
              <w:t>: NA</w:t>
            </w:r>
          </w:p>
        </w:tc>
        <w:tc>
          <w:tcPr>
            <w:tcW w:w="708" w:type="pct"/>
            <w:shd w:val="clear" w:color="auto" w:fill="auto"/>
          </w:tcPr>
          <w:p w14:paraId="33B06E70" w14:textId="05208B0A" w:rsidR="00F97782" w:rsidRPr="00F04A75" w:rsidRDefault="00F97782" w:rsidP="0016658B">
            <w:pPr>
              <w:pStyle w:val="TableText0"/>
              <w:keepNext w:val="0"/>
              <w:widowControl w:val="0"/>
              <w:jc w:val="center"/>
              <w:rPr>
                <w:szCs w:val="20"/>
              </w:rPr>
            </w:pPr>
            <w:proofErr w:type="spellStart"/>
            <w:r w:rsidRPr="00F04A75">
              <w:rPr>
                <w:szCs w:val="20"/>
              </w:rPr>
              <w:t>CLd</w:t>
            </w:r>
            <w:proofErr w:type="spellEnd"/>
            <w:r w:rsidRPr="00F04A75">
              <w:rPr>
                <w:szCs w:val="20"/>
              </w:rPr>
              <w:t>: $</w:t>
            </w:r>
            <w:r w:rsidR="000960C3" w:rsidRPr="000960C3">
              <w:rPr>
                <w:color w:val="000000"/>
                <w:spacing w:val="79"/>
                <w:szCs w:val="20"/>
                <w:shd w:val="solid" w:color="000000" w:fill="000000"/>
                <w:fitText w:val="165" w:id="-1506043643"/>
                <w14:textFill>
                  <w14:solidFill>
                    <w14:srgbClr w14:val="000000">
                      <w14:alpha w14:val="100000"/>
                    </w14:srgbClr>
                  </w14:solidFill>
                </w14:textFill>
              </w:rPr>
              <w:t>|</w:t>
            </w:r>
            <w:r w:rsidR="000960C3" w:rsidRPr="000960C3">
              <w:rPr>
                <w:color w:val="000000"/>
                <w:spacing w:val="1"/>
                <w:szCs w:val="20"/>
                <w:shd w:val="solid" w:color="000000" w:fill="000000"/>
                <w:fitText w:val="165" w:id="-1506043643"/>
                <w14:textFill>
                  <w14:solidFill>
                    <w14:srgbClr w14:val="000000">
                      <w14:alpha w14:val="100000"/>
                    </w14:srgbClr>
                  </w14:solidFill>
                </w14:textFill>
              </w:rPr>
              <w:t>|</w:t>
            </w:r>
          </w:p>
          <w:p w14:paraId="12899755" w14:textId="77777777" w:rsidR="00F97782" w:rsidRPr="00F04A75" w:rsidRDefault="00F97782" w:rsidP="0016658B">
            <w:pPr>
              <w:pStyle w:val="TableText0"/>
              <w:keepNext w:val="0"/>
              <w:widowControl w:val="0"/>
              <w:jc w:val="center"/>
              <w:rPr>
                <w:szCs w:val="20"/>
              </w:rPr>
            </w:pPr>
          </w:p>
          <w:p w14:paraId="437F46C9" w14:textId="0244E66F" w:rsidR="00F97782" w:rsidRPr="00F04A75" w:rsidRDefault="00F97782" w:rsidP="0016658B">
            <w:pPr>
              <w:pStyle w:val="TableText0"/>
              <w:keepNext w:val="0"/>
              <w:widowControl w:val="0"/>
              <w:jc w:val="center"/>
              <w:rPr>
                <w:szCs w:val="20"/>
              </w:rPr>
            </w:pPr>
            <w:proofErr w:type="spellStart"/>
            <w:r w:rsidRPr="00F04A75">
              <w:rPr>
                <w:szCs w:val="20"/>
              </w:rPr>
              <w:t>Carf</w:t>
            </w:r>
            <w:proofErr w:type="spellEnd"/>
            <w:r w:rsidRPr="00F04A75">
              <w:rPr>
                <w:szCs w:val="20"/>
              </w:rPr>
              <w:t>:</w:t>
            </w:r>
            <w:r w:rsidR="00F50A78" w:rsidRPr="00F04A75">
              <w:rPr>
                <w:szCs w:val="20"/>
              </w:rPr>
              <w:t xml:space="preserve"> </w:t>
            </w:r>
            <w:r w:rsidRPr="00F04A75">
              <w:rPr>
                <w:szCs w:val="20"/>
              </w:rPr>
              <w:t>$</w:t>
            </w:r>
            <w:r w:rsidR="000960C3" w:rsidRPr="000960C3">
              <w:rPr>
                <w:color w:val="000000"/>
                <w:spacing w:val="94"/>
                <w:szCs w:val="20"/>
                <w:shd w:val="solid" w:color="000000" w:fill="000000"/>
                <w:fitText w:val="180" w:id="-1506043642"/>
                <w14:textFill>
                  <w14:solidFill>
                    <w14:srgbClr w14:val="000000">
                      <w14:alpha w14:val="100000"/>
                    </w14:srgbClr>
                  </w14:solidFill>
                </w14:textFill>
              </w:rPr>
              <w:t>|</w:t>
            </w:r>
            <w:r w:rsidR="000960C3" w:rsidRPr="000960C3">
              <w:rPr>
                <w:color w:val="000000"/>
                <w:spacing w:val="1"/>
                <w:szCs w:val="20"/>
                <w:shd w:val="solid" w:color="000000" w:fill="000000"/>
                <w:fitText w:val="180" w:id="-1506043642"/>
                <w14:textFill>
                  <w14:solidFill>
                    <w14:srgbClr w14:val="000000">
                      <w14:alpha w14:val="100000"/>
                    </w14:srgbClr>
                  </w14:solidFill>
                </w14:textFill>
              </w:rPr>
              <w:t>|</w:t>
            </w:r>
          </w:p>
          <w:p w14:paraId="04CB5BA0" w14:textId="77777777" w:rsidR="00F97782" w:rsidRPr="00F04A75" w:rsidRDefault="00F97782" w:rsidP="0016658B">
            <w:pPr>
              <w:pStyle w:val="TableText0"/>
              <w:jc w:val="center"/>
              <w:rPr>
                <w:szCs w:val="20"/>
              </w:rPr>
            </w:pPr>
            <w:r w:rsidRPr="00F04A75">
              <w:rPr>
                <w:szCs w:val="20"/>
              </w:rPr>
              <w:t xml:space="preserve">Len: $8,673 </w:t>
            </w:r>
            <w:proofErr w:type="spellStart"/>
            <w:r w:rsidRPr="00F04A75">
              <w:rPr>
                <w:szCs w:val="20"/>
              </w:rPr>
              <w:t>Dex</w:t>
            </w:r>
            <w:proofErr w:type="spellEnd"/>
            <w:r w:rsidRPr="00F04A75">
              <w:rPr>
                <w:szCs w:val="20"/>
              </w:rPr>
              <w:t>: NA</w:t>
            </w:r>
          </w:p>
        </w:tc>
        <w:tc>
          <w:tcPr>
            <w:tcW w:w="786" w:type="pct"/>
            <w:shd w:val="clear" w:color="auto" w:fill="auto"/>
          </w:tcPr>
          <w:p w14:paraId="0886AAFF" w14:textId="71494AA5" w:rsidR="00F97782" w:rsidRPr="00F04A75" w:rsidRDefault="00F97782" w:rsidP="0016658B">
            <w:pPr>
              <w:pStyle w:val="TableText0"/>
              <w:keepNext w:val="0"/>
              <w:widowControl w:val="0"/>
              <w:jc w:val="center"/>
              <w:rPr>
                <w:szCs w:val="20"/>
              </w:rPr>
            </w:pPr>
            <w:r w:rsidRPr="00F04A75">
              <w:rPr>
                <w:szCs w:val="20"/>
              </w:rPr>
              <w:t>Cd: $</w:t>
            </w:r>
            <w:r w:rsidR="000960C3" w:rsidRPr="000960C3">
              <w:rPr>
                <w:rFonts w:hint="eastAsia"/>
                <w:color w:val="000000"/>
                <w:w w:val="15"/>
                <w:szCs w:val="20"/>
                <w:shd w:val="solid" w:color="000000" w:fill="000000"/>
                <w:fitText w:val="60" w:id="-1506043641"/>
                <w14:textFill>
                  <w14:solidFill>
                    <w14:srgbClr w14:val="000000">
                      <w14:alpha w14:val="100000"/>
                    </w14:srgbClr>
                  </w14:solidFill>
                </w14:textFill>
              </w:rPr>
              <w:t xml:space="preserve">　</w:t>
            </w:r>
            <w:r w:rsidR="000960C3" w:rsidRPr="000960C3">
              <w:rPr>
                <w:color w:val="000000"/>
                <w:w w:val="15"/>
                <w:szCs w:val="20"/>
                <w:shd w:val="solid" w:color="000000" w:fill="000000"/>
                <w:fitText w:val="60" w:id="-1506043641"/>
                <w14:textFill>
                  <w14:solidFill>
                    <w14:srgbClr w14:val="000000">
                      <w14:alpha w14:val="100000"/>
                    </w14:srgbClr>
                  </w14:solidFill>
                </w14:textFill>
              </w:rPr>
              <w:t>|</w:t>
            </w:r>
            <w:r w:rsidR="000960C3" w:rsidRPr="000960C3">
              <w:rPr>
                <w:rFonts w:hint="eastAsia"/>
                <w:color w:val="000000"/>
                <w:spacing w:val="-5"/>
                <w:w w:val="15"/>
                <w:szCs w:val="20"/>
                <w:shd w:val="solid" w:color="000000" w:fill="000000"/>
                <w:fitText w:val="60" w:id="-1506043641"/>
                <w14:textFill>
                  <w14:solidFill>
                    <w14:srgbClr w14:val="000000">
                      <w14:alpha w14:val="100000"/>
                    </w14:srgbClr>
                  </w14:solidFill>
                </w14:textFill>
              </w:rPr>
              <w:t xml:space="preserve">　</w:t>
            </w:r>
          </w:p>
          <w:p w14:paraId="315AB003" w14:textId="77777777" w:rsidR="00F97782" w:rsidRPr="00F04A75" w:rsidRDefault="00F97782" w:rsidP="0016658B">
            <w:pPr>
              <w:pStyle w:val="TableText0"/>
              <w:keepNext w:val="0"/>
              <w:widowControl w:val="0"/>
              <w:jc w:val="center"/>
              <w:rPr>
                <w:szCs w:val="20"/>
              </w:rPr>
            </w:pPr>
          </w:p>
          <w:p w14:paraId="7F1F1F7B" w14:textId="0DCD806B" w:rsidR="00F97782" w:rsidRPr="00F04A75" w:rsidRDefault="00F97782" w:rsidP="0016658B">
            <w:pPr>
              <w:pStyle w:val="TableText0"/>
              <w:jc w:val="center"/>
              <w:rPr>
                <w:szCs w:val="20"/>
              </w:rPr>
            </w:pPr>
            <w:proofErr w:type="spellStart"/>
            <w:r w:rsidRPr="00F04A75">
              <w:rPr>
                <w:szCs w:val="20"/>
              </w:rPr>
              <w:t>Carf</w:t>
            </w:r>
            <w:proofErr w:type="spellEnd"/>
            <w:r w:rsidRPr="00F04A75">
              <w:rPr>
                <w:szCs w:val="20"/>
              </w:rPr>
              <w:t>: $</w:t>
            </w:r>
            <w:r w:rsidR="000960C3" w:rsidRPr="000960C3">
              <w:rPr>
                <w:rFonts w:hint="eastAsia"/>
                <w:color w:val="000000"/>
                <w:w w:val="27"/>
                <w:szCs w:val="20"/>
                <w:shd w:val="solid" w:color="000000" w:fill="000000"/>
                <w:fitText w:val="120" w:id="-1506043640"/>
                <w14:textFill>
                  <w14:solidFill>
                    <w14:srgbClr w14:val="000000">
                      <w14:alpha w14:val="100000"/>
                    </w14:srgbClr>
                  </w14:solidFill>
                </w14:textFill>
              </w:rPr>
              <w:t xml:space="preserve">　</w:t>
            </w:r>
            <w:r w:rsidR="000960C3" w:rsidRPr="000960C3">
              <w:rPr>
                <w:color w:val="000000"/>
                <w:w w:val="27"/>
                <w:szCs w:val="20"/>
                <w:shd w:val="solid" w:color="000000" w:fill="000000"/>
                <w:fitText w:val="120" w:id="-1506043640"/>
                <w14:textFill>
                  <w14:solidFill>
                    <w14:srgbClr w14:val="000000">
                      <w14:alpha w14:val="100000"/>
                    </w14:srgbClr>
                  </w14:solidFill>
                </w14:textFill>
              </w:rPr>
              <w:t>|</w:t>
            </w:r>
            <w:r w:rsidR="000960C3" w:rsidRPr="000960C3">
              <w:rPr>
                <w:rFonts w:hint="eastAsia"/>
                <w:color w:val="000000"/>
                <w:spacing w:val="2"/>
                <w:w w:val="27"/>
                <w:szCs w:val="20"/>
                <w:shd w:val="solid" w:color="000000" w:fill="000000"/>
                <w:fitText w:val="120" w:id="-1506043640"/>
                <w14:textFill>
                  <w14:solidFill>
                    <w14:srgbClr w14:val="000000">
                      <w14:alpha w14:val="100000"/>
                    </w14:srgbClr>
                  </w14:solidFill>
                </w14:textFill>
              </w:rPr>
              <w:t xml:space="preserve">　</w:t>
            </w:r>
          </w:p>
          <w:p w14:paraId="68079AF5" w14:textId="77777777" w:rsidR="00F97782" w:rsidRPr="00F04A75" w:rsidRDefault="00F97782" w:rsidP="0016658B">
            <w:pPr>
              <w:pStyle w:val="TableText0"/>
              <w:jc w:val="center"/>
              <w:rPr>
                <w:szCs w:val="20"/>
              </w:rPr>
            </w:pPr>
            <w:proofErr w:type="spellStart"/>
            <w:r w:rsidRPr="00F04A75">
              <w:rPr>
                <w:szCs w:val="20"/>
              </w:rPr>
              <w:t>Dex</w:t>
            </w:r>
            <w:proofErr w:type="spellEnd"/>
            <w:r w:rsidRPr="00F04A75">
              <w:rPr>
                <w:szCs w:val="20"/>
              </w:rPr>
              <w:t>: NA</w:t>
            </w:r>
          </w:p>
        </w:tc>
        <w:tc>
          <w:tcPr>
            <w:tcW w:w="708" w:type="pct"/>
            <w:shd w:val="clear" w:color="auto" w:fill="auto"/>
          </w:tcPr>
          <w:p w14:paraId="06D08ACA" w14:textId="2A23018D" w:rsidR="00F97782" w:rsidRPr="00F04A75" w:rsidRDefault="00F97782" w:rsidP="0016658B">
            <w:pPr>
              <w:pStyle w:val="TableText0"/>
              <w:keepNext w:val="0"/>
              <w:widowControl w:val="0"/>
              <w:jc w:val="center"/>
              <w:rPr>
                <w:szCs w:val="20"/>
              </w:rPr>
            </w:pPr>
            <w:r w:rsidRPr="00F04A75">
              <w:rPr>
                <w:szCs w:val="20"/>
              </w:rPr>
              <w:t>Cd: $</w:t>
            </w:r>
            <w:r w:rsidR="000960C3" w:rsidRPr="000960C3">
              <w:rPr>
                <w:rFonts w:hint="eastAsia"/>
                <w:color w:val="000000"/>
                <w:w w:val="30"/>
                <w:szCs w:val="20"/>
                <w:shd w:val="solid" w:color="000000" w:fill="000000"/>
                <w:fitText w:val="135" w:id="-1506043639"/>
                <w14:textFill>
                  <w14:solidFill>
                    <w14:srgbClr w14:val="000000">
                      <w14:alpha w14:val="100000"/>
                    </w14:srgbClr>
                  </w14:solidFill>
                </w14:textFill>
              </w:rPr>
              <w:t xml:space="preserve">　</w:t>
            </w:r>
            <w:r w:rsidR="000960C3" w:rsidRPr="000960C3">
              <w:rPr>
                <w:color w:val="000000"/>
                <w:w w:val="30"/>
                <w:szCs w:val="20"/>
                <w:shd w:val="solid" w:color="000000" w:fill="000000"/>
                <w:fitText w:val="135" w:id="-1506043639"/>
                <w14:textFill>
                  <w14:solidFill>
                    <w14:srgbClr w14:val="000000">
                      <w14:alpha w14:val="100000"/>
                    </w14:srgbClr>
                  </w14:solidFill>
                </w14:textFill>
              </w:rPr>
              <w:t>|</w:t>
            </w:r>
            <w:r w:rsidR="000960C3" w:rsidRPr="000960C3">
              <w:rPr>
                <w:rFonts w:hint="eastAsia"/>
                <w:color w:val="000000"/>
                <w:spacing w:val="3"/>
                <w:w w:val="30"/>
                <w:szCs w:val="20"/>
                <w:shd w:val="solid" w:color="000000" w:fill="000000"/>
                <w:fitText w:val="135" w:id="-1506043639"/>
                <w14:textFill>
                  <w14:solidFill>
                    <w14:srgbClr w14:val="000000">
                      <w14:alpha w14:val="100000"/>
                    </w14:srgbClr>
                  </w14:solidFill>
                </w14:textFill>
              </w:rPr>
              <w:t xml:space="preserve">　</w:t>
            </w:r>
          </w:p>
          <w:p w14:paraId="09691C70" w14:textId="77777777" w:rsidR="00F97782" w:rsidRPr="00F04A75" w:rsidRDefault="00F97782" w:rsidP="0016658B">
            <w:pPr>
              <w:pStyle w:val="TableText0"/>
              <w:keepNext w:val="0"/>
              <w:widowControl w:val="0"/>
              <w:jc w:val="center"/>
              <w:rPr>
                <w:szCs w:val="20"/>
              </w:rPr>
            </w:pPr>
          </w:p>
          <w:p w14:paraId="207498E1" w14:textId="46E519DF" w:rsidR="00F97782" w:rsidRPr="00F04A75" w:rsidRDefault="00F97782" w:rsidP="0016658B">
            <w:pPr>
              <w:pStyle w:val="TableText0"/>
              <w:jc w:val="center"/>
              <w:rPr>
                <w:szCs w:val="20"/>
              </w:rPr>
            </w:pPr>
            <w:proofErr w:type="spellStart"/>
            <w:r w:rsidRPr="00F04A75">
              <w:rPr>
                <w:szCs w:val="20"/>
              </w:rPr>
              <w:t>Carf</w:t>
            </w:r>
            <w:proofErr w:type="spellEnd"/>
            <w:r w:rsidRPr="00F04A75">
              <w:rPr>
                <w:szCs w:val="20"/>
              </w:rPr>
              <w:t>: $</w:t>
            </w:r>
            <w:r w:rsidR="000960C3" w:rsidRPr="000960C3">
              <w:rPr>
                <w:color w:val="000000"/>
                <w:spacing w:val="94"/>
                <w:szCs w:val="20"/>
                <w:shd w:val="solid" w:color="000000" w:fill="000000"/>
                <w:fitText w:val="180" w:id="-1506043638"/>
                <w14:textFill>
                  <w14:solidFill>
                    <w14:srgbClr w14:val="000000">
                      <w14:alpha w14:val="100000"/>
                    </w14:srgbClr>
                  </w14:solidFill>
                </w14:textFill>
              </w:rPr>
              <w:t>|</w:t>
            </w:r>
            <w:r w:rsidR="000960C3" w:rsidRPr="000960C3">
              <w:rPr>
                <w:color w:val="000000"/>
                <w:spacing w:val="1"/>
                <w:szCs w:val="20"/>
                <w:shd w:val="solid" w:color="000000" w:fill="000000"/>
                <w:fitText w:val="180" w:id="-1506043638"/>
                <w14:textFill>
                  <w14:solidFill>
                    <w14:srgbClr w14:val="000000">
                      <w14:alpha w14:val="100000"/>
                    </w14:srgbClr>
                  </w14:solidFill>
                </w14:textFill>
              </w:rPr>
              <w:t>|</w:t>
            </w:r>
          </w:p>
          <w:p w14:paraId="3419BF50" w14:textId="77777777" w:rsidR="00F97782" w:rsidRPr="00F04A75" w:rsidRDefault="00F97782" w:rsidP="0016658B">
            <w:pPr>
              <w:pStyle w:val="TableText0"/>
              <w:jc w:val="center"/>
              <w:rPr>
                <w:szCs w:val="20"/>
              </w:rPr>
            </w:pPr>
            <w:proofErr w:type="spellStart"/>
            <w:r w:rsidRPr="00F04A75">
              <w:rPr>
                <w:szCs w:val="20"/>
              </w:rPr>
              <w:t>Dex</w:t>
            </w:r>
            <w:proofErr w:type="spellEnd"/>
            <w:r w:rsidRPr="00F04A75">
              <w:rPr>
                <w:szCs w:val="20"/>
              </w:rPr>
              <w:t>: NA</w:t>
            </w:r>
          </w:p>
        </w:tc>
        <w:tc>
          <w:tcPr>
            <w:tcW w:w="757" w:type="pct"/>
          </w:tcPr>
          <w:p w14:paraId="5ACD3627" w14:textId="5A03AC24" w:rsidR="00F97782" w:rsidRPr="00F04A75" w:rsidRDefault="00F97782" w:rsidP="0016658B">
            <w:pPr>
              <w:pStyle w:val="TableText0"/>
              <w:keepNext w:val="0"/>
              <w:widowControl w:val="0"/>
              <w:jc w:val="center"/>
              <w:rPr>
                <w:szCs w:val="20"/>
              </w:rPr>
            </w:pPr>
            <w:r w:rsidRPr="00F04A75">
              <w:rPr>
                <w:szCs w:val="20"/>
              </w:rPr>
              <w:t>Cd: $</w:t>
            </w:r>
            <w:r w:rsidR="000960C3" w:rsidRPr="000960C3">
              <w:rPr>
                <w:rFonts w:hint="eastAsia"/>
                <w:color w:val="000000"/>
                <w:w w:val="20"/>
                <w:szCs w:val="20"/>
                <w:shd w:val="solid" w:color="000000" w:fill="000000"/>
                <w:fitText w:val="90" w:id="-1506043637"/>
                <w14:textFill>
                  <w14:solidFill>
                    <w14:srgbClr w14:val="000000">
                      <w14:alpha w14:val="100000"/>
                    </w14:srgbClr>
                  </w14:solidFill>
                </w14:textFill>
              </w:rPr>
              <w:t xml:space="preserve">　</w:t>
            </w:r>
            <w:r w:rsidR="000960C3" w:rsidRPr="000960C3">
              <w:rPr>
                <w:color w:val="000000"/>
                <w:w w:val="20"/>
                <w:szCs w:val="20"/>
                <w:shd w:val="solid" w:color="000000" w:fill="000000"/>
                <w:fitText w:val="90" w:id="-1506043637"/>
                <w14:textFill>
                  <w14:solidFill>
                    <w14:srgbClr w14:val="000000">
                      <w14:alpha w14:val="100000"/>
                    </w14:srgbClr>
                  </w14:solidFill>
                </w14:textFill>
              </w:rPr>
              <w:t>|</w:t>
            </w:r>
            <w:r w:rsidR="000960C3" w:rsidRPr="000960C3">
              <w:rPr>
                <w:rFonts w:hint="eastAsia"/>
                <w:color w:val="000000"/>
                <w:spacing w:val="3"/>
                <w:w w:val="20"/>
                <w:szCs w:val="20"/>
                <w:shd w:val="solid" w:color="000000" w:fill="000000"/>
                <w:fitText w:val="90" w:id="-1506043637"/>
                <w14:textFill>
                  <w14:solidFill>
                    <w14:srgbClr w14:val="000000">
                      <w14:alpha w14:val="100000"/>
                    </w14:srgbClr>
                  </w14:solidFill>
                </w14:textFill>
              </w:rPr>
              <w:t xml:space="preserve">　</w:t>
            </w:r>
          </w:p>
          <w:p w14:paraId="0DA36B0F" w14:textId="77777777" w:rsidR="00F97782" w:rsidRPr="00F04A75" w:rsidRDefault="00F97782" w:rsidP="0016658B">
            <w:pPr>
              <w:pStyle w:val="TableText0"/>
              <w:keepNext w:val="0"/>
              <w:widowControl w:val="0"/>
              <w:jc w:val="center"/>
              <w:rPr>
                <w:szCs w:val="20"/>
              </w:rPr>
            </w:pPr>
          </w:p>
          <w:p w14:paraId="514EDFB6" w14:textId="17BBC680" w:rsidR="00F97782" w:rsidRPr="00F04A75" w:rsidRDefault="00F97782" w:rsidP="0016658B">
            <w:pPr>
              <w:pStyle w:val="TableText0"/>
              <w:keepNext w:val="0"/>
              <w:widowControl w:val="0"/>
              <w:jc w:val="center"/>
              <w:rPr>
                <w:szCs w:val="20"/>
              </w:rPr>
            </w:pPr>
            <w:proofErr w:type="spellStart"/>
            <w:r w:rsidRPr="00F04A75">
              <w:rPr>
                <w:szCs w:val="20"/>
              </w:rPr>
              <w:t>Carf</w:t>
            </w:r>
            <w:proofErr w:type="spellEnd"/>
            <w:r w:rsidRPr="00F04A75">
              <w:rPr>
                <w:szCs w:val="20"/>
              </w:rPr>
              <w:t>: $</w:t>
            </w:r>
            <w:r w:rsidR="000960C3" w:rsidRPr="000960C3">
              <w:rPr>
                <w:rFonts w:hint="eastAsia"/>
                <w:color w:val="000000"/>
                <w:w w:val="30"/>
                <w:szCs w:val="20"/>
                <w:shd w:val="solid" w:color="000000" w:fill="000000"/>
                <w:fitText w:val="135" w:id="-1506043636"/>
                <w14:textFill>
                  <w14:solidFill>
                    <w14:srgbClr w14:val="000000">
                      <w14:alpha w14:val="100000"/>
                    </w14:srgbClr>
                  </w14:solidFill>
                </w14:textFill>
              </w:rPr>
              <w:t xml:space="preserve">　</w:t>
            </w:r>
            <w:r w:rsidR="000960C3" w:rsidRPr="000960C3">
              <w:rPr>
                <w:color w:val="000000"/>
                <w:w w:val="30"/>
                <w:szCs w:val="20"/>
                <w:shd w:val="solid" w:color="000000" w:fill="000000"/>
                <w:fitText w:val="135" w:id="-1506043636"/>
                <w14:textFill>
                  <w14:solidFill>
                    <w14:srgbClr w14:val="000000">
                      <w14:alpha w14:val="100000"/>
                    </w14:srgbClr>
                  </w14:solidFill>
                </w14:textFill>
              </w:rPr>
              <w:t>|</w:t>
            </w:r>
            <w:r w:rsidR="000960C3" w:rsidRPr="000960C3">
              <w:rPr>
                <w:rFonts w:hint="eastAsia"/>
                <w:color w:val="000000"/>
                <w:spacing w:val="3"/>
                <w:w w:val="30"/>
                <w:szCs w:val="20"/>
                <w:shd w:val="solid" w:color="000000" w:fill="000000"/>
                <w:fitText w:val="135" w:id="-1506043636"/>
                <w14:textFill>
                  <w14:solidFill>
                    <w14:srgbClr w14:val="000000">
                      <w14:alpha w14:val="100000"/>
                    </w14:srgbClr>
                  </w14:solidFill>
                </w14:textFill>
              </w:rPr>
              <w:t xml:space="preserve">　</w:t>
            </w:r>
          </w:p>
          <w:p w14:paraId="59E92AF9" w14:textId="77777777" w:rsidR="00F97782" w:rsidRPr="00F04A75" w:rsidRDefault="00F97782" w:rsidP="0016658B">
            <w:pPr>
              <w:pStyle w:val="TableText0"/>
              <w:jc w:val="center"/>
              <w:rPr>
                <w:szCs w:val="20"/>
              </w:rPr>
            </w:pPr>
            <w:proofErr w:type="spellStart"/>
            <w:r w:rsidRPr="00F04A75">
              <w:rPr>
                <w:szCs w:val="20"/>
              </w:rPr>
              <w:t>Dex</w:t>
            </w:r>
            <w:proofErr w:type="spellEnd"/>
            <w:r w:rsidRPr="00F04A75">
              <w:rPr>
                <w:szCs w:val="20"/>
              </w:rPr>
              <w:t>:</w:t>
            </w:r>
            <w:r w:rsidR="001D4D74" w:rsidRPr="00F04A75">
              <w:rPr>
                <w:szCs w:val="20"/>
              </w:rPr>
              <w:t xml:space="preserve"> </w:t>
            </w:r>
            <w:r w:rsidRPr="00F04A75">
              <w:rPr>
                <w:szCs w:val="20"/>
              </w:rPr>
              <w:t>NA</w:t>
            </w:r>
          </w:p>
        </w:tc>
      </w:tr>
    </w:tbl>
    <w:p w14:paraId="01E9228B" w14:textId="77777777" w:rsidR="00F97782" w:rsidRPr="00F04A75" w:rsidRDefault="00F97782" w:rsidP="0016658B">
      <w:pPr>
        <w:pStyle w:val="TableFigureFooter"/>
        <w:rPr>
          <w:szCs w:val="18"/>
        </w:rPr>
      </w:pPr>
      <w:r w:rsidRPr="00F04A75">
        <w:rPr>
          <w:szCs w:val="18"/>
        </w:rPr>
        <w:t xml:space="preserve">Source: Compiled by the Commentary based on the resubmission </w:t>
      </w:r>
    </w:p>
    <w:p w14:paraId="67DED814" w14:textId="7921BCF4" w:rsidR="00F97782" w:rsidRPr="00F04A75" w:rsidRDefault="00F97782" w:rsidP="0016658B">
      <w:pPr>
        <w:pStyle w:val="TableFigureFooter"/>
        <w:rPr>
          <w:szCs w:val="18"/>
        </w:rPr>
      </w:pPr>
      <w:r w:rsidRPr="00F04A75">
        <w:rPr>
          <w:szCs w:val="18"/>
        </w:rPr>
        <w:t>BIW</w:t>
      </w:r>
      <w:r w:rsidR="00D20DF8" w:rsidRPr="00F04A75">
        <w:rPr>
          <w:szCs w:val="18"/>
        </w:rPr>
        <w:t xml:space="preserve"> </w:t>
      </w:r>
      <w:r w:rsidRPr="00F04A75">
        <w:rPr>
          <w:szCs w:val="18"/>
        </w:rPr>
        <w:t xml:space="preserve">= twice </w:t>
      </w:r>
      <w:r w:rsidR="00B26A7F" w:rsidRPr="00F04A75">
        <w:rPr>
          <w:szCs w:val="18"/>
        </w:rPr>
        <w:t>weekly</w:t>
      </w:r>
      <w:r w:rsidRPr="00F04A75">
        <w:rPr>
          <w:szCs w:val="18"/>
        </w:rPr>
        <w:t xml:space="preserve">; </w:t>
      </w:r>
      <w:proofErr w:type="spellStart"/>
      <w:r w:rsidR="00D20DF8" w:rsidRPr="00F04A75">
        <w:rPr>
          <w:szCs w:val="18"/>
        </w:rPr>
        <w:t>Carf</w:t>
      </w:r>
      <w:proofErr w:type="spellEnd"/>
      <w:r w:rsidR="00D20DF8" w:rsidRPr="00F04A75">
        <w:rPr>
          <w:szCs w:val="18"/>
        </w:rPr>
        <w:t xml:space="preserve"> = carfilzomib; </w:t>
      </w:r>
      <w:r w:rsidRPr="00F04A75">
        <w:rPr>
          <w:szCs w:val="18"/>
        </w:rPr>
        <w:t>Cd</w:t>
      </w:r>
      <w:r w:rsidR="00D20DF8" w:rsidRPr="00F04A75">
        <w:rPr>
          <w:szCs w:val="18"/>
        </w:rPr>
        <w:t xml:space="preserve"> </w:t>
      </w:r>
      <w:r w:rsidRPr="00F04A75">
        <w:rPr>
          <w:szCs w:val="18"/>
        </w:rPr>
        <w:t xml:space="preserve">= carfilzomib and dexamethasone; </w:t>
      </w:r>
      <w:proofErr w:type="spellStart"/>
      <w:r w:rsidRPr="00F04A75">
        <w:rPr>
          <w:szCs w:val="18"/>
        </w:rPr>
        <w:t>CLd</w:t>
      </w:r>
      <w:proofErr w:type="spellEnd"/>
      <w:r w:rsidR="00D20DF8" w:rsidRPr="00F04A75">
        <w:rPr>
          <w:szCs w:val="18"/>
        </w:rPr>
        <w:t xml:space="preserve"> </w:t>
      </w:r>
      <w:r w:rsidRPr="00F04A75">
        <w:rPr>
          <w:szCs w:val="18"/>
        </w:rPr>
        <w:t>=</w:t>
      </w:r>
      <w:r w:rsidR="00D20DF8" w:rsidRPr="00F04A75">
        <w:rPr>
          <w:szCs w:val="18"/>
        </w:rPr>
        <w:t xml:space="preserve"> </w:t>
      </w:r>
      <w:r w:rsidRPr="00F04A75">
        <w:rPr>
          <w:szCs w:val="18"/>
        </w:rPr>
        <w:t>carfilzomib</w:t>
      </w:r>
      <w:r w:rsidR="00D20DF8" w:rsidRPr="00F04A75">
        <w:rPr>
          <w:szCs w:val="18"/>
        </w:rPr>
        <w:t>,</w:t>
      </w:r>
      <w:r w:rsidRPr="00F04A75">
        <w:rPr>
          <w:szCs w:val="18"/>
        </w:rPr>
        <w:t xml:space="preserve"> lenalidomide and dexamethasone CMA</w:t>
      </w:r>
      <w:r w:rsidR="00D20DF8" w:rsidRPr="00F04A75">
        <w:rPr>
          <w:szCs w:val="18"/>
        </w:rPr>
        <w:t xml:space="preserve"> </w:t>
      </w:r>
      <w:r w:rsidRPr="00F04A75">
        <w:rPr>
          <w:szCs w:val="18"/>
        </w:rPr>
        <w:t>=</w:t>
      </w:r>
      <w:r w:rsidR="00D20DF8" w:rsidRPr="00F04A75">
        <w:rPr>
          <w:szCs w:val="18"/>
        </w:rPr>
        <w:t xml:space="preserve"> </w:t>
      </w:r>
      <w:r w:rsidRPr="00F04A75">
        <w:rPr>
          <w:szCs w:val="18"/>
        </w:rPr>
        <w:t xml:space="preserve">cost minimisation </w:t>
      </w:r>
      <w:r w:rsidR="00D20DF8" w:rsidRPr="00F04A75">
        <w:rPr>
          <w:szCs w:val="18"/>
        </w:rPr>
        <w:t>approach</w:t>
      </w:r>
      <w:r w:rsidRPr="00F04A75">
        <w:rPr>
          <w:szCs w:val="18"/>
        </w:rPr>
        <w:t xml:space="preserve">; </w:t>
      </w:r>
      <w:proofErr w:type="spellStart"/>
      <w:r w:rsidRPr="00F04A75">
        <w:rPr>
          <w:szCs w:val="18"/>
        </w:rPr>
        <w:t>Dex</w:t>
      </w:r>
      <w:proofErr w:type="spellEnd"/>
      <w:r w:rsidR="00D20DF8" w:rsidRPr="00F04A75">
        <w:rPr>
          <w:szCs w:val="18"/>
        </w:rPr>
        <w:t xml:space="preserve"> </w:t>
      </w:r>
      <w:r w:rsidRPr="00F04A75">
        <w:rPr>
          <w:szCs w:val="18"/>
        </w:rPr>
        <w:t>= dexamethasone;</w:t>
      </w:r>
      <w:r w:rsidR="00D20DF8" w:rsidRPr="00F04A75">
        <w:rPr>
          <w:szCs w:val="18"/>
        </w:rPr>
        <w:t xml:space="preserve"> IPD = individual patient data; Len = lenalidomide;</w:t>
      </w:r>
      <w:r w:rsidRPr="00F04A75">
        <w:rPr>
          <w:szCs w:val="18"/>
        </w:rPr>
        <w:t xml:space="preserve"> NA</w:t>
      </w:r>
      <w:r w:rsidR="00D20DF8" w:rsidRPr="00F04A75">
        <w:rPr>
          <w:szCs w:val="18"/>
        </w:rPr>
        <w:t xml:space="preserve"> </w:t>
      </w:r>
      <w:r w:rsidRPr="00F04A75">
        <w:rPr>
          <w:szCs w:val="18"/>
        </w:rPr>
        <w:t>= not applied; RDI</w:t>
      </w:r>
      <w:r w:rsidR="00D20DF8" w:rsidRPr="00F04A75">
        <w:rPr>
          <w:szCs w:val="18"/>
        </w:rPr>
        <w:t xml:space="preserve"> </w:t>
      </w:r>
      <w:r w:rsidRPr="00F04A75">
        <w:rPr>
          <w:szCs w:val="18"/>
        </w:rPr>
        <w:t>= relative dose intensity; QW</w:t>
      </w:r>
      <w:r w:rsidR="00D20DF8" w:rsidRPr="00F04A75">
        <w:rPr>
          <w:szCs w:val="18"/>
        </w:rPr>
        <w:t xml:space="preserve"> </w:t>
      </w:r>
      <w:r w:rsidRPr="00F04A75">
        <w:rPr>
          <w:szCs w:val="18"/>
        </w:rPr>
        <w:t>= once weekly</w:t>
      </w:r>
    </w:p>
    <w:p w14:paraId="6B147033" w14:textId="3BA3357F" w:rsidR="00F97782" w:rsidRPr="00F04A75" w:rsidRDefault="00D20DF8" w:rsidP="00D20DF8">
      <w:pPr>
        <w:pStyle w:val="TableFigureFooter"/>
        <w:rPr>
          <w:bCs/>
        </w:rPr>
      </w:pPr>
      <w:r w:rsidRPr="00F04A75">
        <w:rPr>
          <w:bCs/>
        </w:rPr>
        <w:t xml:space="preserve">a. </w:t>
      </w:r>
      <w:r w:rsidR="00F97782" w:rsidRPr="00F04A75">
        <w:rPr>
          <w:bCs/>
        </w:rPr>
        <w:t>mg/infusion in Cycle 1 (Day 1 and 2) based on ASPIRE IPD dat</w:t>
      </w:r>
      <w:r w:rsidR="00D1153D" w:rsidRPr="00F04A75">
        <w:rPr>
          <w:bCs/>
        </w:rPr>
        <w:t>a</w:t>
      </w:r>
      <w:r w:rsidR="00F97782" w:rsidRPr="00F04A75">
        <w:rPr>
          <w:bCs/>
        </w:rPr>
        <w:t xml:space="preserve"> </w:t>
      </w:r>
    </w:p>
    <w:p w14:paraId="0A214BD1" w14:textId="7F48261F" w:rsidR="00F97782" w:rsidRPr="00F04A75" w:rsidRDefault="00D20DF8" w:rsidP="00D20DF8">
      <w:pPr>
        <w:pStyle w:val="TableFigureFooter"/>
        <w:rPr>
          <w:bCs/>
        </w:rPr>
      </w:pPr>
      <w:r w:rsidRPr="00F04A75">
        <w:rPr>
          <w:bCs/>
        </w:rPr>
        <w:t xml:space="preserve">b. </w:t>
      </w:r>
      <w:r w:rsidR="00F97782" w:rsidRPr="00F04A75">
        <w:rPr>
          <w:bCs/>
        </w:rPr>
        <w:t xml:space="preserve">mg/infusion in </w:t>
      </w:r>
      <w:r w:rsidR="00FF5D46" w:rsidRPr="00F04A75">
        <w:rPr>
          <w:bCs/>
        </w:rPr>
        <w:t>from Day 8, Cycle 1</w:t>
      </w:r>
      <w:r w:rsidR="00F97782" w:rsidRPr="00F04A75">
        <w:rPr>
          <w:bCs/>
        </w:rPr>
        <w:t xml:space="preserve"> onwards based on ASPIRE IPD data</w:t>
      </w:r>
    </w:p>
    <w:p w14:paraId="3A664AFF" w14:textId="4AB482E4" w:rsidR="00F97782" w:rsidRPr="00F04A75" w:rsidRDefault="00D20DF8" w:rsidP="00D20DF8">
      <w:pPr>
        <w:pStyle w:val="TableFigureFooter"/>
        <w:rPr>
          <w:bCs/>
        </w:rPr>
      </w:pPr>
      <w:r w:rsidRPr="00F04A75">
        <w:rPr>
          <w:bCs/>
        </w:rPr>
        <w:t xml:space="preserve">c. </w:t>
      </w:r>
      <w:r w:rsidR="00F97782" w:rsidRPr="00F04A75">
        <w:rPr>
          <w:bCs/>
        </w:rPr>
        <w:t>19.73 mg/infusion</w:t>
      </w:r>
    </w:p>
    <w:p w14:paraId="0157E9B7" w14:textId="195DF493" w:rsidR="00F97782" w:rsidRPr="00F04A75" w:rsidRDefault="00D20DF8" w:rsidP="00D20DF8">
      <w:pPr>
        <w:pStyle w:val="TableFigureFooter"/>
        <w:rPr>
          <w:bCs/>
        </w:rPr>
      </w:pPr>
      <w:r w:rsidRPr="00F04A75">
        <w:rPr>
          <w:bCs/>
        </w:rPr>
        <w:t xml:space="preserve">d. </w:t>
      </w:r>
      <w:r w:rsidR="00F97782" w:rsidRPr="00F04A75">
        <w:rPr>
          <w:bCs/>
        </w:rPr>
        <w:t>mg/infusion in Cycle 1 (Day</w:t>
      </w:r>
      <w:r w:rsidRPr="00F04A75">
        <w:rPr>
          <w:bCs/>
        </w:rPr>
        <w:t>s</w:t>
      </w:r>
      <w:r w:rsidR="00F97782" w:rsidRPr="00F04A75">
        <w:rPr>
          <w:bCs/>
        </w:rPr>
        <w:t xml:space="preserve"> 1 and 2) based on ENDEAVOR IPD and ARROW IPD data</w:t>
      </w:r>
    </w:p>
    <w:p w14:paraId="24ADB320" w14:textId="447C6300" w:rsidR="002E4A98" w:rsidRPr="00F04A75" w:rsidRDefault="00D20DF8" w:rsidP="00D20DF8">
      <w:pPr>
        <w:pStyle w:val="TableFigureFooter"/>
        <w:rPr>
          <w:bCs/>
        </w:rPr>
      </w:pPr>
      <w:r w:rsidRPr="00F04A75">
        <w:rPr>
          <w:bCs/>
        </w:rPr>
        <w:t xml:space="preserve">e. </w:t>
      </w:r>
      <w:r w:rsidR="00F97782" w:rsidRPr="00F04A75">
        <w:rPr>
          <w:bCs/>
        </w:rPr>
        <w:t xml:space="preserve">mg/infusion in </w:t>
      </w:r>
      <w:r w:rsidR="00FF5D46" w:rsidRPr="00F04A75">
        <w:rPr>
          <w:bCs/>
        </w:rPr>
        <w:t>Day 8</w:t>
      </w:r>
      <w:r w:rsidRPr="00F04A75">
        <w:rPr>
          <w:bCs/>
        </w:rPr>
        <w:t>,</w:t>
      </w:r>
      <w:r w:rsidR="00FF5D46" w:rsidRPr="00F04A75">
        <w:rPr>
          <w:bCs/>
        </w:rPr>
        <w:t xml:space="preserve"> C</w:t>
      </w:r>
      <w:r w:rsidR="00F97782" w:rsidRPr="00F04A75">
        <w:rPr>
          <w:bCs/>
        </w:rPr>
        <w:t xml:space="preserve">ycle </w:t>
      </w:r>
      <w:r w:rsidR="00FF5D46" w:rsidRPr="00F04A75">
        <w:rPr>
          <w:bCs/>
        </w:rPr>
        <w:t>1</w:t>
      </w:r>
      <w:r w:rsidR="00F97782" w:rsidRPr="00F04A75">
        <w:rPr>
          <w:bCs/>
        </w:rPr>
        <w:t xml:space="preserve"> onwards based on ENDEAVOR IPD and ARROW IPD data</w:t>
      </w:r>
    </w:p>
    <w:p w14:paraId="36BD9B75" w14:textId="58D91013" w:rsidR="00C3127B" w:rsidRPr="00F04A75" w:rsidRDefault="00D20DF8" w:rsidP="00D20DF8">
      <w:pPr>
        <w:pStyle w:val="TableFigureFooter"/>
        <w:rPr>
          <w:bCs/>
        </w:rPr>
      </w:pPr>
      <w:r w:rsidRPr="00F04A75">
        <w:rPr>
          <w:bCs/>
        </w:rPr>
        <w:t xml:space="preserve">f. </w:t>
      </w:r>
      <w:r w:rsidR="00F85C15" w:rsidRPr="00F04A75">
        <w:rPr>
          <w:bCs/>
        </w:rPr>
        <w:t xml:space="preserve">In the </w:t>
      </w:r>
      <w:proofErr w:type="spellStart"/>
      <w:r w:rsidR="00F85C15" w:rsidRPr="00F04A75">
        <w:rPr>
          <w:bCs/>
        </w:rPr>
        <w:t>CLd</w:t>
      </w:r>
      <w:proofErr w:type="spellEnd"/>
      <w:r w:rsidR="00F85C15" w:rsidRPr="00F04A75">
        <w:rPr>
          <w:bCs/>
        </w:rPr>
        <w:t xml:space="preserve"> arm of ASPIRE, carfilzomib was administered for up to a maximum of 18 cycles, after which </w:t>
      </w:r>
      <w:r w:rsidR="008B2596" w:rsidRPr="00F04A75">
        <w:rPr>
          <w:bCs/>
        </w:rPr>
        <w:t>patients</w:t>
      </w:r>
      <w:r w:rsidR="00F85C15" w:rsidRPr="00F04A75">
        <w:rPr>
          <w:bCs/>
        </w:rPr>
        <w:t xml:space="preserve"> </w:t>
      </w:r>
      <w:proofErr w:type="gramStart"/>
      <w:r w:rsidR="00F85C15" w:rsidRPr="00F04A75">
        <w:rPr>
          <w:bCs/>
        </w:rPr>
        <w:t>continued on</w:t>
      </w:r>
      <w:proofErr w:type="gramEnd"/>
      <w:r w:rsidR="00F85C15" w:rsidRPr="00F04A75">
        <w:rPr>
          <w:bCs/>
        </w:rPr>
        <w:t xml:space="preserve"> lenalidomide and dexamethasone until disease progression or unacceptable </w:t>
      </w:r>
      <w:r w:rsidR="00B26A7F" w:rsidRPr="00F04A75">
        <w:rPr>
          <w:bCs/>
        </w:rPr>
        <w:t>toxicity</w:t>
      </w:r>
      <w:r w:rsidR="00F85C15" w:rsidRPr="00F04A75">
        <w:rPr>
          <w:bCs/>
        </w:rPr>
        <w:t>.</w:t>
      </w:r>
    </w:p>
    <w:p w14:paraId="2703A46D" w14:textId="2AE3FAD5" w:rsidR="001341B0" w:rsidRPr="00F04A75" w:rsidRDefault="00D20DF8" w:rsidP="00D20DF8">
      <w:pPr>
        <w:pStyle w:val="TableFigureFooter"/>
        <w:rPr>
          <w:bCs/>
        </w:rPr>
      </w:pPr>
      <w:r w:rsidRPr="00F04A75">
        <w:rPr>
          <w:bCs/>
        </w:rPr>
        <w:t xml:space="preserve">g. </w:t>
      </w:r>
      <w:r w:rsidR="001341B0" w:rsidRPr="00F04A75">
        <w:rPr>
          <w:bCs/>
        </w:rPr>
        <w:t xml:space="preserve">Cost per year is presented for the financial estimates </w:t>
      </w:r>
    </w:p>
    <w:p w14:paraId="2301ABC3" w14:textId="77777777" w:rsidR="00F97782" w:rsidRPr="00F04A75" w:rsidRDefault="00F97782" w:rsidP="0016658B">
      <w:pPr>
        <w:pStyle w:val="4-SubsectionHeading"/>
      </w:pPr>
      <w:bookmarkStart w:id="57" w:name="_Toc90455931"/>
      <w:bookmarkStart w:id="58" w:name="_Toc93412435"/>
      <w:r w:rsidRPr="00F04A75">
        <w:t>Estimated PBS usage &amp; financial implications</w:t>
      </w:r>
      <w:bookmarkEnd w:id="57"/>
      <w:bookmarkEnd w:id="58"/>
    </w:p>
    <w:p w14:paraId="12272851" w14:textId="6684B743" w:rsidR="00F97782" w:rsidRPr="00F04A75" w:rsidRDefault="00F97782" w:rsidP="0016658B">
      <w:pPr>
        <w:pStyle w:val="3-BodyText"/>
        <w:rPr>
          <w:rFonts w:ascii="Arial Narrow" w:hAnsi="Arial Narrow"/>
          <w:sz w:val="20"/>
          <w:szCs w:val="16"/>
        </w:rPr>
      </w:pPr>
      <w:r w:rsidRPr="00F04A75">
        <w:t xml:space="preserve">This resubmission </w:t>
      </w:r>
      <w:r w:rsidR="006F1730" w:rsidRPr="00F04A75">
        <w:t xml:space="preserve">was </w:t>
      </w:r>
      <w:r w:rsidRPr="00F04A75">
        <w:t>not considered by DUSC</w:t>
      </w:r>
      <w:r w:rsidRPr="00F04A75">
        <w:rPr>
          <w:color w:val="0070C0"/>
        </w:rPr>
        <w:t xml:space="preserve">. </w:t>
      </w:r>
    </w:p>
    <w:p w14:paraId="42663D64" w14:textId="35F05167" w:rsidR="001341B0" w:rsidRPr="00F2377B" w:rsidRDefault="00F8391D" w:rsidP="00E3106C">
      <w:pPr>
        <w:pStyle w:val="3-BodyText"/>
        <w:rPr>
          <w:rFonts w:ascii="Arial Narrow" w:hAnsi="Arial Narrow"/>
          <w:sz w:val="20"/>
          <w:szCs w:val="16"/>
        </w:rPr>
      </w:pPr>
      <w:r w:rsidRPr="00F04A75">
        <w:rPr>
          <w:rFonts w:cstheme="minorHAnsi"/>
        </w:rPr>
        <w:t xml:space="preserve">The resubmission also </w:t>
      </w:r>
      <w:r w:rsidR="00796558" w:rsidRPr="00F04A75">
        <w:rPr>
          <w:rFonts w:cstheme="minorHAnsi"/>
        </w:rPr>
        <w:t xml:space="preserve">requested </w:t>
      </w:r>
      <w:r w:rsidRPr="00F04A75">
        <w:rPr>
          <w:rFonts w:cstheme="minorHAnsi"/>
        </w:rPr>
        <w:t>an increase to the RSA expenditure caps to accommodate the treatment regimens that have been cost minimised to Cd (</w:t>
      </w:r>
      <w:proofErr w:type="spellStart"/>
      <w:r w:rsidRPr="00F04A75">
        <w:rPr>
          <w:rFonts w:cstheme="minorHAnsi"/>
        </w:rPr>
        <w:t>PBd</w:t>
      </w:r>
      <w:proofErr w:type="spellEnd"/>
      <w:r w:rsidRPr="00F04A75">
        <w:rPr>
          <w:rFonts w:cstheme="minorHAnsi"/>
        </w:rPr>
        <w:t xml:space="preserve"> and </w:t>
      </w:r>
      <w:proofErr w:type="spellStart"/>
      <w:r w:rsidRPr="00F04A75">
        <w:rPr>
          <w:rFonts w:cstheme="minorHAnsi"/>
        </w:rPr>
        <w:t>ELd</w:t>
      </w:r>
      <w:proofErr w:type="spellEnd"/>
      <w:r w:rsidRPr="00F04A75">
        <w:rPr>
          <w:rFonts w:cstheme="minorHAnsi"/>
        </w:rPr>
        <w:t xml:space="preserve">) and recommended by the PBAC to join the Cd </w:t>
      </w:r>
      <w:r w:rsidRPr="00F2377B">
        <w:rPr>
          <w:rFonts w:cstheme="minorHAnsi"/>
        </w:rPr>
        <w:t xml:space="preserve">RSA (see </w:t>
      </w:r>
      <w:r w:rsidR="005F3670" w:rsidRPr="00F2377B">
        <w:rPr>
          <w:rFonts w:cstheme="minorHAnsi"/>
        </w:rPr>
        <w:t>paragraphs 6.</w:t>
      </w:r>
      <w:r w:rsidR="00B26A7F" w:rsidRPr="00F2377B">
        <w:rPr>
          <w:rFonts w:cstheme="minorHAnsi"/>
        </w:rPr>
        <w:t>8</w:t>
      </w:r>
      <w:r w:rsidR="00F2377B" w:rsidRPr="00F2377B">
        <w:rPr>
          <w:rFonts w:cstheme="minorHAnsi"/>
        </w:rPr>
        <w:t>4</w:t>
      </w:r>
      <w:r w:rsidR="005F3670" w:rsidRPr="00F2377B">
        <w:rPr>
          <w:rFonts w:cstheme="minorHAnsi"/>
        </w:rPr>
        <w:t xml:space="preserve"> to 6.</w:t>
      </w:r>
      <w:r w:rsidR="00B26A7F" w:rsidRPr="00F2377B">
        <w:rPr>
          <w:rFonts w:cstheme="minorHAnsi"/>
        </w:rPr>
        <w:t>8</w:t>
      </w:r>
      <w:r w:rsidR="00F2377B" w:rsidRPr="00F2377B">
        <w:rPr>
          <w:rFonts w:cstheme="minorHAnsi"/>
        </w:rPr>
        <w:t>6</w:t>
      </w:r>
      <w:r w:rsidRPr="00F2377B">
        <w:rPr>
          <w:rFonts w:cstheme="minorHAnsi"/>
        </w:rPr>
        <w:t xml:space="preserve">). </w:t>
      </w:r>
    </w:p>
    <w:p w14:paraId="0342620D" w14:textId="44711CAF" w:rsidR="00F97782" w:rsidRPr="00F04A75" w:rsidRDefault="00F8391D" w:rsidP="00E3106C">
      <w:pPr>
        <w:pStyle w:val="3-BodyText"/>
        <w:rPr>
          <w:rFonts w:ascii="Arial Narrow" w:hAnsi="Arial Narrow"/>
          <w:sz w:val="20"/>
          <w:szCs w:val="16"/>
        </w:rPr>
      </w:pPr>
      <w:r w:rsidRPr="00F04A75">
        <w:t xml:space="preserve">The resubmission presented four scenarios for the financial estimates which included </w:t>
      </w:r>
      <w:proofErr w:type="spellStart"/>
      <w:r w:rsidRPr="00F04A75">
        <w:t>PBd</w:t>
      </w:r>
      <w:proofErr w:type="spellEnd"/>
      <w:r w:rsidRPr="00F04A75">
        <w:t xml:space="preserve">, </w:t>
      </w:r>
      <w:proofErr w:type="spellStart"/>
      <w:r w:rsidRPr="00F04A75">
        <w:t>ELd</w:t>
      </w:r>
      <w:proofErr w:type="spellEnd"/>
      <w:r w:rsidRPr="00F04A75">
        <w:t xml:space="preserve"> and </w:t>
      </w:r>
      <w:proofErr w:type="spellStart"/>
      <w:r w:rsidRPr="00F04A75">
        <w:t>CLd</w:t>
      </w:r>
      <w:proofErr w:type="spellEnd"/>
      <w:r w:rsidR="00F97782" w:rsidRPr="00F04A75">
        <w:t xml:space="preserve">: </w:t>
      </w:r>
    </w:p>
    <w:p w14:paraId="24B85029" w14:textId="77777777" w:rsidR="00F97782" w:rsidRPr="00F04A75" w:rsidRDefault="00F97782" w:rsidP="009A5B4B">
      <w:pPr>
        <w:pStyle w:val="3-BodyText"/>
        <w:numPr>
          <w:ilvl w:val="0"/>
          <w:numId w:val="17"/>
        </w:numPr>
        <w:ind w:left="1077" w:hanging="357"/>
      </w:pPr>
      <w:r w:rsidRPr="00F04A75">
        <w:t xml:space="preserve">Cd + </w:t>
      </w:r>
      <w:proofErr w:type="spellStart"/>
      <w:r w:rsidRPr="00F04A75">
        <w:t>PBd</w:t>
      </w:r>
      <w:proofErr w:type="spellEnd"/>
      <w:r w:rsidRPr="00F04A75">
        <w:t xml:space="preserve"> (current scenario</w:t>
      </w:r>
      <w:proofErr w:type="gramStart"/>
      <w:r w:rsidRPr="00F04A75">
        <w:t>);</w:t>
      </w:r>
      <w:proofErr w:type="gramEnd"/>
    </w:p>
    <w:p w14:paraId="4DE7FAA8" w14:textId="415AA340" w:rsidR="00F97782" w:rsidRPr="00F04A75" w:rsidRDefault="00F97782" w:rsidP="009A5B4B">
      <w:pPr>
        <w:pStyle w:val="3-BodyText"/>
        <w:numPr>
          <w:ilvl w:val="0"/>
          <w:numId w:val="17"/>
        </w:numPr>
        <w:ind w:left="1077" w:hanging="357"/>
      </w:pPr>
      <w:r w:rsidRPr="00F04A75">
        <w:t xml:space="preserve">Cd + </w:t>
      </w:r>
      <w:proofErr w:type="spellStart"/>
      <w:r w:rsidRPr="00F04A75">
        <w:t>PBd</w:t>
      </w:r>
      <w:proofErr w:type="spellEnd"/>
      <w:r w:rsidRPr="00F04A75">
        <w:t xml:space="preserve"> + </w:t>
      </w:r>
      <w:proofErr w:type="spellStart"/>
      <w:r w:rsidRPr="00F04A75">
        <w:t>ELd</w:t>
      </w:r>
      <w:proofErr w:type="spellEnd"/>
      <w:r w:rsidRPr="00F04A75">
        <w:t xml:space="preserve"> (</w:t>
      </w:r>
      <w:proofErr w:type="spellStart"/>
      <w:r w:rsidRPr="00F04A75">
        <w:t>ELd</w:t>
      </w:r>
      <w:proofErr w:type="spellEnd"/>
      <w:r w:rsidRPr="00F04A75">
        <w:t xml:space="preserve"> </w:t>
      </w:r>
      <w:r w:rsidR="00F50A78" w:rsidRPr="00F04A75">
        <w:t xml:space="preserve">is anticipated </w:t>
      </w:r>
      <w:r w:rsidRPr="00F04A75">
        <w:t>to join the current carfilzomib expenditure cap</w:t>
      </w:r>
      <w:r w:rsidR="00F50A78" w:rsidRPr="00F04A75">
        <w:t xml:space="preserve"> as it received a p</w:t>
      </w:r>
      <w:r w:rsidRPr="00F04A75">
        <w:t>ositive PBAC recommendation</w:t>
      </w:r>
      <w:r w:rsidR="001D4D74" w:rsidRPr="00F04A75">
        <w:t xml:space="preserve"> at the </w:t>
      </w:r>
      <w:r w:rsidRPr="00F04A75">
        <w:t>July 2021 PBAC meeting. The PBAC</w:t>
      </w:r>
      <w:r w:rsidR="003B6F72">
        <w:t xml:space="preserve"> previously</w:t>
      </w:r>
      <w:r w:rsidRPr="00F04A75">
        <w:t xml:space="preserve"> stated that it would be appropriate to include </w:t>
      </w:r>
      <w:proofErr w:type="spellStart"/>
      <w:r w:rsidRPr="00F04A75">
        <w:t>ELd</w:t>
      </w:r>
      <w:proofErr w:type="spellEnd"/>
      <w:r w:rsidRPr="00F04A75">
        <w:t xml:space="preserve"> in the RSA for carfilzomib (paragraph 6.11, </w:t>
      </w:r>
      <w:proofErr w:type="spellStart"/>
      <w:r w:rsidRPr="00F04A75">
        <w:t>elotuzumab</w:t>
      </w:r>
      <w:proofErr w:type="spellEnd"/>
      <w:r w:rsidRPr="00F04A75">
        <w:t xml:space="preserve"> PSD, July 2021</w:t>
      </w:r>
      <w:proofErr w:type="gramStart"/>
      <w:r w:rsidR="00F50A78" w:rsidRPr="00F04A75">
        <w:t>)</w:t>
      </w:r>
      <w:r w:rsidRPr="00F04A75">
        <w:t>;</w:t>
      </w:r>
      <w:proofErr w:type="gramEnd"/>
      <w:r w:rsidRPr="00F04A75">
        <w:t xml:space="preserve"> </w:t>
      </w:r>
    </w:p>
    <w:p w14:paraId="5787CDA1" w14:textId="77777777" w:rsidR="00F97782" w:rsidRPr="00F04A75" w:rsidRDefault="00F97782" w:rsidP="009A5B4B">
      <w:pPr>
        <w:pStyle w:val="3-BodyText"/>
        <w:numPr>
          <w:ilvl w:val="0"/>
          <w:numId w:val="17"/>
        </w:numPr>
        <w:ind w:left="1077" w:hanging="357"/>
      </w:pPr>
      <w:r w:rsidRPr="00F04A75">
        <w:t xml:space="preserve">Cd + </w:t>
      </w:r>
      <w:proofErr w:type="spellStart"/>
      <w:r w:rsidRPr="00F04A75">
        <w:t>PBd</w:t>
      </w:r>
      <w:proofErr w:type="spellEnd"/>
      <w:r w:rsidRPr="00F04A75">
        <w:t xml:space="preserve"> + </w:t>
      </w:r>
      <w:proofErr w:type="spellStart"/>
      <w:r w:rsidRPr="00F04A75">
        <w:t>CLd</w:t>
      </w:r>
      <w:proofErr w:type="spellEnd"/>
      <w:r w:rsidRPr="00F04A75">
        <w:t xml:space="preserve"> (scenario reflecting the </w:t>
      </w:r>
      <w:r w:rsidR="001D4D74" w:rsidRPr="00F04A75">
        <w:t xml:space="preserve">current scenario plus the </w:t>
      </w:r>
      <w:r w:rsidRPr="00F04A75">
        <w:t>requested</w:t>
      </w:r>
      <w:r w:rsidR="001D4D74" w:rsidRPr="00F04A75">
        <w:t xml:space="preserve"> </w:t>
      </w:r>
      <w:proofErr w:type="spellStart"/>
      <w:r w:rsidR="001D4D74" w:rsidRPr="00F04A75">
        <w:t>CLd</w:t>
      </w:r>
      <w:proofErr w:type="spellEnd"/>
      <w:r w:rsidRPr="00F04A75">
        <w:t xml:space="preserve"> listing</w:t>
      </w:r>
      <w:proofErr w:type="gramStart"/>
      <w:r w:rsidRPr="00F04A75">
        <w:t>);</w:t>
      </w:r>
      <w:proofErr w:type="gramEnd"/>
    </w:p>
    <w:p w14:paraId="0FE88816" w14:textId="393F1474" w:rsidR="00F97782" w:rsidRPr="00F04A75" w:rsidRDefault="00F97782" w:rsidP="009A5B4B">
      <w:pPr>
        <w:pStyle w:val="3-BodyText"/>
        <w:numPr>
          <w:ilvl w:val="0"/>
          <w:numId w:val="17"/>
        </w:numPr>
        <w:ind w:left="1077" w:hanging="357"/>
        <w:rPr>
          <w:rFonts w:cstheme="minorHAnsi"/>
        </w:rPr>
      </w:pPr>
      <w:r w:rsidRPr="00F04A75">
        <w:t xml:space="preserve">Cd + </w:t>
      </w:r>
      <w:proofErr w:type="spellStart"/>
      <w:r w:rsidRPr="00F04A75">
        <w:t>PBd</w:t>
      </w:r>
      <w:proofErr w:type="spellEnd"/>
      <w:r w:rsidRPr="00F04A75">
        <w:t xml:space="preserve"> + </w:t>
      </w:r>
      <w:proofErr w:type="spellStart"/>
      <w:r w:rsidRPr="00F04A75">
        <w:t>ELd</w:t>
      </w:r>
      <w:proofErr w:type="spellEnd"/>
      <w:r w:rsidRPr="00F04A75">
        <w:t xml:space="preserve"> + </w:t>
      </w:r>
      <w:proofErr w:type="spellStart"/>
      <w:r w:rsidRPr="00F04A75">
        <w:t>CLd</w:t>
      </w:r>
      <w:proofErr w:type="spellEnd"/>
      <w:r w:rsidRPr="00F04A75">
        <w:t xml:space="preserve"> (base case presented by the resubmission</w:t>
      </w:r>
      <w:r w:rsidR="00E150A6">
        <w:t>)</w:t>
      </w:r>
      <w:r w:rsidRPr="00F04A75">
        <w:rPr>
          <w:rFonts w:cstheme="minorHAnsi"/>
        </w:rPr>
        <w:t>.</w:t>
      </w:r>
    </w:p>
    <w:p w14:paraId="66B96B5D" w14:textId="5ABBE2BF" w:rsidR="00F97782" w:rsidRPr="00F04A75" w:rsidRDefault="00F97782" w:rsidP="0016658B">
      <w:pPr>
        <w:pStyle w:val="3-BodyText"/>
        <w:rPr>
          <w:rFonts w:ascii="Arial Narrow" w:hAnsi="Arial Narrow"/>
          <w:sz w:val="20"/>
          <w:szCs w:val="16"/>
        </w:rPr>
      </w:pPr>
      <w:r w:rsidRPr="00F04A75">
        <w:rPr>
          <w:rFonts w:cstheme="minorHAnsi"/>
          <w:color w:val="000000" w:themeColor="text1"/>
        </w:rPr>
        <w:t>The resubmission presented a mixed model approach combining epidemiology and</w:t>
      </w:r>
      <w:r w:rsidRPr="00F04A75">
        <w:rPr>
          <w:color w:val="000000" w:themeColor="text1"/>
        </w:rPr>
        <w:t xml:space="preserve"> market share data to estimate the financial implications of the proposed listing. Th</w:t>
      </w:r>
      <w:r w:rsidR="001341B0" w:rsidRPr="00F04A75">
        <w:rPr>
          <w:color w:val="000000" w:themeColor="text1"/>
        </w:rPr>
        <w:t>e</w:t>
      </w:r>
      <w:r w:rsidRPr="00F04A75">
        <w:rPr>
          <w:color w:val="000000" w:themeColor="text1"/>
        </w:rPr>
        <w:t xml:space="preserve"> </w:t>
      </w:r>
      <w:r w:rsidR="00EF0090" w:rsidRPr="00F04A75">
        <w:rPr>
          <w:color w:val="000000" w:themeColor="text1"/>
        </w:rPr>
        <w:t xml:space="preserve">evaluation considered this </w:t>
      </w:r>
      <w:r w:rsidR="00F8391D" w:rsidRPr="00F04A75">
        <w:rPr>
          <w:color w:val="000000" w:themeColor="text1"/>
        </w:rPr>
        <w:t xml:space="preserve">approach </w:t>
      </w:r>
      <w:r w:rsidRPr="00F04A75">
        <w:rPr>
          <w:color w:val="000000" w:themeColor="text1"/>
        </w:rPr>
        <w:t xml:space="preserve">was reasonable given that the resubmission </w:t>
      </w:r>
      <w:r w:rsidR="002A4E97" w:rsidRPr="00F04A75">
        <w:rPr>
          <w:color w:val="000000" w:themeColor="text1"/>
        </w:rPr>
        <w:t xml:space="preserve">was requesting a change to the current RSA caps, although a market share approach would </w:t>
      </w:r>
      <w:r w:rsidR="00EF0090" w:rsidRPr="00F04A75">
        <w:rPr>
          <w:color w:val="000000" w:themeColor="text1"/>
        </w:rPr>
        <w:t xml:space="preserve">usually </w:t>
      </w:r>
      <w:r w:rsidR="002A4E97" w:rsidRPr="00F04A75">
        <w:rPr>
          <w:color w:val="000000" w:themeColor="text1"/>
        </w:rPr>
        <w:t xml:space="preserve">be more appropriate </w:t>
      </w:r>
      <w:r w:rsidR="00EF0090" w:rsidRPr="00F04A75">
        <w:rPr>
          <w:color w:val="000000" w:themeColor="text1"/>
        </w:rPr>
        <w:t xml:space="preserve">for submissions presenting </w:t>
      </w:r>
      <w:r w:rsidR="002A4E97" w:rsidRPr="00F04A75">
        <w:rPr>
          <w:color w:val="000000" w:themeColor="text1"/>
        </w:rPr>
        <w:t>a CMA.</w:t>
      </w:r>
      <w:r w:rsidR="003430B0">
        <w:rPr>
          <w:color w:val="000000" w:themeColor="text1"/>
        </w:rPr>
        <w:t xml:space="preserve"> </w:t>
      </w:r>
      <w:r w:rsidR="003430B0" w:rsidDel="00913904">
        <w:rPr>
          <w:color w:val="000000" w:themeColor="text1"/>
        </w:rPr>
        <w:t xml:space="preserve">The PBAC noted the </w:t>
      </w:r>
      <w:r w:rsidR="008E7DF0" w:rsidDel="00913904">
        <w:rPr>
          <w:color w:val="000000" w:themeColor="text1"/>
        </w:rPr>
        <w:t xml:space="preserve">net </w:t>
      </w:r>
      <w:r w:rsidR="003430B0" w:rsidDel="00913904">
        <w:rPr>
          <w:color w:val="000000" w:themeColor="text1"/>
        </w:rPr>
        <w:t xml:space="preserve">costs associated with listing </w:t>
      </w:r>
      <w:proofErr w:type="spellStart"/>
      <w:r w:rsidR="003430B0" w:rsidDel="00913904">
        <w:rPr>
          <w:color w:val="000000" w:themeColor="text1"/>
        </w:rPr>
        <w:t>CLd</w:t>
      </w:r>
      <w:proofErr w:type="spellEnd"/>
      <w:r w:rsidR="003430B0" w:rsidDel="00913904">
        <w:rPr>
          <w:color w:val="000000" w:themeColor="text1"/>
        </w:rPr>
        <w:t xml:space="preserve"> were not separately provided</w:t>
      </w:r>
      <w:r w:rsidR="0033327D" w:rsidDel="00913904">
        <w:rPr>
          <w:color w:val="000000" w:themeColor="text1"/>
        </w:rPr>
        <w:t xml:space="preserve"> in the resubmission</w:t>
      </w:r>
      <w:r w:rsidR="003430B0" w:rsidDel="00913904">
        <w:rPr>
          <w:color w:val="000000" w:themeColor="text1"/>
        </w:rPr>
        <w:t>.</w:t>
      </w:r>
      <w:r w:rsidR="00F262BA">
        <w:rPr>
          <w:color w:val="000000" w:themeColor="text1"/>
        </w:rPr>
        <w:t xml:space="preserve"> </w:t>
      </w:r>
    </w:p>
    <w:p w14:paraId="7258B18A" w14:textId="5A0389EC" w:rsidR="00F97782" w:rsidRPr="00F04A75" w:rsidRDefault="00F97782" w:rsidP="0016658B">
      <w:pPr>
        <w:pStyle w:val="3-BodyText"/>
        <w:rPr>
          <w:rFonts w:ascii="Arial Narrow" w:hAnsi="Arial Narrow"/>
          <w:color w:val="000000" w:themeColor="text1"/>
          <w:sz w:val="20"/>
          <w:szCs w:val="16"/>
        </w:rPr>
      </w:pPr>
      <w:r w:rsidRPr="00F04A75">
        <w:rPr>
          <w:color w:val="000000" w:themeColor="text1"/>
        </w:rPr>
        <w:t xml:space="preserve">The estimated </w:t>
      </w:r>
      <w:proofErr w:type="spellStart"/>
      <w:r w:rsidRPr="00F04A75">
        <w:rPr>
          <w:color w:val="000000" w:themeColor="text1"/>
        </w:rPr>
        <w:t>CLd</w:t>
      </w:r>
      <w:proofErr w:type="spellEnd"/>
      <w:r w:rsidRPr="00F04A75">
        <w:rPr>
          <w:color w:val="000000" w:themeColor="text1"/>
        </w:rPr>
        <w:t xml:space="preserve"> eligible population was based on historical prevalence data (100% PBS data supplied by </w:t>
      </w:r>
      <w:r w:rsidR="00CF1B8B" w:rsidRPr="00F04A75">
        <w:rPr>
          <w:color w:val="000000" w:themeColor="text1"/>
        </w:rPr>
        <w:t xml:space="preserve">the </w:t>
      </w:r>
      <w:r w:rsidRPr="00F04A75">
        <w:rPr>
          <w:color w:val="000000" w:themeColor="text1"/>
        </w:rPr>
        <w:t>DUSC</w:t>
      </w:r>
      <w:r w:rsidR="00CF1B8B" w:rsidRPr="00F04A75">
        <w:rPr>
          <w:color w:val="000000" w:themeColor="text1"/>
        </w:rPr>
        <w:t xml:space="preserve"> Secretariat from</w:t>
      </w:r>
      <w:r w:rsidRPr="00F04A75">
        <w:rPr>
          <w:color w:val="000000" w:themeColor="text1"/>
        </w:rPr>
        <w:t xml:space="preserve"> 2016-2021) of carfilzomib. </w:t>
      </w:r>
    </w:p>
    <w:p w14:paraId="4F9FE468" w14:textId="36534B8A" w:rsidR="00F97782" w:rsidRPr="00F04A75" w:rsidRDefault="00F97782" w:rsidP="0016658B">
      <w:pPr>
        <w:pStyle w:val="3-BodyText"/>
        <w:rPr>
          <w:rFonts w:ascii="Arial Narrow" w:hAnsi="Arial Narrow"/>
          <w:color w:val="000000" w:themeColor="text1"/>
          <w:sz w:val="20"/>
          <w:szCs w:val="16"/>
        </w:rPr>
      </w:pPr>
      <w:r w:rsidRPr="00F04A75">
        <w:rPr>
          <w:color w:val="000000" w:themeColor="text1"/>
        </w:rPr>
        <w:t xml:space="preserve">The estimated treatment durations of </w:t>
      </w:r>
      <w:proofErr w:type="spellStart"/>
      <w:r w:rsidRPr="00F04A75">
        <w:rPr>
          <w:color w:val="000000" w:themeColor="text1"/>
        </w:rPr>
        <w:t>CLd</w:t>
      </w:r>
      <w:proofErr w:type="spellEnd"/>
      <w:r w:rsidRPr="00F04A75">
        <w:rPr>
          <w:color w:val="000000" w:themeColor="text1"/>
        </w:rPr>
        <w:t xml:space="preserve"> and Cd were assumed to be equal and were based on the mean number of Cd scripts utilised in</w:t>
      </w:r>
      <w:r w:rsidR="003A2A7E" w:rsidRPr="00F04A75">
        <w:rPr>
          <w:color w:val="000000" w:themeColor="text1"/>
        </w:rPr>
        <w:t xml:space="preserve"> the</w:t>
      </w:r>
      <w:r w:rsidRPr="00F04A75">
        <w:rPr>
          <w:color w:val="000000" w:themeColor="text1"/>
        </w:rPr>
        <w:t xml:space="preserve"> period between 2018-2020 (DUSC </w:t>
      </w:r>
      <w:r w:rsidR="009F5C40">
        <w:rPr>
          <w:color w:val="000000" w:themeColor="text1"/>
        </w:rPr>
        <w:t xml:space="preserve">Secretariat </w:t>
      </w:r>
      <w:r w:rsidRPr="00F04A75">
        <w:rPr>
          <w:color w:val="000000" w:themeColor="text1"/>
        </w:rPr>
        <w:t xml:space="preserve">data). </w:t>
      </w:r>
      <w:r w:rsidR="008C14BC" w:rsidRPr="00F04A75">
        <w:rPr>
          <w:color w:val="000000" w:themeColor="text1"/>
        </w:rPr>
        <w:t>T</w:t>
      </w:r>
      <w:r w:rsidRPr="00F04A75">
        <w:rPr>
          <w:color w:val="000000" w:themeColor="text1"/>
        </w:rPr>
        <w:t>he mean number of scrip</w:t>
      </w:r>
      <w:r w:rsidR="0003269C" w:rsidRPr="00F04A75">
        <w:rPr>
          <w:color w:val="000000" w:themeColor="text1"/>
        </w:rPr>
        <w:t>t</w:t>
      </w:r>
      <w:r w:rsidRPr="00F04A75">
        <w:rPr>
          <w:color w:val="000000" w:themeColor="text1"/>
        </w:rPr>
        <w:t>s derived from 100% PBS utilisation data was based on Cd BIW administration only. However, the resubmission adjusted the financial estimates and the CMA to the proportion of Cd QW (55%) and Cd BIW (45%).</w:t>
      </w:r>
      <w:r w:rsidRPr="00F04A75">
        <w:t xml:space="preserve"> </w:t>
      </w:r>
      <w:r w:rsidRPr="00F04A75">
        <w:rPr>
          <w:color w:val="000000" w:themeColor="text1"/>
        </w:rPr>
        <w:t xml:space="preserve">The </w:t>
      </w:r>
      <w:proofErr w:type="spellStart"/>
      <w:r w:rsidRPr="00F04A75">
        <w:rPr>
          <w:color w:val="000000" w:themeColor="text1"/>
        </w:rPr>
        <w:t>CLd</w:t>
      </w:r>
      <w:proofErr w:type="spellEnd"/>
      <w:r w:rsidRPr="00F04A75">
        <w:rPr>
          <w:color w:val="000000" w:themeColor="text1"/>
        </w:rPr>
        <w:t xml:space="preserve"> regimen is currently only available BIW</w:t>
      </w:r>
      <w:r w:rsidR="003A2A7E" w:rsidRPr="00F04A75">
        <w:rPr>
          <w:color w:val="000000" w:themeColor="text1"/>
        </w:rPr>
        <w:t xml:space="preserve"> </w:t>
      </w:r>
      <w:r w:rsidR="00F8391D" w:rsidRPr="00F04A75">
        <w:rPr>
          <w:color w:val="000000" w:themeColor="text1"/>
        </w:rPr>
        <w:t>(</w:t>
      </w:r>
      <w:r w:rsidRPr="00F04A75">
        <w:rPr>
          <w:color w:val="000000" w:themeColor="text1"/>
        </w:rPr>
        <w:t xml:space="preserve">a QW </w:t>
      </w:r>
      <w:proofErr w:type="spellStart"/>
      <w:r w:rsidRPr="00F04A75">
        <w:rPr>
          <w:color w:val="000000" w:themeColor="text1"/>
        </w:rPr>
        <w:t>CLd</w:t>
      </w:r>
      <w:proofErr w:type="spellEnd"/>
      <w:r w:rsidRPr="00F04A75">
        <w:rPr>
          <w:color w:val="000000" w:themeColor="text1"/>
        </w:rPr>
        <w:t xml:space="preserve"> regimen is being evaluated in the ARROW2 clinical study due for completion in 2023 (NCT03859427)</w:t>
      </w:r>
      <w:r w:rsidR="00F8391D" w:rsidRPr="00F04A75">
        <w:rPr>
          <w:color w:val="000000" w:themeColor="text1"/>
        </w:rPr>
        <w:t>)</w:t>
      </w:r>
      <w:r w:rsidRPr="00F04A75">
        <w:rPr>
          <w:color w:val="000000" w:themeColor="text1"/>
        </w:rPr>
        <w:t xml:space="preserve">. The </w:t>
      </w:r>
      <w:proofErr w:type="spellStart"/>
      <w:r w:rsidRPr="00F04A75">
        <w:rPr>
          <w:color w:val="000000" w:themeColor="text1"/>
        </w:rPr>
        <w:t>equi</w:t>
      </w:r>
      <w:proofErr w:type="spellEnd"/>
      <w:r w:rsidRPr="00F04A75">
        <w:rPr>
          <w:color w:val="000000" w:themeColor="text1"/>
        </w:rPr>
        <w:t xml:space="preserve">-effective doses of </w:t>
      </w:r>
      <w:proofErr w:type="spellStart"/>
      <w:r w:rsidRPr="00F04A75">
        <w:rPr>
          <w:color w:val="000000" w:themeColor="text1"/>
        </w:rPr>
        <w:t>CLd</w:t>
      </w:r>
      <w:proofErr w:type="spellEnd"/>
      <w:r w:rsidRPr="00F04A75">
        <w:rPr>
          <w:color w:val="000000" w:themeColor="text1"/>
        </w:rPr>
        <w:t xml:space="preserve"> and Cd were based on ASPIRE, ARROW and ENDEAVOR </w:t>
      </w:r>
      <w:r w:rsidR="00157DB2">
        <w:rPr>
          <w:color w:val="000000" w:themeColor="text1"/>
        </w:rPr>
        <w:t xml:space="preserve">as </w:t>
      </w:r>
      <w:r w:rsidRPr="00F04A75">
        <w:rPr>
          <w:color w:val="000000" w:themeColor="text1"/>
        </w:rPr>
        <w:t xml:space="preserve">presented in the CMA. </w:t>
      </w:r>
      <w:r w:rsidR="0092079C">
        <w:rPr>
          <w:color w:val="000000" w:themeColor="text1"/>
        </w:rPr>
        <w:t>T</w:t>
      </w:r>
      <w:r w:rsidRPr="00F04A75">
        <w:rPr>
          <w:color w:val="000000" w:themeColor="text1"/>
        </w:rPr>
        <w:t>he treatment duration applied in the financial estimates (4.12 cycles</w:t>
      </w:r>
      <w:r w:rsidR="001B66D9" w:rsidRPr="00F04A75">
        <w:rPr>
          <w:color w:val="000000" w:themeColor="text1"/>
        </w:rPr>
        <w:t xml:space="preserve"> per </w:t>
      </w:r>
      <w:r w:rsidR="00454FDE" w:rsidRPr="00F04A75">
        <w:rPr>
          <w:color w:val="000000" w:themeColor="text1"/>
        </w:rPr>
        <w:t xml:space="preserve">patient per </w:t>
      </w:r>
      <w:r w:rsidR="001B66D9" w:rsidRPr="00F04A75">
        <w:rPr>
          <w:color w:val="000000" w:themeColor="text1"/>
        </w:rPr>
        <w:t>year</w:t>
      </w:r>
      <w:r w:rsidRPr="00F04A75">
        <w:rPr>
          <w:color w:val="000000" w:themeColor="text1"/>
        </w:rPr>
        <w:t xml:space="preserve">) </w:t>
      </w:r>
      <w:r w:rsidR="0092079C">
        <w:rPr>
          <w:color w:val="000000" w:themeColor="text1"/>
        </w:rPr>
        <w:t xml:space="preserve">could not be easily compared </w:t>
      </w:r>
      <w:r w:rsidR="00454FDE" w:rsidRPr="00F04A75">
        <w:rPr>
          <w:color w:val="000000" w:themeColor="text1"/>
        </w:rPr>
        <w:t xml:space="preserve">to </w:t>
      </w:r>
      <w:r w:rsidRPr="00F04A75">
        <w:rPr>
          <w:color w:val="000000" w:themeColor="text1"/>
        </w:rPr>
        <w:t xml:space="preserve">the </w:t>
      </w:r>
      <w:r w:rsidR="00097DB2" w:rsidRPr="00F04A75">
        <w:rPr>
          <w:color w:val="000000" w:themeColor="text1"/>
        </w:rPr>
        <w:t>duration</w:t>
      </w:r>
      <w:r w:rsidRPr="00F04A75">
        <w:rPr>
          <w:color w:val="000000" w:themeColor="text1"/>
        </w:rPr>
        <w:t xml:space="preserve"> applied in the CMA (</w:t>
      </w:r>
      <w:r w:rsidR="0092079C">
        <w:rPr>
          <w:color w:val="000000" w:themeColor="text1"/>
        </w:rPr>
        <w:t xml:space="preserve">total of </w:t>
      </w:r>
      <w:r w:rsidRPr="00F04A75">
        <w:rPr>
          <w:color w:val="000000" w:themeColor="text1"/>
        </w:rPr>
        <w:t xml:space="preserve">15 cycles). </w:t>
      </w:r>
    </w:p>
    <w:p w14:paraId="440A4B90" w14:textId="4D86E885" w:rsidR="00F44EC8" w:rsidRPr="00F04A75" w:rsidRDefault="00F31584" w:rsidP="0016658B">
      <w:pPr>
        <w:pStyle w:val="3-BodyText"/>
        <w:rPr>
          <w:rFonts w:ascii="Arial Narrow" w:hAnsi="Arial Narrow"/>
          <w:color w:val="000000" w:themeColor="text1"/>
          <w:sz w:val="20"/>
          <w:szCs w:val="16"/>
        </w:rPr>
      </w:pPr>
      <w:r w:rsidRPr="00F04A75">
        <w:rPr>
          <w:color w:val="000000" w:themeColor="text1"/>
        </w:rPr>
        <w:t xml:space="preserve">The </w:t>
      </w:r>
      <w:r w:rsidR="00172D73" w:rsidRPr="00F04A75">
        <w:rPr>
          <w:color w:val="000000" w:themeColor="text1"/>
        </w:rPr>
        <w:t xml:space="preserve">estimated market share of </w:t>
      </w:r>
      <w:proofErr w:type="spellStart"/>
      <w:r w:rsidR="00172D73" w:rsidRPr="00F04A75">
        <w:rPr>
          <w:color w:val="000000" w:themeColor="text1"/>
        </w:rPr>
        <w:t>CLd</w:t>
      </w:r>
      <w:proofErr w:type="spellEnd"/>
      <w:r w:rsidR="00172D73" w:rsidRPr="00F04A75">
        <w:rPr>
          <w:color w:val="000000" w:themeColor="text1"/>
        </w:rPr>
        <w:t xml:space="preserve"> </w:t>
      </w:r>
      <w:r w:rsidR="00333283" w:rsidRPr="00F04A75">
        <w:rPr>
          <w:color w:val="000000" w:themeColor="text1"/>
        </w:rPr>
        <w:t xml:space="preserve">was </w:t>
      </w:r>
      <w:r w:rsidR="00172D73" w:rsidRPr="00F04A75">
        <w:rPr>
          <w:color w:val="000000" w:themeColor="text1"/>
        </w:rPr>
        <w:t xml:space="preserve">adjusted to </w:t>
      </w:r>
      <w:r w:rsidR="00097DB2" w:rsidRPr="00F04A75">
        <w:rPr>
          <w:color w:val="000000" w:themeColor="text1"/>
        </w:rPr>
        <w:t xml:space="preserve">reflect </w:t>
      </w:r>
      <w:r w:rsidR="00333283" w:rsidRPr="00F04A75">
        <w:rPr>
          <w:color w:val="000000" w:themeColor="text1"/>
        </w:rPr>
        <w:t>the</w:t>
      </w:r>
      <w:r w:rsidR="00D52D47" w:rsidRPr="00F04A75">
        <w:rPr>
          <w:color w:val="000000" w:themeColor="text1"/>
        </w:rPr>
        <w:t xml:space="preserve"> </w:t>
      </w:r>
      <w:r w:rsidR="00A2776D" w:rsidRPr="00F04A75">
        <w:rPr>
          <w:color w:val="000000" w:themeColor="text1"/>
        </w:rPr>
        <w:t xml:space="preserve">utilisation of </w:t>
      </w:r>
      <w:proofErr w:type="spellStart"/>
      <w:r w:rsidR="00A2776D" w:rsidRPr="00F04A75">
        <w:rPr>
          <w:color w:val="000000" w:themeColor="text1"/>
        </w:rPr>
        <w:t>DBd</w:t>
      </w:r>
      <w:proofErr w:type="spellEnd"/>
      <w:r w:rsidR="00D2355A" w:rsidRPr="00F04A75">
        <w:rPr>
          <w:color w:val="000000" w:themeColor="text1"/>
        </w:rPr>
        <w:t xml:space="preserve"> </w:t>
      </w:r>
      <w:r w:rsidR="00097DB2" w:rsidRPr="00F04A75">
        <w:rPr>
          <w:color w:val="000000" w:themeColor="text1"/>
        </w:rPr>
        <w:t xml:space="preserve">in the </w:t>
      </w:r>
      <w:r w:rsidR="00842AA0" w:rsidRPr="00F04A75">
        <w:rPr>
          <w:color w:val="000000" w:themeColor="text1"/>
        </w:rPr>
        <w:t>second-li</w:t>
      </w:r>
      <w:r w:rsidR="0069686D" w:rsidRPr="00F04A75">
        <w:rPr>
          <w:color w:val="000000" w:themeColor="text1"/>
        </w:rPr>
        <w:t>ne</w:t>
      </w:r>
      <w:r w:rsidR="00842AA0" w:rsidRPr="00F04A75">
        <w:rPr>
          <w:color w:val="000000" w:themeColor="text1"/>
        </w:rPr>
        <w:t xml:space="preserve"> setting (</w:t>
      </w:r>
      <w:r w:rsidR="00D1153D" w:rsidRPr="00F04A75">
        <w:rPr>
          <w:color w:val="000000" w:themeColor="text1"/>
        </w:rPr>
        <w:t>first line</w:t>
      </w:r>
      <w:r w:rsidR="00842AA0" w:rsidRPr="00F04A75">
        <w:rPr>
          <w:color w:val="000000" w:themeColor="text1"/>
        </w:rPr>
        <w:t xml:space="preserve"> </w:t>
      </w:r>
      <w:r w:rsidR="00097DB2" w:rsidRPr="00F04A75">
        <w:rPr>
          <w:color w:val="000000" w:themeColor="text1"/>
        </w:rPr>
        <w:t>RRMM setting</w:t>
      </w:r>
      <w:r w:rsidR="00842AA0" w:rsidRPr="00F04A75">
        <w:rPr>
          <w:color w:val="000000" w:themeColor="text1"/>
        </w:rPr>
        <w:t>)</w:t>
      </w:r>
      <w:r w:rsidR="00CC0699" w:rsidRPr="00F04A75">
        <w:rPr>
          <w:color w:val="000000" w:themeColor="text1"/>
        </w:rPr>
        <w:t xml:space="preserve"> and substitution from Cd and Ld. </w:t>
      </w:r>
      <w:r w:rsidR="008C14BC" w:rsidRPr="00F04A75">
        <w:rPr>
          <w:color w:val="000000" w:themeColor="text1"/>
        </w:rPr>
        <w:t xml:space="preserve">The ESC </w:t>
      </w:r>
      <w:r w:rsidR="00812110" w:rsidRPr="00F04A75">
        <w:rPr>
          <w:color w:val="000000" w:themeColor="text1"/>
        </w:rPr>
        <w:t xml:space="preserve">considered </w:t>
      </w:r>
      <w:r w:rsidR="008C14BC" w:rsidRPr="00F04A75">
        <w:rPr>
          <w:color w:val="000000" w:themeColor="text1"/>
        </w:rPr>
        <w:t xml:space="preserve">that </w:t>
      </w:r>
      <w:proofErr w:type="spellStart"/>
      <w:r w:rsidR="008C14BC" w:rsidRPr="00F04A75">
        <w:rPr>
          <w:color w:val="000000" w:themeColor="text1"/>
        </w:rPr>
        <w:t>CLd</w:t>
      </w:r>
      <w:proofErr w:type="spellEnd"/>
      <w:r w:rsidR="008C14BC" w:rsidRPr="00F04A75">
        <w:rPr>
          <w:color w:val="000000" w:themeColor="text1"/>
        </w:rPr>
        <w:t xml:space="preserve"> </w:t>
      </w:r>
      <w:r w:rsidR="00812110" w:rsidRPr="00F04A75">
        <w:rPr>
          <w:color w:val="000000" w:themeColor="text1"/>
        </w:rPr>
        <w:t>wa</w:t>
      </w:r>
      <w:r w:rsidR="008C14BC" w:rsidRPr="00F04A75">
        <w:rPr>
          <w:color w:val="000000" w:themeColor="text1"/>
        </w:rPr>
        <w:t xml:space="preserve">s likely to be used in patients currently receiving </w:t>
      </w:r>
      <w:proofErr w:type="spellStart"/>
      <w:r w:rsidR="008C14BC" w:rsidRPr="00F04A75">
        <w:rPr>
          <w:color w:val="000000" w:themeColor="text1"/>
        </w:rPr>
        <w:t>Ld</w:t>
      </w:r>
      <w:proofErr w:type="spellEnd"/>
      <w:r w:rsidR="008C14BC" w:rsidRPr="00F04A75">
        <w:rPr>
          <w:color w:val="000000" w:themeColor="text1"/>
        </w:rPr>
        <w:t xml:space="preserve"> or Cd.</w:t>
      </w:r>
    </w:p>
    <w:p w14:paraId="5A01AEB9" w14:textId="77842F4C" w:rsidR="00F44EC8" w:rsidRPr="00F04A75" w:rsidRDefault="00CC0699" w:rsidP="0016658B">
      <w:pPr>
        <w:pStyle w:val="3-BodyText"/>
        <w:rPr>
          <w:rFonts w:ascii="Arial Narrow" w:hAnsi="Arial Narrow"/>
          <w:color w:val="000000" w:themeColor="text1"/>
          <w:sz w:val="20"/>
          <w:szCs w:val="16"/>
        </w:rPr>
      </w:pPr>
      <w:r w:rsidRPr="00F04A75">
        <w:rPr>
          <w:color w:val="000000" w:themeColor="text1"/>
        </w:rPr>
        <w:t>The</w:t>
      </w:r>
      <w:r w:rsidR="00333283" w:rsidRPr="00F04A75">
        <w:rPr>
          <w:color w:val="000000" w:themeColor="text1"/>
        </w:rPr>
        <w:t xml:space="preserve"> </w:t>
      </w:r>
      <w:r w:rsidR="00341AA0" w:rsidRPr="00F04A75">
        <w:rPr>
          <w:color w:val="000000" w:themeColor="text1"/>
        </w:rPr>
        <w:t>resubmission estimated</w:t>
      </w:r>
      <w:r w:rsidR="001D4D65" w:rsidRPr="00F04A75">
        <w:t xml:space="preserve"> </w:t>
      </w:r>
      <w:r w:rsidR="000C5775" w:rsidRPr="00F04A75">
        <w:t xml:space="preserve">the market share of </w:t>
      </w:r>
      <w:proofErr w:type="spellStart"/>
      <w:r w:rsidR="000C5775" w:rsidRPr="00F04A75">
        <w:t>DBd</w:t>
      </w:r>
      <w:proofErr w:type="spellEnd"/>
      <w:r w:rsidR="000C5775" w:rsidRPr="00F04A75">
        <w:t xml:space="preserve"> </w:t>
      </w:r>
      <w:r w:rsidR="001D4D65" w:rsidRPr="00F04A75">
        <w:rPr>
          <w:rFonts w:cstheme="minorHAnsi"/>
          <w:szCs w:val="22"/>
        </w:rPr>
        <w:t>based on the PBAC recommendation indicating a linear increase of 50% in Year 1 to 90% uptake in Year</w:t>
      </w:r>
      <w:r w:rsidR="00842AA0" w:rsidRPr="00F04A75">
        <w:rPr>
          <w:rFonts w:cstheme="minorHAnsi"/>
          <w:szCs w:val="22"/>
        </w:rPr>
        <w:t xml:space="preserve"> </w:t>
      </w:r>
      <w:r w:rsidR="001D4D65" w:rsidRPr="00F04A75">
        <w:rPr>
          <w:rFonts w:cstheme="minorHAnsi"/>
          <w:szCs w:val="22"/>
        </w:rPr>
        <w:t xml:space="preserve">6 (paragraph 7.15, daratumumab PSD, November 2019) which translated to a 12.5% annual </w:t>
      </w:r>
      <w:r w:rsidR="00D33368" w:rsidRPr="00F04A75">
        <w:rPr>
          <w:rFonts w:cstheme="minorHAnsi"/>
          <w:szCs w:val="22"/>
        </w:rPr>
        <w:t>increase in the uptake</w:t>
      </w:r>
      <w:r w:rsidR="000371DD" w:rsidRPr="00F04A75">
        <w:rPr>
          <w:color w:val="000000" w:themeColor="text1"/>
        </w:rPr>
        <w:t>.</w:t>
      </w:r>
      <w:r w:rsidR="00043987" w:rsidRPr="00F04A75">
        <w:rPr>
          <w:color w:val="000000" w:themeColor="text1"/>
        </w:rPr>
        <w:t xml:space="preserve"> </w:t>
      </w:r>
      <w:r w:rsidR="00C41A89" w:rsidRPr="00F04A75">
        <w:rPr>
          <w:color w:val="000000" w:themeColor="text1"/>
        </w:rPr>
        <w:t>Based on 10% PBS data for April 2021</w:t>
      </w:r>
      <w:r w:rsidR="0069686D" w:rsidRPr="00F04A75">
        <w:rPr>
          <w:color w:val="000000" w:themeColor="text1"/>
        </w:rPr>
        <w:t xml:space="preserve">, </w:t>
      </w:r>
      <w:r w:rsidR="00C41A89" w:rsidRPr="00F04A75">
        <w:rPr>
          <w:color w:val="000000" w:themeColor="text1"/>
        </w:rPr>
        <w:t>t</w:t>
      </w:r>
      <w:r w:rsidR="00BE67CC" w:rsidRPr="00F04A75">
        <w:rPr>
          <w:color w:val="000000" w:themeColor="text1"/>
        </w:rPr>
        <w:t xml:space="preserve">he resubmission estimated that </w:t>
      </w:r>
      <w:r w:rsidR="002862C3" w:rsidRPr="00F04A75">
        <w:rPr>
          <w:color w:val="000000" w:themeColor="text1"/>
        </w:rPr>
        <w:t xml:space="preserve">the market </w:t>
      </w:r>
      <w:r w:rsidR="00B26A7F" w:rsidRPr="00F04A75">
        <w:rPr>
          <w:color w:val="000000" w:themeColor="text1"/>
        </w:rPr>
        <w:t>share</w:t>
      </w:r>
      <w:r w:rsidR="002862C3" w:rsidRPr="00F04A75">
        <w:rPr>
          <w:color w:val="000000" w:themeColor="text1"/>
        </w:rPr>
        <w:t xml:space="preserve"> of </w:t>
      </w:r>
      <w:proofErr w:type="spellStart"/>
      <w:r w:rsidR="002862C3" w:rsidRPr="00F04A75">
        <w:rPr>
          <w:color w:val="000000" w:themeColor="text1"/>
        </w:rPr>
        <w:t>DBd</w:t>
      </w:r>
      <w:proofErr w:type="spellEnd"/>
      <w:r w:rsidR="002862C3" w:rsidRPr="00F04A75">
        <w:rPr>
          <w:color w:val="000000" w:themeColor="text1"/>
        </w:rPr>
        <w:t xml:space="preserve"> </w:t>
      </w:r>
      <w:r w:rsidR="0069686D" w:rsidRPr="00F04A75">
        <w:rPr>
          <w:color w:val="000000" w:themeColor="text1"/>
        </w:rPr>
        <w:t xml:space="preserve">in the second-line setting </w:t>
      </w:r>
      <w:r w:rsidR="002862C3" w:rsidRPr="00F04A75">
        <w:rPr>
          <w:color w:val="000000" w:themeColor="text1"/>
        </w:rPr>
        <w:t xml:space="preserve">was </w:t>
      </w:r>
      <w:r w:rsidR="00BE67CC" w:rsidRPr="00F04A75">
        <w:rPr>
          <w:color w:val="000000" w:themeColor="text1"/>
        </w:rPr>
        <w:t>35%</w:t>
      </w:r>
      <w:r w:rsidR="006B3672" w:rsidRPr="00F04A75">
        <w:rPr>
          <w:rFonts w:cstheme="minorHAnsi"/>
          <w:szCs w:val="22"/>
        </w:rPr>
        <w:t xml:space="preserve">. </w:t>
      </w:r>
      <w:r w:rsidR="00043987" w:rsidRPr="00F04A75">
        <w:rPr>
          <w:rFonts w:cstheme="minorHAnsi"/>
          <w:szCs w:val="22"/>
        </w:rPr>
        <w:t xml:space="preserve">The market share of treatments that were initially listed to be used in patients that had progressed </w:t>
      </w:r>
      <w:r w:rsidR="00842AA0" w:rsidRPr="00F04A75">
        <w:rPr>
          <w:rFonts w:cstheme="minorHAnsi"/>
          <w:szCs w:val="22"/>
        </w:rPr>
        <w:t>after at</w:t>
      </w:r>
      <w:r w:rsidR="00043987" w:rsidRPr="00F04A75">
        <w:rPr>
          <w:rFonts w:cstheme="minorHAnsi"/>
          <w:szCs w:val="22"/>
        </w:rPr>
        <w:t xml:space="preserve"> least one prior therapy (</w:t>
      </w:r>
      <w:proofErr w:type="gramStart"/>
      <w:r w:rsidR="0069686D" w:rsidRPr="00F04A75">
        <w:rPr>
          <w:rFonts w:cstheme="minorHAnsi"/>
          <w:szCs w:val="22"/>
        </w:rPr>
        <w:t>e.g.</w:t>
      </w:r>
      <w:proofErr w:type="gramEnd"/>
      <w:r w:rsidR="00043987" w:rsidRPr="00F04A75">
        <w:rPr>
          <w:rFonts w:cstheme="minorHAnsi"/>
          <w:szCs w:val="22"/>
        </w:rPr>
        <w:t xml:space="preserve"> Cd), w</w:t>
      </w:r>
      <w:r w:rsidR="0069686D" w:rsidRPr="00F04A75">
        <w:rPr>
          <w:rFonts w:cstheme="minorHAnsi"/>
          <w:szCs w:val="22"/>
        </w:rPr>
        <w:t xml:space="preserve">ould have </w:t>
      </w:r>
      <w:r w:rsidR="00043987" w:rsidRPr="00F04A75">
        <w:rPr>
          <w:rFonts w:cstheme="minorHAnsi"/>
          <w:szCs w:val="22"/>
        </w:rPr>
        <w:t xml:space="preserve">likely </w:t>
      </w:r>
      <w:r w:rsidR="0069686D" w:rsidRPr="00F04A75">
        <w:rPr>
          <w:rFonts w:cstheme="minorHAnsi"/>
          <w:szCs w:val="22"/>
        </w:rPr>
        <w:t>r</w:t>
      </w:r>
      <w:r w:rsidR="00043987" w:rsidRPr="00F04A75">
        <w:rPr>
          <w:rFonts w:cstheme="minorHAnsi"/>
          <w:szCs w:val="22"/>
        </w:rPr>
        <w:t xml:space="preserve">educed </w:t>
      </w:r>
      <w:r w:rsidR="00842AA0" w:rsidRPr="00F04A75">
        <w:rPr>
          <w:rFonts w:cstheme="minorHAnsi"/>
          <w:szCs w:val="22"/>
        </w:rPr>
        <w:t xml:space="preserve">following the </w:t>
      </w:r>
      <w:r w:rsidR="00043987" w:rsidRPr="00F04A75">
        <w:rPr>
          <w:rFonts w:cstheme="minorHAnsi"/>
          <w:szCs w:val="22"/>
        </w:rPr>
        <w:t xml:space="preserve">listing of </w:t>
      </w:r>
      <w:proofErr w:type="spellStart"/>
      <w:r w:rsidR="00043987" w:rsidRPr="00F04A75">
        <w:rPr>
          <w:rFonts w:cstheme="minorHAnsi"/>
          <w:szCs w:val="22"/>
        </w:rPr>
        <w:t>DBd</w:t>
      </w:r>
      <w:proofErr w:type="spellEnd"/>
      <w:r w:rsidR="00043987" w:rsidRPr="00F04A75">
        <w:rPr>
          <w:rFonts w:cstheme="minorHAnsi"/>
          <w:szCs w:val="22"/>
        </w:rPr>
        <w:t xml:space="preserve">. As patients progress, they are less likely to be treated with a subsequent line. Overall, the listing of </w:t>
      </w:r>
      <w:proofErr w:type="spellStart"/>
      <w:r w:rsidR="00043987" w:rsidRPr="00F04A75">
        <w:rPr>
          <w:rFonts w:cstheme="minorHAnsi"/>
          <w:szCs w:val="22"/>
        </w:rPr>
        <w:t>DBd</w:t>
      </w:r>
      <w:proofErr w:type="spellEnd"/>
      <w:r w:rsidR="00043987" w:rsidRPr="00F04A75">
        <w:rPr>
          <w:rFonts w:cstheme="minorHAnsi"/>
          <w:szCs w:val="22"/>
        </w:rPr>
        <w:t xml:space="preserve"> is expected to displace the use of </w:t>
      </w:r>
      <w:r w:rsidR="00842AA0" w:rsidRPr="00F04A75">
        <w:rPr>
          <w:rFonts w:cstheme="minorHAnsi"/>
          <w:szCs w:val="22"/>
        </w:rPr>
        <w:t xml:space="preserve">therapies such as </w:t>
      </w:r>
      <w:r w:rsidR="00043987" w:rsidRPr="00F04A75">
        <w:rPr>
          <w:rFonts w:cstheme="minorHAnsi"/>
          <w:szCs w:val="22"/>
        </w:rPr>
        <w:t xml:space="preserve">Cd, </w:t>
      </w:r>
      <w:proofErr w:type="spellStart"/>
      <w:r w:rsidR="00043987" w:rsidRPr="00F04A75">
        <w:rPr>
          <w:rFonts w:cstheme="minorHAnsi"/>
          <w:szCs w:val="22"/>
        </w:rPr>
        <w:t>PBd</w:t>
      </w:r>
      <w:proofErr w:type="spellEnd"/>
      <w:r w:rsidR="00043987" w:rsidRPr="00F04A75">
        <w:rPr>
          <w:rFonts w:cstheme="minorHAnsi"/>
          <w:szCs w:val="22"/>
        </w:rPr>
        <w:t xml:space="preserve">, </w:t>
      </w:r>
      <w:proofErr w:type="spellStart"/>
      <w:r w:rsidR="00043987" w:rsidRPr="00F04A75">
        <w:rPr>
          <w:rFonts w:cstheme="minorHAnsi"/>
          <w:szCs w:val="22"/>
        </w:rPr>
        <w:t>ELd</w:t>
      </w:r>
      <w:proofErr w:type="spellEnd"/>
      <w:r w:rsidR="00043987" w:rsidRPr="00F04A75">
        <w:rPr>
          <w:rFonts w:cstheme="minorHAnsi"/>
          <w:szCs w:val="22"/>
        </w:rPr>
        <w:t xml:space="preserve"> and </w:t>
      </w:r>
      <w:proofErr w:type="spellStart"/>
      <w:r w:rsidR="00043987" w:rsidRPr="00F04A75">
        <w:rPr>
          <w:rFonts w:cstheme="minorHAnsi"/>
          <w:szCs w:val="22"/>
        </w:rPr>
        <w:t>CLd</w:t>
      </w:r>
      <w:proofErr w:type="spellEnd"/>
      <w:r w:rsidR="00842AA0" w:rsidRPr="00F04A75">
        <w:rPr>
          <w:rFonts w:cstheme="minorHAnsi"/>
          <w:szCs w:val="22"/>
        </w:rPr>
        <w:t xml:space="preserve"> to the third-line</w:t>
      </w:r>
      <w:r w:rsidR="00B26A7F" w:rsidRPr="00F04A75">
        <w:rPr>
          <w:rFonts w:cstheme="minorHAnsi"/>
          <w:szCs w:val="22"/>
        </w:rPr>
        <w:t xml:space="preserve"> setting</w:t>
      </w:r>
      <w:r w:rsidR="00043987" w:rsidRPr="00F04A75">
        <w:rPr>
          <w:rFonts w:cstheme="minorHAnsi"/>
          <w:szCs w:val="22"/>
        </w:rPr>
        <w:t xml:space="preserve">. </w:t>
      </w:r>
      <w:r w:rsidR="000371DD" w:rsidRPr="00F04A75">
        <w:rPr>
          <w:color w:val="000000" w:themeColor="text1"/>
        </w:rPr>
        <w:t xml:space="preserve"> </w:t>
      </w:r>
    </w:p>
    <w:p w14:paraId="0D98E021" w14:textId="220C7231" w:rsidR="00BF463C" w:rsidRPr="00F04A75" w:rsidRDefault="00072388" w:rsidP="001A66E5">
      <w:pPr>
        <w:pStyle w:val="3-BodyText"/>
        <w:rPr>
          <w:rFonts w:ascii="Arial Narrow" w:hAnsi="Arial Narrow"/>
          <w:color w:val="000000" w:themeColor="text1"/>
          <w:sz w:val="20"/>
          <w:szCs w:val="16"/>
        </w:rPr>
      </w:pPr>
      <w:r w:rsidRPr="00F04A75">
        <w:rPr>
          <w:color w:val="000000" w:themeColor="text1"/>
        </w:rPr>
        <w:t xml:space="preserve">The resubmission </w:t>
      </w:r>
      <w:r w:rsidR="004B7BF9" w:rsidRPr="00F04A75">
        <w:rPr>
          <w:color w:val="000000" w:themeColor="text1"/>
        </w:rPr>
        <w:t xml:space="preserve">assumed </w:t>
      </w:r>
      <w:r w:rsidR="003A2A7E" w:rsidRPr="00F04A75">
        <w:rPr>
          <w:color w:val="000000" w:themeColor="text1"/>
        </w:rPr>
        <w:t xml:space="preserve">that </w:t>
      </w:r>
      <w:proofErr w:type="spellStart"/>
      <w:r w:rsidR="00E246E4" w:rsidRPr="00F04A75">
        <w:rPr>
          <w:color w:val="000000" w:themeColor="text1"/>
        </w:rPr>
        <w:t>CLd</w:t>
      </w:r>
      <w:proofErr w:type="spellEnd"/>
      <w:r w:rsidR="00E246E4" w:rsidRPr="00F04A75">
        <w:rPr>
          <w:color w:val="000000" w:themeColor="text1"/>
        </w:rPr>
        <w:t xml:space="preserve"> w</w:t>
      </w:r>
      <w:r w:rsidR="00842AA0" w:rsidRPr="00F04A75">
        <w:rPr>
          <w:color w:val="000000" w:themeColor="text1"/>
        </w:rPr>
        <w:t xml:space="preserve">ould </w:t>
      </w:r>
      <w:r w:rsidR="0092079C">
        <w:rPr>
          <w:color w:val="000000" w:themeColor="text1"/>
        </w:rPr>
        <w:t xml:space="preserve">substitute for </w:t>
      </w:r>
      <w:r w:rsidR="00A46C55" w:rsidRPr="00F04A75">
        <w:rPr>
          <w:color w:val="000000" w:themeColor="text1"/>
        </w:rPr>
        <w:t xml:space="preserve">20% </w:t>
      </w:r>
      <w:r w:rsidR="0092079C">
        <w:rPr>
          <w:color w:val="000000" w:themeColor="text1"/>
        </w:rPr>
        <w:t xml:space="preserve">of </w:t>
      </w:r>
      <w:r w:rsidR="00A46C55" w:rsidRPr="00F04A75">
        <w:rPr>
          <w:color w:val="000000" w:themeColor="text1"/>
        </w:rPr>
        <w:t>Cd</w:t>
      </w:r>
      <w:r w:rsidR="0092079C">
        <w:rPr>
          <w:color w:val="000000" w:themeColor="text1"/>
        </w:rPr>
        <w:t xml:space="preserve"> use</w:t>
      </w:r>
      <w:r w:rsidR="00382AE2" w:rsidRPr="00F04A75">
        <w:rPr>
          <w:color w:val="000000" w:themeColor="text1"/>
        </w:rPr>
        <w:t>,</w:t>
      </w:r>
      <w:r w:rsidR="00927F96" w:rsidRPr="00F04A75">
        <w:rPr>
          <w:color w:val="000000" w:themeColor="text1"/>
        </w:rPr>
        <w:t xml:space="preserve"> 20% </w:t>
      </w:r>
      <w:r w:rsidR="0092079C">
        <w:rPr>
          <w:color w:val="000000" w:themeColor="text1"/>
        </w:rPr>
        <w:t>of</w:t>
      </w:r>
      <w:r w:rsidR="00A46C55" w:rsidRPr="00F04A75">
        <w:rPr>
          <w:color w:val="000000" w:themeColor="text1"/>
        </w:rPr>
        <w:t xml:space="preserve"> </w:t>
      </w:r>
      <w:proofErr w:type="spellStart"/>
      <w:r w:rsidR="00927F96" w:rsidRPr="00F04A75">
        <w:rPr>
          <w:color w:val="000000" w:themeColor="text1"/>
        </w:rPr>
        <w:t>Ld</w:t>
      </w:r>
      <w:proofErr w:type="spellEnd"/>
      <w:r w:rsidR="0092079C">
        <w:rPr>
          <w:color w:val="000000" w:themeColor="text1"/>
        </w:rPr>
        <w:t xml:space="preserve"> use</w:t>
      </w:r>
      <w:r w:rsidR="00382AE2" w:rsidRPr="00F04A75">
        <w:rPr>
          <w:color w:val="000000" w:themeColor="text1"/>
        </w:rPr>
        <w:t xml:space="preserve"> and </w:t>
      </w:r>
      <w:r w:rsidR="00382AE2" w:rsidRPr="00F04A75">
        <w:rPr>
          <w:rFonts w:cstheme="minorHAnsi"/>
          <w:szCs w:val="22"/>
        </w:rPr>
        <w:t xml:space="preserve">20% </w:t>
      </w:r>
      <w:r w:rsidR="0092079C">
        <w:rPr>
          <w:rFonts w:cstheme="minorHAnsi"/>
          <w:szCs w:val="22"/>
        </w:rPr>
        <w:t>of</w:t>
      </w:r>
      <w:r w:rsidR="0092079C" w:rsidRPr="00F04A75">
        <w:rPr>
          <w:rFonts w:cstheme="minorHAnsi"/>
          <w:szCs w:val="22"/>
        </w:rPr>
        <w:t xml:space="preserve"> </w:t>
      </w:r>
      <w:proofErr w:type="spellStart"/>
      <w:r w:rsidR="00382AE2" w:rsidRPr="00F04A75">
        <w:rPr>
          <w:rFonts w:cstheme="minorHAnsi"/>
          <w:szCs w:val="22"/>
        </w:rPr>
        <w:t>ELd</w:t>
      </w:r>
      <w:proofErr w:type="spellEnd"/>
      <w:r w:rsidR="0092079C">
        <w:rPr>
          <w:rFonts w:cstheme="minorHAnsi"/>
          <w:szCs w:val="22"/>
        </w:rPr>
        <w:t xml:space="preserve"> use</w:t>
      </w:r>
      <w:r w:rsidR="00382AE2" w:rsidRPr="00F04A75">
        <w:rPr>
          <w:rFonts w:cstheme="minorHAnsi"/>
          <w:szCs w:val="22"/>
        </w:rPr>
        <w:t xml:space="preserve">. </w:t>
      </w:r>
      <w:r w:rsidR="0033327D" w:rsidRPr="0033327D">
        <w:rPr>
          <w:szCs w:val="20"/>
        </w:rPr>
        <w:t>The proposed substitution rates were not justified in the resubmission.</w:t>
      </w:r>
      <w:r w:rsidR="00815146">
        <w:rPr>
          <w:szCs w:val="20"/>
        </w:rPr>
        <w:t xml:space="preserve"> </w:t>
      </w:r>
      <w:r w:rsidR="0069686D" w:rsidRPr="00F04A75">
        <w:rPr>
          <w:color w:val="000000" w:themeColor="text1"/>
        </w:rPr>
        <w:t>It was expected that,</w:t>
      </w:r>
      <w:r w:rsidR="00023B1C" w:rsidRPr="00F04A75">
        <w:rPr>
          <w:color w:val="000000" w:themeColor="text1"/>
        </w:rPr>
        <w:t xml:space="preserve"> a</w:t>
      </w:r>
      <w:r w:rsidR="000371DD" w:rsidRPr="00F04A75">
        <w:rPr>
          <w:color w:val="000000" w:themeColor="text1"/>
        </w:rPr>
        <w:t xml:space="preserve">s the </w:t>
      </w:r>
      <w:r w:rsidR="00023B1C" w:rsidRPr="00F04A75">
        <w:rPr>
          <w:color w:val="000000" w:themeColor="text1"/>
        </w:rPr>
        <w:t xml:space="preserve">requested </w:t>
      </w:r>
      <w:r w:rsidR="00D43ACB" w:rsidRPr="00F04A75">
        <w:rPr>
          <w:color w:val="000000" w:themeColor="text1"/>
        </w:rPr>
        <w:t>maximum quantity</w:t>
      </w:r>
      <w:r w:rsidR="000371DD" w:rsidRPr="00F04A75">
        <w:rPr>
          <w:color w:val="000000" w:themeColor="text1"/>
        </w:rPr>
        <w:t xml:space="preserve"> of carfilzomib in </w:t>
      </w:r>
      <w:proofErr w:type="spellStart"/>
      <w:r w:rsidR="000371DD" w:rsidRPr="00F04A75">
        <w:rPr>
          <w:color w:val="000000" w:themeColor="text1"/>
        </w:rPr>
        <w:t>CLd</w:t>
      </w:r>
      <w:proofErr w:type="spellEnd"/>
      <w:r w:rsidR="000371DD" w:rsidRPr="00F04A75">
        <w:rPr>
          <w:color w:val="000000" w:themeColor="text1"/>
        </w:rPr>
        <w:t xml:space="preserve"> is lower than in Cd</w:t>
      </w:r>
      <w:r w:rsidR="006554D2" w:rsidRPr="00F04A75">
        <w:rPr>
          <w:color w:val="000000" w:themeColor="text1"/>
        </w:rPr>
        <w:t xml:space="preserve"> (60</w:t>
      </w:r>
      <w:r w:rsidR="00842AA0" w:rsidRPr="00F04A75">
        <w:rPr>
          <w:color w:val="000000" w:themeColor="text1"/>
        </w:rPr>
        <w:t xml:space="preserve"> </w:t>
      </w:r>
      <w:r w:rsidR="006554D2" w:rsidRPr="00F04A75">
        <w:rPr>
          <w:color w:val="000000" w:themeColor="text1"/>
        </w:rPr>
        <w:t>mg vs 120</w:t>
      </w:r>
      <w:r w:rsidR="00842AA0" w:rsidRPr="00F04A75">
        <w:rPr>
          <w:color w:val="000000" w:themeColor="text1"/>
        </w:rPr>
        <w:t xml:space="preserve"> </w:t>
      </w:r>
      <w:r w:rsidR="006554D2" w:rsidRPr="00F04A75">
        <w:rPr>
          <w:color w:val="000000" w:themeColor="text1"/>
        </w:rPr>
        <w:t>mg</w:t>
      </w:r>
      <w:r w:rsidR="00D43ACB" w:rsidRPr="00F04A75">
        <w:rPr>
          <w:color w:val="000000" w:themeColor="text1"/>
        </w:rPr>
        <w:t>, respectively</w:t>
      </w:r>
      <w:r w:rsidR="006554D2" w:rsidRPr="00F04A75">
        <w:rPr>
          <w:color w:val="000000" w:themeColor="text1"/>
        </w:rPr>
        <w:t>)</w:t>
      </w:r>
      <w:r w:rsidR="000371DD" w:rsidRPr="00F04A75">
        <w:rPr>
          <w:color w:val="000000" w:themeColor="text1"/>
        </w:rPr>
        <w:t xml:space="preserve">, </w:t>
      </w:r>
      <w:r w:rsidR="00023B1C" w:rsidRPr="00F04A75">
        <w:rPr>
          <w:color w:val="000000" w:themeColor="text1"/>
        </w:rPr>
        <w:t xml:space="preserve">the PBS </w:t>
      </w:r>
      <w:r w:rsidR="000371DD" w:rsidRPr="00F04A75">
        <w:rPr>
          <w:color w:val="000000" w:themeColor="text1"/>
        </w:rPr>
        <w:t>list</w:t>
      </w:r>
      <w:r w:rsidR="003A2A7E" w:rsidRPr="00F04A75">
        <w:rPr>
          <w:color w:val="000000" w:themeColor="text1"/>
        </w:rPr>
        <w:t>i</w:t>
      </w:r>
      <w:r w:rsidR="000371DD" w:rsidRPr="00F04A75">
        <w:rPr>
          <w:color w:val="000000" w:themeColor="text1"/>
        </w:rPr>
        <w:t xml:space="preserve">ng of </w:t>
      </w:r>
      <w:proofErr w:type="spellStart"/>
      <w:r w:rsidR="000371DD" w:rsidRPr="00F04A75">
        <w:rPr>
          <w:color w:val="000000" w:themeColor="text1"/>
        </w:rPr>
        <w:t>CLd</w:t>
      </w:r>
      <w:proofErr w:type="spellEnd"/>
      <w:r w:rsidR="000371DD" w:rsidRPr="00F04A75">
        <w:rPr>
          <w:color w:val="000000" w:themeColor="text1"/>
        </w:rPr>
        <w:t xml:space="preserve"> </w:t>
      </w:r>
      <w:r w:rsidR="00B134C0" w:rsidRPr="00F04A75">
        <w:rPr>
          <w:color w:val="000000" w:themeColor="text1"/>
        </w:rPr>
        <w:t xml:space="preserve">would result in </w:t>
      </w:r>
      <w:r w:rsidR="00812110" w:rsidRPr="00F04A75">
        <w:rPr>
          <w:color w:val="000000" w:themeColor="text1"/>
        </w:rPr>
        <w:t xml:space="preserve">a </w:t>
      </w:r>
      <w:r w:rsidR="00CB3C99" w:rsidRPr="00F04A75">
        <w:rPr>
          <w:color w:val="000000" w:themeColor="text1"/>
        </w:rPr>
        <w:t xml:space="preserve">reduction in </w:t>
      </w:r>
      <w:r w:rsidR="00812110" w:rsidRPr="00F04A75">
        <w:rPr>
          <w:color w:val="000000" w:themeColor="text1"/>
        </w:rPr>
        <w:t xml:space="preserve">the </w:t>
      </w:r>
      <w:r w:rsidR="00B134C0" w:rsidRPr="00F04A75">
        <w:rPr>
          <w:color w:val="000000" w:themeColor="text1"/>
        </w:rPr>
        <w:t>utilisation of carfilzomib.</w:t>
      </w:r>
    </w:p>
    <w:p w14:paraId="37E3A99F" w14:textId="57FF4A5D" w:rsidR="00F97782" w:rsidRPr="00F04A75" w:rsidRDefault="00F97782" w:rsidP="0016658B">
      <w:pPr>
        <w:pStyle w:val="3-BodyText"/>
        <w:rPr>
          <w:rFonts w:cstheme="minorHAnsi"/>
          <w:color w:val="000000" w:themeColor="text1"/>
        </w:rPr>
      </w:pPr>
      <w:r w:rsidRPr="00F04A75">
        <w:rPr>
          <w:color w:val="000000" w:themeColor="text1"/>
        </w:rPr>
        <w:t xml:space="preserve">The key inputs for the financial estimates are </w:t>
      </w:r>
      <w:r w:rsidRPr="00F04A75">
        <w:rPr>
          <w:rFonts w:cstheme="minorHAnsi"/>
          <w:color w:val="000000" w:themeColor="text1"/>
        </w:rPr>
        <w:t>presented in</w:t>
      </w:r>
      <w:r w:rsidR="006E3361" w:rsidRPr="00F04A75">
        <w:rPr>
          <w:rFonts w:cstheme="minorHAnsi"/>
          <w:color w:val="000000" w:themeColor="text1"/>
        </w:rPr>
        <w:t xml:space="preserve"> Table </w:t>
      </w:r>
      <w:r w:rsidR="00C8791A">
        <w:rPr>
          <w:rFonts w:cstheme="minorHAnsi"/>
          <w:color w:val="000000" w:themeColor="text1"/>
        </w:rPr>
        <w:t>21</w:t>
      </w:r>
      <w:r w:rsidRPr="00F04A75">
        <w:rPr>
          <w:rFonts w:cstheme="minorHAnsi"/>
          <w:color w:val="000000" w:themeColor="text1"/>
        </w:rPr>
        <w:t>.</w:t>
      </w:r>
    </w:p>
    <w:p w14:paraId="33EF074A" w14:textId="31CF21A1" w:rsidR="00F97782" w:rsidRPr="00F04A75" w:rsidRDefault="00F97782" w:rsidP="0016658B">
      <w:pPr>
        <w:pStyle w:val="Caption"/>
        <w:keepNext/>
        <w:spacing w:after="0"/>
        <w:rPr>
          <w:rStyle w:val="CommentReference"/>
          <w:b/>
        </w:rPr>
      </w:pPr>
      <w:r w:rsidRPr="00F04A75">
        <w:rPr>
          <w:rFonts w:ascii="Arial Narrow" w:hAnsi="Arial Narrow"/>
          <w:color w:val="auto"/>
          <w:sz w:val="20"/>
          <w:szCs w:val="20"/>
        </w:rPr>
        <w:t xml:space="preserve">Table </w:t>
      </w:r>
      <w:r w:rsidRPr="00F04A75">
        <w:rPr>
          <w:rFonts w:ascii="Arial Narrow" w:hAnsi="Arial Narrow"/>
          <w:color w:val="auto"/>
          <w:sz w:val="20"/>
          <w:szCs w:val="20"/>
        </w:rPr>
        <w:fldChar w:fldCharType="begin"/>
      </w:r>
      <w:r w:rsidRPr="00F04A75">
        <w:rPr>
          <w:rFonts w:ascii="Arial Narrow" w:hAnsi="Arial Narrow"/>
          <w:color w:val="auto"/>
          <w:sz w:val="20"/>
          <w:szCs w:val="20"/>
        </w:rPr>
        <w:instrText xml:space="preserve"> SEQ Table \* ARABIC </w:instrText>
      </w:r>
      <w:r w:rsidRPr="00F04A75">
        <w:rPr>
          <w:rFonts w:ascii="Arial Narrow" w:hAnsi="Arial Narrow"/>
          <w:color w:val="auto"/>
          <w:sz w:val="20"/>
          <w:szCs w:val="20"/>
        </w:rPr>
        <w:fldChar w:fldCharType="separate"/>
      </w:r>
      <w:r w:rsidR="00443BC9">
        <w:rPr>
          <w:rFonts w:ascii="Arial Narrow" w:hAnsi="Arial Narrow"/>
          <w:noProof/>
          <w:color w:val="auto"/>
          <w:sz w:val="20"/>
          <w:szCs w:val="20"/>
        </w:rPr>
        <w:t>15</w:t>
      </w:r>
      <w:r w:rsidRPr="00F04A75">
        <w:rPr>
          <w:rFonts w:ascii="Arial Narrow" w:hAnsi="Arial Narrow"/>
          <w:color w:val="auto"/>
          <w:sz w:val="20"/>
          <w:szCs w:val="20"/>
        </w:rPr>
        <w:fldChar w:fldCharType="end"/>
      </w:r>
      <w:r w:rsidR="00C8791A">
        <w:rPr>
          <w:rFonts w:ascii="Arial Narrow" w:hAnsi="Arial Narrow"/>
          <w:color w:val="auto"/>
          <w:sz w:val="20"/>
          <w:szCs w:val="20"/>
        </w:rPr>
        <w:t>1</w:t>
      </w:r>
      <w:r w:rsidRPr="00F04A75">
        <w:rPr>
          <w:rFonts w:ascii="Arial Narrow" w:hAnsi="Arial Narrow"/>
          <w:color w:val="auto"/>
          <w:sz w:val="20"/>
          <w:szCs w:val="20"/>
        </w:rPr>
        <w:t>:</w:t>
      </w:r>
      <w:r w:rsidRPr="00F04A75">
        <w:rPr>
          <w:rFonts w:ascii="Arial Narrow" w:hAnsi="Arial Narrow"/>
          <w:color w:val="auto"/>
        </w:rPr>
        <w:t xml:space="preserve"> </w:t>
      </w:r>
      <w:r w:rsidRPr="00F04A75">
        <w:rPr>
          <w:rStyle w:val="CommentReference"/>
          <w:b/>
          <w:bCs w:val="0"/>
          <w:color w:val="auto"/>
        </w:rPr>
        <w:t>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13"/>
        <w:gridCol w:w="4094"/>
        <w:gridCol w:w="3210"/>
      </w:tblGrid>
      <w:tr w:rsidR="00F97782" w:rsidRPr="00F04A75" w14:paraId="5E652B85" w14:textId="77777777" w:rsidTr="0016658B">
        <w:trPr>
          <w:tblHeader/>
        </w:trPr>
        <w:tc>
          <w:tcPr>
            <w:tcW w:w="950" w:type="pct"/>
            <w:shd w:val="clear" w:color="auto" w:fill="auto"/>
            <w:vAlign w:val="center"/>
          </w:tcPr>
          <w:p w14:paraId="73F76324" w14:textId="77777777" w:rsidR="00F97782" w:rsidRPr="00F04A75" w:rsidRDefault="00F97782" w:rsidP="0016658B">
            <w:pPr>
              <w:pStyle w:val="In-tableHeading"/>
              <w:rPr>
                <w:lang w:val="en-AU"/>
              </w:rPr>
            </w:pPr>
            <w:r w:rsidRPr="00F04A75">
              <w:rPr>
                <w:lang w:val="en-AU"/>
              </w:rPr>
              <w:t>Parameter</w:t>
            </w:r>
          </w:p>
        </w:tc>
        <w:tc>
          <w:tcPr>
            <w:tcW w:w="2270" w:type="pct"/>
            <w:shd w:val="clear" w:color="auto" w:fill="auto"/>
            <w:vAlign w:val="center"/>
          </w:tcPr>
          <w:p w14:paraId="74A3644B" w14:textId="77777777" w:rsidR="00F97782" w:rsidRPr="00F04A75" w:rsidRDefault="00F97782" w:rsidP="0016658B">
            <w:pPr>
              <w:pStyle w:val="In-tableHeading"/>
              <w:rPr>
                <w:lang w:val="en-AU"/>
              </w:rPr>
            </w:pPr>
            <w:r w:rsidRPr="00F04A75">
              <w:rPr>
                <w:lang w:val="en-AU"/>
              </w:rPr>
              <w:t>Value applied and source</w:t>
            </w:r>
          </w:p>
        </w:tc>
        <w:tc>
          <w:tcPr>
            <w:tcW w:w="1780" w:type="pct"/>
            <w:shd w:val="clear" w:color="auto" w:fill="auto"/>
            <w:vAlign w:val="center"/>
          </w:tcPr>
          <w:p w14:paraId="3B4B9A24" w14:textId="77777777" w:rsidR="00F97782" w:rsidRPr="00F04A75" w:rsidRDefault="00F97782" w:rsidP="0016658B">
            <w:pPr>
              <w:pStyle w:val="In-tableHeading"/>
              <w:rPr>
                <w:lang w:val="en-AU"/>
              </w:rPr>
            </w:pPr>
            <w:r w:rsidRPr="00F04A75">
              <w:rPr>
                <w:lang w:val="en-AU"/>
              </w:rPr>
              <w:t>Comment</w:t>
            </w:r>
          </w:p>
        </w:tc>
      </w:tr>
      <w:tr w:rsidR="00F97782" w:rsidRPr="00F04A75" w14:paraId="1EEE014D" w14:textId="77777777" w:rsidTr="0016658B">
        <w:tc>
          <w:tcPr>
            <w:tcW w:w="950" w:type="pct"/>
            <w:shd w:val="clear" w:color="auto" w:fill="auto"/>
            <w:vAlign w:val="center"/>
          </w:tcPr>
          <w:p w14:paraId="6A43825A" w14:textId="77777777" w:rsidR="00F97782" w:rsidRPr="00F04A75" w:rsidRDefault="00F97782" w:rsidP="0016658B">
            <w:pPr>
              <w:pStyle w:val="TableText0"/>
            </w:pPr>
            <w:r w:rsidRPr="00F04A75">
              <w:t xml:space="preserve">Eligible patients </w:t>
            </w:r>
          </w:p>
        </w:tc>
        <w:tc>
          <w:tcPr>
            <w:tcW w:w="2270" w:type="pct"/>
            <w:shd w:val="clear" w:color="auto" w:fill="auto"/>
            <w:vAlign w:val="center"/>
          </w:tcPr>
          <w:p w14:paraId="3AECAC42" w14:textId="172DAC31" w:rsidR="00F97782" w:rsidRPr="00F04A75" w:rsidRDefault="00F97782" w:rsidP="0016658B">
            <w:pPr>
              <w:pStyle w:val="TableText0"/>
              <w:keepNext w:val="0"/>
              <w:widowControl w:val="0"/>
              <w:rPr>
                <w:szCs w:val="20"/>
              </w:rPr>
            </w:pPr>
            <w:r w:rsidRPr="00F04A75">
              <w:rPr>
                <w:szCs w:val="20"/>
              </w:rPr>
              <w:t xml:space="preserve">Year 1: </w:t>
            </w:r>
            <w:r w:rsidR="00947640" w:rsidRPr="00F04A75">
              <w:rPr>
                <w:szCs w:val="20"/>
              </w:rPr>
              <w:t>581</w:t>
            </w:r>
            <w:r w:rsidRPr="00F04A75">
              <w:rPr>
                <w:szCs w:val="20"/>
              </w:rPr>
              <w:t xml:space="preserve"> to Year 6: </w:t>
            </w:r>
            <w:r w:rsidR="00947640" w:rsidRPr="00F04A75">
              <w:rPr>
                <w:szCs w:val="20"/>
              </w:rPr>
              <w:t>1,014</w:t>
            </w:r>
            <w:r w:rsidRPr="00F04A75">
              <w:rPr>
                <w:szCs w:val="20"/>
              </w:rPr>
              <w:t xml:space="preserve"> </w:t>
            </w:r>
          </w:p>
          <w:p w14:paraId="24993998" w14:textId="4D35B188" w:rsidR="00F97782" w:rsidRPr="00F04A75" w:rsidRDefault="00F97782" w:rsidP="0016658B">
            <w:pPr>
              <w:pStyle w:val="TableText0"/>
            </w:pPr>
            <w:r w:rsidRPr="00F04A75">
              <w:rPr>
                <w:szCs w:val="20"/>
              </w:rPr>
              <w:t xml:space="preserve">Estimated based on prevalent number of RRMM patients based </w:t>
            </w:r>
            <w:proofErr w:type="gramStart"/>
            <w:r w:rsidR="00FE08CB">
              <w:rPr>
                <w:szCs w:val="20"/>
              </w:rPr>
              <w:t xml:space="preserve">on </w:t>
            </w:r>
            <w:r w:rsidRPr="00F04A75">
              <w:rPr>
                <w:szCs w:val="20"/>
              </w:rPr>
              <w:t xml:space="preserve"> DUSC</w:t>
            </w:r>
            <w:proofErr w:type="gramEnd"/>
            <w:r w:rsidRPr="00F04A75">
              <w:rPr>
                <w:szCs w:val="20"/>
              </w:rPr>
              <w:t xml:space="preserve"> </w:t>
            </w:r>
            <w:r w:rsidR="00FE08CB">
              <w:rPr>
                <w:szCs w:val="20"/>
              </w:rPr>
              <w:t xml:space="preserve">Secretariat utilisation data </w:t>
            </w:r>
            <w:r w:rsidRPr="00F04A75">
              <w:rPr>
                <w:szCs w:val="20"/>
              </w:rPr>
              <w:t xml:space="preserve">(2016-2021) and extrapolated based on </w:t>
            </w:r>
            <w:r w:rsidRPr="00F04A75">
              <w:t xml:space="preserve">forecast change in number of patients treated with the relevant medicines (Cd, </w:t>
            </w:r>
            <w:proofErr w:type="spellStart"/>
            <w:r w:rsidRPr="00F04A75">
              <w:t>PBd</w:t>
            </w:r>
            <w:proofErr w:type="spellEnd"/>
            <w:r w:rsidRPr="00F04A75">
              <w:t xml:space="preserve">, </w:t>
            </w:r>
            <w:proofErr w:type="spellStart"/>
            <w:r w:rsidRPr="00F04A75">
              <w:t>ELd</w:t>
            </w:r>
            <w:proofErr w:type="spellEnd"/>
            <w:r w:rsidRPr="00F04A75">
              <w:t xml:space="preserve"> and </w:t>
            </w:r>
            <w:proofErr w:type="spellStart"/>
            <w:r w:rsidRPr="00F04A75">
              <w:t>CLd</w:t>
            </w:r>
            <w:proofErr w:type="spellEnd"/>
            <w:r w:rsidRPr="00F04A75">
              <w:t xml:space="preserve">) and their substitution rates. </w:t>
            </w:r>
          </w:p>
        </w:tc>
        <w:tc>
          <w:tcPr>
            <w:tcW w:w="1780" w:type="pct"/>
            <w:shd w:val="clear" w:color="auto" w:fill="auto"/>
            <w:vAlign w:val="center"/>
          </w:tcPr>
          <w:p w14:paraId="254338FD" w14:textId="09DBDD54" w:rsidR="00F97782" w:rsidRPr="00F04A75" w:rsidRDefault="004E32F8" w:rsidP="006C5781">
            <w:pPr>
              <w:pStyle w:val="TableText0"/>
            </w:pPr>
            <w:r>
              <w:rPr>
                <w:szCs w:val="20"/>
              </w:rPr>
              <w:t>-</w:t>
            </w:r>
          </w:p>
        </w:tc>
      </w:tr>
      <w:tr w:rsidR="002A051C" w:rsidRPr="00F04A75" w14:paraId="5AC2C779" w14:textId="77777777" w:rsidTr="0016658B">
        <w:tc>
          <w:tcPr>
            <w:tcW w:w="950" w:type="pct"/>
            <w:shd w:val="clear" w:color="auto" w:fill="auto"/>
            <w:vAlign w:val="center"/>
          </w:tcPr>
          <w:p w14:paraId="2BB4B413" w14:textId="77777777" w:rsidR="002A051C" w:rsidRPr="00F04A75" w:rsidRDefault="002A051C" w:rsidP="0094641B">
            <w:pPr>
              <w:pStyle w:val="TableText0"/>
            </w:pPr>
            <w:r w:rsidRPr="00F04A75">
              <w:t xml:space="preserve">Assumed substitution to </w:t>
            </w:r>
            <w:proofErr w:type="spellStart"/>
            <w:r w:rsidRPr="00F04A75">
              <w:t>CLd</w:t>
            </w:r>
            <w:proofErr w:type="spellEnd"/>
          </w:p>
        </w:tc>
        <w:tc>
          <w:tcPr>
            <w:tcW w:w="2270" w:type="pct"/>
            <w:shd w:val="clear" w:color="auto" w:fill="auto"/>
            <w:vAlign w:val="center"/>
          </w:tcPr>
          <w:p w14:paraId="4E6D1338" w14:textId="77777777" w:rsidR="002A051C" w:rsidRPr="00F04A75" w:rsidRDefault="002A051C" w:rsidP="0094641B">
            <w:pPr>
              <w:pStyle w:val="TableText0"/>
              <w:keepNext w:val="0"/>
              <w:widowControl w:val="0"/>
            </w:pPr>
            <w:r w:rsidRPr="00F04A75">
              <w:t>Cd: 20%</w:t>
            </w:r>
          </w:p>
          <w:p w14:paraId="49872EC6" w14:textId="77777777" w:rsidR="002A051C" w:rsidRPr="00F04A75" w:rsidRDefault="002A051C" w:rsidP="0094641B">
            <w:pPr>
              <w:pStyle w:val="TableText0"/>
              <w:keepNext w:val="0"/>
              <w:widowControl w:val="0"/>
            </w:pPr>
            <w:proofErr w:type="spellStart"/>
            <w:r w:rsidRPr="00F04A75">
              <w:t>Ld</w:t>
            </w:r>
            <w:proofErr w:type="spellEnd"/>
            <w:r w:rsidRPr="00F04A75">
              <w:t>: 20%</w:t>
            </w:r>
          </w:p>
          <w:p w14:paraId="621A3D31" w14:textId="77777777" w:rsidR="002A051C" w:rsidRPr="00F04A75" w:rsidRDefault="002A051C" w:rsidP="0094641B">
            <w:pPr>
              <w:pStyle w:val="TableText0"/>
              <w:keepNext w:val="0"/>
              <w:widowControl w:val="0"/>
              <w:rPr>
                <w:szCs w:val="20"/>
              </w:rPr>
            </w:pPr>
            <w:proofErr w:type="spellStart"/>
            <w:r w:rsidRPr="00F04A75">
              <w:t>ELd</w:t>
            </w:r>
            <w:proofErr w:type="spellEnd"/>
            <w:r w:rsidRPr="00F04A75">
              <w:t>:</w:t>
            </w:r>
            <w:r w:rsidR="00B0271C" w:rsidRPr="00F04A75">
              <w:t xml:space="preserve"> </w:t>
            </w:r>
            <w:r w:rsidRPr="00F04A75">
              <w:t>20%</w:t>
            </w:r>
          </w:p>
        </w:tc>
        <w:tc>
          <w:tcPr>
            <w:tcW w:w="1780" w:type="pct"/>
            <w:vMerge w:val="restart"/>
            <w:shd w:val="clear" w:color="auto" w:fill="auto"/>
            <w:vAlign w:val="center"/>
          </w:tcPr>
          <w:p w14:paraId="23AA63C8" w14:textId="77777777" w:rsidR="002A051C" w:rsidRPr="00F04A75" w:rsidRDefault="002A051C" w:rsidP="0094641B">
            <w:pPr>
              <w:pStyle w:val="TableText0"/>
              <w:rPr>
                <w:szCs w:val="20"/>
              </w:rPr>
            </w:pPr>
            <w:r w:rsidRPr="00942FE1">
              <w:rPr>
                <w:szCs w:val="20"/>
              </w:rPr>
              <w:t>The proposed substitution rates were not justified in the resubmission, the uptake may be higher or lower</w:t>
            </w:r>
            <w:r w:rsidRPr="00F04A75">
              <w:rPr>
                <w:szCs w:val="20"/>
              </w:rPr>
              <w:t>.</w:t>
            </w:r>
          </w:p>
        </w:tc>
      </w:tr>
      <w:tr w:rsidR="002A051C" w:rsidRPr="00F04A75" w14:paraId="3CDBF129" w14:textId="77777777" w:rsidTr="0016658B">
        <w:tc>
          <w:tcPr>
            <w:tcW w:w="950" w:type="pct"/>
            <w:shd w:val="clear" w:color="auto" w:fill="auto"/>
            <w:vAlign w:val="center"/>
          </w:tcPr>
          <w:p w14:paraId="7D6B424C" w14:textId="77777777" w:rsidR="002A051C" w:rsidRPr="00F04A75" w:rsidRDefault="002A051C" w:rsidP="0094641B">
            <w:pPr>
              <w:pStyle w:val="TableText0"/>
            </w:pPr>
            <w:r w:rsidRPr="00F04A75">
              <w:t>Assumed maximum rates of substitution for Cd,</w:t>
            </w:r>
            <w:r w:rsidR="00B0271C" w:rsidRPr="00F04A75">
              <w:t xml:space="preserve"> </w:t>
            </w:r>
            <w:proofErr w:type="spellStart"/>
            <w:r w:rsidRPr="00F04A75">
              <w:t>Ld</w:t>
            </w:r>
            <w:proofErr w:type="spellEnd"/>
            <w:r w:rsidRPr="00F04A75">
              <w:t xml:space="preserve"> and </w:t>
            </w:r>
            <w:proofErr w:type="spellStart"/>
            <w:r w:rsidRPr="00F04A75">
              <w:t>ELd</w:t>
            </w:r>
            <w:proofErr w:type="spellEnd"/>
            <w:r w:rsidRPr="00F04A75">
              <w:t xml:space="preserve"> to </w:t>
            </w:r>
            <w:proofErr w:type="spellStart"/>
            <w:r w:rsidRPr="00F04A75">
              <w:t>CLd</w:t>
            </w:r>
            <w:proofErr w:type="spellEnd"/>
          </w:p>
        </w:tc>
        <w:tc>
          <w:tcPr>
            <w:tcW w:w="2270" w:type="pct"/>
            <w:shd w:val="clear" w:color="auto" w:fill="auto"/>
            <w:vAlign w:val="center"/>
          </w:tcPr>
          <w:p w14:paraId="16DB598B" w14:textId="77777777" w:rsidR="002A051C" w:rsidRPr="00F04A75" w:rsidRDefault="002A051C" w:rsidP="0094641B">
            <w:pPr>
              <w:pStyle w:val="TableText0"/>
            </w:pPr>
            <w:r w:rsidRPr="00F04A75">
              <w:t>65% (Year 1) – 85% (Year 2)</w:t>
            </w:r>
          </w:p>
        </w:tc>
        <w:tc>
          <w:tcPr>
            <w:tcW w:w="1780" w:type="pct"/>
            <w:vMerge/>
            <w:shd w:val="clear" w:color="auto" w:fill="auto"/>
            <w:vAlign w:val="center"/>
          </w:tcPr>
          <w:p w14:paraId="7806EDC1" w14:textId="77777777" w:rsidR="002A051C" w:rsidRPr="00F04A75" w:rsidRDefault="002A051C" w:rsidP="0094641B">
            <w:pPr>
              <w:pStyle w:val="TableText0"/>
            </w:pPr>
          </w:p>
        </w:tc>
      </w:tr>
      <w:tr w:rsidR="002A051C" w:rsidRPr="00F04A75" w14:paraId="75D16831" w14:textId="77777777" w:rsidTr="0016658B">
        <w:tc>
          <w:tcPr>
            <w:tcW w:w="950" w:type="pct"/>
            <w:shd w:val="clear" w:color="auto" w:fill="auto"/>
            <w:vAlign w:val="center"/>
          </w:tcPr>
          <w:p w14:paraId="5CBF8909" w14:textId="77777777" w:rsidR="002A051C" w:rsidRPr="00F04A75" w:rsidRDefault="002A051C" w:rsidP="0094641B">
            <w:pPr>
              <w:pStyle w:val="TableText0"/>
            </w:pPr>
            <w:r w:rsidRPr="00F04A75">
              <w:t xml:space="preserve">Assumed substitution to </w:t>
            </w:r>
            <w:proofErr w:type="spellStart"/>
            <w:r w:rsidRPr="00F04A75">
              <w:t>PBd</w:t>
            </w:r>
            <w:proofErr w:type="spellEnd"/>
          </w:p>
        </w:tc>
        <w:tc>
          <w:tcPr>
            <w:tcW w:w="2270" w:type="pct"/>
            <w:shd w:val="clear" w:color="auto" w:fill="auto"/>
            <w:vAlign w:val="center"/>
          </w:tcPr>
          <w:p w14:paraId="3AF901A0" w14:textId="77777777" w:rsidR="002A051C" w:rsidRPr="00F04A75" w:rsidRDefault="002A051C" w:rsidP="0094641B">
            <w:pPr>
              <w:pStyle w:val="TableText0"/>
            </w:pPr>
            <w:r w:rsidRPr="00F04A75">
              <w:t>Bd: 5%</w:t>
            </w:r>
          </w:p>
          <w:p w14:paraId="7DC02B6A" w14:textId="77777777" w:rsidR="002A051C" w:rsidRPr="00F04A75" w:rsidRDefault="002A051C" w:rsidP="0094641B">
            <w:pPr>
              <w:pStyle w:val="TableText0"/>
            </w:pPr>
            <w:r w:rsidRPr="00F04A75">
              <w:t>Pd:</w:t>
            </w:r>
            <w:r w:rsidR="00B0271C" w:rsidRPr="00F04A75">
              <w:t xml:space="preserve"> </w:t>
            </w:r>
            <w:r w:rsidRPr="00F04A75">
              <w:t>60%</w:t>
            </w:r>
          </w:p>
          <w:p w14:paraId="504E8EF9" w14:textId="77777777" w:rsidR="002A051C" w:rsidRPr="00F04A75" w:rsidRDefault="002A051C" w:rsidP="0094641B">
            <w:pPr>
              <w:pStyle w:val="TableText0"/>
            </w:pPr>
            <w:proofErr w:type="spellStart"/>
            <w:r w:rsidRPr="00F04A75">
              <w:t>Ld</w:t>
            </w:r>
            <w:proofErr w:type="spellEnd"/>
            <w:r w:rsidRPr="00F04A75">
              <w:t>: 15%</w:t>
            </w:r>
          </w:p>
          <w:p w14:paraId="70CFBDE5" w14:textId="77777777" w:rsidR="002A051C" w:rsidRPr="00F04A75" w:rsidRDefault="002A051C" w:rsidP="0094641B">
            <w:pPr>
              <w:pStyle w:val="TableText0"/>
            </w:pPr>
            <w:r w:rsidRPr="00F04A75">
              <w:t>Cd:15%</w:t>
            </w:r>
          </w:p>
        </w:tc>
        <w:tc>
          <w:tcPr>
            <w:tcW w:w="1780" w:type="pct"/>
            <w:vMerge/>
            <w:shd w:val="clear" w:color="auto" w:fill="auto"/>
            <w:vAlign w:val="center"/>
          </w:tcPr>
          <w:p w14:paraId="6CB4F96B" w14:textId="77777777" w:rsidR="002A051C" w:rsidRPr="00F04A75" w:rsidRDefault="002A051C" w:rsidP="0094641B">
            <w:pPr>
              <w:pStyle w:val="TableText0"/>
              <w:rPr>
                <w:szCs w:val="20"/>
              </w:rPr>
            </w:pPr>
          </w:p>
        </w:tc>
      </w:tr>
      <w:tr w:rsidR="002A051C" w:rsidRPr="00F04A75" w14:paraId="305CE161" w14:textId="77777777" w:rsidTr="0016658B">
        <w:tc>
          <w:tcPr>
            <w:tcW w:w="950" w:type="pct"/>
            <w:shd w:val="clear" w:color="auto" w:fill="auto"/>
            <w:vAlign w:val="center"/>
          </w:tcPr>
          <w:p w14:paraId="7D971669" w14:textId="77777777" w:rsidR="002A051C" w:rsidRPr="00F04A75" w:rsidRDefault="002A051C" w:rsidP="0094641B">
            <w:pPr>
              <w:pStyle w:val="TableText0"/>
            </w:pPr>
            <w:r w:rsidRPr="00F04A75">
              <w:t xml:space="preserve">Assumed substitution to </w:t>
            </w:r>
            <w:proofErr w:type="spellStart"/>
            <w:r w:rsidRPr="00F04A75">
              <w:t>ELd</w:t>
            </w:r>
            <w:proofErr w:type="spellEnd"/>
          </w:p>
        </w:tc>
        <w:tc>
          <w:tcPr>
            <w:tcW w:w="2270" w:type="pct"/>
            <w:shd w:val="clear" w:color="auto" w:fill="auto"/>
            <w:vAlign w:val="center"/>
          </w:tcPr>
          <w:p w14:paraId="2843A8AA" w14:textId="77777777" w:rsidR="002A051C" w:rsidRPr="00F04A75" w:rsidRDefault="002A051C" w:rsidP="0094641B">
            <w:pPr>
              <w:pStyle w:val="TableText0"/>
            </w:pPr>
            <w:proofErr w:type="spellStart"/>
            <w:r w:rsidRPr="00F04A75">
              <w:t>Ld</w:t>
            </w:r>
            <w:proofErr w:type="spellEnd"/>
            <w:r w:rsidRPr="00F04A75">
              <w:t>:</w:t>
            </w:r>
            <w:r w:rsidR="00B0271C" w:rsidRPr="00F04A75">
              <w:t xml:space="preserve"> </w:t>
            </w:r>
            <w:r w:rsidRPr="00F04A75">
              <w:t>30%</w:t>
            </w:r>
          </w:p>
          <w:p w14:paraId="46AA589A" w14:textId="77777777" w:rsidR="002A051C" w:rsidRPr="00F04A75" w:rsidRDefault="002A051C" w:rsidP="0094641B">
            <w:pPr>
              <w:pStyle w:val="TableText0"/>
            </w:pPr>
            <w:r w:rsidRPr="00F04A75">
              <w:t>Cd:15%</w:t>
            </w:r>
          </w:p>
        </w:tc>
        <w:tc>
          <w:tcPr>
            <w:tcW w:w="1780" w:type="pct"/>
            <w:vMerge/>
            <w:shd w:val="clear" w:color="auto" w:fill="auto"/>
            <w:vAlign w:val="center"/>
          </w:tcPr>
          <w:p w14:paraId="1015D36E" w14:textId="77777777" w:rsidR="002A051C" w:rsidRPr="00F04A75" w:rsidRDefault="002A051C" w:rsidP="0094641B">
            <w:pPr>
              <w:pStyle w:val="TableText0"/>
              <w:rPr>
                <w:szCs w:val="20"/>
              </w:rPr>
            </w:pPr>
          </w:p>
        </w:tc>
      </w:tr>
      <w:tr w:rsidR="0094641B" w:rsidRPr="00F04A75" w14:paraId="442423E1" w14:textId="77777777" w:rsidTr="0016658B">
        <w:tc>
          <w:tcPr>
            <w:tcW w:w="950" w:type="pct"/>
            <w:shd w:val="clear" w:color="auto" w:fill="auto"/>
            <w:vAlign w:val="center"/>
          </w:tcPr>
          <w:p w14:paraId="763F057A" w14:textId="77777777" w:rsidR="0094641B" w:rsidRPr="00F04A75" w:rsidRDefault="0094641B" w:rsidP="0094641B">
            <w:pPr>
              <w:pStyle w:val="TableText0"/>
            </w:pPr>
            <w:r w:rsidRPr="00F04A75">
              <w:t>Market growth</w:t>
            </w:r>
          </w:p>
        </w:tc>
        <w:tc>
          <w:tcPr>
            <w:tcW w:w="2270" w:type="pct"/>
            <w:shd w:val="clear" w:color="auto" w:fill="auto"/>
            <w:vAlign w:val="center"/>
          </w:tcPr>
          <w:p w14:paraId="6AC1FED9" w14:textId="6873268B" w:rsidR="0094641B" w:rsidRPr="00F04A75" w:rsidRDefault="0094641B" w:rsidP="0094641B">
            <w:pPr>
              <w:pStyle w:val="TableText0"/>
            </w:pPr>
            <w:r w:rsidRPr="00F04A75">
              <w:t>5.7% (Year 1) – 3.0% (Year 6)</w:t>
            </w:r>
            <w:r w:rsidR="00974FD3" w:rsidRPr="00F04A75">
              <w:t xml:space="preserve">; </w:t>
            </w:r>
            <w:r w:rsidR="00162238">
              <w:t xml:space="preserve">based on </w:t>
            </w:r>
            <w:r w:rsidR="00974FD3" w:rsidRPr="00F04A75">
              <w:t>DUSC</w:t>
            </w:r>
            <w:r w:rsidR="00162238">
              <w:t xml:space="preserve"> Secretariat utilisation</w:t>
            </w:r>
            <w:r w:rsidR="00974FD3" w:rsidRPr="00F04A75">
              <w:t xml:space="preserve"> data</w:t>
            </w:r>
          </w:p>
        </w:tc>
        <w:tc>
          <w:tcPr>
            <w:tcW w:w="1780" w:type="pct"/>
            <w:shd w:val="clear" w:color="auto" w:fill="auto"/>
            <w:vAlign w:val="center"/>
          </w:tcPr>
          <w:p w14:paraId="2F5AA978" w14:textId="52C696E3" w:rsidR="0094641B" w:rsidRPr="00F04A75" w:rsidRDefault="004E32F8" w:rsidP="0094641B">
            <w:pPr>
              <w:pStyle w:val="TableText0"/>
            </w:pPr>
            <w:r>
              <w:rPr>
                <w:szCs w:val="20"/>
              </w:rPr>
              <w:t>-</w:t>
            </w:r>
          </w:p>
        </w:tc>
      </w:tr>
      <w:tr w:rsidR="0094641B" w:rsidRPr="00F04A75" w14:paraId="77AD7240" w14:textId="77777777" w:rsidTr="0016658B">
        <w:tc>
          <w:tcPr>
            <w:tcW w:w="950" w:type="pct"/>
            <w:shd w:val="clear" w:color="auto" w:fill="auto"/>
            <w:vAlign w:val="center"/>
          </w:tcPr>
          <w:p w14:paraId="39814CED" w14:textId="77777777" w:rsidR="0094641B" w:rsidRPr="00F04A75" w:rsidRDefault="0094641B" w:rsidP="0094641B">
            <w:pPr>
              <w:pStyle w:val="TableText0"/>
            </w:pPr>
            <w:r w:rsidRPr="00F04A75">
              <w:t xml:space="preserve">Patients treated with </w:t>
            </w:r>
            <w:proofErr w:type="spellStart"/>
            <w:r w:rsidRPr="00F04A75">
              <w:t>CLd</w:t>
            </w:r>
            <w:proofErr w:type="spellEnd"/>
          </w:p>
        </w:tc>
        <w:tc>
          <w:tcPr>
            <w:tcW w:w="2270" w:type="pct"/>
            <w:shd w:val="clear" w:color="auto" w:fill="auto"/>
            <w:vAlign w:val="center"/>
          </w:tcPr>
          <w:p w14:paraId="3070DFF0" w14:textId="77777777" w:rsidR="0094641B" w:rsidRPr="00F04A75" w:rsidRDefault="0094641B" w:rsidP="0094641B">
            <w:pPr>
              <w:pStyle w:val="TableText0"/>
            </w:pPr>
            <w:r w:rsidRPr="00F04A75">
              <w:t>Year 1: 581 to Year 6: 1</w:t>
            </w:r>
            <w:r w:rsidR="00B0271C" w:rsidRPr="00F04A75">
              <w:t>,</w:t>
            </w:r>
            <w:r w:rsidRPr="00F04A75">
              <w:t>014</w:t>
            </w:r>
          </w:p>
        </w:tc>
        <w:tc>
          <w:tcPr>
            <w:tcW w:w="1780" w:type="pct"/>
            <w:shd w:val="clear" w:color="auto" w:fill="auto"/>
            <w:vAlign w:val="center"/>
          </w:tcPr>
          <w:p w14:paraId="754BCABC" w14:textId="77777777" w:rsidR="0094641B" w:rsidRPr="00F04A75" w:rsidRDefault="0094641B" w:rsidP="0094641B">
            <w:pPr>
              <w:pStyle w:val="TableText0"/>
            </w:pPr>
            <w:r w:rsidRPr="00F04A75">
              <w:t xml:space="preserve">The estimated number of patients eligible for treatment with </w:t>
            </w:r>
            <w:proofErr w:type="spellStart"/>
            <w:r w:rsidRPr="00F04A75">
              <w:t>CLd</w:t>
            </w:r>
            <w:proofErr w:type="spellEnd"/>
            <w:r w:rsidRPr="00F04A75">
              <w:t xml:space="preserve"> is uncertain as the resubmission applied assumed substitution rates between the therapies. </w:t>
            </w:r>
          </w:p>
        </w:tc>
      </w:tr>
      <w:tr w:rsidR="0094641B" w:rsidRPr="00F04A75" w14:paraId="6AA458B7" w14:textId="77777777" w:rsidTr="0016658B">
        <w:tc>
          <w:tcPr>
            <w:tcW w:w="950" w:type="pct"/>
            <w:shd w:val="clear" w:color="auto" w:fill="auto"/>
            <w:vAlign w:val="center"/>
          </w:tcPr>
          <w:p w14:paraId="5404E714" w14:textId="77777777" w:rsidR="0094641B" w:rsidRPr="00F04A75" w:rsidRDefault="0094641B" w:rsidP="0094641B">
            <w:pPr>
              <w:pStyle w:val="TableText0"/>
            </w:pPr>
            <w:r w:rsidRPr="00F04A75">
              <w:t>DOT</w:t>
            </w:r>
          </w:p>
        </w:tc>
        <w:tc>
          <w:tcPr>
            <w:tcW w:w="2270" w:type="pct"/>
            <w:shd w:val="clear" w:color="auto" w:fill="auto"/>
            <w:vAlign w:val="center"/>
          </w:tcPr>
          <w:p w14:paraId="5B21BE69" w14:textId="1935825D" w:rsidR="0094641B" w:rsidRPr="00F04A75" w:rsidRDefault="0094641B" w:rsidP="0094641B">
            <w:pPr>
              <w:pStyle w:val="TableText0"/>
              <w:keepNext w:val="0"/>
              <w:widowControl w:val="0"/>
            </w:pPr>
            <w:r w:rsidRPr="00F04A75">
              <w:t xml:space="preserve">4.12 cycles </w:t>
            </w:r>
            <w:r w:rsidR="001B66D9" w:rsidRPr="00F04A75">
              <w:t xml:space="preserve">per year </w:t>
            </w:r>
            <w:r w:rsidRPr="00F04A75">
              <w:t xml:space="preserve">for both </w:t>
            </w:r>
            <w:proofErr w:type="spellStart"/>
            <w:r w:rsidRPr="00F04A75">
              <w:t>CLd</w:t>
            </w:r>
            <w:proofErr w:type="spellEnd"/>
            <w:r w:rsidRPr="00F04A75">
              <w:t xml:space="preserve"> and Cd.</w:t>
            </w:r>
          </w:p>
          <w:p w14:paraId="38929B4F" w14:textId="5B22CB71" w:rsidR="0094641B" w:rsidRPr="00F04A75" w:rsidRDefault="0094641B" w:rsidP="0094641B">
            <w:pPr>
              <w:pStyle w:val="TableText0"/>
            </w:pPr>
            <w:r w:rsidRPr="00F04A75">
              <w:t xml:space="preserve">Based on mean number of scripts in </w:t>
            </w:r>
            <w:r w:rsidR="00E5424B">
              <w:t xml:space="preserve">using </w:t>
            </w:r>
            <w:r w:rsidRPr="00F04A75">
              <w:t xml:space="preserve">DUSC </w:t>
            </w:r>
            <w:r w:rsidR="00E5424B">
              <w:t xml:space="preserve">Secretariat utilisation </w:t>
            </w:r>
            <w:r w:rsidRPr="00F04A75">
              <w:t>data (2018-2020) (24.7= 16.47 weeks)</w:t>
            </w:r>
          </w:p>
        </w:tc>
        <w:tc>
          <w:tcPr>
            <w:tcW w:w="1780" w:type="pct"/>
            <w:shd w:val="clear" w:color="auto" w:fill="auto"/>
            <w:vAlign w:val="center"/>
          </w:tcPr>
          <w:p w14:paraId="6B5D0561" w14:textId="567853E2" w:rsidR="0094641B" w:rsidRPr="00F04A75" w:rsidRDefault="0094641B" w:rsidP="00540999">
            <w:pPr>
              <w:pStyle w:val="TableText0"/>
            </w:pPr>
            <w:r w:rsidRPr="00F04A75">
              <w:t xml:space="preserve">Equal DOTs across regimens </w:t>
            </w:r>
            <w:proofErr w:type="gramStart"/>
            <w:r w:rsidRPr="00F04A75">
              <w:t>was</w:t>
            </w:r>
            <w:proofErr w:type="gramEnd"/>
            <w:r w:rsidRPr="00F04A75">
              <w:t xml:space="preserve"> </w:t>
            </w:r>
            <w:r w:rsidR="00540999" w:rsidRPr="00F04A75">
              <w:t>consistent with the assumption in the CMA</w:t>
            </w:r>
            <w:r w:rsidRPr="00F04A75">
              <w:t>.</w:t>
            </w:r>
          </w:p>
        </w:tc>
      </w:tr>
      <w:tr w:rsidR="0094641B" w:rsidRPr="00F04A75" w14:paraId="7436D91F" w14:textId="77777777" w:rsidTr="0016658B">
        <w:tc>
          <w:tcPr>
            <w:tcW w:w="950" w:type="pct"/>
            <w:shd w:val="clear" w:color="auto" w:fill="auto"/>
            <w:vAlign w:val="center"/>
          </w:tcPr>
          <w:p w14:paraId="3DEC55B3" w14:textId="77777777" w:rsidR="0094641B" w:rsidRPr="00F04A75" w:rsidRDefault="0094641B" w:rsidP="0094641B">
            <w:pPr>
              <w:pStyle w:val="TableText0"/>
            </w:pPr>
            <w:r w:rsidRPr="00F04A75">
              <w:rPr>
                <w:szCs w:val="20"/>
              </w:rPr>
              <w:t>Scripts per course of treatment</w:t>
            </w:r>
          </w:p>
        </w:tc>
        <w:tc>
          <w:tcPr>
            <w:tcW w:w="2270" w:type="pct"/>
            <w:shd w:val="clear" w:color="auto" w:fill="auto"/>
            <w:vAlign w:val="center"/>
          </w:tcPr>
          <w:p w14:paraId="2EA0791D" w14:textId="0E6F5915" w:rsidR="0094641B" w:rsidRPr="00F04A75" w:rsidRDefault="0094641B" w:rsidP="0094641B">
            <w:pPr>
              <w:pStyle w:val="TableText0"/>
            </w:pPr>
            <w:r w:rsidRPr="00F04A75">
              <w:t>Based on DUSC</w:t>
            </w:r>
            <w:r w:rsidR="006E0FBF">
              <w:t xml:space="preserve"> Secretariat data</w:t>
            </w:r>
            <w:r w:rsidRPr="00F04A75">
              <w:t xml:space="preserve"> (100% PBS data). </w:t>
            </w:r>
          </w:p>
          <w:p w14:paraId="5D531324" w14:textId="77777777" w:rsidR="0094641B" w:rsidRPr="00F04A75" w:rsidRDefault="0094641B" w:rsidP="0094641B">
            <w:pPr>
              <w:pStyle w:val="TableText0"/>
              <w:keepNext w:val="0"/>
              <w:widowControl w:val="0"/>
              <w:rPr>
                <w:szCs w:val="20"/>
                <w:u w:val="single"/>
              </w:rPr>
            </w:pPr>
            <w:proofErr w:type="spellStart"/>
            <w:r w:rsidRPr="00F04A75">
              <w:rPr>
                <w:szCs w:val="20"/>
                <w:u w:val="single"/>
              </w:rPr>
              <w:t>CLd</w:t>
            </w:r>
            <w:proofErr w:type="spellEnd"/>
          </w:p>
          <w:p w14:paraId="57124277" w14:textId="66CDC5DA" w:rsidR="0094641B" w:rsidRPr="00F04A75" w:rsidRDefault="0094641B" w:rsidP="0094641B">
            <w:pPr>
              <w:pStyle w:val="TableText0"/>
              <w:keepNext w:val="0"/>
              <w:widowControl w:val="0"/>
              <w:rPr>
                <w:szCs w:val="20"/>
              </w:rPr>
            </w:pPr>
            <w:proofErr w:type="spellStart"/>
            <w:r w:rsidRPr="00F04A75">
              <w:rPr>
                <w:szCs w:val="20"/>
              </w:rPr>
              <w:t>C</w:t>
            </w:r>
            <w:r w:rsidR="007E052A" w:rsidRPr="00F04A75">
              <w:rPr>
                <w:szCs w:val="20"/>
              </w:rPr>
              <w:t>arf</w:t>
            </w:r>
            <w:proofErr w:type="spellEnd"/>
            <w:r w:rsidRPr="00F04A75">
              <w:rPr>
                <w:szCs w:val="20"/>
              </w:rPr>
              <w:t xml:space="preserve"> = 24.7, L</w:t>
            </w:r>
            <w:r w:rsidR="007E052A" w:rsidRPr="00F04A75">
              <w:rPr>
                <w:szCs w:val="20"/>
              </w:rPr>
              <w:t>en</w:t>
            </w:r>
            <w:r w:rsidRPr="00F04A75">
              <w:rPr>
                <w:szCs w:val="20"/>
              </w:rPr>
              <w:t xml:space="preserve"> =</w:t>
            </w:r>
            <w:r w:rsidR="00B0271C" w:rsidRPr="00F04A75">
              <w:rPr>
                <w:szCs w:val="20"/>
              </w:rPr>
              <w:t xml:space="preserve"> </w:t>
            </w:r>
            <w:r w:rsidRPr="00F04A75">
              <w:rPr>
                <w:szCs w:val="20"/>
              </w:rPr>
              <w:t>4.12</w:t>
            </w:r>
          </w:p>
          <w:p w14:paraId="728CA8C4" w14:textId="77777777" w:rsidR="0094641B" w:rsidRPr="00F04A75" w:rsidRDefault="0094641B" w:rsidP="0094641B">
            <w:pPr>
              <w:pStyle w:val="TableText0"/>
              <w:keepNext w:val="0"/>
              <w:widowControl w:val="0"/>
              <w:rPr>
                <w:szCs w:val="20"/>
                <w:u w:val="single"/>
              </w:rPr>
            </w:pPr>
            <w:r w:rsidRPr="00F04A75">
              <w:rPr>
                <w:szCs w:val="20"/>
                <w:u w:val="single"/>
              </w:rPr>
              <w:t>Cd</w:t>
            </w:r>
          </w:p>
          <w:p w14:paraId="193369BB" w14:textId="22AB2546" w:rsidR="0094641B" w:rsidRPr="00F04A75" w:rsidRDefault="0094641B" w:rsidP="0094641B">
            <w:pPr>
              <w:pStyle w:val="TableText0"/>
              <w:keepNext w:val="0"/>
              <w:widowControl w:val="0"/>
              <w:rPr>
                <w:szCs w:val="20"/>
              </w:rPr>
            </w:pPr>
            <w:proofErr w:type="spellStart"/>
            <w:r w:rsidRPr="00F04A75">
              <w:rPr>
                <w:szCs w:val="20"/>
              </w:rPr>
              <w:t>C</w:t>
            </w:r>
            <w:r w:rsidR="007E052A" w:rsidRPr="00F04A75">
              <w:rPr>
                <w:szCs w:val="20"/>
              </w:rPr>
              <w:t>arf</w:t>
            </w:r>
            <w:proofErr w:type="spellEnd"/>
            <w:r w:rsidRPr="00F04A75">
              <w:rPr>
                <w:szCs w:val="20"/>
              </w:rPr>
              <w:t xml:space="preserve"> BIW</w:t>
            </w:r>
            <w:r w:rsidR="00B0271C" w:rsidRPr="00F04A75">
              <w:rPr>
                <w:szCs w:val="20"/>
              </w:rPr>
              <w:t xml:space="preserve"> </w:t>
            </w:r>
            <w:r w:rsidRPr="00F04A75">
              <w:rPr>
                <w:szCs w:val="20"/>
              </w:rPr>
              <w:t>=</w:t>
            </w:r>
            <w:r w:rsidR="00B0271C" w:rsidRPr="00F04A75">
              <w:rPr>
                <w:szCs w:val="20"/>
              </w:rPr>
              <w:t xml:space="preserve"> </w:t>
            </w:r>
            <w:r w:rsidRPr="00F04A75">
              <w:rPr>
                <w:szCs w:val="20"/>
              </w:rPr>
              <w:t>24.7</w:t>
            </w:r>
          </w:p>
          <w:p w14:paraId="646BEE98" w14:textId="018AA4CD" w:rsidR="0094641B" w:rsidRPr="00F04A75" w:rsidRDefault="0094641B" w:rsidP="0094641B">
            <w:pPr>
              <w:pStyle w:val="TableText0"/>
              <w:keepNext w:val="0"/>
              <w:widowControl w:val="0"/>
              <w:rPr>
                <w:szCs w:val="20"/>
              </w:rPr>
            </w:pPr>
            <w:proofErr w:type="spellStart"/>
            <w:r w:rsidRPr="00F04A75">
              <w:rPr>
                <w:szCs w:val="20"/>
              </w:rPr>
              <w:t>C</w:t>
            </w:r>
            <w:r w:rsidR="007E052A" w:rsidRPr="00F04A75">
              <w:rPr>
                <w:szCs w:val="20"/>
              </w:rPr>
              <w:t>arf</w:t>
            </w:r>
            <w:proofErr w:type="spellEnd"/>
            <w:r w:rsidRPr="00F04A75">
              <w:rPr>
                <w:szCs w:val="20"/>
              </w:rPr>
              <w:t xml:space="preserve"> QW</w:t>
            </w:r>
            <w:r w:rsidR="00B0271C" w:rsidRPr="00F04A75">
              <w:rPr>
                <w:szCs w:val="20"/>
              </w:rPr>
              <w:t xml:space="preserve"> =</w:t>
            </w:r>
            <w:r w:rsidRPr="00F04A75">
              <w:rPr>
                <w:szCs w:val="20"/>
              </w:rPr>
              <w:t xml:space="preserve"> 12.35</w:t>
            </w:r>
          </w:p>
          <w:p w14:paraId="1BAD17E2" w14:textId="77777777" w:rsidR="0094641B" w:rsidRPr="00F04A75" w:rsidRDefault="0094641B" w:rsidP="0094641B">
            <w:pPr>
              <w:pStyle w:val="TableText0"/>
            </w:pPr>
            <w:proofErr w:type="spellStart"/>
            <w:r w:rsidRPr="00F04A75">
              <w:t>PBd</w:t>
            </w:r>
            <w:proofErr w:type="spellEnd"/>
            <w:r w:rsidR="00B0271C" w:rsidRPr="00F04A75">
              <w:t xml:space="preserve"> </w:t>
            </w:r>
            <w:r w:rsidRPr="00F04A75">
              <w:t>=</w:t>
            </w:r>
            <w:r w:rsidR="00B0271C" w:rsidRPr="00F04A75">
              <w:t xml:space="preserve"> </w:t>
            </w:r>
            <w:r w:rsidRPr="00F04A75">
              <w:t>5.5</w:t>
            </w:r>
          </w:p>
          <w:p w14:paraId="5A7A0AB2" w14:textId="77777777" w:rsidR="0094641B" w:rsidRPr="00F04A75" w:rsidRDefault="0094641B" w:rsidP="0094641B">
            <w:pPr>
              <w:pStyle w:val="TableText0"/>
            </w:pPr>
            <w:proofErr w:type="spellStart"/>
            <w:r w:rsidRPr="00F04A75">
              <w:t>ELd</w:t>
            </w:r>
            <w:proofErr w:type="spellEnd"/>
            <w:r w:rsidR="00B0271C" w:rsidRPr="00F04A75">
              <w:t xml:space="preserve"> </w:t>
            </w:r>
            <w:r w:rsidRPr="00F04A75">
              <w:t>=</w:t>
            </w:r>
            <w:r w:rsidR="00B0271C" w:rsidRPr="00F04A75">
              <w:t xml:space="preserve"> </w:t>
            </w:r>
            <w:r w:rsidRPr="00F04A75">
              <w:t>12.24</w:t>
            </w:r>
          </w:p>
        </w:tc>
        <w:tc>
          <w:tcPr>
            <w:tcW w:w="1780" w:type="pct"/>
            <w:shd w:val="clear" w:color="auto" w:fill="auto"/>
            <w:vAlign w:val="center"/>
          </w:tcPr>
          <w:p w14:paraId="16F94774" w14:textId="27976539" w:rsidR="0094641B" w:rsidRPr="00F04A75" w:rsidRDefault="004E32F8" w:rsidP="0094641B">
            <w:pPr>
              <w:pStyle w:val="TableText0"/>
            </w:pPr>
            <w:r>
              <w:rPr>
                <w:szCs w:val="20"/>
              </w:rPr>
              <w:t>-</w:t>
            </w:r>
          </w:p>
        </w:tc>
      </w:tr>
      <w:tr w:rsidR="0094641B" w:rsidRPr="00F04A75" w14:paraId="0DFCD472" w14:textId="77777777" w:rsidTr="0016658B">
        <w:tc>
          <w:tcPr>
            <w:tcW w:w="950" w:type="pct"/>
            <w:shd w:val="clear" w:color="auto" w:fill="auto"/>
            <w:vAlign w:val="center"/>
          </w:tcPr>
          <w:p w14:paraId="77346C00" w14:textId="77777777" w:rsidR="0094641B" w:rsidRPr="00F04A75" w:rsidRDefault="0094641B" w:rsidP="0094641B">
            <w:pPr>
              <w:pStyle w:val="TableText0"/>
            </w:pPr>
            <w:r w:rsidRPr="00F04A75">
              <w:t xml:space="preserve">Carfilzomib </w:t>
            </w:r>
          </w:p>
        </w:tc>
        <w:tc>
          <w:tcPr>
            <w:tcW w:w="2270" w:type="pct"/>
            <w:shd w:val="clear" w:color="auto" w:fill="auto"/>
            <w:vAlign w:val="center"/>
          </w:tcPr>
          <w:p w14:paraId="31203203" w14:textId="23F98ECA" w:rsidR="0094641B" w:rsidRPr="00F04A75" w:rsidRDefault="0094641B" w:rsidP="0094641B">
            <w:pPr>
              <w:pStyle w:val="TableText0"/>
            </w:pPr>
            <w:r w:rsidRPr="00F04A75">
              <w:rPr>
                <w:szCs w:val="20"/>
              </w:rPr>
              <w:t>Carfilzomib 60mg - Published: $1,268.94</w:t>
            </w:r>
            <w:r w:rsidRPr="00F04A75">
              <w:rPr>
                <w:szCs w:val="20"/>
              </w:rPr>
              <w:br/>
              <w:t xml:space="preserve">                               Effective: $</w:t>
            </w:r>
            <w:r w:rsidR="000960C3" w:rsidRPr="000960C3">
              <w:rPr>
                <w:color w:val="000000"/>
                <w:spacing w:val="53"/>
                <w:szCs w:val="20"/>
                <w:shd w:val="solid" w:color="000000" w:fill="000000"/>
                <w:fitText w:val="330" w:id="-1506043635"/>
                <w14:textFill>
                  <w14:solidFill>
                    <w14:srgbClr w14:val="000000">
                      <w14:alpha w14:val="100000"/>
                    </w14:srgbClr>
                  </w14:solidFill>
                </w14:textFill>
              </w:rPr>
              <w:t>|||</w:t>
            </w:r>
            <w:r w:rsidR="000960C3" w:rsidRPr="000960C3">
              <w:rPr>
                <w:color w:val="000000"/>
                <w:spacing w:val="1"/>
                <w:szCs w:val="20"/>
                <w:shd w:val="solid" w:color="000000" w:fill="000000"/>
                <w:fitText w:val="330" w:id="-1506043635"/>
                <w14:textFill>
                  <w14:solidFill>
                    <w14:srgbClr w14:val="000000">
                      <w14:alpha w14:val="100000"/>
                    </w14:srgbClr>
                  </w14:solidFill>
                </w14:textFill>
              </w:rPr>
              <w:t>|</w:t>
            </w:r>
          </w:p>
        </w:tc>
        <w:tc>
          <w:tcPr>
            <w:tcW w:w="1780" w:type="pct"/>
            <w:shd w:val="clear" w:color="auto" w:fill="auto"/>
            <w:vAlign w:val="center"/>
          </w:tcPr>
          <w:p w14:paraId="3B2B7A3A" w14:textId="577D9B03" w:rsidR="0094641B" w:rsidRPr="00F04A75" w:rsidRDefault="0094641B" w:rsidP="008C14BC">
            <w:pPr>
              <w:pStyle w:val="TableText0"/>
              <w:keepNext w:val="0"/>
              <w:widowControl w:val="0"/>
            </w:pPr>
            <w:r w:rsidRPr="00F04A75">
              <w:t xml:space="preserve">The drug price was consistent with </w:t>
            </w:r>
            <w:r w:rsidR="008C14BC" w:rsidRPr="00F04A75">
              <w:t>the CMA</w:t>
            </w:r>
            <w:r w:rsidRPr="00F04A75">
              <w:t>.</w:t>
            </w:r>
          </w:p>
        </w:tc>
      </w:tr>
      <w:tr w:rsidR="0094641B" w:rsidRPr="00F04A75" w14:paraId="5CEA0C48" w14:textId="77777777" w:rsidTr="0016658B">
        <w:tc>
          <w:tcPr>
            <w:tcW w:w="950" w:type="pct"/>
            <w:shd w:val="clear" w:color="auto" w:fill="auto"/>
            <w:vAlign w:val="center"/>
          </w:tcPr>
          <w:p w14:paraId="376ED6EE" w14:textId="77777777" w:rsidR="0094641B" w:rsidRPr="00F04A75" w:rsidRDefault="0094641B" w:rsidP="0094641B">
            <w:pPr>
              <w:pStyle w:val="TableText0"/>
            </w:pPr>
            <w:r w:rsidRPr="00F04A75">
              <w:rPr>
                <w:szCs w:val="20"/>
              </w:rPr>
              <w:t>Other medicine included in therapy</w:t>
            </w:r>
          </w:p>
        </w:tc>
        <w:tc>
          <w:tcPr>
            <w:tcW w:w="2270" w:type="pct"/>
            <w:shd w:val="clear" w:color="auto" w:fill="auto"/>
            <w:vAlign w:val="center"/>
          </w:tcPr>
          <w:p w14:paraId="3238472C" w14:textId="77777777" w:rsidR="0094641B" w:rsidRPr="00F04A75" w:rsidRDefault="0094641B" w:rsidP="0094641B">
            <w:pPr>
              <w:pStyle w:val="TableText0"/>
              <w:keepNext w:val="0"/>
              <w:widowControl w:val="0"/>
              <w:rPr>
                <w:szCs w:val="20"/>
              </w:rPr>
            </w:pPr>
            <w:r w:rsidRPr="00F04A75">
              <w:t xml:space="preserve">Lenalidomide 25 mg - </w:t>
            </w:r>
            <w:r w:rsidRPr="00F04A75">
              <w:rPr>
                <w:szCs w:val="20"/>
              </w:rPr>
              <w:t>Published: $5,928.74</w:t>
            </w:r>
          </w:p>
          <w:p w14:paraId="340F2D3D" w14:textId="77777777" w:rsidR="0094641B" w:rsidRPr="00F04A75" w:rsidRDefault="0094641B" w:rsidP="0094641B">
            <w:pPr>
              <w:pStyle w:val="TableText0"/>
              <w:keepNext w:val="0"/>
              <w:widowControl w:val="0"/>
              <w:ind w:left="1654"/>
              <w:rPr>
                <w:szCs w:val="20"/>
              </w:rPr>
            </w:pPr>
            <w:r w:rsidRPr="00F04A75">
              <w:rPr>
                <w:szCs w:val="20"/>
              </w:rPr>
              <w:t>Effective: $2,667.93 (estimated by sponsor)</w:t>
            </w:r>
          </w:p>
        </w:tc>
        <w:tc>
          <w:tcPr>
            <w:tcW w:w="1780" w:type="pct"/>
            <w:shd w:val="clear" w:color="auto" w:fill="auto"/>
            <w:vAlign w:val="center"/>
          </w:tcPr>
          <w:p w14:paraId="45475739" w14:textId="0296DCBC" w:rsidR="0094641B" w:rsidRPr="00F04A75" w:rsidRDefault="0094641B" w:rsidP="00382AE2">
            <w:pPr>
              <w:pStyle w:val="TableText0"/>
              <w:keepNext w:val="0"/>
              <w:widowControl w:val="0"/>
            </w:pPr>
            <w:r w:rsidRPr="00F04A75">
              <w:t>Effective AEMP price for lenalidomide was calculated based on an estimated 55% rebate. Th</w:t>
            </w:r>
            <w:r w:rsidR="00812110" w:rsidRPr="00F04A75">
              <w:t>is was</w:t>
            </w:r>
            <w:r w:rsidRPr="00F04A75">
              <w:t xml:space="preserve"> </w:t>
            </w:r>
            <w:r w:rsidR="00382AE2" w:rsidRPr="00F04A75">
              <w:t xml:space="preserve">also </w:t>
            </w:r>
            <w:r w:rsidRPr="00F04A75">
              <w:t xml:space="preserve">applied in the CMA.  </w:t>
            </w:r>
          </w:p>
        </w:tc>
      </w:tr>
      <w:tr w:rsidR="0094641B" w:rsidRPr="00F04A75" w14:paraId="39672CD2" w14:textId="77777777" w:rsidTr="0016658B">
        <w:tc>
          <w:tcPr>
            <w:tcW w:w="950" w:type="pct"/>
            <w:shd w:val="clear" w:color="auto" w:fill="auto"/>
            <w:vAlign w:val="center"/>
          </w:tcPr>
          <w:p w14:paraId="19E6198C" w14:textId="77777777" w:rsidR="0094641B" w:rsidRPr="00F04A75" w:rsidRDefault="0094641B" w:rsidP="0094641B">
            <w:pPr>
              <w:pStyle w:val="TableText0"/>
              <w:rPr>
                <w:szCs w:val="20"/>
              </w:rPr>
            </w:pPr>
            <w:r w:rsidRPr="00F04A75">
              <w:rPr>
                <w:szCs w:val="20"/>
              </w:rPr>
              <w:t>Comparator</w:t>
            </w:r>
          </w:p>
        </w:tc>
        <w:tc>
          <w:tcPr>
            <w:tcW w:w="2270" w:type="pct"/>
            <w:shd w:val="clear" w:color="auto" w:fill="auto"/>
            <w:vAlign w:val="center"/>
          </w:tcPr>
          <w:p w14:paraId="2B6EDF36" w14:textId="77777777" w:rsidR="0094641B" w:rsidRPr="00F04A75" w:rsidRDefault="0094641B" w:rsidP="0094641B">
            <w:pPr>
              <w:pStyle w:val="TableText0"/>
              <w:keepNext w:val="0"/>
              <w:widowControl w:val="0"/>
              <w:rPr>
                <w:szCs w:val="20"/>
              </w:rPr>
            </w:pPr>
            <w:r w:rsidRPr="00F04A75">
              <w:rPr>
                <w:szCs w:val="20"/>
              </w:rPr>
              <w:t>Carfilzomib (120mg) - Published: $2,537.88</w:t>
            </w:r>
          </w:p>
          <w:p w14:paraId="5775DBCE" w14:textId="0E1E7F6D" w:rsidR="0094641B" w:rsidRPr="00F04A75" w:rsidRDefault="0094641B" w:rsidP="0094641B">
            <w:pPr>
              <w:pStyle w:val="TableText0"/>
              <w:keepNext w:val="0"/>
              <w:widowControl w:val="0"/>
              <w:rPr>
                <w:szCs w:val="20"/>
              </w:rPr>
            </w:pPr>
            <w:r w:rsidRPr="00F04A75">
              <w:rPr>
                <w:szCs w:val="20"/>
              </w:rPr>
              <w:t xml:space="preserve">                                    Effective: $</w:t>
            </w:r>
            <w:r w:rsidR="000960C3" w:rsidRPr="000960C3">
              <w:rPr>
                <w:color w:val="000000"/>
                <w:spacing w:val="53"/>
                <w:szCs w:val="20"/>
                <w:shd w:val="solid" w:color="000000" w:fill="000000"/>
                <w:fitText w:val="330" w:id="-1506043634"/>
                <w14:textFill>
                  <w14:solidFill>
                    <w14:srgbClr w14:val="000000">
                      <w14:alpha w14:val="100000"/>
                    </w14:srgbClr>
                  </w14:solidFill>
                </w14:textFill>
              </w:rPr>
              <w:t>|||</w:t>
            </w:r>
            <w:r w:rsidR="000960C3" w:rsidRPr="000960C3">
              <w:rPr>
                <w:color w:val="000000"/>
                <w:spacing w:val="1"/>
                <w:szCs w:val="20"/>
                <w:shd w:val="solid" w:color="000000" w:fill="000000"/>
                <w:fitText w:val="330" w:id="-1506043634"/>
                <w14:textFill>
                  <w14:solidFill>
                    <w14:srgbClr w14:val="000000">
                      <w14:alpha w14:val="100000"/>
                    </w14:srgbClr>
                  </w14:solidFill>
                </w14:textFill>
              </w:rPr>
              <w:t>|</w:t>
            </w:r>
          </w:p>
          <w:p w14:paraId="5F7E48B9" w14:textId="77777777" w:rsidR="0094641B" w:rsidRPr="00F04A75" w:rsidRDefault="0094641B" w:rsidP="0094641B">
            <w:pPr>
              <w:pStyle w:val="TableText0"/>
              <w:keepNext w:val="0"/>
              <w:widowControl w:val="0"/>
              <w:rPr>
                <w:szCs w:val="20"/>
              </w:rPr>
            </w:pPr>
            <w:r w:rsidRPr="00F04A75">
              <w:rPr>
                <w:szCs w:val="20"/>
              </w:rPr>
              <w:t>Carfilzomib (160mg) - Published: $3,383.84</w:t>
            </w:r>
          </w:p>
          <w:p w14:paraId="0AB8C7B6" w14:textId="6957937B" w:rsidR="0094641B" w:rsidRPr="00F04A75" w:rsidRDefault="0094641B" w:rsidP="0094641B">
            <w:pPr>
              <w:pStyle w:val="TableText0"/>
              <w:keepNext w:val="0"/>
              <w:widowControl w:val="0"/>
              <w:rPr>
                <w:szCs w:val="20"/>
              </w:rPr>
            </w:pPr>
            <w:r w:rsidRPr="00F04A75">
              <w:rPr>
                <w:szCs w:val="20"/>
              </w:rPr>
              <w:t xml:space="preserve">                                    Effective: $</w:t>
            </w:r>
            <w:r w:rsidR="000960C3" w:rsidRPr="000960C3">
              <w:rPr>
                <w:color w:val="000000"/>
                <w:spacing w:val="53"/>
                <w:szCs w:val="20"/>
                <w:shd w:val="solid" w:color="000000" w:fill="000000"/>
                <w:fitText w:val="330" w:id="-1506043633"/>
                <w14:textFill>
                  <w14:solidFill>
                    <w14:srgbClr w14:val="000000">
                      <w14:alpha w14:val="100000"/>
                    </w14:srgbClr>
                  </w14:solidFill>
                </w14:textFill>
              </w:rPr>
              <w:t>|||</w:t>
            </w:r>
            <w:r w:rsidR="000960C3" w:rsidRPr="000960C3">
              <w:rPr>
                <w:color w:val="000000"/>
                <w:spacing w:val="1"/>
                <w:szCs w:val="20"/>
                <w:shd w:val="solid" w:color="000000" w:fill="000000"/>
                <w:fitText w:val="330" w:id="-1506043633"/>
                <w14:textFill>
                  <w14:solidFill>
                    <w14:srgbClr w14:val="000000">
                      <w14:alpha w14:val="100000"/>
                    </w14:srgbClr>
                  </w14:solidFill>
                </w14:textFill>
              </w:rPr>
              <w:t>|</w:t>
            </w:r>
          </w:p>
        </w:tc>
        <w:tc>
          <w:tcPr>
            <w:tcW w:w="1780" w:type="pct"/>
            <w:shd w:val="clear" w:color="auto" w:fill="auto"/>
            <w:vAlign w:val="center"/>
          </w:tcPr>
          <w:p w14:paraId="6DD2572C" w14:textId="1D6028EB" w:rsidR="0094641B" w:rsidRPr="00F04A75" w:rsidRDefault="0094641B" w:rsidP="0094641B">
            <w:pPr>
              <w:pStyle w:val="TableText0"/>
            </w:pPr>
            <w:r w:rsidRPr="00F04A75">
              <w:t xml:space="preserve">The split between the carfilzomib QW and BIW administration was 55% and 45%, respectively. </w:t>
            </w:r>
            <w:r w:rsidR="00540999" w:rsidRPr="00F04A75">
              <w:t>This is inconsistent with the estimates included in the July 2020 PBAC submission for QW Cd (</w:t>
            </w:r>
            <w:r w:rsidR="000960C3" w:rsidRPr="000960C3">
              <w:rPr>
                <w:color w:val="000000"/>
                <w:spacing w:val="53"/>
                <w:shd w:val="solid" w:color="000000" w:fill="000000"/>
                <w:fitText w:val="330" w:id="-1506043632"/>
                <w14:textFill>
                  <w14:solidFill>
                    <w14:srgbClr w14:val="000000">
                      <w14:alpha w14:val="100000"/>
                    </w14:srgbClr>
                  </w14:solidFill>
                </w14:textFill>
              </w:rPr>
              <w:t>|||</w:t>
            </w:r>
            <w:r w:rsidR="000960C3" w:rsidRPr="000960C3">
              <w:rPr>
                <w:color w:val="000000"/>
                <w:spacing w:val="1"/>
                <w:shd w:val="solid" w:color="000000" w:fill="000000"/>
                <w:fitText w:val="330" w:id="-1506043632"/>
                <w14:textFill>
                  <w14:solidFill>
                    <w14:srgbClr w14:val="000000">
                      <w14:alpha w14:val="100000"/>
                    </w14:srgbClr>
                  </w14:solidFill>
                </w14:textFill>
              </w:rPr>
              <w:t>|</w:t>
            </w:r>
            <w:r w:rsidR="00540999" w:rsidRPr="00F04A75">
              <w:t xml:space="preserve">% increasing to </w:t>
            </w:r>
            <w:r w:rsidR="000960C3" w:rsidRPr="000960C3">
              <w:rPr>
                <w:color w:val="000000"/>
                <w:spacing w:val="53"/>
                <w:shd w:val="solid" w:color="000000" w:fill="000000"/>
                <w:fitText w:val="330" w:id="-1506043648"/>
                <w14:textFill>
                  <w14:solidFill>
                    <w14:srgbClr w14:val="000000">
                      <w14:alpha w14:val="100000"/>
                    </w14:srgbClr>
                  </w14:solidFill>
                </w14:textFill>
              </w:rPr>
              <w:t>|||</w:t>
            </w:r>
            <w:r w:rsidR="000960C3" w:rsidRPr="000960C3">
              <w:rPr>
                <w:color w:val="000000"/>
                <w:spacing w:val="1"/>
                <w:shd w:val="solid" w:color="000000" w:fill="000000"/>
                <w:fitText w:val="330" w:id="-1506043648"/>
                <w14:textFill>
                  <w14:solidFill>
                    <w14:srgbClr w14:val="000000">
                      <w14:alpha w14:val="100000"/>
                    </w14:srgbClr>
                  </w14:solidFill>
                </w14:textFill>
              </w:rPr>
              <w:t>|</w:t>
            </w:r>
            <w:r w:rsidR="00540999" w:rsidRPr="00F04A75">
              <w:t>%).</w:t>
            </w:r>
          </w:p>
        </w:tc>
      </w:tr>
      <w:tr w:rsidR="0094641B" w:rsidRPr="00F04A75" w14:paraId="545E86ED" w14:textId="77777777" w:rsidTr="0016658B">
        <w:tc>
          <w:tcPr>
            <w:tcW w:w="950" w:type="pct"/>
            <w:shd w:val="clear" w:color="auto" w:fill="auto"/>
            <w:vAlign w:val="center"/>
          </w:tcPr>
          <w:p w14:paraId="462F3540" w14:textId="77777777" w:rsidR="0094641B" w:rsidRPr="00F04A75" w:rsidRDefault="0094641B" w:rsidP="0094641B">
            <w:pPr>
              <w:pStyle w:val="TableText0"/>
              <w:rPr>
                <w:szCs w:val="20"/>
              </w:rPr>
            </w:pPr>
            <w:r w:rsidRPr="00F04A75">
              <w:t>MBS items</w:t>
            </w:r>
          </w:p>
        </w:tc>
        <w:tc>
          <w:tcPr>
            <w:tcW w:w="2270" w:type="pct"/>
            <w:shd w:val="clear" w:color="auto" w:fill="auto"/>
            <w:vAlign w:val="center"/>
          </w:tcPr>
          <w:p w14:paraId="1C1AC499" w14:textId="77777777" w:rsidR="0094641B" w:rsidRPr="00F04A75" w:rsidRDefault="0094641B" w:rsidP="0094641B">
            <w:pPr>
              <w:pStyle w:val="TableText0"/>
              <w:keepNext w:val="0"/>
              <w:widowControl w:val="0"/>
            </w:pPr>
            <w:r w:rsidRPr="00F04A75">
              <w:rPr>
                <w:szCs w:val="20"/>
              </w:rPr>
              <w:t>MBS Item 13950 (</w:t>
            </w:r>
            <w:r w:rsidRPr="00F04A75">
              <w:rPr>
                <w:rFonts w:cstheme="minorHAnsi"/>
                <w:szCs w:val="22"/>
              </w:rPr>
              <w:t xml:space="preserve">parenteral administration of one or more antineoplastic agents, which is used for infusion of carfilzomib and </w:t>
            </w:r>
            <w:proofErr w:type="spellStart"/>
            <w:r w:rsidRPr="00F04A75">
              <w:rPr>
                <w:rFonts w:cstheme="minorHAnsi"/>
                <w:szCs w:val="22"/>
              </w:rPr>
              <w:t>elotuzumab</w:t>
            </w:r>
            <w:proofErr w:type="spellEnd"/>
            <w:r w:rsidRPr="00F04A75">
              <w:rPr>
                <w:szCs w:val="20"/>
              </w:rPr>
              <w:t>): $112.40</w:t>
            </w:r>
            <w:r w:rsidRPr="00F04A75">
              <w:t xml:space="preserve"> </w:t>
            </w:r>
          </w:p>
        </w:tc>
        <w:tc>
          <w:tcPr>
            <w:tcW w:w="1780" w:type="pct"/>
            <w:shd w:val="clear" w:color="auto" w:fill="auto"/>
            <w:vAlign w:val="center"/>
          </w:tcPr>
          <w:p w14:paraId="49F4EE15" w14:textId="77777777" w:rsidR="0094641B" w:rsidRPr="00F04A75" w:rsidRDefault="0094641B" w:rsidP="0094641B">
            <w:pPr>
              <w:pStyle w:val="TableText0"/>
            </w:pPr>
            <w:r w:rsidRPr="00F04A75">
              <w:t xml:space="preserve">MBS Item was appropriate. </w:t>
            </w:r>
          </w:p>
        </w:tc>
      </w:tr>
    </w:tbl>
    <w:p w14:paraId="496B1022" w14:textId="77777777" w:rsidR="00F97782" w:rsidRPr="00F04A75" w:rsidRDefault="00F97782" w:rsidP="0016658B">
      <w:pPr>
        <w:pStyle w:val="TableFigureFooter"/>
      </w:pPr>
      <w:r w:rsidRPr="00F04A75">
        <w:t>Source: Compiled by the Commentary based on the resubmission</w:t>
      </w:r>
    </w:p>
    <w:p w14:paraId="2B56C09E" w14:textId="0BBE78B3" w:rsidR="00F97782" w:rsidRPr="00F04A75" w:rsidRDefault="00F97782" w:rsidP="0016658B">
      <w:pPr>
        <w:pStyle w:val="TableFigureFooter"/>
      </w:pPr>
      <w:r w:rsidRPr="00F04A75">
        <w:t>AEMP</w:t>
      </w:r>
      <w:r w:rsidR="007E052A" w:rsidRPr="00F04A75">
        <w:t xml:space="preserve"> </w:t>
      </w:r>
      <w:r w:rsidRPr="00F04A75">
        <w:t xml:space="preserve">= approved ex-manufacturer price; </w:t>
      </w:r>
      <w:r w:rsidR="00974FD3" w:rsidRPr="00F04A75">
        <w:t>Bd</w:t>
      </w:r>
      <w:r w:rsidR="007E052A" w:rsidRPr="00F04A75">
        <w:t xml:space="preserve"> </w:t>
      </w:r>
      <w:r w:rsidR="00974FD3" w:rsidRPr="00F04A75">
        <w:t xml:space="preserve">= bortezomib and dexamethasone; </w:t>
      </w:r>
      <w:r w:rsidRPr="00F04A75">
        <w:t>BIW</w:t>
      </w:r>
      <w:r w:rsidR="007E052A" w:rsidRPr="00F04A75">
        <w:t xml:space="preserve"> </w:t>
      </w:r>
      <w:r w:rsidRPr="00F04A75">
        <w:t>=</w:t>
      </w:r>
      <w:r w:rsidR="007E052A" w:rsidRPr="00F04A75">
        <w:t xml:space="preserve"> </w:t>
      </w:r>
      <w:r w:rsidRPr="00F04A75">
        <w:t xml:space="preserve">twice weekly; </w:t>
      </w:r>
      <w:proofErr w:type="spellStart"/>
      <w:r w:rsidR="007E052A" w:rsidRPr="00F04A75">
        <w:t>Carf</w:t>
      </w:r>
      <w:proofErr w:type="spellEnd"/>
      <w:r w:rsidR="007E052A" w:rsidRPr="00F04A75">
        <w:t xml:space="preserve"> = carfilzomib; </w:t>
      </w:r>
      <w:r w:rsidRPr="00F04A75">
        <w:t>Cd</w:t>
      </w:r>
      <w:r w:rsidR="00974FD3" w:rsidRPr="00F04A75">
        <w:t xml:space="preserve"> </w:t>
      </w:r>
      <w:r w:rsidRPr="00F04A75">
        <w:t>=</w:t>
      </w:r>
      <w:r w:rsidR="00974FD3" w:rsidRPr="00F04A75">
        <w:t xml:space="preserve"> </w:t>
      </w:r>
      <w:r w:rsidRPr="00F04A75">
        <w:t xml:space="preserve">carfilzomib and dexamethasone; </w:t>
      </w:r>
      <w:proofErr w:type="spellStart"/>
      <w:r w:rsidRPr="00F04A75">
        <w:t>CLd</w:t>
      </w:r>
      <w:proofErr w:type="spellEnd"/>
      <w:r w:rsidR="00974FD3" w:rsidRPr="00F04A75">
        <w:t xml:space="preserve"> </w:t>
      </w:r>
      <w:r w:rsidRPr="00F04A75">
        <w:t>= carfilzomib</w:t>
      </w:r>
      <w:r w:rsidR="00974FD3" w:rsidRPr="00F04A75">
        <w:t>,</w:t>
      </w:r>
      <w:r w:rsidRPr="00F04A75">
        <w:t xml:space="preserve"> lenalidomide and dexamethasone; </w:t>
      </w:r>
      <w:r w:rsidR="007E052A" w:rsidRPr="00F04A75">
        <w:t xml:space="preserve">CMA = cost minimisation approach; </w:t>
      </w:r>
      <w:r w:rsidRPr="00F04A75">
        <w:t>DOT</w:t>
      </w:r>
      <w:r w:rsidR="007E052A" w:rsidRPr="00F04A75">
        <w:t xml:space="preserve"> </w:t>
      </w:r>
      <w:r w:rsidRPr="00F04A75">
        <w:t>=</w:t>
      </w:r>
      <w:r w:rsidR="007E052A" w:rsidRPr="00F04A75">
        <w:t xml:space="preserve"> </w:t>
      </w:r>
      <w:r w:rsidRPr="00F04A75">
        <w:t>duration of treatment; DUSC</w:t>
      </w:r>
      <w:r w:rsidR="007E052A" w:rsidRPr="00F04A75">
        <w:t xml:space="preserve"> </w:t>
      </w:r>
      <w:r w:rsidRPr="00F04A75">
        <w:t xml:space="preserve">= Drug Utilisation Sub Committee; </w:t>
      </w:r>
      <w:proofErr w:type="spellStart"/>
      <w:r w:rsidR="00974FD3" w:rsidRPr="00F04A75">
        <w:t>ELd</w:t>
      </w:r>
      <w:proofErr w:type="spellEnd"/>
      <w:r w:rsidR="00974FD3" w:rsidRPr="00F04A75">
        <w:t xml:space="preserve"> = </w:t>
      </w:r>
      <w:proofErr w:type="spellStart"/>
      <w:r w:rsidR="00974FD3" w:rsidRPr="00F04A75">
        <w:t>elotuzumab</w:t>
      </w:r>
      <w:proofErr w:type="spellEnd"/>
      <w:r w:rsidR="00974FD3" w:rsidRPr="00F04A75">
        <w:t xml:space="preserve">, lenalidomide and dexamethasone; </w:t>
      </w:r>
      <w:proofErr w:type="spellStart"/>
      <w:r w:rsidR="00974FD3" w:rsidRPr="00F04A75">
        <w:t>Ld</w:t>
      </w:r>
      <w:proofErr w:type="spellEnd"/>
      <w:r w:rsidR="00974FD3" w:rsidRPr="00F04A75">
        <w:t xml:space="preserve"> =</w:t>
      </w:r>
      <w:r w:rsidR="007E052A" w:rsidRPr="00F04A75">
        <w:t xml:space="preserve"> </w:t>
      </w:r>
      <w:r w:rsidR="00974FD3" w:rsidRPr="00F04A75">
        <w:t xml:space="preserve">lenalidomide and dexamethasone; </w:t>
      </w:r>
      <w:r w:rsidR="007E052A" w:rsidRPr="00F04A75">
        <w:t xml:space="preserve">Len = lenalidomide; </w:t>
      </w:r>
      <w:r w:rsidRPr="00F04A75">
        <w:t>MBS</w:t>
      </w:r>
      <w:r w:rsidR="007E052A" w:rsidRPr="00F04A75">
        <w:t xml:space="preserve"> </w:t>
      </w:r>
      <w:r w:rsidRPr="00F04A75">
        <w:t xml:space="preserve">= Medicare Benefits Schedule; </w:t>
      </w:r>
      <w:proofErr w:type="spellStart"/>
      <w:r w:rsidRPr="00F04A75">
        <w:t>PBd</w:t>
      </w:r>
      <w:proofErr w:type="spellEnd"/>
      <w:r w:rsidR="00974FD3" w:rsidRPr="00F04A75">
        <w:t xml:space="preserve"> </w:t>
      </w:r>
      <w:r w:rsidRPr="00F04A75">
        <w:t>=</w:t>
      </w:r>
      <w:r w:rsidR="00974FD3" w:rsidRPr="00F04A75">
        <w:t xml:space="preserve"> </w:t>
      </w:r>
      <w:r w:rsidRPr="00F04A75">
        <w:t>pomalidomide</w:t>
      </w:r>
      <w:r w:rsidR="00974FD3" w:rsidRPr="00F04A75">
        <w:t>,</w:t>
      </w:r>
      <w:r w:rsidRPr="00F04A75">
        <w:t xml:space="preserve"> lenalidomide and dexamethasone</w:t>
      </w:r>
      <w:r w:rsidR="00974FD3" w:rsidRPr="00F04A75">
        <w:t xml:space="preserve">; </w:t>
      </w:r>
      <w:r w:rsidR="007E052A" w:rsidRPr="00F04A75">
        <w:t xml:space="preserve">PBS = Pharmaceutical Benefits Scheme; </w:t>
      </w:r>
      <w:r w:rsidR="00974FD3" w:rsidRPr="00F04A75">
        <w:t xml:space="preserve">Pd = pomalidomide and dexamethasone; </w:t>
      </w:r>
      <w:r w:rsidR="007E052A" w:rsidRPr="00F04A75">
        <w:t xml:space="preserve">QW = once weekly; </w:t>
      </w:r>
      <w:r w:rsidR="00974FD3" w:rsidRPr="00F04A75">
        <w:t>RRMM = relapsed and/or refractory multiple myeloma</w:t>
      </w:r>
    </w:p>
    <w:p w14:paraId="3A284630" w14:textId="05F309A3" w:rsidR="007C63AB" w:rsidRPr="00F04A75" w:rsidRDefault="007C63AB" w:rsidP="00C94815">
      <w:pPr>
        <w:pStyle w:val="3-BodyText"/>
        <w:rPr>
          <w:color w:val="0066FF"/>
        </w:rPr>
      </w:pPr>
      <w:r w:rsidRPr="00F04A75">
        <w:rPr>
          <w:rFonts w:cstheme="minorHAnsi"/>
        </w:rPr>
        <w:t xml:space="preserve">The resubmission claimed that the emergence of triplet combinations will continue to </w:t>
      </w:r>
      <w:r w:rsidR="006E3361" w:rsidRPr="00F04A75">
        <w:rPr>
          <w:rFonts w:cstheme="minorHAnsi"/>
        </w:rPr>
        <w:t>re</w:t>
      </w:r>
      <w:r w:rsidRPr="00F04A75">
        <w:rPr>
          <w:rFonts w:cstheme="minorHAnsi"/>
        </w:rPr>
        <w:t>place doublet combinations (</w:t>
      </w:r>
      <w:proofErr w:type="gramStart"/>
      <w:r w:rsidRPr="00F04A75">
        <w:rPr>
          <w:rFonts w:cstheme="minorHAnsi"/>
        </w:rPr>
        <w:t>i.e.</w:t>
      </w:r>
      <w:proofErr w:type="gramEnd"/>
      <w:r w:rsidRPr="00F04A75">
        <w:rPr>
          <w:rFonts w:cstheme="minorHAnsi"/>
        </w:rPr>
        <w:t xml:space="preserve"> Bd, </w:t>
      </w:r>
      <w:proofErr w:type="spellStart"/>
      <w:r w:rsidRPr="00F04A75">
        <w:rPr>
          <w:rFonts w:cstheme="minorHAnsi"/>
        </w:rPr>
        <w:t>Ld</w:t>
      </w:r>
      <w:proofErr w:type="spellEnd"/>
      <w:r w:rsidRPr="00F04A75">
        <w:rPr>
          <w:rFonts w:cstheme="minorHAnsi"/>
        </w:rPr>
        <w:t xml:space="preserve">, Pd, and </w:t>
      </w:r>
      <w:r w:rsidR="00E719E5" w:rsidRPr="00F04A75">
        <w:rPr>
          <w:rFonts w:cstheme="minorHAnsi"/>
        </w:rPr>
        <w:t>C</w:t>
      </w:r>
      <w:r w:rsidRPr="00F04A75">
        <w:rPr>
          <w:rFonts w:cstheme="minorHAnsi"/>
        </w:rPr>
        <w:t>d). Th</w:t>
      </w:r>
      <w:r w:rsidR="00FF2626" w:rsidRPr="00F04A75">
        <w:rPr>
          <w:rFonts w:cstheme="minorHAnsi"/>
        </w:rPr>
        <w:t xml:space="preserve">e ESC considered this </w:t>
      </w:r>
      <w:r w:rsidRPr="00F04A75">
        <w:rPr>
          <w:rFonts w:cstheme="minorHAnsi"/>
        </w:rPr>
        <w:t>was reasonable and consistent with the NCCN International Guideline</w:t>
      </w:r>
      <w:r w:rsidR="00322A0A" w:rsidRPr="00F04A75">
        <w:rPr>
          <w:rFonts w:cstheme="minorHAnsi"/>
        </w:rPr>
        <w:t>s</w:t>
      </w:r>
      <w:r w:rsidRPr="00F04A75">
        <w:rPr>
          <w:rFonts w:cstheme="minorHAnsi"/>
        </w:rPr>
        <w:t xml:space="preserve"> for MM that recommend triplet regimens as standard therapy in patients with MM.</w:t>
      </w:r>
    </w:p>
    <w:p w14:paraId="361982A5" w14:textId="6D8BC1FD" w:rsidR="00766FDE" w:rsidRPr="00F04A75" w:rsidRDefault="009F0D17" w:rsidP="00C94815">
      <w:pPr>
        <w:pStyle w:val="3-BodyText"/>
      </w:pPr>
      <w:r w:rsidRPr="00F04A75">
        <w:rPr>
          <w:rFonts w:eastAsia="Batang" w:cstheme="minorHAnsi"/>
          <w:szCs w:val="22"/>
        </w:rPr>
        <w:t>The</w:t>
      </w:r>
      <w:r w:rsidR="000279C2" w:rsidRPr="00F04A75">
        <w:rPr>
          <w:rFonts w:eastAsia="Batang" w:cstheme="minorHAnsi"/>
          <w:szCs w:val="22"/>
        </w:rPr>
        <w:t xml:space="preserve"> resubmission estimated the</w:t>
      </w:r>
      <w:r w:rsidRPr="00F04A75">
        <w:rPr>
          <w:rFonts w:eastAsia="Batang" w:cstheme="minorHAnsi"/>
          <w:szCs w:val="22"/>
        </w:rPr>
        <w:t xml:space="preserve"> prevalent patient lines of treatment </w:t>
      </w:r>
      <w:r w:rsidR="000279C2" w:rsidRPr="00F04A75">
        <w:rPr>
          <w:rFonts w:eastAsia="Batang" w:cstheme="minorHAnsi"/>
          <w:szCs w:val="22"/>
        </w:rPr>
        <w:t xml:space="preserve">based on </w:t>
      </w:r>
      <w:r w:rsidR="00AB7A63" w:rsidRPr="00F04A75">
        <w:rPr>
          <w:rFonts w:eastAsia="Batang" w:cstheme="minorHAnsi"/>
          <w:szCs w:val="22"/>
        </w:rPr>
        <w:t>PBS utilisation data</w:t>
      </w:r>
      <w:r w:rsidR="000918E2" w:rsidRPr="00F04A75">
        <w:rPr>
          <w:rFonts w:eastAsia="Batang" w:cstheme="minorHAnsi"/>
          <w:szCs w:val="22"/>
        </w:rPr>
        <w:t xml:space="preserve"> provided by </w:t>
      </w:r>
      <w:r w:rsidR="00A05CF4">
        <w:rPr>
          <w:rFonts w:eastAsia="Batang" w:cstheme="minorHAnsi"/>
          <w:szCs w:val="22"/>
        </w:rPr>
        <w:t xml:space="preserve">the </w:t>
      </w:r>
      <w:r w:rsidR="000918E2" w:rsidRPr="00F04A75">
        <w:rPr>
          <w:rFonts w:eastAsia="Batang" w:cstheme="minorHAnsi"/>
          <w:szCs w:val="22"/>
        </w:rPr>
        <w:t>DUSC</w:t>
      </w:r>
      <w:r w:rsidR="00A05CF4">
        <w:rPr>
          <w:rFonts w:eastAsia="Batang" w:cstheme="minorHAnsi"/>
          <w:szCs w:val="22"/>
        </w:rPr>
        <w:t xml:space="preserve"> Secretariat</w:t>
      </w:r>
      <w:r w:rsidR="000918E2" w:rsidRPr="00F04A75">
        <w:rPr>
          <w:rFonts w:eastAsia="Batang" w:cstheme="minorHAnsi"/>
          <w:szCs w:val="22"/>
        </w:rPr>
        <w:t xml:space="preserve">. The </w:t>
      </w:r>
      <w:r w:rsidR="001825B0" w:rsidRPr="00F04A75">
        <w:rPr>
          <w:rFonts w:eastAsia="Batang" w:cstheme="minorHAnsi"/>
          <w:szCs w:val="22"/>
        </w:rPr>
        <w:t xml:space="preserve">prevalent </w:t>
      </w:r>
      <w:r w:rsidR="000918E2" w:rsidRPr="00F04A75">
        <w:rPr>
          <w:rFonts w:eastAsia="Batang" w:cstheme="minorHAnsi"/>
          <w:szCs w:val="22"/>
        </w:rPr>
        <w:t>patient lines of treat</w:t>
      </w:r>
      <w:r w:rsidR="001825B0" w:rsidRPr="00F04A75">
        <w:rPr>
          <w:rFonts w:eastAsia="Batang" w:cstheme="minorHAnsi"/>
          <w:szCs w:val="22"/>
        </w:rPr>
        <w:t>ment</w:t>
      </w:r>
      <w:r w:rsidR="00AB7A63" w:rsidRPr="00F04A75">
        <w:rPr>
          <w:rFonts w:eastAsia="Batang" w:cstheme="minorHAnsi"/>
          <w:szCs w:val="22"/>
        </w:rPr>
        <w:t xml:space="preserve"> </w:t>
      </w:r>
      <w:r w:rsidRPr="00F04A75">
        <w:rPr>
          <w:rFonts w:eastAsia="Batang" w:cstheme="minorHAnsi"/>
          <w:szCs w:val="22"/>
        </w:rPr>
        <w:t xml:space="preserve">were </w:t>
      </w:r>
      <w:r w:rsidR="001825B0" w:rsidRPr="00F04A75">
        <w:rPr>
          <w:rFonts w:eastAsia="Batang" w:cstheme="minorHAnsi"/>
          <w:szCs w:val="22"/>
        </w:rPr>
        <w:t xml:space="preserve">then </w:t>
      </w:r>
      <w:r w:rsidRPr="00F04A75">
        <w:rPr>
          <w:rFonts w:eastAsia="Batang" w:cstheme="minorHAnsi"/>
          <w:szCs w:val="22"/>
        </w:rPr>
        <w:t xml:space="preserve">extrapolated over </w:t>
      </w:r>
      <w:r w:rsidR="00C40F15" w:rsidRPr="00F04A75">
        <w:rPr>
          <w:rFonts w:eastAsia="Batang" w:cstheme="minorHAnsi"/>
          <w:szCs w:val="22"/>
        </w:rPr>
        <w:t>six years</w:t>
      </w:r>
      <w:r w:rsidRPr="00F04A75">
        <w:rPr>
          <w:rFonts w:eastAsia="Batang" w:cstheme="minorHAnsi"/>
          <w:szCs w:val="22"/>
        </w:rPr>
        <w:t xml:space="preserve"> </w:t>
      </w:r>
      <w:r w:rsidR="0033327D">
        <w:rPr>
          <w:rFonts w:eastAsia="Batang" w:cstheme="minorHAnsi"/>
          <w:szCs w:val="22"/>
        </w:rPr>
        <w:t>with</w:t>
      </w:r>
      <w:r w:rsidR="001825B0" w:rsidRPr="00F04A75">
        <w:rPr>
          <w:rFonts w:eastAsia="Batang" w:cstheme="minorHAnsi"/>
          <w:szCs w:val="22"/>
        </w:rPr>
        <w:t xml:space="preserve"> </w:t>
      </w:r>
      <w:r w:rsidR="002A23F3" w:rsidRPr="00F04A75">
        <w:rPr>
          <w:rFonts w:eastAsia="Batang" w:cstheme="minorHAnsi"/>
          <w:szCs w:val="22"/>
        </w:rPr>
        <w:t xml:space="preserve">the average growth rate </w:t>
      </w:r>
      <w:r w:rsidR="000E2FD2">
        <w:rPr>
          <w:rFonts w:eastAsia="Batang" w:cstheme="minorHAnsi"/>
          <w:szCs w:val="22"/>
        </w:rPr>
        <w:t>for</w:t>
      </w:r>
      <w:r w:rsidR="002A23F3" w:rsidRPr="00F04A75">
        <w:rPr>
          <w:rFonts w:eastAsia="Batang" w:cstheme="minorHAnsi"/>
          <w:szCs w:val="22"/>
        </w:rPr>
        <w:t xml:space="preserve"> 2016 to 2020 of 5.7% </w:t>
      </w:r>
      <w:r w:rsidR="00B673E6">
        <w:rPr>
          <w:rFonts w:eastAsia="Batang" w:cstheme="minorHAnsi"/>
          <w:szCs w:val="22"/>
        </w:rPr>
        <w:t>being</w:t>
      </w:r>
      <w:r w:rsidR="00B673E6" w:rsidRPr="00F04A75">
        <w:rPr>
          <w:rFonts w:eastAsia="Batang" w:cstheme="minorHAnsi"/>
          <w:szCs w:val="22"/>
        </w:rPr>
        <w:t xml:space="preserve"> </w:t>
      </w:r>
      <w:r w:rsidR="002A23F3" w:rsidRPr="00F04A75">
        <w:rPr>
          <w:rFonts w:eastAsia="Batang" w:cstheme="minorHAnsi"/>
          <w:szCs w:val="22"/>
        </w:rPr>
        <w:t>applied to 2021</w:t>
      </w:r>
      <w:r w:rsidR="00B673E6">
        <w:rPr>
          <w:rFonts w:eastAsia="Batang" w:cstheme="minorHAnsi"/>
          <w:szCs w:val="22"/>
        </w:rPr>
        <w:t xml:space="preserve"> </w:t>
      </w:r>
      <w:r w:rsidR="0033327D">
        <w:rPr>
          <w:rFonts w:eastAsia="Batang" w:cstheme="minorHAnsi"/>
          <w:szCs w:val="22"/>
        </w:rPr>
        <w:t xml:space="preserve">together </w:t>
      </w:r>
      <w:r w:rsidR="00B673E6">
        <w:rPr>
          <w:rFonts w:eastAsia="Batang" w:cstheme="minorHAnsi"/>
          <w:szCs w:val="22"/>
        </w:rPr>
        <w:t>with a 10% reduction in the growth rate for each subsequent</w:t>
      </w:r>
      <w:r w:rsidR="00E821B6" w:rsidRPr="00F04A75">
        <w:rPr>
          <w:rFonts w:eastAsia="Batang" w:cstheme="minorHAnsi"/>
          <w:szCs w:val="22"/>
        </w:rPr>
        <w:t xml:space="preserve"> year. T</w:t>
      </w:r>
      <w:r w:rsidRPr="00F04A75">
        <w:rPr>
          <w:rFonts w:eastAsia="Batang" w:cstheme="minorHAnsi"/>
          <w:szCs w:val="22"/>
        </w:rPr>
        <w:t xml:space="preserve">he market share of each RRMM treatment regimen </w:t>
      </w:r>
      <w:r w:rsidR="00C40F15" w:rsidRPr="00F04A75">
        <w:rPr>
          <w:rFonts w:eastAsia="Batang" w:cstheme="minorHAnsi"/>
          <w:szCs w:val="22"/>
        </w:rPr>
        <w:t xml:space="preserve">was </w:t>
      </w:r>
      <w:r w:rsidRPr="00F04A75">
        <w:rPr>
          <w:rFonts w:eastAsia="Batang" w:cstheme="minorHAnsi"/>
          <w:szCs w:val="22"/>
        </w:rPr>
        <w:t xml:space="preserve">forecasted based on </w:t>
      </w:r>
      <w:r w:rsidR="00403E0B" w:rsidRPr="00F04A75">
        <w:rPr>
          <w:rFonts w:eastAsia="Batang" w:cstheme="minorHAnsi"/>
          <w:szCs w:val="22"/>
        </w:rPr>
        <w:t>assume</w:t>
      </w:r>
      <w:r w:rsidR="00982A2C" w:rsidRPr="00F04A75">
        <w:rPr>
          <w:rFonts w:eastAsia="Batang" w:cstheme="minorHAnsi"/>
          <w:szCs w:val="22"/>
        </w:rPr>
        <w:t xml:space="preserve">d </w:t>
      </w:r>
      <w:r w:rsidRPr="00F04A75">
        <w:rPr>
          <w:rFonts w:eastAsia="Batang" w:cstheme="minorHAnsi"/>
          <w:szCs w:val="22"/>
        </w:rPr>
        <w:t>substitution within the market</w:t>
      </w:r>
      <w:r w:rsidR="006C3478" w:rsidRPr="00F04A75">
        <w:rPr>
          <w:rFonts w:eastAsia="Batang" w:cstheme="minorHAnsi"/>
          <w:szCs w:val="22"/>
        </w:rPr>
        <w:t>.</w:t>
      </w:r>
      <w:r w:rsidRPr="00F04A75">
        <w:rPr>
          <w:color w:val="0066FF"/>
        </w:rPr>
        <w:t xml:space="preserve"> </w:t>
      </w:r>
      <w:r w:rsidR="00066806" w:rsidRPr="00F04A75">
        <w:t xml:space="preserve">The estimated overall market share of therapies proposed to be included in </w:t>
      </w:r>
      <w:r w:rsidR="00B673E6">
        <w:t xml:space="preserve">the </w:t>
      </w:r>
      <w:r w:rsidR="00066806" w:rsidRPr="00F04A75">
        <w:t xml:space="preserve">carfilzomib expenditure caps (Cd, </w:t>
      </w:r>
      <w:proofErr w:type="spellStart"/>
      <w:r w:rsidR="00066806" w:rsidRPr="00F04A75">
        <w:t>PB</w:t>
      </w:r>
      <w:r w:rsidR="00B0271C" w:rsidRPr="00F04A75">
        <w:t>d</w:t>
      </w:r>
      <w:proofErr w:type="spellEnd"/>
      <w:r w:rsidR="00066806" w:rsidRPr="00F04A75">
        <w:t xml:space="preserve">, </w:t>
      </w:r>
      <w:proofErr w:type="spellStart"/>
      <w:r w:rsidR="00066806" w:rsidRPr="00F04A75">
        <w:t>ELd</w:t>
      </w:r>
      <w:proofErr w:type="spellEnd"/>
      <w:r w:rsidR="00066806" w:rsidRPr="00F04A75">
        <w:t xml:space="preserve">, </w:t>
      </w:r>
      <w:proofErr w:type="spellStart"/>
      <w:r w:rsidR="00066806" w:rsidRPr="00F04A75">
        <w:t>CLd</w:t>
      </w:r>
      <w:proofErr w:type="spellEnd"/>
      <w:r w:rsidR="00066806" w:rsidRPr="00F04A75">
        <w:t xml:space="preserve">) was 40.8% in </w:t>
      </w:r>
      <w:r w:rsidR="00B0271C" w:rsidRPr="00F04A75">
        <w:t>Y</w:t>
      </w:r>
      <w:r w:rsidR="00066806" w:rsidRPr="00F04A75">
        <w:t xml:space="preserve">ear 1, increasing to 48.4% in </w:t>
      </w:r>
      <w:r w:rsidR="00B0271C" w:rsidRPr="00F04A75">
        <w:t>Y</w:t>
      </w:r>
      <w:r w:rsidR="00066806" w:rsidRPr="00F04A75">
        <w:t>ear 6 of listing</w:t>
      </w:r>
      <w:r w:rsidR="001D3975" w:rsidRPr="00F04A75">
        <w:t xml:space="preserve"> (</w:t>
      </w:r>
      <w:r w:rsidR="00943B47" w:rsidRPr="00F04A75">
        <w:rPr>
          <w:rFonts w:cstheme="minorHAnsi"/>
        </w:rPr>
        <w:fldChar w:fldCharType="begin"/>
      </w:r>
      <w:r w:rsidR="00943B47" w:rsidRPr="00F04A75">
        <w:rPr>
          <w:rFonts w:cstheme="minorHAnsi"/>
        </w:rPr>
        <w:instrText xml:space="preserve"> REF _Ref92166060 \h </w:instrText>
      </w:r>
      <w:r w:rsidR="00837D57" w:rsidRPr="00F04A75">
        <w:rPr>
          <w:rFonts w:cstheme="minorHAnsi"/>
        </w:rPr>
        <w:instrText xml:space="preserve"> \* MERGEFORMAT </w:instrText>
      </w:r>
      <w:r w:rsidR="00943B47" w:rsidRPr="00F04A75">
        <w:rPr>
          <w:rFonts w:cstheme="minorHAnsi"/>
        </w:rPr>
      </w:r>
      <w:r w:rsidR="00943B47" w:rsidRPr="00F04A75">
        <w:rPr>
          <w:rFonts w:cstheme="minorHAnsi"/>
        </w:rPr>
        <w:fldChar w:fldCharType="separate"/>
      </w:r>
      <w:r w:rsidR="00443BC9" w:rsidRPr="00443BC9">
        <w:rPr>
          <w:rFonts w:cstheme="minorHAnsi"/>
        </w:rPr>
        <w:t>Table 16</w:t>
      </w:r>
      <w:r w:rsidR="00943B47" w:rsidRPr="00F04A75">
        <w:rPr>
          <w:rFonts w:cstheme="minorHAnsi"/>
        </w:rPr>
        <w:fldChar w:fldCharType="end"/>
      </w:r>
      <w:r w:rsidR="00C8791A">
        <w:rPr>
          <w:rFonts w:cstheme="minorHAnsi"/>
        </w:rPr>
        <w:t>2</w:t>
      </w:r>
      <w:r w:rsidR="001D3975" w:rsidRPr="00F04A75">
        <w:rPr>
          <w:rFonts w:cstheme="minorHAnsi"/>
        </w:rPr>
        <w:t>)</w:t>
      </w:r>
      <w:r w:rsidR="00066806" w:rsidRPr="00F04A75">
        <w:rPr>
          <w:rFonts w:cstheme="minorHAnsi"/>
        </w:rPr>
        <w:t xml:space="preserve">. </w:t>
      </w:r>
    </w:p>
    <w:p w14:paraId="0BB5BA4D" w14:textId="653890AF" w:rsidR="002B2937" w:rsidRPr="00F04A75" w:rsidRDefault="00066806" w:rsidP="00C94815">
      <w:pPr>
        <w:pStyle w:val="3-BodyText"/>
      </w:pPr>
      <w:proofErr w:type="spellStart"/>
      <w:r w:rsidRPr="00F04A75">
        <w:t>PBd</w:t>
      </w:r>
      <w:proofErr w:type="spellEnd"/>
      <w:r w:rsidRPr="00F04A75">
        <w:t xml:space="preserve"> is currently </w:t>
      </w:r>
      <w:r w:rsidR="00B0271C" w:rsidRPr="00F04A75">
        <w:t xml:space="preserve">the only PBS-listed treatment </w:t>
      </w:r>
      <w:r w:rsidR="004C59C7" w:rsidRPr="00F04A75">
        <w:t xml:space="preserve">added to </w:t>
      </w:r>
      <w:r w:rsidRPr="00F04A75">
        <w:t>the carfilzomib RSA</w:t>
      </w:r>
      <w:r w:rsidR="00812110" w:rsidRPr="00F04A75">
        <w:t xml:space="preserve"> (</w:t>
      </w:r>
      <w:proofErr w:type="spellStart"/>
      <w:r w:rsidR="00812110" w:rsidRPr="00F04A75">
        <w:t>PBd</w:t>
      </w:r>
      <w:proofErr w:type="spellEnd"/>
      <w:r w:rsidR="00812110" w:rsidRPr="00F04A75">
        <w:t xml:space="preserve"> was PBS listed 1 October 2021)</w:t>
      </w:r>
      <w:r w:rsidRPr="00F04A75">
        <w:t xml:space="preserve">. The inclusion </w:t>
      </w:r>
      <w:r w:rsidR="00B0271C" w:rsidRPr="00F04A75">
        <w:t xml:space="preserve">of </w:t>
      </w:r>
      <w:proofErr w:type="spellStart"/>
      <w:r w:rsidR="00B0271C" w:rsidRPr="00F04A75">
        <w:t>ELd</w:t>
      </w:r>
      <w:proofErr w:type="spellEnd"/>
      <w:r w:rsidR="00B0271C" w:rsidRPr="00F04A75">
        <w:t xml:space="preserve"> </w:t>
      </w:r>
      <w:r w:rsidRPr="00F04A75">
        <w:t>was recommended by the PBAC</w:t>
      </w:r>
      <w:r w:rsidR="00B0271C" w:rsidRPr="00F04A75">
        <w:t xml:space="preserve"> in July 2021;</w:t>
      </w:r>
      <w:r w:rsidRPr="00F04A75">
        <w:t xml:space="preserve"> however, the listing has not yet occurred. </w:t>
      </w:r>
      <w:r w:rsidR="006C7DA3" w:rsidRPr="00F04A75">
        <w:t xml:space="preserve">The listing of </w:t>
      </w:r>
      <w:proofErr w:type="spellStart"/>
      <w:r w:rsidR="006C7DA3" w:rsidRPr="00F04A75">
        <w:t>DB</w:t>
      </w:r>
      <w:r w:rsidR="00BD20C1" w:rsidRPr="00F04A75">
        <w:t>d</w:t>
      </w:r>
      <w:proofErr w:type="spellEnd"/>
      <w:r w:rsidR="00BD20C1" w:rsidRPr="00F04A75">
        <w:t xml:space="preserve"> </w:t>
      </w:r>
      <w:r w:rsidR="00E6271B" w:rsidRPr="00F04A75">
        <w:t xml:space="preserve">in </w:t>
      </w:r>
      <w:r w:rsidR="00B0271C" w:rsidRPr="00F04A75">
        <w:t xml:space="preserve">the </w:t>
      </w:r>
      <w:r w:rsidR="00D1153D" w:rsidRPr="00F04A75">
        <w:t>first line</w:t>
      </w:r>
      <w:r w:rsidR="00B0271C" w:rsidRPr="00F04A75">
        <w:t xml:space="preserve"> </w:t>
      </w:r>
      <w:r w:rsidR="00E6271B" w:rsidRPr="00F04A75">
        <w:t xml:space="preserve">RRMM setting </w:t>
      </w:r>
      <w:r w:rsidR="00BD20C1" w:rsidRPr="00F04A75">
        <w:t xml:space="preserve">was </w:t>
      </w:r>
      <w:r w:rsidR="00E6271B" w:rsidRPr="00F04A75">
        <w:t xml:space="preserve">based </w:t>
      </w:r>
      <w:r w:rsidR="00BD20C1" w:rsidRPr="00F04A75">
        <w:t xml:space="preserve">on </w:t>
      </w:r>
      <w:r w:rsidR="00E6271B" w:rsidRPr="00F04A75">
        <w:t xml:space="preserve">cost-effectiveness </w:t>
      </w:r>
      <w:r w:rsidR="0069521D" w:rsidRPr="00F04A75">
        <w:t xml:space="preserve">analysis versus </w:t>
      </w:r>
      <w:proofErr w:type="gramStart"/>
      <w:r w:rsidR="0069521D" w:rsidRPr="00F04A75">
        <w:t>Bd</w:t>
      </w:r>
      <w:proofErr w:type="gramEnd"/>
      <w:r w:rsidR="0069521D" w:rsidRPr="00F04A75">
        <w:t xml:space="preserve"> and </w:t>
      </w:r>
      <w:r w:rsidR="00B0271C" w:rsidRPr="00F04A75">
        <w:t xml:space="preserve">it is </w:t>
      </w:r>
      <w:r w:rsidR="0069521D" w:rsidRPr="00F04A75">
        <w:t xml:space="preserve">therefore </w:t>
      </w:r>
      <w:r w:rsidR="00777BA8" w:rsidRPr="00F04A75">
        <w:t xml:space="preserve">not included in </w:t>
      </w:r>
      <w:r w:rsidR="005C0703" w:rsidRPr="00F04A75">
        <w:t xml:space="preserve">the </w:t>
      </w:r>
      <w:r w:rsidR="0073165B" w:rsidRPr="00F04A75">
        <w:t xml:space="preserve">current </w:t>
      </w:r>
      <w:r w:rsidR="005C0703" w:rsidRPr="00F04A75">
        <w:t>carfilzomib RSA</w:t>
      </w:r>
      <w:r w:rsidR="00777BA8" w:rsidRPr="00F04A75">
        <w:t xml:space="preserve">. </w:t>
      </w:r>
    </w:p>
    <w:p w14:paraId="55B8E4F4" w14:textId="016D2045" w:rsidR="00943B47" w:rsidRPr="00F04A75" w:rsidRDefault="00943B47" w:rsidP="00943B47">
      <w:pPr>
        <w:pStyle w:val="Caption"/>
        <w:spacing w:after="0"/>
        <w:rPr>
          <w:rFonts w:ascii="Arial Narrow" w:hAnsi="Arial Narrow" w:cstheme="minorHAnsi"/>
          <w:color w:val="auto"/>
          <w:sz w:val="20"/>
          <w:szCs w:val="20"/>
          <w:highlight w:val="yellow"/>
        </w:rPr>
      </w:pPr>
      <w:bookmarkStart w:id="59" w:name="_Ref92166060"/>
      <w:r w:rsidRPr="00F04A75">
        <w:rPr>
          <w:rFonts w:ascii="Arial Narrow" w:hAnsi="Arial Narrow"/>
          <w:color w:val="auto"/>
          <w:sz w:val="20"/>
          <w:szCs w:val="20"/>
        </w:rPr>
        <w:t xml:space="preserve">Table </w:t>
      </w:r>
      <w:r w:rsidRPr="00F04A75">
        <w:rPr>
          <w:rFonts w:ascii="Arial Narrow" w:hAnsi="Arial Narrow"/>
          <w:color w:val="auto"/>
          <w:sz w:val="20"/>
          <w:szCs w:val="20"/>
        </w:rPr>
        <w:fldChar w:fldCharType="begin"/>
      </w:r>
      <w:r w:rsidRPr="00F04A75">
        <w:rPr>
          <w:rFonts w:ascii="Arial Narrow" w:hAnsi="Arial Narrow"/>
          <w:color w:val="auto"/>
          <w:sz w:val="20"/>
          <w:szCs w:val="20"/>
        </w:rPr>
        <w:instrText xml:space="preserve"> SEQ Table \* ARABIC </w:instrText>
      </w:r>
      <w:r w:rsidRPr="00F04A75">
        <w:rPr>
          <w:rFonts w:ascii="Arial Narrow" w:hAnsi="Arial Narrow"/>
          <w:color w:val="auto"/>
          <w:sz w:val="20"/>
          <w:szCs w:val="20"/>
        </w:rPr>
        <w:fldChar w:fldCharType="separate"/>
      </w:r>
      <w:r w:rsidR="00443BC9">
        <w:rPr>
          <w:rFonts w:ascii="Arial Narrow" w:hAnsi="Arial Narrow"/>
          <w:noProof/>
          <w:color w:val="auto"/>
          <w:sz w:val="20"/>
          <w:szCs w:val="20"/>
        </w:rPr>
        <w:t>16</w:t>
      </w:r>
      <w:r w:rsidRPr="00F04A75">
        <w:rPr>
          <w:rFonts w:ascii="Arial Narrow" w:hAnsi="Arial Narrow"/>
          <w:color w:val="auto"/>
          <w:sz w:val="20"/>
          <w:szCs w:val="20"/>
        </w:rPr>
        <w:fldChar w:fldCharType="end"/>
      </w:r>
      <w:bookmarkEnd w:id="59"/>
      <w:r w:rsidR="00C8791A">
        <w:rPr>
          <w:rFonts w:ascii="Arial Narrow" w:hAnsi="Arial Narrow"/>
          <w:color w:val="auto"/>
          <w:sz w:val="20"/>
          <w:szCs w:val="20"/>
        </w:rPr>
        <w:t>2</w:t>
      </w:r>
      <w:r w:rsidRPr="00F04A75">
        <w:rPr>
          <w:rFonts w:ascii="Arial Narrow" w:hAnsi="Arial Narrow" w:cstheme="minorHAnsi"/>
          <w:color w:val="auto"/>
          <w:sz w:val="20"/>
          <w:szCs w:val="20"/>
        </w:rPr>
        <w:t>: Current and projected market share of RRMM prevalent lines of treatment 2021 to 2027</w:t>
      </w:r>
    </w:p>
    <w:tbl>
      <w:tblPr>
        <w:tblStyle w:val="TableGridLight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992"/>
        <w:gridCol w:w="709"/>
        <w:gridCol w:w="708"/>
        <w:gridCol w:w="709"/>
        <w:gridCol w:w="709"/>
        <w:gridCol w:w="709"/>
        <w:gridCol w:w="708"/>
      </w:tblGrid>
      <w:tr w:rsidR="00F17C2A" w:rsidRPr="00F04A75" w14:paraId="07134DBB" w14:textId="77777777" w:rsidTr="00F17C2A">
        <w:trPr>
          <w:cnfStyle w:val="100000000000" w:firstRow="1" w:lastRow="0" w:firstColumn="0" w:lastColumn="0" w:oddVBand="0" w:evenVBand="0" w:oddHBand="0" w:evenHBand="0" w:firstRowFirstColumn="0" w:firstRowLastColumn="0" w:lastRowFirstColumn="0" w:lastRowLastColumn="0"/>
          <w:trHeight w:val="350"/>
          <w:tblHeader/>
        </w:trPr>
        <w:tc>
          <w:tcPr>
            <w:tcW w:w="3823" w:type="dxa"/>
            <w:shd w:val="clear" w:color="auto" w:fill="auto"/>
            <w:noWrap/>
            <w:tcMar>
              <w:left w:w="28" w:type="dxa"/>
              <w:right w:w="28" w:type="dxa"/>
            </w:tcMar>
            <w:vAlign w:val="center"/>
            <w:hideMark/>
          </w:tcPr>
          <w:p w14:paraId="31343B55" w14:textId="77777777" w:rsidR="00943B47" w:rsidRPr="00F04A75" w:rsidRDefault="00943B47" w:rsidP="00B26A7F">
            <w:pPr>
              <w:pStyle w:val="TableText1"/>
              <w:keepNext/>
              <w:spacing w:before="0" w:after="0"/>
              <w:jc w:val="left"/>
              <w:rPr>
                <w:rFonts w:ascii="Arial Narrow" w:hAnsi="Arial Narrow" w:cstheme="minorHAnsi"/>
                <w:b/>
                <w:sz w:val="20"/>
                <w:szCs w:val="20"/>
                <w:highlight w:val="yellow"/>
                <w:lang w:val="en-AU"/>
              </w:rPr>
            </w:pPr>
            <w:r w:rsidRPr="00F04A75">
              <w:rPr>
                <w:rFonts w:ascii="Arial Narrow" w:hAnsi="Arial Narrow" w:cstheme="minorHAnsi"/>
                <w:b/>
                <w:sz w:val="20"/>
                <w:szCs w:val="20"/>
                <w:lang w:val="en-AU"/>
              </w:rPr>
              <w:t>RRMM treatment</w:t>
            </w:r>
          </w:p>
        </w:tc>
        <w:tc>
          <w:tcPr>
            <w:tcW w:w="992" w:type="dxa"/>
            <w:shd w:val="clear" w:color="auto" w:fill="auto"/>
            <w:tcMar>
              <w:left w:w="28" w:type="dxa"/>
              <w:right w:w="28" w:type="dxa"/>
            </w:tcMar>
            <w:vAlign w:val="center"/>
            <w:hideMark/>
          </w:tcPr>
          <w:p w14:paraId="3BD50BCA" w14:textId="77777777" w:rsidR="00943B47" w:rsidRPr="00F04A75" w:rsidRDefault="00943B47" w:rsidP="00B26A7F">
            <w:pPr>
              <w:pStyle w:val="TableText1"/>
              <w:keepNext/>
              <w:spacing w:before="0" w:after="0"/>
              <w:jc w:val="center"/>
              <w:rPr>
                <w:rFonts w:ascii="Arial Narrow" w:hAnsi="Arial Narrow" w:cstheme="minorHAnsi"/>
                <w:b/>
                <w:sz w:val="20"/>
                <w:szCs w:val="20"/>
                <w:lang w:val="en-AU"/>
              </w:rPr>
            </w:pPr>
            <w:r w:rsidRPr="00F04A75">
              <w:rPr>
                <w:rFonts w:ascii="Arial Narrow" w:hAnsi="Arial Narrow" w:cstheme="minorHAnsi"/>
                <w:b/>
                <w:sz w:val="20"/>
                <w:szCs w:val="20"/>
                <w:lang w:val="en-AU"/>
              </w:rPr>
              <w:t>2021</w:t>
            </w:r>
          </w:p>
          <w:p w14:paraId="77320B0A" w14:textId="77777777" w:rsidR="00943B47" w:rsidRPr="00F04A75" w:rsidRDefault="00943B47" w:rsidP="00B26A7F">
            <w:pPr>
              <w:pStyle w:val="TableText1"/>
              <w:keepNext/>
              <w:spacing w:before="0" w:after="0"/>
              <w:jc w:val="center"/>
              <w:rPr>
                <w:rFonts w:ascii="Arial Narrow" w:hAnsi="Arial Narrow" w:cstheme="minorHAnsi"/>
                <w:b/>
                <w:sz w:val="20"/>
                <w:szCs w:val="20"/>
                <w:lang w:val="en-AU"/>
              </w:rPr>
            </w:pPr>
          </w:p>
        </w:tc>
        <w:tc>
          <w:tcPr>
            <w:tcW w:w="709" w:type="dxa"/>
            <w:shd w:val="clear" w:color="auto" w:fill="auto"/>
            <w:tcMar>
              <w:left w:w="28" w:type="dxa"/>
              <w:right w:w="28" w:type="dxa"/>
            </w:tcMar>
            <w:vAlign w:val="center"/>
            <w:hideMark/>
          </w:tcPr>
          <w:p w14:paraId="55DE637C" w14:textId="77777777" w:rsidR="00943B47" w:rsidRPr="00F04A75" w:rsidRDefault="00943B47" w:rsidP="00B26A7F">
            <w:pPr>
              <w:pStyle w:val="TableText1"/>
              <w:keepNext/>
              <w:spacing w:before="0" w:after="0"/>
              <w:jc w:val="center"/>
              <w:rPr>
                <w:rFonts w:ascii="Arial Narrow" w:hAnsi="Arial Narrow" w:cstheme="minorHAnsi"/>
                <w:b/>
                <w:sz w:val="20"/>
                <w:szCs w:val="20"/>
                <w:lang w:val="en-AU"/>
              </w:rPr>
            </w:pPr>
            <w:r w:rsidRPr="00F04A75">
              <w:rPr>
                <w:rFonts w:ascii="Arial Narrow" w:hAnsi="Arial Narrow" w:cstheme="minorHAnsi"/>
                <w:b/>
                <w:sz w:val="20"/>
                <w:szCs w:val="20"/>
                <w:lang w:val="en-AU"/>
              </w:rPr>
              <w:t>2022</w:t>
            </w:r>
          </w:p>
          <w:p w14:paraId="4F9B78C4" w14:textId="77777777" w:rsidR="00943B47" w:rsidRPr="00F04A75" w:rsidRDefault="00943B47" w:rsidP="00B26A7F">
            <w:pPr>
              <w:pStyle w:val="TableText1"/>
              <w:keepNext/>
              <w:spacing w:before="0" w:after="0"/>
              <w:jc w:val="center"/>
              <w:rPr>
                <w:rFonts w:ascii="Arial Narrow" w:hAnsi="Arial Narrow" w:cstheme="minorHAnsi"/>
                <w:b/>
                <w:sz w:val="20"/>
                <w:szCs w:val="20"/>
                <w:lang w:val="en-AU"/>
              </w:rPr>
            </w:pPr>
            <w:r w:rsidRPr="00F04A75">
              <w:rPr>
                <w:rFonts w:ascii="Arial Narrow" w:hAnsi="Arial Narrow" w:cstheme="minorHAnsi"/>
                <w:b/>
                <w:sz w:val="20"/>
                <w:szCs w:val="20"/>
                <w:lang w:val="en-AU"/>
              </w:rPr>
              <w:t>Year 1</w:t>
            </w:r>
          </w:p>
        </w:tc>
        <w:tc>
          <w:tcPr>
            <w:tcW w:w="708" w:type="dxa"/>
            <w:shd w:val="clear" w:color="auto" w:fill="auto"/>
            <w:tcMar>
              <w:left w:w="28" w:type="dxa"/>
              <w:right w:w="28" w:type="dxa"/>
            </w:tcMar>
            <w:vAlign w:val="center"/>
            <w:hideMark/>
          </w:tcPr>
          <w:p w14:paraId="1A74E68D" w14:textId="77777777" w:rsidR="00943B47" w:rsidRPr="00F04A75" w:rsidRDefault="00943B47" w:rsidP="00B26A7F">
            <w:pPr>
              <w:pStyle w:val="TableText1"/>
              <w:keepNext/>
              <w:spacing w:before="0" w:after="0"/>
              <w:jc w:val="center"/>
              <w:rPr>
                <w:rFonts w:ascii="Arial Narrow" w:hAnsi="Arial Narrow" w:cstheme="minorHAnsi"/>
                <w:b/>
                <w:sz w:val="20"/>
                <w:szCs w:val="20"/>
                <w:lang w:val="en-AU"/>
              </w:rPr>
            </w:pPr>
            <w:r w:rsidRPr="00F04A75">
              <w:rPr>
                <w:rFonts w:ascii="Arial Narrow" w:hAnsi="Arial Narrow" w:cstheme="minorHAnsi"/>
                <w:b/>
                <w:sz w:val="20"/>
                <w:szCs w:val="20"/>
                <w:lang w:val="en-AU"/>
              </w:rPr>
              <w:t>2023</w:t>
            </w:r>
          </w:p>
          <w:p w14:paraId="11BD5F8E" w14:textId="77777777" w:rsidR="00943B47" w:rsidRPr="00F04A75" w:rsidRDefault="00943B47" w:rsidP="00B26A7F">
            <w:pPr>
              <w:pStyle w:val="TableText1"/>
              <w:keepNext/>
              <w:spacing w:before="0" w:after="0"/>
              <w:jc w:val="center"/>
              <w:rPr>
                <w:rFonts w:ascii="Arial Narrow" w:hAnsi="Arial Narrow" w:cstheme="minorHAnsi"/>
                <w:b/>
                <w:sz w:val="20"/>
                <w:szCs w:val="20"/>
                <w:lang w:val="en-AU"/>
              </w:rPr>
            </w:pPr>
            <w:r w:rsidRPr="00F04A75">
              <w:rPr>
                <w:rFonts w:ascii="Arial Narrow" w:hAnsi="Arial Narrow" w:cstheme="minorHAnsi"/>
                <w:b/>
                <w:sz w:val="20"/>
                <w:szCs w:val="20"/>
                <w:lang w:val="en-AU"/>
              </w:rPr>
              <w:t>Year 2</w:t>
            </w:r>
          </w:p>
        </w:tc>
        <w:tc>
          <w:tcPr>
            <w:tcW w:w="709" w:type="dxa"/>
            <w:shd w:val="clear" w:color="auto" w:fill="auto"/>
            <w:noWrap/>
            <w:tcMar>
              <w:left w:w="28" w:type="dxa"/>
              <w:right w:w="28" w:type="dxa"/>
            </w:tcMar>
            <w:vAlign w:val="center"/>
            <w:hideMark/>
          </w:tcPr>
          <w:p w14:paraId="29078422" w14:textId="77777777" w:rsidR="00943B47" w:rsidRPr="00F04A75" w:rsidRDefault="00943B47" w:rsidP="00B26A7F">
            <w:pPr>
              <w:pStyle w:val="TableText1"/>
              <w:keepNext/>
              <w:spacing w:before="0" w:after="0"/>
              <w:jc w:val="center"/>
              <w:rPr>
                <w:rFonts w:ascii="Arial Narrow" w:hAnsi="Arial Narrow" w:cstheme="minorHAnsi"/>
                <w:b/>
                <w:sz w:val="20"/>
                <w:szCs w:val="20"/>
                <w:lang w:val="en-AU"/>
              </w:rPr>
            </w:pPr>
            <w:r w:rsidRPr="00F04A75">
              <w:rPr>
                <w:rFonts w:ascii="Arial Narrow" w:hAnsi="Arial Narrow" w:cstheme="minorHAnsi"/>
                <w:b/>
                <w:sz w:val="20"/>
                <w:szCs w:val="20"/>
                <w:lang w:val="en-AU"/>
              </w:rPr>
              <w:t>2024</w:t>
            </w:r>
          </w:p>
          <w:p w14:paraId="2064D303" w14:textId="77777777" w:rsidR="00943B47" w:rsidRPr="00F04A75" w:rsidRDefault="00943B47" w:rsidP="00B26A7F">
            <w:pPr>
              <w:pStyle w:val="TableText1"/>
              <w:keepNext/>
              <w:spacing w:before="0" w:after="0"/>
              <w:jc w:val="center"/>
              <w:rPr>
                <w:rFonts w:ascii="Arial Narrow" w:hAnsi="Arial Narrow" w:cstheme="minorHAnsi"/>
                <w:b/>
                <w:sz w:val="20"/>
                <w:szCs w:val="20"/>
                <w:lang w:val="en-AU"/>
              </w:rPr>
            </w:pPr>
            <w:r w:rsidRPr="00F04A75">
              <w:rPr>
                <w:rFonts w:ascii="Arial Narrow" w:hAnsi="Arial Narrow" w:cstheme="minorHAnsi"/>
                <w:b/>
                <w:sz w:val="20"/>
                <w:szCs w:val="20"/>
                <w:lang w:val="en-AU"/>
              </w:rPr>
              <w:t>Year 3</w:t>
            </w:r>
          </w:p>
        </w:tc>
        <w:tc>
          <w:tcPr>
            <w:tcW w:w="709" w:type="dxa"/>
            <w:shd w:val="clear" w:color="auto" w:fill="auto"/>
            <w:noWrap/>
            <w:tcMar>
              <w:left w:w="28" w:type="dxa"/>
              <w:right w:w="28" w:type="dxa"/>
            </w:tcMar>
            <w:vAlign w:val="center"/>
            <w:hideMark/>
          </w:tcPr>
          <w:p w14:paraId="56FFD894" w14:textId="77777777" w:rsidR="00943B47" w:rsidRPr="00F04A75" w:rsidRDefault="00943B47" w:rsidP="00B26A7F">
            <w:pPr>
              <w:pStyle w:val="TableText1"/>
              <w:keepNext/>
              <w:spacing w:before="0" w:after="0"/>
              <w:jc w:val="center"/>
              <w:rPr>
                <w:rFonts w:ascii="Arial Narrow" w:hAnsi="Arial Narrow" w:cstheme="minorHAnsi"/>
                <w:b/>
                <w:sz w:val="20"/>
                <w:szCs w:val="20"/>
                <w:lang w:val="en-AU"/>
              </w:rPr>
            </w:pPr>
            <w:r w:rsidRPr="00F04A75">
              <w:rPr>
                <w:rFonts w:ascii="Arial Narrow" w:hAnsi="Arial Narrow" w:cstheme="minorHAnsi"/>
                <w:b/>
                <w:sz w:val="20"/>
                <w:szCs w:val="20"/>
                <w:lang w:val="en-AU"/>
              </w:rPr>
              <w:t>2025</w:t>
            </w:r>
          </w:p>
          <w:p w14:paraId="30249257" w14:textId="77777777" w:rsidR="00943B47" w:rsidRPr="00F04A75" w:rsidRDefault="00943B47" w:rsidP="00B26A7F">
            <w:pPr>
              <w:pStyle w:val="TableText1"/>
              <w:keepNext/>
              <w:spacing w:before="0" w:after="0"/>
              <w:jc w:val="center"/>
              <w:rPr>
                <w:rFonts w:ascii="Arial Narrow" w:hAnsi="Arial Narrow" w:cstheme="minorHAnsi"/>
                <w:b/>
                <w:sz w:val="20"/>
                <w:szCs w:val="20"/>
                <w:lang w:val="en-AU"/>
              </w:rPr>
            </w:pPr>
            <w:r w:rsidRPr="00F04A75">
              <w:rPr>
                <w:rFonts w:ascii="Arial Narrow" w:hAnsi="Arial Narrow" w:cstheme="minorHAnsi"/>
                <w:b/>
                <w:sz w:val="20"/>
                <w:szCs w:val="20"/>
                <w:lang w:val="en-AU"/>
              </w:rPr>
              <w:t>Year 4</w:t>
            </w:r>
          </w:p>
        </w:tc>
        <w:tc>
          <w:tcPr>
            <w:tcW w:w="709" w:type="dxa"/>
            <w:shd w:val="clear" w:color="auto" w:fill="auto"/>
            <w:noWrap/>
            <w:tcMar>
              <w:left w:w="28" w:type="dxa"/>
              <w:right w:w="28" w:type="dxa"/>
            </w:tcMar>
            <w:vAlign w:val="center"/>
            <w:hideMark/>
          </w:tcPr>
          <w:p w14:paraId="060ECEA7" w14:textId="77777777" w:rsidR="00943B47" w:rsidRPr="00F04A75" w:rsidRDefault="00943B47" w:rsidP="00B26A7F">
            <w:pPr>
              <w:pStyle w:val="TableText1"/>
              <w:keepNext/>
              <w:spacing w:before="0" w:after="0"/>
              <w:jc w:val="center"/>
              <w:rPr>
                <w:rFonts w:ascii="Arial Narrow" w:hAnsi="Arial Narrow" w:cstheme="minorHAnsi"/>
                <w:b/>
                <w:sz w:val="20"/>
                <w:szCs w:val="20"/>
                <w:lang w:val="en-AU"/>
              </w:rPr>
            </w:pPr>
            <w:r w:rsidRPr="00F04A75">
              <w:rPr>
                <w:rFonts w:ascii="Arial Narrow" w:hAnsi="Arial Narrow" w:cstheme="minorHAnsi"/>
                <w:b/>
                <w:sz w:val="20"/>
                <w:szCs w:val="20"/>
                <w:lang w:val="en-AU"/>
              </w:rPr>
              <w:t>2026</w:t>
            </w:r>
          </w:p>
          <w:p w14:paraId="011A953E" w14:textId="77777777" w:rsidR="00943B47" w:rsidRPr="00F04A75" w:rsidRDefault="00943B47" w:rsidP="00B26A7F">
            <w:pPr>
              <w:pStyle w:val="TableText1"/>
              <w:keepNext/>
              <w:spacing w:before="0" w:after="0"/>
              <w:jc w:val="center"/>
              <w:rPr>
                <w:rFonts w:ascii="Arial Narrow" w:hAnsi="Arial Narrow" w:cstheme="minorHAnsi"/>
                <w:b/>
                <w:sz w:val="20"/>
                <w:szCs w:val="20"/>
                <w:lang w:val="en-AU"/>
              </w:rPr>
            </w:pPr>
            <w:r w:rsidRPr="00F04A75">
              <w:rPr>
                <w:rFonts w:ascii="Arial Narrow" w:hAnsi="Arial Narrow" w:cstheme="minorHAnsi"/>
                <w:b/>
                <w:sz w:val="20"/>
                <w:szCs w:val="20"/>
                <w:lang w:val="en-AU"/>
              </w:rPr>
              <w:t>Year 5</w:t>
            </w:r>
          </w:p>
        </w:tc>
        <w:tc>
          <w:tcPr>
            <w:tcW w:w="708" w:type="dxa"/>
            <w:shd w:val="clear" w:color="auto" w:fill="auto"/>
            <w:tcMar>
              <w:left w:w="28" w:type="dxa"/>
              <w:right w:w="28" w:type="dxa"/>
            </w:tcMar>
            <w:vAlign w:val="center"/>
          </w:tcPr>
          <w:p w14:paraId="73DC2451" w14:textId="77777777" w:rsidR="00943B47" w:rsidRPr="00F04A75" w:rsidRDefault="00943B47" w:rsidP="00B26A7F">
            <w:pPr>
              <w:pStyle w:val="TableText1"/>
              <w:keepNext/>
              <w:spacing w:before="0" w:after="0"/>
              <w:jc w:val="center"/>
              <w:rPr>
                <w:rFonts w:ascii="Arial Narrow" w:hAnsi="Arial Narrow" w:cstheme="minorHAnsi"/>
                <w:b/>
                <w:sz w:val="20"/>
                <w:szCs w:val="20"/>
                <w:lang w:val="en-AU"/>
              </w:rPr>
            </w:pPr>
            <w:r w:rsidRPr="00F04A75">
              <w:rPr>
                <w:rFonts w:ascii="Arial Narrow" w:hAnsi="Arial Narrow" w:cstheme="minorHAnsi"/>
                <w:b/>
                <w:sz w:val="20"/>
                <w:szCs w:val="20"/>
                <w:lang w:val="en-AU"/>
              </w:rPr>
              <w:t>2027</w:t>
            </w:r>
          </w:p>
          <w:p w14:paraId="5F6A2B7D" w14:textId="77777777" w:rsidR="00943B47" w:rsidRPr="00F04A75" w:rsidRDefault="00943B47" w:rsidP="00B26A7F">
            <w:pPr>
              <w:pStyle w:val="TableText1"/>
              <w:keepNext/>
              <w:spacing w:before="0" w:after="0"/>
              <w:jc w:val="center"/>
              <w:rPr>
                <w:rFonts w:ascii="Arial Narrow" w:hAnsi="Arial Narrow" w:cstheme="minorHAnsi"/>
                <w:b/>
                <w:sz w:val="20"/>
                <w:szCs w:val="20"/>
                <w:lang w:val="en-AU"/>
              </w:rPr>
            </w:pPr>
            <w:r w:rsidRPr="00F04A75">
              <w:rPr>
                <w:rFonts w:ascii="Arial Narrow" w:hAnsi="Arial Narrow" w:cstheme="minorHAnsi"/>
                <w:b/>
                <w:sz w:val="20"/>
                <w:szCs w:val="20"/>
                <w:lang w:val="en-AU"/>
              </w:rPr>
              <w:t>Year 6</w:t>
            </w:r>
          </w:p>
        </w:tc>
      </w:tr>
      <w:tr w:rsidR="00F17C2A" w:rsidRPr="00F04A75" w14:paraId="3B5E14B7" w14:textId="77777777" w:rsidTr="00F17C2A">
        <w:trPr>
          <w:trHeight w:val="60"/>
        </w:trPr>
        <w:tc>
          <w:tcPr>
            <w:tcW w:w="3823" w:type="dxa"/>
            <w:shd w:val="clear" w:color="auto" w:fill="auto"/>
            <w:noWrap/>
            <w:tcMar>
              <w:left w:w="28" w:type="dxa"/>
              <w:right w:w="28" w:type="dxa"/>
            </w:tcMar>
            <w:vAlign w:val="center"/>
          </w:tcPr>
          <w:p w14:paraId="0A99A0F4" w14:textId="77777777" w:rsidR="00943B47" w:rsidRPr="00F04A75" w:rsidRDefault="00943B47" w:rsidP="00B26A7F">
            <w:pPr>
              <w:pStyle w:val="TableText1"/>
              <w:keepNext/>
              <w:spacing w:before="0" w:after="0"/>
              <w:jc w:val="left"/>
              <w:rPr>
                <w:rFonts w:ascii="Arial Narrow" w:hAnsi="Arial Narrow" w:cstheme="minorHAnsi"/>
                <w:sz w:val="20"/>
                <w:szCs w:val="20"/>
                <w:lang w:val="en-AU"/>
              </w:rPr>
            </w:pPr>
            <w:r w:rsidRPr="00F04A75">
              <w:rPr>
                <w:rFonts w:ascii="Arial Narrow" w:hAnsi="Arial Narrow" w:cstheme="minorHAnsi"/>
                <w:sz w:val="20"/>
                <w:szCs w:val="20"/>
                <w:lang w:val="en-AU"/>
              </w:rPr>
              <w:t>Thalidomide</w:t>
            </w:r>
          </w:p>
        </w:tc>
        <w:tc>
          <w:tcPr>
            <w:tcW w:w="992" w:type="dxa"/>
            <w:shd w:val="clear" w:color="auto" w:fill="auto"/>
            <w:noWrap/>
            <w:tcMar>
              <w:left w:w="28" w:type="dxa"/>
              <w:right w:w="28" w:type="dxa"/>
            </w:tcMar>
            <w:vAlign w:val="center"/>
          </w:tcPr>
          <w:p w14:paraId="42C075F3" w14:textId="77777777" w:rsidR="00943B47" w:rsidRPr="00F04A75" w:rsidRDefault="00943B47" w:rsidP="00B26A7F">
            <w:pPr>
              <w:pStyle w:val="TableText1"/>
              <w:keepNext/>
              <w:spacing w:before="0" w:after="0"/>
              <w:jc w:val="center"/>
              <w:rPr>
                <w:rFonts w:ascii="Arial Narrow" w:hAnsi="Arial Narrow" w:cstheme="minorHAnsi"/>
                <w:sz w:val="20"/>
                <w:szCs w:val="20"/>
                <w:highlight w:val="yellow"/>
                <w:lang w:val="en-AU"/>
              </w:rPr>
            </w:pPr>
            <w:r w:rsidRPr="00F04A75">
              <w:rPr>
                <w:rFonts w:ascii="Arial Narrow" w:hAnsi="Arial Narrow" w:cstheme="minorHAnsi"/>
                <w:sz w:val="20"/>
                <w:szCs w:val="20"/>
                <w:lang w:val="en-AU"/>
              </w:rPr>
              <w:t>3.2%</w:t>
            </w:r>
          </w:p>
        </w:tc>
        <w:tc>
          <w:tcPr>
            <w:tcW w:w="709" w:type="dxa"/>
            <w:shd w:val="clear" w:color="auto" w:fill="auto"/>
            <w:noWrap/>
            <w:tcMar>
              <w:left w:w="28" w:type="dxa"/>
              <w:right w:w="28" w:type="dxa"/>
            </w:tcMar>
            <w:vAlign w:val="center"/>
          </w:tcPr>
          <w:p w14:paraId="6C79C5CA" w14:textId="77777777" w:rsidR="00943B47" w:rsidRPr="00F04A75" w:rsidRDefault="00943B47" w:rsidP="00B26A7F">
            <w:pPr>
              <w:pStyle w:val="TableText1"/>
              <w:keepNext/>
              <w:spacing w:before="0" w:after="0"/>
              <w:jc w:val="center"/>
              <w:rPr>
                <w:rFonts w:ascii="Arial Narrow" w:hAnsi="Arial Narrow" w:cstheme="minorHAnsi"/>
                <w:sz w:val="20"/>
                <w:szCs w:val="20"/>
                <w:highlight w:val="yellow"/>
                <w:lang w:val="en-AU"/>
              </w:rPr>
            </w:pPr>
            <w:r w:rsidRPr="00F04A75">
              <w:rPr>
                <w:rFonts w:ascii="Arial Narrow" w:hAnsi="Arial Narrow" w:cstheme="minorHAnsi"/>
                <w:sz w:val="20"/>
                <w:szCs w:val="20"/>
                <w:lang w:val="en-AU"/>
              </w:rPr>
              <w:t>1.5%</w:t>
            </w:r>
          </w:p>
        </w:tc>
        <w:tc>
          <w:tcPr>
            <w:tcW w:w="708" w:type="dxa"/>
            <w:shd w:val="clear" w:color="auto" w:fill="auto"/>
            <w:noWrap/>
            <w:tcMar>
              <w:left w:w="28" w:type="dxa"/>
              <w:right w:w="28" w:type="dxa"/>
            </w:tcMar>
            <w:vAlign w:val="center"/>
          </w:tcPr>
          <w:p w14:paraId="16A5C069" w14:textId="77777777" w:rsidR="00943B47" w:rsidRPr="00F04A75" w:rsidRDefault="00943B47" w:rsidP="00B26A7F">
            <w:pPr>
              <w:pStyle w:val="TableText1"/>
              <w:keepNext/>
              <w:spacing w:before="0" w:after="0"/>
              <w:jc w:val="center"/>
              <w:rPr>
                <w:rFonts w:ascii="Arial Narrow" w:hAnsi="Arial Narrow" w:cstheme="minorHAnsi"/>
                <w:sz w:val="20"/>
                <w:szCs w:val="20"/>
                <w:highlight w:val="yellow"/>
                <w:lang w:val="en-AU"/>
              </w:rPr>
            </w:pPr>
            <w:r w:rsidRPr="00F04A75">
              <w:rPr>
                <w:rFonts w:ascii="Arial Narrow" w:hAnsi="Arial Narrow" w:cstheme="minorHAnsi"/>
                <w:sz w:val="20"/>
                <w:szCs w:val="20"/>
                <w:lang w:val="en-AU"/>
              </w:rPr>
              <w:t>0.4%</w:t>
            </w:r>
          </w:p>
        </w:tc>
        <w:tc>
          <w:tcPr>
            <w:tcW w:w="709" w:type="dxa"/>
            <w:shd w:val="clear" w:color="auto" w:fill="auto"/>
            <w:noWrap/>
            <w:tcMar>
              <w:left w:w="28" w:type="dxa"/>
              <w:right w:w="28" w:type="dxa"/>
            </w:tcMar>
            <w:vAlign w:val="center"/>
          </w:tcPr>
          <w:p w14:paraId="6FD33084" w14:textId="4824B8E5" w:rsidR="00943B47" w:rsidRPr="00F04A75" w:rsidRDefault="00943B47" w:rsidP="00B26A7F">
            <w:pPr>
              <w:pStyle w:val="TableText1"/>
              <w:keepNext/>
              <w:spacing w:before="0" w:after="0"/>
              <w:jc w:val="center"/>
              <w:rPr>
                <w:rFonts w:ascii="Arial Narrow" w:hAnsi="Arial Narrow" w:cstheme="minorHAnsi"/>
                <w:sz w:val="20"/>
                <w:szCs w:val="20"/>
                <w:highlight w:val="yellow"/>
                <w:lang w:val="en-AU"/>
              </w:rPr>
            </w:pPr>
            <w:r w:rsidRPr="00F04A75">
              <w:rPr>
                <w:rFonts w:ascii="Arial Narrow" w:hAnsi="Arial Narrow" w:cstheme="minorHAnsi"/>
                <w:sz w:val="20"/>
                <w:szCs w:val="20"/>
                <w:lang w:val="en-AU"/>
              </w:rPr>
              <w:t>0</w:t>
            </w:r>
          </w:p>
        </w:tc>
        <w:tc>
          <w:tcPr>
            <w:tcW w:w="709" w:type="dxa"/>
            <w:shd w:val="clear" w:color="auto" w:fill="auto"/>
            <w:noWrap/>
            <w:tcMar>
              <w:left w:w="28" w:type="dxa"/>
              <w:right w:w="28" w:type="dxa"/>
            </w:tcMar>
            <w:vAlign w:val="center"/>
          </w:tcPr>
          <w:p w14:paraId="13F936E2" w14:textId="3EB50A76" w:rsidR="00943B47" w:rsidRPr="00F04A75" w:rsidRDefault="00943B47" w:rsidP="00B26A7F">
            <w:pPr>
              <w:pStyle w:val="TableText1"/>
              <w:keepNext/>
              <w:spacing w:before="0" w:after="0"/>
              <w:jc w:val="center"/>
              <w:rPr>
                <w:rFonts w:ascii="Arial Narrow" w:hAnsi="Arial Narrow" w:cstheme="minorHAnsi"/>
                <w:sz w:val="20"/>
                <w:szCs w:val="20"/>
                <w:highlight w:val="yellow"/>
                <w:lang w:val="en-AU"/>
              </w:rPr>
            </w:pPr>
            <w:r w:rsidRPr="00F04A75">
              <w:rPr>
                <w:rFonts w:ascii="Arial Narrow" w:hAnsi="Arial Narrow" w:cstheme="minorHAnsi"/>
                <w:sz w:val="20"/>
                <w:szCs w:val="20"/>
                <w:lang w:val="en-AU"/>
              </w:rPr>
              <w:t>0</w:t>
            </w:r>
          </w:p>
        </w:tc>
        <w:tc>
          <w:tcPr>
            <w:tcW w:w="709" w:type="dxa"/>
            <w:shd w:val="clear" w:color="auto" w:fill="auto"/>
            <w:noWrap/>
            <w:tcMar>
              <w:left w:w="28" w:type="dxa"/>
              <w:right w:w="28" w:type="dxa"/>
            </w:tcMar>
            <w:vAlign w:val="center"/>
          </w:tcPr>
          <w:p w14:paraId="5ABB4A8D" w14:textId="62060E6C" w:rsidR="00943B47" w:rsidRPr="00F04A75" w:rsidRDefault="00943B47" w:rsidP="00B26A7F">
            <w:pPr>
              <w:pStyle w:val="TableText1"/>
              <w:keepNext/>
              <w:spacing w:before="0" w:after="0"/>
              <w:jc w:val="center"/>
              <w:rPr>
                <w:rFonts w:ascii="Arial Narrow" w:hAnsi="Arial Narrow" w:cstheme="minorHAnsi"/>
                <w:sz w:val="20"/>
                <w:szCs w:val="20"/>
                <w:highlight w:val="yellow"/>
                <w:lang w:val="en-AU"/>
              </w:rPr>
            </w:pPr>
            <w:r w:rsidRPr="00F04A75">
              <w:rPr>
                <w:rFonts w:ascii="Arial Narrow" w:hAnsi="Arial Narrow" w:cstheme="minorHAnsi"/>
                <w:sz w:val="20"/>
                <w:szCs w:val="20"/>
                <w:lang w:val="en-AU"/>
              </w:rPr>
              <w:t>0</w:t>
            </w:r>
          </w:p>
        </w:tc>
        <w:tc>
          <w:tcPr>
            <w:tcW w:w="708" w:type="dxa"/>
            <w:shd w:val="clear" w:color="auto" w:fill="auto"/>
            <w:tcMar>
              <w:left w:w="28" w:type="dxa"/>
              <w:right w:w="28" w:type="dxa"/>
            </w:tcMar>
            <w:vAlign w:val="center"/>
          </w:tcPr>
          <w:p w14:paraId="5E27E3E1" w14:textId="0D405EF3" w:rsidR="00943B47" w:rsidRPr="00F04A75" w:rsidRDefault="00943B47" w:rsidP="00B26A7F">
            <w:pPr>
              <w:pStyle w:val="TableText1"/>
              <w:keepNext/>
              <w:spacing w:before="0" w:after="0"/>
              <w:jc w:val="center"/>
              <w:rPr>
                <w:rFonts w:ascii="Arial Narrow" w:hAnsi="Arial Narrow" w:cstheme="minorHAnsi"/>
                <w:sz w:val="20"/>
                <w:szCs w:val="20"/>
                <w:lang w:val="en-AU"/>
              </w:rPr>
            </w:pPr>
            <w:r w:rsidRPr="00F04A75">
              <w:rPr>
                <w:rFonts w:ascii="Arial Narrow" w:hAnsi="Arial Narrow" w:cstheme="minorHAnsi"/>
                <w:sz w:val="20"/>
                <w:szCs w:val="20"/>
                <w:lang w:val="en-AU"/>
              </w:rPr>
              <w:t>0</w:t>
            </w:r>
          </w:p>
        </w:tc>
      </w:tr>
      <w:tr w:rsidR="00F17C2A" w:rsidRPr="00F04A75" w14:paraId="03604FC6" w14:textId="77777777" w:rsidTr="00F17C2A">
        <w:trPr>
          <w:trHeight w:val="109"/>
        </w:trPr>
        <w:tc>
          <w:tcPr>
            <w:tcW w:w="3823" w:type="dxa"/>
            <w:shd w:val="clear" w:color="auto" w:fill="auto"/>
            <w:noWrap/>
            <w:tcMar>
              <w:left w:w="28" w:type="dxa"/>
              <w:right w:w="28" w:type="dxa"/>
            </w:tcMar>
            <w:vAlign w:val="center"/>
          </w:tcPr>
          <w:p w14:paraId="234D927D" w14:textId="77777777" w:rsidR="00943B47" w:rsidRPr="00F04A75" w:rsidRDefault="00943B47" w:rsidP="00B26A7F">
            <w:pPr>
              <w:pStyle w:val="TableText1"/>
              <w:keepNext/>
              <w:spacing w:before="0" w:after="0"/>
              <w:jc w:val="left"/>
              <w:rPr>
                <w:rFonts w:ascii="Arial Narrow" w:hAnsi="Arial Narrow" w:cstheme="minorHAnsi"/>
                <w:sz w:val="20"/>
                <w:szCs w:val="20"/>
                <w:lang w:val="en-AU"/>
              </w:rPr>
            </w:pPr>
            <w:r w:rsidRPr="00F04A75">
              <w:rPr>
                <w:rFonts w:ascii="Arial Narrow" w:hAnsi="Arial Narrow" w:cstheme="minorHAnsi"/>
                <w:sz w:val="20"/>
                <w:szCs w:val="20"/>
                <w:lang w:val="en-AU"/>
              </w:rPr>
              <w:t>Bortezomib</w:t>
            </w:r>
          </w:p>
        </w:tc>
        <w:tc>
          <w:tcPr>
            <w:tcW w:w="992" w:type="dxa"/>
            <w:shd w:val="clear" w:color="auto" w:fill="auto"/>
            <w:noWrap/>
            <w:tcMar>
              <w:left w:w="28" w:type="dxa"/>
              <w:right w:w="28" w:type="dxa"/>
            </w:tcMar>
            <w:vAlign w:val="center"/>
          </w:tcPr>
          <w:p w14:paraId="71F98F5D" w14:textId="77777777" w:rsidR="00943B47" w:rsidRPr="00F04A75" w:rsidRDefault="00943B47" w:rsidP="00B26A7F">
            <w:pPr>
              <w:pStyle w:val="TableText1"/>
              <w:keepNext/>
              <w:spacing w:before="0" w:after="0"/>
              <w:jc w:val="center"/>
              <w:rPr>
                <w:rFonts w:ascii="Arial Narrow" w:hAnsi="Arial Narrow" w:cstheme="minorHAnsi"/>
                <w:sz w:val="20"/>
                <w:szCs w:val="20"/>
                <w:highlight w:val="yellow"/>
                <w:lang w:val="en-AU"/>
              </w:rPr>
            </w:pPr>
            <w:r w:rsidRPr="00F04A75">
              <w:rPr>
                <w:rFonts w:ascii="Arial Narrow" w:hAnsi="Arial Narrow" w:cstheme="minorHAnsi"/>
                <w:sz w:val="20"/>
                <w:szCs w:val="20"/>
                <w:lang w:val="en-AU"/>
              </w:rPr>
              <w:t>5.7%</w:t>
            </w:r>
          </w:p>
        </w:tc>
        <w:tc>
          <w:tcPr>
            <w:tcW w:w="709" w:type="dxa"/>
            <w:shd w:val="clear" w:color="auto" w:fill="auto"/>
            <w:noWrap/>
            <w:tcMar>
              <w:left w:w="28" w:type="dxa"/>
              <w:right w:w="28" w:type="dxa"/>
            </w:tcMar>
            <w:vAlign w:val="center"/>
          </w:tcPr>
          <w:p w14:paraId="0DFDC758" w14:textId="77777777" w:rsidR="00943B47" w:rsidRPr="00F04A75" w:rsidRDefault="00943B47" w:rsidP="00B26A7F">
            <w:pPr>
              <w:pStyle w:val="TableText1"/>
              <w:keepNext/>
              <w:spacing w:before="0" w:after="0"/>
              <w:jc w:val="center"/>
              <w:rPr>
                <w:rFonts w:ascii="Arial Narrow" w:hAnsi="Arial Narrow" w:cstheme="minorHAnsi"/>
                <w:sz w:val="20"/>
                <w:szCs w:val="20"/>
                <w:highlight w:val="yellow"/>
                <w:lang w:val="en-AU"/>
              </w:rPr>
            </w:pPr>
            <w:r w:rsidRPr="00F04A75">
              <w:rPr>
                <w:rFonts w:ascii="Arial Narrow" w:hAnsi="Arial Narrow" w:cstheme="minorHAnsi"/>
                <w:sz w:val="20"/>
                <w:szCs w:val="20"/>
                <w:lang w:val="en-AU"/>
              </w:rPr>
              <w:t>4.9%</w:t>
            </w:r>
          </w:p>
        </w:tc>
        <w:tc>
          <w:tcPr>
            <w:tcW w:w="708" w:type="dxa"/>
            <w:shd w:val="clear" w:color="auto" w:fill="auto"/>
            <w:noWrap/>
            <w:tcMar>
              <w:left w:w="28" w:type="dxa"/>
              <w:right w:w="28" w:type="dxa"/>
            </w:tcMar>
            <w:vAlign w:val="center"/>
          </w:tcPr>
          <w:p w14:paraId="5BD52574" w14:textId="77777777" w:rsidR="00943B47" w:rsidRPr="00F04A75" w:rsidRDefault="00943B47" w:rsidP="00B26A7F">
            <w:pPr>
              <w:pStyle w:val="TableText1"/>
              <w:keepNext/>
              <w:spacing w:before="0" w:after="0"/>
              <w:jc w:val="center"/>
              <w:rPr>
                <w:rFonts w:ascii="Arial Narrow" w:hAnsi="Arial Narrow" w:cstheme="minorHAnsi"/>
                <w:sz w:val="20"/>
                <w:szCs w:val="20"/>
                <w:highlight w:val="yellow"/>
                <w:lang w:val="en-AU"/>
              </w:rPr>
            </w:pPr>
            <w:r w:rsidRPr="00F04A75">
              <w:rPr>
                <w:rFonts w:ascii="Arial Narrow" w:hAnsi="Arial Narrow" w:cstheme="minorHAnsi"/>
                <w:sz w:val="20"/>
                <w:szCs w:val="20"/>
                <w:lang w:val="en-AU"/>
              </w:rPr>
              <w:t>3.7%</w:t>
            </w:r>
          </w:p>
        </w:tc>
        <w:tc>
          <w:tcPr>
            <w:tcW w:w="709" w:type="dxa"/>
            <w:shd w:val="clear" w:color="auto" w:fill="auto"/>
            <w:noWrap/>
            <w:tcMar>
              <w:left w:w="28" w:type="dxa"/>
              <w:right w:w="28" w:type="dxa"/>
            </w:tcMar>
            <w:vAlign w:val="center"/>
          </w:tcPr>
          <w:p w14:paraId="1B0AAC9C" w14:textId="77777777" w:rsidR="00943B47" w:rsidRPr="00F04A75" w:rsidRDefault="00943B47" w:rsidP="00B26A7F">
            <w:pPr>
              <w:pStyle w:val="TableText1"/>
              <w:keepNext/>
              <w:spacing w:before="0" w:after="0"/>
              <w:jc w:val="center"/>
              <w:rPr>
                <w:rFonts w:ascii="Arial Narrow" w:hAnsi="Arial Narrow" w:cstheme="minorHAnsi"/>
                <w:sz w:val="20"/>
                <w:szCs w:val="20"/>
                <w:highlight w:val="yellow"/>
                <w:lang w:val="en-AU"/>
              </w:rPr>
            </w:pPr>
            <w:r w:rsidRPr="00F04A75">
              <w:rPr>
                <w:rFonts w:ascii="Arial Narrow" w:hAnsi="Arial Narrow" w:cstheme="minorHAnsi"/>
                <w:sz w:val="20"/>
                <w:szCs w:val="20"/>
                <w:lang w:val="en-AU"/>
              </w:rPr>
              <w:t>3.0%</w:t>
            </w:r>
          </w:p>
        </w:tc>
        <w:tc>
          <w:tcPr>
            <w:tcW w:w="709" w:type="dxa"/>
            <w:shd w:val="clear" w:color="auto" w:fill="auto"/>
            <w:noWrap/>
            <w:tcMar>
              <w:left w:w="28" w:type="dxa"/>
              <w:right w:w="28" w:type="dxa"/>
            </w:tcMar>
            <w:vAlign w:val="center"/>
          </w:tcPr>
          <w:p w14:paraId="038C8B82" w14:textId="77777777" w:rsidR="00943B47" w:rsidRPr="00F04A75" w:rsidRDefault="00943B47" w:rsidP="00B26A7F">
            <w:pPr>
              <w:pStyle w:val="TableText1"/>
              <w:keepNext/>
              <w:spacing w:before="0" w:after="0"/>
              <w:jc w:val="center"/>
              <w:rPr>
                <w:rFonts w:ascii="Arial Narrow" w:hAnsi="Arial Narrow" w:cstheme="minorHAnsi"/>
                <w:sz w:val="20"/>
                <w:szCs w:val="20"/>
                <w:highlight w:val="yellow"/>
                <w:lang w:val="en-AU"/>
              </w:rPr>
            </w:pPr>
            <w:r w:rsidRPr="00F04A75">
              <w:rPr>
                <w:rFonts w:ascii="Arial Narrow" w:hAnsi="Arial Narrow" w:cstheme="minorHAnsi"/>
                <w:sz w:val="20"/>
                <w:szCs w:val="20"/>
                <w:lang w:val="en-AU"/>
              </w:rPr>
              <w:t>3.0%</w:t>
            </w:r>
          </w:p>
        </w:tc>
        <w:tc>
          <w:tcPr>
            <w:tcW w:w="709" w:type="dxa"/>
            <w:shd w:val="clear" w:color="auto" w:fill="auto"/>
            <w:noWrap/>
            <w:tcMar>
              <w:left w:w="28" w:type="dxa"/>
              <w:right w:w="28" w:type="dxa"/>
            </w:tcMar>
            <w:vAlign w:val="center"/>
          </w:tcPr>
          <w:p w14:paraId="41D09B7F" w14:textId="77777777" w:rsidR="00943B47" w:rsidRPr="00F04A75" w:rsidRDefault="00943B47" w:rsidP="00B26A7F">
            <w:pPr>
              <w:pStyle w:val="TableText1"/>
              <w:keepNext/>
              <w:spacing w:before="0" w:after="0"/>
              <w:jc w:val="center"/>
              <w:rPr>
                <w:rFonts w:ascii="Arial Narrow" w:hAnsi="Arial Narrow" w:cstheme="minorHAnsi"/>
                <w:sz w:val="20"/>
                <w:szCs w:val="20"/>
                <w:highlight w:val="yellow"/>
                <w:lang w:val="en-AU"/>
              </w:rPr>
            </w:pPr>
            <w:r w:rsidRPr="00F04A75">
              <w:rPr>
                <w:rFonts w:ascii="Arial Narrow" w:hAnsi="Arial Narrow" w:cstheme="minorHAnsi"/>
                <w:sz w:val="20"/>
                <w:szCs w:val="20"/>
                <w:lang w:val="en-AU"/>
              </w:rPr>
              <w:t>3.0%</w:t>
            </w:r>
          </w:p>
        </w:tc>
        <w:tc>
          <w:tcPr>
            <w:tcW w:w="708" w:type="dxa"/>
            <w:shd w:val="clear" w:color="auto" w:fill="auto"/>
            <w:tcMar>
              <w:left w:w="28" w:type="dxa"/>
              <w:right w:w="28" w:type="dxa"/>
            </w:tcMar>
            <w:vAlign w:val="center"/>
          </w:tcPr>
          <w:p w14:paraId="7AEA237C" w14:textId="77777777" w:rsidR="00943B47" w:rsidRPr="00F04A75" w:rsidRDefault="00943B47" w:rsidP="00B26A7F">
            <w:pPr>
              <w:pStyle w:val="TableText1"/>
              <w:keepNext/>
              <w:spacing w:before="0" w:after="0"/>
              <w:jc w:val="center"/>
              <w:rPr>
                <w:rFonts w:ascii="Arial Narrow" w:hAnsi="Arial Narrow" w:cstheme="minorHAnsi"/>
                <w:sz w:val="20"/>
                <w:szCs w:val="20"/>
                <w:lang w:val="en-AU"/>
              </w:rPr>
            </w:pPr>
            <w:r w:rsidRPr="00F04A75">
              <w:rPr>
                <w:rFonts w:ascii="Arial Narrow" w:hAnsi="Arial Narrow" w:cstheme="minorHAnsi"/>
                <w:sz w:val="20"/>
                <w:szCs w:val="20"/>
                <w:lang w:val="en-AU"/>
              </w:rPr>
              <w:t>3.0%</w:t>
            </w:r>
          </w:p>
        </w:tc>
      </w:tr>
      <w:tr w:rsidR="00F17C2A" w:rsidRPr="00F04A75" w14:paraId="4D47E003" w14:textId="77777777" w:rsidTr="00F17C2A">
        <w:trPr>
          <w:trHeight w:val="109"/>
        </w:trPr>
        <w:tc>
          <w:tcPr>
            <w:tcW w:w="3823" w:type="dxa"/>
            <w:shd w:val="clear" w:color="auto" w:fill="auto"/>
            <w:noWrap/>
            <w:tcMar>
              <w:left w:w="28" w:type="dxa"/>
              <w:right w:w="28" w:type="dxa"/>
            </w:tcMar>
            <w:vAlign w:val="center"/>
          </w:tcPr>
          <w:p w14:paraId="20E11EFF" w14:textId="77777777" w:rsidR="00943B47" w:rsidRPr="00F04A75" w:rsidRDefault="00943B47" w:rsidP="00B26A7F">
            <w:pPr>
              <w:pStyle w:val="TableText1"/>
              <w:keepNext/>
              <w:spacing w:before="0" w:after="0"/>
              <w:jc w:val="left"/>
              <w:rPr>
                <w:rFonts w:ascii="Arial Narrow" w:hAnsi="Arial Narrow" w:cstheme="minorHAnsi"/>
                <w:sz w:val="20"/>
                <w:szCs w:val="20"/>
                <w:lang w:val="en-AU"/>
              </w:rPr>
            </w:pPr>
            <w:r w:rsidRPr="00F04A75">
              <w:rPr>
                <w:rFonts w:ascii="Arial Narrow" w:hAnsi="Arial Narrow" w:cstheme="minorHAnsi"/>
                <w:sz w:val="20"/>
                <w:szCs w:val="20"/>
                <w:lang w:val="en-AU"/>
              </w:rPr>
              <w:t>Lenalidomide</w:t>
            </w:r>
          </w:p>
        </w:tc>
        <w:tc>
          <w:tcPr>
            <w:tcW w:w="992" w:type="dxa"/>
            <w:shd w:val="clear" w:color="auto" w:fill="auto"/>
            <w:noWrap/>
            <w:tcMar>
              <w:left w:w="28" w:type="dxa"/>
              <w:right w:w="28" w:type="dxa"/>
            </w:tcMar>
            <w:vAlign w:val="center"/>
          </w:tcPr>
          <w:p w14:paraId="776EDBB9" w14:textId="77777777" w:rsidR="00943B47" w:rsidRPr="00F04A75" w:rsidRDefault="00943B47" w:rsidP="00B26A7F">
            <w:pPr>
              <w:pStyle w:val="TableText1"/>
              <w:keepNext/>
              <w:spacing w:before="0" w:after="0"/>
              <w:jc w:val="center"/>
              <w:rPr>
                <w:rFonts w:ascii="Arial Narrow" w:hAnsi="Arial Narrow" w:cstheme="minorHAnsi"/>
                <w:sz w:val="20"/>
                <w:szCs w:val="20"/>
                <w:highlight w:val="yellow"/>
                <w:lang w:val="en-AU"/>
              </w:rPr>
            </w:pPr>
            <w:r w:rsidRPr="00F04A75">
              <w:rPr>
                <w:rFonts w:ascii="Arial Narrow" w:hAnsi="Arial Narrow" w:cstheme="minorHAnsi"/>
                <w:sz w:val="20"/>
                <w:szCs w:val="20"/>
                <w:lang w:val="en-AU"/>
              </w:rPr>
              <w:t>44.2%</w:t>
            </w:r>
          </w:p>
        </w:tc>
        <w:tc>
          <w:tcPr>
            <w:tcW w:w="709" w:type="dxa"/>
            <w:shd w:val="clear" w:color="auto" w:fill="auto"/>
            <w:noWrap/>
            <w:tcMar>
              <w:left w:w="28" w:type="dxa"/>
              <w:right w:w="28" w:type="dxa"/>
            </w:tcMar>
            <w:vAlign w:val="center"/>
          </w:tcPr>
          <w:p w14:paraId="72F04629" w14:textId="77777777" w:rsidR="00943B47" w:rsidRPr="00F04A75" w:rsidRDefault="00943B47" w:rsidP="00B26A7F">
            <w:pPr>
              <w:pStyle w:val="TableText1"/>
              <w:keepNext/>
              <w:spacing w:before="0" w:after="0"/>
              <w:jc w:val="center"/>
              <w:rPr>
                <w:rFonts w:ascii="Arial Narrow" w:hAnsi="Arial Narrow" w:cstheme="minorHAnsi"/>
                <w:sz w:val="20"/>
                <w:szCs w:val="20"/>
                <w:highlight w:val="yellow"/>
                <w:lang w:val="en-AU"/>
              </w:rPr>
            </w:pPr>
            <w:r w:rsidRPr="00F04A75">
              <w:rPr>
                <w:rFonts w:ascii="Arial Narrow" w:hAnsi="Arial Narrow" w:cstheme="minorHAnsi"/>
                <w:sz w:val="20"/>
                <w:szCs w:val="20"/>
                <w:lang w:val="en-AU"/>
              </w:rPr>
              <w:t>24.7%</w:t>
            </w:r>
          </w:p>
        </w:tc>
        <w:tc>
          <w:tcPr>
            <w:tcW w:w="708" w:type="dxa"/>
            <w:shd w:val="clear" w:color="auto" w:fill="auto"/>
            <w:noWrap/>
            <w:tcMar>
              <w:left w:w="28" w:type="dxa"/>
              <w:right w:w="28" w:type="dxa"/>
            </w:tcMar>
            <w:vAlign w:val="center"/>
          </w:tcPr>
          <w:p w14:paraId="06C079C6" w14:textId="77777777" w:rsidR="00943B47" w:rsidRPr="00F04A75" w:rsidRDefault="00943B47" w:rsidP="00B26A7F">
            <w:pPr>
              <w:pStyle w:val="TableText1"/>
              <w:keepNext/>
              <w:spacing w:before="0" w:after="0"/>
              <w:jc w:val="center"/>
              <w:rPr>
                <w:rFonts w:ascii="Arial Narrow" w:hAnsi="Arial Narrow" w:cstheme="minorHAnsi"/>
                <w:sz w:val="20"/>
                <w:szCs w:val="20"/>
                <w:highlight w:val="yellow"/>
                <w:lang w:val="en-AU"/>
              </w:rPr>
            </w:pPr>
            <w:r w:rsidRPr="00F04A75">
              <w:rPr>
                <w:rFonts w:ascii="Arial Narrow" w:hAnsi="Arial Narrow" w:cstheme="minorHAnsi"/>
                <w:sz w:val="20"/>
                <w:szCs w:val="20"/>
                <w:lang w:val="en-AU"/>
              </w:rPr>
              <w:t>18.7%</w:t>
            </w:r>
          </w:p>
        </w:tc>
        <w:tc>
          <w:tcPr>
            <w:tcW w:w="709" w:type="dxa"/>
            <w:shd w:val="clear" w:color="auto" w:fill="auto"/>
            <w:noWrap/>
            <w:tcMar>
              <w:left w:w="28" w:type="dxa"/>
              <w:right w:w="28" w:type="dxa"/>
            </w:tcMar>
            <w:vAlign w:val="center"/>
          </w:tcPr>
          <w:p w14:paraId="210C638B" w14:textId="77777777" w:rsidR="00943B47" w:rsidRPr="00F04A75" w:rsidRDefault="00943B47" w:rsidP="00B26A7F">
            <w:pPr>
              <w:pStyle w:val="TableText1"/>
              <w:keepNext/>
              <w:spacing w:before="0" w:after="0"/>
              <w:jc w:val="center"/>
              <w:rPr>
                <w:rFonts w:ascii="Arial Narrow" w:hAnsi="Arial Narrow" w:cstheme="minorHAnsi"/>
                <w:sz w:val="20"/>
                <w:szCs w:val="20"/>
                <w:highlight w:val="yellow"/>
                <w:lang w:val="en-AU"/>
              </w:rPr>
            </w:pPr>
            <w:r w:rsidRPr="00F04A75">
              <w:rPr>
                <w:rFonts w:ascii="Arial Narrow" w:hAnsi="Arial Narrow" w:cstheme="minorHAnsi"/>
                <w:sz w:val="20"/>
                <w:szCs w:val="20"/>
                <w:lang w:val="en-AU"/>
              </w:rPr>
              <w:t>14.5%</w:t>
            </w:r>
          </w:p>
        </w:tc>
        <w:tc>
          <w:tcPr>
            <w:tcW w:w="709" w:type="dxa"/>
            <w:shd w:val="clear" w:color="auto" w:fill="auto"/>
            <w:noWrap/>
            <w:tcMar>
              <w:left w:w="28" w:type="dxa"/>
              <w:right w:w="28" w:type="dxa"/>
            </w:tcMar>
            <w:vAlign w:val="center"/>
          </w:tcPr>
          <w:p w14:paraId="73539154" w14:textId="77777777" w:rsidR="00943B47" w:rsidRPr="00F04A75" w:rsidRDefault="00943B47" w:rsidP="00B26A7F">
            <w:pPr>
              <w:pStyle w:val="TableText1"/>
              <w:keepNext/>
              <w:spacing w:before="0" w:after="0"/>
              <w:jc w:val="center"/>
              <w:rPr>
                <w:rFonts w:ascii="Arial Narrow" w:hAnsi="Arial Narrow" w:cstheme="minorHAnsi"/>
                <w:sz w:val="20"/>
                <w:szCs w:val="20"/>
                <w:highlight w:val="yellow"/>
                <w:lang w:val="en-AU"/>
              </w:rPr>
            </w:pPr>
            <w:r w:rsidRPr="00F04A75">
              <w:rPr>
                <w:rFonts w:ascii="Arial Narrow" w:hAnsi="Arial Narrow" w:cstheme="minorHAnsi"/>
                <w:sz w:val="20"/>
                <w:szCs w:val="20"/>
                <w:lang w:val="en-AU"/>
              </w:rPr>
              <w:t>14.0%</w:t>
            </w:r>
          </w:p>
        </w:tc>
        <w:tc>
          <w:tcPr>
            <w:tcW w:w="709" w:type="dxa"/>
            <w:shd w:val="clear" w:color="auto" w:fill="auto"/>
            <w:noWrap/>
            <w:tcMar>
              <w:left w:w="28" w:type="dxa"/>
              <w:right w:w="28" w:type="dxa"/>
            </w:tcMar>
            <w:vAlign w:val="center"/>
          </w:tcPr>
          <w:p w14:paraId="67FB2871" w14:textId="77777777" w:rsidR="00943B47" w:rsidRPr="00F04A75" w:rsidRDefault="00943B47" w:rsidP="00B26A7F">
            <w:pPr>
              <w:pStyle w:val="TableText1"/>
              <w:keepNext/>
              <w:spacing w:before="0" w:after="0"/>
              <w:jc w:val="center"/>
              <w:rPr>
                <w:rFonts w:ascii="Arial Narrow" w:hAnsi="Arial Narrow" w:cstheme="minorHAnsi"/>
                <w:sz w:val="20"/>
                <w:szCs w:val="20"/>
                <w:highlight w:val="yellow"/>
                <w:lang w:val="en-AU"/>
              </w:rPr>
            </w:pPr>
            <w:r w:rsidRPr="00F04A75">
              <w:rPr>
                <w:rFonts w:ascii="Arial Narrow" w:hAnsi="Arial Narrow" w:cstheme="minorHAnsi"/>
                <w:sz w:val="20"/>
                <w:szCs w:val="20"/>
                <w:lang w:val="en-AU"/>
              </w:rPr>
              <w:t>13.4%</w:t>
            </w:r>
          </w:p>
        </w:tc>
        <w:tc>
          <w:tcPr>
            <w:tcW w:w="708" w:type="dxa"/>
            <w:shd w:val="clear" w:color="auto" w:fill="auto"/>
            <w:tcMar>
              <w:left w:w="28" w:type="dxa"/>
              <w:right w:w="28" w:type="dxa"/>
            </w:tcMar>
            <w:vAlign w:val="center"/>
          </w:tcPr>
          <w:p w14:paraId="294B6AAB" w14:textId="77777777" w:rsidR="00943B47" w:rsidRPr="00F04A75" w:rsidRDefault="00943B47" w:rsidP="00B26A7F">
            <w:pPr>
              <w:pStyle w:val="TableText1"/>
              <w:keepNext/>
              <w:spacing w:before="0" w:after="0"/>
              <w:jc w:val="center"/>
              <w:rPr>
                <w:rFonts w:ascii="Arial Narrow" w:hAnsi="Arial Narrow" w:cstheme="minorHAnsi"/>
                <w:sz w:val="20"/>
                <w:szCs w:val="20"/>
                <w:lang w:val="en-AU"/>
              </w:rPr>
            </w:pPr>
            <w:r w:rsidRPr="00F04A75">
              <w:rPr>
                <w:rFonts w:ascii="Arial Narrow" w:hAnsi="Arial Narrow" w:cstheme="minorHAnsi"/>
                <w:sz w:val="20"/>
                <w:szCs w:val="20"/>
                <w:lang w:val="en-AU"/>
              </w:rPr>
              <w:t>13.4%</w:t>
            </w:r>
          </w:p>
        </w:tc>
      </w:tr>
      <w:tr w:rsidR="00F17C2A" w:rsidRPr="00F04A75" w14:paraId="0A191460" w14:textId="77777777" w:rsidTr="00F17C2A">
        <w:trPr>
          <w:trHeight w:val="109"/>
        </w:trPr>
        <w:tc>
          <w:tcPr>
            <w:tcW w:w="3823" w:type="dxa"/>
            <w:shd w:val="clear" w:color="auto" w:fill="auto"/>
            <w:noWrap/>
            <w:tcMar>
              <w:left w:w="28" w:type="dxa"/>
              <w:right w:w="28" w:type="dxa"/>
            </w:tcMar>
            <w:vAlign w:val="center"/>
          </w:tcPr>
          <w:p w14:paraId="5969AE47" w14:textId="77777777" w:rsidR="00943B47" w:rsidRPr="00F04A75" w:rsidRDefault="00943B47" w:rsidP="00B26A7F">
            <w:pPr>
              <w:pStyle w:val="TableText1"/>
              <w:keepNext/>
              <w:spacing w:before="0" w:after="0"/>
              <w:jc w:val="left"/>
              <w:rPr>
                <w:rFonts w:ascii="Arial Narrow" w:hAnsi="Arial Narrow" w:cstheme="minorHAnsi"/>
                <w:sz w:val="20"/>
                <w:szCs w:val="20"/>
                <w:lang w:val="en-AU"/>
              </w:rPr>
            </w:pPr>
            <w:r w:rsidRPr="00F04A75">
              <w:rPr>
                <w:rFonts w:ascii="Arial Narrow" w:hAnsi="Arial Narrow" w:cstheme="minorHAnsi"/>
                <w:sz w:val="20"/>
                <w:szCs w:val="20"/>
                <w:lang w:val="en-AU"/>
              </w:rPr>
              <w:t>Pomalidomide</w:t>
            </w:r>
          </w:p>
        </w:tc>
        <w:tc>
          <w:tcPr>
            <w:tcW w:w="992" w:type="dxa"/>
            <w:shd w:val="clear" w:color="auto" w:fill="auto"/>
            <w:noWrap/>
            <w:tcMar>
              <w:left w:w="28" w:type="dxa"/>
              <w:right w:w="28" w:type="dxa"/>
            </w:tcMar>
            <w:vAlign w:val="center"/>
          </w:tcPr>
          <w:p w14:paraId="464FB5CE" w14:textId="77777777" w:rsidR="00943B47" w:rsidRPr="00F04A75" w:rsidRDefault="00943B47" w:rsidP="00B26A7F">
            <w:pPr>
              <w:pStyle w:val="TableText1"/>
              <w:keepNext/>
              <w:spacing w:before="0" w:after="0"/>
              <w:jc w:val="center"/>
              <w:rPr>
                <w:rFonts w:ascii="Arial Narrow" w:hAnsi="Arial Narrow" w:cstheme="minorHAnsi"/>
                <w:sz w:val="20"/>
                <w:szCs w:val="20"/>
                <w:highlight w:val="yellow"/>
                <w:lang w:val="en-AU"/>
              </w:rPr>
            </w:pPr>
            <w:r w:rsidRPr="00F04A75">
              <w:rPr>
                <w:rFonts w:ascii="Arial Narrow" w:hAnsi="Arial Narrow" w:cstheme="minorHAnsi"/>
                <w:sz w:val="20"/>
                <w:szCs w:val="20"/>
                <w:lang w:val="en-AU"/>
              </w:rPr>
              <w:t>15.1%</w:t>
            </w:r>
          </w:p>
        </w:tc>
        <w:tc>
          <w:tcPr>
            <w:tcW w:w="709" w:type="dxa"/>
            <w:shd w:val="clear" w:color="auto" w:fill="auto"/>
            <w:noWrap/>
            <w:tcMar>
              <w:left w:w="28" w:type="dxa"/>
              <w:right w:w="28" w:type="dxa"/>
            </w:tcMar>
            <w:vAlign w:val="center"/>
          </w:tcPr>
          <w:p w14:paraId="7AFE7BC5" w14:textId="77777777" w:rsidR="00943B47" w:rsidRPr="00F04A75" w:rsidRDefault="00943B47" w:rsidP="00B26A7F">
            <w:pPr>
              <w:pStyle w:val="TableText1"/>
              <w:keepNext/>
              <w:spacing w:before="0" w:after="0"/>
              <w:jc w:val="center"/>
              <w:rPr>
                <w:rFonts w:ascii="Arial Narrow" w:hAnsi="Arial Narrow" w:cstheme="minorHAnsi"/>
                <w:sz w:val="20"/>
                <w:szCs w:val="20"/>
                <w:highlight w:val="yellow"/>
                <w:lang w:val="en-AU"/>
              </w:rPr>
            </w:pPr>
            <w:r w:rsidRPr="00F04A75">
              <w:rPr>
                <w:rFonts w:ascii="Arial Narrow" w:hAnsi="Arial Narrow" w:cstheme="minorHAnsi"/>
                <w:sz w:val="20"/>
                <w:szCs w:val="20"/>
                <w:lang w:val="en-AU"/>
              </w:rPr>
              <w:t>8.4%</w:t>
            </w:r>
          </w:p>
        </w:tc>
        <w:tc>
          <w:tcPr>
            <w:tcW w:w="708" w:type="dxa"/>
            <w:shd w:val="clear" w:color="auto" w:fill="auto"/>
            <w:noWrap/>
            <w:tcMar>
              <w:left w:w="28" w:type="dxa"/>
              <w:right w:w="28" w:type="dxa"/>
            </w:tcMar>
            <w:vAlign w:val="center"/>
          </w:tcPr>
          <w:p w14:paraId="0FDF2FE7" w14:textId="77777777" w:rsidR="00943B47" w:rsidRPr="00F04A75" w:rsidRDefault="00943B47" w:rsidP="00B26A7F">
            <w:pPr>
              <w:pStyle w:val="TableText1"/>
              <w:keepNext/>
              <w:spacing w:before="0" w:after="0"/>
              <w:jc w:val="center"/>
              <w:rPr>
                <w:rFonts w:ascii="Arial Narrow" w:hAnsi="Arial Narrow" w:cstheme="minorHAnsi"/>
                <w:sz w:val="20"/>
                <w:szCs w:val="20"/>
                <w:highlight w:val="yellow"/>
                <w:lang w:val="en-AU"/>
              </w:rPr>
            </w:pPr>
            <w:r w:rsidRPr="00F04A75">
              <w:rPr>
                <w:rFonts w:ascii="Arial Narrow" w:hAnsi="Arial Narrow" w:cstheme="minorHAnsi"/>
                <w:sz w:val="20"/>
                <w:szCs w:val="20"/>
                <w:lang w:val="en-AU"/>
              </w:rPr>
              <w:t>6.3%</w:t>
            </w:r>
          </w:p>
        </w:tc>
        <w:tc>
          <w:tcPr>
            <w:tcW w:w="709" w:type="dxa"/>
            <w:shd w:val="clear" w:color="auto" w:fill="auto"/>
            <w:noWrap/>
            <w:tcMar>
              <w:left w:w="28" w:type="dxa"/>
              <w:right w:w="28" w:type="dxa"/>
            </w:tcMar>
            <w:vAlign w:val="center"/>
          </w:tcPr>
          <w:p w14:paraId="003D63CC" w14:textId="77777777" w:rsidR="00943B47" w:rsidRPr="00F04A75" w:rsidRDefault="00943B47" w:rsidP="00B26A7F">
            <w:pPr>
              <w:pStyle w:val="TableText1"/>
              <w:keepNext/>
              <w:spacing w:before="0" w:after="0"/>
              <w:jc w:val="center"/>
              <w:rPr>
                <w:rFonts w:ascii="Arial Narrow" w:hAnsi="Arial Narrow" w:cstheme="minorHAnsi"/>
                <w:sz w:val="20"/>
                <w:szCs w:val="20"/>
                <w:highlight w:val="yellow"/>
                <w:lang w:val="en-AU"/>
              </w:rPr>
            </w:pPr>
            <w:r w:rsidRPr="00F04A75">
              <w:rPr>
                <w:rFonts w:ascii="Arial Narrow" w:hAnsi="Arial Narrow" w:cstheme="minorHAnsi"/>
                <w:sz w:val="20"/>
                <w:szCs w:val="20"/>
                <w:lang w:val="en-AU"/>
              </w:rPr>
              <w:t>5.1%</w:t>
            </w:r>
          </w:p>
        </w:tc>
        <w:tc>
          <w:tcPr>
            <w:tcW w:w="709" w:type="dxa"/>
            <w:shd w:val="clear" w:color="auto" w:fill="auto"/>
            <w:noWrap/>
            <w:tcMar>
              <w:left w:w="28" w:type="dxa"/>
              <w:right w:w="28" w:type="dxa"/>
            </w:tcMar>
            <w:vAlign w:val="center"/>
          </w:tcPr>
          <w:p w14:paraId="4E2A4966" w14:textId="77777777" w:rsidR="00943B47" w:rsidRPr="00F04A75" w:rsidRDefault="00943B47" w:rsidP="00B26A7F">
            <w:pPr>
              <w:pStyle w:val="TableText1"/>
              <w:keepNext/>
              <w:spacing w:before="0" w:after="0"/>
              <w:jc w:val="center"/>
              <w:rPr>
                <w:rFonts w:ascii="Arial Narrow" w:hAnsi="Arial Narrow" w:cstheme="minorHAnsi"/>
                <w:sz w:val="20"/>
                <w:szCs w:val="20"/>
                <w:highlight w:val="yellow"/>
                <w:lang w:val="en-AU"/>
              </w:rPr>
            </w:pPr>
            <w:r w:rsidRPr="00F04A75">
              <w:rPr>
                <w:rFonts w:ascii="Arial Narrow" w:hAnsi="Arial Narrow" w:cstheme="minorHAnsi"/>
                <w:sz w:val="20"/>
                <w:szCs w:val="20"/>
                <w:lang w:val="en-AU"/>
              </w:rPr>
              <w:t>4.6%</w:t>
            </w:r>
          </w:p>
        </w:tc>
        <w:tc>
          <w:tcPr>
            <w:tcW w:w="709" w:type="dxa"/>
            <w:shd w:val="clear" w:color="auto" w:fill="auto"/>
            <w:noWrap/>
            <w:tcMar>
              <w:left w:w="28" w:type="dxa"/>
              <w:right w:w="28" w:type="dxa"/>
            </w:tcMar>
            <w:vAlign w:val="center"/>
          </w:tcPr>
          <w:p w14:paraId="474EA20D" w14:textId="77777777" w:rsidR="00943B47" w:rsidRPr="00F04A75" w:rsidRDefault="00943B47" w:rsidP="00B26A7F">
            <w:pPr>
              <w:pStyle w:val="TableText1"/>
              <w:keepNext/>
              <w:spacing w:before="0" w:after="0"/>
              <w:jc w:val="center"/>
              <w:rPr>
                <w:rFonts w:ascii="Arial Narrow" w:hAnsi="Arial Narrow" w:cstheme="minorHAnsi"/>
                <w:sz w:val="20"/>
                <w:szCs w:val="20"/>
                <w:highlight w:val="yellow"/>
                <w:lang w:val="en-AU"/>
              </w:rPr>
            </w:pPr>
            <w:r w:rsidRPr="00F04A75">
              <w:rPr>
                <w:rFonts w:ascii="Arial Narrow" w:hAnsi="Arial Narrow" w:cstheme="minorHAnsi"/>
                <w:sz w:val="20"/>
                <w:szCs w:val="20"/>
                <w:lang w:val="en-AU"/>
              </w:rPr>
              <w:t>4.0%</w:t>
            </w:r>
          </w:p>
        </w:tc>
        <w:tc>
          <w:tcPr>
            <w:tcW w:w="708" w:type="dxa"/>
            <w:shd w:val="clear" w:color="auto" w:fill="auto"/>
            <w:tcMar>
              <w:left w:w="28" w:type="dxa"/>
              <w:right w:w="28" w:type="dxa"/>
            </w:tcMar>
            <w:vAlign w:val="center"/>
          </w:tcPr>
          <w:p w14:paraId="2EABA657" w14:textId="77777777" w:rsidR="00943B47" w:rsidRPr="00F04A75" w:rsidRDefault="00943B47" w:rsidP="00B26A7F">
            <w:pPr>
              <w:pStyle w:val="TableText1"/>
              <w:keepNext/>
              <w:spacing w:before="0" w:after="0"/>
              <w:jc w:val="center"/>
              <w:rPr>
                <w:rFonts w:ascii="Arial Narrow" w:hAnsi="Arial Narrow" w:cstheme="minorHAnsi"/>
                <w:sz w:val="20"/>
                <w:szCs w:val="20"/>
                <w:lang w:val="en-AU"/>
              </w:rPr>
            </w:pPr>
            <w:r w:rsidRPr="00F04A75">
              <w:rPr>
                <w:rFonts w:ascii="Arial Narrow" w:hAnsi="Arial Narrow" w:cstheme="minorHAnsi"/>
                <w:sz w:val="20"/>
                <w:szCs w:val="20"/>
                <w:lang w:val="en-AU"/>
              </w:rPr>
              <w:t>4.0%</w:t>
            </w:r>
          </w:p>
        </w:tc>
      </w:tr>
      <w:tr w:rsidR="00F17C2A" w:rsidRPr="00F04A75" w14:paraId="27ACD4D1" w14:textId="77777777" w:rsidTr="00F17C2A">
        <w:trPr>
          <w:trHeight w:val="109"/>
        </w:trPr>
        <w:tc>
          <w:tcPr>
            <w:tcW w:w="3823" w:type="dxa"/>
            <w:shd w:val="clear" w:color="auto" w:fill="auto"/>
            <w:noWrap/>
            <w:tcMar>
              <w:left w:w="28" w:type="dxa"/>
              <w:right w:w="28" w:type="dxa"/>
            </w:tcMar>
            <w:vAlign w:val="center"/>
          </w:tcPr>
          <w:p w14:paraId="7F2F6643" w14:textId="77777777" w:rsidR="00943B47" w:rsidRPr="00F04A75" w:rsidRDefault="00943B47" w:rsidP="00B26A7F">
            <w:pPr>
              <w:pStyle w:val="TableText1"/>
              <w:keepNext/>
              <w:spacing w:before="0" w:after="0"/>
              <w:jc w:val="left"/>
              <w:rPr>
                <w:rFonts w:ascii="Arial Narrow" w:hAnsi="Arial Narrow" w:cstheme="minorHAnsi"/>
                <w:sz w:val="20"/>
                <w:szCs w:val="20"/>
                <w:lang w:val="en-AU"/>
              </w:rPr>
            </w:pPr>
            <w:r w:rsidRPr="00F04A75">
              <w:rPr>
                <w:rFonts w:ascii="Arial Narrow" w:hAnsi="Arial Narrow" w:cstheme="minorHAnsi"/>
                <w:sz w:val="20"/>
                <w:szCs w:val="20"/>
                <w:lang w:val="en-AU"/>
              </w:rPr>
              <w:t xml:space="preserve">Daratumumab as </w:t>
            </w:r>
            <w:proofErr w:type="spellStart"/>
            <w:r w:rsidRPr="00F04A75">
              <w:rPr>
                <w:rFonts w:ascii="Arial Narrow" w:hAnsi="Arial Narrow" w:cstheme="minorHAnsi"/>
                <w:sz w:val="20"/>
                <w:szCs w:val="20"/>
                <w:lang w:val="en-AU"/>
              </w:rPr>
              <w:t>DBd</w:t>
            </w:r>
            <w:proofErr w:type="spellEnd"/>
          </w:p>
        </w:tc>
        <w:tc>
          <w:tcPr>
            <w:tcW w:w="992" w:type="dxa"/>
            <w:shd w:val="clear" w:color="auto" w:fill="auto"/>
            <w:noWrap/>
            <w:tcMar>
              <w:left w:w="28" w:type="dxa"/>
              <w:right w:w="28" w:type="dxa"/>
            </w:tcMar>
            <w:vAlign w:val="center"/>
          </w:tcPr>
          <w:p w14:paraId="58730BCE" w14:textId="77777777" w:rsidR="00943B47" w:rsidRPr="00F04A75" w:rsidRDefault="00943B47" w:rsidP="00B26A7F">
            <w:pPr>
              <w:pStyle w:val="TableText1"/>
              <w:keepNext/>
              <w:spacing w:before="0" w:after="0"/>
              <w:jc w:val="center"/>
              <w:rPr>
                <w:rFonts w:ascii="Arial Narrow" w:hAnsi="Arial Narrow" w:cstheme="minorHAnsi"/>
                <w:sz w:val="20"/>
                <w:szCs w:val="20"/>
                <w:highlight w:val="yellow"/>
                <w:lang w:val="en-AU"/>
              </w:rPr>
            </w:pPr>
            <w:r w:rsidRPr="00F04A75">
              <w:rPr>
                <w:rFonts w:ascii="Arial Narrow" w:hAnsi="Arial Narrow" w:cstheme="minorHAnsi"/>
                <w:sz w:val="20"/>
                <w:szCs w:val="20"/>
                <w:lang w:val="en-AU"/>
              </w:rPr>
              <w:t>13.2%</w:t>
            </w:r>
          </w:p>
        </w:tc>
        <w:tc>
          <w:tcPr>
            <w:tcW w:w="709" w:type="dxa"/>
            <w:shd w:val="clear" w:color="auto" w:fill="auto"/>
            <w:noWrap/>
            <w:tcMar>
              <w:left w:w="28" w:type="dxa"/>
              <w:right w:w="28" w:type="dxa"/>
            </w:tcMar>
            <w:vAlign w:val="center"/>
          </w:tcPr>
          <w:p w14:paraId="5098B43A" w14:textId="77777777" w:rsidR="00943B47" w:rsidRPr="00F04A75" w:rsidRDefault="00943B47" w:rsidP="00B26A7F">
            <w:pPr>
              <w:pStyle w:val="TableText1"/>
              <w:keepNext/>
              <w:spacing w:before="0" w:after="0"/>
              <w:jc w:val="center"/>
              <w:rPr>
                <w:rFonts w:ascii="Arial Narrow" w:hAnsi="Arial Narrow" w:cstheme="minorHAnsi"/>
                <w:sz w:val="20"/>
                <w:szCs w:val="20"/>
                <w:highlight w:val="yellow"/>
                <w:lang w:val="en-AU"/>
              </w:rPr>
            </w:pPr>
            <w:r w:rsidRPr="00F04A75">
              <w:rPr>
                <w:rFonts w:ascii="Arial Narrow" w:hAnsi="Arial Narrow" w:cstheme="minorHAnsi"/>
                <w:sz w:val="20"/>
                <w:szCs w:val="20"/>
                <w:lang w:val="en-AU"/>
              </w:rPr>
              <w:t>19.7%</w:t>
            </w:r>
          </w:p>
        </w:tc>
        <w:tc>
          <w:tcPr>
            <w:tcW w:w="708" w:type="dxa"/>
            <w:shd w:val="clear" w:color="auto" w:fill="auto"/>
            <w:noWrap/>
            <w:tcMar>
              <w:left w:w="28" w:type="dxa"/>
              <w:right w:w="28" w:type="dxa"/>
            </w:tcMar>
            <w:vAlign w:val="center"/>
          </w:tcPr>
          <w:p w14:paraId="0D46FF79" w14:textId="77777777" w:rsidR="00943B47" w:rsidRPr="00F04A75" w:rsidRDefault="00943B47" w:rsidP="00B26A7F">
            <w:pPr>
              <w:pStyle w:val="TableText1"/>
              <w:keepNext/>
              <w:spacing w:before="0" w:after="0"/>
              <w:jc w:val="center"/>
              <w:rPr>
                <w:rFonts w:ascii="Arial Narrow" w:hAnsi="Arial Narrow" w:cstheme="minorHAnsi"/>
                <w:sz w:val="20"/>
                <w:szCs w:val="20"/>
                <w:highlight w:val="yellow"/>
                <w:lang w:val="en-AU"/>
              </w:rPr>
            </w:pPr>
            <w:r w:rsidRPr="00F04A75">
              <w:rPr>
                <w:rFonts w:ascii="Arial Narrow" w:hAnsi="Arial Narrow" w:cstheme="minorHAnsi"/>
                <w:sz w:val="20"/>
                <w:szCs w:val="20"/>
                <w:lang w:val="en-AU"/>
              </w:rPr>
              <w:t>22.1%</w:t>
            </w:r>
          </w:p>
        </w:tc>
        <w:tc>
          <w:tcPr>
            <w:tcW w:w="709" w:type="dxa"/>
            <w:shd w:val="clear" w:color="auto" w:fill="auto"/>
            <w:noWrap/>
            <w:tcMar>
              <w:left w:w="28" w:type="dxa"/>
              <w:right w:w="28" w:type="dxa"/>
            </w:tcMar>
            <w:vAlign w:val="center"/>
          </w:tcPr>
          <w:p w14:paraId="77C375BB" w14:textId="77777777" w:rsidR="00943B47" w:rsidRPr="00F04A75" w:rsidRDefault="00943B47" w:rsidP="00B26A7F">
            <w:pPr>
              <w:pStyle w:val="TableText1"/>
              <w:keepNext/>
              <w:spacing w:before="0" w:after="0"/>
              <w:jc w:val="center"/>
              <w:rPr>
                <w:rFonts w:ascii="Arial Narrow" w:hAnsi="Arial Narrow" w:cstheme="minorHAnsi"/>
                <w:sz w:val="20"/>
                <w:szCs w:val="20"/>
                <w:highlight w:val="yellow"/>
                <w:lang w:val="en-AU"/>
              </w:rPr>
            </w:pPr>
            <w:r w:rsidRPr="00F04A75">
              <w:rPr>
                <w:rFonts w:ascii="Arial Narrow" w:hAnsi="Arial Narrow" w:cstheme="minorHAnsi"/>
                <w:sz w:val="20"/>
                <w:szCs w:val="20"/>
                <w:lang w:val="en-AU"/>
              </w:rPr>
              <w:t>24.9%</w:t>
            </w:r>
          </w:p>
        </w:tc>
        <w:tc>
          <w:tcPr>
            <w:tcW w:w="709" w:type="dxa"/>
            <w:shd w:val="clear" w:color="auto" w:fill="auto"/>
            <w:noWrap/>
            <w:tcMar>
              <w:left w:w="28" w:type="dxa"/>
              <w:right w:w="28" w:type="dxa"/>
            </w:tcMar>
            <w:vAlign w:val="center"/>
          </w:tcPr>
          <w:p w14:paraId="208890A7" w14:textId="77777777" w:rsidR="00943B47" w:rsidRPr="00F04A75" w:rsidRDefault="00943B47" w:rsidP="00B26A7F">
            <w:pPr>
              <w:pStyle w:val="TableText1"/>
              <w:keepNext/>
              <w:spacing w:before="0" w:after="0"/>
              <w:jc w:val="center"/>
              <w:rPr>
                <w:rFonts w:ascii="Arial Narrow" w:hAnsi="Arial Narrow" w:cstheme="minorHAnsi"/>
                <w:sz w:val="20"/>
                <w:szCs w:val="20"/>
                <w:highlight w:val="yellow"/>
                <w:lang w:val="en-AU"/>
              </w:rPr>
            </w:pPr>
            <w:r w:rsidRPr="00F04A75">
              <w:rPr>
                <w:rFonts w:ascii="Arial Narrow" w:hAnsi="Arial Narrow" w:cstheme="minorHAnsi"/>
                <w:sz w:val="20"/>
                <w:szCs w:val="20"/>
                <w:lang w:val="en-AU"/>
              </w:rPr>
              <w:t>28.0%</w:t>
            </w:r>
          </w:p>
        </w:tc>
        <w:tc>
          <w:tcPr>
            <w:tcW w:w="709" w:type="dxa"/>
            <w:shd w:val="clear" w:color="auto" w:fill="auto"/>
            <w:noWrap/>
            <w:tcMar>
              <w:left w:w="28" w:type="dxa"/>
              <w:right w:w="28" w:type="dxa"/>
            </w:tcMar>
            <w:vAlign w:val="center"/>
          </w:tcPr>
          <w:p w14:paraId="32222B1D" w14:textId="77777777" w:rsidR="00943B47" w:rsidRPr="00F04A75" w:rsidRDefault="00943B47" w:rsidP="00B26A7F">
            <w:pPr>
              <w:pStyle w:val="TableText1"/>
              <w:keepNext/>
              <w:spacing w:before="0" w:after="0"/>
              <w:jc w:val="center"/>
              <w:rPr>
                <w:rFonts w:ascii="Arial Narrow" w:hAnsi="Arial Narrow" w:cstheme="minorHAnsi"/>
                <w:sz w:val="20"/>
                <w:szCs w:val="20"/>
                <w:highlight w:val="yellow"/>
                <w:lang w:val="en-AU"/>
              </w:rPr>
            </w:pPr>
            <w:r w:rsidRPr="00F04A75">
              <w:rPr>
                <w:rFonts w:ascii="Arial Narrow" w:hAnsi="Arial Narrow" w:cstheme="minorHAnsi"/>
                <w:sz w:val="20"/>
                <w:szCs w:val="20"/>
                <w:lang w:val="en-AU"/>
              </w:rPr>
              <w:t>31.5%</w:t>
            </w:r>
          </w:p>
        </w:tc>
        <w:tc>
          <w:tcPr>
            <w:tcW w:w="708" w:type="dxa"/>
            <w:shd w:val="clear" w:color="auto" w:fill="auto"/>
            <w:tcMar>
              <w:left w:w="28" w:type="dxa"/>
              <w:right w:w="28" w:type="dxa"/>
            </w:tcMar>
            <w:vAlign w:val="center"/>
          </w:tcPr>
          <w:p w14:paraId="63DCC635" w14:textId="77777777" w:rsidR="00943B47" w:rsidRPr="00F04A75" w:rsidRDefault="00943B47" w:rsidP="00B26A7F">
            <w:pPr>
              <w:pStyle w:val="TableText1"/>
              <w:keepNext/>
              <w:spacing w:before="0" w:after="0"/>
              <w:jc w:val="center"/>
              <w:rPr>
                <w:rFonts w:ascii="Arial Narrow" w:hAnsi="Arial Narrow" w:cstheme="minorHAnsi"/>
                <w:sz w:val="20"/>
                <w:szCs w:val="20"/>
                <w:lang w:val="en-AU"/>
              </w:rPr>
            </w:pPr>
            <w:r w:rsidRPr="00F04A75">
              <w:rPr>
                <w:rFonts w:ascii="Arial Narrow" w:hAnsi="Arial Narrow" w:cstheme="minorHAnsi"/>
                <w:sz w:val="20"/>
                <w:szCs w:val="20"/>
                <w:lang w:val="en-AU"/>
              </w:rPr>
              <w:t>31.5%</w:t>
            </w:r>
          </w:p>
        </w:tc>
      </w:tr>
      <w:tr w:rsidR="00F17C2A" w:rsidRPr="00F04A75" w14:paraId="0EBC8934" w14:textId="77777777" w:rsidTr="00F17C2A">
        <w:trPr>
          <w:trHeight w:val="109"/>
        </w:trPr>
        <w:tc>
          <w:tcPr>
            <w:tcW w:w="3823" w:type="dxa"/>
            <w:shd w:val="clear" w:color="auto" w:fill="auto"/>
            <w:noWrap/>
            <w:tcMar>
              <w:left w:w="28" w:type="dxa"/>
              <w:right w:w="28" w:type="dxa"/>
            </w:tcMar>
            <w:vAlign w:val="center"/>
          </w:tcPr>
          <w:p w14:paraId="2C6D2F8B" w14:textId="77777777" w:rsidR="00943B47" w:rsidRPr="00F04A75" w:rsidRDefault="00943B47" w:rsidP="00B26A7F">
            <w:pPr>
              <w:pStyle w:val="TableText1"/>
              <w:keepNext/>
              <w:spacing w:before="0" w:after="0"/>
              <w:jc w:val="left"/>
              <w:rPr>
                <w:rFonts w:ascii="Arial Narrow" w:hAnsi="Arial Narrow" w:cstheme="minorHAnsi"/>
                <w:sz w:val="20"/>
                <w:szCs w:val="20"/>
                <w:lang w:val="en-AU"/>
              </w:rPr>
            </w:pPr>
            <w:r w:rsidRPr="00F04A75">
              <w:rPr>
                <w:rFonts w:ascii="Arial Narrow" w:hAnsi="Arial Narrow" w:cstheme="minorHAnsi"/>
                <w:sz w:val="20"/>
                <w:szCs w:val="20"/>
                <w:lang w:val="en-AU"/>
              </w:rPr>
              <w:t>Carfilzomib as Cd</w:t>
            </w:r>
          </w:p>
        </w:tc>
        <w:tc>
          <w:tcPr>
            <w:tcW w:w="992" w:type="dxa"/>
            <w:shd w:val="clear" w:color="auto" w:fill="auto"/>
            <w:noWrap/>
            <w:tcMar>
              <w:left w:w="28" w:type="dxa"/>
              <w:right w:w="28" w:type="dxa"/>
            </w:tcMar>
            <w:vAlign w:val="center"/>
          </w:tcPr>
          <w:p w14:paraId="73C5A443" w14:textId="77777777" w:rsidR="00943B47" w:rsidRPr="00F04A75" w:rsidRDefault="00943B47" w:rsidP="00B26A7F">
            <w:pPr>
              <w:pStyle w:val="TableText1"/>
              <w:keepNext/>
              <w:spacing w:before="0" w:after="0"/>
              <w:jc w:val="center"/>
              <w:rPr>
                <w:rFonts w:ascii="Arial Narrow" w:hAnsi="Arial Narrow" w:cstheme="minorHAnsi"/>
                <w:sz w:val="20"/>
                <w:szCs w:val="20"/>
                <w:highlight w:val="yellow"/>
                <w:lang w:val="en-AU"/>
              </w:rPr>
            </w:pPr>
            <w:r w:rsidRPr="00F04A75">
              <w:rPr>
                <w:rFonts w:ascii="Arial Narrow" w:hAnsi="Arial Narrow" w:cstheme="minorHAnsi"/>
                <w:sz w:val="20"/>
                <w:szCs w:val="20"/>
                <w:lang w:val="en-AU"/>
              </w:rPr>
              <w:t>18.6%</w:t>
            </w:r>
          </w:p>
        </w:tc>
        <w:tc>
          <w:tcPr>
            <w:tcW w:w="709" w:type="dxa"/>
            <w:shd w:val="clear" w:color="auto" w:fill="auto"/>
            <w:noWrap/>
            <w:tcMar>
              <w:left w:w="28" w:type="dxa"/>
              <w:right w:w="28" w:type="dxa"/>
            </w:tcMar>
            <w:vAlign w:val="center"/>
          </w:tcPr>
          <w:p w14:paraId="003B8419" w14:textId="77777777" w:rsidR="00943B47" w:rsidRPr="00F04A75" w:rsidRDefault="00943B47" w:rsidP="00B26A7F">
            <w:pPr>
              <w:pStyle w:val="TableText1"/>
              <w:keepNext/>
              <w:spacing w:before="0" w:after="0"/>
              <w:jc w:val="center"/>
              <w:rPr>
                <w:rFonts w:ascii="Arial Narrow" w:hAnsi="Arial Narrow" w:cstheme="minorHAnsi"/>
                <w:sz w:val="20"/>
                <w:szCs w:val="20"/>
                <w:highlight w:val="yellow"/>
                <w:lang w:val="en-AU"/>
              </w:rPr>
            </w:pPr>
            <w:r w:rsidRPr="00F04A75">
              <w:rPr>
                <w:rFonts w:ascii="Arial Narrow" w:hAnsi="Arial Narrow" w:cstheme="minorHAnsi"/>
                <w:sz w:val="20"/>
                <w:szCs w:val="20"/>
                <w:lang w:val="en-AU"/>
              </w:rPr>
              <w:t>11.7%</w:t>
            </w:r>
          </w:p>
        </w:tc>
        <w:tc>
          <w:tcPr>
            <w:tcW w:w="708" w:type="dxa"/>
            <w:shd w:val="clear" w:color="auto" w:fill="auto"/>
            <w:noWrap/>
            <w:tcMar>
              <w:left w:w="28" w:type="dxa"/>
              <w:right w:w="28" w:type="dxa"/>
            </w:tcMar>
            <w:vAlign w:val="center"/>
          </w:tcPr>
          <w:p w14:paraId="064759F9" w14:textId="77777777" w:rsidR="00943B47" w:rsidRPr="00F04A75" w:rsidRDefault="00943B47" w:rsidP="00B26A7F">
            <w:pPr>
              <w:pStyle w:val="TableText1"/>
              <w:keepNext/>
              <w:spacing w:before="0" w:after="0"/>
              <w:jc w:val="center"/>
              <w:rPr>
                <w:rFonts w:ascii="Arial Narrow" w:hAnsi="Arial Narrow" w:cstheme="minorHAnsi"/>
                <w:sz w:val="20"/>
                <w:szCs w:val="20"/>
                <w:highlight w:val="yellow"/>
                <w:lang w:val="en-AU"/>
              </w:rPr>
            </w:pPr>
            <w:r w:rsidRPr="00F04A75">
              <w:rPr>
                <w:rFonts w:ascii="Arial Narrow" w:hAnsi="Arial Narrow" w:cstheme="minorHAnsi"/>
                <w:sz w:val="20"/>
                <w:szCs w:val="20"/>
                <w:lang w:val="en-AU"/>
              </w:rPr>
              <w:t>9.6%</w:t>
            </w:r>
          </w:p>
        </w:tc>
        <w:tc>
          <w:tcPr>
            <w:tcW w:w="709" w:type="dxa"/>
            <w:shd w:val="clear" w:color="auto" w:fill="auto"/>
            <w:noWrap/>
            <w:tcMar>
              <w:left w:w="28" w:type="dxa"/>
              <w:right w:w="28" w:type="dxa"/>
            </w:tcMar>
            <w:vAlign w:val="center"/>
          </w:tcPr>
          <w:p w14:paraId="7A536359" w14:textId="77777777" w:rsidR="00943B47" w:rsidRPr="00F04A75" w:rsidRDefault="00943B47" w:rsidP="00B26A7F">
            <w:pPr>
              <w:pStyle w:val="TableText1"/>
              <w:keepNext/>
              <w:spacing w:before="0" w:after="0"/>
              <w:jc w:val="center"/>
              <w:rPr>
                <w:rFonts w:ascii="Arial Narrow" w:hAnsi="Arial Narrow" w:cstheme="minorHAnsi"/>
                <w:sz w:val="20"/>
                <w:szCs w:val="20"/>
                <w:highlight w:val="yellow"/>
                <w:lang w:val="en-AU"/>
              </w:rPr>
            </w:pPr>
            <w:r w:rsidRPr="00F04A75">
              <w:rPr>
                <w:rFonts w:ascii="Arial Narrow" w:hAnsi="Arial Narrow" w:cstheme="minorHAnsi"/>
                <w:sz w:val="20"/>
                <w:szCs w:val="20"/>
                <w:lang w:val="en-AU"/>
              </w:rPr>
              <w:t>8.3%</w:t>
            </w:r>
          </w:p>
        </w:tc>
        <w:tc>
          <w:tcPr>
            <w:tcW w:w="709" w:type="dxa"/>
            <w:shd w:val="clear" w:color="auto" w:fill="auto"/>
            <w:noWrap/>
            <w:tcMar>
              <w:left w:w="28" w:type="dxa"/>
              <w:right w:w="28" w:type="dxa"/>
            </w:tcMar>
            <w:vAlign w:val="center"/>
          </w:tcPr>
          <w:p w14:paraId="6C1736E4" w14:textId="77777777" w:rsidR="00943B47" w:rsidRPr="00F04A75" w:rsidRDefault="00943B47" w:rsidP="00B26A7F">
            <w:pPr>
              <w:pStyle w:val="TableText1"/>
              <w:keepNext/>
              <w:spacing w:before="0" w:after="0"/>
              <w:jc w:val="center"/>
              <w:rPr>
                <w:rFonts w:ascii="Arial Narrow" w:hAnsi="Arial Narrow" w:cstheme="minorHAnsi"/>
                <w:sz w:val="20"/>
                <w:szCs w:val="20"/>
                <w:highlight w:val="yellow"/>
                <w:lang w:val="en-AU"/>
              </w:rPr>
            </w:pPr>
            <w:r w:rsidRPr="00F04A75">
              <w:rPr>
                <w:rFonts w:ascii="Arial Narrow" w:hAnsi="Arial Narrow" w:cstheme="minorHAnsi"/>
                <w:sz w:val="20"/>
                <w:szCs w:val="20"/>
                <w:lang w:val="en-AU"/>
              </w:rPr>
              <w:t>7.8%</w:t>
            </w:r>
          </w:p>
        </w:tc>
        <w:tc>
          <w:tcPr>
            <w:tcW w:w="709" w:type="dxa"/>
            <w:shd w:val="clear" w:color="auto" w:fill="auto"/>
            <w:noWrap/>
            <w:tcMar>
              <w:left w:w="28" w:type="dxa"/>
              <w:right w:w="28" w:type="dxa"/>
            </w:tcMar>
            <w:vAlign w:val="center"/>
          </w:tcPr>
          <w:p w14:paraId="51A1AF8E" w14:textId="77777777" w:rsidR="00943B47" w:rsidRPr="00F04A75" w:rsidRDefault="00943B47" w:rsidP="00B26A7F">
            <w:pPr>
              <w:pStyle w:val="TableText1"/>
              <w:keepNext/>
              <w:spacing w:before="0" w:after="0"/>
              <w:jc w:val="center"/>
              <w:rPr>
                <w:rFonts w:ascii="Arial Narrow" w:hAnsi="Arial Narrow" w:cstheme="minorHAnsi"/>
                <w:sz w:val="20"/>
                <w:szCs w:val="20"/>
                <w:highlight w:val="yellow"/>
                <w:lang w:val="en-AU"/>
              </w:rPr>
            </w:pPr>
            <w:r w:rsidRPr="00F04A75">
              <w:rPr>
                <w:rFonts w:ascii="Arial Narrow" w:hAnsi="Arial Narrow" w:cstheme="minorHAnsi"/>
                <w:sz w:val="20"/>
                <w:szCs w:val="20"/>
                <w:lang w:val="en-AU"/>
              </w:rPr>
              <w:t>7.2%</w:t>
            </w:r>
          </w:p>
        </w:tc>
        <w:tc>
          <w:tcPr>
            <w:tcW w:w="708" w:type="dxa"/>
            <w:shd w:val="clear" w:color="auto" w:fill="auto"/>
            <w:tcMar>
              <w:left w:w="28" w:type="dxa"/>
              <w:right w:w="28" w:type="dxa"/>
            </w:tcMar>
            <w:vAlign w:val="center"/>
          </w:tcPr>
          <w:p w14:paraId="42D8B5A0" w14:textId="77777777" w:rsidR="00943B47" w:rsidRPr="00F04A75" w:rsidRDefault="00943B47" w:rsidP="00B26A7F">
            <w:pPr>
              <w:pStyle w:val="TableText1"/>
              <w:keepNext/>
              <w:spacing w:before="0" w:after="0"/>
              <w:jc w:val="center"/>
              <w:rPr>
                <w:rFonts w:ascii="Arial Narrow" w:hAnsi="Arial Narrow" w:cstheme="minorHAnsi"/>
                <w:sz w:val="20"/>
                <w:szCs w:val="20"/>
                <w:lang w:val="en-AU"/>
              </w:rPr>
            </w:pPr>
            <w:r w:rsidRPr="00F04A75">
              <w:rPr>
                <w:rFonts w:ascii="Arial Narrow" w:hAnsi="Arial Narrow" w:cstheme="minorHAnsi"/>
                <w:sz w:val="20"/>
                <w:szCs w:val="20"/>
                <w:lang w:val="en-AU"/>
              </w:rPr>
              <w:t>7.2%</w:t>
            </w:r>
          </w:p>
        </w:tc>
      </w:tr>
      <w:tr w:rsidR="00F17C2A" w:rsidRPr="00F04A75" w14:paraId="421CA3EF" w14:textId="77777777" w:rsidTr="00F17C2A">
        <w:trPr>
          <w:trHeight w:val="109"/>
        </w:trPr>
        <w:tc>
          <w:tcPr>
            <w:tcW w:w="3823" w:type="dxa"/>
            <w:shd w:val="clear" w:color="auto" w:fill="auto"/>
            <w:noWrap/>
            <w:tcMar>
              <w:left w:w="28" w:type="dxa"/>
              <w:right w:w="28" w:type="dxa"/>
            </w:tcMar>
            <w:vAlign w:val="center"/>
          </w:tcPr>
          <w:p w14:paraId="71E84DB4" w14:textId="77777777" w:rsidR="00943B47" w:rsidRPr="00F04A75" w:rsidRDefault="00943B47" w:rsidP="00B26A7F">
            <w:pPr>
              <w:pStyle w:val="TableText1"/>
              <w:keepNext/>
              <w:spacing w:before="0" w:after="0"/>
              <w:jc w:val="left"/>
              <w:rPr>
                <w:rFonts w:ascii="Arial Narrow" w:hAnsi="Arial Narrow" w:cstheme="minorHAnsi"/>
                <w:sz w:val="20"/>
                <w:szCs w:val="20"/>
                <w:lang w:val="en-AU"/>
              </w:rPr>
            </w:pPr>
            <w:r w:rsidRPr="00F04A75">
              <w:rPr>
                <w:rFonts w:ascii="Arial Narrow" w:hAnsi="Arial Narrow" w:cstheme="minorHAnsi"/>
                <w:sz w:val="20"/>
                <w:szCs w:val="20"/>
                <w:lang w:val="en-AU"/>
              </w:rPr>
              <w:t xml:space="preserve">Pomalidomide as </w:t>
            </w:r>
            <w:proofErr w:type="spellStart"/>
            <w:r w:rsidRPr="00F04A75">
              <w:rPr>
                <w:rFonts w:ascii="Arial Narrow" w:hAnsi="Arial Narrow" w:cstheme="minorHAnsi"/>
                <w:sz w:val="20"/>
                <w:szCs w:val="20"/>
                <w:lang w:val="en-AU"/>
              </w:rPr>
              <w:t>PBd</w:t>
            </w:r>
            <w:proofErr w:type="spellEnd"/>
          </w:p>
        </w:tc>
        <w:tc>
          <w:tcPr>
            <w:tcW w:w="992" w:type="dxa"/>
            <w:shd w:val="clear" w:color="auto" w:fill="auto"/>
            <w:noWrap/>
            <w:tcMar>
              <w:left w:w="28" w:type="dxa"/>
              <w:right w:w="28" w:type="dxa"/>
            </w:tcMar>
            <w:vAlign w:val="center"/>
          </w:tcPr>
          <w:p w14:paraId="77F9ECF8" w14:textId="77777777" w:rsidR="00943B47" w:rsidRPr="00F04A75" w:rsidRDefault="00B0271C" w:rsidP="00B26A7F">
            <w:pPr>
              <w:pStyle w:val="TableText1"/>
              <w:keepNext/>
              <w:spacing w:before="0" w:after="0"/>
              <w:jc w:val="center"/>
              <w:rPr>
                <w:rFonts w:ascii="Arial Narrow" w:hAnsi="Arial Narrow" w:cstheme="minorHAnsi"/>
                <w:sz w:val="20"/>
                <w:szCs w:val="20"/>
                <w:lang w:val="en-AU"/>
              </w:rPr>
            </w:pPr>
            <w:r w:rsidRPr="00F04A75">
              <w:rPr>
                <w:rFonts w:ascii="Arial Narrow" w:hAnsi="Arial Narrow" w:cstheme="minorHAnsi"/>
                <w:sz w:val="20"/>
                <w:szCs w:val="20"/>
                <w:lang w:val="en-AU"/>
              </w:rPr>
              <w:t>-</w:t>
            </w:r>
          </w:p>
        </w:tc>
        <w:tc>
          <w:tcPr>
            <w:tcW w:w="709" w:type="dxa"/>
            <w:shd w:val="clear" w:color="auto" w:fill="auto"/>
            <w:noWrap/>
            <w:tcMar>
              <w:left w:w="28" w:type="dxa"/>
              <w:right w:w="28" w:type="dxa"/>
            </w:tcMar>
            <w:vAlign w:val="center"/>
          </w:tcPr>
          <w:p w14:paraId="4A04EC97" w14:textId="77777777" w:rsidR="00943B47" w:rsidRPr="00F04A75" w:rsidRDefault="00943B47" w:rsidP="00B26A7F">
            <w:pPr>
              <w:pStyle w:val="TableText1"/>
              <w:keepNext/>
              <w:spacing w:before="0" w:after="0"/>
              <w:jc w:val="center"/>
              <w:rPr>
                <w:rFonts w:ascii="Arial Narrow" w:hAnsi="Arial Narrow" w:cstheme="minorHAnsi"/>
                <w:sz w:val="20"/>
                <w:szCs w:val="20"/>
                <w:highlight w:val="yellow"/>
                <w:lang w:val="en-AU"/>
              </w:rPr>
            </w:pPr>
            <w:r w:rsidRPr="00F04A75">
              <w:rPr>
                <w:rFonts w:ascii="Arial Narrow" w:hAnsi="Arial Narrow" w:cstheme="minorHAnsi"/>
                <w:sz w:val="20"/>
                <w:szCs w:val="20"/>
                <w:lang w:val="en-AU"/>
              </w:rPr>
              <w:t>11.4%</w:t>
            </w:r>
          </w:p>
        </w:tc>
        <w:tc>
          <w:tcPr>
            <w:tcW w:w="708" w:type="dxa"/>
            <w:shd w:val="clear" w:color="auto" w:fill="auto"/>
            <w:noWrap/>
            <w:tcMar>
              <w:left w:w="28" w:type="dxa"/>
              <w:right w:w="28" w:type="dxa"/>
            </w:tcMar>
            <w:vAlign w:val="center"/>
          </w:tcPr>
          <w:p w14:paraId="39F5387E" w14:textId="77777777" w:rsidR="00943B47" w:rsidRPr="00F04A75" w:rsidRDefault="00943B47" w:rsidP="00B26A7F">
            <w:pPr>
              <w:pStyle w:val="TableText1"/>
              <w:keepNext/>
              <w:spacing w:before="0" w:after="0"/>
              <w:jc w:val="center"/>
              <w:rPr>
                <w:rFonts w:ascii="Arial Narrow" w:hAnsi="Arial Narrow" w:cstheme="minorHAnsi"/>
                <w:sz w:val="20"/>
                <w:szCs w:val="20"/>
                <w:highlight w:val="yellow"/>
                <w:lang w:val="en-AU"/>
              </w:rPr>
            </w:pPr>
            <w:r w:rsidRPr="00F04A75">
              <w:rPr>
                <w:rFonts w:ascii="Arial Narrow" w:hAnsi="Arial Narrow" w:cstheme="minorHAnsi"/>
                <w:sz w:val="20"/>
                <w:szCs w:val="20"/>
                <w:lang w:val="en-AU"/>
              </w:rPr>
              <w:t>14.8%</w:t>
            </w:r>
          </w:p>
        </w:tc>
        <w:tc>
          <w:tcPr>
            <w:tcW w:w="709" w:type="dxa"/>
            <w:shd w:val="clear" w:color="auto" w:fill="auto"/>
            <w:noWrap/>
            <w:tcMar>
              <w:left w:w="28" w:type="dxa"/>
              <w:right w:w="28" w:type="dxa"/>
            </w:tcMar>
            <w:vAlign w:val="center"/>
          </w:tcPr>
          <w:p w14:paraId="0F85193C" w14:textId="77777777" w:rsidR="00943B47" w:rsidRPr="00F04A75" w:rsidRDefault="00943B47" w:rsidP="00B26A7F">
            <w:pPr>
              <w:pStyle w:val="TableText1"/>
              <w:keepNext/>
              <w:spacing w:before="0" w:after="0"/>
              <w:jc w:val="center"/>
              <w:rPr>
                <w:rFonts w:ascii="Arial Narrow" w:hAnsi="Arial Narrow" w:cstheme="minorHAnsi"/>
                <w:sz w:val="20"/>
                <w:szCs w:val="20"/>
                <w:highlight w:val="yellow"/>
                <w:lang w:val="en-AU"/>
              </w:rPr>
            </w:pPr>
            <w:r w:rsidRPr="00F04A75">
              <w:rPr>
                <w:rFonts w:ascii="Arial Narrow" w:hAnsi="Arial Narrow" w:cstheme="minorHAnsi"/>
                <w:sz w:val="20"/>
                <w:szCs w:val="20"/>
                <w:lang w:val="en-AU"/>
              </w:rPr>
              <w:t>17.8%</w:t>
            </w:r>
          </w:p>
        </w:tc>
        <w:tc>
          <w:tcPr>
            <w:tcW w:w="709" w:type="dxa"/>
            <w:shd w:val="clear" w:color="auto" w:fill="auto"/>
            <w:noWrap/>
            <w:tcMar>
              <w:left w:w="28" w:type="dxa"/>
              <w:right w:w="28" w:type="dxa"/>
            </w:tcMar>
            <w:vAlign w:val="center"/>
          </w:tcPr>
          <w:p w14:paraId="0025D603" w14:textId="77777777" w:rsidR="00943B47" w:rsidRPr="00F04A75" w:rsidRDefault="00943B47" w:rsidP="00B26A7F">
            <w:pPr>
              <w:pStyle w:val="TableText1"/>
              <w:keepNext/>
              <w:spacing w:before="0" w:after="0"/>
              <w:jc w:val="center"/>
              <w:rPr>
                <w:rFonts w:ascii="Arial Narrow" w:hAnsi="Arial Narrow" w:cstheme="minorHAnsi"/>
                <w:sz w:val="20"/>
                <w:szCs w:val="20"/>
                <w:highlight w:val="yellow"/>
                <w:lang w:val="en-AU"/>
              </w:rPr>
            </w:pPr>
            <w:r w:rsidRPr="00F04A75">
              <w:rPr>
                <w:rFonts w:ascii="Arial Narrow" w:hAnsi="Arial Narrow" w:cstheme="minorHAnsi"/>
                <w:sz w:val="20"/>
                <w:szCs w:val="20"/>
                <w:lang w:val="en-AU"/>
              </w:rPr>
              <w:t>17.3%</w:t>
            </w:r>
          </w:p>
        </w:tc>
        <w:tc>
          <w:tcPr>
            <w:tcW w:w="709" w:type="dxa"/>
            <w:shd w:val="clear" w:color="auto" w:fill="auto"/>
            <w:noWrap/>
            <w:tcMar>
              <w:left w:w="28" w:type="dxa"/>
              <w:right w:w="28" w:type="dxa"/>
            </w:tcMar>
            <w:vAlign w:val="center"/>
          </w:tcPr>
          <w:p w14:paraId="468FE1F1" w14:textId="77777777" w:rsidR="00943B47" w:rsidRPr="00F04A75" w:rsidRDefault="00943B47" w:rsidP="00B26A7F">
            <w:pPr>
              <w:pStyle w:val="TableText1"/>
              <w:keepNext/>
              <w:spacing w:before="0" w:after="0"/>
              <w:jc w:val="center"/>
              <w:rPr>
                <w:rFonts w:ascii="Arial Narrow" w:hAnsi="Arial Narrow" w:cstheme="minorHAnsi"/>
                <w:sz w:val="20"/>
                <w:szCs w:val="20"/>
                <w:highlight w:val="yellow"/>
                <w:lang w:val="en-AU"/>
              </w:rPr>
            </w:pPr>
            <w:r w:rsidRPr="00F04A75">
              <w:rPr>
                <w:rFonts w:ascii="Arial Narrow" w:hAnsi="Arial Narrow" w:cstheme="minorHAnsi"/>
                <w:sz w:val="20"/>
                <w:szCs w:val="20"/>
                <w:lang w:val="en-AU"/>
              </w:rPr>
              <w:t>16.7%</w:t>
            </w:r>
          </w:p>
        </w:tc>
        <w:tc>
          <w:tcPr>
            <w:tcW w:w="708" w:type="dxa"/>
            <w:shd w:val="clear" w:color="auto" w:fill="auto"/>
            <w:tcMar>
              <w:left w:w="28" w:type="dxa"/>
              <w:right w:w="28" w:type="dxa"/>
            </w:tcMar>
            <w:vAlign w:val="center"/>
          </w:tcPr>
          <w:p w14:paraId="18DBC4E1" w14:textId="77777777" w:rsidR="00943B47" w:rsidRPr="00F04A75" w:rsidRDefault="00943B47" w:rsidP="00B26A7F">
            <w:pPr>
              <w:pStyle w:val="TableText1"/>
              <w:keepNext/>
              <w:spacing w:before="0" w:after="0"/>
              <w:jc w:val="center"/>
              <w:rPr>
                <w:rFonts w:ascii="Arial Narrow" w:hAnsi="Arial Narrow" w:cstheme="minorHAnsi"/>
                <w:sz w:val="20"/>
                <w:szCs w:val="20"/>
                <w:lang w:val="en-AU"/>
              </w:rPr>
            </w:pPr>
            <w:r w:rsidRPr="00F04A75">
              <w:rPr>
                <w:rFonts w:ascii="Arial Narrow" w:hAnsi="Arial Narrow" w:cstheme="minorHAnsi"/>
                <w:sz w:val="20"/>
                <w:szCs w:val="20"/>
                <w:lang w:val="en-AU"/>
              </w:rPr>
              <w:t>16.7%</w:t>
            </w:r>
          </w:p>
        </w:tc>
      </w:tr>
      <w:tr w:rsidR="00F17C2A" w:rsidRPr="00F04A75" w14:paraId="47550CA2" w14:textId="77777777" w:rsidTr="00F17C2A">
        <w:trPr>
          <w:trHeight w:val="109"/>
        </w:trPr>
        <w:tc>
          <w:tcPr>
            <w:tcW w:w="3823" w:type="dxa"/>
            <w:shd w:val="clear" w:color="auto" w:fill="auto"/>
            <w:noWrap/>
            <w:tcMar>
              <w:left w:w="28" w:type="dxa"/>
              <w:right w:w="28" w:type="dxa"/>
            </w:tcMar>
            <w:vAlign w:val="center"/>
          </w:tcPr>
          <w:p w14:paraId="5FC9EA81" w14:textId="77777777" w:rsidR="00943B47" w:rsidRPr="00F04A75" w:rsidRDefault="00943B47" w:rsidP="00B26A7F">
            <w:pPr>
              <w:pStyle w:val="TableText1"/>
              <w:keepNext/>
              <w:spacing w:before="0" w:after="0"/>
              <w:jc w:val="left"/>
              <w:rPr>
                <w:rFonts w:ascii="Arial Narrow" w:hAnsi="Arial Narrow" w:cstheme="minorHAnsi"/>
                <w:sz w:val="20"/>
                <w:szCs w:val="20"/>
                <w:lang w:val="en-AU"/>
              </w:rPr>
            </w:pPr>
            <w:proofErr w:type="spellStart"/>
            <w:r w:rsidRPr="00F04A75">
              <w:rPr>
                <w:rFonts w:ascii="Arial Narrow" w:hAnsi="Arial Narrow" w:cstheme="minorHAnsi"/>
                <w:sz w:val="20"/>
                <w:szCs w:val="20"/>
                <w:lang w:val="en-AU"/>
              </w:rPr>
              <w:t>Elotuzumab</w:t>
            </w:r>
            <w:proofErr w:type="spellEnd"/>
            <w:r w:rsidRPr="00F04A75">
              <w:rPr>
                <w:rFonts w:ascii="Arial Narrow" w:hAnsi="Arial Narrow" w:cstheme="minorHAnsi"/>
                <w:sz w:val="20"/>
                <w:szCs w:val="20"/>
                <w:lang w:val="en-AU"/>
              </w:rPr>
              <w:t xml:space="preserve"> as </w:t>
            </w:r>
            <w:proofErr w:type="spellStart"/>
            <w:r w:rsidRPr="00F04A75">
              <w:rPr>
                <w:rFonts w:ascii="Arial Narrow" w:hAnsi="Arial Narrow" w:cstheme="minorHAnsi"/>
                <w:sz w:val="20"/>
                <w:szCs w:val="20"/>
                <w:lang w:val="en-AU"/>
              </w:rPr>
              <w:t>E</w:t>
            </w:r>
            <w:r w:rsidR="00B0271C" w:rsidRPr="00F04A75">
              <w:rPr>
                <w:rFonts w:ascii="Arial Narrow" w:hAnsi="Arial Narrow" w:cstheme="minorHAnsi"/>
                <w:sz w:val="20"/>
                <w:szCs w:val="20"/>
                <w:lang w:val="en-AU"/>
              </w:rPr>
              <w:t>L</w:t>
            </w:r>
            <w:r w:rsidRPr="00F04A75">
              <w:rPr>
                <w:rFonts w:ascii="Arial Narrow" w:hAnsi="Arial Narrow" w:cstheme="minorHAnsi"/>
                <w:sz w:val="20"/>
                <w:szCs w:val="20"/>
                <w:lang w:val="en-AU"/>
              </w:rPr>
              <w:t>d</w:t>
            </w:r>
            <w:proofErr w:type="spellEnd"/>
          </w:p>
        </w:tc>
        <w:tc>
          <w:tcPr>
            <w:tcW w:w="992" w:type="dxa"/>
            <w:shd w:val="clear" w:color="auto" w:fill="auto"/>
            <w:noWrap/>
            <w:tcMar>
              <w:left w:w="28" w:type="dxa"/>
              <w:right w:w="28" w:type="dxa"/>
            </w:tcMar>
            <w:vAlign w:val="center"/>
          </w:tcPr>
          <w:p w14:paraId="6036392B" w14:textId="77777777" w:rsidR="00943B47" w:rsidRPr="00F04A75" w:rsidRDefault="00B0271C" w:rsidP="00B26A7F">
            <w:pPr>
              <w:pStyle w:val="TableText1"/>
              <w:keepNext/>
              <w:spacing w:before="0" w:after="0"/>
              <w:jc w:val="center"/>
              <w:rPr>
                <w:rFonts w:ascii="Arial Narrow" w:hAnsi="Arial Narrow" w:cstheme="minorHAnsi"/>
                <w:sz w:val="20"/>
                <w:szCs w:val="20"/>
                <w:lang w:val="en-AU"/>
              </w:rPr>
            </w:pPr>
            <w:r w:rsidRPr="00F04A75">
              <w:rPr>
                <w:rFonts w:ascii="Arial Narrow" w:hAnsi="Arial Narrow" w:cstheme="minorHAnsi"/>
                <w:sz w:val="20"/>
                <w:szCs w:val="20"/>
                <w:lang w:val="en-AU"/>
              </w:rPr>
              <w:t>-</w:t>
            </w:r>
          </w:p>
        </w:tc>
        <w:tc>
          <w:tcPr>
            <w:tcW w:w="709" w:type="dxa"/>
            <w:shd w:val="clear" w:color="auto" w:fill="auto"/>
            <w:noWrap/>
            <w:tcMar>
              <w:left w:w="28" w:type="dxa"/>
              <w:right w:w="28" w:type="dxa"/>
            </w:tcMar>
            <w:vAlign w:val="center"/>
          </w:tcPr>
          <w:p w14:paraId="1B3C0C74" w14:textId="77777777" w:rsidR="00943B47" w:rsidRPr="00F04A75" w:rsidRDefault="00943B47" w:rsidP="00B26A7F">
            <w:pPr>
              <w:pStyle w:val="TableText1"/>
              <w:keepNext/>
              <w:spacing w:before="0" w:after="0"/>
              <w:jc w:val="center"/>
              <w:rPr>
                <w:rFonts w:ascii="Arial Narrow" w:hAnsi="Arial Narrow" w:cstheme="minorHAnsi"/>
                <w:sz w:val="20"/>
                <w:szCs w:val="20"/>
                <w:highlight w:val="yellow"/>
                <w:lang w:val="en-AU"/>
              </w:rPr>
            </w:pPr>
            <w:r w:rsidRPr="00F04A75">
              <w:rPr>
                <w:rFonts w:ascii="Arial Narrow" w:hAnsi="Arial Narrow" w:cstheme="minorHAnsi"/>
                <w:sz w:val="20"/>
                <w:szCs w:val="20"/>
                <w:lang w:val="en-AU"/>
              </w:rPr>
              <w:t>8.3%</w:t>
            </w:r>
          </w:p>
        </w:tc>
        <w:tc>
          <w:tcPr>
            <w:tcW w:w="708" w:type="dxa"/>
            <w:shd w:val="clear" w:color="auto" w:fill="auto"/>
            <w:noWrap/>
            <w:tcMar>
              <w:left w:w="28" w:type="dxa"/>
              <w:right w:w="28" w:type="dxa"/>
            </w:tcMar>
            <w:vAlign w:val="center"/>
          </w:tcPr>
          <w:p w14:paraId="69B66BD8" w14:textId="77777777" w:rsidR="00943B47" w:rsidRPr="00F04A75" w:rsidRDefault="00943B47" w:rsidP="00B26A7F">
            <w:pPr>
              <w:pStyle w:val="TableText1"/>
              <w:keepNext/>
              <w:spacing w:before="0" w:after="0"/>
              <w:jc w:val="center"/>
              <w:rPr>
                <w:rFonts w:ascii="Arial Narrow" w:hAnsi="Arial Narrow" w:cstheme="minorHAnsi"/>
                <w:sz w:val="20"/>
                <w:szCs w:val="20"/>
                <w:highlight w:val="yellow"/>
                <w:lang w:val="en-AU"/>
              </w:rPr>
            </w:pPr>
            <w:r w:rsidRPr="00F04A75">
              <w:rPr>
                <w:rFonts w:ascii="Arial Narrow" w:hAnsi="Arial Narrow" w:cstheme="minorHAnsi"/>
                <w:sz w:val="20"/>
                <w:szCs w:val="20"/>
                <w:lang w:val="en-AU"/>
              </w:rPr>
              <w:t>12.1%</w:t>
            </w:r>
          </w:p>
        </w:tc>
        <w:tc>
          <w:tcPr>
            <w:tcW w:w="709" w:type="dxa"/>
            <w:shd w:val="clear" w:color="auto" w:fill="auto"/>
            <w:noWrap/>
            <w:tcMar>
              <w:left w:w="28" w:type="dxa"/>
              <w:right w:w="28" w:type="dxa"/>
            </w:tcMar>
            <w:vAlign w:val="center"/>
          </w:tcPr>
          <w:p w14:paraId="16543608" w14:textId="77777777" w:rsidR="00943B47" w:rsidRPr="00F04A75" w:rsidRDefault="00943B47" w:rsidP="00B26A7F">
            <w:pPr>
              <w:pStyle w:val="TableText1"/>
              <w:keepNext/>
              <w:spacing w:before="0" w:after="0"/>
              <w:jc w:val="center"/>
              <w:rPr>
                <w:rFonts w:ascii="Arial Narrow" w:hAnsi="Arial Narrow" w:cstheme="minorHAnsi"/>
                <w:sz w:val="20"/>
                <w:szCs w:val="20"/>
                <w:highlight w:val="yellow"/>
                <w:lang w:val="en-AU"/>
              </w:rPr>
            </w:pPr>
            <w:r w:rsidRPr="00F04A75">
              <w:rPr>
                <w:rFonts w:ascii="Arial Narrow" w:hAnsi="Arial Narrow" w:cstheme="minorHAnsi"/>
                <w:sz w:val="20"/>
                <w:szCs w:val="20"/>
                <w:lang w:val="en-AU"/>
              </w:rPr>
              <w:t>11.9%</w:t>
            </w:r>
          </w:p>
        </w:tc>
        <w:tc>
          <w:tcPr>
            <w:tcW w:w="709" w:type="dxa"/>
            <w:shd w:val="clear" w:color="auto" w:fill="auto"/>
            <w:noWrap/>
            <w:tcMar>
              <w:left w:w="28" w:type="dxa"/>
              <w:right w:w="28" w:type="dxa"/>
            </w:tcMar>
            <w:vAlign w:val="center"/>
          </w:tcPr>
          <w:p w14:paraId="37A98E59" w14:textId="77777777" w:rsidR="00943B47" w:rsidRPr="00F04A75" w:rsidRDefault="00943B47" w:rsidP="00B26A7F">
            <w:pPr>
              <w:pStyle w:val="TableText1"/>
              <w:keepNext/>
              <w:spacing w:before="0" w:after="0"/>
              <w:jc w:val="center"/>
              <w:rPr>
                <w:rFonts w:ascii="Arial Narrow" w:hAnsi="Arial Narrow" w:cstheme="minorHAnsi"/>
                <w:sz w:val="20"/>
                <w:szCs w:val="20"/>
                <w:highlight w:val="yellow"/>
                <w:lang w:val="en-AU"/>
              </w:rPr>
            </w:pPr>
            <w:r w:rsidRPr="00F04A75">
              <w:rPr>
                <w:rFonts w:ascii="Arial Narrow" w:hAnsi="Arial Narrow" w:cstheme="minorHAnsi"/>
                <w:sz w:val="20"/>
                <w:szCs w:val="20"/>
                <w:lang w:val="en-AU"/>
              </w:rPr>
              <w:t>11.4%</w:t>
            </w:r>
          </w:p>
        </w:tc>
        <w:tc>
          <w:tcPr>
            <w:tcW w:w="709" w:type="dxa"/>
            <w:shd w:val="clear" w:color="auto" w:fill="auto"/>
            <w:noWrap/>
            <w:tcMar>
              <w:left w:w="28" w:type="dxa"/>
              <w:right w:w="28" w:type="dxa"/>
            </w:tcMar>
            <w:vAlign w:val="center"/>
          </w:tcPr>
          <w:p w14:paraId="7EC6C412" w14:textId="77777777" w:rsidR="00943B47" w:rsidRPr="00F04A75" w:rsidRDefault="00943B47" w:rsidP="00B26A7F">
            <w:pPr>
              <w:pStyle w:val="TableText1"/>
              <w:keepNext/>
              <w:spacing w:before="0" w:after="0"/>
              <w:jc w:val="center"/>
              <w:rPr>
                <w:rFonts w:ascii="Arial Narrow" w:hAnsi="Arial Narrow" w:cstheme="minorHAnsi"/>
                <w:sz w:val="20"/>
                <w:szCs w:val="20"/>
                <w:highlight w:val="yellow"/>
                <w:lang w:val="en-AU"/>
              </w:rPr>
            </w:pPr>
            <w:r w:rsidRPr="00F04A75">
              <w:rPr>
                <w:rFonts w:ascii="Arial Narrow" w:hAnsi="Arial Narrow" w:cstheme="minorHAnsi"/>
                <w:sz w:val="20"/>
                <w:szCs w:val="20"/>
                <w:lang w:val="en-AU"/>
              </w:rPr>
              <w:t>10.8%</w:t>
            </w:r>
          </w:p>
        </w:tc>
        <w:tc>
          <w:tcPr>
            <w:tcW w:w="708" w:type="dxa"/>
            <w:shd w:val="clear" w:color="auto" w:fill="auto"/>
            <w:tcMar>
              <w:left w:w="28" w:type="dxa"/>
              <w:right w:w="28" w:type="dxa"/>
            </w:tcMar>
            <w:vAlign w:val="center"/>
          </w:tcPr>
          <w:p w14:paraId="2A5CDB47" w14:textId="77777777" w:rsidR="00943B47" w:rsidRPr="00F04A75" w:rsidRDefault="00943B47" w:rsidP="00B26A7F">
            <w:pPr>
              <w:pStyle w:val="TableText1"/>
              <w:keepNext/>
              <w:spacing w:before="0" w:after="0"/>
              <w:jc w:val="center"/>
              <w:rPr>
                <w:rFonts w:ascii="Arial Narrow" w:hAnsi="Arial Narrow" w:cstheme="minorHAnsi"/>
                <w:sz w:val="20"/>
                <w:szCs w:val="20"/>
                <w:lang w:val="en-AU"/>
              </w:rPr>
            </w:pPr>
            <w:r w:rsidRPr="00F04A75">
              <w:rPr>
                <w:rFonts w:ascii="Arial Narrow" w:hAnsi="Arial Narrow" w:cstheme="minorHAnsi"/>
                <w:sz w:val="20"/>
                <w:szCs w:val="20"/>
                <w:lang w:val="en-AU"/>
              </w:rPr>
              <w:t>10.8%</w:t>
            </w:r>
          </w:p>
        </w:tc>
      </w:tr>
      <w:tr w:rsidR="00F17C2A" w:rsidRPr="00F04A75" w14:paraId="189BAFC8" w14:textId="77777777" w:rsidTr="00F17C2A">
        <w:trPr>
          <w:trHeight w:val="109"/>
        </w:trPr>
        <w:tc>
          <w:tcPr>
            <w:tcW w:w="3823" w:type="dxa"/>
            <w:shd w:val="clear" w:color="auto" w:fill="auto"/>
            <w:noWrap/>
            <w:tcMar>
              <w:left w:w="28" w:type="dxa"/>
              <w:right w:w="28" w:type="dxa"/>
            </w:tcMar>
            <w:vAlign w:val="center"/>
          </w:tcPr>
          <w:p w14:paraId="24D27486" w14:textId="77777777" w:rsidR="00943B47" w:rsidRPr="00F04A75" w:rsidRDefault="00943B47" w:rsidP="00B26A7F">
            <w:pPr>
              <w:pStyle w:val="TableText1"/>
              <w:keepNext/>
              <w:spacing w:before="0" w:after="0"/>
              <w:jc w:val="left"/>
              <w:rPr>
                <w:rFonts w:ascii="Arial Narrow" w:hAnsi="Arial Narrow" w:cstheme="minorHAnsi"/>
                <w:sz w:val="20"/>
                <w:szCs w:val="20"/>
                <w:lang w:val="en-AU"/>
              </w:rPr>
            </w:pPr>
            <w:r w:rsidRPr="00F04A75">
              <w:rPr>
                <w:rFonts w:ascii="Arial Narrow" w:hAnsi="Arial Narrow" w:cstheme="minorHAnsi"/>
                <w:sz w:val="20"/>
                <w:szCs w:val="20"/>
                <w:lang w:val="en-AU"/>
              </w:rPr>
              <w:t xml:space="preserve">Carfilzomib as </w:t>
            </w:r>
            <w:proofErr w:type="spellStart"/>
            <w:r w:rsidRPr="00F04A75">
              <w:rPr>
                <w:rFonts w:ascii="Arial Narrow" w:hAnsi="Arial Narrow" w:cstheme="minorHAnsi"/>
                <w:sz w:val="20"/>
                <w:szCs w:val="20"/>
                <w:lang w:val="en-AU"/>
              </w:rPr>
              <w:t>CLd</w:t>
            </w:r>
            <w:proofErr w:type="spellEnd"/>
          </w:p>
        </w:tc>
        <w:tc>
          <w:tcPr>
            <w:tcW w:w="992" w:type="dxa"/>
            <w:shd w:val="clear" w:color="auto" w:fill="auto"/>
            <w:noWrap/>
            <w:tcMar>
              <w:left w:w="28" w:type="dxa"/>
              <w:right w:w="28" w:type="dxa"/>
            </w:tcMar>
            <w:vAlign w:val="center"/>
          </w:tcPr>
          <w:p w14:paraId="38CD1212" w14:textId="77777777" w:rsidR="00943B47" w:rsidRPr="00F04A75" w:rsidRDefault="00B0271C" w:rsidP="00B26A7F">
            <w:pPr>
              <w:pStyle w:val="TableText1"/>
              <w:keepNext/>
              <w:spacing w:before="0" w:after="0"/>
              <w:jc w:val="center"/>
              <w:rPr>
                <w:rFonts w:ascii="Arial Narrow" w:hAnsi="Arial Narrow" w:cstheme="minorHAnsi"/>
                <w:sz w:val="20"/>
                <w:szCs w:val="20"/>
                <w:lang w:val="en-AU"/>
              </w:rPr>
            </w:pPr>
            <w:r w:rsidRPr="00F04A75">
              <w:rPr>
                <w:rFonts w:ascii="Arial Narrow" w:hAnsi="Arial Narrow" w:cstheme="minorHAnsi"/>
                <w:sz w:val="20"/>
                <w:szCs w:val="20"/>
                <w:lang w:val="en-AU"/>
              </w:rPr>
              <w:t>-</w:t>
            </w:r>
          </w:p>
        </w:tc>
        <w:tc>
          <w:tcPr>
            <w:tcW w:w="709" w:type="dxa"/>
            <w:shd w:val="clear" w:color="auto" w:fill="auto"/>
            <w:noWrap/>
            <w:tcMar>
              <w:left w:w="28" w:type="dxa"/>
              <w:right w:w="28" w:type="dxa"/>
            </w:tcMar>
            <w:vAlign w:val="center"/>
          </w:tcPr>
          <w:p w14:paraId="2E3B0AC4" w14:textId="77777777" w:rsidR="00943B47" w:rsidRPr="00F04A75" w:rsidRDefault="00943B47" w:rsidP="00B26A7F">
            <w:pPr>
              <w:pStyle w:val="TableText1"/>
              <w:keepNext/>
              <w:spacing w:before="0" w:after="0"/>
              <w:jc w:val="center"/>
              <w:rPr>
                <w:rFonts w:ascii="Arial Narrow" w:hAnsi="Arial Narrow" w:cstheme="minorHAnsi"/>
                <w:sz w:val="20"/>
                <w:szCs w:val="20"/>
                <w:highlight w:val="yellow"/>
                <w:lang w:val="en-AU"/>
              </w:rPr>
            </w:pPr>
            <w:r w:rsidRPr="00F04A75">
              <w:rPr>
                <w:rFonts w:ascii="Arial Narrow" w:hAnsi="Arial Narrow" w:cstheme="minorHAnsi"/>
                <w:sz w:val="20"/>
                <w:szCs w:val="20"/>
                <w:lang w:val="en-AU"/>
              </w:rPr>
              <w:t>9.4%</w:t>
            </w:r>
          </w:p>
        </w:tc>
        <w:tc>
          <w:tcPr>
            <w:tcW w:w="708" w:type="dxa"/>
            <w:shd w:val="clear" w:color="auto" w:fill="auto"/>
            <w:noWrap/>
            <w:tcMar>
              <w:left w:w="28" w:type="dxa"/>
              <w:right w:w="28" w:type="dxa"/>
            </w:tcMar>
            <w:vAlign w:val="center"/>
          </w:tcPr>
          <w:p w14:paraId="2A18CCF5" w14:textId="77777777" w:rsidR="00943B47" w:rsidRPr="00F04A75" w:rsidRDefault="00943B47" w:rsidP="00B26A7F">
            <w:pPr>
              <w:pStyle w:val="TableText1"/>
              <w:keepNext/>
              <w:spacing w:before="0" w:after="0"/>
              <w:jc w:val="center"/>
              <w:rPr>
                <w:rFonts w:ascii="Arial Narrow" w:hAnsi="Arial Narrow" w:cstheme="minorHAnsi"/>
                <w:sz w:val="20"/>
                <w:szCs w:val="20"/>
                <w:highlight w:val="yellow"/>
                <w:lang w:val="en-AU"/>
              </w:rPr>
            </w:pPr>
            <w:r w:rsidRPr="00F04A75">
              <w:rPr>
                <w:rFonts w:ascii="Arial Narrow" w:hAnsi="Arial Narrow" w:cstheme="minorHAnsi"/>
                <w:sz w:val="20"/>
                <w:szCs w:val="20"/>
                <w:lang w:val="en-AU"/>
              </w:rPr>
              <w:t>12.3%</w:t>
            </w:r>
          </w:p>
        </w:tc>
        <w:tc>
          <w:tcPr>
            <w:tcW w:w="709" w:type="dxa"/>
            <w:shd w:val="clear" w:color="auto" w:fill="auto"/>
            <w:noWrap/>
            <w:tcMar>
              <w:left w:w="28" w:type="dxa"/>
              <w:right w:w="28" w:type="dxa"/>
            </w:tcMar>
            <w:vAlign w:val="center"/>
          </w:tcPr>
          <w:p w14:paraId="147B9EFC" w14:textId="77777777" w:rsidR="00943B47" w:rsidRPr="00F04A75" w:rsidRDefault="00943B47" w:rsidP="00B26A7F">
            <w:pPr>
              <w:pStyle w:val="TableText1"/>
              <w:keepNext/>
              <w:spacing w:before="0" w:after="0"/>
              <w:jc w:val="center"/>
              <w:rPr>
                <w:rFonts w:ascii="Arial Narrow" w:hAnsi="Arial Narrow" w:cstheme="minorHAnsi"/>
                <w:sz w:val="20"/>
                <w:szCs w:val="20"/>
                <w:highlight w:val="yellow"/>
                <w:lang w:val="en-AU"/>
              </w:rPr>
            </w:pPr>
            <w:r w:rsidRPr="00F04A75">
              <w:rPr>
                <w:rFonts w:ascii="Arial Narrow" w:hAnsi="Arial Narrow" w:cstheme="minorHAnsi"/>
                <w:sz w:val="20"/>
                <w:szCs w:val="20"/>
                <w:lang w:val="en-AU"/>
              </w:rPr>
              <w:t>14.8%</w:t>
            </w:r>
          </w:p>
        </w:tc>
        <w:tc>
          <w:tcPr>
            <w:tcW w:w="709" w:type="dxa"/>
            <w:shd w:val="clear" w:color="auto" w:fill="auto"/>
            <w:noWrap/>
            <w:tcMar>
              <w:left w:w="28" w:type="dxa"/>
              <w:right w:w="28" w:type="dxa"/>
            </w:tcMar>
            <w:vAlign w:val="center"/>
          </w:tcPr>
          <w:p w14:paraId="658EE410" w14:textId="77777777" w:rsidR="00943B47" w:rsidRPr="00F04A75" w:rsidRDefault="00943B47" w:rsidP="00B26A7F">
            <w:pPr>
              <w:pStyle w:val="TableText1"/>
              <w:keepNext/>
              <w:spacing w:before="0" w:after="0"/>
              <w:jc w:val="center"/>
              <w:rPr>
                <w:rFonts w:ascii="Arial Narrow" w:hAnsi="Arial Narrow" w:cstheme="minorHAnsi"/>
                <w:sz w:val="20"/>
                <w:szCs w:val="20"/>
                <w:highlight w:val="yellow"/>
                <w:lang w:val="en-AU"/>
              </w:rPr>
            </w:pPr>
            <w:r w:rsidRPr="00F04A75">
              <w:rPr>
                <w:rFonts w:ascii="Arial Narrow" w:hAnsi="Arial Narrow" w:cstheme="minorHAnsi"/>
                <w:sz w:val="20"/>
                <w:szCs w:val="20"/>
                <w:lang w:val="en-AU"/>
              </w:rPr>
              <w:t>14.3%</w:t>
            </w:r>
          </w:p>
        </w:tc>
        <w:tc>
          <w:tcPr>
            <w:tcW w:w="709" w:type="dxa"/>
            <w:shd w:val="clear" w:color="auto" w:fill="auto"/>
            <w:noWrap/>
            <w:tcMar>
              <w:left w:w="28" w:type="dxa"/>
              <w:right w:w="28" w:type="dxa"/>
            </w:tcMar>
            <w:vAlign w:val="center"/>
          </w:tcPr>
          <w:p w14:paraId="35D034B2" w14:textId="77777777" w:rsidR="00943B47" w:rsidRPr="00F04A75" w:rsidRDefault="00943B47" w:rsidP="00B26A7F">
            <w:pPr>
              <w:pStyle w:val="TableText1"/>
              <w:keepNext/>
              <w:spacing w:before="0" w:after="0"/>
              <w:jc w:val="center"/>
              <w:rPr>
                <w:rFonts w:ascii="Arial Narrow" w:hAnsi="Arial Narrow" w:cstheme="minorHAnsi"/>
                <w:sz w:val="20"/>
                <w:szCs w:val="20"/>
                <w:highlight w:val="yellow"/>
                <w:lang w:val="en-AU"/>
              </w:rPr>
            </w:pPr>
            <w:r w:rsidRPr="00F04A75">
              <w:rPr>
                <w:rFonts w:ascii="Arial Narrow" w:hAnsi="Arial Narrow" w:cstheme="minorHAnsi"/>
                <w:sz w:val="20"/>
                <w:szCs w:val="20"/>
                <w:lang w:val="en-AU"/>
              </w:rPr>
              <w:t>13.7%</w:t>
            </w:r>
          </w:p>
        </w:tc>
        <w:tc>
          <w:tcPr>
            <w:tcW w:w="708" w:type="dxa"/>
            <w:shd w:val="clear" w:color="auto" w:fill="auto"/>
            <w:tcMar>
              <w:left w:w="28" w:type="dxa"/>
              <w:right w:w="28" w:type="dxa"/>
            </w:tcMar>
            <w:vAlign w:val="center"/>
          </w:tcPr>
          <w:p w14:paraId="0F82664F" w14:textId="77777777" w:rsidR="00943B47" w:rsidRPr="00F04A75" w:rsidRDefault="00943B47" w:rsidP="00B26A7F">
            <w:pPr>
              <w:pStyle w:val="TableText1"/>
              <w:keepNext/>
              <w:spacing w:before="0" w:after="0"/>
              <w:jc w:val="center"/>
              <w:rPr>
                <w:rFonts w:ascii="Arial Narrow" w:hAnsi="Arial Narrow" w:cstheme="minorHAnsi"/>
                <w:sz w:val="20"/>
                <w:szCs w:val="20"/>
                <w:lang w:val="en-AU"/>
              </w:rPr>
            </w:pPr>
            <w:r w:rsidRPr="00F04A75">
              <w:rPr>
                <w:rFonts w:ascii="Arial Narrow" w:hAnsi="Arial Narrow" w:cstheme="minorHAnsi"/>
                <w:sz w:val="20"/>
                <w:szCs w:val="20"/>
                <w:lang w:val="en-AU"/>
              </w:rPr>
              <w:t>13.7%</w:t>
            </w:r>
          </w:p>
        </w:tc>
      </w:tr>
      <w:tr w:rsidR="00F17C2A" w:rsidRPr="00F04A75" w14:paraId="789A770A" w14:textId="77777777" w:rsidTr="00F17C2A">
        <w:trPr>
          <w:trHeight w:val="109"/>
        </w:trPr>
        <w:tc>
          <w:tcPr>
            <w:tcW w:w="3823" w:type="dxa"/>
            <w:shd w:val="clear" w:color="auto" w:fill="auto"/>
            <w:noWrap/>
            <w:tcMar>
              <w:left w:w="28" w:type="dxa"/>
              <w:right w:w="28" w:type="dxa"/>
            </w:tcMar>
            <w:vAlign w:val="center"/>
          </w:tcPr>
          <w:p w14:paraId="27B33F49" w14:textId="47FDFFA6" w:rsidR="00943B47" w:rsidRPr="00F04A75" w:rsidRDefault="005A4BBC" w:rsidP="00B26A7F">
            <w:pPr>
              <w:pStyle w:val="TableText1"/>
              <w:keepNext/>
              <w:spacing w:before="0" w:after="0"/>
              <w:jc w:val="left"/>
              <w:rPr>
                <w:rFonts w:ascii="Arial Narrow" w:hAnsi="Arial Narrow" w:cstheme="minorHAnsi"/>
                <w:iCs/>
                <w:sz w:val="20"/>
                <w:szCs w:val="20"/>
                <w:lang w:val="en-AU"/>
              </w:rPr>
            </w:pPr>
            <w:r w:rsidRPr="00F04A75">
              <w:rPr>
                <w:rFonts w:ascii="Arial Narrow" w:hAnsi="Arial Narrow" w:cstheme="minorHAnsi"/>
                <w:iCs/>
                <w:sz w:val="20"/>
                <w:szCs w:val="20"/>
                <w:lang w:val="en-AU"/>
              </w:rPr>
              <w:t>Resubmission’s estimated proportion of market to be t</w:t>
            </w:r>
            <w:r w:rsidR="00943B47" w:rsidRPr="00F04A75">
              <w:rPr>
                <w:rFonts w:ascii="Arial Narrow" w:hAnsi="Arial Narrow" w:cstheme="minorHAnsi"/>
                <w:iCs/>
                <w:sz w:val="20"/>
                <w:szCs w:val="20"/>
                <w:lang w:val="en-AU"/>
              </w:rPr>
              <w:t>o be included in carfilzomib caps</w:t>
            </w:r>
          </w:p>
          <w:p w14:paraId="228F8CC4" w14:textId="0700E280" w:rsidR="00B0271C" w:rsidRPr="00F04A75" w:rsidRDefault="00B0271C" w:rsidP="002443AE">
            <w:pPr>
              <w:pStyle w:val="TableText1"/>
              <w:keepNext/>
              <w:spacing w:before="0" w:after="0"/>
              <w:jc w:val="left"/>
              <w:rPr>
                <w:rFonts w:ascii="Arial Narrow" w:hAnsi="Arial Narrow" w:cstheme="minorHAnsi"/>
                <w:iCs/>
                <w:sz w:val="20"/>
                <w:szCs w:val="20"/>
                <w:lang w:val="en-AU"/>
              </w:rPr>
            </w:pPr>
            <w:r w:rsidRPr="00F04A75">
              <w:rPr>
                <w:rFonts w:ascii="Arial Narrow" w:hAnsi="Arial Narrow" w:cstheme="minorHAnsi"/>
                <w:iCs/>
                <w:sz w:val="20"/>
                <w:szCs w:val="20"/>
                <w:lang w:val="en-AU"/>
              </w:rPr>
              <w:t xml:space="preserve">(Cd + </w:t>
            </w:r>
            <w:proofErr w:type="spellStart"/>
            <w:r w:rsidRPr="00F04A75">
              <w:rPr>
                <w:rFonts w:ascii="Arial Narrow" w:hAnsi="Arial Narrow" w:cstheme="minorHAnsi"/>
                <w:iCs/>
                <w:sz w:val="20"/>
                <w:szCs w:val="20"/>
                <w:lang w:val="en-AU"/>
              </w:rPr>
              <w:t>PBd</w:t>
            </w:r>
            <w:proofErr w:type="spellEnd"/>
            <w:r w:rsidRPr="00F04A75">
              <w:rPr>
                <w:rFonts w:ascii="Arial Narrow" w:hAnsi="Arial Narrow" w:cstheme="minorHAnsi"/>
                <w:iCs/>
                <w:sz w:val="20"/>
                <w:szCs w:val="20"/>
                <w:lang w:val="en-AU"/>
              </w:rPr>
              <w:t xml:space="preserve"> + </w:t>
            </w:r>
            <w:proofErr w:type="spellStart"/>
            <w:r w:rsidRPr="00F04A75">
              <w:rPr>
                <w:rFonts w:ascii="Arial Narrow" w:hAnsi="Arial Narrow" w:cstheme="minorHAnsi"/>
                <w:iCs/>
                <w:sz w:val="20"/>
                <w:szCs w:val="20"/>
                <w:lang w:val="en-AU"/>
              </w:rPr>
              <w:t>E</w:t>
            </w:r>
            <w:r w:rsidR="002443AE" w:rsidRPr="00F04A75">
              <w:rPr>
                <w:rFonts w:ascii="Arial Narrow" w:hAnsi="Arial Narrow" w:cstheme="minorHAnsi"/>
                <w:iCs/>
                <w:sz w:val="20"/>
                <w:szCs w:val="20"/>
                <w:lang w:val="en-AU"/>
              </w:rPr>
              <w:t>L</w:t>
            </w:r>
            <w:r w:rsidRPr="00F04A75">
              <w:rPr>
                <w:rFonts w:ascii="Arial Narrow" w:hAnsi="Arial Narrow" w:cstheme="minorHAnsi"/>
                <w:iCs/>
                <w:sz w:val="20"/>
                <w:szCs w:val="20"/>
                <w:lang w:val="en-AU"/>
              </w:rPr>
              <w:t>d</w:t>
            </w:r>
            <w:proofErr w:type="spellEnd"/>
            <w:r w:rsidRPr="00F04A75">
              <w:rPr>
                <w:rFonts w:ascii="Arial Narrow" w:hAnsi="Arial Narrow" w:cstheme="minorHAnsi"/>
                <w:iCs/>
                <w:sz w:val="20"/>
                <w:szCs w:val="20"/>
                <w:lang w:val="en-AU"/>
              </w:rPr>
              <w:t xml:space="preserve"> + </w:t>
            </w:r>
            <w:proofErr w:type="spellStart"/>
            <w:r w:rsidRPr="00F04A75">
              <w:rPr>
                <w:rFonts w:ascii="Arial Narrow" w:hAnsi="Arial Narrow" w:cstheme="minorHAnsi"/>
                <w:iCs/>
                <w:sz w:val="20"/>
                <w:szCs w:val="20"/>
                <w:lang w:val="en-AU"/>
              </w:rPr>
              <w:t>CLd</w:t>
            </w:r>
            <w:proofErr w:type="spellEnd"/>
            <w:r w:rsidRPr="00F04A75">
              <w:rPr>
                <w:rFonts w:ascii="Arial Narrow" w:hAnsi="Arial Narrow" w:cstheme="minorHAnsi"/>
                <w:iCs/>
                <w:sz w:val="20"/>
                <w:szCs w:val="20"/>
                <w:lang w:val="en-AU"/>
              </w:rPr>
              <w:t>)</w:t>
            </w:r>
          </w:p>
        </w:tc>
        <w:tc>
          <w:tcPr>
            <w:tcW w:w="992" w:type="dxa"/>
            <w:shd w:val="clear" w:color="auto" w:fill="auto"/>
            <w:noWrap/>
            <w:tcMar>
              <w:left w:w="28" w:type="dxa"/>
              <w:right w:w="28" w:type="dxa"/>
            </w:tcMar>
            <w:vAlign w:val="center"/>
          </w:tcPr>
          <w:p w14:paraId="78180C59" w14:textId="77777777" w:rsidR="00943B47" w:rsidRPr="00F04A75" w:rsidRDefault="00943B47" w:rsidP="00B26A7F">
            <w:pPr>
              <w:pStyle w:val="TableText1"/>
              <w:keepNext/>
              <w:spacing w:before="0" w:after="0"/>
              <w:jc w:val="center"/>
              <w:rPr>
                <w:rFonts w:ascii="Arial Narrow" w:hAnsi="Arial Narrow" w:cstheme="minorHAnsi"/>
                <w:iCs/>
                <w:sz w:val="20"/>
                <w:szCs w:val="20"/>
                <w:lang w:val="en-AU"/>
              </w:rPr>
            </w:pPr>
            <w:r w:rsidRPr="00F04A75">
              <w:rPr>
                <w:rFonts w:ascii="Arial Narrow" w:hAnsi="Arial Narrow" w:cstheme="minorHAnsi"/>
                <w:iCs/>
                <w:sz w:val="20"/>
                <w:szCs w:val="20"/>
                <w:lang w:val="en-AU"/>
              </w:rPr>
              <w:t>18.6%</w:t>
            </w:r>
          </w:p>
        </w:tc>
        <w:tc>
          <w:tcPr>
            <w:tcW w:w="709" w:type="dxa"/>
            <w:shd w:val="clear" w:color="auto" w:fill="auto"/>
            <w:noWrap/>
            <w:tcMar>
              <w:left w:w="28" w:type="dxa"/>
              <w:right w:w="28" w:type="dxa"/>
            </w:tcMar>
            <w:vAlign w:val="center"/>
          </w:tcPr>
          <w:p w14:paraId="4D9EA7AB" w14:textId="77777777" w:rsidR="00943B47" w:rsidRPr="00F04A75" w:rsidRDefault="00943B47" w:rsidP="00B26A7F">
            <w:pPr>
              <w:pStyle w:val="TableText1"/>
              <w:keepNext/>
              <w:spacing w:before="0" w:after="0"/>
              <w:jc w:val="center"/>
              <w:rPr>
                <w:rFonts w:ascii="Arial Narrow" w:hAnsi="Arial Narrow" w:cstheme="minorHAnsi"/>
                <w:iCs/>
                <w:sz w:val="20"/>
                <w:szCs w:val="20"/>
                <w:lang w:val="en-AU"/>
              </w:rPr>
            </w:pPr>
            <w:r w:rsidRPr="00F04A75">
              <w:rPr>
                <w:rFonts w:ascii="Arial Narrow" w:hAnsi="Arial Narrow" w:cstheme="minorHAnsi"/>
                <w:iCs/>
                <w:sz w:val="20"/>
                <w:szCs w:val="20"/>
                <w:lang w:val="en-AU"/>
              </w:rPr>
              <w:t>40.8%</w:t>
            </w:r>
          </w:p>
        </w:tc>
        <w:tc>
          <w:tcPr>
            <w:tcW w:w="708" w:type="dxa"/>
            <w:shd w:val="clear" w:color="auto" w:fill="auto"/>
            <w:noWrap/>
            <w:tcMar>
              <w:left w:w="28" w:type="dxa"/>
              <w:right w:w="28" w:type="dxa"/>
            </w:tcMar>
            <w:vAlign w:val="center"/>
          </w:tcPr>
          <w:p w14:paraId="5A933658" w14:textId="77777777" w:rsidR="00943B47" w:rsidRPr="00F04A75" w:rsidRDefault="00943B47" w:rsidP="00B26A7F">
            <w:pPr>
              <w:pStyle w:val="TableText1"/>
              <w:keepNext/>
              <w:spacing w:before="0" w:after="0"/>
              <w:jc w:val="center"/>
              <w:rPr>
                <w:rFonts w:ascii="Arial Narrow" w:hAnsi="Arial Narrow" w:cstheme="minorHAnsi"/>
                <w:iCs/>
                <w:sz w:val="20"/>
                <w:szCs w:val="20"/>
                <w:lang w:val="en-AU"/>
              </w:rPr>
            </w:pPr>
            <w:r w:rsidRPr="00F04A75">
              <w:rPr>
                <w:rFonts w:ascii="Arial Narrow" w:hAnsi="Arial Narrow" w:cstheme="minorHAnsi"/>
                <w:iCs/>
                <w:sz w:val="20"/>
                <w:szCs w:val="20"/>
                <w:lang w:val="en-AU"/>
              </w:rPr>
              <w:t>48.8%</w:t>
            </w:r>
          </w:p>
        </w:tc>
        <w:tc>
          <w:tcPr>
            <w:tcW w:w="709" w:type="dxa"/>
            <w:shd w:val="clear" w:color="auto" w:fill="auto"/>
            <w:noWrap/>
            <w:tcMar>
              <w:left w:w="28" w:type="dxa"/>
              <w:right w:w="28" w:type="dxa"/>
            </w:tcMar>
            <w:vAlign w:val="center"/>
          </w:tcPr>
          <w:p w14:paraId="5C98A509" w14:textId="77777777" w:rsidR="00943B47" w:rsidRPr="00F04A75" w:rsidRDefault="00943B47" w:rsidP="00B26A7F">
            <w:pPr>
              <w:pStyle w:val="TableText1"/>
              <w:keepNext/>
              <w:spacing w:before="0" w:after="0"/>
              <w:jc w:val="center"/>
              <w:rPr>
                <w:rFonts w:ascii="Arial Narrow" w:hAnsi="Arial Narrow" w:cstheme="minorHAnsi"/>
                <w:iCs/>
                <w:sz w:val="20"/>
                <w:szCs w:val="20"/>
                <w:lang w:val="en-AU"/>
              </w:rPr>
            </w:pPr>
            <w:r w:rsidRPr="00F04A75">
              <w:rPr>
                <w:rFonts w:ascii="Arial Narrow" w:hAnsi="Arial Narrow" w:cstheme="minorHAnsi"/>
                <w:iCs/>
                <w:sz w:val="20"/>
                <w:szCs w:val="20"/>
                <w:lang w:val="en-AU"/>
              </w:rPr>
              <w:t>52.8%</w:t>
            </w:r>
          </w:p>
        </w:tc>
        <w:tc>
          <w:tcPr>
            <w:tcW w:w="709" w:type="dxa"/>
            <w:shd w:val="clear" w:color="auto" w:fill="auto"/>
            <w:noWrap/>
            <w:tcMar>
              <w:left w:w="28" w:type="dxa"/>
              <w:right w:w="28" w:type="dxa"/>
            </w:tcMar>
            <w:vAlign w:val="center"/>
          </w:tcPr>
          <w:p w14:paraId="670026A7" w14:textId="77777777" w:rsidR="00943B47" w:rsidRPr="00F04A75" w:rsidRDefault="00943B47" w:rsidP="00B26A7F">
            <w:pPr>
              <w:pStyle w:val="TableText1"/>
              <w:keepNext/>
              <w:spacing w:before="0" w:after="0"/>
              <w:jc w:val="center"/>
              <w:rPr>
                <w:rFonts w:ascii="Arial Narrow" w:hAnsi="Arial Narrow" w:cstheme="minorHAnsi"/>
                <w:iCs/>
                <w:sz w:val="20"/>
                <w:szCs w:val="20"/>
                <w:lang w:val="en-AU"/>
              </w:rPr>
            </w:pPr>
            <w:r w:rsidRPr="00F04A75">
              <w:rPr>
                <w:rFonts w:ascii="Arial Narrow" w:hAnsi="Arial Narrow" w:cstheme="minorHAnsi"/>
                <w:iCs/>
                <w:sz w:val="20"/>
                <w:szCs w:val="20"/>
                <w:lang w:val="en-AU"/>
              </w:rPr>
              <w:t>50.8%</w:t>
            </w:r>
          </w:p>
        </w:tc>
        <w:tc>
          <w:tcPr>
            <w:tcW w:w="709" w:type="dxa"/>
            <w:shd w:val="clear" w:color="auto" w:fill="auto"/>
            <w:tcMar>
              <w:left w:w="28" w:type="dxa"/>
              <w:right w:w="28" w:type="dxa"/>
            </w:tcMar>
            <w:vAlign w:val="center"/>
          </w:tcPr>
          <w:p w14:paraId="0BD7D373" w14:textId="77777777" w:rsidR="00943B47" w:rsidRPr="00F04A75" w:rsidRDefault="00943B47" w:rsidP="00B26A7F">
            <w:pPr>
              <w:pStyle w:val="TableText1"/>
              <w:keepNext/>
              <w:spacing w:before="0" w:after="0"/>
              <w:jc w:val="center"/>
              <w:rPr>
                <w:rFonts w:ascii="Arial Narrow" w:hAnsi="Arial Narrow" w:cstheme="minorHAnsi"/>
                <w:iCs/>
                <w:sz w:val="20"/>
                <w:szCs w:val="20"/>
                <w:lang w:val="en-AU"/>
              </w:rPr>
            </w:pPr>
            <w:r w:rsidRPr="00F04A75">
              <w:rPr>
                <w:rFonts w:ascii="Arial Narrow" w:hAnsi="Arial Narrow" w:cstheme="minorHAnsi"/>
                <w:iCs/>
                <w:sz w:val="20"/>
                <w:szCs w:val="20"/>
                <w:lang w:val="en-AU"/>
              </w:rPr>
              <w:t>48.4%</w:t>
            </w:r>
          </w:p>
        </w:tc>
        <w:tc>
          <w:tcPr>
            <w:tcW w:w="708" w:type="dxa"/>
            <w:shd w:val="clear" w:color="auto" w:fill="auto"/>
            <w:tcMar>
              <w:left w:w="28" w:type="dxa"/>
              <w:right w:w="28" w:type="dxa"/>
            </w:tcMar>
            <w:vAlign w:val="center"/>
          </w:tcPr>
          <w:p w14:paraId="71D7A323" w14:textId="77777777" w:rsidR="00943B47" w:rsidRPr="00F04A75" w:rsidRDefault="00943B47" w:rsidP="00B26A7F">
            <w:pPr>
              <w:pStyle w:val="TableText1"/>
              <w:keepNext/>
              <w:spacing w:before="0" w:after="0"/>
              <w:jc w:val="center"/>
              <w:rPr>
                <w:rFonts w:ascii="Arial Narrow" w:hAnsi="Arial Narrow" w:cstheme="minorHAnsi"/>
                <w:iCs/>
                <w:sz w:val="20"/>
                <w:szCs w:val="20"/>
                <w:lang w:val="en-AU"/>
              </w:rPr>
            </w:pPr>
            <w:r w:rsidRPr="00F04A75">
              <w:rPr>
                <w:rFonts w:ascii="Arial Narrow" w:hAnsi="Arial Narrow" w:cstheme="minorHAnsi"/>
                <w:iCs/>
                <w:sz w:val="20"/>
                <w:szCs w:val="20"/>
                <w:lang w:val="en-AU"/>
              </w:rPr>
              <w:t>48.4%</w:t>
            </w:r>
          </w:p>
        </w:tc>
      </w:tr>
    </w:tbl>
    <w:p w14:paraId="58D5A840" w14:textId="77777777" w:rsidR="00943B47" w:rsidRPr="00F04A75" w:rsidRDefault="00943B47" w:rsidP="00943B47">
      <w:pPr>
        <w:rPr>
          <w:rFonts w:ascii="Arial Narrow" w:hAnsi="Arial Narrow"/>
          <w:sz w:val="18"/>
          <w:szCs w:val="18"/>
        </w:rPr>
      </w:pPr>
      <w:r w:rsidRPr="00F04A75">
        <w:rPr>
          <w:rFonts w:ascii="Arial Narrow" w:hAnsi="Arial Narrow"/>
          <w:sz w:val="18"/>
          <w:szCs w:val="18"/>
        </w:rPr>
        <w:t xml:space="preserve">Source: Table 4.2.5 p116 of the resubmission </w:t>
      </w:r>
    </w:p>
    <w:p w14:paraId="17A49591" w14:textId="059441F6" w:rsidR="00943B47" w:rsidRPr="00F04A75" w:rsidRDefault="00943B47" w:rsidP="00943B47">
      <w:pPr>
        <w:rPr>
          <w:rFonts w:ascii="Arial Narrow" w:hAnsi="Arial Narrow"/>
          <w:sz w:val="18"/>
          <w:szCs w:val="18"/>
        </w:rPr>
      </w:pPr>
      <w:r w:rsidRPr="00F04A75">
        <w:rPr>
          <w:rFonts w:ascii="Arial Narrow" w:hAnsi="Arial Narrow" w:cs="Calibri"/>
          <w:sz w:val="18"/>
          <w:szCs w:val="18"/>
        </w:rPr>
        <w:t>Cd</w:t>
      </w:r>
      <w:r w:rsidR="007E052A" w:rsidRPr="00F04A75">
        <w:rPr>
          <w:rFonts w:ascii="Arial Narrow" w:hAnsi="Arial Narrow" w:cs="Calibri"/>
          <w:sz w:val="18"/>
          <w:szCs w:val="18"/>
        </w:rPr>
        <w:t xml:space="preserve"> </w:t>
      </w:r>
      <w:r w:rsidRPr="00F04A75">
        <w:rPr>
          <w:rFonts w:ascii="Arial Narrow" w:hAnsi="Arial Narrow" w:cs="Calibri"/>
          <w:sz w:val="18"/>
          <w:szCs w:val="18"/>
        </w:rPr>
        <w:t>=</w:t>
      </w:r>
      <w:r w:rsidR="007E052A" w:rsidRPr="00F04A75">
        <w:rPr>
          <w:rFonts w:ascii="Arial Narrow" w:hAnsi="Arial Narrow" w:cs="Calibri"/>
          <w:sz w:val="18"/>
          <w:szCs w:val="18"/>
        </w:rPr>
        <w:t xml:space="preserve"> </w:t>
      </w:r>
      <w:r w:rsidRPr="00F04A75">
        <w:rPr>
          <w:rFonts w:ascii="Arial Narrow" w:hAnsi="Arial Narrow" w:cs="Calibri"/>
          <w:sz w:val="18"/>
          <w:szCs w:val="18"/>
        </w:rPr>
        <w:t xml:space="preserve">carfilzomib and dexamethasone; </w:t>
      </w:r>
      <w:proofErr w:type="spellStart"/>
      <w:r w:rsidRPr="00F04A75">
        <w:rPr>
          <w:rFonts w:ascii="Arial Narrow" w:hAnsi="Arial Narrow" w:cs="Calibri"/>
          <w:sz w:val="18"/>
          <w:szCs w:val="18"/>
        </w:rPr>
        <w:t>CLd</w:t>
      </w:r>
      <w:proofErr w:type="spellEnd"/>
      <w:r w:rsidR="007E052A" w:rsidRPr="00F04A75">
        <w:rPr>
          <w:rFonts w:ascii="Arial Narrow" w:hAnsi="Arial Narrow" w:cs="Calibri"/>
          <w:sz w:val="18"/>
          <w:szCs w:val="18"/>
        </w:rPr>
        <w:t xml:space="preserve"> </w:t>
      </w:r>
      <w:r w:rsidRPr="00F04A75">
        <w:rPr>
          <w:rFonts w:ascii="Arial Narrow" w:hAnsi="Arial Narrow" w:cs="Calibri"/>
          <w:sz w:val="18"/>
          <w:szCs w:val="18"/>
        </w:rPr>
        <w:t>= carfilzomib</w:t>
      </w:r>
      <w:r w:rsidR="007E052A" w:rsidRPr="00F04A75">
        <w:rPr>
          <w:rFonts w:ascii="Arial Narrow" w:hAnsi="Arial Narrow" w:cs="Calibri"/>
          <w:sz w:val="18"/>
          <w:szCs w:val="18"/>
        </w:rPr>
        <w:t>,</w:t>
      </w:r>
      <w:r w:rsidRPr="00F04A75">
        <w:rPr>
          <w:rFonts w:ascii="Arial Narrow" w:hAnsi="Arial Narrow" w:cs="Calibri"/>
          <w:sz w:val="18"/>
          <w:szCs w:val="18"/>
        </w:rPr>
        <w:t xml:space="preserve"> lenalidomide and dexamethasone; </w:t>
      </w:r>
      <w:proofErr w:type="spellStart"/>
      <w:r w:rsidRPr="00F04A75">
        <w:rPr>
          <w:rFonts w:ascii="Arial Narrow" w:hAnsi="Arial Narrow" w:cs="Calibri"/>
          <w:sz w:val="18"/>
          <w:szCs w:val="18"/>
        </w:rPr>
        <w:t>DBd</w:t>
      </w:r>
      <w:proofErr w:type="spellEnd"/>
      <w:r w:rsidR="007E052A" w:rsidRPr="00F04A75">
        <w:rPr>
          <w:rFonts w:ascii="Arial Narrow" w:hAnsi="Arial Narrow" w:cs="Calibri"/>
          <w:sz w:val="18"/>
          <w:szCs w:val="18"/>
        </w:rPr>
        <w:t xml:space="preserve"> </w:t>
      </w:r>
      <w:r w:rsidRPr="00F04A75">
        <w:rPr>
          <w:rFonts w:ascii="Arial Narrow" w:hAnsi="Arial Narrow" w:cs="Calibri"/>
          <w:sz w:val="18"/>
          <w:szCs w:val="18"/>
        </w:rPr>
        <w:t xml:space="preserve">= </w:t>
      </w:r>
      <w:r w:rsidR="007E052A" w:rsidRPr="00F04A75">
        <w:rPr>
          <w:rFonts w:ascii="Arial Narrow" w:hAnsi="Arial Narrow" w:cs="Calibri"/>
          <w:sz w:val="18"/>
          <w:szCs w:val="18"/>
        </w:rPr>
        <w:t>d</w:t>
      </w:r>
      <w:r w:rsidRPr="00F04A75">
        <w:rPr>
          <w:rFonts w:ascii="Arial Narrow" w:hAnsi="Arial Narrow" w:cs="Calibri"/>
          <w:sz w:val="18"/>
          <w:szCs w:val="18"/>
        </w:rPr>
        <w:t>aratumumab</w:t>
      </w:r>
      <w:r w:rsidR="007E052A" w:rsidRPr="00F04A75">
        <w:rPr>
          <w:rFonts w:ascii="Arial Narrow" w:hAnsi="Arial Narrow" w:cs="Calibri"/>
          <w:sz w:val="18"/>
          <w:szCs w:val="18"/>
        </w:rPr>
        <w:t xml:space="preserve">, </w:t>
      </w:r>
      <w:r w:rsidRPr="00F04A75">
        <w:rPr>
          <w:rFonts w:ascii="Arial Narrow" w:hAnsi="Arial Narrow" w:cs="Calibri"/>
          <w:sz w:val="18"/>
          <w:szCs w:val="18"/>
        </w:rPr>
        <w:t xml:space="preserve">bortezomib and dexamethasone; </w:t>
      </w:r>
      <w:proofErr w:type="spellStart"/>
      <w:r w:rsidRPr="00F04A75">
        <w:rPr>
          <w:rFonts w:ascii="Arial Narrow" w:hAnsi="Arial Narrow" w:cs="Calibri"/>
          <w:sz w:val="18"/>
          <w:szCs w:val="18"/>
        </w:rPr>
        <w:t>ELd</w:t>
      </w:r>
      <w:proofErr w:type="spellEnd"/>
      <w:r w:rsidR="007E052A" w:rsidRPr="00F04A75">
        <w:rPr>
          <w:rFonts w:ascii="Arial Narrow" w:hAnsi="Arial Narrow" w:cs="Calibri"/>
          <w:sz w:val="18"/>
          <w:szCs w:val="18"/>
        </w:rPr>
        <w:t xml:space="preserve"> </w:t>
      </w:r>
      <w:r w:rsidRPr="00F04A75">
        <w:rPr>
          <w:rFonts w:ascii="Arial Narrow" w:hAnsi="Arial Narrow" w:cs="Calibri"/>
          <w:sz w:val="18"/>
          <w:szCs w:val="18"/>
        </w:rPr>
        <w:t>=</w:t>
      </w:r>
      <w:r w:rsidR="007E052A" w:rsidRPr="00F04A75">
        <w:rPr>
          <w:rFonts w:ascii="Arial Narrow" w:hAnsi="Arial Narrow" w:cs="Calibri"/>
          <w:sz w:val="18"/>
          <w:szCs w:val="18"/>
        </w:rPr>
        <w:t xml:space="preserve"> </w:t>
      </w:r>
      <w:proofErr w:type="spellStart"/>
      <w:r w:rsidRPr="00F04A75">
        <w:rPr>
          <w:rFonts w:ascii="Arial Narrow" w:hAnsi="Arial Narrow" w:cs="Calibri"/>
          <w:sz w:val="18"/>
          <w:szCs w:val="18"/>
        </w:rPr>
        <w:t>elotuzumab</w:t>
      </w:r>
      <w:proofErr w:type="spellEnd"/>
      <w:r w:rsidR="007E052A" w:rsidRPr="00F04A75">
        <w:rPr>
          <w:rFonts w:ascii="Arial Narrow" w:hAnsi="Arial Narrow" w:cs="Calibri"/>
          <w:sz w:val="18"/>
          <w:szCs w:val="18"/>
        </w:rPr>
        <w:t xml:space="preserve">, </w:t>
      </w:r>
      <w:r w:rsidRPr="00F04A75">
        <w:rPr>
          <w:rFonts w:ascii="Arial Narrow" w:hAnsi="Arial Narrow" w:cs="Calibri"/>
          <w:sz w:val="18"/>
          <w:szCs w:val="18"/>
        </w:rPr>
        <w:t xml:space="preserve">lenalidomide and dexamethasone; </w:t>
      </w:r>
      <w:proofErr w:type="spellStart"/>
      <w:r w:rsidR="007E052A" w:rsidRPr="00F04A75">
        <w:rPr>
          <w:rFonts w:ascii="Arial Narrow" w:hAnsi="Arial Narrow" w:cs="Calibri"/>
          <w:sz w:val="18"/>
          <w:szCs w:val="18"/>
        </w:rPr>
        <w:t>PBd</w:t>
      </w:r>
      <w:proofErr w:type="spellEnd"/>
      <w:r w:rsidR="007E052A" w:rsidRPr="00F04A75">
        <w:rPr>
          <w:rFonts w:ascii="Arial Narrow" w:hAnsi="Arial Narrow" w:cs="Calibri"/>
          <w:sz w:val="18"/>
          <w:szCs w:val="18"/>
        </w:rPr>
        <w:t xml:space="preserve"> = pomalidomide, bortezomib and dexamethasone; </w:t>
      </w:r>
      <w:r w:rsidRPr="00F04A75">
        <w:rPr>
          <w:rFonts w:ascii="Arial Narrow" w:hAnsi="Arial Narrow"/>
          <w:sz w:val="18"/>
          <w:szCs w:val="18"/>
        </w:rPr>
        <w:t>RRMM</w:t>
      </w:r>
      <w:r w:rsidR="007E052A" w:rsidRPr="00F04A75">
        <w:rPr>
          <w:rFonts w:ascii="Arial Narrow" w:hAnsi="Arial Narrow"/>
          <w:sz w:val="18"/>
          <w:szCs w:val="18"/>
        </w:rPr>
        <w:t xml:space="preserve"> </w:t>
      </w:r>
      <w:r w:rsidRPr="00F04A75">
        <w:rPr>
          <w:rFonts w:ascii="Arial Narrow" w:hAnsi="Arial Narrow"/>
          <w:sz w:val="18"/>
          <w:szCs w:val="18"/>
        </w:rPr>
        <w:t xml:space="preserve">= relapsed </w:t>
      </w:r>
      <w:r w:rsidR="007E052A" w:rsidRPr="00F04A75">
        <w:rPr>
          <w:rFonts w:ascii="Arial Narrow" w:hAnsi="Arial Narrow"/>
          <w:sz w:val="18"/>
          <w:szCs w:val="18"/>
        </w:rPr>
        <w:t xml:space="preserve">and/or </w:t>
      </w:r>
      <w:r w:rsidRPr="00F04A75">
        <w:rPr>
          <w:rFonts w:ascii="Arial Narrow" w:hAnsi="Arial Narrow"/>
          <w:sz w:val="18"/>
          <w:szCs w:val="18"/>
        </w:rPr>
        <w:t>refractory multiple myeloma</w:t>
      </w:r>
    </w:p>
    <w:p w14:paraId="4F0BC962" w14:textId="77777777" w:rsidR="00943B47" w:rsidRPr="00F04A75" w:rsidRDefault="00943B47" w:rsidP="00943B47">
      <w:pPr>
        <w:rPr>
          <w:rFonts w:ascii="Arial Narrow" w:hAnsi="Arial Narrow"/>
          <w:sz w:val="18"/>
          <w:szCs w:val="18"/>
        </w:rPr>
      </w:pPr>
    </w:p>
    <w:p w14:paraId="23D5B35B" w14:textId="76F488A3" w:rsidR="00F70AB4" w:rsidRPr="00F04A75" w:rsidRDefault="00F97782" w:rsidP="00C94815">
      <w:pPr>
        <w:pStyle w:val="3-BodyText"/>
        <w:rPr>
          <w:color w:val="0066FF"/>
        </w:rPr>
      </w:pPr>
      <w:r w:rsidRPr="00F04A75">
        <w:t xml:space="preserve">A summary of the use and financial implications for </w:t>
      </w:r>
      <w:r w:rsidR="00813BD7" w:rsidRPr="00F04A75">
        <w:t>the four scenario analyses</w:t>
      </w:r>
      <w:r w:rsidR="0033327D">
        <w:t xml:space="preserve"> as presented in the submission</w:t>
      </w:r>
      <w:r w:rsidR="00813BD7" w:rsidRPr="00F04A75">
        <w:t xml:space="preserve"> are</w:t>
      </w:r>
      <w:r w:rsidRPr="00F04A75">
        <w:t xml:space="preserve"> </w:t>
      </w:r>
      <w:r w:rsidRPr="00F04A75">
        <w:rPr>
          <w:rFonts w:cstheme="minorHAnsi"/>
        </w:rPr>
        <w:t>presented in</w:t>
      </w:r>
      <w:r w:rsidR="00813BD7" w:rsidRPr="00F04A75">
        <w:rPr>
          <w:rFonts w:cstheme="minorHAnsi"/>
        </w:rPr>
        <w:t xml:space="preserve"> Table 2</w:t>
      </w:r>
      <w:r w:rsidR="00C8791A">
        <w:rPr>
          <w:rFonts w:cstheme="minorHAnsi"/>
        </w:rPr>
        <w:t>3</w:t>
      </w:r>
      <w:r w:rsidRPr="00F04A75">
        <w:rPr>
          <w:rFonts w:cstheme="minorHAnsi"/>
          <w:color w:val="000000" w:themeColor="text1"/>
        </w:rPr>
        <w:t xml:space="preserve">. </w:t>
      </w:r>
    </w:p>
    <w:p w14:paraId="47731BB2" w14:textId="0B3645B4" w:rsidR="00F97782" w:rsidRPr="00F04A75" w:rsidRDefault="00F97782" w:rsidP="00B26A7F">
      <w:pPr>
        <w:pStyle w:val="Caption"/>
        <w:keepNext/>
        <w:spacing w:after="0"/>
        <w:rPr>
          <w:rFonts w:ascii="Arial Narrow" w:hAnsi="Arial Narrow"/>
          <w:color w:val="auto"/>
          <w:sz w:val="20"/>
          <w:szCs w:val="20"/>
        </w:rPr>
      </w:pPr>
      <w:r w:rsidRPr="00F04A75">
        <w:rPr>
          <w:rFonts w:ascii="Arial Narrow" w:hAnsi="Arial Narrow"/>
          <w:color w:val="auto"/>
          <w:sz w:val="20"/>
          <w:szCs w:val="20"/>
        </w:rPr>
        <w:t xml:space="preserve">Table </w:t>
      </w:r>
      <w:r w:rsidR="00813BD7" w:rsidRPr="00F04A75">
        <w:rPr>
          <w:rFonts w:ascii="Arial Narrow" w:hAnsi="Arial Narrow"/>
          <w:color w:val="auto"/>
          <w:sz w:val="20"/>
          <w:szCs w:val="20"/>
        </w:rPr>
        <w:t>2</w:t>
      </w:r>
      <w:r w:rsidR="00C8791A">
        <w:rPr>
          <w:rFonts w:ascii="Arial Narrow" w:hAnsi="Arial Narrow"/>
          <w:color w:val="auto"/>
          <w:sz w:val="20"/>
          <w:szCs w:val="20"/>
        </w:rPr>
        <w:t>3</w:t>
      </w:r>
      <w:r w:rsidRPr="00F04A75">
        <w:rPr>
          <w:rFonts w:ascii="Arial Narrow" w:hAnsi="Arial Narrow"/>
          <w:color w:val="auto"/>
          <w:sz w:val="20"/>
          <w:szCs w:val="20"/>
        </w:rPr>
        <w:t xml:space="preserve">: </w:t>
      </w:r>
      <w:r w:rsidR="00942FE1">
        <w:rPr>
          <w:rFonts w:ascii="Arial Narrow" w:hAnsi="Arial Narrow" w:cstheme="minorHAnsi"/>
          <w:color w:val="auto"/>
          <w:sz w:val="20"/>
          <w:szCs w:val="20"/>
        </w:rPr>
        <w:t>C</w:t>
      </w:r>
      <w:r w:rsidRPr="00F04A75">
        <w:rPr>
          <w:rFonts w:ascii="Arial Narrow" w:hAnsi="Arial Narrow" w:cstheme="minorHAnsi"/>
          <w:color w:val="auto"/>
          <w:sz w:val="20"/>
          <w:szCs w:val="20"/>
        </w:rPr>
        <w:t>ost</w:t>
      </w:r>
      <w:r w:rsidR="00942FE1">
        <w:rPr>
          <w:rFonts w:ascii="Arial Narrow" w:hAnsi="Arial Narrow" w:cstheme="minorHAnsi"/>
          <w:color w:val="auto"/>
          <w:sz w:val="20"/>
          <w:szCs w:val="20"/>
        </w:rPr>
        <w:t xml:space="preserve"> (minus patient co-payments)</w:t>
      </w:r>
      <w:r w:rsidRPr="00F04A75">
        <w:rPr>
          <w:rFonts w:ascii="Arial Narrow" w:hAnsi="Arial Narrow" w:cstheme="minorHAnsi"/>
          <w:color w:val="auto"/>
          <w:sz w:val="20"/>
          <w:szCs w:val="20"/>
        </w:rPr>
        <w:t xml:space="preserve"> to the health budget (at known or assumed effective PBS prices)</w:t>
      </w:r>
    </w:p>
    <w:tbl>
      <w:tblPr>
        <w:tblStyle w:val="TableGrid"/>
        <w:tblW w:w="9024" w:type="dxa"/>
        <w:tblLayout w:type="fixed"/>
        <w:tblLook w:val="04A0" w:firstRow="1" w:lastRow="0" w:firstColumn="1" w:lastColumn="0" w:noHBand="0" w:noVBand="1"/>
      </w:tblPr>
      <w:tblGrid>
        <w:gridCol w:w="1557"/>
        <w:gridCol w:w="1242"/>
        <w:gridCol w:w="1243"/>
        <w:gridCol w:w="1242"/>
        <w:gridCol w:w="1232"/>
        <w:gridCol w:w="1276"/>
        <w:gridCol w:w="1232"/>
      </w:tblGrid>
      <w:tr w:rsidR="00F97782" w:rsidRPr="00F04A75" w14:paraId="23D8E937" w14:textId="77777777" w:rsidTr="00A37D89">
        <w:trPr>
          <w:trHeight w:val="70"/>
          <w:tblHeader/>
        </w:trPr>
        <w:tc>
          <w:tcPr>
            <w:tcW w:w="1557" w:type="dxa"/>
            <w:shd w:val="clear" w:color="auto" w:fill="auto"/>
            <w:noWrap/>
            <w:tcMar>
              <w:left w:w="28" w:type="dxa"/>
              <w:right w:w="28" w:type="dxa"/>
            </w:tcMar>
            <w:hideMark/>
          </w:tcPr>
          <w:p w14:paraId="25FA43BF" w14:textId="77777777" w:rsidR="00F97782" w:rsidRPr="00F04A75" w:rsidRDefault="00F97782" w:rsidP="00B26A7F">
            <w:pPr>
              <w:keepNext/>
              <w:rPr>
                <w:rFonts w:ascii="Arial Narrow" w:hAnsi="Arial Narrow" w:cstheme="minorHAnsi"/>
                <w:bCs/>
                <w:sz w:val="20"/>
                <w:szCs w:val="20"/>
                <w:lang w:bidi="hi-IN"/>
              </w:rPr>
            </w:pPr>
            <w:r w:rsidRPr="00F04A75">
              <w:rPr>
                <w:rFonts w:ascii="Arial Narrow" w:hAnsi="Arial Narrow" w:cstheme="minorHAnsi"/>
                <w:bCs/>
                <w:sz w:val="20"/>
                <w:szCs w:val="20"/>
                <w:lang w:bidi="hi-IN"/>
              </w:rPr>
              <w:t> </w:t>
            </w:r>
          </w:p>
        </w:tc>
        <w:tc>
          <w:tcPr>
            <w:tcW w:w="1242" w:type="dxa"/>
            <w:shd w:val="clear" w:color="auto" w:fill="auto"/>
            <w:noWrap/>
            <w:tcMar>
              <w:left w:w="28" w:type="dxa"/>
              <w:right w:w="28" w:type="dxa"/>
            </w:tcMar>
            <w:hideMark/>
          </w:tcPr>
          <w:p w14:paraId="0D05C630" w14:textId="77777777" w:rsidR="00F97782" w:rsidRPr="00F04A75" w:rsidRDefault="00F97782" w:rsidP="00B26A7F">
            <w:pPr>
              <w:keepNext/>
              <w:jc w:val="center"/>
              <w:rPr>
                <w:rFonts w:ascii="Arial Narrow" w:hAnsi="Arial Narrow" w:cstheme="minorHAnsi"/>
                <w:b/>
                <w:sz w:val="20"/>
                <w:szCs w:val="20"/>
                <w:lang w:bidi="hi-IN"/>
              </w:rPr>
            </w:pPr>
            <w:r w:rsidRPr="00F04A75">
              <w:rPr>
                <w:rFonts w:ascii="Arial Narrow" w:hAnsi="Arial Narrow" w:cstheme="minorHAnsi"/>
                <w:b/>
                <w:sz w:val="20"/>
                <w:szCs w:val="20"/>
                <w:lang w:bidi="hi-IN"/>
              </w:rPr>
              <w:t>2022</w:t>
            </w:r>
          </w:p>
        </w:tc>
        <w:tc>
          <w:tcPr>
            <w:tcW w:w="1243" w:type="dxa"/>
            <w:shd w:val="clear" w:color="auto" w:fill="auto"/>
            <w:noWrap/>
            <w:tcMar>
              <w:left w:w="28" w:type="dxa"/>
              <w:right w:w="28" w:type="dxa"/>
            </w:tcMar>
          </w:tcPr>
          <w:p w14:paraId="3190E413" w14:textId="77777777" w:rsidR="00F97782" w:rsidRPr="00F04A75" w:rsidRDefault="00F97782" w:rsidP="00B26A7F">
            <w:pPr>
              <w:keepNext/>
              <w:jc w:val="center"/>
              <w:rPr>
                <w:rFonts w:ascii="Arial Narrow" w:hAnsi="Arial Narrow" w:cstheme="minorHAnsi"/>
                <w:b/>
                <w:sz w:val="20"/>
                <w:szCs w:val="20"/>
                <w:lang w:bidi="hi-IN"/>
              </w:rPr>
            </w:pPr>
            <w:r w:rsidRPr="00F04A75">
              <w:rPr>
                <w:rFonts w:ascii="Arial Narrow" w:hAnsi="Arial Narrow" w:cstheme="minorHAnsi"/>
                <w:b/>
                <w:sz w:val="20"/>
                <w:szCs w:val="20"/>
                <w:lang w:bidi="hi-IN"/>
              </w:rPr>
              <w:t>2023</w:t>
            </w:r>
          </w:p>
        </w:tc>
        <w:tc>
          <w:tcPr>
            <w:tcW w:w="1242" w:type="dxa"/>
            <w:shd w:val="clear" w:color="auto" w:fill="auto"/>
            <w:noWrap/>
            <w:tcMar>
              <w:left w:w="28" w:type="dxa"/>
              <w:right w:w="28" w:type="dxa"/>
            </w:tcMar>
          </w:tcPr>
          <w:p w14:paraId="1E8A6F11" w14:textId="77777777" w:rsidR="00F97782" w:rsidRPr="00F04A75" w:rsidRDefault="00F97782" w:rsidP="00B26A7F">
            <w:pPr>
              <w:keepNext/>
              <w:jc w:val="center"/>
              <w:rPr>
                <w:rFonts w:ascii="Arial Narrow" w:hAnsi="Arial Narrow" w:cstheme="minorHAnsi"/>
                <w:b/>
                <w:sz w:val="20"/>
                <w:szCs w:val="20"/>
                <w:lang w:bidi="hi-IN"/>
              </w:rPr>
            </w:pPr>
            <w:r w:rsidRPr="00F04A75">
              <w:rPr>
                <w:rFonts w:ascii="Arial Narrow" w:hAnsi="Arial Narrow" w:cstheme="minorHAnsi"/>
                <w:b/>
                <w:sz w:val="20"/>
                <w:szCs w:val="20"/>
                <w:lang w:bidi="hi-IN"/>
              </w:rPr>
              <w:t>2024</w:t>
            </w:r>
          </w:p>
        </w:tc>
        <w:tc>
          <w:tcPr>
            <w:tcW w:w="1232" w:type="dxa"/>
            <w:shd w:val="clear" w:color="auto" w:fill="auto"/>
            <w:noWrap/>
            <w:tcMar>
              <w:left w:w="28" w:type="dxa"/>
              <w:right w:w="28" w:type="dxa"/>
            </w:tcMar>
          </w:tcPr>
          <w:p w14:paraId="3FD3A190" w14:textId="77777777" w:rsidR="00F97782" w:rsidRPr="00F04A75" w:rsidRDefault="00F97782" w:rsidP="00B26A7F">
            <w:pPr>
              <w:keepNext/>
              <w:jc w:val="center"/>
              <w:rPr>
                <w:rFonts w:ascii="Arial Narrow" w:hAnsi="Arial Narrow" w:cstheme="minorHAnsi"/>
                <w:b/>
                <w:sz w:val="20"/>
                <w:szCs w:val="20"/>
                <w:lang w:bidi="hi-IN"/>
              </w:rPr>
            </w:pPr>
            <w:r w:rsidRPr="00F04A75">
              <w:rPr>
                <w:rFonts w:ascii="Arial Narrow" w:hAnsi="Arial Narrow" w:cstheme="minorHAnsi"/>
                <w:b/>
                <w:sz w:val="20"/>
                <w:szCs w:val="20"/>
                <w:lang w:bidi="hi-IN"/>
              </w:rPr>
              <w:t>2025</w:t>
            </w:r>
          </w:p>
        </w:tc>
        <w:tc>
          <w:tcPr>
            <w:tcW w:w="1276" w:type="dxa"/>
            <w:shd w:val="clear" w:color="auto" w:fill="auto"/>
            <w:noWrap/>
            <w:tcMar>
              <w:left w:w="28" w:type="dxa"/>
              <w:right w:w="28" w:type="dxa"/>
            </w:tcMar>
          </w:tcPr>
          <w:p w14:paraId="34E9E89B" w14:textId="77777777" w:rsidR="00F97782" w:rsidRPr="00F04A75" w:rsidRDefault="00F97782" w:rsidP="00B26A7F">
            <w:pPr>
              <w:keepNext/>
              <w:jc w:val="center"/>
              <w:rPr>
                <w:rFonts w:ascii="Arial Narrow" w:hAnsi="Arial Narrow" w:cstheme="minorHAnsi"/>
                <w:b/>
                <w:sz w:val="20"/>
                <w:szCs w:val="20"/>
                <w:lang w:bidi="hi-IN"/>
              </w:rPr>
            </w:pPr>
            <w:r w:rsidRPr="00F04A75">
              <w:rPr>
                <w:rFonts w:ascii="Arial Narrow" w:hAnsi="Arial Narrow" w:cstheme="minorHAnsi"/>
                <w:b/>
                <w:sz w:val="20"/>
                <w:szCs w:val="20"/>
                <w:lang w:bidi="hi-IN"/>
              </w:rPr>
              <w:t>2026</w:t>
            </w:r>
          </w:p>
        </w:tc>
        <w:tc>
          <w:tcPr>
            <w:tcW w:w="1232" w:type="dxa"/>
            <w:shd w:val="clear" w:color="auto" w:fill="auto"/>
            <w:noWrap/>
            <w:tcMar>
              <w:left w:w="28" w:type="dxa"/>
              <w:right w:w="28" w:type="dxa"/>
            </w:tcMar>
          </w:tcPr>
          <w:p w14:paraId="0C8D4D3E" w14:textId="77777777" w:rsidR="00F97782" w:rsidRPr="00F04A75" w:rsidRDefault="00F97782" w:rsidP="00B26A7F">
            <w:pPr>
              <w:keepNext/>
              <w:jc w:val="center"/>
              <w:rPr>
                <w:rFonts w:ascii="Arial Narrow" w:hAnsi="Arial Narrow" w:cstheme="minorHAnsi"/>
                <w:b/>
                <w:sz w:val="20"/>
                <w:szCs w:val="20"/>
                <w:lang w:bidi="hi-IN"/>
              </w:rPr>
            </w:pPr>
            <w:r w:rsidRPr="00F04A75">
              <w:rPr>
                <w:rFonts w:ascii="Arial Narrow" w:hAnsi="Arial Narrow" w:cstheme="minorHAnsi"/>
                <w:b/>
                <w:sz w:val="20"/>
                <w:szCs w:val="20"/>
                <w:lang w:bidi="hi-IN"/>
              </w:rPr>
              <w:t>2027</w:t>
            </w:r>
          </w:p>
        </w:tc>
      </w:tr>
      <w:tr w:rsidR="000F6C3B" w:rsidRPr="00F04A75" w14:paraId="53DDCBD7" w14:textId="77777777" w:rsidTr="00322A0A">
        <w:trPr>
          <w:trHeight w:val="145"/>
        </w:trPr>
        <w:tc>
          <w:tcPr>
            <w:tcW w:w="9024" w:type="dxa"/>
            <w:gridSpan w:val="7"/>
            <w:shd w:val="clear" w:color="auto" w:fill="auto"/>
            <w:noWrap/>
            <w:tcMar>
              <w:left w:w="28" w:type="dxa"/>
              <w:right w:w="28" w:type="dxa"/>
            </w:tcMar>
          </w:tcPr>
          <w:p w14:paraId="4B1A87EF" w14:textId="77777777" w:rsidR="000F6C3B" w:rsidRPr="00F04A75" w:rsidRDefault="000F6C3B" w:rsidP="00322A0A">
            <w:pPr>
              <w:rPr>
                <w:rFonts w:ascii="Arial Narrow" w:hAnsi="Arial Narrow" w:cstheme="minorHAnsi"/>
                <w:b/>
                <w:bCs/>
                <w:sz w:val="20"/>
                <w:szCs w:val="20"/>
                <w:lang w:bidi="hi-IN"/>
              </w:rPr>
            </w:pPr>
            <w:r w:rsidRPr="00F04A75">
              <w:rPr>
                <w:rFonts w:ascii="Arial Narrow" w:hAnsi="Arial Narrow" w:cstheme="minorHAnsi"/>
                <w:b/>
                <w:bCs/>
                <w:sz w:val="20"/>
                <w:szCs w:val="20"/>
                <w:lang w:bidi="hi-IN"/>
              </w:rPr>
              <w:t xml:space="preserve">Scenario 1: Cd + </w:t>
            </w:r>
            <w:proofErr w:type="spellStart"/>
            <w:r w:rsidRPr="00F04A75">
              <w:rPr>
                <w:rFonts w:ascii="Arial Narrow" w:hAnsi="Arial Narrow" w:cstheme="minorHAnsi"/>
                <w:b/>
                <w:bCs/>
                <w:sz w:val="20"/>
                <w:szCs w:val="20"/>
                <w:lang w:bidi="hi-IN"/>
              </w:rPr>
              <w:t>PBd</w:t>
            </w:r>
            <w:proofErr w:type="spellEnd"/>
          </w:p>
        </w:tc>
      </w:tr>
      <w:tr w:rsidR="00573E28" w:rsidRPr="00F04A75" w14:paraId="5DF1D54B" w14:textId="77777777" w:rsidTr="00A37D89">
        <w:trPr>
          <w:trHeight w:val="70"/>
        </w:trPr>
        <w:tc>
          <w:tcPr>
            <w:tcW w:w="1557" w:type="dxa"/>
            <w:shd w:val="clear" w:color="auto" w:fill="auto"/>
            <w:tcMar>
              <w:left w:w="28" w:type="dxa"/>
              <w:right w:w="28" w:type="dxa"/>
            </w:tcMar>
          </w:tcPr>
          <w:p w14:paraId="7EE1E625" w14:textId="77777777" w:rsidR="00573E28" w:rsidRPr="00F04A75" w:rsidRDefault="00573E28" w:rsidP="00322A0A">
            <w:pPr>
              <w:rPr>
                <w:rFonts w:ascii="Arial Narrow" w:hAnsi="Arial Narrow" w:cstheme="minorHAnsi"/>
                <w:sz w:val="20"/>
                <w:szCs w:val="20"/>
                <w:lang w:bidi="hi-IN"/>
              </w:rPr>
            </w:pPr>
            <w:r w:rsidRPr="00F04A75">
              <w:rPr>
                <w:rFonts w:ascii="Arial Narrow" w:hAnsi="Arial Narrow" w:cstheme="minorHAnsi"/>
                <w:sz w:val="20"/>
                <w:szCs w:val="20"/>
                <w:lang w:bidi="hi-IN"/>
              </w:rPr>
              <w:t>Estimated patients</w:t>
            </w:r>
          </w:p>
        </w:tc>
        <w:tc>
          <w:tcPr>
            <w:tcW w:w="1242" w:type="dxa"/>
            <w:shd w:val="clear" w:color="auto" w:fill="auto"/>
            <w:noWrap/>
            <w:tcMar>
              <w:left w:w="28" w:type="dxa"/>
              <w:right w:w="28" w:type="dxa"/>
            </w:tcMar>
            <w:vAlign w:val="center"/>
          </w:tcPr>
          <w:p w14:paraId="3B4720FD" w14:textId="04F9B5D2" w:rsidR="00573E28" w:rsidRPr="00F04A75" w:rsidRDefault="000960C3" w:rsidP="00322A0A">
            <w:pPr>
              <w:keepNext/>
              <w:jc w:val="center"/>
              <w:rPr>
                <w:rFonts w:ascii="Arial Narrow" w:hAnsi="Arial Narrow" w:cstheme="minorHAnsi"/>
                <w:color w:val="000000"/>
                <w:sz w:val="20"/>
                <w:szCs w:val="20"/>
              </w:rPr>
            </w:pPr>
            <w:r w:rsidRPr="000960C3">
              <w:rPr>
                <w:rFonts w:ascii="Arial Narrow" w:hAnsi="Arial Narrow"/>
                <w:color w:val="000000"/>
                <w:sz w:val="20"/>
                <w:szCs w:val="20"/>
                <w:shd w:val="solid" w:color="000000" w:fill="000000"/>
                <w14:textFill>
                  <w14:solidFill>
                    <w14:srgbClr w14:val="000000">
                      <w14:alpha w14:val="100000"/>
                    </w14:srgbClr>
                  </w14:solidFill>
                </w14:textFill>
              </w:rPr>
              <w:t>|</w:t>
            </w:r>
            <w:r w:rsidR="00492906">
              <w:rPr>
                <w:rFonts w:ascii="Arial Narrow" w:hAnsi="Arial Narrow"/>
                <w:color w:val="000000"/>
                <w:sz w:val="20"/>
                <w:szCs w:val="20"/>
                <w:vertAlign w:val="superscript"/>
              </w:rPr>
              <w:t>1</w:t>
            </w:r>
            <w:r w:rsidR="00573E28" w:rsidRPr="00F04A75">
              <w:rPr>
                <w:rFonts w:ascii="Arial Narrow" w:hAnsi="Arial Narrow"/>
                <w:color w:val="000000"/>
                <w:sz w:val="20"/>
                <w:szCs w:val="20"/>
              </w:rPr>
              <w:t xml:space="preserve"> </w:t>
            </w:r>
          </w:p>
        </w:tc>
        <w:tc>
          <w:tcPr>
            <w:tcW w:w="1243" w:type="dxa"/>
            <w:shd w:val="clear" w:color="auto" w:fill="auto"/>
            <w:noWrap/>
            <w:tcMar>
              <w:left w:w="28" w:type="dxa"/>
              <w:right w:w="28" w:type="dxa"/>
            </w:tcMar>
            <w:vAlign w:val="center"/>
          </w:tcPr>
          <w:p w14:paraId="32C95404" w14:textId="609F002D" w:rsidR="00573E28" w:rsidRPr="00F04A75" w:rsidRDefault="000960C3" w:rsidP="00322A0A">
            <w:pPr>
              <w:keepNext/>
              <w:jc w:val="center"/>
              <w:rPr>
                <w:rFonts w:ascii="Arial Narrow" w:hAnsi="Arial Narrow" w:cstheme="minorHAnsi"/>
                <w:color w:val="000000"/>
                <w:sz w:val="20"/>
                <w:szCs w:val="20"/>
              </w:rPr>
            </w:pPr>
            <w:r w:rsidRPr="000960C3">
              <w:rPr>
                <w:rFonts w:ascii="Arial Narrow" w:hAnsi="Arial Narrow"/>
                <w:color w:val="000000"/>
                <w:sz w:val="20"/>
                <w:szCs w:val="20"/>
                <w:shd w:val="solid" w:color="000000" w:fill="000000"/>
                <w14:textFill>
                  <w14:solidFill>
                    <w14:srgbClr w14:val="000000">
                      <w14:alpha w14:val="100000"/>
                    </w14:srgbClr>
                  </w14:solidFill>
                </w14:textFill>
              </w:rPr>
              <w:t>|</w:t>
            </w:r>
            <w:r w:rsidR="00492906">
              <w:rPr>
                <w:rFonts w:ascii="Arial Narrow" w:hAnsi="Arial Narrow"/>
                <w:color w:val="000000"/>
                <w:sz w:val="20"/>
                <w:szCs w:val="20"/>
                <w:vertAlign w:val="superscript"/>
              </w:rPr>
              <w:t>1</w:t>
            </w:r>
            <w:r w:rsidR="00573E28" w:rsidRPr="00F04A75">
              <w:rPr>
                <w:rFonts w:ascii="Arial Narrow" w:hAnsi="Arial Narrow"/>
                <w:color w:val="000000"/>
                <w:sz w:val="20"/>
                <w:szCs w:val="20"/>
              </w:rPr>
              <w:t xml:space="preserve"> </w:t>
            </w:r>
          </w:p>
        </w:tc>
        <w:tc>
          <w:tcPr>
            <w:tcW w:w="1242" w:type="dxa"/>
            <w:shd w:val="clear" w:color="auto" w:fill="auto"/>
            <w:noWrap/>
            <w:tcMar>
              <w:left w:w="28" w:type="dxa"/>
              <w:right w:w="28" w:type="dxa"/>
            </w:tcMar>
            <w:vAlign w:val="center"/>
          </w:tcPr>
          <w:p w14:paraId="70A8E994" w14:textId="69849ECA" w:rsidR="00573E28" w:rsidRPr="00F04A75" w:rsidRDefault="000960C3" w:rsidP="00322A0A">
            <w:pPr>
              <w:keepNext/>
              <w:jc w:val="center"/>
              <w:rPr>
                <w:rFonts w:ascii="Arial Narrow" w:hAnsi="Arial Narrow" w:cstheme="minorHAnsi"/>
                <w:color w:val="000000"/>
                <w:sz w:val="20"/>
                <w:szCs w:val="20"/>
              </w:rPr>
            </w:pPr>
            <w:r w:rsidRPr="000960C3">
              <w:rPr>
                <w:rFonts w:ascii="Arial Narrow" w:hAnsi="Arial Narrow"/>
                <w:color w:val="000000"/>
                <w:sz w:val="20"/>
                <w:szCs w:val="20"/>
                <w:shd w:val="solid" w:color="000000" w:fill="000000"/>
                <w14:textFill>
                  <w14:solidFill>
                    <w14:srgbClr w14:val="000000">
                      <w14:alpha w14:val="100000"/>
                    </w14:srgbClr>
                  </w14:solidFill>
                </w14:textFill>
              </w:rPr>
              <w:t>|</w:t>
            </w:r>
            <w:r w:rsidR="00492906">
              <w:rPr>
                <w:rFonts w:ascii="Arial Narrow" w:hAnsi="Arial Narrow"/>
                <w:color w:val="000000"/>
                <w:sz w:val="20"/>
                <w:szCs w:val="20"/>
                <w:vertAlign w:val="superscript"/>
              </w:rPr>
              <w:t>1</w:t>
            </w:r>
            <w:r w:rsidR="00573E28" w:rsidRPr="00F04A75">
              <w:rPr>
                <w:rFonts w:ascii="Arial Narrow" w:hAnsi="Arial Narrow"/>
                <w:color w:val="000000"/>
                <w:sz w:val="20"/>
                <w:szCs w:val="20"/>
              </w:rPr>
              <w:t xml:space="preserve"> </w:t>
            </w:r>
          </w:p>
        </w:tc>
        <w:tc>
          <w:tcPr>
            <w:tcW w:w="1232" w:type="dxa"/>
            <w:shd w:val="clear" w:color="auto" w:fill="auto"/>
            <w:noWrap/>
            <w:tcMar>
              <w:left w:w="28" w:type="dxa"/>
              <w:right w:w="28" w:type="dxa"/>
            </w:tcMar>
            <w:vAlign w:val="center"/>
          </w:tcPr>
          <w:p w14:paraId="1B15C196" w14:textId="5AF7D3E2" w:rsidR="00573E28" w:rsidRPr="00993E00" w:rsidRDefault="000960C3" w:rsidP="00322A0A">
            <w:pPr>
              <w:keepNext/>
              <w:jc w:val="center"/>
              <w:rPr>
                <w:rFonts w:ascii="Arial Narrow" w:hAnsi="Arial Narrow" w:cstheme="minorHAnsi"/>
                <w:color w:val="000000"/>
                <w:sz w:val="20"/>
                <w:szCs w:val="20"/>
                <w:highlight w:val="yellow"/>
              </w:rPr>
            </w:pPr>
            <w:r w:rsidRPr="000960C3">
              <w:rPr>
                <w:rFonts w:ascii="Arial Narrow" w:hAnsi="Arial Narrow"/>
                <w:color w:val="000000"/>
                <w:spacing w:val="41"/>
                <w:sz w:val="20"/>
                <w:szCs w:val="20"/>
                <w:shd w:val="solid" w:color="000000" w:fill="000000"/>
                <w:fitText w:val="210" w:id="-1506043647"/>
                <w14:textFill>
                  <w14:solidFill>
                    <w14:srgbClr w14:val="000000">
                      <w14:alpha w14:val="100000"/>
                    </w14:srgbClr>
                  </w14:solidFill>
                </w14:textFill>
              </w:rPr>
              <w:t>||</w:t>
            </w:r>
            <w:r w:rsidRPr="000960C3">
              <w:rPr>
                <w:rFonts w:ascii="Arial Narrow" w:hAnsi="Arial Narrow"/>
                <w:color w:val="000000"/>
                <w:spacing w:val="1"/>
                <w:sz w:val="20"/>
                <w:szCs w:val="20"/>
                <w:shd w:val="solid" w:color="000000" w:fill="000000"/>
                <w:fitText w:val="210" w:id="-1506043647"/>
                <w14:textFill>
                  <w14:solidFill>
                    <w14:srgbClr w14:val="000000">
                      <w14:alpha w14:val="100000"/>
                    </w14:srgbClr>
                  </w14:solidFill>
                </w14:textFill>
              </w:rPr>
              <w:t>|</w:t>
            </w:r>
            <w:r w:rsidR="00492906">
              <w:rPr>
                <w:rFonts w:ascii="Arial Narrow" w:hAnsi="Arial Narrow"/>
                <w:color w:val="000000"/>
                <w:sz w:val="20"/>
                <w:szCs w:val="20"/>
                <w:vertAlign w:val="superscript"/>
              </w:rPr>
              <w:t>1</w:t>
            </w:r>
            <w:r w:rsidRPr="000960C3">
              <w:rPr>
                <w:rFonts w:ascii="Arial Narrow" w:hAnsi="Arial Narrow" w:hint="eastAsia"/>
                <w:color w:val="000000"/>
                <w:w w:val="24"/>
                <w:sz w:val="20"/>
                <w:szCs w:val="20"/>
                <w:shd w:val="solid" w:color="000000" w:fill="000000"/>
                <w:fitText w:val="90" w:id="-1506043646"/>
                <w:vertAlign w:val="superscript"/>
                <w14:textFill>
                  <w14:solidFill>
                    <w14:srgbClr w14:val="000000">
                      <w14:alpha w14:val="100000"/>
                    </w14:srgbClr>
                  </w14:solidFill>
                </w14:textFill>
              </w:rPr>
              <w:t xml:space="preserve">　</w:t>
            </w:r>
            <w:r w:rsidRPr="000960C3">
              <w:rPr>
                <w:rFonts w:ascii="Arial Narrow" w:hAnsi="Arial Narrow"/>
                <w:color w:val="000000"/>
                <w:w w:val="24"/>
                <w:sz w:val="20"/>
                <w:szCs w:val="20"/>
                <w:shd w:val="solid" w:color="000000" w:fill="000000"/>
                <w:fitText w:val="90" w:id="-1506043646"/>
                <w14:textFill>
                  <w14:solidFill>
                    <w14:srgbClr w14:val="000000">
                      <w14:alpha w14:val="100000"/>
                    </w14:srgbClr>
                  </w14:solidFill>
                </w14:textFill>
              </w:rPr>
              <w:t>|</w:t>
            </w:r>
            <w:r w:rsidRPr="000960C3">
              <w:rPr>
                <w:rFonts w:ascii="Arial Narrow" w:hAnsi="Arial Narrow" w:hint="eastAsia"/>
                <w:color w:val="000000"/>
                <w:spacing w:val="4"/>
                <w:w w:val="24"/>
                <w:sz w:val="20"/>
                <w:szCs w:val="20"/>
                <w:shd w:val="solid" w:color="000000" w:fill="000000"/>
                <w:fitText w:val="90" w:id="-1506043646"/>
                <w14:textFill>
                  <w14:solidFill>
                    <w14:srgbClr w14:val="000000">
                      <w14:alpha w14:val="100000"/>
                    </w14:srgbClr>
                  </w14:solidFill>
                </w14:textFill>
              </w:rPr>
              <w:t xml:space="preserve">　</w:t>
            </w:r>
          </w:p>
        </w:tc>
        <w:tc>
          <w:tcPr>
            <w:tcW w:w="1276" w:type="dxa"/>
            <w:shd w:val="clear" w:color="auto" w:fill="auto"/>
            <w:noWrap/>
            <w:tcMar>
              <w:left w:w="28" w:type="dxa"/>
              <w:right w:w="28" w:type="dxa"/>
            </w:tcMar>
            <w:vAlign w:val="center"/>
          </w:tcPr>
          <w:p w14:paraId="2CB063D8" w14:textId="5F8466BD" w:rsidR="00573E28" w:rsidRPr="00993E00" w:rsidRDefault="000960C3" w:rsidP="00322A0A">
            <w:pPr>
              <w:keepNext/>
              <w:jc w:val="center"/>
              <w:rPr>
                <w:rFonts w:ascii="Arial Narrow" w:hAnsi="Arial Narrow" w:cstheme="minorHAnsi"/>
                <w:color w:val="000000"/>
                <w:sz w:val="20"/>
                <w:szCs w:val="20"/>
                <w:highlight w:val="yellow"/>
              </w:rPr>
            </w:pPr>
            <w:r w:rsidRPr="000960C3">
              <w:rPr>
                <w:rFonts w:ascii="Arial Narrow" w:hAnsi="Arial Narrow"/>
                <w:color w:val="000000"/>
                <w:spacing w:val="94"/>
                <w:sz w:val="20"/>
                <w:szCs w:val="20"/>
                <w:shd w:val="solid" w:color="000000" w:fill="000000"/>
                <w:fitText w:val="180" w:id="-1506043645"/>
                <w14:textFill>
                  <w14:solidFill>
                    <w14:srgbClr w14:val="000000">
                      <w14:alpha w14:val="100000"/>
                    </w14:srgbClr>
                  </w14:solidFill>
                </w14:textFill>
              </w:rPr>
              <w:t>|</w:t>
            </w:r>
            <w:r w:rsidRPr="000960C3">
              <w:rPr>
                <w:rFonts w:ascii="Arial Narrow" w:hAnsi="Arial Narrow"/>
                <w:color w:val="000000"/>
                <w:spacing w:val="1"/>
                <w:sz w:val="20"/>
                <w:szCs w:val="20"/>
                <w:shd w:val="solid" w:color="000000" w:fill="000000"/>
                <w:fitText w:val="180" w:id="-1506043645"/>
                <w14:textFill>
                  <w14:solidFill>
                    <w14:srgbClr w14:val="000000">
                      <w14:alpha w14:val="100000"/>
                    </w14:srgbClr>
                  </w14:solidFill>
                </w14:textFill>
              </w:rPr>
              <w:t>|</w:t>
            </w:r>
            <w:r w:rsidR="00492906">
              <w:rPr>
                <w:rFonts w:ascii="Arial Narrow" w:hAnsi="Arial Narrow"/>
                <w:color w:val="000000"/>
                <w:sz w:val="20"/>
                <w:szCs w:val="20"/>
                <w:vertAlign w:val="superscript"/>
              </w:rPr>
              <w:t>1</w:t>
            </w:r>
            <w:r w:rsidRPr="000960C3">
              <w:rPr>
                <w:rFonts w:ascii="Arial Narrow" w:hAnsi="Arial Narrow" w:hint="eastAsia"/>
                <w:color w:val="000000"/>
                <w:w w:val="16"/>
                <w:sz w:val="20"/>
                <w:szCs w:val="20"/>
                <w:shd w:val="solid" w:color="000000" w:fill="000000"/>
                <w:fitText w:val="60" w:id="-1506043644"/>
                <w:vertAlign w:val="superscript"/>
                <w14:textFill>
                  <w14:solidFill>
                    <w14:srgbClr w14:val="000000">
                      <w14:alpha w14:val="100000"/>
                    </w14:srgbClr>
                  </w14:solidFill>
                </w14:textFill>
              </w:rPr>
              <w:t xml:space="preserve">　</w:t>
            </w:r>
            <w:r w:rsidRPr="000960C3">
              <w:rPr>
                <w:rFonts w:ascii="Arial Narrow" w:hAnsi="Arial Narrow"/>
                <w:color w:val="000000"/>
                <w:w w:val="16"/>
                <w:sz w:val="20"/>
                <w:szCs w:val="20"/>
                <w:shd w:val="solid" w:color="000000" w:fill="000000"/>
                <w:fitText w:val="60" w:id="-1506043644"/>
                <w14:textFill>
                  <w14:solidFill>
                    <w14:srgbClr w14:val="000000">
                      <w14:alpha w14:val="100000"/>
                    </w14:srgbClr>
                  </w14:solidFill>
                </w14:textFill>
              </w:rPr>
              <w:t>|</w:t>
            </w:r>
            <w:r w:rsidRPr="000960C3">
              <w:rPr>
                <w:rFonts w:ascii="Arial Narrow" w:hAnsi="Arial Narrow" w:hint="eastAsia"/>
                <w:color w:val="000000"/>
                <w:spacing w:val="3"/>
                <w:w w:val="16"/>
                <w:sz w:val="20"/>
                <w:szCs w:val="20"/>
                <w:shd w:val="solid" w:color="000000" w:fill="000000"/>
                <w:fitText w:val="60" w:id="-1506043644"/>
                <w14:textFill>
                  <w14:solidFill>
                    <w14:srgbClr w14:val="000000">
                      <w14:alpha w14:val="100000"/>
                    </w14:srgbClr>
                  </w14:solidFill>
                </w14:textFill>
              </w:rPr>
              <w:t xml:space="preserve">　</w:t>
            </w:r>
          </w:p>
        </w:tc>
        <w:tc>
          <w:tcPr>
            <w:tcW w:w="1232" w:type="dxa"/>
            <w:shd w:val="clear" w:color="auto" w:fill="auto"/>
            <w:noWrap/>
            <w:tcMar>
              <w:left w:w="28" w:type="dxa"/>
              <w:right w:w="28" w:type="dxa"/>
            </w:tcMar>
            <w:vAlign w:val="center"/>
          </w:tcPr>
          <w:p w14:paraId="05F332D5" w14:textId="236DA80A" w:rsidR="00573E28" w:rsidRPr="00993E00" w:rsidRDefault="000960C3" w:rsidP="00322A0A">
            <w:pPr>
              <w:keepNext/>
              <w:jc w:val="center"/>
              <w:rPr>
                <w:rFonts w:ascii="Arial Narrow" w:hAnsi="Arial Narrow" w:cstheme="minorHAnsi"/>
                <w:color w:val="000000"/>
                <w:sz w:val="20"/>
                <w:szCs w:val="20"/>
                <w:highlight w:val="yellow"/>
              </w:rPr>
            </w:pPr>
            <w:r w:rsidRPr="000960C3">
              <w:rPr>
                <w:rFonts w:ascii="Arial Narrow" w:hAnsi="Arial Narrow"/>
                <w:color w:val="000000"/>
                <w:spacing w:val="41"/>
                <w:sz w:val="20"/>
                <w:szCs w:val="20"/>
                <w:shd w:val="solid" w:color="000000" w:fill="000000"/>
                <w:fitText w:val="210" w:id="-1506043643"/>
                <w14:textFill>
                  <w14:solidFill>
                    <w14:srgbClr w14:val="000000">
                      <w14:alpha w14:val="100000"/>
                    </w14:srgbClr>
                  </w14:solidFill>
                </w14:textFill>
              </w:rPr>
              <w:t>||</w:t>
            </w:r>
            <w:r w:rsidRPr="000960C3">
              <w:rPr>
                <w:rFonts w:ascii="Arial Narrow" w:hAnsi="Arial Narrow"/>
                <w:color w:val="000000"/>
                <w:spacing w:val="1"/>
                <w:sz w:val="20"/>
                <w:szCs w:val="20"/>
                <w:shd w:val="solid" w:color="000000" w:fill="000000"/>
                <w:fitText w:val="210" w:id="-1506043643"/>
                <w14:textFill>
                  <w14:solidFill>
                    <w14:srgbClr w14:val="000000">
                      <w14:alpha w14:val="100000"/>
                    </w14:srgbClr>
                  </w14:solidFill>
                </w14:textFill>
              </w:rPr>
              <w:t>|</w:t>
            </w:r>
            <w:r w:rsidR="00492906">
              <w:rPr>
                <w:rFonts w:ascii="Arial Narrow" w:hAnsi="Arial Narrow"/>
                <w:color w:val="000000"/>
                <w:sz w:val="20"/>
                <w:szCs w:val="20"/>
                <w:vertAlign w:val="superscript"/>
              </w:rPr>
              <w:t>1</w:t>
            </w:r>
            <w:r w:rsidRPr="000960C3">
              <w:rPr>
                <w:rFonts w:ascii="Arial Narrow" w:hAnsi="Arial Narrow" w:hint="eastAsia"/>
                <w:color w:val="000000"/>
                <w:w w:val="24"/>
                <w:sz w:val="20"/>
                <w:szCs w:val="20"/>
                <w:shd w:val="solid" w:color="000000" w:fill="000000"/>
                <w:fitText w:val="90" w:id="-1506043642"/>
                <w:vertAlign w:val="superscript"/>
                <w14:textFill>
                  <w14:solidFill>
                    <w14:srgbClr w14:val="000000">
                      <w14:alpha w14:val="100000"/>
                    </w14:srgbClr>
                  </w14:solidFill>
                </w14:textFill>
              </w:rPr>
              <w:t xml:space="preserve">　</w:t>
            </w:r>
            <w:r w:rsidRPr="000960C3">
              <w:rPr>
                <w:rFonts w:ascii="Arial Narrow" w:hAnsi="Arial Narrow"/>
                <w:color w:val="000000"/>
                <w:w w:val="24"/>
                <w:sz w:val="20"/>
                <w:szCs w:val="20"/>
                <w:shd w:val="solid" w:color="000000" w:fill="000000"/>
                <w:fitText w:val="90" w:id="-1506043642"/>
                <w14:textFill>
                  <w14:solidFill>
                    <w14:srgbClr w14:val="000000">
                      <w14:alpha w14:val="100000"/>
                    </w14:srgbClr>
                  </w14:solidFill>
                </w14:textFill>
              </w:rPr>
              <w:t>|</w:t>
            </w:r>
            <w:r w:rsidRPr="000960C3">
              <w:rPr>
                <w:rFonts w:ascii="Arial Narrow" w:hAnsi="Arial Narrow" w:hint="eastAsia"/>
                <w:color w:val="000000"/>
                <w:spacing w:val="4"/>
                <w:w w:val="24"/>
                <w:sz w:val="20"/>
                <w:szCs w:val="20"/>
                <w:shd w:val="solid" w:color="000000" w:fill="000000"/>
                <w:fitText w:val="90" w:id="-1506043642"/>
                <w14:textFill>
                  <w14:solidFill>
                    <w14:srgbClr w14:val="000000">
                      <w14:alpha w14:val="100000"/>
                    </w14:srgbClr>
                  </w14:solidFill>
                </w14:textFill>
              </w:rPr>
              <w:t xml:space="preserve">　</w:t>
            </w:r>
          </w:p>
        </w:tc>
      </w:tr>
      <w:tr w:rsidR="000F6C3B" w:rsidRPr="00F04A75" w14:paraId="14E17090" w14:textId="77777777" w:rsidTr="00A37D89">
        <w:trPr>
          <w:trHeight w:val="173"/>
        </w:trPr>
        <w:tc>
          <w:tcPr>
            <w:tcW w:w="1557" w:type="dxa"/>
            <w:shd w:val="clear" w:color="auto" w:fill="auto"/>
            <w:noWrap/>
            <w:tcMar>
              <w:left w:w="28" w:type="dxa"/>
              <w:right w:w="28" w:type="dxa"/>
            </w:tcMar>
            <w:hideMark/>
          </w:tcPr>
          <w:p w14:paraId="6CB2C394" w14:textId="717E3CEF" w:rsidR="000F6C3B" w:rsidRPr="00F04A75" w:rsidRDefault="000F6C3B" w:rsidP="00322A0A">
            <w:pPr>
              <w:rPr>
                <w:rFonts w:ascii="Arial Narrow" w:hAnsi="Arial Narrow" w:cstheme="minorHAnsi"/>
                <w:sz w:val="20"/>
                <w:szCs w:val="20"/>
                <w:lang w:bidi="hi-IN"/>
              </w:rPr>
            </w:pPr>
            <w:r w:rsidRPr="00F04A75">
              <w:rPr>
                <w:rFonts w:ascii="Arial Narrow" w:hAnsi="Arial Narrow" w:cstheme="minorHAnsi"/>
                <w:sz w:val="20"/>
                <w:szCs w:val="20"/>
                <w:lang w:bidi="hi-IN"/>
              </w:rPr>
              <w:t>PBS/RPBS</w:t>
            </w:r>
            <w:r w:rsidR="00942FE1">
              <w:rPr>
                <w:rFonts w:ascii="Arial Narrow" w:hAnsi="Arial Narrow" w:cstheme="minorHAnsi"/>
                <w:sz w:val="20"/>
                <w:szCs w:val="20"/>
                <w:lang w:bidi="hi-IN"/>
              </w:rPr>
              <w:t xml:space="preserve"> cost </w:t>
            </w:r>
            <w:r w:rsidR="00BB29AF">
              <w:rPr>
                <w:rFonts w:ascii="Arial Narrow" w:hAnsi="Arial Narrow" w:cstheme="minorHAnsi"/>
                <w:sz w:val="20"/>
                <w:szCs w:val="20"/>
                <w:lang w:bidi="hi-IN"/>
              </w:rPr>
              <w:t>($)</w:t>
            </w:r>
          </w:p>
        </w:tc>
        <w:tc>
          <w:tcPr>
            <w:tcW w:w="1242" w:type="dxa"/>
            <w:shd w:val="clear" w:color="auto" w:fill="auto"/>
            <w:noWrap/>
            <w:tcMar>
              <w:left w:w="28" w:type="dxa"/>
              <w:right w:w="28" w:type="dxa"/>
            </w:tcMar>
            <w:vAlign w:val="center"/>
          </w:tcPr>
          <w:p w14:paraId="2105FA08" w14:textId="536D8C3A" w:rsidR="000F6C3B" w:rsidRPr="00BB29AF" w:rsidRDefault="000960C3" w:rsidP="00322A0A">
            <w:pPr>
              <w:keepNext/>
              <w:jc w:val="center"/>
              <w:rPr>
                <w:rFonts w:ascii="Arial Narrow" w:hAnsi="Arial Narrow" w:cstheme="minorHAnsi"/>
                <w:color w:val="000000"/>
                <w:sz w:val="20"/>
                <w:szCs w:val="20"/>
                <w:highlight w:val="yellow"/>
                <w:vertAlign w:val="superscript"/>
              </w:rPr>
            </w:pPr>
            <w:r w:rsidRPr="000960C3">
              <w:rPr>
                <w:rFonts w:ascii="Arial Narrow" w:hAnsi="Arial Narrow" w:cstheme="minorHAnsi"/>
                <w:color w:val="000000"/>
                <w:sz w:val="20"/>
                <w:szCs w:val="20"/>
                <w:shd w:val="solid" w:color="000000" w:fill="000000"/>
                <w14:textFill>
                  <w14:solidFill>
                    <w14:srgbClr w14:val="000000">
                      <w14:alpha w14:val="100000"/>
                    </w14:srgbClr>
                  </w14:solidFill>
                </w14:textFill>
              </w:rPr>
              <w:t>|</w:t>
            </w:r>
            <w:r w:rsidR="00492906" w:rsidRPr="00BB29AF">
              <w:rPr>
                <w:rFonts w:ascii="Arial Narrow" w:hAnsi="Arial Narrow" w:cstheme="minorHAnsi"/>
                <w:color w:val="000000"/>
                <w:sz w:val="20"/>
                <w:szCs w:val="20"/>
                <w:vertAlign w:val="superscript"/>
              </w:rPr>
              <w:t>2</w:t>
            </w:r>
          </w:p>
        </w:tc>
        <w:tc>
          <w:tcPr>
            <w:tcW w:w="1243" w:type="dxa"/>
            <w:shd w:val="clear" w:color="auto" w:fill="auto"/>
            <w:noWrap/>
            <w:tcMar>
              <w:left w:w="28" w:type="dxa"/>
              <w:right w:w="28" w:type="dxa"/>
            </w:tcMar>
            <w:vAlign w:val="center"/>
          </w:tcPr>
          <w:p w14:paraId="7D55C2B8" w14:textId="0F7E09A6" w:rsidR="000F6C3B" w:rsidRPr="00BB29AF" w:rsidRDefault="000960C3" w:rsidP="00322A0A">
            <w:pPr>
              <w:keepNext/>
              <w:jc w:val="center"/>
              <w:rPr>
                <w:rFonts w:ascii="Arial Narrow" w:hAnsi="Arial Narrow" w:cstheme="minorHAnsi"/>
                <w:color w:val="000000"/>
                <w:sz w:val="20"/>
                <w:szCs w:val="20"/>
                <w:highlight w:val="yellow"/>
                <w:vertAlign w:val="superscript"/>
              </w:rPr>
            </w:pPr>
            <w:r w:rsidRPr="000960C3">
              <w:rPr>
                <w:rFonts w:ascii="Arial Narrow" w:hAnsi="Arial Narrow" w:cstheme="minorHAnsi"/>
                <w:color w:val="000000"/>
                <w:sz w:val="20"/>
                <w:szCs w:val="20"/>
                <w:shd w:val="solid" w:color="000000" w:fill="000000"/>
                <w14:textFill>
                  <w14:solidFill>
                    <w14:srgbClr w14:val="000000">
                      <w14:alpha w14:val="100000"/>
                    </w14:srgbClr>
                  </w14:solidFill>
                </w14:textFill>
              </w:rPr>
              <w:t>|</w:t>
            </w:r>
            <w:r w:rsidR="001E1345">
              <w:rPr>
                <w:rFonts w:ascii="Arial Narrow" w:hAnsi="Arial Narrow" w:cstheme="minorHAnsi"/>
                <w:b/>
                <w:bCs/>
                <w:color w:val="000000"/>
                <w:sz w:val="20"/>
                <w:szCs w:val="20"/>
                <w:vertAlign w:val="superscript"/>
              </w:rPr>
              <w:t>5</w:t>
            </w:r>
          </w:p>
        </w:tc>
        <w:tc>
          <w:tcPr>
            <w:tcW w:w="1242" w:type="dxa"/>
            <w:shd w:val="clear" w:color="auto" w:fill="auto"/>
            <w:noWrap/>
            <w:tcMar>
              <w:left w:w="28" w:type="dxa"/>
              <w:right w:w="28" w:type="dxa"/>
            </w:tcMar>
            <w:vAlign w:val="center"/>
          </w:tcPr>
          <w:p w14:paraId="5E1C076D" w14:textId="5B18E272" w:rsidR="000F6C3B" w:rsidRPr="00BB29AF" w:rsidRDefault="000960C3" w:rsidP="00322A0A">
            <w:pPr>
              <w:keepNext/>
              <w:jc w:val="center"/>
              <w:rPr>
                <w:rFonts w:ascii="Arial Narrow" w:hAnsi="Arial Narrow" w:cstheme="minorHAnsi"/>
                <w:color w:val="000000"/>
                <w:sz w:val="20"/>
                <w:szCs w:val="20"/>
                <w:highlight w:val="yellow"/>
              </w:rPr>
            </w:pPr>
            <w:r w:rsidRPr="000960C3">
              <w:rPr>
                <w:rFonts w:ascii="Arial Narrow" w:hAnsi="Arial Narrow" w:cstheme="minorHAnsi"/>
                <w:color w:val="000000"/>
                <w:sz w:val="20"/>
                <w:szCs w:val="20"/>
                <w:shd w:val="solid" w:color="000000" w:fill="000000"/>
                <w14:textFill>
                  <w14:solidFill>
                    <w14:srgbClr w14:val="000000">
                      <w14:alpha w14:val="100000"/>
                    </w14:srgbClr>
                  </w14:solidFill>
                </w14:textFill>
              </w:rPr>
              <w:t>|</w:t>
            </w:r>
            <w:r w:rsidR="001E1345">
              <w:rPr>
                <w:rFonts w:ascii="Arial Narrow" w:hAnsi="Arial Narrow" w:cstheme="minorHAnsi"/>
                <w:b/>
                <w:bCs/>
                <w:color w:val="000000"/>
                <w:sz w:val="20"/>
                <w:szCs w:val="20"/>
                <w:vertAlign w:val="superscript"/>
              </w:rPr>
              <w:t>5</w:t>
            </w:r>
          </w:p>
        </w:tc>
        <w:tc>
          <w:tcPr>
            <w:tcW w:w="1232" w:type="dxa"/>
            <w:shd w:val="clear" w:color="auto" w:fill="auto"/>
            <w:noWrap/>
            <w:tcMar>
              <w:left w:w="28" w:type="dxa"/>
              <w:right w:w="28" w:type="dxa"/>
            </w:tcMar>
            <w:vAlign w:val="center"/>
          </w:tcPr>
          <w:p w14:paraId="7455C0BA" w14:textId="38DDBC76" w:rsidR="000F6C3B" w:rsidRPr="00BB29AF" w:rsidRDefault="000960C3" w:rsidP="00322A0A">
            <w:pPr>
              <w:keepNext/>
              <w:jc w:val="center"/>
              <w:rPr>
                <w:rFonts w:ascii="Arial Narrow" w:hAnsi="Arial Narrow" w:cstheme="minorHAnsi"/>
                <w:color w:val="000000"/>
                <w:sz w:val="20"/>
                <w:szCs w:val="20"/>
                <w:highlight w:val="yellow"/>
              </w:rPr>
            </w:pPr>
            <w:r w:rsidRPr="000960C3">
              <w:rPr>
                <w:rFonts w:ascii="Arial Narrow" w:hAnsi="Arial Narrow" w:cstheme="minorHAnsi"/>
                <w:color w:val="000000"/>
                <w:sz w:val="20"/>
                <w:szCs w:val="20"/>
                <w:shd w:val="solid" w:color="000000" w:fill="000000"/>
                <w14:textFill>
                  <w14:solidFill>
                    <w14:srgbClr w14:val="000000">
                      <w14:alpha w14:val="100000"/>
                    </w14:srgbClr>
                  </w14:solidFill>
                </w14:textFill>
              </w:rPr>
              <w:t>|</w:t>
            </w:r>
            <w:r w:rsidR="001E1345">
              <w:rPr>
                <w:rFonts w:ascii="Arial Narrow" w:hAnsi="Arial Narrow" w:cstheme="minorHAnsi"/>
                <w:b/>
                <w:bCs/>
                <w:color w:val="000000"/>
                <w:sz w:val="20"/>
                <w:szCs w:val="20"/>
                <w:vertAlign w:val="superscript"/>
              </w:rPr>
              <w:t>5</w:t>
            </w:r>
          </w:p>
        </w:tc>
        <w:tc>
          <w:tcPr>
            <w:tcW w:w="1276" w:type="dxa"/>
            <w:shd w:val="clear" w:color="auto" w:fill="auto"/>
            <w:noWrap/>
            <w:tcMar>
              <w:left w:w="28" w:type="dxa"/>
              <w:right w:w="28" w:type="dxa"/>
            </w:tcMar>
            <w:vAlign w:val="center"/>
          </w:tcPr>
          <w:p w14:paraId="18CFA180" w14:textId="6B190415" w:rsidR="000F6C3B" w:rsidRPr="00BB29AF" w:rsidRDefault="000960C3" w:rsidP="00322A0A">
            <w:pPr>
              <w:keepNext/>
              <w:jc w:val="center"/>
              <w:rPr>
                <w:rFonts w:ascii="Arial Narrow" w:hAnsi="Arial Narrow" w:cstheme="minorHAnsi"/>
                <w:color w:val="000000"/>
                <w:sz w:val="20"/>
                <w:szCs w:val="20"/>
                <w:highlight w:val="yellow"/>
              </w:rPr>
            </w:pPr>
            <w:r w:rsidRPr="000960C3">
              <w:rPr>
                <w:rFonts w:ascii="Arial Narrow" w:hAnsi="Arial Narrow" w:cstheme="minorHAnsi"/>
                <w:color w:val="000000"/>
                <w:sz w:val="20"/>
                <w:szCs w:val="20"/>
                <w:shd w:val="solid" w:color="000000" w:fill="000000"/>
                <w14:textFill>
                  <w14:solidFill>
                    <w14:srgbClr w14:val="000000">
                      <w14:alpha w14:val="100000"/>
                    </w14:srgbClr>
                  </w14:solidFill>
                </w14:textFill>
              </w:rPr>
              <w:t>|</w:t>
            </w:r>
            <w:r w:rsidR="001E1345">
              <w:rPr>
                <w:rFonts w:ascii="Arial Narrow" w:hAnsi="Arial Narrow" w:cstheme="minorHAnsi"/>
                <w:b/>
                <w:bCs/>
                <w:color w:val="000000"/>
                <w:sz w:val="20"/>
                <w:szCs w:val="20"/>
                <w:vertAlign w:val="superscript"/>
              </w:rPr>
              <w:t>5</w:t>
            </w:r>
          </w:p>
        </w:tc>
        <w:tc>
          <w:tcPr>
            <w:tcW w:w="1232" w:type="dxa"/>
            <w:shd w:val="clear" w:color="auto" w:fill="auto"/>
            <w:noWrap/>
            <w:tcMar>
              <w:left w:w="28" w:type="dxa"/>
              <w:right w:w="28" w:type="dxa"/>
            </w:tcMar>
            <w:vAlign w:val="center"/>
          </w:tcPr>
          <w:p w14:paraId="70735DC6" w14:textId="5FAFB760" w:rsidR="000F6C3B" w:rsidRPr="00BB29AF" w:rsidRDefault="000960C3" w:rsidP="00322A0A">
            <w:pPr>
              <w:keepNext/>
              <w:jc w:val="center"/>
              <w:rPr>
                <w:rFonts w:ascii="Arial Narrow" w:hAnsi="Arial Narrow" w:cstheme="minorHAnsi"/>
                <w:color w:val="000000"/>
                <w:sz w:val="20"/>
                <w:szCs w:val="20"/>
                <w:highlight w:val="yellow"/>
              </w:rPr>
            </w:pPr>
            <w:r w:rsidRPr="000960C3">
              <w:rPr>
                <w:rFonts w:ascii="Arial Narrow" w:hAnsi="Arial Narrow" w:cstheme="minorHAnsi"/>
                <w:color w:val="000000"/>
                <w:sz w:val="20"/>
                <w:szCs w:val="20"/>
                <w:shd w:val="solid" w:color="000000" w:fill="000000"/>
                <w14:textFill>
                  <w14:solidFill>
                    <w14:srgbClr w14:val="000000">
                      <w14:alpha w14:val="100000"/>
                    </w14:srgbClr>
                  </w14:solidFill>
                </w14:textFill>
              </w:rPr>
              <w:t>|</w:t>
            </w:r>
            <w:r w:rsidR="001E1345">
              <w:rPr>
                <w:rFonts w:ascii="Arial Narrow" w:hAnsi="Arial Narrow" w:cstheme="minorHAnsi"/>
                <w:b/>
                <w:bCs/>
                <w:color w:val="000000"/>
                <w:sz w:val="20"/>
                <w:szCs w:val="20"/>
                <w:vertAlign w:val="superscript"/>
              </w:rPr>
              <w:t>5</w:t>
            </w:r>
          </w:p>
        </w:tc>
      </w:tr>
      <w:tr w:rsidR="000F6C3B" w:rsidRPr="00F04A75" w14:paraId="70198E5B" w14:textId="77777777" w:rsidTr="00A37D89">
        <w:trPr>
          <w:trHeight w:val="77"/>
        </w:trPr>
        <w:tc>
          <w:tcPr>
            <w:tcW w:w="1557" w:type="dxa"/>
            <w:shd w:val="clear" w:color="auto" w:fill="auto"/>
            <w:noWrap/>
            <w:tcMar>
              <w:left w:w="28" w:type="dxa"/>
              <w:right w:w="28" w:type="dxa"/>
            </w:tcMar>
          </w:tcPr>
          <w:p w14:paraId="27A81310" w14:textId="66C721EA" w:rsidR="000F6C3B" w:rsidRPr="00F04A75" w:rsidRDefault="000F6C3B" w:rsidP="00322A0A">
            <w:pPr>
              <w:rPr>
                <w:rFonts w:ascii="Arial Narrow" w:hAnsi="Arial Narrow" w:cstheme="minorHAnsi"/>
                <w:sz w:val="20"/>
                <w:szCs w:val="20"/>
                <w:lang w:bidi="hi-IN"/>
              </w:rPr>
            </w:pPr>
            <w:r w:rsidRPr="00F04A75">
              <w:rPr>
                <w:rFonts w:ascii="Arial Narrow" w:hAnsi="Arial Narrow" w:cstheme="minorHAnsi"/>
                <w:sz w:val="20"/>
                <w:szCs w:val="20"/>
                <w:lang w:bidi="hi-IN"/>
              </w:rPr>
              <w:t>MBS</w:t>
            </w:r>
            <w:r w:rsidR="00942FE1">
              <w:rPr>
                <w:rFonts w:ascii="Arial Narrow" w:hAnsi="Arial Narrow" w:cstheme="minorHAnsi"/>
                <w:sz w:val="20"/>
                <w:szCs w:val="20"/>
                <w:lang w:bidi="hi-IN"/>
              </w:rPr>
              <w:t xml:space="preserve"> cost</w:t>
            </w:r>
            <w:r w:rsidR="00BB29AF">
              <w:rPr>
                <w:rFonts w:ascii="Arial Narrow" w:hAnsi="Arial Narrow" w:cstheme="minorHAnsi"/>
                <w:sz w:val="20"/>
                <w:szCs w:val="20"/>
                <w:lang w:bidi="hi-IN"/>
              </w:rPr>
              <w:t xml:space="preserve"> ($)</w:t>
            </w:r>
          </w:p>
        </w:tc>
        <w:tc>
          <w:tcPr>
            <w:tcW w:w="1242" w:type="dxa"/>
            <w:shd w:val="clear" w:color="auto" w:fill="auto"/>
            <w:noWrap/>
            <w:tcMar>
              <w:left w:w="28" w:type="dxa"/>
              <w:right w:w="28" w:type="dxa"/>
            </w:tcMar>
            <w:vAlign w:val="center"/>
          </w:tcPr>
          <w:p w14:paraId="75F022FA" w14:textId="7A851127" w:rsidR="000F6C3B" w:rsidRPr="00BB29AF" w:rsidRDefault="000960C3" w:rsidP="00322A0A">
            <w:pPr>
              <w:keepNext/>
              <w:jc w:val="center"/>
              <w:rPr>
                <w:rFonts w:ascii="Arial Narrow" w:hAnsi="Arial Narrow" w:cstheme="minorHAnsi"/>
                <w:color w:val="000000"/>
                <w:sz w:val="20"/>
                <w:szCs w:val="20"/>
                <w:highlight w:val="yellow"/>
                <w:vertAlign w:val="superscript"/>
              </w:rPr>
            </w:pPr>
            <w:r w:rsidRPr="000960C3">
              <w:rPr>
                <w:rFonts w:ascii="Arial Narrow" w:hAnsi="Arial Narrow" w:cstheme="minorHAnsi"/>
                <w:color w:val="000000"/>
                <w:sz w:val="20"/>
                <w:szCs w:val="20"/>
                <w:shd w:val="solid" w:color="000000" w:fill="000000"/>
                <w14:textFill>
                  <w14:solidFill>
                    <w14:srgbClr w14:val="000000">
                      <w14:alpha w14:val="100000"/>
                    </w14:srgbClr>
                  </w14:solidFill>
                </w14:textFill>
              </w:rPr>
              <w:t>|</w:t>
            </w:r>
            <w:r w:rsidR="00BB29AF" w:rsidRPr="00BB29AF">
              <w:rPr>
                <w:rFonts w:ascii="Arial Narrow" w:hAnsi="Arial Narrow" w:cstheme="minorHAnsi"/>
                <w:color w:val="000000"/>
                <w:sz w:val="20"/>
                <w:szCs w:val="20"/>
                <w:vertAlign w:val="superscript"/>
              </w:rPr>
              <w:t>3</w:t>
            </w:r>
          </w:p>
        </w:tc>
        <w:tc>
          <w:tcPr>
            <w:tcW w:w="1243" w:type="dxa"/>
            <w:shd w:val="clear" w:color="auto" w:fill="auto"/>
            <w:noWrap/>
            <w:tcMar>
              <w:left w:w="28" w:type="dxa"/>
              <w:right w:w="28" w:type="dxa"/>
            </w:tcMar>
            <w:vAlign w:val="center"/>
          </w:tcPr>
          <w:p w14:paraId="187ACCAE" w14:textId="08DAF896" w:rsidR="000F6C3B" w:rsidRPr="00BB29AF" w:rsidRDefault="000960C3" w:rsidP="00322A0A">
            <w:pPr>
              <w:keepNext/>
              <w:jc w:val="center"/>
              <w:rPr>
                <w:rFonts w:ascii="Arial Narrow" w:hAnsi="Arial Narrow" w:cstheme="minorHAnsi"/>
                <w:color w:val="000000"/>
                <w:sz w:val="20"/>
                <w:szCs w:val="20"/>
                <w:highlight w:val="yellow"/>
              </w:rPr>
            </w:pPr>
            <w:r w:rsidRPr="000960C3">
              <w:rPr>
                <w:rFonts w:ascii="Arial Narrow" w:hAnsi="Arial Narrow" w:cstheme="minorHAnsi"/>
                <w:color w:val="000000"/>
                <w:sz w:val="20"/>
                <w:szCs w:val="20"/>
                <w:shd w:val="solid" w:color="000000" w:fill="000000"/>
                <w14:textFill>
                  <w14:solidFill>
                    <w14:srgbClr w14:val="000000">
                      <w14:alpha w14:val="100000"/>
                    </w14:srgbClr>
                  </w14:solidFill>
                </w14:textFill>
              </w:rPr>
              <w:t>|</w:t>
            </w:r>
            <w:r w:rsidR="00BB29AF" w:rsidRPr="001E1345">
              <w:rPr>
                <w:rFonts w:ascii="Arial Narrow" w:hAnsi="Arial Narrow" w:cstheme="minorHAnsi"/>
                <w:color w:val="000000"/>
                <w:sz w:val="20"/>
                <w:szCs w:val="20"/>
                <w:vertAlign w:val="superscript"/>
              </w:rPr>
              <w:t>3</w:t>
            </w:r>
          </w:p>
        </w:tc>
        <w:tc>
          <w:tcPr>
            <w:tcW w:w="1242" w:type="dxa"/>
            <w:shd w:val="clear" w:color="auto" w:fill="auto"/>
            <w:noWrap/>
            <w:tcMar>
              <w:left w:w="28" w:type="dxa"/>
              <w:right w:w="28" w:type="dxa"/>
            </w:tcMar>
            <w:vAlign w:val="center"/>
          </w:tcPr>
          <w:p w14:paraId="3A0AEC6E" w14:textId="2ED0AC4C" w:rsidR="000F6C3B" w:rsidRPr="00BB29AF" w:rsidRDefault="000960C3" w:rsidP="00322A0A">
            <w:pPr>
              <w:keepNext/>
              <w:jc w:val="center"/>
              <w:rPr>
                <w:rFonts w:ascii="Arial Narrow" w:hAnsi="Arial Narrow" w:cstheme="minorHAnsi"/>
                <w:color w:val="000000"/>
                <w:sz w:val="20"/>
                <w:szCs w:val="20"/>
                <w:highlight w:val="yellow"/>
              </w:rPr>
            </w:pPr>
            <w:r w:rsidRPr="000960C3">
              <w:rPr>
                <w:rFonts w:ascii="Arial Narrow" w:hAnsi="Arial Narrow" w:cstheme="minorHAnsi"/>
                <w:color w:val="000000"/>
                <w:sz w:val="20"/>
                <w:szCs w:val="20"/>
                <w:shd w:val="solid" w:color="000000" w:fill="000000"/>
                <w14:textFill>
                  <w14:solidFill>
                    <w14:srgbClr w14:val="000000">
                      <w14:alpha w14:val="100000"/>
                    </w14:srgbClr>
                  </w14:solidFill>
                </w14:textFill>
              </w:rPr>
              <w:t>|</w:t>
            </w:r>
            <w:r w:rsidR="00BB29AF" w:rsidRPr="00BB29AF">
              <w:rPr>
                <w:rFonts w:ascii="Arial Narrow" w:hAnsi="Arial Narrow" w:cstheme="minorHAnsi"/>
                <w:color w:val="000000"/>
                <w:sz w:val="20"/>
                <w:szCs w:val="20"/>
                <w:vertAlign w:val="superscript"/>
              </w:rPr>
              <w:t>3</w:t>
            </w:r>
          </w:p>
        </w:tc>
        <w:tc>
          <w:tcPr>
            <w:tcW w:w="1232" w:type="dxa"/>
            <w:shd w:val="clear" w:color="auto" w:fill="auto"/>
            <w:noWrap/>
            <w:tcMar>
              <w:left w:w="28" w:type="dxa"/>
              <w:right w:w="28" w:type="dxa"/>
            </w:tcMar>
            <w:vAlign w:val="center"/>
          </w:tcPr>
          <w:p w14:paraId="501CFACC" w14:textId="49510D4F" w:rsidR="000F6C3B" w:rsidRPr="00BB29AF" w:rsidRDefault="000960C3" w:rsidP="00322A0A">
            <w:pPr>
              <w:keepNext/>
              <w:jc w:val="center"/>
              <w:rPr>
                <w:rFonts w:ascii="Arial Narrow" w:hAnsi="Arial Narrow" w:cstheme="minorHAnsi"/>
                <w:color w:val="000000"/>
                <w:sz w:val="20"/>
                <w:szCs w:val="20"/>
                <w:highlight w:val="yellow"/>
              </w:rPr>
            </w:pPr>
            <w:r w:rsidRPr="000960C3">
              <w:rPr>
                <w:rFonts w:ascii="Arial Narrow" w:hAnsi="Arial Narrow" w:cstheme="minorHAnsi"/>
                <w:color w:val="000000"/>
                <w:sz w:val="20"/>
                <w:szCs w:val="20"/>
                <w:shd w:val="solid" w:color="000000" w:fill="000000"/>
                <w14:textFill>
                  <w14:solidFill>
                    <w14:srgbClr w14:val="000000">
                      <w14:alpha w14:val="100000"/>
                    </w14:srgbClr>
                  </w14:solidFill>
                </w14:textFill>
              </w:rPr>
              <w:t>|</w:t>
            </w:r>
            <w:r w:rsidR="00BB29AF" w:rsidRPr="00BB29AF">
              <w:rPr>
                <w:rFonts w:ascii="Arial Narrow" w:hAnsi="Arial Narrow" w:cstheme="minorHAnsi"/>
                <w:color w:val="000000"/>
                <w:sz w:val="20"/>
                <w:szCs w:val="20"/>
                <w:vertAlign w:val="superscript"/>
              </w:rPr>
              <w:t>3</w:t>
            </w:r>
          </w:p>
        </w:tc>
        <w:tc>
          <w:tcPr>
            <w:tcW w:w="1276" w:type="dxa"/>
            <w:shd w:val="clear" w:color="auto" w:fill="auto"/>
            <w:noWrap/>
            <w:tcMar>
              <w:left w:w="28" w:type="dxa"/>
              <w:right w:w="28" w:type="dxa"/>
            </w:tcMar>
            <w:vAlign w:val="center"/>
          </w:tcPr>
          <w:p w14:paraId="02CE3EDA" w14:textId="01D3CCDE" w:rsidR="000F6C3B" w:rsidRPr="00BB29AF" w:rsidRDefault="000960C3" w:rsidP="00322A0A">
            <w:pPr>
              <w:keepNext/>
              <w:jc w:val="center"/>
              <w:rPr>
                <w:rFonts w:ascii="Arial Narrow" w:hAnsi="Arial Narrow" w:cstheme="minorHAnsi"/>
                <w:color w:val="000000"/>
                <w:sz w:val="20"/>
                <w:szCs w:val="20"/>
                <w:highlight w:val="yellow"/>
              </w:rPr>
            </w:pPr>
            <w:r w:rsidRPr="000960C3">
              <w:rPr>
                <w:rFonts w:ascii="Arial Narrow" w:hAnsi="Arial Narrow" w:cstheme="minorHAnsi"/>
                <w:color w:val="000000"/>
                <w:sz w:val="20"/>
                <w:szCs w:val="20"/>
                <w:shd w:val="solid" w:color="000000" w:fill="000000"/>
                <w14:textFill>
                  <w14:solidFill>
                    <w14:srgbClr w14:val="000000">
                      <w14:alpha w14:val="100000"/>
                    </w14:srgbClr>
                  </w14:solidFill>
                </w14:textFill>
              </w:rPr>
              <w:t>|</w:t>
            </w:r>
            <w:r w:rsidR="00BB29AF" w:rsidRPr="00BB29AF">
              <w:rPr>
                <w:rFonts w:ascii="Arial Narrow" w:hAnsi="Arial Narrow" w:cstheme="minorHAnsi"/>
                <w:color w:val="000000"/>
                <w:sz w:val="20"/>
                <w:szCs w:val="20"/>
                <w:vertAlign w:val="superscript"/>
              </w:rPr>
              <w:t>3</w:t>
            </w:r>
          </w:p>
        </w:tc>
        <w:tc>
          <w:tcPr>
            <w:tcW w:w="1232" w:type="dxa"/>
            <w:shd w:val="clear" w:color="auto" w:fill="auto"/>
            <w:noWrap/>
            <w:tcMar>
              <w:left w:w="28" w:type="dxa"/>
              <w:right w:w="28" w:type="dxa"/>
            </w:tcMar>
            <w:vAlign w:val="center"/>
          </w:tcPr>
          <w:p w14:paraId="3D4DE366" w14:textId="0C6B8AA3" w:rsidR="000F6C3B" w:rsidRPr="00BB29AF" w:rsidRDefault="000960C3" w:rsidP="00322A0A">
            <w:pPr>
              <w:keepNext/>
              <w:jc w:val="center"/>
              <w:rPr>
                <w:rFonts w:ascii="Arial Narrow" w:hAnsi="Arial Narrow" w:cstheme="minorHAnsi"/>
                <w:color w:val="000000"/>
                <w:sz w:val="20"/>
                <w:szCs w:val="20"/>
                <w:highlight w:val="yellow"/>
              </w:rPr>
            </w:pPr>
            <w:r w:rsidRPr="000960C3">
              <w:rPr>
                <w:rFonts w:ascii="Arial Narrow" w:hAnsi="Arial Narrow" w:cstheme="minorHAnsi"/>
                <w:color w:val="000000"/>
                <w:sz w:val="20"/>
                <w:szCs w:val="20"/>
                <w:shd w:val="solid" w:color="000000" w:fill="000000"/>
                <w14:textFill>
                  <w14:solidFill>
                    <w14:srgbClr w14:val="000000">
                      <w14:alpha w14:val="100000"/>
                    </w14:srgbClr>
                  </w14:solidFill>
                </w14:textFill>
              </w:rPr>
              <w:t>|</w:t>
            </w:r>
            <w:r w:rsidR="00BB29AF" w:rsidRPr="00BB29AF">
              <w:rPr>
                <w:rFonts w:ascii="Arial Narrow" w:hAnsi="Arial Narrow" w:cstheme="minorHAnsi"/>
                <w:color w:val="000000"/>
                <w:sz w:val="20"/>
                <w:szCs w:val="20"/>
                <w:vertAlign w:val="superscript"/>
              </w:rPr>
              <w:t>3</w:t>
            </w:r>
          </w:p>
        </w:tc>
      </w:tr>
      <w:tr w:rsidR="000F6C3B" w:rsidRPr="00F04A75" w14:paraId="1A99A821" w14:textId="77777777" w:rsidTr="00A37D89">
        <w:trPr>
          <w:trHeight w:val="138"/>
        </w:trPr>
        <w:tc>
          <w:tcPr>
            <w:tcW w:w="1557" w:type="dxa"/>
            <w:shd w:val="clear" w:color="auto" w:fill="auto"/>
            <w:noWrap/>
            <w:tcMar>
              <w:left w:w="28" w:type="dxa"/>
              <w:right w:w="28" w:type="dxa"/>
            </w:tcMar>
          </w:tcPr>
          <w:p w14:paraId="1F7722C9" w14:textId="15F12B86" w:rsidR="000F6C3B" w:rsidRPr="00F04A75" w:rsidRDefault="000F6C3B" w:rsidP="00322A0A">
            <w:pPr>
              <w:rPr>
                <w:rFonts w:ascii="Arial Narrow" w:hAnsi="Arial Narrow" w:cstheme="minorHAnsi"/>
                <w:b/>
                <w:bCs/>
                <w:sz w:val="20"/>
                <w:szCs w:val="20"/>
                <w:lang w:bidi="hi-IN"/>
              </w:rPr>
            </w:pPr>
            <w:r w:rsidRPr="00F04A75">
              <w:rPr>
                <w:rFonts w:ascii="Arial Narrow" w:hAnsi="Arial Narrow" w:cstheme="minorHAnsi"/>
                <w:b/>
                <w:bCs/>
                <w:sz w:val="20"/>
                <w:szCs w:val="20"/>
                <w:lang w:bidi="hi-IN"/>
              </w:rPr>
              <w:t>Total</w:t>
            </w:r>
            <w:r w:rsidR="00BB29AF">
              <w:rPr>
                <w:rFonts w:ascii="Arial Narrow" w:hAnsi="Arial Narrow" w:cstheme="minorHAnsi"/>
                <w:b/>
                <w:bCs/>
                <w:sz w:val="20"/>
                <w:szCs w:val="20"/>
                <w:lang w:bidi="hi-IN"/>
              </w:rPr>
              <w:t xml:space="preserve"> ($)</w:t>
            </w:r>
          </w:p>
        </w:tc>
        <w:tc>
          <w:tcPr>
            <w:tcW w:w="1242" w:type="dxa"/>
            <w:shd w:val="clear" w:color="auto" w:fill="auto"/>
            <w:noWrap/>
            <w:tcMar>
              <w:left w:w="28" w:type="dxa"/>
              <w:right w:w="28" w:type="dxa"/>
            </w:tcMar>
            <w:vAlign w:val="center"/>
          </w:tcPr>
          <w:p w14:paraId="387E37E3" w14:textId="59176315" w:rsidR="000F6C3B" w:rsidRPr="00492906" w:rsidRDefault="000F6C3B" w:rsidP="00322A0A">
            <w:pPr>
              <w:keepNext/>
              <w:jc w:val="center"/>
              <w:rPr>
                <w:rFonts w:ascii="Arial Narrow" w:hAnsi="Arial Narrow" w:cstheme="minorHAnsi"/>
                <w:b/>
                <w:bCs/>
                <w:color w:val="000000"/>
                <w:sz w:val="20"/>
                <w:szCs w:val="20"/>
                <w:vertAlign w:val="superscript"/>
              </w:rPr>
            </w:pPr>
            <w:r w:rsidRPr="00F04A75">
              <w:rPr>
                <w:rFonts w:ascii="Arial Narrow" w:hAnsi="Arial Narrow" w:cstheme="minorHAnsi"/>
                <w:b/>
                <w:bCs/>
                <w:color w:val="000000"/>
                <w:sz w:val="20"/>
                <w:szCs w:val="20"/>
              </w:rPr>
              <w:t>$</w:t>
            </w:r>
            <w:r w:rsidR="000960C3" w:rsidRPr="000960C3">
              <w:rPr>
                <w:rFonts w:ascii="Arial Narrow" w:hAnsi="Arial Narrow" w:cstheme="minorHAnsi" w:hint="eastAsia"/>
                <w:b/>
                <w:bCs/>
                <w:color w:val="000000"/>
                <w:w w:val="15"/>
                <w:sz w:val="20"/>
                <w:szCs w:val="20"/>
                <w:shd w:val="solid" w:color="000000" w:fill="000000"/>
                <w:fitText w:val="60" w:id="-1506043641"/>
                <w14:textFill>
                  <w14:solidFill>
                    <w14:srgbClr w14:val="000000">
                      <w14:alpha w14:val="100000"/>
                    </w14:srgbClr>
                  </w14:solidFill>
                </w14:textFill>
              </w:rPr>
              <w:t xml:space="preserve">　</w:t>
            </w:r>
            <w:r w:rsidR="000960C3" w:rsidRPr="000960C3">
              <w:rPr>
                <w:rFonts w:ascii="Arial Narrow" w:hAnsi="Arial Narrow" w:cstheme="minorHAnsi"/>
                <w:b/>
                <w:bCs/>
                <w:color w:val="000000"/>
                <w:w w:val="15"/>
                <w:sz w:val="20"/>
                <w:szCs w:val="20"/>
                <w:shd w:val="solid" w:color="000000" w:fill="000000"/>
                <w:fitText w:val="60" w:id="-1506043641"/>
                <w14:textFill>
                  <w14:solidFill>
                    <w14:srgbClr w14:val="000000">
                      <w14:alpha w14:val="100000"/>
                    </w14:srgbClr>
                  </w14:solidFill>
                </w14:textFill>
              </w:rPr>
              <w:t>|</w:t>
            </w:r>
            <w:r w:rsidR="000960C3" w:rsidRPr="000960C3">
              <w:rPr>
                <w:rFonts w:ascii="Arial Narrow" w:hAnsi="Arial Narrow" w:cstheme="minorHAnsi" w:hint="eastAsia"/>
                <w:b/>
                <w:bCs/>
                <w:color w:val="000000"/>
                <w:spacing w:val="-6"/>
                <w:w w:val="15"/>
                <w:sz w:val="20"/>
                <w:szCs w:val="20"/>
                <w:shd w:val="solid" w:color="000000" w:fill="000000"/>
                <w:fitText w:val="60" w:id="-1506043641"/>
                <w14:textFill>
                  <w14:solidFill>
                    <w14:srgbClr w14:val="000000">
                      <w14:alpha w14:val="100000"/>
                    </w14:srgbClr>
                  </w14:solidFill>
                </w14:textFill>
              </w:rPr>
              <w:t xml:space="preserve">　</w:t>
            </w:r>
            <w:r w:rsidR="00492906">
              <w:rPr>
                <w:rFonts w:ascii="Arial Narrow" w:hAnsi="Arial Narrow" w:cstheme="minorHAnsi"/>
                <w:b/>
                <w:bCs/>
                <w:color w:val="000000"/>
                <w:sz w:val="20"/>
                <w:szCs w:val="20"/>
                <w:vertAlign w:val="superscript"/>
              </w:rPr>
              <w:t>2</w:t>
            </w:r>
          </w:p>
        </w:tc>
        <w:tc>
          <w:tcPr>
            <w:tcW w:w="1243" w:type="dxa"/>
            <w:shd w:val="clear" w:color="auto" w:fill="auto"/>
            <w:noWrap/>
            <w:tcMar>
              <w:left w:w="28" w:type="dxa"/>
              <w:right w:w="28" w:type="dxa"/>
            </w:tcMar>
            <w:vAlign w:val="center"/>
          </w:tcPr>
          <w:p w14:paraId="5D32C226" w14:textId="73DE21FF" w:rsidR="000F6C3B" w:rsidRPr="001E1345" w:rsidRDefault="000F6C3B" w:rsidP="00322A0A">
            <w:pPr>
              <w:keepNext/>
              <w:jc w:val="center"/>
              <w:rPr>
                <w:rFonts w:ascii="Arial Narrow" w:hAnsi="Arial Narrow" w:cstheme="minorHAnsi"/>
                <w:b/>
                <w:bCs/>
                <w:color w:val="000000"/>
                <w:sz w:val="20"/>
                <w:szCs w:val="20"/>
                <w:vertAlign w:val="superscript"/>
              </w:rPr>
            </w:pPr>
            <w:r w:rsidRPr="00F04A75">
              <w:rPr>
                <w:rFonts w:ascii="Arial Narrow" w:hAnsi="Arial Narrow" w:cstheme="minorHAnsi"/>
                <w:b/>
                <w:bCs/>
                <w:color w:val="000000"/>
                <w:sz w:val="20"/>
                <w:szCs w:val="20"/>
              </w:rPr>
              <w:t>$</w:t>
            </w:r>
            <w:r w:rsidR="000960C3" w:rsidRPr="000960C3">
              <w:rPr>
                <w:rFonts w:ascii="Arial Narrow" w:hAnsi="Arial Narrow" w:cstheme="minorHAnsi" w:hint="eastAsia"/>
                <w:b/>
                <w:bCs/>
                <w:color w:val="000000"/>
                <w:w w:val="15"/>
                <w:sz w:val="20"/>
                <w:szCs w:val="20"/>
                <w:shd w:val="solid" w:color="000000" w:fill="000000"/>
                <w:fitText w:val="60" w:id="-1506043640"/>
                <w14:textFill>
                  <w14:solidFill>
                    <w14:srgbClr w14:val="000000">
                      <w14:alpha w14:val="100000"/>
                    </w14:srgbClr>
                  </w14:solidFill>
                </w14:textFill>
              </w:rPr>
              <w:t xml:space="preserve">　</w:t>
            </w:r>
            <w:r w:rsidR="000960C3" w:rsidRPr="000960C3">
              <w:rPr>
                <w:rFonts w:ascii="Arial Narrow" w:hAnsi="Arial Narrow" w:cstheme="minorHAnsi"/>
                <w:b/>
                <w:bCs/>
                <w:color w:val="000000"/>
                <w:w w:val="15"/>
                <w:sz w:val="20"/>
                <w:szCs w:val="20"/>
                <w:shd w:val="solid" w:color="000000" w:fill="000000"/>
                <w:fitText w:val="60" w:id="-1506043640"/>
                <w14:textFill>
                  <w14:solidFill>
                    <w14:srgbClr w14:val="000000">
                      <w14:alpha w14:val="100000"/>
                    </w14:srgbClr>
                  </w14:solidFill>
                </w14:textFill>
              </w:rPr>
              <w:t>|</w:t>
            </w:r>
            <w:r w:rsidR="000960C3" w:rsidRPr="000960C3">
              <w:rPr>
                <w:rFonts w:ascii="Arial Narrow" w:hAnsi="Arial Narrow" w:cstheme="minorHAnsi" w:hint="eastAsia"/>
                <w:b/>
                <w:bCs/>
                <w:color w:val="000000"/>
                <w:spacing w:val="-6"/>
                <w:w w:val="15"/>
                <w:sz w:val="20"/>
                <w:szCs w:val="20"/>
                <w:shd w:val="solid" w:color="000000" w:fill="000000"/>
                <w:fitText w:val="60" w:id="-1506043640"/>
                <w14:textFill>
                  <w14:solidFill>
                    <w14:srgbClr w14:val="000000">
                      <w14:alpha w14:val="100000"/>
                    </w14:srgbClr>
                  </w14:solidFill>
                </w14:textFill>
              </w:rPr>
              <w:t xml:space="preserve">　</w:t>
            </w:r>
            <w:r w:rsidR="001E1345">
              <w:rPr>
                <w:rFonts w:ascii="Arial Narrow" w:hAnsi="Arial Narrow" w:cstheme="minorHAnsi"/>
                <w:b/>
                <w:bCs/>
                <w:color w:val="000000"/>
                <w:sz w:val="20"/>
                <w:szCs w:val="20"/>
                <w:vertAlign w:val="superscript"/>
              </w:rPr>
              <w:t>5</w:t>
            </w:r>
          </w:p>
        </w:tc>
        <w:tc>
          <w:tcPr>
            <w:tcW w:w="1242" w:type="dxa"/>
            <w:shd w:val="clear" w:color="auto" w:fill="auto"/>
            <w:noWrap/>
            <w:tcMar>
              <w:left w:w="28" w:type="dxa"/>
              <w:right w:w="28" w:type="dxa"/>
            </w:tcMar>
            <w:vAlign w:val="center"/>
          </w:tcPr>
          <w:p w14:paraId="7F4F1EF7" w14:textId="6C5C55D6" w:rsidR="000F6C3B" w:rsidRPr="00F04A75" w:rsidRDefault="000F6C3B" w:rsidP="00322A0A">
            <w:pPr>
              <w:keepNext/>
              <w:jc w:val="center"/>
              <w:rPr>
                <w:rFonts w:ascii="Arial Narrow" w:hAnsi="Arial Narrow" w:cstheme="minorHAnsi"/>
                <w:b/>
                <w:bCs/>
                <w:color w:val="000000"/>
                <w:sz w:val="20"/>
                <w:szCs w:val="20"/>
              </w:rPr>
            </w:pPr>
            <w:r w:rsidRPr="00F04A75">
              <w:rPr>
                <w:rFonts w:ascii="Arial Narrow" w:hAnsi="Arial Narrow" w:cstheme="minorHAnsi"/>
                <w:b/>
                <w:bCs/>
                <w:color w:val="000000"/>
                <w:sz w:val="20"/>
                <w:szCs w:val="20"/>
              </w:rPr>
              <w:t>$</w:t>
            </w:r>
            <w:r w:rsidR="000960C3" w:rsidRPr="000960C3">
              <w:rPr>
                <w:rFonts w:ascii="Arial Narrow" w:hAnsi="Arial Narrow" w:cstheme="minorHAnsi" w:hint="eastAsia"/>
                <w:b/>
                <w:bCs/>
                <w:color w:val="000000"/>
                <w:w w:val="15"/>
                <w:sz w:val="20"/>
                <w:szCs w:val="20"/>
                <w:shd w:val="solid" w:color="000000" w:fill="000000"/>
                <w:fitText w:val="60" w:id="-1506043639"/>
                <w14:textFill>
                  <w14:solidFill>
                    <w14:srgbClr w14:val="000000">
                      <w14:alpha w14:val="100000"/>
                    </w14:srgbClr>
                  </w14:solidFill>
                </w14:textFill>
              </w:rPr>
              <w:t xml:space="preserve">　</w:t>
            </w:r>
            <w:r w:rsidR="000960C3" w:rsidRPr="000960C3">
              <w:rPr>
                <w:rFonts w:ascii="Arial Narrow" w:hAnsi="Arial Narrow" w:cstheme="minorHAnsi"/>
                <w:b/>
                <w:bCs/>
                <w:color w:val="000000"/>
                <w:w w:val="15"/>
                <w:sz w:val="20"/>
                <w:szCs w:val="20"/>
                <w:shd w:val="solid" w:color="000000" w:fill="000000"/>
                <w:fitText w:val="60" w:id="-1506043639"/>
                <w14:textFill>
                  <w14:solidFill>
                    <w14:srgbClr w14:val="000000">
                      <w14:alpha w14:val="100000"/>
                    </w14:srgbClr>
                  </w14:solidFill>
                </w14:textFill>
              </w:rPr>
              <w:t>|</w:t>
            </w:r>
            <w:r w:rsidR="000960C3" w:rsidRPr="000960C3">
              <w:rPr>
                <w:rFonts w:ascii="Arial Narrow" w:hAnsi="Arial Narrow" w:cstheme="minorHAnsi" w:hint="eastAsia"/>
                <w:b/>
                <w:bCs/>
                <w:color w:val="000000"/>
                <w:spacing w:val="-6"/>
                <w:w w:val="15"/>
                <w:sz w:val="20"/>
                <w:szCs w:val="20"/>
                <w:shd w:val="solid" w:color="000000" w:fill="000000"/>
                <w:fitText w:val="60" w:id="-1506043639"/>
                <w14:textFill>
                  <w14:solidFill>
                    <w14:srgbClr w14:val="000000">
                      <w14:alpha w14:val="100000"/>
                    </w14:srgbClr>
                  </w14:solidFill>
                </w14:textFill>
              </w:rPr>
              <w:t xml:space="preserve">　</w:t>
            </w:r>
            <w:r w:rsidR="001E1345">
              <w:rPr>
                <w:rFonts w:ascii="Arial Narrow" w:hAnsi="Arial Narrow" w:cstheme="minorHAnsi"/>
                <w:b/>
                <w:bCs/>
                <w:color w:val="000000"/>
                <w:sz w:val="20"/>
                <w:szCs w:val="20"/>
                <w:vertAlign w:val="superscript"/>
              </w:rPr>
              <w:t>5</w:t>
            </w:r>
          </w:p>
        </w:tc>
        <w:tc>
          <w:tcPr>
            <w:tcW w:w="1232" w:type="dxa"/>
            <w:shd w:val="clear" w:color="auto" w:fill="auto"/>
            <w:noWrap/>
            <w:tcMar>
              <w:left w:w="28" w:type="dxa"/>
              <w:right w:w="28" w:type="dxa"/>
            </w:tcMar>
            <w:vAlign w:val="center"/>
          </w:tcPr>
          <w:p w14:paraId="1963F0E7" w14:textId="2F680ABB" w:rsidR="000F6C3B" w:rsidRPr="00F04A75" w:rsidRDefault="000F6C3B" w:rsidP="00322A0A">
            <w:pPr>
              <w:keepNext/>
              <w:jc w:val="center"/>
              <w:rPr>
                <w:rFonts w:ascii="Arial Narrow" w:hAnsi="Arial Narrow" w:cstheme="minorHAnsi"/>
                <w:b/>
                <w:bCs/>
                <w:color w:val="000000"/>
                <w:sz w:val="20"/>
                <w:szCs w:val="20"/>
              </w:rPr>
            </w:pPr>
            <w:r w:rsidRPr="00F04A75">
              <w:rPr>
                <w:rFonts w:ascii="Arial Narrow" w:hAnsi="Arial Narrow" w:cstheme="minorHAnsi"/>
                <w:b/>
                <w:bCs/>
                <w:color w:val="000000"/>
                <w:sz w:val="20"/>
                <w:szCs w:val="20"/>
              </w:rPr>
              <w:t>$</w:t>
            </w:r>
            <w:r w:rsidR="000960C3" w:rsidRPr="000960C3">
              <w:rPr>
                <w:rFonts w:ascii="Arial Narrow" w:hAnsi="Arial Narrow" w:cstheme="minorHAnsi" w:hint="eastAsia"/>
                <w:b/>
                <w:bCs/>
                <w:color w:val="000000"/>
                <w:w w:val="20"/>
                <w:sz w:val="20"/>
                <w:szCs w:val="20"/>
                <w:shd w:val="solid" w:color="000000" w:fill="000000"/>
                <w:fitText w:val="90" w:id="-1506043638"/>
                <w14:textFill>
                  <w14:solidFill>
                    <w14:srgbClr w14:val="000000">
                      <w14:alpha w14:val="100000"/>
                    </w14:srgbClr>
                  </w14:solidFill>
                </w14:textFill>
              </w:rPr>
              <w:t xml:space="preserve">　</w:t>
            </w:r>
            <w:r w:rsidR="000960C3" w:rsidRPr="000960C3">
              <w:rPr>
                <w:rFonts w:ascii="Arial Narrow" w:hAnsi="Arial Narrow" w:cstheme="minorHAnsi"/>
                <w:b/>
                <w:bCs/>
                <w:color w:val="000000"/>
                <w:w w:val="20"/>
                <w:sz w:val="20"/>
                <w:szCs w:val="20"/>
                <w:shd w:val="solid" w:color="000000" w:fill="000000"/>
                <w:fitText w:val="90" w:id="-1506043638"/>
                <w14:textFill>
                  <w14:solidFill>
                    <w14:srgbClr w14:val="000000">
                      <w14:alpha w14:val="100000"/>
                    </w14:srgbClr>
                  </w14:solidFill>
                </w14:textFill>
              </w:rPr>
              <w:t>|</w:t>
            </w:r>
            <w:r w:rsidR="000960C3" w:rsidRPr="000960C3">
              <w:rPr>
                <w:rFonts w:ascii="Arial Narrow" w:hAnsi="Arial Narrow" w:cstheme="minorHAnsi" w:hint="eastAsia"/>
                <w:b/>
                <w:bCs/>
                <w:color w:val="000000"/>
                <w:spacing w:val="2"/>
                <w:w w:val="20"/>
                <w:sz w:val="20"/>
                <w:szCs w:val="20"/>
                <w:shd w:val="solid" w:color="000000" w:fill="000000"/>
                <w:fitText w:val="90" w:id="-1506043638"/>
                <w14:textFill>
                  <w14:solidFill>
                    <w14:srgbClr w14:val="000000">
                      <w14:alpha w14:val="100000"/>
                    </w14:srgbClr>
                  </w14:solidFill>
                </w14:textFill>
              </w:rPr>
              <w:t xml:space="preserve">　</w:t>
            </w:r>
            <w:r w:rsidR="001E1345">
              <w:rPr>
                <w:rFonts w:ascii="Arial Narrow" w:hAnsi="Arial Narrow" w:cstheme="minorHAnsi"/>
                <w:b/>
                <w:bCs/>
                <w:color w:val="000000"/>
                <w:sz w:val="20"/>
                <w:szCs w:val="20"/>
                <w:vertAlign w:val="superscript"/>
              </w:rPr>
              <w:t>5</w:t>
            </w:r>
          </w:p>
        </w:tc>
        <w:tc>
          <w:tcPr>
            <w:tcW w:w="1276" w:type="dxa"/>
            <w:shd w:val="clear" w:color="auto" w:fill="auto"/>
            <w:noWrap/>
            <w:tcMar>
              <w:left w:w="28" w:type="dxa"/>
              <w:right w:w="28" w:type="dxa"/>
            </w:tcMar>
            <w:vAlign w:val="center"/>
          </w:tcPr>
          <w:p w14:paraId="2A1D9B78" w14:textId="41BE0605" w:rsidR="000F6C3B" w:rsidRPr="001E1345" w:rsidRDefault="000F6C3B" w:rsidP="00322A0A">
            <w:pPr>
              <w:keepNext/>
              <w:jc w:val="center"/>
              <w:rPr>
                <w:rFonts w:ascii="Arial Narrow" w:hAnsi="Arial Narrow" w:cstheme="minorHAnsi"/>
                <w:b/>
                <w:bCs/>
                <w:color w:val="000000"/>
                <w:sz w:val="20"/>
                <w:szCs w:val="20"/>
              </w:rPr>
            </w:pPr>
            <w:r w:rsidRPr="00F04A75">
              <w:rPr>
                <w:rFonts w:ascii="Arial Narrow" w:hAnsi="Arial Narrow" w:cstheme="minorHAnsi"/>
                <w:b/>
                <w:bCs/>
                <w:color w:val="000000"/>
                <w:sz w:val="20"/>
                <w:szCs w:val="20"/>
              </w:rPr>
              <w:t>$</w:t>
            </w:r>
            <w:r w:rsidR="000960C3" w:rsidRPr="000960C3">
              <w:rPr>
                <w:rFonts w:ascii="Arial Narrow" w:hAnsi="Arial Narrow" w:cstheme="minorHAnsi" w:hint="eastAsia"/>
                <w:b/>
                <w:bCs/>
                <w:color w:val="000000"/>
                <w:w w:val="15"/>
                <w:sz w:val="20"/>
                <w:szCs w:val="20"/>
                <w:shd w:val="solid" w:color="000000" w:fill="000000"/>
                <w:fitText w:val="60" w:id="-1506043637"/>
                <w14:textFill>
                  <w14:solidFill>
                    <w14:srgbClr w14:val="000000">
                      <w14:alpha w14:val="100000"/>
                    </w14:srgbClr>
                  </w14:solidFill>
                </w14:textFill>
              </w:rPr>
              <w:t xml:space="preserve">　</w:t>
            </w:r>
            <w:r w:rsidR="000960C3" w:rsidRPr="000960C3">
              <w:rPr>
                <w:rFonts w:ascii="Arial Narrow" w:hAnsi="Arial Narrow" w:cstheme="minorHAnsi"/>
                <w:b/>
                <w:bCs/>
                <w:color w:val="000000"/>
                <w:w w:val="15"/>
                <w:sz w:val="20"/>
                <w:szCs w:val="20"/>
                <w:shd w:val="solid" w:color="000000" w:fill="000000"/>
                <w:fitText w:val="60" w:id="-1506043637"/>
                <w14:textFill>
                  <w14:solidFill>
                    <w14:srgbClr w14:val="000000">
                      <w14:alpha w14:val="100000"/>
                    </w14:srgbClr>
                  </w14:solidFill>
                </w14:textFill>
              </w:rPr>
              <w:t>|</w:t>
            </w:r>
            <w:r w:rsidR="000960C3" w:rsidRPr="000960C3">
              <w:rPr>
                <w:rFonts w:ascii="Arial Narrow" w:hAnsi="Arial Narrow" w:cstheme="minorHAnsi" w:hint="eastAsia"/>
                <w:b/>
                <w:bCs/>
                <w:color w:val="000000"/>
                <w:spacing w:val="-6"/>
                <w:w w:val="15"/>
                <w:sz w:val="20"/>
                <w:szCs w:val="20"/>
                <w:shd w:val="solid" w:color="000000" w:fill="000000"/>
                <w:fitText w:val="60" w:id="-1506043637"/>
                <w14:textFill>
                  <w14:solidFill>
                    <w14:srgbClr w14:val="000000">
                      <w14:alpha w14:val="100000"/>
                    </w14:srgbClr>
                  </w14:solidFill>
                </w14:textFill>
              </w:rPr>
              <w:t xml:space="preserve">　</w:t>
            </w:r>
            <w:r w:rsidR="001E1345">
              <w:rPr>
                <w:rFonts w:ascii="Arial Narrow" w:hAnsi="Arial Narrow" w:cstheme="minorHAnsi"/>
                <w:b/>
                <w:bCs/>
                <w:color w:val="000000"/>
                <w:sz w:val="20"/>
                <w:szCs w:val="20"/>
                <w:vertAlign w:val="superscript"/>
              </w:rPr>
              <w:t>4</w:t>
            </w:r>
          </w:p>
        </w:tc>
        <w:tc>
          <w:tcPr>
            <w:tcW w:w="1232" w:type="dxa"/>
            <w:shd w:val="clear" w:color="auto" w:fill="auto"/>
            <w:noWrap/>
            <w:tcMar>
              <w:left w:w="28" w:type="dxa"/>
              <w:right w:w="28" w:type="dxa"/>
            </w:tcMar>
            <w:vAlign w:val="center"/>
          </w:tcPr>
          <w:p w14:paraId="4CE2245B" w14:textId="305642FB" w:rsidR="000F6C3B" w:rsidRPr="00BB29AF" w:rsidRDefault="000F6C3B" w:rsidP="00322A0A">
            <w:pPr>
              <w:keepNext/>
              <w:jc w:val="center"/>
              <w:rPr>
                <w:rFonts w:ascii="Arial Narrow" w:hAnsi="Arial Narrow" w:cstheme="minorHAnsi"/>
                <w:b/>
                <w:bCs/>
                <w:color w:val="000000"/>
                <w:sz w:val="20"/>
                <w:szCs w:val="20"/>
                <w:vertAlign w:val="superscript"/>
              </w:rPr>
            </w:pPr>
            <w:r w:rsidRPr="00F04A75">
              <w:rPr>
                <w:rFonts w:ascii="Arial Narrow" w:hAnsi="Arial Narrow" w:cstheme="minorHAnsi"/>
                <w:b/>
                <w:bCs/>
                <w:color w:val="000000"/>
                <w:sz w:val="20"/>
                <w:szCs w:val="20"/>
              </w:rPr>
              <w:t>$</w:t>
            </w:r>
            <w:r w:rsidR="000960C3" w:rsidRPr="000960C3">
              <w:rPr>
                <w:rFonts w:ascii="Arial Narrow" w:hAnsi="Arial Narrow" w:cstheme="minorHAnsi" w:hint="eastAsia"/>
                <w:b/>
                <w:bCs/>
                <w:color w:val="000000"/>
                <w:w w:val="20"/>
                <w:sz w:val="20"/>
                <w:szCs w:val="20"/>
                <w:shd w:val="solid" w:color="000000" w:fill="000000"/>
                <w:fitText w:val="90" w:id="-1506043636"/>
                <w14:textFill>
                  <w14:solidFill>
                    <w14:srgbClr w14:val="000000">
                      <w14:alpha w14:val="100000"/>
                    </w14:srgbClr>
                  </w14:solidFill>
                </w14:textFill>
              </w:rPr>
              <w:t xml:space="preserve">　</w:t>
            </w:r>
            <w:r w:rsidR="000960C3" w:rsidRPr="000960C3">
              <w:rPr>
                <w:rFonts w:ascii="Arial Narrow" w:hAnsi="Arial Narrow" w:cstheme="minorHAnsi"/>
                <w:b/>
                <w:bCs/>
                <w:color w:val="000000"/>
                <w:w w:val="20"/>
                <w:sz w:val="20"/>
                <w:szCs w:val="20"/>
                <w:shd w:val="solid" w:color="000000" w:fill="000000"/>
                <w:fitText w:val="90" w:id="-1506043636"/>
                <w14:textFill>
                  <w14:solidFill>
                    <w14:srgbClr w14:val="000000">
                      <w14:alpha w14:val="100000"/>
                    </w14:srgbClr>
                  </w14:solidFill>
                </w14:textFill>
              </w:rPr>
              <w:t>|</w:t>
            </w:r>
            <w:r w:rsidR="000960C3" w:rsidRPr="000960C3">
              <w:rPr>
                <w:rFonts w:ascii="Arial Narrow" w:hAnsi="Arial Narrow" w:cstheme="minorHAnsi" w:hint="eastAsia"/>
                <w:b/>
                <w:bCs/>
                <w:color w:val="000000"/>
                <w:spacing w:val="2"/>
                <w:w w:val="20"/>
                <w:sz w:val="20"/>
                <w:szCs w:val="20"/>
                <w:shd w:val="solid" w:color="000000" w:fill="000000"/>
                <w:fitText w:val="90" w:id="-1506043636"/>
                <w14:textFill>
                  <w14:solidFill>
                    <w14:srgbClr w14:val="000000">
                      <w14:alpha w14:val="100000"/>
                    </w14:srgbClr>
                  </w14:solidFill>
                </w14:textFill>
              </w:rPr>
              <w:t xml:space="preserve">　</w:t>
            </w:r>
            <w:r w:rsidR="001E1345">
              <w:rPr>
                <w:rFonts w:ascii="Arial Narrow" w:hAnsi="Arial Narrow" w:cstheme="minorHAnsi"/>
                <w:b/>
                <w:bCs/>
                <w:color w:val="000000"/>
                <w:sz w:val="20"/>
                <w:szCs w:val="20"/>
                <w:vertAlign w:val="superscript"/>
              </w:rPr>
              <w:t>4</w:t>
            </w:r>
          </w:p>
        </w:tc>
      </w:tr>
      <w:tr w:rsidR="000F6C3B" w:rsidRPr="00F04A75" w14:paraId="3B3F5991" w14:textId="77777777" w:rsidTr="00322A0A">
        <w:trPr>
          <w:trHeight w:val="70"/>
        </w:trPr>
        <w:tc>
          <w:tcPr>
            <w:tcW w:w="9024" w:type="dxa"/>
            <w:gridSpan w:val="7"/>
            <w:shd w:val="clear" w:color="auto" w:fill="auto"/>
            <w:noWrap/>
            <w:tcMar>
              <w:left w:w="28" w:type="dxa"/>
              <w:right w:w="28" w:type="dxa"/>
            </w:tcMar>
            <w:hideMark/>
          </w:tcPr>
          <w:p w14:paraId="13D3B123" w14:textId="77777777" w:rsidR="000F6C3B" w:rsidRPr="00F04A75" w:rsidRDefault="000F6C3B" w:rsidP="00322A0A">
            <w:pPr>
              <w:keepNext/>
              <w:rPr>
                <w:rFonts w:ascii="Arial Narrow" w:hAnsi="Arial Narrow" w:cstheme="minorHAnsi"/>
                <w:b/>
                <w:bCs/>
                <w:sz w:val="20"/>
                <w:szCs w:val="20"/>
                <w:lang w:bidi="hi-IN"/>
              </w:rPr>
            </w:pPr>
            <w:r w:rsidRPr="00F04A75">
              <w:rPr>
                <w:rFonts w:ascii="Arial Narrow" w:hAnsi="Arial Narrow" w:cstheme="minorHAnsi"/>
                <w:b/>
                <w:bCs/>
                <w:sz w:val="20"/>
                <w:szCs w:val="20"/>
              </w:rPr>
              <w:t xml:space="preserve">Scenario 2: Cd + </w:t>
            </w:r>
            <w:proofErr w:type="spellStart"/>
            <w:r w:rsidRPr="00F04A75">
              <w:rPr>
                <w:rFonts w:ascii="Arial Narrow" w:hAnsi="Arial Narrow" w:cstheme="minorHAnsi"/>
                <w:b/>
                <w:bCs/>
                <w:sz w:val="20"/>
                <w:szCs w:val="20"/>
              </w:rPr>
              <w:t>PBd</w:t>
            </w:r>
            <w:proofErr w:type="spellEnd"/>
            <w:r w:rsidRPr="00F04A75">
              <w:rPr>
                <w:rFonts w:ascii="Arial Narrow" w:hAnsi="Arial Narrow" w:cstheme="minorHAnsi"/>
                <w:b/>
                <w:bCs/>
                <w:sz w:val="20"/>
                <w:szCs w:val="20"/>
              </w:rPr>
              <w:t xml:space="preserve"> + </w:t>
            </w:r>
            <w:proofErr w:type="spellStart"/>
            <w:r w:rsidRPr="00F04A75">
              <w:rPr>
                <w:rFonts w:ascii="Arial Narrow" w:hAnsi="Arial Narrow" w:cstheme="minorHAnsi"/>
                <w:b/>
                <w:bCs/>
                <w:sz w:val="20"/>
                <w:szCs w:val="20"/>
              </w:rPr>
              <w:t>ELd</w:t>
            </w:r>
            <w:proofErr w:type="spellEnd"/>
          </w:p>
        </w:tc>
      </w:tr>
      <w:tr w:rsidR="000A3BC5" w:rsidRPr="00F04A75" w14:paraId="74E7D313" w14:textId="77777777" w:rsidTr="00A37D89">
        <w:trPr>
          <w:trHeight w:val="74"/>
        </w:trPr>
        <w:tc>
          <w:tcPr>
            <w:tcW w:w="1557" w:type="dxa"/>
            <w:shd w:val="clear" w:color="auto" w:fill="auto"/>
            <w:tcMar>
              <w:left w:w="28" w:type="dxa"/>
              <w:right w:w="28" w:type="dxa"/>
            </w:tcMar>
          </w:tcPr>
          <w:p w14:paraId="085BDEF4" w14:textId="77777777" w:rsidR="000A3BC5" w:rsidRPr="00F04A75" w:rsidRDefault="000A3BC5" w:rsidP="00322A0A">
            <w:pPr>
              <w:keepNext/>
              <w:rPr>
                <w:rFonts w:ascii="Arial Narrow" w:hAnsi="Arial Narrow" w:cstheme="minorHAnsi"/>
                <w:sz w:val="20"/>
                <w:szCs w:val="20"/>
                <w:lang w:bidi="hi-IN"/>
              </w:rPr>
            </w:pPr>
            <w:r w:rsidRPr="00F04A75">
              <w:rPr>
                <w:rFonts w:ascii="Arial Narrow" w:hAnsi="Arial Narrow" w:cstheme="minorHAnsi"/>
                <w:sz w:val="20"/>
                <w:szCs w:val="20"/>
                <w:lang w:bidi="hi-IN"/>
              </w:rPr>
              <w:t xml:space="preserve">Estimated patients </w:t>
            </w:r>
          </w:p>
        </w:tc>
        <w:tc>
          <w:tcPr>
            <w:tcW w:w="1242" w:type="dxa"/>
            <w:shd w:val="clear" w:color="auto" w:fill="auto"/>
            <w:noWrap/>
            <w:tcMar>
              <w:left w:w="28" w:type="dxa"/>
              <w:right w:w="28" w:type="dxa"/>
            </w:tcMar>
            <w:vAlign w:val="center"/>
          </w:tcPr>
          <w:p w14:paraId="4784F0DC" w14:textId="14EBE719" w:rsidR="000A3BC5" w:rsidRPr="00993E00" w:rsidRDefault="000960C3" w:rsidP="00322A0A">
            <w:pPr>
              <w:keepNext/>
              <w:jc w:val="center"/>
              <w:rPr>
                <w:rFonts w:ascii="Arial Narrow" w:hAnsi="Arial Narrow" w:cstheme="minorHAnsi"/>
                <w:color w:val="000000"/>
                <w:sz w:val="20"/>
                <w:szCs w:val="20"/>
                <w:highlight w:val="yellow"/>
              </w:rPr>
            </w:pPr>
            <w:r w:rsidRPr="000960C3">
              <w:rPr>
                <w:rFonts w:ascii="Arial Narrow" w:hAnsi="Arial Narrow"/>
                <w:color w:val="000000"/>
                <w:spacing w:val="41"/>
                <w:sz w:val="20"/>
                <w:szCs w:val="20"/>
                <w:shd w:val="solid" w:color="000000" w:fill="000000"/>
                <w:fitText w:val="210" w:id="-1506043635"/>
                <w14:textFill>
                  <w14:solidFill>
                    <w14:srgbClr w14:val="000000">
                      <w14:alpha w14:val="100000"/>
                    </w14:srgbClr>
                  </w14:solidFill>
                </w14:textFill>
              </w:rPr>
              <w:t>||</w:t>
            </w:r>
            <w:r w:rsidRPr="000960C3">
              <w:rPr>
                <w:rFonts w:ascii="Arial Narrow" w:hAnsi="Arial Narrow"/>
                <w:color w:val="000000"/>
                <w:spacing w:val="1"/>
                <w:sz w:val="20"/>
                <w:szCs w:val="20"/>
                <w:shd w:val="solid" w:color="000000" w:fill="000000"/>
                <w:fitText w:val="210" w:id="-1506043635"/>
                <w14:textFill>
                  <w14:solidFill>
                    <w14:srgbClr w14:val="000000">
                      <w14:alpha w14:val="100000"/>
                    </w14:srgbClr>
                  </w14:solidFill>
                </w14:textFill>
              </w:rPr>
              <w:t>|</w:t>
            </w:r>
            <w:r w:rsidR="00492906">
              <w:rPr>
                <w:rFonts w:ascii="Arial Narrow" w:hAnsi="Arial Narrow"/>
                <w:color w:val="000000"/>
                <w:sz w:val="20"/>
                <w:szCs w:val="20"/>
                <w:vertAlign w:val="superscript"/>
              </w:rPr>
              <w:t>1</w:t>
            </w:r>
            <w:r w:rsidRPr="000960C3">
              <w:rPr>
                <w:rFonts w:ascii="Arial Narrow" w:hAnsi="Arial Narrow" w:hint="eastAsia"/>
                <w:color w:val="000000"/>
                <w:w w:val="24"/>
                <w:sz w:val="20"/>
                <w:szCs w:val="20"/>
                <w:shd w:val="solid" w:color="000000" w:fill="000000"/>
                <w:fitText w:val="90" w:id="-1506043634"/>
                <w:vertAlign w:val="superscript"/>
                <w14:textFill>
                  <w14:solidFill>
                    <w14:srgbClr w14:val="000000">
                      <w14:alpha w14:val="100000"/>
                    </w14:srgbClr>
                  </w14:solidFill>
                </w14:textFill>
              </w:rPr>
              <w:t xml:space="preserve">　</w:t>
            </w:r>
            <w:r w:rsidRPr="000960C3">
              <w:rPr>
                <w:rFonts w:ascii="Arial Narrow" w:hAnsi="Arial Narrow"/>
                <w:color w:val="000000"/>
                <w:w w:val="24"/>
                <w:sz w:val="20"/>
                <w:szCs w:val="20"/>
                <w:shd w:val="solid" w:color="000000" w:fill="000000"/>
                <w:fitText w:val="90" w:id="-1506043634"/>
                <w14:textFill>
                  <w14:solidFill>
                    <w14:srgbClr w14:val="000000">
                      <w14:alpha w14:val="100000"/>
                    </w14:srgbClr>
                  </w14:solidFill>
                </w14:textFill>
              </w:rPr>
              <w:t>|</w:t>
            </w:r>
            <w:r w:rsidRPr="000960C3">
              <w:rPr>
                <w:rFonts w:ascii="Arial Narrow" w:hAnsi="Arial Narrow" w:hint="eastAsia"/>
                <w:color w:val="000000"/>
                <w:spacing w:val="4"/>
                <w:w w:val="24"/>
                <w:sz w:val="20"/>
                <w:szCs w:val="20"/>
                <w:shd w:val="solid" w:color="000000" w:fill="000000"/>
                <w:fitText w:val="90" w:id="-1506043634"/>
                <w14:textFill>
                  <w14:solidFill>
                    <w14:srgbClr w14:val="000000">
                      <w14:alpha w14:val="100000"/>
                    </w14:srgbClr>
                  </w14:solidFill>
                </w14:textFill>
              </w:rPr>
              <w:t xml:space="preserve">　</w:t>
            </w:r>
          </w:p>
        </w:tc>
        <w:tc>
          <w:tcPr>
            <w:tcW w:w="1243" w:type="dxa"/>
            <w:shd w:val="clear" w:color="auto" w:fill="auto"/>
            <w:noWrap/>
            <w:tcMar>
              <w:left w:w="28" w:type="dxa"/>
              <w:right w:w="28" w:type="dxa"/>
            </w:tcMar>
            <w:vAlign w:val="center"/>
          </w:tcPr>
          <w:p w14:paraId="521906EE" w14:textId="21407C4B" w:rsidR="000A3BC5" w:rsidRPr="00993E00" w:rsidRDefault="000960C3" w:rsidP="00322A0A">
            <w:pPr>
              <w:keepNext/>
              <w:jc w:val="center"/>
              <w:rPr>
                <w:rFonts w:ascii="Arial Narrow" w:hAnsi="Arial Narrow" w:cstheme="minorHAnsi"/>
                <w:color w:val="000000"/>
                <w:sz w:val="20"/>
                <w:szCs w:val="20"/>
                <w:highlight w:val="yellow"/>
              </w:rPr>
            </w:pPr>
            <w:r w:rsidRPr="000960C3">
              <w:rPr>
                <w:rFonts w:ascii="Arial Narrow" w:hAnsi="Arial Narrow"/>
                <w:color w:val="000000"/>
                <w:sz w:val="20"/>
                <w:szCs w:val="20"/>
                <w:shd w:val="solid" w:color="000000" w:fill="000000"/>
                <w14:textFill>
                  <w14:solidFill>
                    <w14:srgbClr w14:val="000000">
                      <w14:alpha w14:val="100000"/>
                    </w14:srgbClr>
                  </w14:solidFill>
                </w14:textFill>
              </w:rPr>
              <w:t>|</w:t>
            </w:r>
            <w:r w:rsidR="00492906">
              <w:rPr>
                <w:rFonts w:ascii="Arial Narrow" w:hAnsi="Arial Narrow"/>
                <w:color w:val="000000"/>
                <w:sz w:val="20"/>
                <w:szCs w:val="20"/>
                <w:vertAlign w:val="superscript"/>
              </w:rPr>
              <w:t>1</w:t>
            </w:r>
          </w:p>
        </w:tc>
        <w:tc>
          <w:tcPr>
            <w:tcW w:w="1242" w:type="dxa"/>
            <w:shd w:val="clear" w:color="auto" w:fill="auto"/>
            <w:noWrap/>
            <w:tcMar>
              <w:left w:w="28" w:type="dxa"/>
              <w:right w:w="28" w:type="dxa"/>
            </w:tcMar>
            <w:vAlign w:val="center"/>
          </w:tcPr>
          <w:p w14:paraId="252BBE97" w14:textId="4BE51122" w:rsidR="000A3BC5" w:rsidRPr="00993E00" w:rsidRDefault="000960C3" w:rsidP="00322A0A">
            <w:pPr>
              <w:keepNext/>
              <w:jc w:val="center"/>
              <w:rPr>
                <w:rFonts w:ascii="Arial Narrow" w:hAnsi="Arial Narrow" w:cstheme="minorHAnsi"/>
                <w:color w:val="000000"/>
                <w:sz w:val="20"/>
                <w:szCs w:val="20"/>
                <w:highlight w:val="yellow"/>
              </w:rPr>
            </w:pPr>
            <w:r w:rsidRPr="000960C3">
              <w:rPr>
                <w:rFonts w:ascii="Arial Narrow" w:hAnsi="Arial Narrow"/>
                <w:color w:val="000000"/>
                <w:spacing w:val="41"/>
                <w:sz w:val="20"/>
                <w:szCs w:val="20"/>
                <w:shd w:val="solid" w:color="000000" w:fill="000000"/>
                <w:fitText w:val="210" w:id="-1506043633"/>
                <w14:textFill>
                  <w14:solidFill>
                    <w14:srgbClr w14:val="000000">
                      <w14:alpha w14:val="100000"/>
                    </w14:srgbClr>
                  </w14:solidFill>
                </w14:textFill>
              </w:rPr>
              <w:t>||</w:t>
            </w:r>
            <w:r w:rsidRPr="000960C3">
              <w:rPr>
                <w:rFonts w:ascii="Arial Narrow" w:hAnsi="Arial Narrow"/>
                <w:color w:val="000000"/>
                <w:spacing w:val="1"/>
                <w:sz w:val="20"/>
                <w:szCs w:val="20"/>
                <w:shd w:val="solid" w:color="000000" w:fill="000000"/>
                <w:fitText w:val="210" w:id="-1506043633"/>
                <w14:textFill>
                  <w14:solidFill>
                    <w14:srgbClr w14:val="000000">
                      <w14:alpha w14:val="100000"/>
                    </w14:srgbClr>
                  </w14:solidFill>
                </w14:textFill>
              </w:rPr>
              <w:t>|</w:t>
            </w:r>
            <w:r w:rsidR="00492906">
              <w:rPr>
                <w:rFonts w:ascii="Arial Narrow" w:hAnsi="Arial Narrow"/>
                <w:color w:val="000000"/>
                <w:sz w:val="20"/>
                <w:szCs w:val="20"/>
                <w:vertAlign w:val="superscript"/>
              </w:rPr>
              <w:t>1</w:t>
            </w:r>
            <w:r w:rsidRPr="000960C3">
              <w:rPr>
                <w:rFonts w:ascii="Arial Narrow" w:hAnsi="Arial Narrow" w:hint="eastAsia"/>
                <w:color w:val="000000"/>
                <w:w w:val="24"/>
                <w:sz w:val="20"/>
                <w:szCs w:val="20"/>
                <w:shd w:val="solid" w:color="000000" w:fill="000000"/>
                <w:fitText w:val="90" w:id="-1506043632"/>
                <w:vertAlign w:val="superscript"/>
                <w14:textFill>
                  <w14:solidFill>
                    <w14:srgbClr w14:val="000000">
                      <w14:alpha w14:val="100000"/>
                    </w14:srgbClr>
                  </w14:solidFill>
                </w14:textFill>
              </w:rPr>
              <w:t xml:space="preserve">　</w:t>
            </w:r>
            <w:r w:rsidRPr="000960C3">
              <w:rPr>
                <w:rFonts w:ascii="Arial Narrow" w:hAnsi="Arial Narrow"/>
                <w:color w:val="000000"/>
                <w:w w:val="24"/>
                <w:sz w:val="20"/>
                <w:szCs w:val="20"/>
                <w:shd w:val="solid" w:color="000000" w:fill="000000"/>
                <w:fitText w:val="90" w:id="-1506043632"/>
                <w14:textFill>
                  <w14:solidFill>
                    <w14:srgbClr w14:val="000000">
                      <w14:alpha w14:val="100000"/>
                    </w14:srgbClr>
                  </w14:solidFill>
                </w14:textFill>
              </w:rPr>
              <w:t>|</w:t>
            </w:r>
            <w:r w:rsidRPr="000960C3">
              <w:rPr>
                <w:rFonts w:ascii="Arial Narrow" w:hAnsi="Arial Narrow" w:hint="eastAsia"/>
                <w:color w:val="000000"/>
                <w:spacing w:val="4"/>
                <w:w w:val="24"/>
                <w:sz w:val="20"/>
                <w:szCs w:val="20"/>
                <w:shd w:val="solid" w:color="000000" w:fill="000000"/>
                <w:fitText w:val="90" w:id="-1506043632"/>
                <w14:textFill>
                  <w14:solidFill>
                    <w14:srgbClr w14:val="000000">
                      <w14:alpha w14:val="100000"/>
                    </w14:srgbClr>
                  </w14:solidFill>
                </w14:textFill>
              </w:rPr>
              <w:t xml:space="preserve">　</w:t>
            </w:r>
          </w:p>
        </w:tc>
        <w:tc>
          <w:tcPr>
            <w:tcW w:w="1232" w:type="dxa"/>
            <w:shd w:val="clear" w:color="auto" w:fill="auto"/>
            <w:noWrap/>
            <w:tcMar>
              <w:left w:w="28" w:type="dxa"/>
              <w:right w:w="28" w:type="dxa"/>
            </w:tcMar>
            <w:vAlign w:val="center"/>
          </w:tcPr>
          <w:p w14:paraId="1A3B7070" w14:textId="29C1D8D9" w:rsidR="000A3BC5" w:rsidRPr="00993E00" w:rsidRDefault="000960C3" w:rsidP="00322A0A">
            <w:pPr>
              <w:keepNext/>
              <w:jc w:val="center"/>
              <w:rPr>
                <w:rFonts w:ascii="Arial Narrow" w:hAnsi="Arial Narrow" w:cstheme="minorHAnsi"/>
                <w:color w:val="000000"/>
                <w:sz w:val="20"/>
                <w:szCs w:val="20"/>
                <w:highlight w:val="yellow"/>
              </w:rPr>
            </w:pPr>
            <w:r w:rsidRPr="000960C3">
              <w:rPr>
                <w:rFonts w:ascii="Arial Narrow" w:hAnsi="Arial Narrow"/>
                <w:color w:val="000000"/>
                <w:spacing w:val="41"/>
                <w:sz w:val="20"/>
                <w:szCs w:val="20"/>
                <w:shd w:val="solid" w:color="000000" w:fill="000000"/>
                <w:fitText w:val="210" w:id="-1506043648"/>
                <w14:textFill>
                  <w14:solidFill>
                    <w14:srgbClr w14:val="000000">
                      <w14:alpha w14:val="100000"/>
                    </w14:srgbClr>
                  </w14:solidFill>
                </w14:textFill>
              </w:rPr>
              <w:t>||</w:t>
            </w:r>
            <w:r w:rsidRPr="000960C3">
              <w:rPr>
                <w:rFonts w:ascii="Arial Narrow" w:hAnsi="Arial Narrow"/>
                <w:color w:val="000000"/>
                <w:spacing w:val="1"/>
                <w:sz w:val="20"/>
                <w:szCs w:val="20"/>
                <w:shd w:val="solid" w:color="000000" w:fill="000000"/>
                <w:fitText w:val="210" w:id="-1506043648"/>
                <w14:textFill>
                  <w14:solidFill>
                    <w14:srgbClr w14:val="000000">
                      <w14:alpha w14:val="100000"/>
                    </w14:srgbClr>
                  </w14:solidFill>
                </w14:textFill>
              </w:rPr>
              <w:t>|</w:t>
            </w:r>
            <w:r w:rsidR="00492906">
              <w:rPr>
                <w:rFonts w:ascii="Arial Narrow" w:hAnsi="Arial Narrow"/>
                <w:color w:val="000000"/>
                <w:sz w:val="20"/>
                <w:szCs w:val="20"/>
                <w:vertAlign w:val="superscript"/>
              </w:rPr>
              <w:t>1</w:t>
            </w:r>
            <w:r w:rsidRPr="000960C3">
              <w:rPr>
                <w:rFonts w:ascii="Arial Narrow" w:hAnsi="Arial Narrow" w:hint="eastAsia"/>
                <w:color w:val="000000"/>
                <w:w w:val="24"/>
                <w:sz w:val="20"/>
                <w:szCs w:val="20"/>
                <w:shd w:val="solid" w:color="000000" w:fill="000000"/>
                <w:fitText w:val="90" w:id="-1506043647"/>
                <w:vertAlign w:val="superscript"/>
                <w14:textFill>
                  <w14:solidFill>
                    <w14:srgbClr w14:val="000000">
                      <w14:alpha w14:val="100000"/>
                    </w14:srgbClr>
                  </w14:solidFill>
                </w14:textFill>
              </w:rPr>
              <w:t xml:space="preserve">　</w:t>
            </w:r>
            <w:r w:rsidRPr="000960C3">
              <w:rPr>
                <w:rFonts w:ascii="Arial Narrow" w:hAnsi="Arial Narrow"/>
                <w:color w:val="000000"/>
                <w:w w:val="24"/>
                <w:sz w:val="20"/>
                <w:szCs w:val="20"/>
                <w:shd w:val="solid" w:color="000000" w:fill="000000"/>
                <w:fitText w:val="90" w:id="-1506043647"/>
                <w14:textFill>
                  <w14:solidFill>
                    <w14:srgbClr w14:val="000000">
                      <w14:alpha w14:val="100000"/>
                    </w14:srgbClr>
                  </w14:solidFill>
                </w14:textFill>
              </w:rPr>
              <w:t>|</w:t>
            </w:r>
            <w:r w:rsidRPr="000960C3">
              <w:rPr>
                <w:rFonts w:ascii="Arial Narrow" w:hAnsi="Arial Narrow" w:hint="eastAsia"/>
                <w:color w:val="000000"/>
                <w:spacing w:val="4"/>
                <w:w w:val="24"/>
                <w:sz w:val="20"/>
                <w:szCs w:val="20"/>
                <w:shd w:val="solid" w:color="000000" w:fill="000000"/>
                <w:fitText w:val="90" w:id="-1506043647"/>
                <w14:textFill>
                  <w14:solidFill>
                    <w14:srgbClr w14:val="000000">
                      <w14:alpha w14:val="100000"/>
                    </w14:srgbClr>
                  </w14:solidFill>
                </w14:textFill>
              </w:rPr>
              <w:t xml:space="preserve">　</w:t>
            </w:r>
          </w:p>
        </w:tc>
        <w:tc>
          <w:tcPr>
            <w:tcW w:w="1276" w:type="dxa"/>
            <w:shd w:val="clear" w:color="auto" w:fill="auto"/>
            <w:noWrap/>
            <w:tcMar>
              <w:left w:w="28" w:type="dxa"/>
              <w:right w:w="28" w:type="dxa"/>
            </w:tcMar>
            <w:vAlign w:val="center"/>
          </w:tcPr>
          <w:p w14:paraId="75553A66" w14:textId="1B39EE5A" w:rsidR="000A3BC5" w:rsidRPr="00993E00" w:rsidRDefault="000960C3" w:rsidP="00322A0A">
            <w:pPr>
              <w:keepNext/>
              <w:jc w:val="center"/>
              <w:rPr>
                <w:rFonts w:ascii="Arial Narrow" w:hAnsi="Arial Narrow" w:cstheme="minorHAnsi"/>
                <w:color w:val="000000"/>
                <w:sz w:val="20"/>
                <w:szCs w:val="20"/>
                <w:highlight w:val="yellow"/>
              </w:rPr>
            </w:pPr>
            <w:r w:rsidRPr="000960C3">
              <w:rPr>
                <w:rFonts w:ascii="Arial Narrow" w:hAnsi="Arial Narrow"/>
                <w:color w:val="000000"/>
                <w:spacing w:val="94"/>
                <w:sz w:val="20"/>
                <w:szCs w:val="20"/>
                <w:shd w:val="solid" w:color="000000" w:fill="000000"/>
                <w:fitText w:val="180" w:id="-1506043646"/>
                <w14:textFill>
                  <w14:solidFill>
                    <w14:srgbClr w14:val="000000">
                      <w14:alpha w14:val="100000"/>
                    </w14:srgbClr>
                  </w14:solidFill>
                </w14:textFill>
              </w:rPr>
              <w:t>|</w:t>
            </w:r>
            <w:r w:rsidRPr="000960C3">
              <w:rPr>
                <w:rFonts w:ascii="Arial Narrow" w:hAnsi="Arial Narrow"/>
                <w:color w:val="000000"/>
                <w:spacing w:val="1"/>
                <w:sz w:val="20"/>
                <w:szCs w:val="20"/>
                <w:shd w:val="solid" w:color="000000" w:fill="000000"/>
                <w:fitText w:val="180" w:id="-1506043646"/>
                <w14:textFill>
                  <w14:solidFill>
                    <w14:srgbClr w14:val="000000">
                      <w14:alpha w14:val="100000"/>
                    </w14:srgbClr>
                  </w14:solidFill>
                </w14:textFill>
              </w:rPr>
              <w:t>|</w:t>
            </w:r>
            <w:r w:rsidR="00492906">
              <w:rPr>
                <w:rFonts w:ascii="Arial Narrow" w:hAnsi="Arial Narrow"/>
                <w:color w:val="000000"/>
                <w:sz w:val="20"/>
                <w:szCs w:val="20"/>
                <w:vertAlign w:val="superscript"/>
              </w:rPr>
              <w:t>1</w:t>
            </w:r>
            <w:r w:rsidRPr="000960C3">
              <w:rPr>
                <w:rFonts w:ascii="Arial Narrow" w:hAnsi="Arial Narrow" w:hint="eastAsia"/>
                <w:color w:val="000000"/>
                <w:w w:val="16"/>
                <w:sz w:val="20"/>
                <w:szCs w:val="20"/>
                <w:shd w:val="solid" w:color="000000" w:fill="000000"/>
                <w:fitText w:val="60" w:id="-1506043645"/>
                <w:vertAlign w:val="superscript"/>
                <w14:textFill>
                  <w14:solidFill>
                    <w14:srgbClr w14:val="000000">
                      <w14:alpha w14:val="100000"/>
                    </w14:srgbClr>
                  </w14:solidFill>
                </w14:textFill>
              </w:rPr>
              <w:t xml:space="preserve">　</w:t>
            </w:r>
            <w:r w:rsidRPr="000960C3">
              <w:rPr>
                <w:rFonts w:ascii="Arial Narrow" w:hAnsi="Arial Narrow"/>
                <w:color w:val="000000"/>
                <w:w w:val="16"/>
                <w:sz w:val="20"/>
                <w:szCs w:val="20"/>
                <w:shd w:val="solid" w:color="000000" w:fill="000000"/>
                <w:fitText w:val="60" w:id="-1506043645"/>
                <w14:textFill>
                  <w14:solidFill>
                    <w14:srgbClr w14:val="000000">
                      <w14:alpha w14:val="100000"/>
                    </w14:srgbClr>
                  </w14:solidFill>
                </w14:textFill>
              </w:rPr>
              <w:t>|</w:t>
            </w:r>
            <w:r w:rsidRPr="000960C3">
              <w:rPr>
                <w:rFonts w:ascii="Arial Narrow" w:hAnsi="Arial Narrow" w:hint="eastAsia"/>
                <w:color w:val="000000"/>
                <w:spacing w:val="3"/>
                <w:w w:val="16"/>
                <w:sz w:val="20"/>
                <w:szCs w:val="20"/>
                <w:shd w:val="solid" w:color="000000" w:fill="000000"/>
                <w:fitText w:val="60" w:id="-1506043645"/>
                <w14:textFill>
                  <w14:solidFill>
                    <w14:srgbClr w14:val="000000">
                      <w14:alpha w14:val="100000"/>
                    </w14:srgbClr>
                  </w14:solidFill>
                </w14:textFill>
              </w:rPr>
              <w:t xml:space="preserve">　</w:t>
            </w:r>
          </w:p>
        </w:tc>
        <w:tc>
          <w:tcPr>
            <w:tcW w:w="1232" w:type="dxa"/>
            <w:shd w:val="clear" w:color="auto" w:fill="auto"/>
            <w:noWrap/>
            <w:tcMar>
              <w:left w:w="28" w:type="dxa"/>
              <w:right w:w="28" w:type="dxa"/>
            </w:tcMar>
            <w:vAlign w:val="center"/>
          </w:tcPr>
          <w:p w14:paraId="61AE405B" w14:textId="73DD6F14" w:rsidR="000A3BC5" w:rsidRPr="00993E00" w:rsidRDefault="000960C3" w:rsidP="00322A0A">
            <w:pPr>
              <w:keepNext/>
              <w:jc w:val="center"/>
              <w:rPr>
                <w:rFonts w:ascii="Arial Narrow" w:hAnsi="Arial Narrow" w:cstheme="minorHAnsi"/>
                <w:color w:val="000000"/>
                <w:sz w:val="20"/>
                <w:szCs w:val="20"/>
                <w:highlight w:val="yellow"/>
              </w:rPr>
            </w:pPr>
            <w:r w:rsidRPr="000960C3">
              <w:rPr>
                <w:rFonts w:ascii="Arial Narrow" w:hAnsi="Arial Narrow"/>
                <w:color w:val="000000"/>
                <w:spacing w:val="41"/>
                <w:sz w:val="20"/>
                <w:szCs w:val="20"/>
                <w:shd w:val="solid" w:color="000000" w:fill="000000"/>
                <w:fitText w:val="210" w:id="-1506043644"/>
                <w14:textFill>
                  <w14:solidFill>
                    <w14:srgbClr w14:val="000000">
                      <w14:alpha w14:val="100000"/>
                    </w14:srgbClr>
                  </w14:solidFill>
                </w14:textFill>
              </w:rPr>
              <w:t>||</w:t>
            </w:r>
            <w:r w:rsidRPr="000960C3">
              <w:rPr>
                <w:rFonts w:ascii="Arial Narrow" w:hAnsi="Arial Narrow"/>
                <w:color w:val="000000"/>
                <w:spacing w:val="1"/>
                <w:sz w:val="20"/>
                <w:szCs w:val="20"/>
                <w:shd w:val="solid" w:color="000000" w:fill="000000"/>
                <w:fitText w:val="210" w:id="-1506043644"/>
                <w14:textFill>
                  <w14:solidFill>
                    <w14:srgbClr w14:val="000000">
                      <w14:alpha w14:val="100000"/>
                    </w14:srgbClr>
                  </w14:solidFill>
                </w14:textFill>
              </w:rPr>
              <w:t>|</w:t>
            </w:r>
            <w:r w:rsidR="00492906">
              <w:rPr>
                <w:rFonts w:ascii="Arial Narrow" w:hAnsi="Arial Narrow"/>
                <w:color w:val="000000"/>
                <w:sz w:val="20"/>
                <w:szCs w:val="20"/>
                <w:vertAlign w:val="superscript"/>
              </w:rPr>
              <w:t>1</w:t>
            </w:r>
            <w:r w:rsidRPr="000960C3">
              <w:rPr>
                <w:rFonts w:ascii="Arial Narrow" w:hAnsi="Arial Narrow" w:hint="eastAsia"/>
                <w:color w:val="000000"/>
                <w:w w:val="24"/>
                <w:sz w:val="20"/>
                <w:szCs w:val="20"/>
                <w:shd w:val="solid" w:color="000000" w:fill="000000"/>
                <w:fitText w:val="90" w:id="-1506043643"/>
                <w:vertAlign w:val="superscript"/>
                <w14:textFill>
                  <w14:solidFill>
                    <w14:srgbClr w14:val="000000">
                      <w14:alpha w14:val="100000"/>
                    </w14:srgbClr>
                  </w14:solidFill>
                </w14:textFill>
              </w:rPr>
              <w:t xml:space="preserve">　</w:t>
            </w:r>
            <w:r w:rsidRPr="000960C3">
              <w:rPr>
                <w:rFonts w:ascii="Arial Narrow" w:hAnsi="Arial Narrow"/>
                <w:color w:val="000000"/>
                <w:w w:val="24"/>
                <w:sz w:val="20"/>
                <w:szCs w:val="20"/>
                <w:shd w:val="solid" w:color="000000" w:fill="000000"/>
                <w:fitText w:val="90" w:id="-1506043643"/>
                <w14:textFill>
                  <w14:solidFill>
                    <w14:srgbClr w14:val="000000">
                      <w14:alpha w14:val="100000"/>
                    </w14:srgbClr>
                  </w14:solidFill>
                </w14:textFill>
              </w:rPr>
              <w:t>|</w:t>
            </w:r>
            <w:r w:rsidRPr="000960C3">
              <w:rPr>
                <w:rFonts w:ascii="Arial Narrow" w:hAnsi="Arial Narrow" w:hint="eastAsia"/>
                <w:color w:val="000000"/>
                <w:spacing w:val="4"/>
                <w:w w:val="24"/>
                <w:sz w:val="20"/>
                <w:szCs w:val="20"/>
                <w:shd w:val="solid" w:color="000000" w:fill="000000"/>
                <w:fitText w:val="90" w:id="-1506043643"/>
                <w14:textFill>
                  <w14:solidFill>
                    <w14:srgbClr w14:val="000000">
                      <w14:alpha w14:val="100000"/>
                    </w14:srgbClr>
                  </w14:solidFill>
                </w14:textFill>
              </w:rPr>
              <w:t xml:space="preserve">　</w:t>
            </w:r>
          </w:p>
        </w:tc>
      </w:tr>
      <w:tr w:rsidR="000F6C3B" w:rsidRPr="00F04A75" w14:paraId="453BD821" w14:textId="77777777" w:rsidTr="00A37D89">
        <w:trPr>
          <w:trHeight w:val="70"/>
        </w:trPr>
        <w:tc>
          <w:tcPr>
            <w:tcW w:w="1557" w:type="dxa"/>
            <w:shd w:val="clear" w:color="auto" w:fill="auto"/>
            <w:noWrap/>
            <w:tcMar>
              <w:left w:w="28" w:type="dxa"/>
              <w:right w:w="28" w:type="dxa"/>
            </w:tcMar>
            <w:hideMark/>
          </w:tcPr>
          <w:p w14:paraId="63DB57FD" w14:textId="248E0ED0" w:rsidR="000F6C3B" w:rsidRPr="00F04A75" w:rsidRDefault="000F6C3B" w:rsidP="00322A0A">
            <w:pPr>
              <w:rPr>
                <w:rFonts w:ascii="Arial Narrow" w:hAnsi="Arial Narrow" w:cstheme="minorHAnsi"/>
                <w:bCs/>
                <w:sz w:val="20"/>
                <w:szCs w:val="20"/>
                <w:lang w:bidi="hi-IN"/>
              </w:rPr>
            </w:pPr>
            <w:r w:rsidRPr="00F04A75">
              <w:rPr>
                <w:rFonts w:ascii="Arial Narrow" w:hAnsi="Arial Narrow" w:cstheme="minorHAnsi"/>
                <w:bCs/>
                <w:sz w:val="20"/>
                <w:szCs w:val="20"/>
                <w:lang w:bidi="hi-IN"/>
              </w:rPr>
              <w:t>PBS/RPBS</w:t>
            </w:r>
            <w:r w:rsidR="00942FE1">
              <w:rPr>
                <w:rFonts w:ascii="Arial Narrow" w:hAnsi="Arial Narrow" w:cstheme="minorHAnsi"/>
                <w:bCs/>
                <w:sz w:val="20"/>
                <w:szCs w:val="20"/>
                <w:lang w:bidi="hi-IN"/>
              </w:rPr>
              <w:t xml:space="preserve"> cost</w:t>
            </w:r>
            <w:r w:rsidR="00BB29AF">
              <w:rPr>
                <w:rFonts w:ascii="Arial Narrow" w:hAnsi="Arial Narrow" w:cstheme="minorHAnsi"/>
                <w:bCs/>
                <w:sz w:val="20"/>
                <w:szCs w:val="20"/>
                <w:lang w:bidi="hi-IN"/>
              </w:rPr>
              <w:t xml:space="preserve"> ($)</w:t>
            </w:r>
          </w:p>
        </w:tc>
        <w:tc>
          <w:tcPr>
            <w:tcW w:w="1242" w:type="dxa"/>
            <w:shd w:val="clear" w:color="auto" w:fill="auto"/>
            <w:noWrap/>
            <w:tcMar>
              <w:left w:w="28" w:type="dxa"/>
              <w:right w:w="28" w:type="dxa"/>
            </w:tcMar>
            <w:vAlign w:val="center"/>
          </w:tcPr>
          <w:p w14:paraId="70CB75AD" w14:textId="620B247A" w:rsidR="000F6C3B" w:rsidRPr="00492906" w:rsidRDefault="000F6C3B" w:rsidP="00322A0A">
            <w:pPr>
              <w:keepNext/>
              <w:jc w:val="center"/>
              <w:rPr>
                <w:rFonts w:ascii="Arial Narrow" w:hAnsi="Arial Narrow" w:cstheme="minorHAnsi"/>
                <w:bCs/>
                <w:color w:val="000000"/>
                <w:sz w:val="20"/>
                <w:szCs w:val="20"/>
                <w:vertAlign w:val="superscript"/>
              </w:rPr>
            </w:pPr>
            <w:r w:rsidRPr="00F04A75">
              <w:rPr>
                <w:rFonts w:ascii="Arial Narrow" w:hAnsi="Arial Narrow" w:cstheme="minorHAnsi"/>
                <w:bCs/>
                <w:color w:val="000000"/>
                <w:sz w:val="20"/>
                <w:szCs w:val="20"/>
              </w:rPr>
              <w:t>$</w:t>
            </w:r>
            <w:r w:rsidR="000960C3" w:rsidRPr="000960C3">
              <w:rPr>
                <w:rFonts w:ascii="Arial Narrow" w:hAnsi="Arial Narrow" w:cstheme="minorHAnsi" w:hint="eastAsia"/>
                <w:bCs/>
                <w:color w:val="000000"/>
                <w:w w:val="15"/>
                <w:sz w:val="20"/>
                <w:szCs w:val="20"/>
                <w:shd w:val="solid" w:color="000000" w:fill="000000"/>
                <w:fitText w:val="30" w:id="-1506043642"/>
                <w14:textFill>
                  <w14:solidFill>
                    <w14:srgbClr w14:val="000000">
                      <w14:alpha w14:val="100000"/>
                    </w14:srgbClr>
                  </w14:solidFill>
                </w14:textFill>
              </w:rPr>
              <w:t xml:space="preserve">　</w:t>
            </w:r>
            <w:r w:rsidR="000960C3" w:rsidRPr="000960C3">
              <w:rPr>
                <w:rFonts w:ascii="Arial Narrow" w:hAnsi="Arial Narrow" w:cstheme="minorHAnsi"/>
                <w:bCs/>
                <w:color w:val="000000"/>
                <w:w w:val="15"/>
                <w:sz w:val="20"/>
                <w:szCs w:val="20"/>
                <w:shd w:val="solid" w:color="000000" w:fill="000000"/>
                <w:fitText w:val="30" w:id="-1506043642"/>
                <w14:textFill>
                  <w14:solidFill>
                    <w14:srgbClr w14:val="000000">
                      <w14:alpha w14:val="100000"/>
                    </w14:srgbClr>
                  </w14:solidFill>
                </w14:textFill>
              </w:rPr>
              <w:t>|</w:t>
            </w:r>
            <w:r w:rsidR="000960C3" w:rsidRPr="000960C3">
              <w:rPr>
                <w:rFonts w:ascii="Arial Narrow" w:hAnsi="Arial Narrow" w:cstheme="minorHAnsi" w:hint="eastAsia"/>
                <w:bCs/>
                <w:color w:val="000000"/>
                <w:spacing w:val="-35"/>
                <w:w w:val="15"/>
                <w:sz w:val="20"/>
                <w:szCs w:val="20"/>
                <w:shd w:val="solid" w:color="000000" w:fill="000000"/>
                <w:fitText w:val="30" w:id="-1506043642"/>
                <w14:textFill>
                  <w14:solidFill>
                    <w14:srgbClr w14:val="000000">
                      <w14:alpha w14:val="100000"/>
                    </w14:srgbClr>
                  </w14:solidFill>
                </w14:textFill>
              </w:rPr>
              <w:t xml:space="preserve">　</w:t>
            </w:r>
            <w:r w:rsidR="001E1345">
              <w:rPr>
                <w:rFonts w:ascii="Arial Narrow" w:hAnsi="Arial Narrow" w:cstheme="minorHAnsi"/>
                <w:b/>
                <w:bCs/>
                <w:color w:val="000000"/>
                <w:sz w:val="20"/>
                <w:szCs w:val="20"/>
                <w:vertAlign w:val="superscript"/>
              </w:rPr>
              <w:t>4</w:t>
            </w:r>
          </w:p>
        </w:tc>
        <w:tc>
          <w:tcPr>
            <w:tcW w:w="1243" w:type="dxa"/>
            <w:shd w:val="clear" w:color="auto" w:fill="auto"/>
            <w:noWrap/>
            <w:tcMar>
              <w:left w:w="28" w:type="dxa"/>
              <w:right w:w="28" w:type="dxa"/>
            </w:tcMar>
            <w:vAlign w:val="center"/>
          </w:tcPr>
          <w:p w14:paraId="486E55D9" w14:textId="2629AA16" w:rsidR="000F6C3B" w:rsidRPr="00BB29AF" w:rsidRDefault="000F6C3B" w:rsidP="00322A0A">
            <w:pPr>
              <w:keepNext/>
              <w:jc w:val="center"/>
              <w:rPr>
                <w:rFonts w:ascii="Arial Narrow" w:hAnsi="Arial Narrow" w:cstheme="minorHAnsi"/>
                <w:bCs/>
                <w:color w:val="000000"/>
                <w:sz w:val="20"/>
                <w:szCs w:val="20"/>
                <w:vertAlign w:val="superscript"/>
              </w:rPr>
            </w:pPr>
            <w:r w:rsidRPr="00F04A75">
              <w:rPr>
                <w:rFonts w:ascii="Arial Narrow" w:hAnsi="Arial Narrow" w:cstheme="minorHAnsi"/>
                <w:bCs/>
                <w:color w:val="000000"/>
                <w:sz w:val="20"/>
                <w:szCs w:val="20"/>
              </w:rPr>
              <w:t>$</w:t>
            </w:r>
            <w:r w:rsidR="000960C3" w:rsidRPr="000960C3">
              <w:rPr>
                <w:rFonts w:ascii="Arial Narrow" w:hAnsi="Arial Narrow" w:cstheme="minorHAnsi" w:hint="eastAsia"/>
                <w:bCs/>
                <w:color w:val="000000"/>
                <w:w w:val="15"/>
                <w:sz w:val="20"/>
                <w:szCs w:val="20"/>
                <w:shd w:val="solid" w:color="000000" w:fill="000000"/>
                <w:fitText w:val="30" w:id="-1506043641"/>
                <w14:textFill>
                  <w14:solidFill>
                    <w14:srgbClr w14:val="000000">
                      <w14:alpha w14:val="100000"/>
                    </w14:srgbClr>
                  </w14:solidFill>
                </w14:textFill>
              </w:rPr>
              <w:t xml:space="preserve">　</w:t>
            </w:r>
            <w:r w:rsidR="000960C3" w:rsidRPr="000960C3">
              <w:rPr>
                <w:rFonts w:ascii="Arial Narrow" w:hAnsi="Arial Narrow" w:cstheme="minorHAnsi"/>
                <w:bCs/>
                <w:color w:val="000000"/>
                <w:w w:val="15"/>
                <w:sz w:val="20"/>
                <w:szCs w:val="20"/>
                <w:shd w:val="solid" w:color="000000" w:fill="000000"/>
                <w:fitText w:val="30" w:id="-1506043641"/>
                <w14:textFill>
                  <w14:solidFill>
                    <w14:srgbClr w14:val="000000">
                      <w14:alpha w14:val="100000"/>
                    </w14:srgbClr>
                  </w14:solidFill>
                </w14:textFill>
              </w:rPr>
              <w:t>|</w:t>
            </w:r>
            <w:r w:rsidR="000960C3" w:rsidRPr="000960C3">
              <w:rPr>
                <w:rFonts w:ascii="Arial Narrow" w:hAnsi="Arial Narrow" w:cstheme="minorHAnsi" w:hint="eastAsia"/>
                <w:bCs/>
                <w:color w:val="000000"/>
                <w:spacing w:val="-35"/>
                <w:w w:val="15"/>
                <w:sz w:val="20"/>
                <w:szCs w:val="20"/>
                <w:shd w:val="solid" w:color="000000" w:fill="000000"/>
                <w:fitText w:val="30" w:id="-1506043641"/>
                <w14:textFill>
                  <w14:solidFill>
                    <w14:srgbClr w14:val="000000">
                      <w14:alpha w14:val="100000"/>
                    </w14:srgbClr>
                  </w14:solidFill>
                </w14:textFill>
              </w:rPr>
              <w:t xml:space="preserve">　</w:t>
            </w:r>
            <w:r w:rsidR="001E1345">
              <w:rPr>
                <w:rFonts w:ascii="Arial Narrow" w:hAnsi="Arial Narrow" w:cstheme="minorHAnsi"/>
                <w:color w:val="000000"/>
                <w:sz w:val="20"/>
                <w:szCs w:val="20"/>
                <w:vertAlign w:val="superscript"/>
              </w:rPr>
              <w:t>6</w:t>
            </w:r>
          </w:p>
        </w:tc>
        <w:tc>
          <w:tcPr>
            <w:tcW w:w="1242" w:type="dxa"/>
            <w:shd w:val="clear" w:color="auto" w:fill="auto"/>
            <w:noWrap/>
            <w:tcMar>
              <w:left w:w="28" w:type="dxa"/>
              <w:right w:w="28" w:type="dxa"/>
            </w:tcMar>
            <w:vAlign w:val="center"/>
          </w:tcPr>
          <w:p w14:paraId="4BE0442B" w14:textId="3842F3A6" w:rsidR="000F6C3B" w:rsidRPr="00F04A75" w:rsidRDefault="000F6C3B" w:rsidP="00322A0A">
            <w:pPr>
              <w:keepNext/>
              <w:jc w:val="center"/>
              <w:rPr>
                <w:rFonts w:ascii="Arial Narrow" w:hAnsi="Arial Narrow" w:cstheme="minorHAnsi"/>
                <w:bCs/>
                <w:color w:val="000000"/>
                <w:sz w:val="20"/>
                <w:szCs w:val="20"/>
              </w:rPr>
            </w:pPr>
            <w:r w:rsidRPr="00F04A75">
              <w:rPr>
                <w:rFonts w:ascii="Arial Narrow" w:hAnsi="Arial Narrow" w:cstheme="minorHAnsi"/>
                <w:bCs/>
                <w:color w:val="000000"/>
                <w:sz w:val="20"/>
                <w:szCs w:val="20"/>
              </w:rPr>
              <w:t>$</w:t>
            </w:r>
            <w:r w:rsidR="000960C3" w:rsidRPr="000960C3">
              <w:rPr>
                <w:rFonts w:ascii="Arial Narrow" w:hAnsi="Arial Narrow" w:cstheme="minorHAnsi" w:hint="eastAsia"/>
                <w:bCs/>
                <w:color w:val="000000"/>
                <w:w w:val="15"/>
                <w:sz w:val="20"/>
                <w:szCs w:val="20"/>
                <w:shd w:val="solid" w:color="000000" w:fill="000000"/>
                <w:fitText w:val="30" w:id="-1506043640"/>
                <w14:textFill>
                  <w14:solidFill>
                    <w14:srgbClr w14:val="000000">
                      <w14:alpha w14:val="100000"/>
                    </w14:srgbClr>
                  </w14:solidFill>
                </w14:textFill>
              </w:rPr>
              <w:t xml:space="preserve">　</w:t>
            </w:r>
            <w:r w:rsidR="000960C3" w:rsidRPr="000960C3">
              <w:rPr>
                <w:rFonts w:ascii="Arial Narrow" w:hAnsi="Arial Narrow" w:cstheme="minorHAnsi"/>
                <w:bCs/>
                <w:color w:val="000000"/>
                <w:w w:val="15"/>
                <w:sz w:val="20"/>
                <w:szCs w:val="20"/>
                <w:shd w:val="solid" w:color="000000" w:fill="000000"/>
                <w:fitText w:val="30" w:id="-1506043640"/>
                <w14:textFill>
                  <w14:solidFill>
                    <w14:srgbClr w14:val="000000">
                      <w14:alpha w14:val="100000"/>
                    </w14:srgbClr>
                  </w14:solidFill>
                </w14:textFill>
              </w:rPr>
              <w:t>|</w:t>
            </w:r>
            <w:r w:rsidR="000960C3" w:rsidRPr="000960C3">
              <w:rPr>
                <w:rFonts w:ascii="Arial Narrow" w:hAnsi="Arial Narrow" w:cstheme="minorHAnsi" w:hint="eastAsia"/>
                <w:bCs/>
                <w:color w:val="000000"/>
                <w:spacing w:val="-35"/>
                <w:w w:val="15"/>
                <w:sz w:val="20"/>
                <w:szCs w:val="20"/>
                <w:shd w:val="solid" w:color="000000" w:fill="000000"/>
                <w:fitText w:val="30" w:id="-1506043640"/>
                <w14:textFill>
                  <w14:solidFill>
                    <w14:srgbClr w14:val="000000">
                      <w14:alpha w14:val="100000"/>
                    </w14:srgbClr>
                  </w14:solidFill>
                </w14:textFill>
              </w:rPr>
              <w:t xml:space="preserve">　</w:t>
            </w:r>
            <w:r w:rsidR="001E1345">
              <w:rPr>
                <w:rFonts w:ascii="Arial Narrow" w:hAnsi="Arial Narrow"/>
                <w:i/>
                <w:iCs/>
                <w:color w:val="333333"/>
                <w:sz w:val="18"/>
                <w:szCs w:val="18"/>
                <w:vertAlign w:val="superscript"/>
              </w:rPr>
              <w:t>7</w:t>
            </w:r>
          </w:p>
        </w:tc>
        <w:tc>
          <w:tcPr>
            <w:tcW w:w="1232" w:type="dxa"/>
            <w:shd w:val="clear" w:color="auto" w:fill="auto"/>
            <w:noWrap/>
            <w:tcMar>
              <w:left w:w="28" w:type="dxa"/>
              <w:right w:w="28" w:type="dxa"/>
            </w:tcMar>
            <w:vAlign w:val="center"/>
          </w:tcPr>
          <w:p w14:paraId="75A3F365" w14:textId="74F2401F" w:rsidR="000F6C3B" w:rsidRPr="00F04A75" w:rsidRDefault="000F6C3B" w:rsidP="00322A0A">
            <w:pPr>
              <w:keepNext/>
              <w:jc w:val="center"/>
              <w:rPr>
                <w:rFonts w:ascii="Arial Narrow" w:hAnsi="Arial Narrow" w:cstheme="minorHAnsi"/>
                <w:bCs/>
                <w:color w:val="000000"/>
                <w:sz w:val="20"/>
                <w:szCs w:val="20"/>
              </w:rPr>
            </w:pPr>
            <w:r w:rsidRPr="00F04A75">
              <w:rPr>
                <w:rFonts w:ascii="Arial Narrow" w:hAnsi="Arial Narrow" w:cstheme="minorHAnsi"/>
                <w:bCs/>
                <w:color w:val="000000"/>
                <w:sz w:val="20"/>
                <w:szCs w:val="20"/>
              </w:rPr>
              <w:t>$</w:t>
            </w:r>
            <w:r w:rsidR="000960C3" w:rsidRPr="000960C3">
              <w:rPr>
                <w:rFonts w:ascii="Arial Narrow" w:hAnsi="Arial Narrow" w:cstheme="minorHAnsi" w:hint="eastAsia"/>
                <w:bCs/>
                <w:color w:val="000000"/>
                <w:w w:val="15"/>
                <w:sz w:val="20"/>
                <w:szCs w:val="20"/>
                <w:shd w:val="solid" w:color="000000" w:fill="000000"/>
                <w:fitText w:val="30" w:id="-1506043639"/>
                <w14:textFill>
                  <w14:solidFill>
                    <w14:srgbClr w14:val="000000">
                      <w14:alpha w14:val="100000"/>
                    </w14:srgbClr>
                  </w14:solidFill>
                </w14:textFill>
              </w:rPr>
              <w:t xml:space="preserve">　</w:t>
            </w:r>
            <w:r w:rsidR="000960C3" w:rsidRPr="000960C3">
              <w:rPr>
                <w:rFonts w:ascii="Arial Narrow" w:hAnsi="Arial Narrow" w:cstheme="minorHAnsi"/>
                <w:bCs/>
                <w:color w:val="000000"/>
                <w:w w:val="15"/>
                <w:sz w:val="20"/>
                <w:szCs w:val="20"/>
                <w:shd w:val="solid" w:color="000000" w:fill="000000"/>
                <w:fitText w:val="30" w:id="-1506043639"/>
                <w14:textFill>
                  <w14:solidFill>
                    <w14:srgbClr w14:val="000000">
                      <w14:alpha w14:val="100000"/>
                    </w14:srgbClr>
                  </w14:solidFill>
                </w14:textFill>
              </w:rPr>
              <w:t>|</w:t>
            </w:r>
            <w:r w:rsidR="000960C3" w:rsidRPr="000960C3">
              <w:rPr>
                <w:rFonts w:ascii="Arial Narrow" w:hAnsi="Arial Narrow" w:cstheme="minorHAnsi" w:hint="eastAsia"/>
                <w:bCs/>
                <w:color w:val="000000"/>
                <w:spacing w:val="-35"/>
                <w:w w:val="15"/>
                <w:sz w:val="20"/>
                <w:szCs w:val="20"/>
                <w:shd w:val="solid" w:color="000000" w:fill="000000"/>
                <w:fitText w:val="30" w:id="-1506043639"/>
                <w14:textFill>
                  <w14:solidFill>
                    <w14:srgbClr w14:val="000000">
                      <w14:alpha w14:val="100000"/>
                    </w14:srgbClr>
                  </w14:solidFill>
                </w14:textFill>
              </w:rPr>
              <w:t xml:space="preserve">　</w:t>
            </w:r>
            <w:r w:rsidR="001E1345">
              <w:rPr>
                <w:rFonts w:ascii="Arial Narrow" w:hAnsi="Arial Narrow" w:cstheme="minorHAnsi"/>
                <w:color w:val="000000"/>
                <w:sz w:val="20"/>
                <w:szCs w:val="20"/>
                <w:vertAlign w:val="superscript"/>
              </w:rPr>
              <w:t>6</w:t>
            </w:r>
          </w:p>
        </w:tc>
        <w:tc>
          <w:tcPr>
            <w:tcW w:w="1276" w:type="dxa"/>
            <w:shd w:val="clear" w:color="auto" w:fill="auto"/>
            <w:noWrap/>
            <w:tcMar>
              <w:left w:w="28" w:type="dxa"/>
              <w:right w:w="28" w:type="dxa"/>
            </w:tcMar>
            <w:vAlign w:val="center"/>
          </w:tcPr>
          <w:p w14:paraId="2DBD585D" w14:textId="64C98464" w:rsidR="000F6C3B" w:rsidRPr="00F04A75" w:rsidRDefault="000F6C3B" w:rsidP="00322A0A">
            <w:pPr>
              <w:keepNext/>
              <w:jc w:val="center"/>
              <w:rPr>
                <w:rFonts w:ascii="Arial Narrow" w:hAnsi="Arial Narrow" w:cstheme="minorHAnsi"/>
                <w:bCs/>
                <w:color w:val="000000"/>
                <w:sz w:val="20"/>
                <w:szCs w:val="20"/>
              </w:rPr>
            </w:pPr>
            <w:r w:rsidRPr="00F04A75">
              <w:rPr>
                <w:rFonts w:ascii="Arial Narrow" w:hAnsi="Arial Narrow" w:cstheme="minorHAnsi"/>
                <w:bCs/>
                <w:color w:val="000000"/>
                <w:sz w:val="20"/>
                <w:szCs w:val="20"/>
              </w:rPr>
              <w:t>$</w:t>
            </w:r>
            <w:r w:rsidR="000960C3" w:rsidRPr="00443BC9">
              <w:rPr>
                <w:rFonts w:ascii="Arial Narrow" w:hAnsi="Arial Narrow" w:cstheme="minorHAnsi" w:hint="eastAsia"/>
                <w:bCs/>
                <w:color w:val="000000"/>
                <w:w w:val="15"/>
                <w:sz w:val="20"/>
                <w:szCs w:val="20"/>
                <w:shd w:val="solid" w:color="000000" w:fill="000000"/>
                <w:fitText w:val="15" w:id="-1506043638"/>
                <w14:textFill>
                  <w14:solidFill>
                    <w14:srgbClr w14:val="000000">
                      <w14:alpha w14:val="100000"/>
                    </w14:srgbClr>
                  </w14:solidFill>
                </w14:textFill>
              </w:rPr>
              <w:t xml:space="preserve">　</w:t>
            </w:r>
            <w:r w:rsidR="000960C3" w:rsidRPr="00443BC9">
              <w:rPr>
                <w:rFonts w:ascii="Arial Narrow" w:hAnsi="Arial Narrow" w:cstheme="minorHAnsi"/>
                <w:bCs/>
                <w:color w:val="000000"/>
                <w:w w:val="15"/>
                <w:sz w:val="20"/>
                <w:szCs w:val="20"/>
                <w:shd w:val="solid" w:color="000000" w:fill="000000"/>
                <w:fitText w:val="15" w:id="-1506043638"/>
                <w14:textFill>
                  <w14:solidFill>
                    <w14:srgbClr w14:val="000000">
                      <w14:alpha w14:val="100000"/>
                    </w14:srgbClr>
                  </w14:solidFill>
                </w14:textFill>
              </w:rPr>
              <w:t>|</w:t>
            </w:r>
            <w:r w:rsidR="000960C3" w:rsidRPr="00443BC9">
              <w:rPr>
                <w:rFonts w:ascii="Arial Narrow" w:hAnsi="Arial Narrow" w:cstheme="minorHAnsi" w:hint="eastAsia"/>
                <w:bCs/>
                <w:color w:val="000000"/>
                <w:spacing w:val="-50"/>
                <w:w w:val="15"/>
                <w:sz w:val="20"/>
                <w:szCs w:val="20"/>
                <w:shd w:val="solid" w:color="000000" w:fill="000000"/>
                <w:fitText w:val="15" w:id="-1506043638"/>
                <w14:textFill>
                  <w14:solidFill>
                    <w14:srgbClr w14:val="000000">
                      <w14:alpha w14:val="100000"/>
                    </w14:srgbClr>
                  </w14:solidFill>
                </w14:textFill>
              </w:rPr>
              <w:t xml:space="preserve">　</w:t>
            </w:r>
            <w:r w:rsidR="001E1345">
              <w:rPr>
                <w:rFonts w:ascii="Arial Narrow" w:hAnsi="Arial Narrow" w:cstheme="minorHAnsi"/>
                <w:color w:val="000000"/>
                <w:sz w:val="20"/>
                <w:szCs w:val="20"/>
                <w:vertAlign w:val="superscript"/>
              </w:rPr>
              <w:t>6</w:t>
            </w:r>
          </w:p>
        </w:tc>
        <w:tc>
          <w:tcPr>
            <w:tcW w:w="1232" w:type="dxa"/>
            <w:shd w:val="clear" w:color="auto" w:fill="auto"/>
            <w:noWrap/>
            <w:tcMar>
              <w:left w:w="28" w:type="dxa"/>
              <w:right w:w="28" w:type="dxa"/>
            </w:tcMar>
            <w:vAlign w:val="center"/>
          </w:tcPr>
          <w:p w14:paraId="53F3A633" w14:textId="79748266" w:rsidR="000F6C3B" w:rsidRPr="00F04A75" w:rsidRDefault="000F6C3B" w:rsidP="00322A0A">
            <w:pPr>
              <w:keepNext/>
              <w:jc w:val="center"/>
              <w:rPr>
                <w:rFonts w:ascii="Arial Narrow" w:hAnsi="Arial Narrow" w:cstheme="minorHAnsi"/>
                <w:bCs/>
                <w:color w:val="000000"/>
                <w:sz w:val="20"/>
                <w:szCs w:val="20"/>
              </w:rPr>
            </w:pPr>
            <w:r w:rsidRPr="00F04A75">
              <w:rPr>
                <w:rFonts w:ascii="Arial Narrow" w:hAnsi="Arial Narrow" w:cstheme="minorHAnsi"/>
                <w:bCs/>
                <w:color w:val="000000"/>
                <w:sz w:val="20"/>
                <w:szCs w:val="20"/>
              </w:rPr>
              <w:t>$</w:t>
            </w:r>
            <w:r w:rsidR="000960C3" w:rsidRPr="000960C3">
              <w:rPr>
                <w:rFonts w:ascii="Arial Narrow" w:hAnsi="Arial Narrow" w:cstheme="minorHAnsi" w:hint="eastAsia"/>
                <w:bCs/>
                <w:color w:val="000000"/>
                <w:w w:val="15"/>
                <w:sz w:val="20"/>
                <w:szCs w:val="20"/>
                <w:shd w:val="solid" w:color="000000" w:fill="000000"/>
                <w:fitText w:val="30" w:id="-1506043637"/>
                <w14:textFill>
                  <w14:solidFill>
                    <w14:srgbClr w14:val="000000">
                      <w14:alpha w14:val="100000"/>
                    </w14:srgbClr>
                  </w14:solidFill>
                </w14:textFill>
              </w:rPr>
              <w:t xml:space="preserve">　</w:t>
            </w:r>
            <w:r w:rsidR="000960C3" w:rsidRPr="000960C3">
              <w:rPr>
                <w:rFonts w:ascii="Arial Narrow" w:hAnsi="Arial Narrow" w:cstheme="minorHAnsi"/>
                <w:bCs/>
                <w:color w:val="000000"/>
                <w:w w:val="15"/>
                <w:sz w:val="20"/>
                <w:szCs w:val="20"/>
                <w:shd w:val="solid" w:color="000000" w:fill="000000"/>
                <w:fitText w:val="30" w:id="-1506043637"/>
                <w14:textFill>
                  <w14:solidFill>
                    <w14:srgbClr w14:val="000000">
                      <w14:alpha w14:val="100000"/>
                    </w14:srgbClr>
                  </w14:solidFill>
                </w14:textFill>
              </w:rPr>
              <w:t>|</w:t>
            </w:r>
            <w:r w:rsidR="000960C3" w:rsidRPr="000960C3">
              <w:rPr>
                <w:rFonts w:ascii="Arial Narrow" w:hAnsi="Arial Narrow" w:cstheme="minorHAnsi" w:hint="eastAsia"/>
                <w:bCs/>
                <w:color w:val="000000"/>
                <w:spacing w:val="-35"/>
                <w:w w:val="15"/>
                <w:sz w:val="20"/>
                <w:szCs w:val="20"/>
                <w:shd w:val="solid" w:color="000000" w:fill="000000"/>
                <w:fitText w:val="30" w:id="-1506043637"/>
                <w14:textFill>
                  <w14:solidFill>
                    <w14:srgbClr w14:val="000000">
                      <w14:alpha w14:val="100000"/>
                    </w14:srgbClr>
                  </w14:solidFill>
                </w14:textFill>
              </w:rPr>
              <w:t xml:space="preserve">　</w:t>
            </w:r>
            <w:r w:rsidR="001E1345">
              <w:rPr>
                <w:rFonts w:ascii="Arial Narrow" w:hAnsi="Arial Narrow"/>
                <w:i/>
                <w:iCs/>
                <w:color w:val="333333"/>
                <w:sz w:val="18"/>
                <w:szCs w:val="18"/>
                <w:vertAlign w:val="superscript"/>
              </w:rPr>
              <w:t>7</w:t>
            </w:r>
          </w:p>
        </w:tc>
      </w:tr>
      <w:tr w:rsidR="000F6C3B" w:rsidRPr="00F04A75" w14:paraId="4CBC89CD" w14:textId="77777777" w:rsidTr="00A37D89">
        <w:trPr>
          <w:trHeight w:val="70"/>
        </w:trPr>
        <w:tc>
          <w:tcPr>
            <w:tcW w:w="1557" w:type="dxa"/>
            <w:shd w:val="clear" w:color="auto" w:fill="auto"/>
            <w:noWrap/>
            <w:tcMar>
              <w:left w:w="28" w:type="dxa"/>
              <w:right w:w="28" w:type="dxa"/>
            </w:tcMar>
          </w:tcPr>
          <w:p w14:paraId="23DF4F85" w14:textId="7B137CCA" w:rsidR="000F6C3B" w:rsidRPr="00F04A75" w:rsidRDefault="000F6C3B" w:rsidP="00322A0A">
            <w:pPr>
              <w:rPr>
                <w:rFonts w:ascii="Arial Narrow" w:hAnsi="Arial Narrow" w:cstheme="minorHAnsi"/>
                <w:sz w:val="20"/>
                <w:szCs w:val="20"/>
                <w:lang w:bidi="hi-IN"/>
              </w:rPr>
            </w:pPr>
            <w:r w:rsidRPr="00F04A75">
              <w:rPr>
                <w:rFonts w:ascii="Arial Narrow" w:hAnsi="Arial Narrow" w:cstheme="minorHAnsi"/>
                <w:sz w:val="20"/>
                <w:szCs w:val="20"/>
                <w:lang w:bidi="hi-IN"/>
              </w:rPr>
              <w:t>MBS</w:t>
            </w:r>
            <w:r w:rsidR="00942FE1">
              <w:rPr>
                <w:rFonts w:ascii="Arial Narrow" w:hAnsi="Arial Narrow" w:cstheme="minorHAnsi"/>
                <w:sz w:val="20"/>
                <w:szCs w:val="20"/>
                <w:lang w:bidi="hi-IN"/>
              </w:rPr>
              <w:t xml:space="preserve"> cost</w:t>
            </w:r>
            <w:r w:rsidR="00BB29AF">
              <w:rPr>
                <w:rFonts w:ascii="Arial Narrow" w:hAnsi="Arial Narrow" w:cstheme="minorHAnsi"/>
                <w:sz w:val="20"/>
                <w:szCs w:val="20"/>
                <w:lang w:bidi="hi-IN"/>
              </w:rPr>
              <w:t xml:space="preserve"> </w:t>
            </w:r>
            <w:r w:rsidR="00BB29AF">
              <w:rPr>
                <w:rFonts w:ascii="Arial Narrow" w:hAnsi="Arial Narrow" w:cstheme="minorHAnsi"/>
                <w:bCs/>
                <w:sz w:val="20"/>
                <w:szCs w:val="20"/>
                <w:lang w:bidi="hi-IN"/>
              </w:rPr>
              <w:t>($)</w:t>
            </w:r>
          </w:p>
        </w:tc>
        <w:tc>
          <w:tcPr>
            <w:tcW w:w="1242" w:type="dxa"/>
            <w:shd w:val="clear" w:color="auto" w:fill="auto"/>
            <w:noWrap/>
            <w:tcMar>
              <w:left w:w="28" w:type="dxa"/>
              <w:right w:w="28" w:type="dxa"/>
            </w:tcMar>
            <w:vAlign w:val="center"/>
          </w:tcPr>
          <w:p w14:paraId="48FA5983" w14:textId="079B8B36" w:rsidR="000F6C3B" w:rsidRPr="00BB29AF" w:rsidRDefault="000960C3" w:rsidP="00322A0A">
            <w:pPr>
              <w:keepNext/>
              <w:jc w:val="center"/>
              <w:rPr>
                <w:rFonts w:ascii="Arial Narrow" w:hAnsi="Arial Narrow" w:cstheme="minorHAnsi"/>
                <w:color w:val="000000"/>
                <w:sz w:val="20"/>
                <w:szCs w:val="20"/>
                <w:highlight w:val="yellow"/>
              </w:rPr>
            </w:pPr>
            <w:r w:rsidRPr="000960C3">
              <w:rPr>
                <w:rFonts w:ascii="Arial Narrow" w:hAnsi="Arial Narrow" w:cstheme="minorHAnsi"/>
                <w:color w:val="000000"/>
                <w:sz w:val="20"/>
                <w:szCs w:val="20"/>
                <w:shd w:val="solid" w:color="000000" w:fill="000000"/>
                <w14:textFill>
                  <w14:solidFill>
                    <w14:srgbClr w14:val="000000">
                      <w14:alpha w14:val="100000"/>
                    </w14:srgbClr>
                  </w14:solidFill>
                </w14:textFill>
              </w:rPr>
              <w:t>|</w:t>
            </w:r>
            <w:r w:rsidR="001E1345" w:rsidRPr="00BB29AF">
              <w:rPr>
                <w:rFonts w:ascii="Arial Narrow" w:hAnsi="Arial Narrow" w:cstheme="minorHAnsi"/>
                <w:color w:val="000000"/>
                <w:sz w:val="20"/>
                <w:szCs w:val="20"/>
                <w:vertAlign w:val="superscript"/>
              </w:rPr>
              <w:t>3</w:t>
            </w:r>
          </w:p>
        </w:tc>
        <w:tc>
          <w:tcPr>
            <w:tcW w:w="1243" w:type="dxa"/>
            <w:shd w:val="clear" w:color="auto" w:fill="auto"/>
            <w:noWrap/>
            <w:tcMar>
              <w:left w:w="28" w:type="dxa"/>
              <w:right w:w="28" w:type="dxa"/>
            </w:tcMar>
            <w:vAlign w:val="center"/>
          </w:tcPr>
          <w:p w14:paraId="4748D945" w14:textId="44DB0BC9" w:rsidR="000F6C3B" w:rsidRPr="00BB29AF" w:rsidRDefault="000960C3" w:rsidP="00322A0A">
            <w:pPr>
              <w:keepNext/>
              <w:jc w:val="center"/>
              <w:rPr>
                <w:rFonts w:ascii="Arial Narrow" w:hAnsi="Arial Narrow" w:cstheme="minorHAnsi"/>
                <w:color w:val="000000"/>
                <w:sz w:val="20"/>
                <w:szCs w:val="20"/>
                <w:highlight w:val="yellow"/>
              </w:rPr>
            </w:pPr>
            <w:r w:rsidRPr="000960C3">
              <w:rPr>
                <w:rFonts w:ascii="Arial Narrow" w:hAnsi="Arial Narrow" w:cstheme="minorHAnsi"/>
                <w:color w:val="000000"/>
                <w:sz w:val="20"/>
                <w:szCs w:val="20"/>
                <w:shd w:val="solid" w:color="000000" w:fill="000000"/>
                <w14:textFill>
                  <w14:solidFill>
                    <w14:srgbClr w14:val="000000">
                      <w14:alpha w14:val="100000"/>
                    </w14:srgbClr>
                  </w14:solidFill>
                </w14:textFill>
              </w:rPr>
              <w:t>|</w:t>
            </w:r>
            <w:r w:rsidR="001E1345" w:rsidRPr="00BB29AF">
              <w:rPr>
                <w:rFonts w:ascii="Arial Narrow" w:hAnsi="Arial Narrow" w:cstheme="minorHAnsi"/>
                <w:color w:val="000000"/>
                <w:sz w:val="20"/>
                <w:szCs w:val="20"/>
                <w:vertAlign w:val="superscript"/>
              </w:rPr>
              <w:t>3</w:t>
            </w:r>
          </w:p>
        </w:tc>
        <w:tc>
          <w:tcPr>
            <w:tcW w:w="1242" w:type="dxa"/>
            <w:shd w:val="clear" w:color="auto" w:fill="auto"/>
            <w:noWrap/>
            <w:tcMar>
              <w:left w:w="28" w:type="dxa"/>
              <w:right w:w="28" w:type="dxa"/>
            </w:tcMar>
            <w:vAlign w:val="center"/>
          </w:tcPr>
          <w:p w14:paraId="50C40E5F" w14:textId="137AEAD3" w:rsidR="000F6C3B" w:rsidRPr="00BB29AF" w:rsidRDefault="000960C3" w:rsidP="00322A0A">
            <w:pPr>
              <w:keepNext/>
              <w:jc w:val="center"/>
              <w:rPr>
                <w:rFonts w:ascii="Arial Narrow" w:hAnsi="Arial Narrow" w:cstheme="minorHAnsi"/>
                <w:color w:val="000000"/>
                <w:sz w:val="20"/>
                <w:szCs w:val="20"/>
                <w:highlight w:val="yellow"/>
              </w:rPr>
            </w:pPr>
            <w:r w:rsidRPr="000960C3">
              <w:rPr>
                <w:rFonts w:ascii="Arial Narrow" w:hAnsi="Arial Narrow" w:cstheme="minorHAnsi"/>
                <w:color w:val="000000"/>
                <w:sz w:val="20"/>
                <w:szCs w:val="20"/>
                <w:shd w:val="solid" w:color="000000" w:fill="000000"/>
                <w14:textFill>
                  <w14:solidFill>
                    <w14:srgbClr w14:val="000000">
                      <w14:alpha w14:val="100000"/>
                    </w14:srgbClr>
                  </w14:solidFill>
                </w14:textFill>
              </w:rPr>
              <w:t>|</w:t>
            </w:r>
            <w:r w:rsidR="001E1345" w:rsidRPr="00BB29AF">
              <w:rPr>
                <w:rFonts w:ascii="Arial Narrow" w:hAnsi="Arial Narrow" w:cstheme="minorHAnsi"/>
                <w:color w:val="000000"/>
                <w:sz w:val="20"/>
                <w:szCs w:val="20"/>
                <w:vertAlign w:val="superscript"/>
              </w:rPr>
              <w:t>3</w:t>
            </w:r>
          </w:p>
        </w:tc>
        <w:tc>
          <w:tcPr>
            <w:tcW w:w="1232" w:type="dxa"/>
            <w:shd w:val="clear" w:color="auto" w:fill="auto"/>
            <w:noWrap/>
            <w:tcMar>
              <w:left w:w="28" w:type="dxa"/>
              <w:right w:w="28" w:type="dxa"/>
            </w:tcMar>
            <w:vAlign w:val="center"/>
          </w:tcPr>
          <w:p w14:paraId="0C683858" w14:textId="213790DA" w:rsidR="000F6C3B" w:rsidRPr="00BB29AF" w:rsidRDefault="000960C3" w:rsidP="00322A0A">
            <w:pPr>
              <w:keepNext/>
              <w:jc w:val="center"/>
              <w:rPr>
                <w:rFonts w:ascii="Arial Narrow" w:hAnsi="Arial Narrow" w:cstheme="minorHAnsi"/>
                <w:color w:val="000000"/>
                <w:sz w:val="20"/>
                <w:szCs w:val="20"/>
                <w:highlight w:val="yellow"/>
              </w:rPr>
            </w:pPr>
            <w:r w:rsidRPr="000960C3">
              <w:rPr>
                <w:rFonts w:ascii="Arial Narrow" w:hAnsi="Arial Narrow" w:cstheme="minorHAnsi"/>
                <w:color w:val="000000"/>
                <w:sz w:val="20"/>
                <w:szCs w:val="20"/>
                <w:shd w:val="solid" w:color="000000" w:fill="000000"/>
                <w14:textFill>
                  <w14:solidFill>
                    <w14:srgbClr w14:val="000000">
                      <w14:alpha w14:val="100000"/>
                    </w14:srgbClr>
                  </w14:solidFill>
                </w14:textFill>
              </w:rPr>
              <w:t>|</w:t>
            </w:r>
            <w:r w:rsidR="001E1345" w:rsidRPr="00BB29AF">
              <w:rPr>
                <w:rFonts w:ascii="Arial Narrow" w:hAnsi="Arial Narrow" w:cstheme="minorHAnsi"/>
                <w:color w:val="000000"/>
                <w:sz w:val="20"/>
                <w:szCs w:val="20"/>
                <w:vertAlign w:val="superscript"/>
              </w:rPr>
              <w:t>3</w:t>
            </w:r>
          </w:p>
        </w:tc>
        <w:tc>
          <w:tcPr>
            <w:tcW w:w="1276" w:type="dxa"/>
            <w:shd w:val="clear" w:color="auto" w:fill="auto"/>
            <w:noWrap/>
            <w:tcMar>
              <w:left w:w="28" w:type="dxa"/>
              <w:right w:w="28" w:type="dxa"/>
            </w:tcMar>
            <w:vAlign w:val="center"/>
          </w:tcPr>
          <w:p w14:paraId="154635AE" w14:textId="0837BC98" w:rsidR="000F6C3B" w:rsidRPr="00BB29AF" w:rsidRDefault="000960C3" w:rsidP="00322A0A">
            <w:pPr>
              <w:keepNext/>
              <w:jc w:val="center"/>
              <w:rPr>
                <w:rFonts w:ascii="Arial Narrow" w:hAnsi="Arial Narrow" w:cstheme="minorHAnsi"/>
                <w:color w:val="000000"/>
                <w:sz w:val="20"/>
                <w:szCs w:val="20"/>
                <w:highlight w:val="yellow"/>
              </w:rPr>
            </w:pPr>
            <w:r w:rsidRPr="000960C3">
              <w:rPr>
                <w:rFonts w:ascii="Arial Narrow" w:hAnsi="Arial Narrow" w:cstheme="minorHAnsi"/>
                <w:color w:val="000000"/>
                <w:sz w:val="20"/>
                <w:szCs w:val="20"/>
                <w:shd w:val="solid" w:color="000000" w:fill="000000"/>
                <w14:textFill>
                  <w14:solidFill>
                    <w14:srgbClr w14:val="000000">
                      <w14:alpha w14:val="100000"/>
                    </w14:srgbClr>
                  </w14:solidFill>
                </w14:textFill>
              </w:rPr>
              <w:t>|</w:t>
            </w:r>
            <w:r w:rsidR="001E1345" w:rsidRPr="00BB29AF">
              <w:rPr>
                <w:rFonts w:ascii="Arial Narrow" w:hAnsi="Arial Narrow" w:cstheme="minorHAnsi"/>
                <w:color w:val="000000"/>
                <w:sz w:val="20"/>
                <w:szCs w:val="20"/>
                <w:vertAlign w:val="superscript"/>
              </w:rPr>
              <w:t>3</w:t>
            </w:r>
          </w:p>
        </w:tc>
        <w:tc>
          <w:tcPr>
            <w:tcW w:w="1232" w:type="dxa"/>
            <w:shd w:val="clear" w:color="auto" w:fill="auto"/>
            <w:noWrap/>
            <w:tcMar>
              <w:left w:w="28" w:type="dxa"/>
              <w:right w:w="28" w:type="dxa"/>
            </w:tcMar>
            <w:vAlign w:val="center"/>
          </w:tcPr>
          <w:p w14:paraId="4186000B" w14:textId="16264EA6" w:rsidR="000F6C3B" w:rsidRPr="00BB29AF" w:rsidRDefault="000960C3" w:rsidP="00322A0A">
            <w:pPr>
              <w:keepNext/>
              <w:jc w:val="center"/>
              <w:rPr>
                <w:rFonts w:ascii="Arial Narrow" w:hAnsi="Arial Narrow" w:cstheme="minorHAnsi"/>
                <w:color w:val="000000"/>
                <w:sz w:val="20"/>
                <w:szCs w:val="20"/>
                <w:highlight w:val="yellow"/>
              </w:rPr>
            </w:pPr>
            <w:r w:rsidRPr="000960C3">
              <w:rPr>
                <w:rFonts w:ascii="Arial Narrow" w:hAnsi="Arial Narrow" w:cstheme="minorHAnsi"/>
                <w:color w:val="000000"/>
                <w:sz w:val="20"/>
                <w:szCs w:val="20"/>
                <w:shd w:val="solid" w:color="000000" w:fill="000000"/>
                <w14:textFill>
                  <w14:solidFill>
                    <w14:srgbClr w14:val="000000">
                      <w14:alpha w14:val="100000"/>
                    </w14:srgbClr>
                  </w14:solidFill>
                </w14:textFill>
              </w:rPr>
              <w:t>|</w:t>
            </w:r>
            <w:r w:rsidR="001E1345" w:rsidRPr="00BB29AF">
              <w:rPr>
                <w:rFonts w:ascii="Arial Narrow" w:hAnsi="Arial Narrow" w:cstheme="minorHAnsi"/>
                <w:color w:val="000000"/>
                <w:sz w:val="20"/>
                <w:szCs w:val="20"/>
                <w:vertAlign w:val="superscript"/>
              </w:rPr>
              <w:t>3</w:t>
            </w:r>
          </w:p>
        </w:tc>
      </w:tr>
      <w:tr w:rsidR="000F6C3B" w:rsidRPr="00F04A75" w14:paraId="50E9A2EF" w14:textId="77777777" w:rsidTr="00A37D89">
        <w:trPr>
          <w:trHeight w:val="70"/>
        </w:trPr>
        <w:tc>
          <w:tcPr>
            <w:tcW w:w="1557" w:type="dxa"/>
            <w:shd w:val="clear" w:color="auto" w:fill="auto"/>
            <w:noWrap/>
            <w:tcMar>
              <w:left w:w="28" w:type="dxa"/>
              <w:right w:w="28" w:type="dxa"/>
            </w:tcMar>
          </w:tcPr>
          <w:p w14:paraId="77FF5536" w14:textId="6BE3DC6A" w:rsidR="000F6C3B" w:rsidRPr="00F04A75" w:rsidRDefault="000F6C3B" w:rsidP="00322A0A">
            <w:pPr>
              <w:rPr>
                <w:rFonts w:ascii="Arial Narrow" w:hAnsi="Arial Narrow" w:cstheme="minorHAnsi"/>
                <w:b/>
                <w:bCs/>
                <w:sz w:val="20"/>
                <w:szCs w:val="20"/>
                <w:lang w:bidi="hi-IN"/>
              </w:rPr>
            </w:pPr>
            <w:r w:rsidRPr="00F04A75">
              <w:rPr>
                <w:rFonts w:ascii="Arial Narrow" w:hAnsi="Arial Narrow" w:cstheme="minorHAnsi"/>
                <w:b/>
                <w:bCs/>
                <w:sz w:val="20"/>
                <w:szCs w:val="20"/>
                <w:lang w:bidi="hi-IN"/>
              </w:rPr>
              <w:t>Total</w:t>
            </w:r>
            <w:r w:rsidR="00BB29AF">
              <w:rPr>
                <w:rFonts w:ascii="Arial Narrow" w:hAnsi="Arial Narrow" w:cstheme="minorHAnsi"/>
                <w:b/>
                <w:bCs/>
                <w:sz w:val="20"/>
                <w:szCs w:val="20"/>
                <w:lang w:bidi="hi-IN"/>
              </w:rPr>
              <w:t xml:space="preserve"> </w:t>
            </w:r>
            <w:r w:rsidR="00BB29AF">
              <w:rPr>
                <w:rFonts w:ascii="Arial Narrow" w:hAnsi="Arial Narrow" w:cstheme="minorHAnsi"/>
                <w:bCs/>
                <w:sz w:val="20"/>
                <w:szCs w:val="20"/>
                <w:lang w:bidi="hi-IN"/>
              </w:rPr>
              <w:t>($)</w:t>
            </w:r>
          </w:p>
        </w:tc>
        <w:tc>
          <w:tcPr>
            <w:tcW w:w="1242" w:type="dxa"/>
            <w:shd w:val="clear" w:color="auto" w:fill="auto"/>
            <w:noWrap/>
            <w:tcMar>
              <w:left w:w="28" w:type="dxa"/>
              <w:right w:w="28" w:type="dxa"/>
            </w:tcMar>
            <w:vAlign w:val="center"/>
          </w:tcPr>
          <w:p w14:paraId="1974ED5C" w14:textId="7B7197B9" w:rsidR="000F6C3B" w:rsidRPr="00492906" w:rsidRDefault="000F6C3B" w:rsidP="00322A0A">
            <w:pPr>
              <w:keepNext/>
              <w:jc w:val="center"/>
              <w:rPr>
                <w:rFonts w:ascii="Arial Narrow" w:hAnsi="Arial Narrow" w:cstheme="minorHAnsi"/>
                <w:b/>
                <w:bCs/>
                <w:color w:val="000000"/>
                <w:sz w:val="20"/>
                <w:szCs w:val="20"/>
                <w:vertAlign w:val="superscript"/>
              </w:rPr>
            </w:pPr>
            <w:r w:rsidRPr="00F04A75">
              <w:rPr>
                <w:rFonts w:ascii="Arial Narrow" w:hAnsi="Arial Narrow" w:cstheme="minorHAnsi"/>
                <w:b/>
                <w:bCs/>
                <w:color w:val="000000"/>
                <w:sz w:val="20"/>
                <w:szCs w:val="20"/>
              </w:rPr>
              <w:t>$</w:t>
            </w:r>
            <w:r w:rsidR="000960C3" w:rsidRPr="000960C3">
              <w:rPr>
                <w:rFonts w:ascii="Arial Narrow" w:hAnsi="Arial Narrow" w:cstheme="minorHAnsi" w:hint="eastAsia"/>
                <w:b/>
                <w:bCs/>
                <w:color w:val="000000"/>
                <w:w w:val="15"/>
                <w:sz w:val="20"/>
                <w:szCs w:val="20"/>
                <w:shd w:val="solid" w:color="000000" w:fill="000000"/>
                <w:fitText w:val="60" w:id="-1506043636"/>
                <w14:textFill>
                  <w14:solidFill>
                    <w14:srgbClr w14:val="000000">
                      <w14:alpha w14:val="100000"/>
                    </w14:srgbClr>
                  </w14:solidFill>
                </w14:textFill>
              </w:rPr>
              <w:t xml:space="preserve">　</w:t>
            </w:r>
            <w:r w:rsidR="000960C3" w:rsidRPr="000960C3">
              <w:rPr>
                <w:rFonts w:ascii="Arial Narrow" w:hAnsi="Arial Narrow" w:cstheme="minorHAnsi"/>
                <w:b/>
                <w:bCs/>
                <w:color w:val="000000"/>
                <w:w w:val="15"/>
                <w:sz w:val="20"/>
                <w:szCs w:val="20"/>
                <w:shd w:val="solid" w:color="000000" w:fill="000000"/>
                <w:fitText w:val="60" w:id="-1506043636"/>
                <w14:textFill>
                  <w14:solidFill>
                    <w14:srgbClr w14:val="000000">
                      <w14:alpha w14:val="100000"/>
                    </w14:srgbClr>
                  </w14:solidFill>
                </w14:textFill>
              </w:rPr>
              <w:t>|</w:t>
            </w:r>
            <w:r w:rsidR="000960C3" w:rsidRPr="000960C3">
              <w:rPr>
                <w:rFonts w:ascii="Arial Narrow" w:hAnsi="Arial Narrow" w:cstheme="minorHAnsi" w:hint="eastAsia"/>
                <w:b/>
                <w:bCs/>
                <w:color w:val="000000"/>
                <w:spacing w:val="-6"/>
                <w:w w:val="15"/>
                <w:sz w:val="20"/>
                <w:szCs w:val="20"/>
                <w:shd w:val="solid" w:color="000000" w:fill="000000"/>
                <w:fitText w:val="60" w:id="-1506043636"/>
                <w14:textFill>
                  <w14:solidFill>
                    <w14:srgbClr w14:val="000000">
                      <w14:alpha w14:val="100000"/>
                    </w14:srgbClr>
                  </w14:solidFill>
                </w14:textFill>
              </w:rPr>
              <w:t xml:space="preserve">　</w:t>
            </w:r>
            <w:r w:rsidR="001E1345">
              <w:rPr>
                <w:rFonts w:ascii="Arial Narrow" w:hAnsi="Arial Narrow" w:cstheme="minorHAnsi"/>
                <w:b/>
                <w:bCs/>
                <w:color w:val="000000"/>
                <w:sz w:val="20"/>
                <w:szCs w:val="20"/>
                <w:vertAlign w:val="superscript"/>
              </w:rPr>
              <w:t>4</w:t>
            </w:r>
          </w:p>
        </w:tc>
        <w:tc>
          <w:tcPr>
            <w:tcW w:w="1243" w:type="dxa"/>
            <w:shd w:val="clear" w:color="auto" w:fill="auto"/>
            <w:noWrap/>
            <w:tcMar>
              <w:left w:w="28" w:type="dxa"/>
              <w:right w:w="28" w:type="dxa"/>
            </w:tcMar>
            <w:vAlign w:val="center"/>
          </w:tcPr>
          <w:p w14:paraId="35C295E6" w14:textId="5C324324" w:rsidR="000F6C3B" w:rsidRPr="00F04A75" w:rsidRDefault="000F6C3B" w:rsidP="00322A0A">
            <w:pPr>
              <w:keepNext/>
              <w:jc w:val="center"/>
              <w:rPr>
                <w:rFonts w:ascii="Arial Narrow" w:hAnsi="Arial Narrow" w:cstheme="minorHAnsi"/>
                <w:b/>
                <w:bCs/>
                <w:color w:val="000000"/>
                <w:sz w:val="20"/>
                <w:szCs w:val="20"/>
              </w:rPr>
            </w:pPr>
            <w:r w:rsidRPr="00F04A75">
              <w:rPr>
                <w:rFonts w:ascii="Arial Narrow" w:hAnsi="Arial Narrow" w:cstheme="minorHAnsi"/>
                <w:b/>
                <w:bCs/>
                <w:color w:val="000000"/>
                <w:sz w:val="20"/>
                <w:szCs w:val="20"/>
              </w:rPr>
              <w:t>$</w:t>
            </w:r>
            <w:r w:rsidR="000960C3" w:rsidRPr="000960C3">
              <w:rPr>
                <w:rFonts w:ascii="Arial Narrow" w:hAnsi="Arial Narrow" w:cstheme="minorHAnsi" w:hint="eastAsia"/>
                <w:b/>
                <w:bCs/>
                <w:color w:val="000000"/>
                <w:w w:val="15"/>
                <w:sz w:val="20"/>
                <w:szCs w:val="20"/>
                <w:shd w:val="solid" w:color="000000" w:fill="000000"/>
                <w:fitText w:val="60" w:id="-1506043635"/>
                <w14:textFill>
                  <w14:solidFill>
                    <w14:srgbClr w14:val="000000">
                      <w14:alpha w14:val="100000"/>
                    </w14:srgbClr>
                  </w14:solidFill>
                </w14:textFill>
              </w:rPr>
              <w:t xml:space="preserve">　</w:t>
            </w:r>
            <w:r w:rsidR="000960C3" w:rsidRPr="000960C3">
              <w:rPr>
                <w:rFonts w:ascii="Arial Narrow" w:hAnsi="Arial Narrow" w:cstheme="minorHAnsi"/>
                <w:b/>
                <w:bCs/>
                <w:color w:val="000000"/>
                <w:w w:val="15"/>
                <w:sz w:val="20"/>
                <w:szCs w:val="20"/>
                <w:shd w:val="solid" w:color="000000" w:fill="000000"/>
                <w:fitText w:val="60" w:id="-1506043635"/>
                <w14:textFill>
                  <w14:solidFill>
                    <w14:srgbClr w14:val="000000">
                      <w14:alpha w14:val="100000"/>
                    </w14:srgbClr>
                  </w14:solidFill>
                </w14:textFill>
              </w:rPr>
              <w:t>|</w:t>
            </w:r>
            <w:r w:rsidR="000960C3" w:rsidRPr="000960C3">
              <w:rPr>
                <w:rFonts w:ascii="Arial Narrow" w:hAnsi="Arial Narrow" w:cstheme="minorHAnsi" w:hint="eastAsia"/>
                <w:b/>
                <w:bCs/>
                <w:color w:val="000000"/>
                <w:spacing w:val="-6"/>
                <w:w w:val="15"/>
                <w:sz w:val="20"/>
                <w:szCs w:val="20"/>
                <w:shd w:val="solid" w:color="000000" w:fill="000000"/>
                <w:fitText w:val="60" w:id="-1506043635"/>
                <w14:textFill>
                  <w14:solidFill>
                    <w14:srgbClr w14:val="000000">
                      <w14:alpha w14:val="100000"/>
                    </w14:srgbClr>
                  </w14:solidFill>
                </w14:textFill>
              </w:rPr>
              <w:t xml:space="preserve">　</w:t>
            </w:r>
            <w:r w:rsidR="001E1345">
              <w:rPr>
                <w:rFonts w:ascii="Arial Narrow" w:hAnsi="Arial Narrow" w:cstheme="minorHAnsi"/>
                <w:color w:val="000000"/>
                <w:sz w:val="20"/>
                <w:szCs w:val="20"/>
                <w:vertAlign w:val="superscript"/>
              </w:rPr>
              <w:t>6</w:t>
            </w:r>
          </w:p>
        </w:tc>
        <w:tc>
          <w:tcPr>
            <w:tcW w:w="1242" w:type="dxa"/>
            <w:shd w:val="clear" w:color="auto" w:fill="auto"/>
            <w:noWrap/>
            <w:tcMar>
              <w:left w:w="28" w:type="dxa"/>
              <w:right w:w="28" w:type="dxa"/>
            </w:tcMar>
            <w:vAlign w:val="center"/>
          </w:tcPr>
          <w:p w14:paraId="04FD6A3B" w14:textId="26CFD6A3" w:rsidR="000F6C3B" w:rsidRPr="00F04A75" w:rsidRDefault="000F6C3B" w:rsidP="00322A0A">
            <w:pPr>
              <w:keepNext/>
              <w:jc w:val="center"/>
              <w:rPr>
                <w:rFonts w:ascii="Arial Narrow" w:hAnsi="Arial Narrow" w:cstheme="minorHAnsi"/>
                <w:b/>
                <w:bCs/>
                <w:color w:val="000000"/>
                <w:sz w:val="20"/>
                <w:szCs w:val="20"/>
              </w:rPr>
            </w:pPr>
            <w:r w:rsidRPr="00F04A75">
              <w:rPr>
                <w:rFonts w:ascii="Arial Narrow" w:hAnsi="Arial Narrow" w:cstheme="minorHAnsi"/>
                <w:b/>
                <w:bCs/>
                <w:color w:val="000000"/>
                <w:sz w:val="20"/>
                <w:szCs w:val="20"/>
              </w:rPr>
              <w:t>$</w:t>
            </w:r>
            <w:r w:rsidR="000960C3" w:rsidRPr="000960C3">
              <w:rPr>
                <w:rFonts w:ascii="Arial Narrow" w:hAnsi="Arial Narrow" w:cstheme="minorHAnsi" w:hint="eastAsia"/>
                <w:b/>
                <w:bCs/>
                <w:color w:val="000000"/>
                <w:w w:val="16"/>
                <w:sz w:val="20"/>
                <w:szCs w:val="20"/>
                <w:shd w:val="solid" w:color="000000" w:fill="000000"/>
                <w:fitText w:val="75" w:id="-1506043634"/>
                <w14:textFill>
                  <w14:solidFill>
                    <w14:srgbClr w14:val="000000">
                      <w14:alpha w14:val="100000"/>
                    </w14:srgbClr>
                  </w14:solidFill>
                </w14:textFill>
              </w:rPr>
              <w:t xml:space="preserve">　</w:t>
            </w:r>
            <w:r w:rsidR="000960C3" w:rsidRPr="000960C3">
              <w:rPr>
                <w:rFonts w:ascii="Arial Narrow" w:hAnsi="Arial Narrow" w:cstheme="minorHAnsi"/>
                <w:b/>
                <w:bCs/>
                <w:color w:val="000000"/>
                <w:w w:val="16"/>
                <w:sz w:val="20"/>
                <w:szCs w:val="20"/>
                <w:shd w:val="solid" w:color="000000" w:fill="000000"/>
                <w:fitText w:val="75" w:id="-1506043634"/>
                <w14:textFill>
                  <w14:solidFill>
                    <w14:srgbClr w14:val="000000">
                      <w14:alpha w14:val="100000"/>
                    </w14:srgbClr>
                  </w14:solidFill>
                </w14:textFill>
              </w:rPr>
              <w:t>|</w:t>
            </w:r>
            <w:r w:rsidR="000960C3" w:rsidRPr="000960C3">
              <w:rPr>
                <w:rFonts w:ascii="Arial Narrow" w:hAnsi="Arial Narrow" w:cstheme="minorHAnsi" w:hint="eastAsia"/>
                <w:b/>
                <w:bCs/>
                <w:color w:val="000000"/>
                <w:spacing w:val="5"/>
                <w:w w:val="16"/>
                <w:sz w:val="20"/>
                <w:szCs w:val="20"/>
                <w:shd w:val="solid" w:color="000000" w:fill="000000"/>
                <w:fitText w:val="75" w:id="-1506043634"/>
                <w14:textFill>
                  <w14:solidFill>
                    <w14:srgbClr w14:val="000000">
                      <w14:alpha w14:val="100000"/>
                    </w14:srgbClr>
                  </w14:solidFill>
                </w14:textFill>
              </w:rPr>
              <w:t xml:space="preserve">　</w:t>
            </w:r>
            <w:r w:rsidR="001E1345">
              <w:rPr>
                <w:rFonts w:ascii="Arial Narrow" w:hAnsi="Arial Narrow"/>
                <w:i/>
                <w:iCs/>
                <w:color w:val="333333"/>
                <w:sz w:val="18"/>
                <w:szCs w:val="18"/>
                <w:vertAlign w:val="superscript"/>
              </w:rPr>
              <w:t>7</w:t>
            </w:r>
          </w:p>
        </w:tc>
        <w:tc>
          <w:tcPr>
            <w:tcW w:w="1232" w:type="dxa"/>
            <w:shd w:val="clear" w:color="auto" w:fill="auto"/>
            <w:noWrap/>
            <w:tcMar>
              <w:left w:w="28" w:type="dxa"/>
              <w:right w:w="28" w:type="dxa"/>
            </w:tcMar>
            <w:vAlign w:val="center"/>
          </w:tcPr>
          <w:p w14:paraId="08E10C77" w14:textId="42D3DC04" w:rsidR="000F6C3B" w:rsidRPr="00F04A75" w:rsidRDefault="000F6C3B" w:rsidP="00322A0A">
            <w:pPr>
              <w:keepNext/>
              <w:jc w:val="center"/>
              <w:rPr>
                <w:rFonts w:ascii="Arial Narrow" w:hAnsi="Arial Narrow" w:cstheme="minorHAnsi"/>
                <w:b/>
                <w:bCs/>
                <w:color w:val="000000"/>
                <w:sz w:val="20"/>
                <w:szCs w:val="20"/>
              </w:rPr>
            </w:pPr>
            <w:r w:rsidRPr="00F04A75">
              <w:rPr>
                <w:rFonts w:ascii="Arial Narrow" w:hAnsi="Arial Narrow" w:cstheme="minorHAnsi"/>
                <w:b/>
                <w:bCs/>
                <w:color w:val="000000"/>
                <w:sz w:val="20"/>
                <w:szCs w:val="20"/>
              </w:rPr>
              <w:t>$</w:t>
            </w:r>
            <w:r w:rsidR="000960C3" w:rsidRPr="000960C3">
              <w:rPr>
                <w:rFonts w:ascii="Arial Narrow" w:hAnsi="Arial Narrow" w:cstheme="minorHAnsi" w:hint="eastAsia"/>
                <w:b/>
                <w:bCs/>
                <w:color w:val="000000"/>
                <w:w w:val="15"/>
                <w:sz w:val="20"/>
                <w:szCs w:val="20"/>
                <w:shd w:val="solid" w:color="000000" w:fill="000000"/>
                <w:fitText w:val="60" w:id="-1506043633"/>
                <w14:textFill>
                  <w14:solidFill>
                    <w14:srgbClr w14:val="000000">
                      <w14:alpha w14:val="100000"/>
                    </w14:srgbClr>
                  </w14:solidFill>
                </w14:textFill>
              </w:rPr>
              <w:t xml:space="preserve">　</w:t>
            </w:r>
            <w:r w:rsidR="000960C3" w:rsidRPr="000960C3">
              <w:rPr>
                <w:rFonts w:ascii="Arial Narrow" w:hAnsi="Arial Narrow" w:cstheme="minorHAnsi"/>
                <w:b/>
                <w:bCs/>
                <w:color w:val="000000"/>
                <w:w w:val="15"/>
                <w:sz w:val="20"/>
                <w:szCs w:val="20"/>
                <w:shd w:val="solid" w:color="000000" w:fill="000000"/>
                <w:fitText w:val="60" w:id="-1506043633"/>
                <w14:textFill>
                  <w14:solidFill>
                    <w14:srgbClr w14:val="000000">
                      <w14:alpha w14:val="100000"/>
                    </w14:srgbClr>
                  </w14:solidFill>
                </w14:textFill>
              </w:rPr>
              <w:t>|</w:t>
            </w:r>
            <w:r w:rsidR="000960C3" w:rsidRPr="000960C3">
              <w:rPr>
                <w:rFonts w:ascii="Arial Narrow" w:hAnsi="Arial Narrow" w:cstheme="minorHAnsi" w:hint="eastAsia"/>
                <w:b/>
                <w:bCs/>
                <w:color w:val="000000"/>
                <w:spacing w:val="-6"/>
                <w:w w:val="15"/>
                <w:sz w:val="20"/>
                <w:szCs w:val="20"/>
                <w:shd w:val="solid" w:color="000000" w:fill="000000"/>
                <w:fitText w:val="60" w:id="-1506043633"/>
                <w14:textFill>
                  <w14:solidFill>
                    <w14:srgbClr w14:val="000000">
                      <w14:alpha w14:val="100000"/>
                    </w14:srgbClr>
                  </w14:solidFill>
                </w14:textFill>
              </w:rPr>
              <w:t xml:space="preserve">　</w:t>
            </w:r>
            <w:r w:rsidR="001E1345">
              <w:rPr>
                <w:rFonts w:ascii="Arial Narrow" w:hAnsi="Arial Narrow"/>
                <w:i/>
                <w:iCs/>
                <w:color w:val="333333"/>
                <w:sz w:val="18"/>
                <w:szCs w:val="18"/>
                <w:vertAlign w:val="superscript"/>
              </w:rPr>
              <w:t>7</w:t>
            </w:r>
          </w:p>
        </w:tc>
        <w:tc>
          <w:tcPr>
            <w:tcW w:w="1276" w:type="dxa"/>
            <w:shd w:val="clear" w:color="auto" w:fill="auto"/>
            <w:noWrap/>
            <w:tcMar>
              <w:left w:w="28" w:type="dxa"/>
              <w:right w:w="28" w:type="dxa"/>
            </w:tcMar>
            <w:vAlign w:val="center"/>
          </w:tcPr>
          <w:p w14:paraId="3CA7D918" w14:textId="28CB9CE0" w:rsidR="000F6C3B" w:rsidRPr="00F04A75" w:rsidRDefault="000F6C3B" w:rsidP="00322A0A">
            <w:pPr>
              <w:keepNext/>
              <w:jc w:val="center"/>
              <w:rPr>
                <w:rFonts w:ascii="Arial Narrow" w:hAnsi="Arial Narrow" w:cstheme="minorHAnsi"/>
                <w:b/>
                <w:bCs/>
                <w:color w:val="000000"/>
                <w:sz w:val="20"/>
                <w:szCs w:val="20"/>
              </w:rPr>
            </w:pPr>
            <w:r w:rsidRPr="00F04A75">
              <w:rPr>
                <w:rFonts w:ascii="Arial Narrow" w:hAnsi="Arial Narrow" w:cstheme="minorHAnsi"/>
                <w:b/>
                <w:bCs/>
                <w:color w:val="000000"/>
                <w:sz w:val="20"/>
                <w:szCs w:val="20"/>
              </w:rPr>
              <w:t>$</w:t>
            </w:r>
            <w:r w:rsidR="000960C3" w:rsidRPr="000960C3">
              <w:rPr>
                <w:rFonts w:ascii="Arial Narrow" w:hAnsi="Arial Narrow" w:cstheme="minorHAnsi" w:hint="eastAsia"/>
                <w:b/>
                <w:bCs/>
                <w:color w:val="000000"/>
                <w:w w:val="15"/>
                <w:sz w:val="20"/>
                <w:szCs w:val="20"/>
                <w:shd w:val="solid" w:color="000000" w:fill="000000"/>
                <w:fitText w:val="60" w:id="-1506043632"/>
                <w14:textFill>
                  <w14:solidFill>
                    <w14:srgbClr w14:val="000000">
                      <w14:alpha w14:val="100000"/>
                    </w14:srgbClr>
                  </w14:solidFill>
                </w14:textFill>
              </w:rPr>
              <w:t xml:space="preserve">　</w:t>
            </w:r>
            <w:r w:rsidR="000960C3" w:rsidRPr="000960C3">
              <w:rPr>
                <w:rFonts w:ascii="Arial Narrow" w:hAnsi="Arial Narrow" w:cstheme="minorHAnsi"/>
                <w:b/>
                <w:bCs/>
                <w:color w:val="000000"/>
                <w:w w:val="15"/>
                <w:sz w:val="20"/>
                <w:szCs w:val="20"/>
                <w:shd w:val="solid" w:color="000000" w:fill="000000"/>
                <w:fitText w:val="60" w:id="-1506043632"/>
                <w14:textFill>
                  <w14:solidFill>
                    <w14:srgbClr w14:val="000000">
                      <w14:alpha w14:val="100000"/>
                    </w14:srgbClr>
                  </w14:solidFill>
                </w14:textFill>
              </w:rPr>
              <w:t>|</w:t>
            </w:r>
            <w:r w:rsidR="000960C3" w:rsidRPr="000960C3">
              <w:rPr>
                <w:rFonts w:ascii="Arial Narrow" w:hAnsi="Arial Narrow" w:cstheme="minorHAnsi" w:hint="eastAsia"/>
                <w:b/>
                <w:bCs/>
                <w:color w:val="000000"/>
                <w:spacing w:val="-6"/>
                <w:w w:val="15"/>
                <w:sz w:val="20"/>
                <w:szCs w:val="20"/>
                <w:shd w:val="solid" w:color="000000" w:fill="000000"/>
                <w:fitText w:val="60" w:id="-1506043632"/>
                <w14:textFill>
                  <w14:solidFill>
                    <w14:srgbClr w14:val="000000">
                      <w14:alpha w14:val="100000"/>
                    </w14:srgbClr>
                  </w14:solidFill>
                </w14:textFill>
              </w:rPr>
              <w:t xml:space="preserve">　</w:t>
            </w:r>
            <w:r w:rsidR="001E1345">
              <w:rPr>
                <w:rFonts w:ascii="Arial Narrow" w:hAnsi="Arial Narrow"/>
                <w:i/>
                <w:iCs/>
                <w:color w:val="333333"/>
                <w:sz w:val="18"/>
                <w:szCs w:val="18"/>
                <w:vertAlign w:val="superscript"/>
              </w:rPr>
              <w:t>7</w:t>
            </w:r>
          </w:p>
        </w:tc>
        <w:tc>
          <w:tcPr>
            <w:tcW w:w="1232" w:type="dxa"/>
            <w:shd w:val="clear" w:color="auto" w:fill="auto"/>
            <w:noWrap/>
            <w:tcMar>
              <w:left w:w="28" w:type="dxa"/>
              <w:right w:w="28" w:type="dxa"/>
            </w:tcMar>
            <w:vAlign w:val="center"/>
          </w:tcPr>
          <w:p w14:paraId="0E40397A" w14:textId="74C64893" w:rsidR="000F6C3B" w:rsidRPr="00F04A75" w:rsidRDefault="000F6C3B" w:rsidP="00322A0A">
            <w:pPr>
              <w:keepNext/>
              <w:jc w:val="center"/>
              <w:rPr>
                <w:rFonts w:ascii="Arial Narrow" w:hAnsi="Arial Narrow" w:cstheme="minorHAnsi"/>
                <w:b/>
                <w:bCs/>
                <w:color w:val="000000"/>
                <w:sz w:val="20"/>
                <w:szCs w:val="20"/>
              </w:rPr>
            </w:pPr>
            <w:r w:rsidRPr="00F04A75">
              <w:rPr>
                <w:rFonts w:ascii="Arial Narrow" w:hAnsi="Arial Narrow" w:cstheme="minorHAnsi"/>
                <w:b/>
                <w:bCs/>
                <w:color w:val="000000"/>
                <w:sz w:val="20"/>
                <w:szCs w:val="20"/>
              </w:rPr>
              <w:t>$</w:t>
            </w:r>
            <w:r w:rsidR="000960C3" w:rsidRPr="000960C3">
              <w:rPr>
                <w:rFonts w:ascii="Arial Narrow" w:hAnsi="Arial Narrow" w:cstheme="minorHAnsi" w:hint="eastAsia"/>
                <w:b/>
                <w:bCs/>
                <w:color w:val="000000"/>
                <w:w w:val="15"/>
                <w:sz w:val="20"/>
                <w:szCs w:val="20"/>
                <w:shd w:val="solid" w:color="000000" w:fill="000000"/>
                <w:fitText w:val="60" w:id="-1506043648"/>
                <w14:textFill>
                  <w14:solidFill>
                    <w14:srgbClr w14:val="000000">
                      <w14:alpha w14:val="100000"/>
                    </w14:srgbClr>
                  </w14:solidFill>
                </w14:textFill>
              </w:rPr>
              <w:t xml:space="preserve">　</w:t>
            </w:r>
            <w:r w:rsidR="000960C3" w:rsidRPr="000960C3">
              <w:rPr>
                <w:rFonts w:ascii="Arial Narrow" w:hAnsi="Arial Narrow" w:cstheme="minorHAnsi"/>
                <w:b/>
                <w:bCs/>
                <w:color w:val="000000"/>
                <w:w w:val="15"/>
                <w:sz w:val="20"/>
                <w:szCs w:val="20"/>
                <w:shd w:val="solid" w:color="000000" w:fill="000000"/>
                <w:fitText w:val="60" w:id="-1506043648"/>
                <w14:textFill>
                  <w14:solidFill>
                    <w14:srgbClr w14:val="000000">
                      <w14:alpha w14:val="100000"/>
                    </w14:srgbClr>
                  </w14:solidFill>
                </w14:textFill>
              </w:rPr>
              <w:t>|</w:t>
            </w:r>
            <w:r w:rsidR="000960C3" w:rsidRPr="000960C3">
              <w:rPr>
                <w:rFonts w:ascii="Arial Narrow" w:hAnsi="Arial Narrow" w:cstheme="minorHAnsi" w:hint="eastAsia"/>
                <w:b/>
                <w:bCs/>
                <w:color w:val="000000"/>
                <w:spacing w:val="-6"/>
                <w:w w:val="15"/>
                <w:sz w:val="20"/>
                <w:szCs w:val="20"/>
                <w:shd w:val="solid" w:color="000000" w:fill="000000"/>
                <w:fitText w:val="60" w:id="-1506043648"/>
                <w14:textFill>
                  <w14:solidFill>
                    <w14:srgbClr w14:val="000000">
                      <w14:alpha w14:val="100000"/>
                    </w14:srgbClr>
                  </w14:solidFill>
                </w14:textFill>
              </w:rPr>
              <w:t xml:space="preserve">　</w:t>
            </w:r>
            <w:r w:rsidR="001E1345">
              <w:rPr>
                <w:rFonts w:ascii="Arial Narrow" w:hAnsi="Arial Narrow"/>
                <w:i/>
                <w:iCs/>
                <w:color w:val="333333"/>
                <w:sz w:val="18"/>
                <w:szCs w:val="18"/>
                <w:vertAlign w:val="superscript"/>
              </w:rPr>
              <w:t>7</w:t>
            </w:r>
          </w:p>
        </w:tc>
      </w:tr>
      <w:tr w:rsidR="000F6C3B" w:rsidRPr="00F04A75" w14:paraId="18287347" w14:textId="77777777" w:rsidTr="00322A0A">
        <w:trPr>
          <w:trHeight w:val="70"/>
        </w:trPr>
        <w:tc>
          <w:tcPr>
            <w:tcW w:w="9024" w:type="dxa"/>
            <w:gridSpan w:val="7"/>
            <w:shd w:val="clear" w:color="auto" w:fill="auto"/>
            <w:noWrap/>
            <w:tcMar>
              <w:left w:w="28" w:type="dxa"/>
              <w:right w:w="28" w:type="dxa"/>
            </w:tcMar>
            <w:hideMark/>
          </w:tcPr>
          <w:p w14:paraId="2E1C8BB5" w14:textId="77777777" w:rsidR="000F6C3B" w:rsidRPr="00F04A75" w:rsidRDefault="000F6C3B" w:rsidP="00322A0A">
            <w:pPr>
              <w:rPr>
                <w:rFonts w:ascii="Arial Narrow" w:hAnsi="Arial Narrow" w:cstheme="minorHAnsi"/>
                <w:b/>
                <w:bCs/>
                <w:sz w:val="20"/>
                <w:szCs w:val="20"/>
                <w:lang w:bidi="hi-IN"/>
              </w:rPr>
            </w:pPr>
            <w:r w:rsidRPr="00F04A75">
              <w:rPr>
                <w:rFonts w:ascii="Arial Narrow" w:hAnsi="Arial Narrow" w:cstheme="minorHAnsi"/>
                <w:b/>
                <w:bCs/>
                <w:sz w:val="20"/>
                <w:szCs w:val="20"/>
              </w:rPr>
              <w:t xml:space="preserve">Scenario 3: Cd + </w:t>
            </w:r>
            <w:proofErr w:type="spellStart"/>
            <w:r w:rsidRPr="00F04A75">
              <w:rPr>
                <w:rFonts w:ascii="Arial Narrow" w:hAnsi="Arial Narrow" w:cstheme="minorHAnsi"/>
                <w:b/>
                <w:bCs/>
                <w:sz w:val="20"/>
                <w:szCs w:val="20"/>
              </w:rPr>
              <w:t>PBd</w:t>
            </w:r>
            <w:proofErr w:type="spellEnd"/>
            <w:r w:rsidRPr="00F04A75">
              <w:rPr>
                <w:rFonts w:ascii="Arial Narrow" w:hAnsi="Arial Narrow" w:cstheme="minorHAnsi"/>
                <w:b/>
                <w:bCs/>
                <w:sz w:val="20"/>
                <w:szCs w:val="20"/>
              </w:rPr>
              <w:t xml:space="preserve"> + </w:t>
            </w:r>
            <w:proofErr w:type="spellStart"/>
            <w:r w:rsidRPr="00F04A75">
              <w:rPr>
                <w:rFonts w:ascii="Arial Narrow" w:hAnsi="Arial Narrow" w:cstheme="minorHAnsi"/>
                <w:b/>
                <w:bCs/>
                <w:sz w:val="20"/>
                <w:szCs w:val="20"/>
              </w:rPr>
              <w:t>CLd</w:t>
            </w:r>
            <w:proofErr w:type="spellEnd"/>
          </w:p>
        </w:tc>
      </w:tr>
      <w:tr w:rsidR="000D1A34" w:rsidRPr="00F04A75" w14:paraId="5858E01D" w14:textId="77777777" w:rsidTr="00A37D89">
        <w:trPr>
          <w:trHeight w:val="70"/>
        </w:trPr>
        <w:tc>
          <w:tcPr>
            <w:tcW w:w="1557" w:type="dxa"/>
            <w:shd w:val="clear" w:color="auto" w:fill="auto"/>
            <w:noWrap/>
            <w:tcMar>
              <w:left w:w="28" w:type="dxa"/>
              <w:right w:w="28" w:type="dxa"/>
            </w:tcMar>
          </w:tcPr>
          <w:p w14:paraId="62DB1A12" w14:textId="77777777" w:rsidR="000D1A34" w:rsidRPr="00F04A75" w:rsidRDefault="000D1A34" w:rsidP="00322A0A">
            <w:pPr>
              <w:rPr>
                <w:rFonts w:ascii="Arial Narrow" w:hAnsi="Arial Narrow" w:cstheme="minorHAnsi"/>
                <w:sz w:val="20"/>
                <w:szCs w:val="20"/>
                <w:lang w:bidi="hi-IN"/>
              </w:rPr>
            </w:pPr>
            <w:r w:rsidRPr="00F04A75">
              <w:rPr>
                <w:rFonts w:ascii="Arial Narrow" w:hAnsi="Arial Narrow" w:cstheme="minorHAnsi"/>
                <w:sz w:val="20"/>
                <w:szCs w:val="20"/>
                <w:lang w:bidi="hi-IN"/>
              </w:rPr>
              <w:t xml:space="preserve">Estimated patients </w:t>
            </w:r>
          </w:p>
        </w:tc>
        <w:tc>
          <w:tcPr>
            <w:tcW w:w="1242" w:type="dxa"/>
            <w:shd w:val="clear" w:color="auto" w:fill="auto"/>
            <w:noWrap/>
            <w:tcMar>
              <w:left w:w="28" w:type="dxa"/>
              <w:right w:w="28" w:type="dxa"/>
            </w:tcMar>
            <w:vAlign w:val="center"/>
          </w:tcPr>
          <w:p w14:paraId="0A8415FC" w14:textId="045639E6" w:rsidR="000D1A34" w:rsidRPr="00993E00" w:rsidRDefault="000960C3" w:rsidP="00322A0A">
            <w:pPr>
              <w:keepNext/>
              <w:jc w:val="center"/>
              <w:rPr>
                <w:rFonts w:ascii="Arial Narrow" w:hAnsi="Arial Narrow" w:cstheme="minorHAnsi"/>
                <w:color w:val="000000"/>
                <w:sz w:val="20"/>
                <w:szCs w:val="20"/>
                <w:highlight w:val="yellow"/>
              </w:rPr>
            </w:pPr>
            <w:r w:rsidRPr="000960C3">
              <w:rPr>
                <w:rFonts w:ascii="Arial Narrow" w:hAnsi="Arial Narrow"/>
                <w:color w:val="000000"/>
                <w:spacing w:val="41"/>
                <w:sz w:val="20"/>
                <w:szCs w:val="20"/>
                <w:shd w:val="solid" w:color="000000" w:fill="000000"/>
                <w:fitText w:val="210" w:id="-1506043647"/>
                <w14:textFill>
                  <w14:solidFill>
                    <w14:srgbClr w14:val="000000">
                      <w14:alpha w14:val="100000"/>
                    </w14:srgbClr>
                  </w14:solidFill>
                </w14:textFill>
              </w:rPr>
              <w:t>||</w:t>
            </w:r>
            <w:r w:rsidRPr="000960C3">
              <w:rPr>
                <w:rFonts w:ascii="Arial Narrow" w:hAnsi="Arial Narrow"/>
                <w:color w:val="000000"/>
                <w:spacing w:val="1"/>
                <w:sz w:val="20"/>
                <w:szCs w:val="20"/>
                <w:shd w:val="solid" w:color="000000" w:fill="000000"/>
                <w:fitText w:val="210" w:id="-1506043647"/>
                <w14:textFill>
                  <w14:solidFill>
                    <w14:srgbClr w14:val="000000">
                      <w14:alpha w14:val="100000"/>
                    </w14:srgbClr>
                  </w14:solidFill>
                </w14:textFill>
              </w:rPr>
              <w:t>|</w:t>
            </w:r>
            <w:r w:rsidR="00492906">
              <w:rPr>
                <w:rFonts w:ascii="Arial Narrow" w:hAnsi="Arial Narrow"/>
                <w:color w:val="000000"/>
                <w:sz w:val="20"/>
                <w:szCs w:val="20"/>
                <w:vertAlign w:val="superscript"/>
              </w:rPr>
              <w:t>1</w:t>
            </w:r>
            <w:r w:rsidRPr="000960C3">
              <w:rPr>
                <w:rFonts w:ascii="Arial Narrow" w:hAnsi="Arial Narrow" w:hint="eastAsia"/>
                <w:color w:val="000000"/>
                <w:w w:val="24"/>
                <w:sz w:val="20"/>
                <w:szCs w:val="20"/>
                <w:shd w:val="solid" w:color="000000" w:fill="000000"/>
                <w:fitText w:val="90" w:id="-1506043646"/>
                <w:vertAlign w:val="superscript"/>
                <w14:textFill>
                  <w14:solidFill>
                    <w14:srgbClr w14:val="000000">
                      <w14:alpha w14:val="100000"/>
                    </w14:srgbClr>
                  </w14:solidFill>
                </w14:textFill>
              </w:rPr>
              <w:t xml:space="preserve">　</w:t>
            </w:r>
            <w:r w:rsidRPr="000960C3">
              <w:rPr>
                <w:rFonts w:ascii="Arial Narrow" w:hAnsi="Arial Narrow"/>
                <w:color w:val="000000"/>
                <w:w w:val="24"/>
                <w:sz w:val="20"/>
                <w:szCs w:val="20"/>
                <w:shd w:val="solid" w:color="000000" w:fill="000000"/>
                <w:fitText w:val="90" w:id="-1506043646"/>
                <w14:textFill>
                  <w14:solidFill>
                    <w14:srgbClr w14:val="000000">
                      <w14:alpha w14:val="100000"/>
                    </w14:srgbClr>
                  </w14:solidFill>
                </w14:textFill>
              </w:rPr>
              <w:t>|</w:t>
            </w:r>
            <w:r w:rsidRPr="000960C3">
              <w:rPr>
                <w:rFonts w:ascii="Arial Narrow" w:hAnsi="Arial Narrow" w:hint="eastAsia"/>
                <w:color w:val="000000"/>
                <w:spacing w:val="4"/>
                <w:w w:val="24"/>
                <w:sz w:val="20"/>
                <w:szCs w:val="20"/>
                <w:shd w:val="solid" w:color="000000" w:fill="000000"/>
                <w:fitText w:val="90" w:id="-1506043646"/>
                <w14:textFill>
                  <w14:solidFill>
                    <w14:srgbClr w14:val="000000">
                      <w14:alpha w14:val="100000"/>
                    </w14:srgbClr>
                  </w14:solidFill>
                </w14:textFill>
              </w:rPr>
              <w:t xml:space="preserve">　</w:t>
            </w:r>
          </w:p>
        </w:tc>
        <w:tc>
          <w:tcPr>
            <w:tcW w:w="1243" w:type="dxa"/>
            <w:shd w:val="clear" w:color="auto" w:fill="auto"/>
            <w:noWrap/>
            <w:tcMar>
              <w:left w:w="28" w:type="dxa"/>
              <w:right w:w="28" w:type="dxa"/>
            </w:tcMar>
            <w:vAlign w:val="center"/>
          </w:tcPr>
          <w:p w14:paraId="084C182D" w14:textId="5BF98A99" w:rsidR="000D1A34" w:rsidRPr="00993E00" w:rsidRDefault="000960C3" w:rsidP="00322A0A">
            <w:pPr>
              <w:keepNext/>
              <w:jc w:val="center"/>
              <w:rPr>
                <w:rFonts w:ascii="Arial Narrow" w:hAnsi="Arial Narrow" w:cstheme="minorHAnsi"/>
                <w:color w:val="000000"/>
                <w:sz w:val="20"/>
                <w:szCs w:val="20"/>
                <w:highlight w:val="yellow"/>
              </w:rPr>
            </w:pPr>
            <w:r w:rsidRPr="000960C3">
              <w:rPr>
                <w:rFonts w:ascii="Arial Narrow" w:hAnsi="Arial Narrow"/>
                <w:color w:val="000000"/>
                <w:spacing w:val="41"/>
                <w:sz w:val="20"/>
                <w:szCs w:val="20"/>
                <w:shd w:val="solid" w:color="000000" w:fill="000000"/>
                <w:fitText w:val="210" w:id="-1506043645"/>
                <w14:textFill>
                  <w14:solidFill>
                    <w14:srgbClr w14:val="000000">
                      <w14:alpha w14:val="100000"/>
                    </w14:srgbClr>
                  </w14:solidFill>
                </w14:textFill>
              </w:rPr>
              <w:t>||</w:t>
            </w:r>
            <w:r w:rsidRPr="000960C3">
              <w:rPr>
                <w:rFonts w:ascii="Arial Narrow" w:hAnsi="Arial Narrow"/>
                <w:color w:val="000000"/>
                <w:spacing w:val="1"/>
                <w:sz w:val="20"/>
                <w:szCs w:val="20"/>
                <w:shd w:val="solid" w:color="000000" w:fill="000000"/>
                <w:fitText w:val="210" w:id="-1506043645"/>
                <w14:textFill>
                  <w14:solidFill>
                    <w14:srgbClr w14:val="000000">
                      <w14:alpha w14:val="100000"/>
                    </w14:srgbClr>
                  </w14:solidFill>
                </w14:textFill>
              </w:rPr>
              <w:t>|</w:t>
            </w:r>
            <w:r w:rsidR="00492906">
              <w:rPr>
                <w:rFonts w:ascii="Arial Narrow" w:hAnsi="Arial Narrow"/>
                <w:color w:val="000000"/>
                <w:sz w:val="20"/>
                <w:szCs w:val="20"/>
                <w:vertAlign w:val="superscript"/>
              </w:rPr>
              <w:t>1</w:t>
            </w:r>
            <w:r w:rsidRPr="000960C3">
              <w:rPr>
                <w:rFonts w:ascii="Arial Narrow" w:hAnsi="Arial Narrow" w:hint="eastAsia"/>
                <w:color w:val="000000"/>
                <w:w w:val="24"/>
                <w:sz w:val="20"/>
                <w:szCs w:val="20"/>
                <w:shd w:val="solid" w:color="000000" w:fill="000000"/>
                <w:fitText w:val="90" w:id="-1506043644"/>
                <w:vertAlign w:val="superscript"/>
                <w14:textFill>
                  <w14:solidFill>
                    <w14:srgbClr w14:val="000000">
                      <w14:alpha w14:val="100000"/>
                    </w14:srgbClr>
                  </w14:solidFill>
                </w14:textFill>
              </w:rPr>
              <w:t xml:space="preserve">　</w:t>
            </w:r>
            <w:r w:rsidRPr="000960C3">
              <w:rPr>
                <w:rFonts w:ascii="Arial Narrow" w:hAnsi="Arial Narrow"/>
                <w:color w:val="000000"/>
                <w:w w:val="24"/>
                <w:sz w:val="20"/>
                <w:szCs w:val="20"/>
                <w:shd w:val="solid" w:color="000000" w:fill="000000"/>
                <w:fitText w:val="90" w:id="-1506043644"/>
                <w14:textFill>
                  <w14:solidFill>
                    <w14:srgbClr w14:val="000000">
                      <w14:alpha w14:val="100000"/>
                    </w14:srgbClr>
                  </w14:solidFill>
                </w14:textFill>
              </w:rPr>
              <w:t>|</w:t>
            </w:r>
            <w:r w:rsidRPr="000960C3">
              <w:rPr>
                <w:rFonts w:ascii="Arial Narrow" w:hAnsi="Arial Narrow" w:hint="eastAsia"/>
                <w:color w:val="000000"/>
                <w:spacing w:val="4"/>
                <w:w w:val="24"/>
                <w:sz w:val="20"/>
                <w:szCs w:val="20"/>
                <w:shd w:val="solid" w:color="000000" w:fill="000000"/>
                <w:fitText w:val="90" w:id="-1506043644"/>
                <w14:textFill>
                  <w14:solidFill>
                    <w14:srgbClr w14:val="000000">
                      <w14:alpha w14:val="100000"/>
                    </w14:srgbClr>
                  </w14:solidFill>
                </w14:textFill>
              </w:rPr>
              <w:t xml:space="preserve">　</w:t>
            </w:r>
          </w:p>
        </w:tc>
        <w:tc>
          <w:tcPr>
            <w:tcW w:w="1242" w:type="dxa"/>
            <w:shd w:val="clear" w:color="auto" w:fill="auto"/>
            <w:noWrap/>
            <w:tcMar>
              <w:left w:w="28" w:type="dxa"/>
              <w:right w:w="28" w:type="dxa"/>
            </w:tcMar>
            <w:vAlign w:val="center"/>
          </w:tcPr>
          <w:p w14:paraId="6A482F97" w14:textId="6A7314DC" w:rsidR="000D1A34" w:rsidRPr="00993E00" w:rsidRDefault="000960C3" w:rsidP="00322A0A">
            <w:pPr>
              <w:keepNext/>
              <w:jc w:val="center"/>
              <w:rPr>
                <w:rFonts w:ascii="Arial Narrow" w:hAnsi="Arial Narrow" w:cstheme="minorHAnsi"/>
                <w:color w:val="000000"/>
                <w:sz w:val="20"/>
                <w:szCs w:val="20"/>
                <w:highlight w:val="yellow"/>
              </w:rPr>
            </w:pPr>
            <w:r w:rsidRPr="000960C3">
              <w:rPr>
                <w:rFonts w:ascii="Arial Narrow" w:hAnsi="Arial Narrow"/>
                <w:color w:val="000000"/>
                <w:spacing w:val="41"/>
                <w:sz w:val="20"/>
                <w:szCs w:val="20"/>
                <w:shd w:val="solid" w:color="000000" w:fill="000000"/>
                <w:fitText w:val="210" w:id="-1506043643"/>
                <w14:textFill>
                  <w14:solidFill>
                    <w14:srgbClr w14:val="000000">
                      <w14:alpha w14:val="100000"/>
                    </w14:srgbClr>
                  </w14:solidFill>
                </w14:textFill>
              </w:rPr>
              <w:t>||</w:t>
            </w:r>
            <w:r w:rsidRPr="000960C3">
              <w:rPr>
                <w:rFonts w:ascii="Arial Narrow" w:hAnsi="Arial Narrow"/>
                <w:color w:val="000000"/>
                <w:spacing w:val="1"/>
                <w:sz w:val="20"/>
                <w:szCs w:val="20"/>
                <w:shd w:val="solid" w:color="000000" w:fill="000000"/>
                <w:fitText w:val="210" w:id="-1506043643"/>
                <w14:textFill>
                  <w14:solidFill>
                    <w14:srgbClr w14:val="000000">
                      <w14:alpha w14:val="100000"/>
                    </w14:srgbClr>
                  </w14:solidFill>
                </w14:textFill>
              </w:rPr>
              <w:t>|</w:t>
            </w:r>
            <w:r w:rsidR="00492906">
              <w:rPr>
                <w:rFonts w:ascii="Arial Narrow" w:hAnsi="Arial Narrow"/>
                <w:color w:val="000000"/>
                <w:sz w:val="20"/>
                <w:szCs w:val="20"/>
                <w:vertAlign w:val="superscript"/>
              </w:rPr>
              <w:t>1</w:t>
            </w:r>
            <w:r w:rsidRPr="000960C3">
              <w:rPr>
                <w:rFonts w:ascii="Arial Narrow" w:hAnsi="Arial Narrow" w:hint="eastAsia"/>
                <w:color w:val="000000"/>
                <w:w w:val="24"/>
                <w:sz w:val="20"/>
                <w:szCs w:val="20"/>
                <w:shd w:val="solid" w:color="000000" w:fill="000000"/>
                <w:fitText w:val="90" w:id="-1506043642"/>
                <w:vertAlign w:val="superscript"/>
                <w14:textFill>
                  <w14:solidFill>
                    <w14:srgbClr w14:val="000000">
                      <w14:alpha w14:val="100000"/>
                    </w14:srgbClr>
                  </w14:solidFill>
                </w14:textFill>
              </w:rPr>
              <w:t xml:space="preserve">　</w:t>
            </w:r>
            <w:r w:rsidRPr="000960C3">
              <w:rPr>
                <w:rFonts w:ascii="Arial Narrow" w:hAnsi="Arial Narrow"/>
                <w:color w:val="000000"/>
                <w:w w:val="24"/>
                <w:sz w:val="20"/>
                <w:szCs w:val="20"/>
                <w:shd w:val="solid" w:color="000000" w:fill="000000"/>
                <w:fitText w:val="90" w:id="-1506043642"/>
                <w14:textFill>
                  <w14:solidFill>
                    <w14:srgbClr w14:val="000000">
                      <w14:alpha w14:val="100000"/>
                    </w14:srgbClr>
                  </w14:solidFill>
                </w14:textFill>
              </w:rPr>
              <w:t>|</w:t>
            </w:r>
            <w:r w:rsidRPr="000960C3">
              <w:rPr>
                <w:rFonts w:ascii="Arial Narrow" w:hAnsi="Arial Narrow" w:hint="eastAsia"/>
                <w:color w:val="000000"/>
                <w:spacing w:val="4"/>
                <w:w w:val="24"/>
                <w:sz w:val="20"/>
                <w:szCs w:val="20"/>
                <w:shd w:val="solid" w:color="000000" w:fill="000000"/>
                <w:fitText w:val="90" w:id="-1506043642"/>
                <w14:textFill>
                  <w14:solidFill>
                    <w14:srgbClr w14:val="000000">
                      <w14:alpha w14:val="100000"/>
                    </w14:srgbClr>
                  </w14:solidFill>
                </w14:textFill>
              </w:rPr>
              <w:t xml:space="preserve">　</w:t>
            </w:r>
          </w:p>
        </w:tc>
        <w:tc>
          <w:tcPr>
            <w:tcW w:w="1232" w:type="dxa"/>
            <w:shd w:val="clear" w:color="auto" w:fill="auto"/>
            <w:noWrap/>
            <w:tcMar>
              <w:left w:w="28" w:type="dxa"/>
              <w:right w:w="28" w:type="dxa"/>
            </w:tcMar>
            <w:vAlign w:val="center"/>
          </w:tcPr>
          <w:p w14:paraId="6E56AB5D" w14:textId="5CDBE19A" w:rsidR="000D1A34" w:rsidRPr="00993E00" w:rsidRDefault="000960C3" w:rsidP="00322A0A">
            <w:pPr>
              <w:keepNext/>
              <w:jc w:val="center"/>
              <w:rPr>
                <w:rFonts w:ascii="Arial Narrow" w:hAnsi="Arial Narrow" w:cstheme="minorHAnsi"/>
                <w:color w:val="000000"/>
                <w:sz w:val="20"/>
                <w:szCs w:val="20"/>
                <w:highlight w:val="yellow"/>
              </w:rPr>
            </w:pPr>
            <w:r w:rsidRPr="000960C3">
              <w:rPr>
                <w:rFonts w:ascii="Arial Narrow" w:hAnsi="Arial Narrow"/>
                <w:color w:val="000000"/>
                <w:spacing w:val="41"/>
                <w:sz w:val="20"/>
                <w:szCs w:val="20"/>
                <w:shd w:val="solid" w:color="000000" w:fill="000000"/>
                <w:fitText w:val="210" w:id="-1506043641"/>
                <w14:textFill>
                  <w14:solidFill>
                    <w14:srgbClr w14:val="000000">
                      <w14:alpha w14:val="100000"/>
                    </w14:srgbClr>
                  </w14:solidFill>
                </w14:textFill>
              </w:rPr>
              <w:t>||</w:t>
            </w:r>
            <w:r w:rsidRPr="000960C3">
              <w:rPr>
                <w:rFonts w:ascii="Arial Narrow" w:hAnsi="Arial Narrow"/>
                <w:color w:val="000000"/>
                <w:spacing w:val="1"/>
                <w:sz w:val="20"/>
                <w:szCs w:val="20"/>
                <w:shd w:val="solid" w:color="000000" w:fill="000000"/>
                <w:fitText w:val="210" w:id="-1506043641"/>
                <w14:textFill>
                  <w14:solidFill>
                    <w14:srgbClr w14:val="000000">
                      <w14:alpha w14:val="100000"/>
                    </w14:srgbClr>
                  </w14:solidFill>
                </w14:textFill>
              </w:rPr>
              <w:t>|</w:t>
            </w:r>
            <w:r w:rsidR="00492906">
              <w:rPr>
                <w:rFonts w:ascii="Arial Narrow" w:hAnsi="Arial Narrow"/>
                <w:color w:val="000000"/>
                <w:sz w:val="20"/>
                <w:szCs w:val="20"/>
                <w:vertAlign w:val="superscript"/>
              </w:rPr>
              <w:t>1</w:t>
            </w:r>
            <w:r w:rsidRPr="000960C3">
              <w:rPr>
                <w:rFonts w:ascii="Arial Narrow" w:hAnsi="Arial Narrow" w:hint="eastAsia"/>
                <w:color w:val="000000"/>
                <w:w w:val="24"/>
                <w:sz w:val="20"/>
                <w:szCs w:val="20"/>
                <w:shd w:val="solid" w:color="000000" w:fill="000000"/>
                <w:fitText w:val="90" w:id="-1506043640"/>
                <w:vertAlign w:val="superscript"/>
                <w14:textFill>
                  <w14:solidFill>
                    <w14:srgbClr w14:val="000000">
                      <w14:alpha w14:val="100000"/>
                    </w14:srgbClr>
                  </w14:solidFill>
                </w14:textFill>
              </w:rPr>
              <w:t xml:space="preserve">　</w:t>
            </w:r>
            <w:r w:rsidRPr="000960C3">
              <w:rPr>
                <w:rFonts w:ascii="Arial Narrow" w:hAnsi="Arial Narrow"/>
                <w:color w:val="000000"/>
                <w:w w:val="24"/>
                <w:sz w:val="20"/>
                <w:szCs w:val="20"/>
                <w:shd w:val="solid" w:color="000000" w:fill="000000"/>
                <w:fitText w:val="90" w:id="-1506043640"/>
                <w14:textFill>
                  <w14:solidFill>
                    <w14:srgbClr w14:val="000000">
                      <w14:alpha w14:val="100000"/>
                    </w14:srgbClr>
                  </w14:solidFill>
                </w14:textFill>
              </w:rPr>
              <w:t>|</w:t>
            </w:r>
            <w:r w:rsidRPr="000960C3">
              <w:rPr>
                <w:rFonts w:ascii="Arial Narrow" w:hAnsi="Arial Narrow" w:hint="eastAsia"/>
                <w:color w:val="000000"/>
                <w:spacing w:val="4"/>
                <w:w w:val="24"/>
                <w:sz w:val="20"/>
                <w:szCs w:val="20"/>
                <w:shd w:val="solid" w:color="000000" w:fill="000000"/>
                <w:fitText w:val="90" w:id="-1506043640"/>
                <w14:textFill>
                  <w14:solidFill>
                    <w14:srgbClr w14:val="000000">
                      <w14:alpha w14:val="100000"/>
                    </w14:srgbClr>
                  </w14:solidFill>
                </w14:textFill>
              </w:rPr>
              <w:t xml:space="preserve">　</w:t>
            </w:r>
          </w:p>
        </w:tc>
        <w:tc>
          <w:tcPr>
            <w:tcW w:w="1276" w:type="dxa"/>
            <w:shd w:val="clear" w:color="auto" w:fill="auto"/>
            <w:noWrap/>
            <w:tcMar>
              <w:left w:w="28" w:type="dxa"/>
              <w:right w:w="28" w:type="dxa"/>
            </w:tcMar>
            <w:vAlign w:val="center"/>
          </w:tcPr>
          <w:p w14:paraId="0DF90420" w14:textId="3FC16C15" w:rsidR="000D1A34" w:rsidRPr="00993E00" w:rsidRDefault="000960C3" w:rsidP="00322A0A">
            <w:pPr>
              <w:keepNext/>
              <w:jc w:val="center"/>
              <w:rPr>
                <w:rFonts w:ascii="Arial Narrow" w:hAnsi="Arial Narrow" w:cstheme="minorHAnsi"/>
                <w:color w:val="000000"/>
                <w:sz w:val="20"/>
                <w:szCs w:val="20"/>
                <w:highlight w:val="yellow"/>
              </w:rPr>
            </w:pPr>
            <w:r w:rsidRPr="000960C3">
              <w:rPr>
                <w:rFonts w:ascii="Arial Narrow" w:hAnsi="Arial Narrow"/>
                <w:color w:val="000000"/>
                <w:spacing w:val="94"/>
                <w:sz w:val="20"/>
                <w:szCs w:val="20"/>
                <w:shd w:val="solid" w:color="000000" w:fill="000000"/>
                <w:fitText w:val="180" w:id="-1506043639"/>
                <w14:textFill>
                  <w14:solidFill>
                    <w14:srgbClr w14:val="000000">
                      <w14:alpha w14:val="100000"/>
                    </w14:srgbClr>
                  </w14:solidFill>
                </w14:textFill>
              </w:rPr>
              <w:t>|</w:t>
            </w:r>
            <w:r w:rsidRPr="000960C3">
              <w:rPr>
                <w:rFonts w:ascii="Arial Narrow" w:hAnsi="Arial Narrow"/>
                <w:color w:val="000000"/>
                <w:spacing w:val="1"/>
                <w:sz w:val="20"/>
                <w:szCs w:val="20"/>
                <w:shd w:val="solid" w:color="000000" w:fill="000000"/>
                <w:fitText w:val="180" w:id="-1506043639"/>
                <w14:textFill>
                  <w14:solidFill>
                    <w14:srgbClr w14:val="000000">
                      <w14:alpha w14:val="100000"/>
                    </w14:srgbClr>
                  </w14:solidFill>
                </w14:textFill>
              </w:rPr>
              <w:t>|</w:t>
            </w:r>
            <w:r w:rsidR="00492906">
              <w:rPr>
                <w:rFonts w:ascii="Arial Narrow" w:hAnsi="Arial Narrow"/>
                <w:color w:val="000000"/>
                <w:sz w:val="20"/>
                <w:szCs w:val="20"/>
                <w:vertAlign w:val="superscript"/>
              </w:rPr>
              <w:t>1</w:t>
            </w:r>
            <w:r w:rsidRPr="000960C3">
              <w:rPr>
                <w:rFonts w:ascii="Arial Narrow" w:hAnsi="Arial Narrow" w:hint="eastAsia"/>
                <w:color w:val="000000"/>
                <w:w w:val="16"/>
                <w:sz w:val="20"/>
                <w:szCs w:val="20"/>
                <w:shd w:val="solid" w:color="000000" w:fill="000000"/>
                <w:fitText w:val="60" w:id="-1506043638"/>
                <w:vertAlign w:val="superscript"/>
                <w14:textFill>
                  <w14:solidFill>
                    <w14:srgbClr w14:val="000000">
                      <w14:alpha w14:val="100000"/>
                    </w14:srgbClr>
                  </w14:solidFill>
                </w14:textFill>
              </w:rPr>
              <w:t xml:space="preserve">　</w:t>
            </w:r>
            <w:r w:rsidRPr="000960C3">
              <w:rPr>
                <w:rFonts w:ascii="Arial Narrow" w:hAnsi="Arial Narrow"/>
                <w:color w:val="000000"/>
                <w:w w:val="16"/>
                <w:sz w:val="20"/>
                <w:szCs w:val="20"/>
                <w:shd w:val="solid" w:color="000000" w:fill="000000"/>
                <w:fitText w:val="60" w:id="-1506043638"/>
                <w14:textFill>
                  <w14:solidFill>
                    <w14:srgbClr w14:val="000000">
                      <w14:alpha w14:val="100000"/>
                    </w14:srgbClr>
                  </w14:solidFill>
                </w14:textFill>
              </w:rPr>
              <w:t>|</w:t>
            </w:r>
            <w:r w:rsidRPr="000960C3">
              <w:rPr>
                <w:rFonts w:ascii="Arial Narrow" w:hAnsi="Arial Narrow" w:hint="eastAsia"/>
                <w:color w:val="000000"/>
                <w:spacing w:val="3"/>
                <w:w w:val="16"/>
                <w:sz w:val="20"/>
                <w:szCs w:val="20"/>
                <w:shd w:val="solid" w:color="000000" w:fill="000000"/>
                <w:fitText w:val="60" w:id="-1506043638"/>
                <w14:textFill>
                  <w14:solidFill>
                    <w14:srgbClr w14:val="000000">
                      <w14:alpha w14:val="100000"/>
                    </w14:srgbClr>
                  </w14:solidFill>
                </w14:textFill>
              </w:rPr>
              <w:t xml:space="preserve">　</w:t>
            </w:r>
          </w:p>
        </w:tc>
        <w:tc>
          <w:tcPr>
            <w:tcW w:w="1232" w:type="dxa"/>
            <w:shd w:val="clear" w:color="auto" w:fill="auto"/>
            <w:noWrap/>
            <w:tcMar>
              <w:left w:w="28" w:type="dxa"/>
              <w:right w:w="28" w:type="dxa"/>
            </w:tcMar>
            <w:vAlign w:val="center"/>
          </w:tcPr>
          <w:p w14:paraId="2520047C" w14:textId="4E839E76" w:rsidR="000D1A34" w:rsidRPr="00993E00" w:rsidRDefault="000960C3" w:rsidP="00322A0A">
            <w:pPr>
              <w:keepNext/>
              <w:jc w:val="center"/>
              <w:rPr>
                <w:rFonts w:ascii="Arial Narrow" w:hAnsi="Arial Narrow" w:cstheme="minorHAnsi"/>
                <w:color w:val="000000"/>
                <w:sz w:val="20"/>
                <w:szCs w:val="20"/>
                <w:highlight w:val="yellow"/>
              </w:rPr>
            </w:pPr>
            <w:r w:rsidRPr="000960C3">
              <w:rPr>
                <w:rFonts w:ascii="Arial Narrow" w:hAnsi="Arial Narrow"/>
                <w:color w:val="000000"/>
                <w:spacing w:val="41"/>
                <w:sz w:val="20"/>
                <w:szCs w:val="20"/>
                <w:shd w:val="solid" w:color="000000" w:fill="000000"/>
                <w:fitText w:val="210" w:id="-1506043637"/>
                <w14:textFill>
                  <w14:solidFill>
                    <w14:srgbClr w14:val="000000">
                      <w14:alpha w14:val="100000"/>
                    </w14:srgbClr>
                  </w14:solidFill>
                </w14:textFill>
              </w:rPr>
              <w:t>||</w:t>
            </w:r>
            <w:r w:rsidRPr="000960C3">
              <w:rPr>
                <w:rFonts w:ascii="Arial Narrow" w:hAnsi="Arial Narrow"/>
                <w:color w:val="000000"/>
                <w:spacing w:val="1"/>
                <w:sz w:val="20"/>
                <w:szCs w:val="20"/>
                <w:shd w:val="solid" w:color="000000" w:fill="000000"/>
                <w:fitText w:val="210" w:id="-1506043637"/>
                <w14:textFill>
                  <w14:solidFill>
                    <w14:srgbClr w14:val="000000">
                      <w14:alpha w14:val="100000"/>
                    </w14:srgbClr>
                  </w14:solidFill>
                </w14:textFill>
              </w:rPr>
              <w:t>|</w:t>
            </w:r>
            <w:r w:rsidR="00492906">
              <w:rPr>
                <w:rFonts w:ascii="Arial Narrow" w:hAnsi="Arial Narrow"/>
                <w:color w:val="000000"/>
                <w:sz w:val="20"/>
                <w:szCs w:val="20"/>
                <w:vertAlign w:val="superscript"/>
              </w:rPr>
              <w:t>1</w:t>
            </w:r>
            <w:r w:rsidRPr="000960C3">
              <w:rPr>
                <w:rFonts w:ascii="Arial Narrow" w:hAnsi="Arial Narrow" w:hint="eastAsia"/>
                <w:color w:val="000000"/>
                <w:w w:val="24"/>
                <w:sz w:val="20"/>
                <w:szCs w:val="20"/>
                <w:shd w:val="solid" w:color="000000" w:fill="000000"/>
                <w:fitText w:val="90" w:id="-1506043636"/>
                <w:vertAlign w:val="superscript"/>
                <w14:textFill>
                  <w14:solidFill>
                    <w14:srgbClr w14:val="000000">
                      <w14:alpha w14:val="100000"/>
                    </w14:srgbClr>
                  </w14:solidFill>
                </w14:textFill>
              </w:rPr>
              <w:t xml:space="preserve">　</w:t>
            </w:r>
            <w:r w:rsidRPr="000960C3">
              <w:rPr>
                <w:rFonts w:ascii="Arial Narrow" w:hAnsi="Arial Narrow"/>
                <w:color w:val="000000"/>
                <w:w w:val="24"/>
                <w:sz w:val="20"/>
                <w:szCs w:val="20"/>
                <w:shd w:val="solid" w:color="000000" w:fill="000000"/>
                <w:fitText w:val="90" w:id="-1506043636"/>
                <w14:textFill>
                  <w14:solidFill>
                    <w14:srgbClr w14:val="000000">
                      <w14:alpha w14:val="100000"/>
                    </w14:srgbClr>
                  </w14:solidFill>
                </w14:textFill>
              </w:rPr>
              <w:t>|</w:t>
            </w:r>
            <w:r w:rsidRPr="000960C3">
              <w:rPr>
                <w:rFonts w:ascii="Arial Narrow" w:hAnsi="Arial Narrow" w:hint="eastAsia"/>
                <w:color w:val="000000"/>
                <w:spacing w:val="4"/>
                <w:w w:val="24"/>
                <w:sz w:val="20"/>
                <w:szCs w:val="20"/>
                <w:shd w:val="solid" w:color="000000" w:fill="000000"/>
                <w:fitText w:val="90" w:id="-1506043636"/>
                <w14:textFill>
                  <w14:solidFill>
                    <w14:srgbClr w14:val="000000">
                      <w14:alpha w14:val="100000"/>
                    </w14:srgbClr>
                  </w14:solidFill>
                </w14:textFill>
              </w:rPr>
              <w:t xml:space="preserve">　</w:t>
            </w:r>
          </w:p>
        </w:tc>
      </w:tr>
      <w:tr w:rsidR="000F6C3B" w:rsidRPr="00F04A75" w14:paraId="03BE4639" w14:textId="77777777" w:rsidTr="00A37D89">
        <w:trPr>
          <w:trHeight w:val="70"/>
        </w:trPr>
        <w:tc>
          <w:tcPr>
            <w:tcW w:w="1557" w:type="dxa"/>
            <w:shd w:val="clear" w:color="auto" w:fill="auto"/>
            <w:noWrap/>
            <w:tcMar>
              <w:left w:w="28" w:type="dxa"/>
              <w:right w:w="28" w:type="dxa"/>
            </w:tcMar>
            <w:hideMark/>
          </w:tcPr>
          <w:p w14:paraId="3E4B8BD2" w14:textId="4E02366B" w:rsidR="000F6C3B" w:rsidRPr="00F04A75" w:rsidRDefault="000F6C3B" w:rsidP="00322A0A">
            <w:pPr>
              <w:rPr>
                <w:rFonts w:ascii="Arial Narrow" w:hAnsi="Arial Narrow" w:cstheme="minorHAnsi"/>
                <w:sz w:val="20"/>
                <w:szCs w:val="20"/>
                <w:lang w:bidi="hi-IN"/>
              </w:rPr>
            </w:pPr>
            <w:r w:rsidRPr="00F04A75">
              <w:rPr>
                <w:rFonts w:ascii="Arial Narrow" w:hAnsi="Arial Narrow" w:cstheme="minorHAnsi"/>
                <w:sz w:val="20"/>
                <w:szCs w:val="20"/>
                <w:lang w:bidi="hi-IN"/>
              </w:rPr>
              <w:t>PBS/RPBS</w:t>
            </w:r>
            <w:r w:rsidR="00917491">
              <w:rPr>
                <w:rFonts w:ascii="Arial Narrow" w:hAnsi="Arial Narrow" w:cstheme="minorHAnsi"/>
                <w:sz w:val="20"/>
                <w:szCs w:val="20"/>
                <w:lang w:bidi="hi-IN"/>
              </w:rPr>
              <w:t xml:space="preserve"> cost</w:t>
            </w:r>
            <w:r w:rsidR="00BB29AF">
              <w:rPr>
                <w:rFonts w:ascii="Arial Narrow" w:hAnsi="Arial Narrow" w:cstheme="minorHAnsi"/>
                <w:sz w:val="20"/>
                <w:szCs w:val="20"/>
                <w:lang w:bidi="hi-IN"/>
              </w:rPr>
              <w:t xml:space="preserve"> </w:t>
            </w:r>
            <w:r w:rsidR="00BB29AF">
              <w:rPr>
                <w:rFonts w:ascii="Arial Narrow" w:hAnsi="Arial Narrow" w:cstheme="minorHAnsi"/>
                <w:bCs/>
                <w:sz w:val="20"/>
                <w:szCs w:val="20"/>
                <w:lang w:bidi="hi-IN"/>
              </w:rPr>
              <w:t>($)</w:t>
            </w:r>
          </w:p>
        </w:tc>
        <w:tc>
          <w:tcPr>
            <w:tcW w:w="1242" w:type="dxa"/>
            <w:shd w:val="clear" w:color="auto" w:fill="auto"/>
            <w:noWrap/>
            <w:tcMar>
              <w:left w:w="28" w:type="dxa"/>
              <w:right w:w="28" w:type="dxa"/>
            </w:tcMar>
            <w:vAlign w:val="center"/>
          </w:tcPr>
          <w:p w14:paraId="733FDDCA" w14:textId="25B55056" w:rsidR="000F6C3B" w:rsidRPr="00F04A75" w:rsidRDefault="000F6C3B" w:rsidP="00322A0A">
            <w:pPr>
              <w:keepNext/>
              <w:jc w:val="center"/>
              <w:rPr>
                <w:rFonts w:ascii="Arial Narrow" w:hAnsi="Arial Narrow" w:cstheme="minorHAnsi"/>
                <w:color w:val="000000"/>
                <w:sz w:val="20"/>
                <w:szCs w:val="20"/>
              </w:rPr>
            </w:pPr>
            <w:r w:rsidRPr="00F04A75">
              <w:rPr>
                <w:rFonts w:ascii="Arial Narrow" w:hAnsi="Arial Narrow" w:cstheme="minorHAnsi"/>
                <w:color w:val="000000"/>
                <w:sz w:val="20"/>
                <w:szCs w:val="20"/>
              </w:rPr>
              <w:t>$</w:t>
            </w:r>
            <w:r w:rsidR="000960C3" w:rsidRPr="000960C3">
              <w:rPr>
                <w:rFonts w:ascii="Arial Narrow" w:hAnsi="Arial Narrow" w:cstheme="minorHAnsi" w:hint="eastAsia"/>
                <w:color w:val="000000"/>
                <w:w w:val="15"/>
                <w:sz w:val="20"/>
                <w:szCs w:val="20"/>
                <w:shd w:val="solid" w:color="000000" w:fill="000000"/>
                <w:fitText w:val="30" w:id="-1506043635"/>
                <w14:textFill>
                  <w14:solidFill>
                    <w14:srgbClr w14:val="000000">
                      <w14:alpha w14:val="100000"/>
                    </w14:srgbClr>
                  </w14:solidFill>
                </w14:textFill>
              </w:rPr>
              <w:t xml:space="preserve">　</w:t>
            </w:r>
            <w:r w:rsidR="000960C3" w:rsidRPr="000960C3">
              <w:rPr>
                <w:rFonts w:ascii="Arial Narrow" w:hAnsi="Arial Narrow" w:cstheme="minorHAnsi"/>
                <w:color w:val="000000"/>
                <w:w w:val="15"/>
                <w:sz w:val="20"/>
                <w:szCs w:val="20"/>
                <w:shd w:val="solid" w:color="000000" w:fill="000000"/>
                <w:fitText w:val="30" w:id="-1506043635"/>
                <w14:textFill>
                  <w14:solidFill>
                    <w14:srgbClr w14:val="000000">
                      <w14:alpha w14:val="100000"/>
                    </w14:srgbClr>
                  </w14:solidFill>
                </w14:textFill>
              </w:rPr>
              <w:t>|</w:t>
            </w:r>
            <w:r w:rsidR="000960C3" w:rsidRPr="000960C3">
              <w:rPr>
                <w:rFonts w:ascii="Arial Narrow" w:hAnsi="Arial Narrow" w:cstheme="minorHAnsi" w:hint="eastAsia"/>
                <w:color w:val="000000"/>
                <w:spacing w:val="-35"/>
                <w:w w:val="15"/>
                <w:sz w:val="20"/>
                <w:szCs w:val="20"/>
                <w:shd w:val="solid" w:color="000000" w:fill="000000"/>
                <w:fitText w:val="30" w:id="-1506043635"/>
                <w14:textFill>
                  <w14:solidFill>
                    <w14:srgbClr w14:val="000000">
                      <w14:alpha w14:val="100000"/>
                    </w14:srgbClr>
                  </w14:solidFill>
                </w14:textFill>
              </w:rPr>
              <w:t xml:space="preserve">　</w:t>
            </w:r>
            <w:r w:rsidR="001E1345">
              <w:rPr>
                <w:rFonts w:ascii="Arial Narrow" w:hAnsi="Arial Narrow" w:cstheme="minorHAnsi"/>
                <w:b/>
                <w:bCs/>
                <w:color w:val="000000"/>
                <w:sz w:val="20"/>
                <w:szCs w:val="20"/>
                <w:vertAlign w:val="superscript"/>
              </w:rPr>
              <w:t>5</w:t>
            </w:r>
          </w:p>
        </w:tc>
        <w:tc>
          <w:tcPr>
            <w:tcW w:w="1243" w:type="dxa"/>
            <w:shd w:val="clear" w:color="auto" w:fill="auto"/>
            <w:noWrap/>
            <w:tcMar>
              <w:left w:w="28" w:type="dxa"/>
              <w:right w:w="28" w:type="dxa"/>
            </w:tcMar>
            <w:vAlign w:val="center"/>
          </w:tcPr>
          <w:p w14:paraId="742C7ACD" w14:textId="58D7A528" w:rsidR="000F6C3B" w:rsidRPr="00492906" w:rsidRDefault="000F6C3B" w:rsidP="00322A0A">
            <w:pPr>
              <w:keepNext/>
              <w:jc w:val="center"/>
              <w:rPr>
                <w:rFonts w:ascii="Arial Narrow" w:hAnsi="Arial Narrow" w:cstheme="minorHAnsi"/>
                <w:color w:val="000000"/>
                <w:sz w:val="20"/>
                <w:szCs w:val="20"/>
                <w:vertAlign w:val="superscript"/>
              </w:rPr>
            </w:pPr>
            <w:r w:rsidRPr="00F04A75">
              <w:rPr>
                <w:rFonts w:ascii="Arial Narrow" w:hAnsi="Arial Narrow" w:cstheme="minorHAnsi"/>
                <w:color w:val="000000"/>
                <w:sz w:val="20"/>
                <w:szCs w:val="20"/>
              </w:rPr>
              <w:t>$</w:t>
            </w:r>
            <w:r w:rsidR="000960C3" w:rsidRPr="000960C3">
              <w:rPr>
                <w:rFonts w:ascii="Arial Narrow" w:hAnsi="Arial Narrow" w:cstheme="minorHAnsi" w:hint="eastAsia"/>
                <w:color w:val="000000"/>
                <w:w w:val="15"/>
                <w:sz w:val="20"/>
                <w:szCs w:val="20"/>
                <w:shd w:val="solid" w:color="000000" w:fill="000000"/>
                <w:fitText w:val="30" w:id="-1506043634"/>
                <w14:textFill>
                  <w14:solidFill>
                    <w14:srgbClr w14:val="000000">
                      <w14:alpha w14:val="100000"/>
                    </w14:srgbClr>
                  </w14:solidFill>
                </w14:textFill>
              </w:rPr>
              <w:t xml:space="preserve">　</w:t>
            </w:r>
            <w:r w:rsidR="000960C3" w:rsidRPr="000960C3">
              <w:rPr>
                <w:rFonts w:ascii="Arial Narrow" w:hAnsi="Arial Narrow" w:cstheme="minorHAnsi"/>
                <w:color w:val="000000"/>
                <w:w w:val="15"/>
                <w:sz w:val="20"/>
                <w:szCs w:val="20"/>
                <w:shd w:val="solid" w:color="000000" w:fill="000000"/>
                <w:fitText w:val="30" w:id="-1506043634"/>
                <w14:textFill>
                  <w14:solidFill>
                    <w14:srgbClr w14:val="000000">
                      <w14:alpha w14:val="100000"/>
                    </w14:srgbClr>
                  </w14:solidFill>
                </w14:textFill>
              </w:rPr>
              <w:t>|</w:t>
            </w:r>
            <w:r w:rsidR="000960C3" w:rsidRPr="000960C3">
              <w:rPr>
                <w:rFonts w:ascii="Arial Narrow" w:hAnsi="Arial Narrow" w:cstheme="minorHAnsi" w:hint="eastAsia"/>
                <w:color w:val="000000"/>
                <w:spacing w:val="-35"/>
                <w:w w:val="15"/>
                <w:sz w:val="20"/>
                <w:szCs w:val="20"/>
                <w:shd w:val="solid" w:color="000000" w:fill="000000"/>
                <w:fitText w:val="30" w:id="-1506043634"/>
                <w14:textFill>
                  <w14:solidFill>
                    <w14:srgbClr w14:val="000000">
                      <w14:alpha w14:val="100000"/>
                    </w14:srgbClr>
                  </w14:solidFill>
                </w14:textFill>
              </w:rPr>
              <w:t xml:space="preserve">　</w:t>
            </w:r>
            <w:r w:rsidR="001E1345">
              <w:rPr>
                <w:rFonts w:ascii="Arial Narrow" w:hAnsi="Arial Narrow" w:cstheme="minorHAnsi"/>
                <w:b/>
                <w:bCs/>
                <w:color w:val="000000"/>
                <w:sz w:val="20"/>
                <w:szCs w:val="20"/>
                <w:vertAlign w:val="superscript"/>
              </w:rPr>
              <w:t>4</w:t>
            </w:r>
          </w:p>
        </w:tc>
        <w:tc>
          <w:tcPr>
            <w:tcW w:w="1242" w:type="dxa"/>
            <w:shd w:val="clear" w:color="auto" w:fill="auto"/>
            <w:noWrap/>
            <w:tcMar>
              <w:left w:w="28" w:type="dxa"/>
              <w:right w:w="28" w:type="dxa"/>
            </w:tcMar>
            <w:vAlign w:val="center"/>
          </w:tcPr>
          <w:p w14:paraId="69700461" w14:textId="2C1FFF96" w:rsidR="000F6C3B" w:rsidRPr="00492906" w:rsidRDefault="000F6C3B" w:rsidP="00322A0A">
            <w:pPr>
              <w:keepNext/>
              <w:jc w:val="center"/>
              <w:rPr>
                <w:rFonts w:ascii="Arial Narrow" w:hAnsi="Arial Narrow" w:cstheme="minorHAnsi"/>
                <w:color w:val="000000"/>
                <w:sz w:val="20"/>
                <w:szCs w:val="20"/>
                <w:vertAlign w:val="superscript"/>
              </w:rPr>
            </w:pPr>
            <w:r w:rsidRPr="00F04A75">
              <w:rPr>
                <w:rFonts w:ascii="Arial Narrow" w:hAnsi="Arial Narrow" w:cstheme="minorHAnsi"/>
                <w:color w:val="000000"/>
                <w:sz w:val="20"/>
                <w:szCs w:val="20"/>
              </w:rPr>
              <w:t>$</w:t>
            </w:r>
            <w:r w:rsidR="000960C3" w:rsidRPr="000960C3">
              <w:rPr>
                <w:rFonts w:ascii="Arial Narrow" w:hAnsi="Arial Narrow" w:cstheme="minorHAnsi" w:hint="eastAsia"/>
                <w:color w:val="000000"/>
                <w:w w:val="15"/>
                <w:sz w:val="20"/>
                <w:szCs w:val="20"/>
                <w:shd w:val="solid" w:color="000000" w:fill="000000"/>
                <w:fitText w:val="30" w:id="-1506043633"/>
                <w14:textFill>
                  <w14:solidFill>
                    <w14:srgbClr w14:val="000000">
                      <w14:alpha w14:val="100000"/>
                    </w14:srgbClr>
                  </w14:solidFill>
                </w14:textFill>
              </w:rPr>
              <w:t xml:space="preserve">　</w:t>
            </w:r>
            <w:r w:rsidR="000960C3" w:rsidRPr="000960C3">
              <w:rPr>
                <w:rFonts w:ascii="Arial Narrow" w:hAnsi="Arial Narrow" w:cstheme="minorHAnsi"/>
                <w:color w:val="000000"/>
                <w:w w:val="15"/>
                <w:sz w:val="20"/>
                <w:szCs w:val="20"/>
                <w:shd w:val="solid" w:color="000000" w:fill="000000"/>
                <w:fitText w:val="30" w:id="-1506043633"/>
                <w14:textFill>
                  <w14:solidFill>
                    <w14:srgbClr w14:val="000000">
                      <w14:alpha w14:val="100000"/>
                    </w14:srgbClr>
                  </w14:solidFill>
                </w14:textFill>
              </w:rPr>
              <w:t>|</w:t>
            </w:r>
            <w:r w:rsidR="000960C3" w:rsidRPr="000960C3">
              <w:rPr>
                <w:rFonts w:ascii="Arial Narrow" w:hAnsi="Arial Narrow" w:cstheme="minorHAnsi" w:hint="eastAsia"/>
                <w:color w:val="000000"/>
                <w:spacing w:val="-35"/>
                <w:w w:val="15"/>
                <w:sz w:val="20"/>
                <w:szCs w:val="20"/>
                <w:shd w:val="solid" w:color="000000" w:fill="000000"/>
                <w:fitText w:val="30" w:id="-1506043633"/>
                <w14:textFill>
                  <w14:solidFill>
                    <w14:srgbClr w14:val="000000">
                      <w14:alpha w14:val="100000"/>
                    </w14:srgbClr>
                  </w14:solidFill>
                </w14:textFill>
              </w:rPr>
              <w:t xml:space="preserve">　</w:t>
            </w:r>
            <w:r w:rsidR="001E1345">
              <w:rPr>
                <w:rFonts w:ascii="Arial Narrow" w:hAnsi="Arial Narrow" w:cstheme="minorHAnsi"/>
                <w:b/>
                <w:bCs/>
                <w:color w:val="000000"/>
                <w:sz w:val="20"/>
                <w:szCs w:val="20"/>
                <w:vertAlign w:val="superscript"/>
              </w:rPr>
              <w:t>4</w:t>
            </w:r>
          </w:p>
        </w:tc>
        <w:tc>
          <w:tcPr>
            <w:tcW w:w="1232" w:type="dxa"/>
            <w:shd w:val="clear" w:color="auto" w:fill="auto"/>
            <w:noWrap/>
            <w:tcMar>
              <w:left w:w="28" w:type="dxa"/>
              <w:right w:w="28" w:type="dxa"/>
            </w:tcMar>
            <w:vAlign w:val="center"/>
          </w:tcPr>
          <w:p w14:paraId="0964EB76" w14:textId="59010F4B" w:rsidR="000F6C3B" w:rsidRPr="00492906" w:rsidRDefault="000F6C3B" w:rsidP="00322A0A">
            <w:pPr>
              <w:keepNext/>
              <w:jc w:val="center"/>
              <w:rPr>
                <w:rFonts w:ascii="Arial Narrow" w:hAnsi="Arial Narrow" w:cstheme="minorHAnsi"/>
                <w:color w:val="000000"/>
                <w:sz w:val="20"/>
                <w:szCs w:val="20"/>
                <w:vertAlign w:val="superscript"/>
              </w:rPr>
            </w:pPr>
            <w:r w:rsidRPr="00F04A75">
              <w:rPr>
                <w:rFonts w:ascii="Arial Narrow" w:hAnsi="Arial Narrow" w:cstheme="minorHAnsi"/>
                <w:color w:val="000000"/>
                <w:sz w:val="20"/>
                <w:szCs w:val="20"/>
              </w:rPr>
              <w:t>$</w:t>
            </w:r>
            <w:r w:rsidR="000960C3" w:rsidRPr="000960C3">
              <w:rPr>
                <w:rFonts w:ascii="Arial Narrow" w:hAnsi="Arial Narrow" w:cstheme="minorHAnsi" w:hint="eastAsia"/>
                <w:color w:val="000000"/>
                <w:w w:val="15"/>
                <w:sz w:val="20"/>
                <w:szCs w:val="20"/>
                <w:shd w:val="solid" w:color="000000" w:fill="000000"/>
                <w:fitText w:val="30" w:id="-1506043632"/>
                <w14:textFill>
                  <w14:solidFill>
                    <w14:srgbClr w14:val="000000">
                      <w14:alpha w14:val="100000"/>
                    </w14:srgbClr>
                  </w14:solidFill>
                </w14:textFill>
              </w:rPr>
              <w:t xml:space="preserve">　</w:t>
            </w:r>
            <w:r w:rsidR="000960C3" w:rsidRPr="000960C3">
              <w:rPr>
                <w:rFonts w:ascii="Arial Narrow" w:hAnsi="Arial Narrow" w:cstheme="minorHAnsi"/>
                <w:color w:val="000000"/>
                <w:w w:val="15"/>
                <w:sz w:val="20"/>
                <w:szCs w:val="20"/>
                <w:shd w:val="solid" w:color="000000" w:fill="000000"/>
                <w:fitText w:val="30" w:id="-1506043632"/>
                <w14:textFill>
                  <w14:solidFill>
                    <w14:srgbClr w14:val="000000">
                      <w14:alpha w14:val="100000"/>
                    </w14:srgbClr>
                  </w14:solidFill>
                </w14:textFill>
              </w:rPr>
              <w:t>|</w:t>
            </w:r>
            <w:r w:rsidR="000960C3" w:rsidRPr="000960C3">
              <w:rPr>
                <w:rFonts w:ascii="Arial Narrow" w:hAnsi="Arial Narrow" w:cstheme="minorHAnsi" w:hint="eastAsia"/>
                <w:color w:val="000000"/>
                <w:spacing w:val="-35"/>
                <w:w w:val="15"/>
                <w:sz w:val="20"/>
                <w:szCs w:val="20"/>
                <w:shd w:val="solid" w:color="000000" w:fill="000000"/>
                <w:fitText w:val="30" w:id="-1506043632"/>
                <w14:textFill>
                  <w14:solidFill>
                    <w14:srgbClr w14:val="000000">
                      <w14:alpha w14:val="100000"/>
                    </w14:srgbClr>
                  </w14:solidFill>
                </w14:textFill>
              </w:rPr>
              <w:t xml:space="preserve">　</w:t>
            </w:r>
            <w:r w:rsidR="001E1345">
              <w:rPr>
                <w:rFonts w:ascii="Arial Narrow" w:hAnsi="Arial Narrow" w:cstheme="minorHAnsi"/>
                <w:b/>
                <w:bCs/>
                <w:color w:val="000000"/>
                <w:sz w:val="20"/>
                <w:szCs w:val="20"/>
                <w:vertAlign w:val="superscript"/>
              </w:rPr>
              <w:t>4</w:t>
            </w:r>
          </w:p>
        </w:tc>
        <w:tc>
          <w:tcPr>
            <w:tcW w:w="1276" w:type="dxa"/>
            <w:shd w:val="clear" w:color="auto" w:fill="auto"/>
            <w:noWrap/>
            <w:tcMar>
              <w:left w:w="28" w:type="dxa"/>
              <w:right w:w="28" w:type="dxa"/>
            </w:tcMar>
            <w:vAlign w:val="center"/>
          </w:tcPr>
          <w:p w14:paraId="7FA9C8C2" w14:textId="22D9995E" w:rsidR="000F6C3B" w:rsidRPr="00492906" w:rsidRDefault="000F6C3B" w:rsidP="00322A0A">
            <w:pPr>
              <w:keepNext/>
              <w:jc w:val="center"/>
              <w:rPr>
                <w:rFonts w:ascii="Arial Narrow" w:hAnsi="Arial Narrow" w:cstheme="minorHAnsi"/>
                <w:color w:val="000000"/>
                <w:sz w:val="20"/>
                <w:szCs w:val="20"/>
                <w:vertAlign w:val="superscript"/>
              </w:rPr>
            </w:pPr>
            <w:r w:rsidRPr="00F04A75">
              <w:rPr>
                <w:rFonts w:ascii="Arial Narrow" w:hAnsi="Arial Narrow" w:cstheme="minorHAnsi"/>
                <w:color w:val="000000"/>
                <w:sz w:val="20"/>
                <w:szCs w:val="20"/>
              </w:rPr>
              <w:t>$</w:t>
            </w:r>
            <w:r w:rsidR="000960C3" w:rsidRPr="00443BC9">
              <w:rPr>
                <w:rFonts w:ascii="Arial Narrow" w:hAnsi="Arial Narrow" w:cstheme="minorHAnsi" w:hint="eastAsia"/>
                <w:color w:val="000000"/>
                <w:w w:val="15"/>
                <w:sz w:val="20"/>
                <w:szCs w:val="20"/>
                <w:shd w:val="solid" w:color="000000" w:fill="000000"/>
                <w:fitText w:val="15" w:id="-1506043648"/>
                <w14:textFill>
                  <w14:solidFill>
                    <w14:srgbClr w14:val="000000">
                      <w14:alpha w14:val="100000"/>
                    </w14:srgbClr>
                  </w14:solidFill>
                </w14:textFill>
              </w:rPr>
              <w:t xml:space="preserve">　</w:t>
            </w:r>
            <w:r w:rsidR="000960C3" w:rsidRPr="00443BC9">
              <w:rPr>
                <w:rFonts w:ascii="Arial Narrow" w:hAnsi="Arial Narrow" w:cstheme="minorHAnsi"/>
                <w:color w:val="000000"/>
                <w:w w:val="15"/>
                <w:sz w:val="20"/>
                <w:szCs w:val="20"/>
                <w:shd w:val="solid" w:color="000000" w:fill="000000"/>
                <w:fitText w:val="15" w:id="-1506043648"/>
                <w14:textFill>
                  <w14:solidFill>
                    <w14:srgbClr w14:val="000000">
                      <w14:alpha w14:val="100000"/>
                    </w14:srgbClr>
                  </w14:solidFill>
                </w14:textFill>
              </w:rPr>
              <w:t>|</w:t>
            </w:r>
            <w:r w:rsidR="000960C3" w:rsidRPr="00443BC9">
              <w:rPr>
                <w:rFonts w:ascii="Arial Narrow" w:hAnsi="Arial Narrow" w:cstheme="minorHAnsi" w:hint="eastAsia"/>
                <w:color w:val="000000"/>
                <w:spacing w:val="-50"/>
                <w:w w:val="15"/>
                <w:sz w:val="20"/>
                <w:szCs w:val="20"/>
                <w:shd w:val="solid" w:color="000000" w:fill="000000"/>
                <w:fitText w:val="15" w:id="-1506043648"/>
                <w14:textFill>
                  <w14:solidFill>
                    <w14:srgbClr w14:val="000000">
                      <w14:alpha w14:val="100000"/>
                    </w14:srgbClr>
                  </w14:solidFill>
                </w14:textFill>
              </w:rPr>
              <w:t xml:space="preserve">　</w:t>
            </w:r>
            <w:r w:rsidR="001E1345">
              <w:rPr>
                <w:rFonts w:ascii="Arial Narrow" w:hAnsi="Arial Narrow" w:cstheme="minorHAnsi"/>
                <w:b/>
                <w:bCs/>
                <w:color w:val="000000"/>
                <w:sz w:val="20"/>
                <w:szCs w:val="20"/>
                <w:vertAlign w:val="superscript"/>
              </w:rPr>
              <w:t>4</w:t>
            </w:r>
          </w:p>
        </w:tc>
        <w:tc>
          <w:tcPr>
            <w:tcW w:w="1232" w:type="dxa"/>
            <w:shd w:val="clear" w:color="auto" w:fill="auto"/>
            <w:noWrap/>
            <w:tcMar>
              <w:left w:w="28" w:type="dxa"/>
              <w:right w:w="28" w:type="dxa"/>
            </w:tcMar>
            <w:vAlign w:val="center"/>
          </w:tcPr>
          <w:p w14:paraId="2F87B1D7" w14:textId="313CA39C" w:rsidR="000F6C3B" w:rsidRPr="00492906" w:rsidRDefault="000F6C3B" w:rsidP="00322A0A">
            <w:pPr>
              <w:keepNext/>
              <w:jc w:val="center"/>
              <w:rPr>
                <w:rFonts w:ascii="Arial Narrow" w:hAnsi="Arial Narrow" w:cstheme="minorHAnsi"/>
                <w:color w:val="000000"/>
                <w:sz w:val="20"/>
                <w:szCs w:val="20"/>
                <w:vertAlign w:val="superscript"/>
              </w:rPr>
            </w:pPr>
            <w:r w:rsidRPr="00F04A75">
              <w:rPr>
                <w:rFonts w:ascii="Arial Narrow" w:hAnsi="Arial Narrow" w:cstheme="minorHAnsi"/>
                <w:color w:val="000000"/>
                <w:sz w:val="20"/>
                <w:szCs w:val="20"/>
              </w:rPr>
              <w:t>$</w:t>
            </w:r>
            <w:r w:rsidR="000960C3" w:rsidRPr="000960C3">
              <w:rPr>
                <w:rFonts w:ascii="Arial Narrow" w:hAnsi="Arial Narrow" w:cstheme="minorHAnsi" w:hint="eastAsia"/>
                <w:color w:val="000000"/>
                <w:w w:val="15"/>
                <w:sz w:val="20"/>
                <w:szCs w:val="20"/>
                <w:shd w:val="solid" w:color="000000" w:fill="000000"/>
                <w:fitText w:val="30" w:id="-1506043647"/>
                <w14:textFill>
                  <w14:solidFill>
                    <w14:srgbClr w14:val="000000">
                      <w14:alpha w14:val="100000"/>
                    </w14:srgbClr>
                  </w14:solidFill>
                </w14:textFill>
              </w:rPr>
              <w:t xml:space="preserve">　</w:t>
            </w:r>
            <w:r w:rsidR="000960C3" w:rsidRPr="000960C3">
              <w:rPr>
                <w:rFonts w:ascii="Arial Narrow" w:hAnsi="Arial Narrow" w:cstheme="minorHAnsi"/>
                <w:color w:val="000000"/>
                <w:w w:val="15"/>
                <w:sz w:val="20"/>
                <w:szCs w:val="20"/>
                <w:shd w:val="solid" w:color="000000" w:fill="000000"/>
                <w:fitText w:val="30" w:id="-1506043647"/>
                <w14:textFill>
                  <w14:solidFill>
                    <w14:srgbClr w14:val="000000">
                      <w14:alpha w14:val="100000"/>
                    </w14:srgbClr>
                  </w14:solidFill>
                </w14:textFill>
              </w:rPr>
              <w:t>|</w:t>
            </w:r>
            <w:r w:rsidR="000960C3" w:rsidRPr="000960C3">
              <w:rPr>
                <w:rFonts w:ascii="Arial Narrow" w:hAnsi="Arial Narrow" w:cstheme="minorHAnsi" w:hint="eastAsia"/>
                <w:color w:val="000000"/>
                <w:spacing w:val="-35"/>
                <w:w w:val="15"/>
                <w:sz w:val="20"/>
                <w:szCs w:val="20"/>
                <w:shd w:val="solid" w:color="000000" w:fill="000000"/>
                <w:fitText w:val="30" w:id="-1506043647"/>
                <w14:textFill>
                  <w14:solidFill>
                    <w14:srgbClr w14:val="000000">
                      <w14:alpha w14:val="100000"/>
                    </w14:srgbClr>
                  </w14:solidFill>
                </w14:textFill>
              </w:rPr>
              <w:t xml:space="preserve">　</w:t>
            </w:r>
            <w:r w:rsidR="001E1345">
              <w:rPr>
                <w:rFonts w:ascii="Arial Narrow" w:hAnsi="Arial Narrow" w:cstheme="minorHAnsi"/>
                <w:b/>
                <w:bCs/>
                <w:color w:val="000000"/>
                <w:sz w:val="20"/>
                <w:szCs w:val="20"/>
                <w:vertAlign w:val="superscript"/>
              </w:rPr>
              <w:t>4</w:t>
            </w:r>
          </w:p>
        </w:tc>
      </w:tr>
      <w:tr w:rsidR="000F6C3B" w:rsidRPr="00F04A75" w14:paraId="548EC18A" w14:textId="77777777" w:rsidTr="00A37D89">
        <w:trPr>
          <w:trHeight w:val="70"/>
        </w:trPr>
        <w:tc>
          <w:tcPr>
            <w:tcW w:w="1557" w:type="dxa"/>
            <w:shd w:val="clear" w:color="auto" w:fill="auto"/>
            <w:noWrap/>
            <w:tcMar>
              <w:left w:w="28" w:type="dxa"/>
              <w:right w:w="28" w:type="dxa"/>
            </w:tcMar>
          </w:tcPr>
          <w:p w14:paraId="3598A644" w14:textId="69A73978" w:rsidR="000F6C3B" w:rsidRPr="00F04A75" w:rsidRDefault="000F6C3B" w:rsidP="00322A0A">
            <w:pPr>
              <w:rPr>
                <w:rFonts w:ascii="Arial Narrow" w:hAnsi="Arial Narrow" w:cstheme="minorHAnsi"/>
                <w:sz w:val="20"/>
                <w:szCs w:val="20"/>
                <w:lang w:bidi="hi-IN"/>
              </w:rPr>
            </w:pPr>
            <w:r w:rsidRPr="00F04A75">
              <w:rPr>
                <w:rFonts w:ascii="Arial Narrow" w:hAnsi="Arial Narrow" w:cstheme="minorHAnsi"/>
                <w:sz w:val="20"/>
                <w:szCs w:val="20"/>
                <w:lang w:bidi="hi-IN"/>
              </w:rPr>
              <w:t>MBS</w:t>
            </w:r>
            <w:r w:rsidR="00917491">
              <w:rPr>
                <w:rFonts w:ascii="Arial Narrow" w:hAnsi="Arial Narrow" w:cstheme="minorHAnsi"/>
                <w:sz w:val="20"/>
                <w:szCs w:val="20"/>
                <w:lang w:bidi="hi-IN"/>
              </w:rPr>
              <w:t xml:space="preserve"> cost</w:t>
            </w:r>
            <w:r w:rsidR="00BB29AF">
              <w:rPr>
                <w:rFonts w:ascii="Arial Narrow" w:hAnsi="Arial Narrow" w:cstheme="minorHAnsi"/>
                <w:sz w:val="20"/>
                <w:szCs w:val="20"/>
                <w:lang w:bidi="hi-IN"/>
              </w:rPr>
              <w:t xml:space="preserve"> </w:t>
            </w:r>
            <w:r w:rsidR="00BB29AF">
              <w:rPr>
                <w:rFonts w:ascii="Arial Narrow" w:hAnsi="Arial Narrow" w:cstheme="minorHAnsi"/>
                <w:bCs/>
                <w:sz w:val="20"/>
                <w:szCs w:val="20"/>
                <w:lang w:bidi="hi-IN"/>
              </w:rPr>
              <w:t>($)</w:t>
            </w:r>
          </w:p>
        </w:tc>
        <w:tc>
          <w:tcPr>
            <w:tcW w:w="1242" w:type="dxa"/>
            <w:shd w:val="clear" w:color="auto" w:fill="auto"/>
            <w:noWrap/>
            <w:tcMar>
              <w:left w:w="28" w:type="dxa"/>
              <w:right w:w="28" w:type="dxa"/>
            </w:tcMar>
            <w:vAlign w:val="center"/>
          </w:tcPr>
          <w:p w14:paraId="3C2F42F7" w14:textId="07E1D8CA" w:rsidR="000F6C3B" w:rsidRPr="00BB29AF" w:rsidRDefault="000960C3" w:rsidP="00322A0A">
            <w:pPr>
              <w:keepNext/>
              <w:jc w:val="center"/>
              <w:rPr>
                <w:rFonts w:ascii="Arial Narrow" w:hAnsi="Arial Narrow" w:cstheme="minorHAnsi"/>
                <w:color w:val="000000"/>
                <w:sz w:val="20"/>
                <w:szCs w:val="20"/>
                <w:highlight w:val="yellow"/>
              </w:rPr>
            </w:pPr>
            <w:r w:rsidRPr="000960C3">
              <w:rPr>
                <w:rFonts w:ascii="Arial Narrow" w:hAnsi="Arial Narrow" w:cstheme="minorHAnsi"/>
                <w:color w:val="000000"/>
                <w:sz w:val="20"/>
                <w:szCs w:val="20"/>
                <w:shd w:val="solid" w:color="000000" w:fill="000000"/>
                <w14:textFill>
                  <w14:solidFill>
                    <w14:srgbClr w14:val="000000">
                      <w14:alpha w14:val="100000"/>
                    </w14:srgbClr>
                  </w14:solidFill>
                </w14:textFill>
              </w:rPr>
              <w:t>|</w:t>
            </w:r>
            <w:r w:rsidR="001E1345" w:rsidRPr="00BB29AF">
              <w:rPr>
                <w:rFonts w:ascii="Arial Narrow" w:hAnsi="Arial Narrow" w:cstheme="minorHAnsi"/>
                <w:color w:val="000000"/>
                <w:sz w:val="20"/>
                <w:szCs w:val="20"/>
                <w:vertAlign w:val="superscript"/>
              </w:rPr>
              <w:t>3</w:t>
            </w:r>
          </w:p>
        </w:tc>
        <w:tc>
          <w:tcPr>
            <w:tcW w:w="1243" w:type="dxa"/>
            <w:shd w:val="clear" w:color="auto" w:fill="auto"/>
            <w:noWrap/>
            <w:tcMar>
              <w:left w:w="28" w:type="dxa"/>
              <w:right w:w="28" w:type="dxa"/>
            </w:tcMar>
            <w:vAlign w:val="center"/>
          </w:tcPr>
          <w:p w14:paraId="7C28C369" w14:textId="6C1DF32B" w:rsidR="000F6C3B" w:rsidRPr="00BB29AF" w:rsidRDefault="000960C3" w:rsidP="00322A0A">
            <w:pPr>
              <w:keepNext/>
              <w:jc w:val="center"/>
              <w:rPr>
                <w:rFonts w:ascii="Arial Narrow" w:hAnsi="Arial Narrow" w:cstheme="minorHAnsi"/>
                <w:color w:val="000000"/>
                <w:sz w:val="20"/>
                <w:szCs w:val="20"/>
                <w:highlight w:val="yellow"/>
              </w:rPr>
            </w:pPr>
            <w:r w:rsidRPr="000960C3">
              <w:rPr>
                <w:rFonts w:ascii="Arial Narrow" w:hAnsi="Arial Narrow" w:cstheme="minorHAnsi"/>
                <w:color w:val="000000"/>
                <w:sz w:val="20"/>
                <w:szCs w:val="20"/>
                <w:shd w:val="solid" w:color="000000" w:fill="000000"/>
                <w14:textFill>
                  <w14:solidFill>
                    <w14:srgbClr w14:val="000000">
                      <w14:alpha w14:val="100000"/>
                    </w14:srgbClr>
                  </w14:solidFill>
                </w14:textFill>
              </w:rPr>
              <w:t>|</w:t>
            </w:r>
            <w:r w:rsidR="001E1345" w:rsidRPr="00BB29AF">
              <w:rPr>
                <w:rFonts w:ascii="Arial Narrow" w:hAnsi="Arial Narrow" w:cstheme="minorHAnsi"/>
                <w:color w:val="000000"/>
                <w:sz w:val="20"/>
                <w:szCs w:val="20"/>
                <w:vertAlign w:val="superscript"/>
              </w:rPr>
              <w:t>3</w:t>
            </w:r>
          </w:p>
        </w:tc>
        <w:tc>
          <w:tcPr>
            <w:tcW w:w="1242" w:type="dxa"/>
            <w:shd w:val="clear" w:color="auto" w:fill="auto"/>
            <w:noWrap/>
            <w:tcMar>
              <w:left w:w="28" w:type="dxa"/>
              <w:right w:w="28" w:type="dxa"/>
            </w:tcMar>
            <w:vAlign w:val="center"/>
          </w:tcPr>
          <w:p w14:paraId="42DD9080" w14:textId="7504B629" w:rsidR="000F6C3B" w:rsidRPr="00BB29AF" w:rsidRDefault="000960C3" w:rsidP="00322A0A">
            <w:pPr>
              <w:keepNext/>
              <w:jc w:val="center"/>
              <w:rPr>
                <w:rFonts w:ascii="Arial Narrow" w:hAnsi="Arial Narrow" w:cstheme="minorHAnsi"/>
                <w:color w:val="000000"/>
                <w:sz w:val="20"/>
                <w:szCs w:val="20"/>
                <w:highlight w:val="yellow"/>
              </w:rPr>
            </w:pPr>
            <w:r w:rsidRPr="000960C3">
              <w:rPr>
                <w:rFonts w:ascii="Arial Narrow" w:hAnsi="Arial Narrow" w:cstheme="minorHAnsi"/>
                <w:color w:val="000000"/>
                <w:sz w:val="20"/>
                <w:szCs w:val="20"/>
                <w:shd w:val="solid" w:color="000000" w:fill="000000"/>
                <w14:textFill>
                  <w14:solidFill>
                    <w14:srgbClr w14:val="000000">
                      <w14:alpha w14:val="100000"/>
                    </w14:srgbClr>
                  </w14:solidFill>
                </w14:textFill>
              </w:rPr>
              <w:t>|</w:t>
            </w:r>
            <w:r w:rsidR="001E1345" w:rsidRPr="00BB29AF">
              <w:rPr>
                <w:rFonts w:ascii="Arial Narrow" w:hAnsi="Arial Narrow" w:cstheme="minorHAnsi"/>
                <w:color w:val="000000"/>
                <w:sz w:val="20"/>
                <w:szCs w:val="20"/>
                <w:vertAlign w:val="superscript"/>
              </w:rPr>
              <w:t>3</w:t>
            </w:r>
          </w:p>
        </w:tc>
        <w:tc>
          <w:tcPr>
            <w:tcW w:w="1232" w:type="dxa"/>
            <w:shd w:val="clear" w:color="auto" w:fill="auto"/>
            <w:noWrap/>
            <w:tcMar>
              <w:left w:w="28" w:type="dxa"/>
              <w:right w:w="28" w:type="dxa"/>
            </w:tcMar>
            <w:vAlign w:val="center"/>
          </w:tcPr>
          <w:p w14:paraId="48FD53FE" w14:textId="714751C1" w:rsidR="000F6C3B" w:rsidRPr="00BB29AF" w:rsidRDefault="000960C3" w:rsidP="00322A0A">
            <w:pPr>
              <w:keepNext/>
              <w:jc w:val="center"/>
              <w:rPr>
                <w:rFonts w:ascii="Arial Narrow" w:hAnsi="Arial Narrow" w:cstheme="minorHAnsi"/>
                <w:color w:val="000000"/>
                <w:sz w:val="20"/>
                <w:szCs w:val="20"/>
                <w:highlight w:val="yellow"/>
              </w:rPr>
            </w:pPr>
            <w:r w:rsidRPr="000960C3">
              <w:rPr>
                <w:rFonts w:ascii="Arial Narrow" w:hAnsi="Arial Narrow" w:cstheme="minorHAnsi"/>
                <w:color w:val="000000"/>
                <w:sz w:val="20"/>
                <w:szCs w:val="20"/>
                <w:shd w:val="solid" w:color="000000" w:fill="000000"/>
                <w14:textFill>
                  <w14:solidFill>
                    <w14:srgbClr w14:val="000000">
                      <w14:alpha w14:val="100000"/>
                    </w14:srgbClr>
                  </w14:solidFill>
                </w14:textFill>
              </w:rPr>
              <w:t>|</w:t>
            </w:r>
            <w:r w:rsidR="001E1345" w:rsidRPr="00BB29AF">
              <w:rPr>
                <w:rFonts w:ascii="Arial Narrow" w:hAnsi="Arial Narrow" w:cstheme="minorHAnsi"/>
                <w:color w:val="000000"/>
                <w:sz w:val="20"/>
                <w:szCs w:val="20"/>
                <w:vertAlign w:val="superscript"/>
              </w:rPr>
              <w:t>3</w:t>
            </w:r>
          </w:p>
        </w:tc>
        <w:tc>
          <w:tcPr>
            <w:tcW w:w="1276" w:type="dxa"/>
            <w:shd w:val="clear" w:color="auto" w:fill="auto"/>
            <w:noWrap/>
            <w:tcMar>
              <w:left w:w="28" w:type="dxa"/>
              <w:right w:w="28" w:type="dxa"/>
            </w:tcMar>
            <w:vAlign w:val="center"/>
          </w:tcPr>
          <w:p w14:paraId="398C1AC7" w14:textId="38E1931A" w:rsidR="000F6C3B" w:rsidRPr="00BB29AF" w:rsidRDefault="000960C3" w:rsidP="00322A0A">
            <w:pPr>
              <w:keepNext/>
              <w:jc w:val="center"/>
              <w:rPr>
                <w:rFonts w:ascii="Arial Narrow" w:hAnsi="Arial Narrow" w:cstheme="minorHAnsi"/>
                <w:color w:val="000000"/>
                <w:sz w:val="20"/>
                <w:szCs w:val="20"/>
                <w:highlight w:val="yellow"/>
              </w:rPr>
            </w:pPr>
            <w:r w:rsidRPr="000960C3">
              <w:rPr>
                <w:rFonts w:ascii="Arial Narrow" w:hAnsi="Arial Narrow" w:cstheme="minorHAnsi"/>
                <w:color w:val="000000"/>
                <w:sz w:val="20"/>
                <w:szCs w:val="20"/>
                <w:shd w:val="solid" w:color="000000" w:fill="000000"/>
                <w14:textFill>
                  <w14:solidFill>
                    <w14:srgbClr w14:val="000000">
                      <w14:alpha w14:val="100000"/>
                    </w14:srgbClr>
                  </w14:solidFill>
                </w14:textFill>
              </w:rPr>
              <w:t>|</w:t>
            </w:r>
            <w:r w:rsidR="001E1345" w:rsidRPr="00BB29AF">
              <w:rPr>
                <w:rFonts w:ascii="Arial Narrow" w:hAnsi="Arial Narrow" w:cstheme="minorHAnsi"/>
                <w:color w:val="000000"/>
                <w:sz w:val="20"/>
                <w:szCs w:val="20"/>
                <w:vertAlign w:val="superscript"/>
              </w:rPr>
              <w:t>3</w:t>
            </w:r>
          </w:p>
        </w:tc>
        <w:tc>
          <w:tcPr>
            <w:tcW w:w="1232" w:type="dxa"/>
            <w:shd w:val="clear" w:color="auto" w:fill="auto"/>
            <w:noWrap/>
            <w:tcMar>
              <w:left w:w="28" w:type="dxa"/>
              <w:right w:w="28" w:type="dxa"/>
            </w:tcMar>
            <w:vAlign w:val="center"/>
          </w:tcPr>
          <w:p w14:paraId="4EEC2686" w14:textId="4A9679B1" w:rsidR="000F6C3B" w:rsidRPr="00BB29AF" w:rsidRDefault="000960C3" w:rsidP="00322A0A">
            <w:pPr>
              <w:keepNext/>
              <w:jc w:val="center"/>
              <w:rPr>
                <w:rFonts w:ascii="Arial Narrow" w:hAnsi="Arial Narrow" w:cstheme="minorHAnsi"/>
                <w:color w:val="000000"/>
                <w:sz w:val="20"/>
                <w:szCs w:val="20"/>
                <w:highlight w:val="yellow"/>
              </w:rPr>
            </w:pPr>
            <w:r w:rsidRPr="000960C3">
              <w:rPr>
                <w:rFonts w:ascii="Arial Narrow" w:hAnsi="Arial Narrow" w:cstheme="minorHAnsi"/>
                <w:color w:val="000000"/>
                <w:sz w:val="20"/>
                <w:szCs w:val="20"/>
                <w:shd w:val="solid" w:color="000000" w:fill="000000"/>
                <w14:textFill>
                  <w14:solidFill>
                    <w14:srgbClr w14:val="000000">
                      <w14:alpha w14:val="100000"/>
                    </w14:srgbClr>
                  </w14:solidFill>
                </w14:textFill>
              </w:rPr>
              <w:t>|</w:t>
            </w:r>
            <w:r w:rsidR="001E1345" w:rsidRPr="00BB29AF">
              <w:rPr>
                <w:rFonts w:ascii="Arial Narrow" w:hAnsi="Arial Narrow" w:cstheme="minorHAnsi"/>
                <w:color w:val="000000"/>
                <w:sz w:val="20"/>
                <w:szCs w:val="20"/>
                <w:vertAlign w:val="superscript"/>
              </w:rPr>
              <w:t>3</w:t>
            </w:r>
          </w:p>
        </w:tc>
      </w:tr>
      <w:tr w:rsidR="000F6C3B" w:rsidRPr="00F04A75" w14:paraId="170550EF" w14:textId="77777777" w:rsidTr="00A37D89">
        <w:trPr>
          <w:trHeight w:val="70"/>
        </w:trPr>
        <w:tc>
          <w:tcPr>
            <w:tcW w:w="1557" w:type="dxa"/>
            <w:shd w:val="clear" w:color="auto" w:fill="auto"/>
            <w:noWrap/>
            <w:tcMar>
              <w:left w:w="28" w:type="dxa"/>
              <w:right w:w="28" w:type="dxa"/>
            </w:tcMar>
          </w:tcPr>
          <w:p w14:paraId="03A3A354" w14:textId="7B85DC84" w:rsidR="000F6C3B" w:rsidRPr="00F04A75" w:rsidRDefault="000F6C3B" w:rsidP="00322A0A">
            <w:pPr>
              <w:rPr>
                <w:rFonts w:ascii="Arial Narrow" w:hAnsi="Arial Narrow" w:cstheme="minorHAnsi"/>
                <w:b/>
                <w:bCs/>
                <w:sz w:val="20"/>
                <w:szCs w:val="20"/>
                <w:lang w:bidi="hi-IN"/>
              </w:rPr>
            </w:pPr>
            <w:r w:rsidRPr="00F04A75">
              <w:rPr>
                <w:rFonts w:ascii="Arial Narrow" w:hAnsi="Arial Narrow" w:cstheme="minorHAnsi"/>
                <w:b/>
                <w:bCs/>
                <w:sz w:val="20"/>
                <w:szCs w:val="20"/>
                <w:lang w:bidi="hi-IN"/>
              </w:rPr>
              <w:t>Total</w:t>
            </w:r>
            <w:r w:rsidR="00BB29AF">
              <w:rPr>
                <w:rFonts w:ascii="Arial Narrow" w:hAnsi="Arial Narrow" w:cstheme="minorHAnsi"/>
                <w:b/>
                <w:bCs/>
                <w:sz w:val="20"/>
                <w:szCs w:val="20"/>
                <w:lang w:bidi="hi-IN"/>
              </w:rPr>
              <w:t xml:space="preserve"> </w:t>
            </w:r>
            <w:r w:rsidR="00BB29AF">
              <w:rPr>
                <w:rFonts w:ascii="Arial Narrow" w:hAnsi="Arial Narrow" w:cstheme="minorHAnsi"/>
                <w:bCs/>
                <w:sz w:val="20"/>
                <w:szCs w:val="20"/>
                <w:lang w:bidi="hi-IN"/>
              </w:rPr>
              <w:t>($)</w:t>
            </w:r>
          </w:p>
        </w:tc>
        <w:tc>
          <w:tcPr>
            <w:tcW w:w="1242" w:type="dxa"/>
            <w:shd w:val="clear" w:color="auto" w:fill="auto"/>
            <w:noWrap/>
            <w:tcMar>
              <w:left w:w="28" w:type="dxa"/>
              <w:right w:w="28" w:type="dxa"/>
            </w:tcMar>
            <w:vAlign w:val="center"/>
          </w:tcPr>
          <w:p w14:paraId="37BD78FA" w14:textId="7FB51C47" w:rsidR="000F6C3B" w:rsidRPr="00F04A75" w:rsidRDefault="000F6C3B" w:rsidP="00322A0A">
            <w:pPr>
              <w:keepNext/>
              <w:jc w:val="center"/>
              <w:rPr>
                <w:rFonts w:ascii="Arial Narrow" w:hAnsi="Arial Narrow" w:cstheme="minorHAnsi"/>
                <w:b/>
                <w:bCs/>
                <w:color w:val="000000"/>
                <w:sz w:val="20"/>
                <w:szCs w:val="20"/>
              </w:rPr>
            </w:pPr>
            <w:r w:rsidRPr="00F04A75">
              <w:rPr>
                <w:rFonts w:ascii="Arial Narrow" w:hAnsi="Arial Narrow" w:cstheme="minorHAnsi"/>
                <w:b/>
                <w:bCs/>
                <w:color w:val="000000"/>
                <w:sz w:val="20"/>
                <w:szCs w:val="20"/>
              </w:rPr>
              <w:t>$</w:t>
            </w:r>
            <w:r w:rsidR="000960C3" w:rsidRPr="000960C3">
              <w:rPr>
                <w:rFonts w:ascii="Arial Narrow" w:hAnsi="Arial Narrow" w:cstheme="minorHAnsi" w:hint="eastAsia"/>
                <w:b/>
                <w:bCs/>
                <w:color w:val="000000"/>
                <w:w w:val="15"/>
                <w:sz w:val="20"/>
                <w:szCs w:val="20"/>
                <w:shd w:val="solid" w:color="000000" w:fill="000000"/>
                <w:fitText w:val="60" w:id="-1506043646"/>
                <w14:textFill>
                  <w14:solidFill>
                    <w14:srgbClr w14:val="000000">
                      <w14:alpha w14:val="100000"/>
                    </w14:srgbClr>
                  </w14:solidFill>
                </w14:textFill>
              </w:rPr>
              <w:t xml:space="preserve">　</w:t>
            </w:r>
            <w:r w:rsidR="000960C3" w:rsidRPr="000960C3">
              <w:rPr>
                <w:rFonts w:ascii="Arial Narrow" w:hAnsi="Arial Narrow" w:cstheme="minorHAnsi"/>
                <w:b/>
                <w:bCs/>
                <w:color w:val="000000"/>
                <w:w w:val="15"/>
                <w:sz w:val="20"/>
                <w:szCs w:val="20"/>
                <w:shd w:val="solid" w:color="000000" w:fill="000000"/>
                <w:fitText w:val="60" w:id="-1506043646"/>
                <w14:textFill>
                  <w14:solidFill>
                    <w14:srgbClr w14:val="000000">
                      <w14:alpha w14:val="100000"/>
                    </w14:srgbClr>
                  </w14:solidFill>
                </w14:textFill>
              </w:rPr>
              <w:t>|</w:t>
            </w:r>
            <w:r w:rsidR="000960C3" w:rsidRPr="000960C3">
              <w:rPr>
                <w:rFonts w:ascii="Arial Narrow" w:hAnsi="Arial Narrow" w:cstheme="minorHAnsi" w:hint="eastAsia"/>
                <w:b/>
                <w:bCs/>
                <w:color w:val="000000"/>
                <w:spacing w:val="-6"/>
                <w:w w:val="15"/>
                <w:sz w:val="20"/>
                <w:szCs w:val="20"/>
                <w:shd w:val="solid" w:color="000000" w:fill="000000"/>
                <w:fitText w:val="60" w:id="-1506043646"/>
                <w14:textFill>
                  <w14:solidFill>
                    <w14:srgbClr w14:val="000000">
                      <w14:alpha w14:val="100000"/>
                    </w14:srgbClr>
                  </w14:solidFill>
                </w14:textFill>
              </w:rPr>
              <w:t xml:space="preserve">　</w:t>
            </w:r>
            <w:r w:rsidR="001E1345">
              <w:rPr>
                <w:rFonts w:ascii="Arial Narrow" w:hAnsi="Arial Narrow" w:cstheme="minorHAnsi"/>
                <w:b/>
                <w:bCs/>
                <w:color w:val="000000"/>
                <w:sz w:val="20"/>
                <w:szCs w:val="20"/>
                <w:vertAlign w:val="superscript"/>
              </w:rPr>
              <w:t>5</w:t>
            </w:r>
          </w:p>
        </w:tc>
        <w:tc>
          <w:tcPr>
            <w:tcW w:w="1243" w:type="dxa"/>
            <w:shd w:val="clear" w:color="auto" w:fill="auto"/>
            <w:noWrap/>
            <w:tcMar>
              <w:left w:w="28" w:type="dxa"/>
              <w:right w:w="28" w:type="dxa"/>
            </w:tcMar>
            <w:vAlign w:val="center"/>
          </w:tcPr>
          <w:p w14:paraId="7AD6CFC8" w14:textId="470D9346" w:rsidR="000F6C3B" w:rsidRPr="00F04A75" w:rsidRDefault="000F6C3B" w:rsidP="00322A0A">
            <w:pPr>
              <w:keepNext/>
              <w:jc w:val="center"/>
              <w:rPr>
                <w:rFonts w:ascii="Arial Narrow" w:hAnsi="Arial Narrow" w:cstheme="minorHAnsi"/>
                <w:b/>
                <w:bCs/>
                <w:color w:val="000000"/>
                <w:sz w:val="20"/>
                <w:szCs w:val="20"/>
              </w:rPr>
            </w:pPr>
            <w:r w:rsidRPr="00F04A75">
              <w:rPr>
                <w:rFonts w:ascii="Arial Narrow" w:hAnsi="Arial Narrow" w:cstheme="minorHAnsi"/>
                <w:b/>
                <w:bCs/>
                <w:color w:val="000000"/>
                <w:sz w:val="20"/>
                <w:szCs w:val="20"/>
              </w:rPr>
              <w:t>$</w:t>
            </w:r>
            <w:r w:rsidR="000960C3" w:rsidRPr="000960C3">
              <w:rPr>
                <w:rFonts w:ascii="Arial Narrow" w:hAnsi="Arial Narrow" w:cstheme="minorHAnsi" w:hint="eastAsia"/>
                <w:b/>
                <w:bCs/>
                <w:color w:val="000000"/>
                <w:w w:val="15"/>
                <w:sz w:val="20"/>
                <w:szCs w:val="20"/>
                <w:shd w:val="solid" w:color="000000" w:fill="000000"/>
                <w:fitText w:val="60" w:id="-1506043645"/>
                <w14:textFill>
                  <w14:solidFill>
                    <w14:srgbClr w14:val="000000">
                      <w14:alpha w14:val="100000"/>
                    </w14:srgbClr>
                  </w14:solidFill>
                </w14:textFill>
              </w:rPr>
              <w:t xml:space="preserve">　</w:t>
            </w:r>
            <w:r w:rsidR="000960C3" w:rsidRPr="000960C3">
              <w:rPr>
                <w:rFonts w:ascii="Arial Narrow" w:hAnsi="Arial Narrow" w:cstheme="minorHAnsi"/>
                <w:b/>
                <w:bCs/>
                <w:color w:val="000000"/>
                <w:w w:val="15"/>
                <w:sz w:val="20"/>
                <w:szCs w:val="20"/>
                <w:shd w:val="solid" w:color="000000" w:fill="000000"/>
                <w:fitText w:val="60" w:id="-1506043645"/>
                <w14:textFill>
                  <w14:solidFill>
                    <w14:srgbClr w14:val="000000">
                      <w14:alpha w14:val="100000"/>
                    </w14:srgbClr>
                  </w14:solidFill>
                </w14:textFill>
              </w:rPr>
              <w:t>|</w:t>
            </w:r>
            <w:r w:rsidR="000960C3" w:rsidRPr="000960C3">
              <w:rPr>
                <w:rFonts w:ascii="Arial Narrow" w:hAnsi="Arial Narrow" w:cstheme="minorHAnsi" w:hint="eastAsia"/>
                <w:b/>
                <w:bCs/>
                <w:color w:val="000000"/>
                <w:spacing w:val="-6"/>
                <w:w w:val="15"/>
                <w:sz w:val="20"/>
                <w:szCs w:val="20"/>
                <w:shd w:val="solid" w:color="000000" w:fill="000000"/>
                <w:fitText w:val="60" w:id="-1506043645"/>
                <w14:textFill>
                  <w14:solidFill>
                    <w14:srgbClr w14:val="000000">
                      <w14:alpha w14:val="100000"/>
                    </w14:srgbClr>
                  </w14:solidFill>
                </w14:textFill>
              </w:rPr>
              <w:t xml:space="preserve">　</w:t>
            </w:r>
            <w:r w:rsidR="001E1345">
              <w:rPr>
                <w:rFonts w:ascii="Arial Narrow" w:hAnsi="Arial Narrow" w:cstheme="minorHAnsi"/>
                <w:b/>
                <w:bCs/>
                <w:color w:val="000000"/>
                <w:sz w:val="20"/>
                <w:szCs w:val="20"/>
                <w:vertAlign w:val="superscript"/>
              </w:rPr>
              <w:t>4</w:t>
            </w:r>
          </w:p>
        </w:tc>
        <w:tc>
          <w:tcPr>
            <w:tcW w:w="1242" w:type="dxa"/>
            <w:shd w:val="clear" w:color="auto" w:fill="auto"/>
            <w:noWrap/>
            <w:tcMar>
              <w:left w:w="28" w:type="dxa"/>
              <w:right w:w="28" w:type="dxa"/>
            </w:tcMar>
            <w:vAlign w:val="center"/>
          </w:tcPr>
          <w:p w14:paraId="1DEE1801" w14:textId="7A10B7CC" w:rsidR="000F6C3B" w:rsidRPr="00F04A75" w:rsidRDefault="000F6C3B" w:rsidP="00322A0A">
            <w:pPr>
              <w:keepNext/>
              <w:jc w:val="center"/>
              <w:rPr>
                <w:rFonts w:ascii="Arial Narrow" w:hAnsi="Arial Narrow" w:cstheme="minorHAnsi"/>
                <w:b/>
                <w:bCs/>
                <w:color w:val="000000"/>
                <w:sz w:val="20"/>
                <w:szCs w:val="20"/>
              </w:rPr>
            </w:pPr>
            <w:r w:rsidRPr="00F04A75">
              <w:rPr>
                <w:rFonts w:ascii="Arial Narrow" w:hAnsi="Arial Narrow" w:cstheme="minorHAnsi"/>
                <w:b/>
                <w:bCs/>
                <w:color w:val="000000"/>
                <w:sz w:val="20"/>
                <w:szCs w:val="20"/>
              </w:rPr>
              <w:t>$</w:t>
            </w:r>
            <w:r w:rsidR="000960C3" w:rsidRPr="000960C3">
              <w:rPr>
                <w:rFonts w:ascii="Arial Narrow" w:hAnsi="Arial Narrow" w:cstheme="minorHAnsi" w:hint="eastAsia"/>
                <w:b/>
                <w:bCs/>
                <w:color w:val="000000"/>
                <w:w w:val="15"/>
                <w:sz w:val="20"/>
                <w:szCs w:val="20"/>
                <w:shd w:val="solid" w:color="000000" w:fill="000000"/>
                <w:fitText w:val="60" w:id="-1506043644"/>
                <w14:textFill>
                  <w14:solidFill>
                    <w14:srgbClr w14:val="000000">
                      <w14:alpha w14:val="100000"/>
                    </w14:srgbClr>
                  </w14:solidFill>
                </w14:textFill>
              </w:rPr>
              <w:t xml:space="preserve">　</w:t>
            </w:r>
            <w:r w:rsidR="000960C3" w:rsidRPr="000960C3">
              <w:rPr>
                <w:rFonts w:ascii="Arial Narrow" w:hAnsi="Arial Narrow" w:cstheme="minorHAnsi"/>
                <w:b/>
                <w:bCs/>
                <w:color w:val="000000"/>
                <w:w w:val="15"/>
                <w:sz w:val="20"/>
                <w:szCs w:val="20"/>
                <w:shd w:val="solid" w:color="000000" w:fill="000000"/>
                <w:fitText w:val="60" w:id="-1506043644"/>
                <w14:textFill>
                  <w14:solidFill>
                    <w14:srgbClr w14:val="000000">
                      <w14:alpha w14:val="100000"/>
                    </w14:srgbClr>
                  </w14:solidFill>
                </w14:textFill>
              </w:rPr>
              <w:t>|</w:t>
            </w:r>
            <w:r w:rsidR="000960C3" w:rsidRPr="000960C3">
              <w:rPr>
                <w:rFonts w:ascii="Arial Narrow" w:hAnsi="Arial Narrow" w:cstheme="minorHAnsi" w:hint="eastAsia"/>
                <w:b/>
                <w:bCs/>
                <w:color w:val="000000"/>
                <w:spacing w:val="-6"/>
                <w:w w:val="15"/>
                <w:sz w:val="20"/>
                <w:szCs w:val="20"/>
                <w:shd w:val="solid" w:color="000000" w:fill="000000"/>
                <w:fitText w:val="60" w:id="-1506043644"/>
                <w14:textFill>
                  <w14:solidFill>
                    <w14:srgbClr w14:val="000000">
                      <w14:alpha w14:val="100000"/>
                    </w14:srgbClr>
                  </w14:solidFill>
                </w14:textFill>
              </w:rPr>
              <w:t xml:space="preserve">　</w:t>
            </w:r>
            <w:r w:rsidR="001E1345">
              <w:rPr>
                <w:rFonts w:ascii="Arial Narrow" w:hAnsi="Arial Narrow" w:cstheme="minorHAnsi"/>
                <w:b/>
                <w:bCs/>
                <w:color w:val="000000"/>
                <w:sz w:val="20"/>
                <w:szCs w:val="20"/>
                <w:vertAlign w:val="superscript"/>
              </w:rPr>
              <w:t>4</w:t>
            </w:r>
          </w:p>
        </w:tc>
        <w:tc>
          <w:tcPr>
            <w:tcW w:w="1232" w:type="dxa"/>
            <w:shd w:val="clear" w:color="auto" w:fill="auto"/>
            <w:noWrap/>
            <w:tcMar>
              <w:left w:w="28" w:type="dxa"/>
              <w:right w:w="28" w:type="dxa"/>
            </w:tcMar>
            <w:vAlign w:val="center"/>
          </w:tcPr>
          <w:p w14:paraId="521BAB04" w14:textId="69B7302F" w:rsidR="000F6C3B" w:rsidRPr="00F04A75" w:rsidRDefault="000F6C3B" w:rsidP="00322A0A">
            <w:pPr>
              <w:keepNext/>
              <w:jc w:val="center"/>
              <w:rPr>
                <w:rFonts w:ascii="Arial Narrow" w:hAnsi="Arial Narrow" w:cstheme="minorHAnsi"/>
                <w:b/>
                <w:bCs/>
                <w:color w:val="000000"/>
                <w:sz w:val="20"/>
                <w:szCs w:val="20"/>
              </w:rPr>
            </w:pPr>
            <w:r w:rsidRPr="00F04A75">
              <w:rPr>
                <w:rFonts w:ascii="Arial Narrow" w:hAnsi="Arial Narrow" w:cstheme="minorHAnsi"/>
                <w:b/>
                <w:bCs/>
                <w:color w:val="000000"/>
                <w:sz w:val="20"/>
                <w:szCs w:val="20"/>
              </w:rPr>
              <w:t>$</w:t>
            </w:r>
            <w:r w:rsidR="000960C3" w:rsidRPr="000960C3">
              <w:rPr>
                <w:rFonts w:ascii="Arial Narrow" w:hAnsi="Arial Narrow" w:cstheme="minorHAnsi" w:hint="eastAsia"/>
                <w:b/>
                <w:bCs/>
                <w:color w:val="000000"/>
                <w:w w:val="20"/>
                <w:sz w:val="20"/>
                <w:szCs w:val="20"/>
                <w:shd w:val="solid" w:color="000000" w:fill="000000"/>
                <w:fitText w:val="90" w:id="-1506043643"/>
                <w14:textFill>
                  <w14:solidFill>
                    <w14:srgbClr w14:val="000000">
                      <w14:alpha w14:val="100000"/>
                    </w14:srgbClr>
                  </w14:solidFill>
                </w14:textFill>
              </w:rPr>
              <w:t xml:space="preserve">　</w:t>
            </w:r>
            <w:r w:rsidR="000960C3" w:rsidRPr="000960C3">
              <w:rPr>
                <w:rFonts w:ascii="Arial Narrow" w:hAnsi="Arial Narrow" w:cstheme="minorHAnsi"/>
                <w:b/>
                <w:bCs/>
                <w:color w:val="000000"/>
                <w:w w:val="20"/>
                <w:sz w:val="20"/>
                <w:szCs w:val="20"/>
                <w:shd w:val="solid" w:color="000000" w:fill="000000"/>
                <w:fitText w:val="90" w:id="-1506043643"/>
                <w14:textFill>
                  <w14:solidFill>
                    <w14:srgbClr w14:val="000000">
                      <w14:alpha w14:val="100000"/>
                    </w14:srgbClr>
                  </w14:solidFill>
                </w14:textFill>
              </w:rPr>
              <w:t>|</w:t>
            </w:r>
            <w:r w:rsidR="000960C3" w:rsidRPr="000960C3">
              <w:rPr>
                <w:rFonts w:ascii="Arial Narrow" w:hAnsi="Arial Narrow" w:cstheme="minorHAnsi" w:hint="eastAsia"/>
                <w:b/>
                <w:bCs/>
                <w:color w:val="000000"/>
                <w:spacing w:val="2"/>
                <w:w w:val="20"/>
                <w:sz w:val="20"/>
                <w:szCs w:val="20"/>
                <w:shd w:val="solid" w:color="000000" w:fill="000000"/>
                <w:fitText w:val="90" w:id="-1506043643"/>
                <w14:textFill>
                  <w14:solidFill>
                    <w14:srgbClr w14:val="000000">
                      <w14:alpha w14:val="100000"/>
                    </w14:srgbClr>
                  </w14:solidFill>
                </w14:textFill>
              </w:rPr>
              <w:t xml:space="preserve">　</w:t>
            </w:r>
            <w:r w:rsidR="001E1345">
              <w:rPr>
                <w:rFonts w:ascii="Arial Narrow" w:hAnsi="Arial Narrow" w:cstheme="minorHAnsi"/>
                <w:b/>
                <w:bCs/>
                <w:color w:val="000000"/>
                <w:sz w:val="20"/>
                <w:szCs w:val="20"/>
                <w:vertAlign w:val="superscript"/>
              </w:rPr>
              <w:t>4</w:t>
            </w:r>
          </w:p>
        </w:tc>
        <w:tc>
          <w:tcPr>
            <w:tcW w:w="1276" w:type="dxa"/>
            <w:shd w:val="clear" w:color="auto" w:fill="auto"/>
            <w:noWrap/>
            <w:tcMar>
              <w:left w:w="28" w:type="dxa"/>
              <w:right w:w="28" w:type="dxa"/>
            </w:tcMar>
            <w:vAlign w:val="center"/>
          </w:tcPr>
          <w:p w14:paraId="0A7C8B54" w14:textId="0748672B" w:rsidR="000F6C3B" w:rsidRPr="00F04A75" w:rsidRDefault="000F6C3B" w:rsidP="00322A0A">
            <w:pPr>
              <w:keepNext/>
              <w:jc w:val="center"/>
              <w:rPr>
                <w:rFonts w:ascii="Arial Narrow" w:hAnsi="Arial Narrow" w:cstheme="minorHAnsi"/>
                <w:b/>
                <w:bCs/>
                <w:color w:val="000000"/>
                <w:sz w:val="20"/>
                <w:szCs w:val="20"/>
              </w:rPr>
            </w:pPr>
            <w:r w:rsidRPr="00F04A75">
              <w:rPr>
                <w:rFonts w:ascii="Arial Narrow" w:hAnsi="Arial Narrow" w:cstheme="minorHAnsi"/>
                <w:b/>
                <w:bCs/>
                <w:color w:val="000000"/>
                <w:sz w:val="20"/>
                <w:szCs w:val="20"/>
              </w:rPr>
              <w:t>$</w:t>
            </w:r>
            <w:r w:rsidR="000960C3" w:rsidRPr="000960C3">
              <w:rPr>
                <w:rFonts w:ascii="Arial Narrow" w:hAnsi="Arial Narrow" w:cstheme="minorHAnsi" w:hint="eastAsia"/>
                <w:b/>
                <w:bCs/>
                <w:color w:val="000000"/>
                <w:w w:val="15"/>
                <w:sz w:val="20"/>
                <w:szCs w:val="20"/>
                <w:shd w:val="solid" w:color="000000" w:fill="000000"/>
                <w:fitText w:val="60" w:id="-1506043642"/>
                <w14:textFill>
                  <w14:solidFill>
                    <w14:srgbClr w14:val="000000">
                      <w14:alpha w14:val="100000"/>
                    </w14:srgbClr>
                  </w14:solidFill>
                </w14:textFill>
              </w:rPr>
              <w:t xml:space="preserve">　</w:t>
            </w:r>
            <w:r w:rsidR="000960C3" w:rsidRPr="000960C3">
              <w:rPr>
                <w:rFonts w:ascii="Arial Narrow" w:hAnsi="Arial Narrow" w:cstheme="minorHAnsi"/>
                <w:b/>
                <w:bCs/>
                <w:color w:val="000000"/>
                <w:w w:val="15"/>
                <w:sz w:val="20"/>
                <w:szCs w:val="20"/>
                <w:shd w:val="solid" w:color="000000" w:fill="000000"/>
                <w:fitText w:val="60" w:id="-1506043642"/>
                <w14:textFill>
                  <w14:solidFill>
                    <w14:srgbClr w14:val="000000">
                      <w14:alpha w14:val="100000"/>
                    </w14:srgbClr>
                  </w14:solidFill>
                </w14:textFill>
              </w:rPr>
              <w:t>|</w:t>
            </w:r>
            <w:r w:rsidR="000960C3" w:rsidRPr="000960C3">
              <w:rPr>
                <w:rFonts w:ascii="Arial Narrow" w:hAnsi="Arial Narrow" w:cstheme="minorHAnsi" w:hint="eastAsia"/>
                <w:b/>
                <w:bCs/>
                <w:color w:val="000000"/>
                <w:spacing w:val="-6"/>
                <w:w w:val="15"/>
                <w:sz w:val="20"/>
                <w:szCs w:val="20"/>
                <w:shd w:val="solid" w:color="000000" w:fill="000000"/>
                <w:fitText w:val="60" w:id="-1506043642"/>
                <w14:textFill>
                  <w14:solidFill>
                    <w14:srgbClr w14:val="000000">
                      <w14:alpha w14:val="100000"/>
                    </w14:srgbClr>
                  </w14:solidFill>
                </w14:textFill>
              </w:rPr>
              <w:t xml:space="preserve">　</w:t>
            </w:r>
            <w:r w:rsidR="001E1345">
              <w:rPr>
                <w:rFonts w:ascii="Arial Narrow" w:hAnsi="Arial Narrow" w:cstheme="minorHAnsi"/>
                <w:b/>
                <w:bCs/>
                <w:color w:val="000000"/>
                <w:sz w:val="20"/>
                <w:szCs w:val="20"/>
                <w:vertAlign w:val="superscript"/>
              </w:rPr>
              <w:t>4</w:t>
            </w:r>
          </w:p>
        </w:tc>
        <w:tc>
          <w:tcPr>
            <w:tcW w:w="1232" w:type="dxa"/>
            <w:shd w:val="clear" w:color="auto" w:fill="auto"/>
            <w:noWrap/>
            <w:tcMar>
              <w:left w:w="28" w:type="dxa"/>
              <w:right w:w="28" w:type="dxa"/>
            </w:tcMar>
            <w:vAlign w:val="center"/>
          </w:tcPr>
          <w:p w14:paraId="66F9C4F1" w14:textId="79DE715D" w:rsidR="000F6C3B" w:rsidRPr="00F04A75" w:rsidRDefault="000F6C3B" w:rsidP="00322A0A">
            <w:pPr>
              <w:keepNext/>
              <w:jc w:val="center"/>
              <w:rPr>
                <w:rFonts w:ascii="Arial Narrow" w:hAnsi="Arial Narrow" w:cstheme="minorHAnsi"/>
                <w:b/>
                <w:bCs/>
                <w:color w:val="000000"/>
                <w:sz w:val="20"/>
                <w:szCs w:val="20"/>
              </w:rPr>
            </w:pPr>
            <w:r w:rsidRPr="00F04A75">
              <w:rPr>
                <w:rFonts w:ascii="Arial Narrow" w:hAnsi="Arial Narrow" w:cstheme="minorHAnsi"/>
                <w:b/>
                <w:bCs/>
                <w:color w:val="000000"/>
                <w:sz w:val="20"/>
                <w:szCs w:val="20"/>
              </w:rPr>
              <w:t>$</w:t>
            </w:r>
            <w:r w:rsidR="000960C3" w:rsidRPr="000960C3">
              <w:rPr>
                <w:rFonts w:ascii="Arial Narrow" w:hAnsi="Arial Narrow" w:cstheme="minorHAnsi" w:hint="eastAsia"/>
                <w:b/>
                <w:bCs/>
                <w:color w:val="000000"/>
                <w:w w:val="20"/>
                <w:sz w:val="20"/>
                <w:szCs w:val="20"/>
                <w:shd w:val="solid" w:color="000000" w:fill="000000"/>
                <w:fitText w:val="90" w:id="-1506043641"/>
                <w14:textFill>
                  <w14:solidFill>
                    <w14:srgbClr w14:val="000000">
                      <w14:alpha w14:val="100000"/>
                    </w14:srgbClr>
                  </w14:solidFill>
                </w14:textFill>
              </w:rPr>
              <w:t xml:space="preserve">　</w:t>
            </w:r>
            <w:r w:rsidR="000960C3" w:rsidRPr="000960C3">
              <w:rPr>
                <w:rFonts w:ascii="Arial Narrow" w:hAnsi="Arial Narrow" w:cstheme="minorHAnsi"/>
                <w:b/>
                <w:bCs/>
                <w:color w:val="000000"/>
                <w:w w:val="20"/>
                <w:sz w:val="20"/>
                <w:szCs w:val="20"/>
                <w:shd w:val="solid" w:color="000000" w:fill="000000"/>
                <w:fitText w:val="90" w:id="-1506043641"/>
                <w14:textFill>
                  <w14:solidFill>
                    <w14:srgbClr w14:val="000000">
                      <w14:alpha w14:val="100000"/>
                    </w14:srgbClr>
                  </w14:solidFill>
                </w14:textFill>
              </w:rPr>
              <w:t>|</w:t>
            </w:r>
            <w:r w:rsidR="000960C3" w:rsidRPr="000960C3">
              <w:rPr>
                <w:rFonts w:ascii="Arial Narrow" w:hAnsi="Arial Narrow" w:cstheme="minorHAnsi" w:hint="eastAsia"/>
                <w:b/>
                <w:bCs/>
                <w:color w:val="000000"/>
                <w:spacing w:val="2"/>
                <w:w w:val="20"/>
                <w:sz w:val="20"/>
                <w:szCs w:val="20"/>
                <w:shd w:val="solid" w:color="000000" w:fill="000000"/>
                <w:fitText w:val="90" w:id="-1506043641"/>
                <w14:textFill>
                  <w14:solidFill>
                    <w14:srgbClr w14:val="000000">
                      <w14:alpha w14:val="100000"/>
                    </w14:srgbClr>
                  </w14:solidFill>
                </w14:textFill>
              </w:rPr>
              <w:t xml:space="preserve">　</w:t>
            </w:r>
            <w:r w:rsidR="001E1345">
              <w:rPr>
                <w:rFonts w:ascii="Arial Narrow" w:hAnsi="Arial Narrow" w:cstheme="minorHAnsi"/>
                <w:b/>
                <w:bCs/>
                <w:color w:val="000000"/>
                <w:sz w:val="20"/>
                <w:szCs w:val="20"/>
                <w:vertAlign w:val="superscript"/>
              </w:rPr>
              <w:t>4</w:t>
            </w:r>
          </w:p>
        </w:tc>
      </w:tr>
      <w:tr w:rsidR="000F6C3B" w:rsidRPr="00F04A75" w14:paraId="5D55AD9C" w14:textId="77777777" w:rsidTr="00322A0A">
        <w:trPr>
          <w:trHeight w:val="70"/>
        </w:trPr>
        <w:tc>
          <w:tcPr>
            <w:tcW w:w="9024" w:type="dxa"/>
            <w:gridSpan w:val="7"/>
            <w:shd w:val="clear" w:color="auto" w:fill="auto"/>
            <w:noWrap/>
            <w:tcMar>
              <w:left w:w="28" w:type="dxa"/>
              <w:right w:w="28" w:type="dxa"/>
            </w:tcMar>
          </w:tcPr>
          <w:p w14:paraId="41FE8C35" w14:textId="77777777" w:rsidR="000F6C3B" w:rsidRPr="00F04A75" w:rsidRDefault="000F6C3B" w:rsidP="00322A0A">
            <w:pPr>
              <w:keepNext/>
              <w:rPr>
                <w:rFonts w:ascii="Arial Narrow" w:hAnsi="Arial Narrow" w:cs="Calibri"/>
                <w:b/>
                <w:sz w:val="20"/>
                <w:szCs w:val="20"/>
                <w:lang w:bidi="hi-IN"/>
              </w:rPr>
            </w:pPr>
            <w:r w:rsidRPr="00F04A75">
              <w:rPr>
                <w:rFonts w:ascii="Arial Narrow" w:hAnsi="Arial Narrow" w:cs="Calibri"/>
                <w:b/>
                <w:sz w:val="20"/>
                <w:szCs w:val="20"/>
                <w:lang w:bidi="hi-IN"/>
              </w:rPr>
              <w:t xml:space="preserve">Scenario 4: Cd + </w:t>
            </w:r>
            <w:proofErr w:type="spellStart"/>
            <w:r w:rsidRPr="00F04A75">
              <w:rPr>
                <w:rFonts w:ascii="Arial Narrow" w:hAnsi="Arial Narrow" w:cs="Calibri"/>
                <w:b/>
                <w:sz w:val="20"/>
                <w:szCs w:val="20"/>
                <w:lang w:bidi="hi-IN"/>
              </w:rPr>
              <w:t>PBd</w:t>
            </w:r>
            <w:proofErr w:type="spellEnd"/>
            <w:r w:rsidRPr="00F04A75">
              <w:rPr>
                <w:rFonts w:ascii="Arial Narrow" w:hAnsi="Arial Narrow" w:cs="Calibri"/>
                <w:b/>
                <w:sz w:val="20"/>
                <w:szCs w:val="20"/>
                <w:lang w:bidi="hi-IN"/>
              </w:rPr>
              <w:t xml:space="preserve"> + </w:t>
            </w:r>
            <w:proofErr w:type="spellStart"/>
            <w:r w:rsidRPr="00F04A75">
              <w:rPr>
                <w:rFonts w:ascii="Arial Narrow" w:hAnsi="Arial Narrow" w:cs="Calibri"/>
                <w:b/>
                <w:sz w:val="20"/>
                <w:szCs w:val="20"/>
                <w:lang w:bidi="hi-IN"/>
              </w:rPr>
              <w:t>ELd</w:t>
            </w:r>
            <w:proofErr w:type="spellEnd"/>
            <w:r w:rsidRPr="00F04A75">
              <w:rPr>
                <w:rFonts w:ascii="Arial Narrow" w:hAnsi="Arial Narrow" w:cs="Calibri"/>
                <w:b/>
                <w:sz w:val="20"/>
                <w:szCs w:val="20"/>
                <w:lang w:bidi="hi-IN"/>
              </w:rPr>
              <w:t xml:space="preserve"> + </w:t>
            </w:r>
            <w:proofErr w:type="spellStart"/>
            <w:r w:rsidRPr="00F04A75">
              <w:rPr>
                <w:rFonts w:ascii="Arial Narrow" w:hAnsi="Arial Narrow" w:cs="Calibri"/>
                <w:b/>
                <w:sz w:val="20"/>
                <w:szCs w:val="20"/>
                <w:lang w:bidi="hi-IN"/>
              </w:rPr>
              <w:t>CLd</w:t>
            </w:r>
            <w:proofErr w:type="spellEnd"/>
            <w:r w:rsidRPr="00F04A75">
              <w:rPr>
                <w:rFonts w:ascii="Arial Narrow" w:hAnsi="Arial Narrow" w:cs="Calibri"/>
                <w:b/>
                <w:sz w:val="20"/>
                <w:szCs w:val="20"/>
                <w:lang w:bidi="hi-IN"/>
              </w:rPr>
              <w:t xml:space="preserve"> (resubmission’s base case)</w:t>
            </w:r>
          </w:p>
        </w:tc>
      </w:tr>
      <w:tr w:rsidR="000750CF" w:rsidRPr="00F04A75" w14:paraId="3372EA2B" w14:textId="77777777" w:rsidTr="00A37D89">
        <w:trPr>
          <w:trHeight w:val="70"/>
        </w:trPr>
        <w:tc>
          <w:tcPr>
            <w:tcW w:w="1557" w:type="dxa"/>
            <w:shd w:val="clear" w:color="auto" w:fill="auto"/>
            <w:noWrap/>
            <w:tcMar>
              <w:left w:w="28" w:type="dxa"/>
              <w:right w:w="28" w:type="dxa"/>
            </w:tcMar>
          </w:tcPr>
          <w:p w14:paraId="3AF22A24" w14:textId="77777777" w:rsidR="000750CF" w:rsidRPr="00F04A75" w:rsidRDefault="000750CF" w:rsidP="00322A0A">
            <w:pPr>
              <w:keepNext/>
              <w:rPr>
                <w:rFonts w:ascii="Arial Narrow" w:hAnsi="Arial Narrow" w:cs="Calibri"/>
                <w:sz w:val="20"/>
                <w:szCs w:val="20"/>
                <w:lang w:bidi="hi-IN"/>
              </w:rPr>
            </w:pPr>
            <w:r w:rsidRPr="00F04A75">
              <w:rPr>
                <w:rFonts w:ascii="Arial Narrow" w:hAnsi="Arial Narrow" w:cs="Calibri"/>
                <w:sz w:val="20"/>
                <w:szCs w:val="20"/>
                <w:lang w:bidi="hi-IN"/>
              </w:rPr>
              <w:t>Estimated patients</w:t>
            </w:r>
          </w:p>
        </w:tc>
        <w:tc>
          <w:tcPr>
            <w:tcW w:w="1242" w:type="dxa"/>
            <w:shd w:val="clear" w:color="auto" w:fill="auto"/>
            <w:noWrap/>
            <w:tcMar>
              <w:left w:w="28" w:type="dxa"/>
              <w:right w:w="28" w:type="dxa"/>
            </w:tcMar>
            <w:vAlign w:val="center"/>
          </w:tcPr>
          <w:p w14:paraId="77477334" w14:textId="140C9021" w:rsidR="000750CF" w:rsidRPr="00993E00" w:rsidRDefault="000960C3" w:rsidP="00322A0A">
            <w:pPr>
              <w:keepNext/>
              <w:jc w:val="center"/>
              <w:rPr>
                <w:rFonts w:ascii="Arial Narrow" w:hAnsi="Arial Narrow" w:cstheme="minorHAnsi"/>
                <w:color w:val="000000"/>
                <w:sz w:val="20"/>
                <w:szCs w:val="20"/>
                <w:highlight w:val="yellow"/>
              </w:rPr>
            </w:pPr>
            <w:r w:rsidRPr="000960C3">
              <w:rPr>
                <w:rFonts w:ascii="Arial Narrow" w:hAnsi="Arial Narrow"/>
                <w:color w:val="000000"/>
                <w:spacing w:val="41"/>
                <w:sz w:val="20"/>
                <w:szCs w:val="20"/>
                <w:shd w:val="solid" w:color="000000" w:fill="000000"/>
                <w:fitText w:val="210" w:id="-1506043640"/>
                <w14:textFill>
                  <w14:solidFill>
                    <w14:srgbClr w14:val="000000">
                      <w14:alpha w14:val="100000"/>
                    </w14:srgbClr>
                  </w14:solidFill>
                </w14:textFill>
              </w:rPr>
              <w:t>||</w:t>
            </w:r>
            <w:r w:rsidRPr="000960C3">
              <w:rPr>
                <w:rFonts w:ascii="Arial Narrow" w:hAnsi="Arial Narrow"/>
                <w:color w:val="000000"/>
                <w:spacing w:val="1"/>
                <w:sz w:val="20"/>
                <w:szCs w:val="20"/>
                <w:shd w:val="solid" w:color="000000" w:fill="000000"/>
                <w:fitText w:val="210" w:id="-1506043640"/>
                <w14:textFill>
                  <w14:solidFill>
                    <w14:srgbClr w14:val="000000">
                      <w14:alpha w14:val="100000"/>
                    </w14:srgbClr>
                  </w14:solidFill>
                </w14:textFill>
              </w:rPr>
              <w:t>|</w:t>
            </w:r>
            <w:r w:rsidR="00492906">
              <w:rPr>
                <w:rFonts w:ascii="Arial Narrow" w:hAnsi="Arial Narrow"/>
                <w:color w:val="000000"/>
                <w:sz w:val="20"/>
                <w:szCs w:val="20"/>
                <w:vertAlign w:val="superscript"/>
              </w:rPr>
              <w:t>1</w:t>
            </w:r>
            <w:r w:rsidRPr="000960C3">
              <w:rPr>
                <w:rFonts w:ascii="Arial Narrow" w:hAnsi="Arial Narrow" w:hint="eastAsia"/>
                <w:color w:val="000000"/>
                <w:w w:val="24"/>
                <w:sz w:val="20"/>
                <w:szCs w:val="20"/>
                <w:shd w:val="solid" w:color="000000" w:fill="000000"/>
                <w:fitText w:val="90" w:id="-1506043639"/>
                <w:vertAlign w:val="superscript"/>
                <w14:textFill>
                  <w14:solidFill>
                    <w14:srgbClr w14:val="000000">
                      <w14:alpha w14:val="100000"/>
                    </w14:srgbClr>
                  </w14:solidFill>
                </w14:textFill>
              </w:rPr>
              <w:t xml:space="preserve">　</w:t>
            </w:r>
            <w:r w:rsidRPr="000960C3">
              <w:rPr>
                <w:rFonts w:ascii="Arial Narrow" w:hAnsi="Arial Narrow"/>
                <w:color w:val="000000"/>
                <w:w w:val="24"/>
                <w:sz w:val="20"/>
                <w:szCs w:val="20"/>
                <w:shd w:val="solid" w:color="000000" w:fill="000000"/>
                <w:fitText w:val="90" w:id="-1506043639"/>
                <w14:textFill>
                  <w14:solidFill>
                    <w14:srgbClr w14:val="000000">
                      <w14:alpha w14:val="100000"/>
                    </w14:srgbClr>
                  </w14:solidFill>
                </w14:textFill>
              </w:rPr>
              <w:t>|</w:t>
            </w:r>
            <w:r w:rsidRPr="000960C3">
              <w:rPr>
                <w:rFonts w:ascii="Arial Narrow" w:hAnsi="Arial Narrow" w:hint="eastAsia"/>
                <w:color w:val="000000"/>
                <w:spacing w:val="4"/>
                <w:w w:val="24"/>
                <w:sz w:val="20"/>
                <w:szCs w:val="20"/>
                <w:shd w:val="solid" w:color="000000" w:fill="000000"/>
                <w:fitText w:val="90" w:id="-1506043639"/>
                <w14:textFill>
                  <w14:solidFill>
                    <w14:srgbClr w14:val="000000">
                      <w14:alpha w14:val="100000"/>
                    </w14:srgbClr>
                  </w14:solidFill>
                </w14:textFill>
              </w:rPr>
              <w:t xml:space="preserve">　</w:t>
            </w:r>
          </w:p>
        </w:tc>
        <w:tc>
          <w:tcPr>
            <w:tcW w:w="1243" w:type="dxa"/>
            <w:shd w:val="clear" w:color="auto" w:fill="auto"/>
            <w:noWrap/>
            <w:tcMar>
              <w:left w:w="28" w:type="dxa"/>
              <w:right w:w="28" w:type="dxa"/>
            </w:tcMar>
            <w:vAlign w:val="center"/>
          </w:tcPr>
          <w:p w14:paraId="0B1B80B7" w14:textId="79882269" w:rsidR="000750CF" w:rsidRPr="00993E00" w:rsidRDefault="000960C3" w:rsidP="00322A0A">
            <w:pPr>
              <w:keepNext/>
              <w:jc w:val="center"/>
              <w:rPr>
                <w:rFonts w:ascii="Arial Narrow" w:hAnsi="Arial Narrow" w:cstheme="minorHAnsi"/>
                <w:color w:val="000000"/>
                <w:sz w:val="20"/>
                <w:szCs w:val="20"/>
                <w:highlight w:val="yellow"/>
              </w:rPr>
            </w:pPr>
            <w:r w:rsidRPr="000960C3">
              <w:rPr>
                <w:rFonts w:ascii="Arial Narrow" w:hAnsi="Arial Narrow"/>
                <w:color w:val="000000"/>
                <w:spacing w:val="41"/>
                <w:sz w:val="20"/>
                <w:szCs w:val="20"/>
                <w:shd w:val="solid" w:color="000000" w:fill="000000"/>
                <w:fitText w:val="210" w:id="-1506043638"/>
                <w14:textFill>
                  <w14:solidFill>
                    <w14:srgbClr w14:val="000000">
                      <w14:alpha w14:val="100000"/>
                    </w14:srgbClr>
                  </w14:solidFill>
                </w14:textFill>
              </w:rPr>
              <w:t>||</w:t>
            </w:r>
            <w:r w:rsidRPr="000960C3">
              <w:rPr>
                <w:rFonts w:ascii="Arial Narrow" w:hAnsi="Arial Narrow"/>
                <w:color w:val="000000"/>
                <w:spacing w:val="1"/>
                <w:sz w:val="20"/>
                <w:szCs w:val="20"/>
                <w:shd w:val="solid" w:color="000000" w:fill="000000"/>
                <w:fitText w:val="210" w:id="-1506043638"/>
                <w14:textFill>
                  <w14:solidFill>
                    <w14:srgbClr w14:val="000000">
                      <w14:alpha w14:val="100000"/>
                    </w14:srgbClr>
                  </w14:solidFill>
                </w14:textFill>
              </w:rPr>
              <w:t>|</w:t>
            </w:r>
            <w:r w:rsidR="00492906">
              <w:rPr>
                <w:rFonts w:ascii="Arial Narrow" w:hAnsi="Arial Narrow"/>
                <w:color w:val="000000"/>
                <w:sz w:val="20"/>
                <w:szCs w:val="20"/>
                <w:vertAlign w:val="superscript"/>
              </w:rPr>
              <w:t>1</w:t>
            </w:r>
            <w:r w:rsidRPr="000960C3">
              <w:rPr>
                <w:rFonts w:ascii="Arial Narrow" w:hAnsi="Arial Narrow" w:hint="eastAsia"/>
                <w:color w:val="000000"/>
                <w:w w:val="24"/>
                <w:sz w:val="20"/>
                <w:szCs w:val="20"/>
                <w:shd w:val="solid" w:color="000000" w:fill="000000"/>
                <w:fitText w:val="90" w:id="-1506043637"/>
                <w:vertAlign w:val="superscript"/>
                <w14:textFill>
                  <w14:solidFill>
                    <w14:srgbClr w14:val="000000">
                      <w14:alpha w14:val="100000"/>
                    </w14:srgbClr>
                  </w14:solidFill>
                </w14:textFill>
              </w:rPr>
              <w:t xml:space="preserve">　</w:t>
            </w:r>
            <w:r w:rsidRPr="000960C3">
              <w:rPr>
                <w:rFonts w:ascii="Arial Narrow" w:hAnsi="Arial Narrow"/>
                <w:color w:val="000000"/>
                <w:w w:val="24"/>
                <w:sz w:val="20"/>
                <w:szCs w:val="20"/>
                <w:shd w:val="solid" w:color="000000" w:fill="000000"/>
                <w:fitText w:val="90" w:id="-1506043637"/>
                <w14:textFill>
                  <w14:solidFill>
                    <w14:srgbClr w14:val="000000">
                      <w14:alpha w14:val="100000"/>
                    </w14:srgbClr>
                  </w14:solidFill>
                </w14:textFill>
              </w:rPr>
              <w:t>|</w:t>
            </w:r>
            <w:r w:rsidRPr="000960C3">
              <w:rPr>
                <w:rFonts w:ascii="Arial Narrow" w:hAnsi="Arial Narrow" w:hint="eastAsia"/>
                <w:color w:val="000000"/>
                <w:spacing w:val="4"/>
                <w:w w:val="24"/>
                <w:sz w:val="20"/>
                <w:szCs w:val="20"/>
                <w:shd w:val="solid" w:color="000000" w:fill="000000"/>
                <w:fitText w:val="90" w:id="-1506043637"/>
                <w14:textFill>
                  <w14:solidFill>
                    <w14:srgbClr w14:val="000000">
                      <w14:alpha w14:val="100000"/>
                    </w14:srgbClr>
                  </w14:solidFill>
                </w14:textFill>
              </w:rPr>
              <w:t xml:space="preserve">　</w:t>
            </w:r>
          </w:p>
        </w:tc>
        <w:tc>
          <w:tcPr>
            <w:tcW w:w="1242" w:type="dxa"/>
            <w:shd w:val="clear" w:color="auto" w:fill="auto"/>
            <w:noWrap/>
            <w:tcMar>
              <w:left w:w="28" w:type="dxa"/>
              <w:right w:w="28" w:type="dxa"/>
            </w:tcMar>
            <w:vAlign w:val="center"/>
          </w:tcPr>
          <w:p w14:paraId="39259278" w14:textId="06A2D8D6" w:rsidR="000750CF" w:rsidRPr="00993E00" w:rsidRDefault="000960C3" w:rsidP="00322A0A">
            <w:pPr>
              <w:keepNext/>
              <w:jc w:val="center"/>
              <w:rPr>
                <w:rFonts w:ascii="Arial Narrow" w:hAnsi="Arial Narrow" w:cstheme="minorHAnsi"/>
                <w:color w:val="000000"/>
                <w:sz w:val="20"/>
                <w:szCs w:val="20"/>
                <w:highlight w:val="yellow"/>
              </w:rPr>
            </w:pPr>
            <w:r w:rsidRPr="000960C3">
              <w:rPr>
                <w:rFonts w:ascii="Arial Narrow" w:hAnsi="Arial Narrow"/>
                <w:color w:val="000000"/>
                <w:spacing w:val="41"/>
                <w:sz w:val="20"/>
                <w:szCs w:val="20"/>
                <w:shd w:val="solid" w:color="000000" w:fill="000000"/>
                <w:fitText w:val="210" w:id="-1506043636"/>
                <w14:textFill>
                  <w14:solidFill>
                    <w14:srgbClr w14:val="000000">
                      <w14:alpha w14:val="100000"/>
                    </w14:srgbClr>
                  </w14:solidFill>
                </w14:textFill>
              </w:rPr>
              <w:t>||</w:t>
            </w:r>
            <w:r w:rsidRPr="000960C3">
              <w:rPr>
                <w:rFonts w:ascii="Arial Narrow" w:hAnsi="Arial Narrow"/>
                <w:color w:val="000000"/>
                <w:spacing w:val="1"/>
                <w:sz w:val="20"/>
                <w:szCs w:val="20"/>
                <w:shd w:val="solid" w:color="000000" w:fill="000000"/>
                <w:fitText w:val="210" w:id="-1506043636"/>
                <w14:textFill>
                  <w14:solidFill>
                    <w14:srgbClr w14:val="000000">
                      <w14:alpha w14:val="100000"/>
                    </w14:srgbClr>
                  </w14:solidFill>
                </w14:textFill>
              </w:rPr>
              <w:t>|</w:t>
            </w:r>
            <w:r w:rsidR="00492906">
              <w:rPr>
                <w:rFonts w:ascii="Arial Narrow" w:hAnsi="Arial Narrow"/>
                <w:color w:val="000000"/>
                <w:sz w:val="20"/>
                <w:szCs w:val="20"/>
                <w:vertAlign w:val="superscript"/>
              </w:rPr>
              <w:t>1</w:t>
            </w:r>
            <w:r w:rsidRPr="000960C3">
              <w:rPr>
                <w:rFonts w:ascii="Arial Narrow" w:hAnsi="Arial Narrow" w:hint="eastAsia"/>
                <w:color w:val="000000"/>
                <w:w w:val="24"/>
                <w:sz w:val="20"/>
                <w:szCs w:val="20"/>
                <w:shd w:val="solid" w:color="000000" w:fill="000000"/>
                <w:fitText w:val="90" w:id="-1506043392"/>
                <w:vertAlign w:val="superscript"/>
                <w14:textFill>
                  <w14:solidFill>
                    <w14:srgbClr w14:val="000000">
                      <w14:alpha w14:val="100000"/>
                    </w14:srgbClr>
                  </w14:solidFill>
                </w14:textFill>
              </w:rPr>
              <w:t xml:space="preserve">　</w:t>
            </w:r>
            <w:r w:rsidRPr="000960C3">
              <w:rPr>
                <w:rFonts w:ascii="Arial Narrow" w:hAnsi="Arial Narrow"/>
                <w:color w:val="000000"/>
                <w:w w:val="24"/>
                <w:sz w:val="20"/>
                <w:szCs w:val="20"/>
                <w:shd w:val="solid" w:color="000000" w:fill="000000"/>
                <w:fitText w:val="90" w:id="-1506043392"/>
                <w14:textFill>
                  <w14:solidFill>
                    <w14:srgbClr w14:val="000000">
                      <w14:alpha w14:val="100000"/>
                    </w14:srgbClr>
                  </w14:solidFill>
                </w14:textFill>
              </w:rPr>
              <w:t>|</w:t>
            </w:r>
            <w:r w:rsidRPr="000960C3">
              <w:rPr>
                <w:rFonts w:ascii="Arial Narrow" w:hAnsi="Arial Narrow" w:hint="eastAsia"/>
                <w:color w:val="000000"/>
                <w:spacing w:val="4"/>
                <w:w w:val="24"/>
                <w:sz w:val="20"/>
                <w:szCs w:val="20"/>
                <w:shd w:val="solid" w:color="000000" w:fill="000000"/>
                <w:fitText w:val="90" w:id="-1506043392"/>
                <w14:textFill>
                  <w14:solidFill>
                    <w14:srgbClr w14:val="000000">
                      <w14:alpha w14:val="100000"/>
                    </w14:srgbClr>
                  </w14:solidFill>
                </w14:textFill>
              </w:rPr>
              <w:t xml:space="preserve">　</w:t>
            </w:r>
          </w:p>
        </w:tc>
        <w:tc>
          <w:tcPr>
            <w:tcW w:w="1232" w:type="dxa"/>
            <w:shd w:val="clear" w:color="auto" w:fill="auto"/>
            <w:noWrap/>
            <w:tcMar>
              <w:left w:w="28" w:type="dxa"/>
              <w:right w:w="28" w:type="dxa"/>
            </w:tcMar>
            <w:vAlign w:val="center"/>
          </w:tcPr>
          <w:p w14:paraId="7170E2F4" w14:textId="69DD6463" w:rsidR="000750CF" w:rsidRPr="00993E00" w:rsidRDefault="000960C3" w:rsidP="00322A0A">
            <w:pPr>
              <w:keepNext/>
              <w:jc w:val="center"/>
              <w:rPr>
                <w:rFonts w:ascii="Arial Narrow" w:hAnsi="Arial Narrow" w:cstheme="minorHAnsi"/>
                <w:color w:val="000000"/>
                <w:sz w:val="20"/>
                <w:szCs w:val="20"/>
                <w:highlight w:val="yellow"/>
              </w:rPr>
            </w:pPr>
            <w:r w:rsidRPr="000960C3">
              <w:rPr>
                <w:rFonts w:ascii="Arial Narrow" w:hAnsi="Arial Narrow"/>
                <w:color w:val="000000"/>
                <w:spacing w:val="41"/>
                <w:sz w:val="20"/>
                <w:szCs w:val="20"/>
                <w:shd w:val="solid" w:color="000000" w:fill="000000"/>
                <w:fitText w:val="210" w:id="-1506043391"/>
                <w14:textFill>
                  <w14:solidFill>
                    <w14:srgbClr w14:val="000000">
                      <w14:alpha w14:val="100000"/>
                    </w14:srgbClr>
                  </w14:solidFill>
                </w14:textFill>
              </w:rPr>
              <w:t>||</w:t>
            </w:r>
            <w:r w:rsidRPr="000960C3">
              <w:rPr>
                <w:rFonts w:ascii="Arial Narrow" w:hAnsi="Arial Narrow"/>
                <w:color w:val="000000"/>
                <w:spacing w:val="1"/>
                <w:sz w:val="20"/>
                <w:szCs w:val="20"/>
                <w:shd w:val="solid" w:color="000000" w:fill="000000"/>
                <w:fitText w:val="210" w:id="-1506043391"/>
                <w14:textFill>
                  <w14:solidFill>
                    <w14:srgbClr w14:val="000000">
                      <w14:alpha w14:val="100000"/>
                    </w14:srgbClr>
                  </w14:solidFill>
                </w14:textFill>
              </w:rPr>
              <w:t>|</w:t>
            </w:r>
            <w:r w:rsidR="00492906">
              <w:rPr>
                <w:rFonts w:ascii="Arial Narrow" w:hAnsi="Arial Narrow"/>
                <w:color w:val="000000"/>
                <w:sz w:val="20"/>
                <w:szCs w:val="20"/>
                <w:vertAlign w:val="superscript"/>
              </w:rPr>
              <w:t>1</w:t>
            </w:r>
            <w:r w:rsidRPr="000960C3">
              <w:rPr>
                <w:rFonts w:ascii="Arial Narrow" w:hAnsi="Arial Narrow" w:hint="eastAsia"/>
                <w:color w:val="000000"/>
                <w:w w:val="24"/>
                <w:sz w:val="20"/>
                <w:szCs w:val="20"/>
                <w:shd w:val="solid" w:color="000000" w:fill="000000"/>
                <w:fitText w:val="90" w:id="-1506043390"/>
                <w:vertAlign w:val="superscript"/>
                <w14:textFill>
                  <w14:solidFill>
                    <w14:srgbClr w14:val="000000">
                      <w14:alpha w14:val="100000"/>
                    </w14:srgbClr>
                  </w14:solidFill>
                </w14:textFill>
              </w:rPr>
              <w:t xml:space="preserve">　</w:t>
            </w:r>
            <w:r w:rsidRPr="000960C3">
              <w:rPr>
                <w:rFonts w:ascii="Arial Narrow" w:hAnsi="Arial Narrow"/>
                <w:color w:val="000000"/>
                <w:w w:val="24"/>
                <w:sz w:val="20"/>
                <w:szCs w:val="20"/>
                <w:shd w:val="solid" w:color="000000" w:fill="000000"/>
                <w:fitText w:val="90" w:id="-1506043390"/>
                <w14:textFill>
                  <w14:solidFill>
                    <w14:srgbClr w14:val="000000">
                      <w14:alpha w14:val="100000"/>
                    </w14:srgbClr>
                  </w14:solidFill>
                </w14:textFill>
              </w:rPr>
              <w:t>|</w:t>
            </w:r>
            <w:r w:rsidRPr="000960C3">
              <w:rPr>
                <w:rFonts w:ascii="Arial Narrow" w:hAnsi="Arial Narrow" w:hint="eastAsia"/>
                <w:color w:val="000000"/>
                <w:spacing w:val="4"/>
                <w:w w:val="24"/>
                <w:sz w:val="20"/>
                <w:szCs w:val="20"/>
                <w:shd w:val="solid" w:color="000000" w:fill="000000"/>
                <w:fitText w:val="90" w:id="-1506043390"/>
                <w14:textFill>
                  <w14:solidFill>
                    <w14:srgbClr w14:val="000000">
                      <w14:alpha w14:val="100000"/>
                    </w14:srgbClr>
                  </w14:solidFill>
                </w14:textFill>
              </w:rPr>
              <w:t xml:space="preserve">　</w:t>
            </w:r>
          </w:p>
        </w:tc>
        <w:tc>
          <w:tcPr>
            <w:tcW w:w="1276" w:type="dxa"/>
            <w:shd w:val="clear" w:color="auto" w:fill="auto"/>
            <w:noWrap/>
            <w:tcMar>
              <w:left w:w="28" w:type="dxa"/>
              <w:right w:w="28" w:type="dxa"/>
            </w:tcMar>
            <w:vAlign w:val="center"/>
          </w:tcPr>
          <w:p w14:paraId="12BF90EC" w14:textId="16EDB9F8" w:rsidR="000750CF" w:rsidRPr="00993E00" w:rsidRDefault="000960C3" w:rsidP="00322A0A">
            <w:pPr>
              <w:keepNext/>
              <w:jc w:val="center"/>
              <w:rPr>
                <w:rFonts w:ascii="Arial Narrow" w:hAnsi="Arial Narrow" w:cstheme="minorHAnsi"/>
                <w:color w:val="000000"/>
                <w:sz w:val="20"/>
                <w:szCs w:val="20"/>
                <w:highlight w:val="yellow"/>
              </w:rPr>
            </w:pPr>
            <w:r w:rsidRPr="000960C3">
              <w:rPr>
                <w:rFonts w:ascii="Arial Narrow" w:hAnsi="Arial Narrow"/>
                <w:color w:val="000000"/>
                <w:spacing w:val="94"/>
                <w:sz w:val="20"/>
                <w:szCs w:val="20"/>
                <w:shd w:val="solid" w:color="000000" w:fill="000000"/>
                <w:fitText w:val="180" w:id="-1506043389"/>
                <w14:textFill>
                  <w14:solidFill>
                    <w14:srgbClr w14:val="000000">
                      <w14:alpha w14:val="100000"/>
                    </w14:srgbClr>
                  </w14:solidFill>
                </w14:textFill>
              </w:rPr>
              <w:t>|</w:t>
            </w:r>
            <w:r w:rsidRPr="000960C3">
              <w:rPr>
                <w:rFonts w:ascii="Arial Narrow" w:hAnsi="Arial Narrow"/>
                <w:color w:val="000000"/>
                <w:spacing w:val="1"/>
                <w:sz w:val="20"/>
                <w:szCs w:val="20"/>
                <w:shd w:val="solid" w:color="000000" w:fill="000000"/>
                <w:fitText w:val="180" w:id="-1506043389"/>
                <w14:textFill>
                  <w14:solidFill>
                    <w14:srgbClr w14:val="000000">
                      <w14:alpha w14:val="100000"/>
                    </w14:srgbClr>
                  </w14:solidFill>
                </w14:textFill>
              </w:rPr>
              <w:t>|</w:t>
            </w:r>
            <w:r w:rsidR="00492906">
              <w:rPr>
                <w:rFonts w:ascii="Arial Narrow" w:hAnsi="Arial Narrow"/>
                <w:color w:val="000000"/>
                <w:sz w:val="20"/>
                <w:szCs w:val="20"/>
                <w:vertAlign w:val="superscript"/>
              </w:rPr>
              <w:t>1</w:t>
            </w:r>
            <w:r w:rsidRPr="000960C3">
              <w:rPr>
                <w:rFonts w:ascii="Arial Narrow" w:hAnsi="Arial Narrow" w:hint="eastAsia"/>
                <w:color w:val="000000"/>
                <w:w w:val="16"/>
                <w:sz w:val="20"/>
                <w:szCs w:val="20"/>
                <w:shd w:val="solid" w:color="000000" w:fill="000000"/>
                <w:fitText w:val="60" w:id="-1506043388"/>
                <w:vertAlign w:val="superscript"/>
                <w14:textFill>
                  <w14:solidFill>
                    <w14:srgbClr w14:val="000000">
                      <w14:alpha w14:val="100000"/>
                    </w14:srgbClr>
                  </w14:solidFill>
                </w14:textFill>
              </w:rPr>
              <w:t xml:space="preserve">　</w:t>
            </w:r>
            <w:r w:rsidRPr="000960C3">
              <w:rPr>
                <w:rFonts w:ascii="Arial Narrow" w:hAnsi="Arial Narrow"/>
                <w:color w:val="000000"/>
                <w:w w:val="16"/>
                <w:sz w:val="20"/>
                <w:szCs w:val="20"/>
                <w:shd w:val="solid" w:color="000000" w:fill="000000"/>
                <w:fitText w:val="60" w:id="-1506043388"/>
                <w14:textFill>
                  <w14:solidFill>
                    <w14:srgbClr w14:val="000000">
                      <w14:alpha w14:val="100000"/>
                    </w14:srgbClr>
                  </w14:solidFill>
                </w14:textFill>
              </w:rPr>
              <w:t>|</w:t>
            </w:r>
            <w:r w:rsidRPr="000960C3">
              <w:rPr>
                <w:rFonts w:ascii="Arial Narrow" w:hAnsi="Arial Narrow" w:hint="eastAsia"/>
                <w:color w:val="000000"/>
                <w:spacing w:val="3"/>
                <w:w w:val="16"/>
                <w:sz w:val="20"/>
                <w:szCs w:val="20"/>
                <w:shd w:val="solid" w:color="000000" w:fill="000000"/>
                <w:fitText w:val="60" w:id="-1506043388"/>
                <w14:textFill>
                  <w14:solidFill>
                    <w14:srgbClr w14:val="000000">
                      <w14:alpha w14:val="100000"/>
                    </w14:srgbClr>
                  </w14:solidFill>
                </w14:textFill>
              </w:rPr>
              <w:t xml:space="preserve">　</w:t>
            </w:r>
          </w:p>
        </w:tc>
        <w:tc>
          <w:tcPr>
            <w:tcW w:w="1232" w:type="dxa"/>
            <w:shd w:val="clear" w:color="auto" w:fill="auto"/>
            <w:noWrap/>
            <w:tcMar>
              <w:left w:w="28" w:type="dxa"/>
              <w:right w:w="28" w:type="dxa"/>
            </w:tcMar>
            <w:vAlign w:val="center"/>
          </w:tcPr>
          <w:p w14:paraId="5A275EF6" w14:textId="46C543AF" w:rsidR="000750CF" w:rsidRPr="00993E00" w:rsidRDefault="000960C3" w:rsidP="00322A0A">
            <w:pPr>
              <w:keepNext/>
              <w:jc w:val="center"/>
              <w:rPr>
                <w:rFonts w:ascii="Arial Narrow" w:hAnsi="Arial Narrow" w:cstheme="minorHAnsi"/>
                <w:color w:val="000000"/>
                <w:sz w:val="20"/>
                <w:szCs w:val="20"/>
                <w:highlight w:val="yellow"/>
              </w:rPr>
            </w:pPr>
            <w:r w:rsidRPr="000960C3">
              <w:rPr>
                <w:rFonts w:ascii="Arial Narrow" w:hAnsi="Arial Narrow"/>
                <w:color w:val="000000"/>
                <w:spacing w:val="41"/>
                <w:sz w:val="20"/>
                <w:szCs w:val="20"/>
                <w:shd w:val="solid" w:color="000000" w:fill="000000"/>
                <w:fitText w:val="210" w:id="-1506043387"/>
                <w14:textFill>
                  <w14:solidFill>
                    <w14:srgbClr w14:val="000000">
                      <w14:alpha w14:val="100000"/>
                    </w14:srgbClr>
                  </w14:solidFill>
                </w14:textFill>
              </w:rPr>
              <w:t>||</w:t>
            </w:r>
            <w:r w:rsidRPr="000960C3">
              <w:rPr>
                <w:rFonts w:ascii="Arial Narrow" w:hAnsi="Arial Narrow"/>
                <w:color w:val="000000"/>
                <w:spacing w:val="1"/>
                <w:sz w:val="20"/>
                <w:szCs w:val="20"/>
                <w:shd w:val="solid" w:color="000000" w:fill="000000"/>
                <w:fitText w:val="210" w:id="-1506043387"/>
                <w14:textFill>
                  <w14:solidFill>
                    <w14:srgbClr w14:val="000000">
                      <w14:alpha w14:val="100000"/>
                    </w14:srgbClr>
                  </w14:solidFill>
                </w14:textFill>
              </w:rPr>
              <w:t>|</w:t>
            </w:r>
            <w:r w:rsidR="00492906">
              <w:rPr>
                <w:rFonts w:ascii="Arial Narrow" w:hAnsi="Arial Narrow"/>
                <w:color w:val="000000"/>
                <w:sz w:val="20"/>
                <w:szCs w:val="20"/>
                <w:vertAlign w:val="superscript"/>
              </w:rPr>
              <w:t>1</w:t>
            </w:r>
            <w:r w:rsidRPr="000960C3">
              <w:rPr>
                <w:rFonts w:ascii="Arial Narrow" w:hAnsi="Arial Narrow" w:hint="eastAsia"/>
                <w:color w:val="000000"/>
                <w:w w:val="24"/>
                <w:sz w:val="20"/>
                <w:szCs w:val="20"/>
                <w:shd w:val="solid" w:color="000000" w:fill="000000"/>
                <w:fitText w:val="90" w:id="-1506043386"/>
                <w:vertAlign w:val="superscript"/>
                <w14:textFill>
                  <w14:solidFill>
                    <w14:srgbClr w14:val="000000">
                      <w14:alpha w14:val="100000"/>
                    </w14:srgbClr>
                  </w14:solidFill>
                </w14:textFill>
              </w:rPr>
              <w:t xml:space="preserve">　</w:t>
            </w:r>
            <w:r w:rsidRPr="000960C3">
              <w:rPr>
                <w:rFonts w:ascii="Arial Narrow" w:hAnsi="Arial Narrow"/>
                <w:color w:val="000000"/>
                <w:w w:val="24"/>
                <w:sz w:val="20"/>
                <w:szCs w:val="20"/>
                <w:shd w:val="solid" w:color="000000" w:fill="000000"/>
                <w:fitText w:val="90" w:id="-1506043386"/>
                <w14:textFill>
                  <w14:solidFill>
                    <w14:srgbClr w14:val="000000">
                      <w14:alpha w14:val="100000"/>
                    </w14:srgbClr>
                  </w14:solidFill>
                </w14:textFill>
              </w:rPr>
              <w:t>|</w:t>
            </w:r>
            <w:r w:rsidRPr="000960C3">
              <w:rPr>
                <w:rFonts w:ascii="Arial Narrow" w:hAnsi="Arial Narrow" w:hint="eastAsia"/>
                <w:color w:val="000000"/>
                <w:spacing w:val="4"/>
                <w:w w:val="24"/>
                <w:sz w:val="20"/>
                <w:szCs w:val="20"/>
                <w:shd w:val="solid" w:color="000000" w:fill="000000"/>
                <w:fitText w:val="90" w:id="-1506043386"/>
                <w14:textFill>
                  <w14:solidFill>
                    <w14:srgbClr w14:val="000000">
                      <w14:alpha w14:val="100000"/>
                    </w14:srgbClr>
                  </w14:solidFill>
                </w14:textFill>
              </w:rPr>
              <w:t xml:space="preserve">　</w:t>
            </w:r>
          </w:p>
        </w:tc>
      </w:tr>
      <w:tr w:rsidR="000F6C3B" w:rsidRPr="00F04A75" w14:paraId="6E46CC0A" w14:textId="77777777" w:rsidTr="00A37D89">
        <w:trPr>
          <w:trHeight w:val="70"/>
        </w:trPr>
        <w:tc>
          <w:tcPr>
            <w:tcW w:w="1557" w:type="dxa"/>
            <w:shd w:val="clear" w:color="auto" w:fill="auto"/>
            <w:noWrap/>
            <w:tcMar>
              <w:left w:w="28" w:type="dxa"/>
              <w:right w:w="28" w:type="dxa"/>
            </w:tcMar>
          </w:tcPr>
          <w:p w14:paraId="0495027B" w14:textId="46315FDD" w:rsidR="000F6C3B" w:rsidRPr="00F04A75" w:rsidRDefault="000F6C3B" w:rsidP="00322A0A">
            <w:pPr>
              <w:rPr>
                <w:rFonts w:ascii="Arial Narrow" w:hAnsi="Arial Narrow" w:cs="Calibri"/>
                <w:sz w:val="20"/>
                <w:szCs w:val="20"/>
                <w:lang w:bidi="hi-IN"/>
              </w:rPr>
            </w:pPr>
            <w:r w:rsidRPr="00F04A75">
              <w:rPr>
                <w:rFonts w:ascii="Arial Narrow" w:hAnsi="Arial Narrow" w:cs="Calibri"/>
                <w:sz w:val="20"/>
                <w:szCs w:val="20"/>
                <w:lang w:bidi="hi-IN"/>
              </w:rPr>
              <w:t>PBS/RPBS</w:t>
            </w:r>
            <w:r w:rsidR="00917491">
              <w:rPr>
                <w:rFonts w:ascii="Arial Narrow" w:hAnsi="Arial Narrow" w:cs="Calibri"/>
                <w:sz w:val="20"/>
                <w:szCs w:val="20"/>
                <w:lang w:bidi="hi-IN"/>
              </w:rPr>
              <w:t xml:space="preserve"> cost</w:t>
            </w:r>
            <w:r w:rsidR="00BB29AF">
              <w:rPr>
                <w:rFonts w:ascii="Arial Narrow" w:hAnsi="Arial Narrow" w:cs="Calibri"/>
                <w:sz w:val="20"/>
                <w:szCs w:val="20"/>
                <w:lang w:bidi="hi-IN"/>
              </w:rPr>
              <w:t xml:space="preserve"> </w:t>
            </w:r>
            <w:r w:rsidR="00BB29AF">
              <w:rPr>
                <w:rFonts w:ascii="Arial Narrow" w:hAnsi="Arial Narrow" w:cstheme="minorHAnsi"/>
                <w:bCs/>
                <w:sz w:val="20"/>
                <w:szCs w:val="20"/>
                <w:lang w:bidi="hi-IN"/>
              </w:rPr>
              <w:t>($)</w:t>
            </w:r>
          </w:p>
        </w:tc>
        <w:tc>
          <w:tcPr>
            <w:tcW w:w="1242" w:type="dxa"/>
            <w:shd w:val="clear" w:color="auto" w:fill="auto"/>
            <w:noWrap/>
            <w:tcMar>
              <w:left w:w="28" w:type="dxa"/>
              <w:right w:w="28" w:type="dxa"/>
            </w:tcMar>
            <w:vAlign w:val="center"/>
          </w:tcPr>
          <w:p w14:paraId="638CD62A" w14:textId="770B3765" w:rsidR="000F6C3B" w:rsidRPr="001E1345" w:rsidRDefault="000F6C3B" w:rsidP="00322A0A">
            <w:pPr>
              <w:keepNext/>
              <w:jc w:val="center"/>
              <w:rPr>
                <w:rFonts w:ascii="Arial Narrow" w:hAnsi="Arial Narrow" w:cstheme="minorHAnsi"/>
                <w:color w:val="000000"/>
                <w:sz w:val="20"/>
                <w:szCs w:val="20"/>
                <w:vertAlign w:val="superscript"/>
              </w:rPr>
            </w:pPr>
            <w:r w:rsidRPr="00F04A75">
              <w:rPr>
                <w:rFonts w:ascii="Arial Narrow" w:hAnsi="Arial Narrow" w:cstheme="minorHAnsi"/>
                <w:color w:val="000000"/>
                <w:sz w:val="20"/>
                <w:szCs w:val="20"/>
              </w:rPr>
              <w:t>$</w:t>
            </w:r>
            <w:r w:rsidR="000960C3" w:rsidRPr="000960C3">
              <w:rPr>
                <w:rFonts w:ascii="Arial Narrow" w:hAnsi="Arial Narrow" w:cstheme="minorHAnsi" w:hint="eastAsia"/>
                <w:color w:val="000000"/>
                <w:w w:val="15"/>
                <w:sz w:val="20"/>
                <w:szCs w:val="20"/>
                <w:shd w:val="solid" w:color="000000" w:fill="000000"/>
                <w:fitText w:val="30" w:id="-1506043385"/>
                <w14:textFill>
                  <w14:solidFill>
                    <w14:srgbClr w14:val="000000">
                      <w14:alpha w14:val="100000"/>
                    </w14:srgbClr>
                  </w14:solidFill>
                </w14:textFill>
              </w:rPr>
              <w:t xml:space="preserve">　</w:t>
            </w:r>
            <w:r w:rsidR="000960C3" w:rsidRPr="000960C3">
              <w:rPr>
                <w:rFonts w:ascii="Arial Narrow" w:hAnsi="Arial Narrow" w:cstheme="minorHAnsi"/>
                <w:color w:val="000000"/>
                <w:w w:val="15"/>
                <w:sz w:val="20"/>
                <w:szCs w:val="20"/>
                <w:shd w:val="solid" w:color="000000" w:fill="000000"/>
                <w:fitText w:val="30" w:id="-1506043385"/>
                <w14:textFill>
                  <w14:solidFill>
                    <w14:srgbClr w14:val="000000">
                      <w14:alpha w14:val="100000"/>
                    </w14:srgbClr>
                  </w14:solidFill>
                </w14:textFill>
              </w:rPr>
              <w:t>|</w:t>
            </w:r>
            <w:r w:rsidR="000960C3" w:rsidRPr="000960C3">
              <w:rPr>
                <w:rFonts w:ascii="Arial Narrow" w:hAnsi="Arial Narrow" w:cstheme="minorHAnsi" w:hint="eastAsia"/>
                <w:color w:val="000000"/>
                <w:spacing w:val="-35"/>
                <w:w w:val="15"/>
                <w:sz w:val="20"/>
                <w:szCs w:val="20"/>
                <w:shd w:val="solid" w:color="000000" w:fill="000000"/>
                <w:fitText w:val="30" w:id="-1506043385"/>
                <w14:textFill>
                  <w14:solidFill>
                    <w14:srgbClr w14:val="000000">
                      <w14:alpha w14:val="100000"/>
                    </w14:srgbClr>
                  </w14:solidFill>
                </w14:textFill>
              </w:rPr>
              <w:t xml:space="preserve">　</w:t>
            </w:r>
            <w:r w:rsidR="001E1345">
              <w:rPr>
                <w:rFonts w:ascii="Arial Narrow" w:hAnsi="Arial Narrow" w:cstheme="minorHAnsi"/>
                <w:color w:val="000000"/>
                <w:sz w:val="20"/>
                <w:szCs w:val="20"/>
                <w:vertAlign w:val="superscript"/>
              </w:rPr>
              <w:t>6</w:t>
            </w:r>
          </w:p>
        </w:tc>
        <w:tc>
          <w:tcPr>
            <w:tcW w:w="1243" w:type="dxa"/>
            <w:shd w:val="clear" w:color="auto" w:fill="auto"/>
            <w:noWrap/>
            <w:tcMar>
              <w:left w:w="28" w:type="dxa"/>
              <w:right w:w="28" w:type="dxa"/>
            </w:tcMar>
            <w:vAlign w:val="center"/>
          </w:tcPr>
          <w:p w14:paraId="2D00ECEA" w14:textId="773FBA89" w:rsidR="000F6C3B" w:rsidRPr="00F04A75" w:rsidRDefault="000F6C3B" w:rsidP="00322A0A">
            <w:pPr>
              <w:keepNext/>
              <w:jc w:val="center"/>
              <w:rPr>
                <w:rFonts w:ascii="Arial Narrow" w:hAnsi="Arial Narrow" w:cstheme="minorHAnsi"/>
                <w:color w:val="000000"/>
                <w:sz w:val="20"/>
                <w:szCs w:val="20"/>
              </w:rPr>
            </w:pPr>
            <w:r w:rsidRPr="00F04A75">
              <w:rPr>
                <w:rFonts w:ascii="Arial Narrow" w:hAnsi="Arial Narrow" w:cstheme="minorHAnsi"/>
                <w:color w:val="000000"/>
                <w:sz w:val="20"/>
                <w:szCs w:val="20"/>
              </w:rPr>
              <w:t>$</w:t>
            </w:r>
            <w:r w:rsidR="000960C3" w:rsidRPr="000960C3">
              <w:rPr>
                <w:rFonts w:ascii="Arial Narrow" w:hAnsi="Arial Narrow" w:cstheme="minorHAnsi" w:hint="eastAsia"/>
                <w:color w:val="000000"/>
                <w:w w:val="15"/>
                <w:sz w:val="20"/>
                <w:szCs w:val="20"/>
                <w:shd w:val="solid" w:color="000000" w:fill="000000"/>
                <w:fitText w:val="30" w:id="-1506043384"/>
                <w14:textFill>
                  <w14:solidFill>
                    <w14:srgbClr w14:val="000000">
                      <w14:alpha w14:val="100000"/>
                    </w14:srgbClr>
                  </w14:solidFill>
                </w14:textFill>
              </w:rPr>
              <w:t xml:space="preserve">　</w:t>
            </w:r>
            <w:r w:rsidR="000960C3" w:rsidRPr="000960C3">
              <w:rPr>
                <w:rFonts w:ascii="Arial Narrow" w:hAnsi="Arial Narrow" w:cstheme="minorHAnsi"/>
                <w:color w:val="000000"/>
                <w:w w:val="15"/>
                <w:sz w:val="20"/>
                <w:szCs w:val="20"/>
                <w:shd w:val="solid" w:color="000000" w:fill="000000"/>
                <w:fitText w:val="30" w:id="-1506043384"/>
                <w14:textFill>
                  <w14:solidFill>
                    <w14:srgbClr w14:val="000000">
                      <w14:alpha w14:val="100000"/>
                    </w14:srgbClr>
                  </w14:solidFill>
                </w14:textFill>
              </w:rPr>
              <w:t>|</w:t>
            </w:r>
            <w:r w:rsidR="000960C3" w:rsidRPr="000960C3">
              <w:rPr>
                <w:rFonts w:ascii="Arial Narrow" w:hAnsi="Arial Narrow" w:cstheme="minorHAnsi" w:hint="eastAsia"/>
                <w:color w:val="000000"/>
                <w:spacing w:val="-35"/>
                <w:w w:val="15"/>
                <w:sz w:val="20"/>
                <w:szCs w:val="20"/>
                <w:shd w:val="solid" w:color="000000" w:fill="000000"/>
                <w:fitText w:val="30" w:id="-1506043384"/>
                <w14:textFill>
                  <w14:solidFill>
                    <w14:srgbClr w14:val="000000">
                      <w14:alpha w14:val="100000"/>
                    </w14:srgbClr>
                  </w14:solidFill>
                </w14:textFill>
              </w:rPr>
              <w:t xml:space="preserve">　</w:t>
            </w:r>
            <w:r w:rsidR="001E1345">
              <w:rPr>
                <w:rFonts w:ascii="Arial Narrow" w:hAnsi="Arial Narrow"/>
                <w:i/>
                <w:iCs/>
                <w:color w:val="333333"/>
                <w:sz w:val="18"/>
                <w:szCs w:val="18"/>
                <w:vertAlign w:val="superscript"/>
              </w:rPr>
              <w:t>7</w:t>
            </w:r>
          </w:p>
        </w:tc>
        <w:tc>
          <w:tcPr>
            <w:tcW w:w="1242" w:type="dxa"/>
            <w:shd w:val="clear" w:color="auto" w:fill="auto"/>
            <w:noWrap/>
            <w:tcMar>
              <w:left w:w="28" w:type="dxa"/>
              <w:right w:w="28" w:type="dxa"/>
            </w:tcMar>
            <w:vAlign w:val="center"/>
          </w:tcPr>
          <w:p w14:paraId="178D96D1" w14:textId="18637111" w:rsidR="000F6C3B" w:rsidRPr="00F04A75" w:rsidRDefault="000F6C3B" w:rsidP="00322A0A">
            <w:pPr>
              <w:keepNext/>
              <w:jc w:val="center"/>
              <w:rPr>
                <w:rFonts w:ascii="Arial Narrow" w:hAnsi="Arial Narrow" w:cstheme="minorHAnsi"/>
                <w:color w:val="000000"/>
                <w:sz w:val="20"/>
                <w:szCs w:val="20"/>
              </w:rPr>
            </w:pPr>
            <w:r w:rsidRPr="00F04A75">
              <w:rPr>
                <w:rFonts w:ascii="Arial Narrow" w:hAnsi="Arial Narrow" w:cstheme="minorHAnsi"/>
                <w:color w:val="000000"/>
                <w:sz w:val="20"/>
                <w:szCs w:val="20"/>
              </w:rPr>
              <w:t>$</w:t>
            </w:r>
            <w:r w:rsidR="000960C3" w:rsidRPr="000960C3">
              <w:rPr>
                <w:rFonts w:ascii="Arial Narrow" w:hAnsi="Arial Narrow" w:cstheme="minorHAnsi" w:hint="eastAsia"/>
                <w:color w:val="000000"/>
                <w:w w:val="15"/>
                <w:sz w:val="20"/>
                <w:szCs w:val="20"/>
                <w:shd w:val="solid" w:color="000000" w:fill="000000"/>
                <w:fitText w:val="30" w:id="-1506043383"/>
                <w14:textFill>
                  <w14:solidFill>
                    <w14:srgbClr w14:val="000000">
                      <w14:alpha w14:val="100000"/>
                    </w14:srgbClr>
                  </w14:solidFill>
                </w14:textFill>
              </w:rPr>
              <w:t xml:space="preserve">　</w:t>
            </w:r>
            <w:r w:rsidR="000960C3" w:rsidRPr="000960C3">
              <w:rPr>
                <w:rFonts w:ascii="Arial Narrow" w:hAnsi="Arial Narrow" w:cstheme="minorHAnsi"/>
                <w:color w:val="000000"/>
                <w:w w:val="15"/>
                <w:sz w:val="20"/>
                <w:szCs w:val="20"/>
                <w:shd w:val="solid" w:color="000000" w:fill="000000"/>
                <w:fitText w:val="30" w:id="-1506043383"/>
                <w14:textFill>
                  <w14:solidFill>
                    <w14:srgbClr w14:val="000000">
                      <w14:alpha w14:val="100000"/>
                    </w14:srgbClr>
                  </w14:solidFill>
                </w14:textFill>
              </w:rPr>
              <w:t>|</w:t>
            </w:r>
            <w:r w:rsidR="000960C3" w:rsidRPr="000960C3">
              <w:rPr>
                <w:rFonts w:ascii="Arial Narrow" w:hAnsi="Arial Narrow" w:cstheme="minorHAnsi" w:hint="eastAsia"/>
                <w:color w:val="000000"/>
                <w:spacing w:val="-35"/>
                <w:w w:val="15"/>
                <w:sz w:val="20"/>
                <w:szCs w:val="20"/>
                <w:shd w:val="solid" w:color="000000" w:fill="000000"/>
                <w:fitText w:val="30" w:id="-1506043383"/>
                <w14:textFill>
                  <w14:solidFill>
                    <w14:srgbClr w14:val="000000">
                      <w14:alpha w14:val="100000"/>
                    </w14:srgbClr>
                  </w14:solidFill>
                </w14:textFill>
              </w:rPr>
              <w:t xml:space="preserve">　</w:t>
            </w:r>
            <w:r w:rsidR="001E1345" w:rsidRPr="001E1345">
              <w:rPr>
                <w:rFonts w:ascii="Arial Narrow" w:hAnsi="Arial Narrow"/>
                <w:color w:val="333333"/>
                <w:sz w:val="18"/>
                <w:szCs w:val="18"/>
                <w:vertAlign w:val="superscript"/>
              </w:rPr>
              <w:t>8</w:t>
            </w:r>
          </w:p>
        </w:tc>
        <w:tc>
          <w:tcPr>
            <w:tcW w:w="1232" w:type="dxa"/>
            <w:shd w:val="clear" w:color="auto" w:fill="auto"/>
            <w:noWrap/>
            <w:tcMar>
              <w:left w:w="28" w:type="dxa"/>
              <w:right w:w="28" w:type="dxa"/>
            </w:tcMar>
            <w:vAlign w:val="center"/>
          </w:tcPr>
          <w:p w14:paraId="2DDF802E" w14:textId="462221F4" w:rsidR="000F6C3B" w:rsidRPr="00F04A75" w:rsidRDefault="000F6C3B" w:rsidP="00322A0A">
            <w:pPr>
              <w:keepNext/>
              <w:jc w:val="center"/>
              <w:rPr>
                <w:rFonts w:ascii="Arial Narrow" w:hAnsi="Arial Narrow" w:cstheme="minorHAnsi"/>
                <w:color w:val="000000"/>
                <w:sz w:val="20"/>
                <w:szCs w:val="20"/>
              </w:rPr>
            </w:pPr>
            <w:r w:rsidRPr="00F04A75">
              <w:rPr>
                <w:rFonts w:ascii="Arial Narrow" w:hAnsi="Arial Narrow" w:cstheme="minorHAnsi"/>
                <w:color w:val="000000"/>
                <w:sz w:val="20"/>
                <w:szCs w:val="20"/>
              </w:rPr>
              <w:t>$</w:t>
            </w:r>
            <w:r w:rsidR="000960C3" w:rsidRPr="000960C3">
              <w:rPr>
                <w:rFonts w:ascii="Arial Narrow" w:hAnsi="Arial Narrow" w:cstheme="minorHAnsi" w:hint="eastAsia"/>
                <w:color w:val="000000"/>
                <w:w w:val="15"/>
                <w:sz w:val="20"/>
                <w:szCs w:val="20"/>
                <w:shd w:val="solid" w:color="000000" w:fill="000000"/>
                <w:fitText w:val="30" w:id="-1506043382"/>
                <w14:textFill>
                  <w14:solidFill>
                    <w14:srgbClr w14:val="000000">
                      <w14:alpha w14:val="100000"/>
                    </w14:srgbClr>
                  </w14:solidFill>
                </w14:textFill>
              </w:rPr>
              <w:t xml:space="preserve">　</w:t>
            </w:r>
            <w:r w:rsidR="000960C3" w:rsidRPr="000960C3">
              <w:rPr>
                <w:rFonts w:ascii="Arial Narrow" w:hAnsi="Arial Narrow" w:cstheme="minorHAnsi"/>
                <w:color w:val="000000"/>
                <w:w w:val="15"/>
                <w:sz w:val="20"/>
                <w:szCs w:val="20"/>
                <w:shd w:val="solid" w:color="000000" w:fill="000000"/>
                <w:fitText w:val="30" w:id="-1506043382"/>
                <w14:textFill>
                  <w14:solidFill>
                    <w14:srgbClr w14:val="000000">
                      <w14:alpha w14:val="100000"/>
                    </w14:srgbClr>
                  </w14:solidFill>
                </w14:textFill>
              </w:rPr>
              <w:t>|</w:t>
            </w:r>
            <w:r w:rsidR="000960C3" w:rsidRPr="000960C3">
              <w:rPr>
                <w:rFonts w:ascii="Arial Narrow" w:hAnsi="Arial Narrow" w:cstheme="minorHAnsi" w:hint="eastAsia"/>
                <w:color w:val="000000"/>
                <w:spacing w:val="-35"/>
                <w:w w:val="15"/>
                <w:sz w:val="20"/>
                <w:szCs w:val="20"/>
                <w:shd w:val="solid" w:color="000000" w:fill="000000"/>
                <w:fitText w:val="30" w:id="-1506043382"/>
                <w14:textFill>
                  <w14:solidFill>
                    <w14:srgbClr w14:val="000000">
                      <w14:alpha w14:val="100000"/>
                    </w14:srgbClr>
                  </w14:solidFill>
                </w14:textFill>
              </w:rPr>
              <w:t xml:space="preserve">　</w:t>
            </w:r>
            <w:r w:rsidR="001E1345" w:rsidRPr="001E1345">
              <w:rPr>
                <w:rFonts w:ascii="Arial Narrow" w:hAnsi="Arial Narrow"/>
                <w:color w:val="333333"/>
                <w:sz w:val="18"/>
                <w:szCs w:val="18"/>
                <w:vertAlign w:val="superscript"/>
              </w:rPr>
              <w:t>8</w:t>
            </w:r>
          </w:p>
        </w:tc>
        <w:tc>
          <w:tcPr>
            <w:tcW w:w="1276" w:type="dxa"/>
            <w:shd w:val="clear" w:color="auto" w:fill="auto"/>
            <w:noWrap/>
            <w:tcMar>
              <w:left w:w="28" w:type="dxa"/>
              <w:right w:w="28" w:type="dxa"/>
            </w:tcMar>
            <w:vAlign w:val="center"/>
          </w:tcPr>
          <w:p w14:paraId="72453DA6" w14:textId="4FC28DAE" w:rsidR="000F6C3B" w:rsidRPr="00F04A75" w:rsidRDefault="000F6C3B" w:rsidP="00322A0A">
            <w:pPr>
              <w:keepNext/>
              <w:jc w:val="center"/>
              <w:rPr>
                <w:rFonts w:ascii="Arial Narrow" w:hAnsi="Arial Narrow" w:cstheme="minorHAnsi"/>
                <w:color w:val="000000"/>
                <w:sz w:val="20"/>
                <w:szCs w:val="20"/>
              </w:rPr>
            </w:pPr>
            <w:r w:rsidRPr="00F04A75">
              <w:rPr>
                <w:rFonts w:ascii="Arial Narrow" w:hAnsi="Arial Narrow" w:cstheme="minorHAnsi"/>
                <w:color w:val="000000"/>
                <w:sz w:val="20"/>
                <w:szCs w:val="20"/>
              </w:rPr>
              <w:t>$</w:t>
            </w:r>
            <w:r w:rsidR="000960C3" w:rsidRPr="000960C3">
              <w:rPr>
                <w:rFonts w:ascii="Arial Narrow" w:hAnsi="Arial Narrow" w:cstheme="minorHAnsi"/>
                <w:color w:val="000000"/>
                <w:sz w:val="20"/>
                <w:szCs w:val="20"/>
                <w:shd w:val="solid" w:color="000000" w:fill="000000"/>
                <w14:textFill>
                  <w14:solidFill>
                    <w14:srgbClr w14:val="000000">
                      <w14:alpha w14:val="100000"/>
                    </w14:srgbClr>
                  </w14:solidFill>
                </w14:textFill>
              </w:rPr>
              <w:t>|</w:t>
            </w:r>
            <w:r w:rsidR="001E1345" w:rsidRPr="001E1345">
              <w:rPr>
                <w:rFonts w:ascii="Arial Narrow" w:hAnsi="Arial Narrow"/>
                <w:color w:val="333333"/>
                <w:sz w:val="18"/>
                <w:szCs w:val="18"/>
                <w:vertAlign w:val="superscript"/>
              </w:rPr>
              <w:t>8</w:t>
            </w:r>
          </w:p>
        </w:tc>
        <w:tc>
          <w:tcPr>
            <w:tcW w:w="1232" w:type="dxa"/>
            <w:shd w:val="clear" w:color="auto" w:fill="auto"/>
            <w:noWrap/>
            <w:tcMar>
              <w:left w:w="28" w:type="dxa"/>
              <w:right w:w="28" w:type="dxa"/>
            </w:tcMar>
            <w:vAlign w:val="center"/>
          </w:tcPr>
          <w:p w14:paraId="655AFA72" w14:textId="0BA35910" w:rsidR="000F6C3B" w:rsidRPr="00F04A75" w:rsidRDefault="000F6C3B" w:rsidP="00322A0A">
            <w:pPr>
              <w:keepNext/>
              <w:jc w:val="center"/>
              <w:rPr>
                <w:rFonts w:ascii="Arial Narrow" w:hAnsi="Arial Narrow" w:cstheme="minorHAnsi"/>
                <w:color w:val="000000"/>
                <w:sz w:val="20"/>
                <w:szCs w:val="20"/>
              </w:rPr>
            </w:pPr>
            <w:r w:rsidRPr="00F04A75">
              <w:rPr>
                <w:rFonts w:ascii="Arial Narrow" w:hAnsi="Arial Narrow" w:cstheme="minorHAnsi"/>
                <w:color w:val="000000"/>
                <w:sz w:val="20"/>
                <w:szCs w:val="20"/>
              </w:rPr>
              <w:t>$</w:t>
            </w:r>
            <w:r w:rsidR="000960C3" w:rsidRPr="000960C3">
              <w:rPr>
                <w:rFonts w:ascii="Arial Narrow" w:hAnsi="Arial Narrow" w:cstheme="minorHAnsi" w:hint="eastAsia"/>
                <w:color w:val="000000"/>
                <w:w w:val="15"/>
                <w:sz w:val="20"/>
                <w:szCs w:val="20"/>
                <w:shd w:val="solid" w:color="000000" w:fill="000000"/>
                <w:fitText w:val="30" w:id="-1506043381"/>
                <w14:textFill>
                  <w14:solidFill>
                    <w14:srgbClr w14:val="000000">
                      <w14:alpha w14:val="100000"/>
                    </w14:srgbClr>
                  </w14:solidFill>
                </w14:textFill>
              </w:rPr>
              <w:t xml:space="preserve">　</w:t>
            </w:r>
            <w:r w:rsidR="000960C3" w:rsidRPr="000960C3">
              <w:rPr>
                <w:rFonts w:ascii="Arial Narrow" w:hAnsi="Arial Narrow" w:cstheme="minorHAnsi"/>
                <w:color w:val="000000"/>
                <w:w w:val="15"/>
                <w:sz w:val="20"/>
                <w:szCs w:val="20"/>
                <w:shd w:val="solid" w:color="000000" w:fill="000000"/>
                <w:fitText w:val="30" w:id="-1506043381"/>
                <w14:textFill>
                  <w14:solidFill>
                    <w14:srgbClr w14:val="000000">
                      <w14:alpha w14:val="100000"/>
                    </w14:srgbClr>
                  </w14:solidFill>
                </w14:textFill>
              </w:rPr>
              <w:t>|</w:t>
            </w:r>
            <w:r w:rsidR="000960C3" w:rsidRPr="000960C3">
              <w:rPr>
                <w:rFonts w:ascii="Arial Narrow" w:hAnsi="Arial Narrow" w:cstheme="minorHAnsi" w:hint="eastAsia"/>
                <w:color w:val="000000"/>
                <w:spacing w:val="-35"/>
                <w:w w:val="15"/>
                <w:sz w:val="20"/>
                <w:szCs w:val="20"/>
                <w:shd w:val="solid" w:color="000000" w:fill="000000"/>
                <w:fitText w:val="30" w:id="-1506043381"/>
                <w14:textFill>
                  <w14:solidFill>
                    <w14:srgbClr w14:val="000000">
                      <w14:alpha w14:val="100000"/>
                    </w14:srgbClr>
                  </w14:solidFill>
                </w14:textFill>
              </w:rPr>
              <w:t xml:space="preserve">　</w:t>
            </w:r>
            <w:r w:rsidR="001E1345" w:rsidRPr="001E1345">
              <w:rPr>
                <w:rFonts w:ascii="Arial Narrow" w:hAnsi="Arial Narrow"/>
                <w:color w:val="333333"/>
                <w:sz w:val="18"/>
                <w:szCs w:val="18"/>
                <w:vertAlign w:val="superscript"/>
              </w:rPr>
              <w:t>8</w:t>
            </w:r>
          </w:p>
        </w:tc>
      </w:tr>
      <w:tr w:rsidR="000F6C3B" w:rsidRPr="00F04A75" w14:paraId="37E939B4" w14:textId="77777777" w:rsidTr="00A37D89">
        <w:trPr>
          <w:trHeight w:val="70"/>
        </w:trPr>
        <w:tc>
          <w:tcPr>
            <w:tcW w:w="1557" w:type="dxa"/>
            <w:shd w:val="clear" w:color="auto" w:fill="auto"/>
            <w:noWrap/>
            <w:tcMar>
              <w:left w:w="28" w:type="dxa"/>
              <w:right w:w="28" w:type="dxa"/>
            </w:tcMar>
          </w:tcPr>
          <w:p w14:paraId="2D0E99AA" w14:textId="3DF9F21E" w:rsidR="000F6C3B" w:rsidRPr="00F04A75" w:rsidRDefault="000F6C3B" w:rsidP="00322A0A">
            <w:pPr>
              <w:rPr>
                <w:rFonts w:ascii="Arial Narrow" w:hAnsi="Arial Narrow" w:cs="Calibri"/>
                <w:sz w:val="20"/>
                <w:szCs w:val="20"/>
                <w:lang w:bidi="hi-IN"/>
              </w:rPr>
            </w:pPr>
            <w:r w:rsidRPr="00F04A75">
              <w:rPr>
                <w:rFonts w:ascii="Arial Narrow" w:hAnsi="Arial Narrow" w:cs="Calibri"/>
                <w:sz w:val="20"/>
                <w:szCs w:val="20"/>
                <w:lang w:bidi="hi-IN"/>
              </w:rPr>
              <w:t>MBS</w:t>
            </w:r>
            <w:r w:rsidR="00917491">
              <w:rPr>
                <w:rFonts w:ascii="Arial Narrow" w:hAnsi="Arial Narrow" w:cs="Calibri"/>
                <w:sz w:val="20"/>
                <w:szCs w:val="20"/>
                <w:lang w:bidi="hi-IN"/>
              </w:rPr>
              <w:t xml:space="preserve"> cost</w:t>
            </w:r>
            <w:r w:rsidR="00BB29AF">
              <w:rPr>
                <w:rFonts w:ascii="Arial Narrow" w:hAnsi="Arial Narrow" w:cs="Calibri"/>
                <w:sz w:val="20"/>
                <w:szCs w:val="20"/>
                <w:lang w:bidi="hi-IN"/>
              </w:rPr>
              <w:t xml:space="preserve"> </w:t>
            </w:r>
            <w:r w:rsidR="00BB29AF">
              <w:rPr>
                <w:rFonts w:ascii="Arial Narrow" w:hAnsi="Arial Narrow" w:cstheme="minorHAnsi"/>
                <w:bCs/>
                <w:sz w:val="20"/>
                <w:szCs w:val="20"/>
                <w:lang w:bidi="hi-IN"/>
              </w:rPr>
              <w:t>($)</w:t>
            </w:r>
          </w:p>
        </w:tc>
        <w:tc>
          <w:tcPr>
            <w:tcW w:w="1242" w:type="dxa"/>
            <w:shd w:val="clear" w:color="auto" w:fill="auto"/>
            <w:noWrap/>
            <w:tcMar>
              <w:left w:w="28" w:type="dxa"/>
              <w:right w:w="28" w:type="dxa"/>
            </w:tcMar>
            <w:vAlign w:val="center"/>
          </w:tcPr>
          <w:p w14:paraId="2429D651" w14:textId="16202F89" w:rsidR="000F6C3B" w:rsidRPr="00BB29AF" w:rsidRDefault="000960C3" w:rsidP="00322A0A">
            <w:pPr>
              <w:keepNext/>
              <w:jc w:val="center"/>
              <w:rPr>
                <w:rFonts w:ascii="Arial Narrow" w:hAnsi="Arial Narrow" w:cstheme="minorHAnsi"/>
                <w:color w:val="000000"/>
                <w:sz w:val="20"/>
                <w:szCs w:val="20"/>
                <w:highlight w:val="yellow"/>
              </w:rPr>
            </w:pPr>
            <w:r w:rsidRPr="000960C3">
              <w:rPr>
                <w:rFonts w:ascii="Arial Narrow" w:hAnsi="Arial Narrow" w:cstheme="minorHAnsi"/>
                <w:color w:val="000000"/>
                <w:sz w:val="20"/>
                <w:szCs w:val="20"/>
                <w:shd w:val="solid" w:color="000000" w:fill="000000"/>
                <w14:textFill>
                  <w14:solidFill>
                    <w14:srgbClr w14:val="000000">
                      <w14:alpha w14:val="100000"/>
                    </w14:srgbClr>
                  </w14:solidFill>
                </w14:textFill>
              </w:rPr>
              <w:t>|</w:t>
            </w:r>
            <w:r w:rsidR="001E1345" w:rsidRPr="00BB29AF">
              <w:rPr>
                <w:rFonts w:ascii="Arial Narrow" w:hAnsi="Arial Narrow" w:cstheme="minorHAnsi"/>
                <w:color w:val="000000"/>
                <w:sz w:val="20"/>
                <w:szCs w:val="20"/>
                <w:vertAlign w:val="superscript"/>
              </w:rPr>
              <w:t>3</w:t>
            </w:r>
          </w:p>
        </w:tc>
        <w:tc>
          <w:tcPr>
            <w:tcW w:w="1243" w:type="dxa"/>
            <w:shd w:val="clear" w:color="auto" w:fill="auto"/>
            <w:noWrap/>
            <w:tcMar>
              <w:left w:w="28" w:type="dxa"/>
              <w:right w:w="28" w:type="dxa"/>
            </w:tcMar>
            <w:vAlign w:val="center"/>
          </w:tcPr>
          <w:p w14:paraId="740FA6CE" w14:textId="59388208" w:rsidR="000F6C3B" w:rsidRPr="00BB29AF" w:rsidRDefault="000960C3" w:rsidP="00322A0A">
            <w:pPr>
              <w:keepNext/>
              <w:jc w:val="center"/>
              <w:rPr>
                <w:rFonts w:ascii="Arial Narrow" w:hAnsi="Arial Narrow" w:cstheme="minorHAnsi"/>
                <w:color w:val="000000"/>
                <w:sz w:val="20"/>
                <w:szCs w:val="20"/>
                <w:highlight w:val="yellow"/>
              </w:rPr>
            </w:pPr>
            <w:r w:rsidRPr="000960C3">
              <w:rPr>
                <w:rFonts w:ascii="Arial Narrow" w:hAnsi="Arial Narrow" w:cstheme="minorHAnsi"/>
                <w:color w:val="000000"/>
                <w:sz w:val="20"/>
                <w:szCs w:val="20"/>
                <w:shd w:val="solid" w:color="000000" w:fill="000000"/>
                <w14:textFill>
                  <w14:solidFill>
                    <w14:srgbClr w14:val="000000">
                      <w14:alpha w14:val="100000"/>
                    </w14:srgbClr>
                  </w14:solidFill>
                </w14:textFill>
              </w:rPr>
              <w:t>|</w:t>
            </w:r>
            <w:r w:rsidR="001E1345" w:rsidRPr="00BB29AF">
              <w:rPr>
                <w:rFonts w:ascii="Arial Narrow" w:hAnsi="Arial Narrow" w:cstheme="minorHAnsi"/>
                <w:color w:val="000000"/>
                <w:sz w:val="20"/>
                <w:szCs w:val="20"/>
                <w:vertAlign w:val="superscript"/>
              </w:rPr>
              <w:t>3</w:t>
            </w:r>
          </w:p>
        </w:tc>
        <w:tc>
          <w:tcPr>
            <w:tcW w:w="1242" w:type="dxa"/>
            <w:shd w:val="clear" w:color="auto" w:fill="auto"/>
            <w:noWrap/>
            <w:tcMar>
              <w:left w:w="28" w:type="dxa"/>
              <w:right w:w="28" w:type="dxa"/>
            </w:tcMar>
            <w:vAlign w:val="center"/>
          </w:tcPr>
          <w:p w14:paraId="177F34AF" w14:textId="101A17CA" w:rsidR="000F6C3B" w:rsidRPr="00BB29AF" w:rsidRDefault="000960C3" w:rsidP="00322A0A">
            <w:pPr>
              <w:keepNext/>
              <w:jc w:val="center"/>
              <w:rPr>
                <w:rFonts w:ascii="Arial Narrow" w:hAnsi="Arial Narrow" w:cstheme="minorHAnsi"/>
                <w:color w:val="000000"/>
                <w:sz w:val="20"/>
                <w:szCs w:val="20"/>
                <w:highlight w:val="yellow"/>
              </w:rPr>
            </w:pPr>
            <w:r w:rsidRPr="000960C3">
              <w:rPr>
                <w:rFonts w:ascii="Arial Narrow" w:hAnsi="Arial Narrow" w:cstheme="minorHAnsi"/>
                <w:color w:val="000000"/>
                <w:sz w:val="20"/>
                <w:szCs w:val="20"/>
                <w:shd w:val="solid" w:color="000000" w:fill="000000"/>
                <w14:textFill>
                  <w14:solidFill>
                    <w14:srgbClr w14:val="000000">
                      <w14:alpha w14:val="100000"/>
                    </w14:srgbClr>
                  </w14:solidFill>
                </w14:textFill>
              </w:rPr>
              <w:t>|</w:t>
            </w:r>
            <w:r w:rsidR="001E1345" w:rsidRPr="00BB29AF">
              <w:rPr>
                <w:rFonts w:ascii="Arial Narrow" w:hAnsi="Arial Narrow" w:cstheme="minorHAnsi"/>
                <w:color w:val="000000"/>
                <w:sz w:val="20"/>
                <w:szCs w:val="20"/>
                <w:vertAlign w:val="superscript"/>
              </w:rPr>
              <w:t>3</w:t>
            </w:r>
          </w:p>
        </w:tc>
        <w:tc>
          <w:tcPr>
            <w:tcW w:w="1232" w:type="dxa"/>
            <w:shd w:val="clear" w:color="auto" w:fill="auto"/>
            <w:noWrap/>
            <w:tcMar>
              <w:left w:w="28" w:type="dxa"/>
              <w:right w:w="28" w:type="dxa"/>
            </w:tcMar>
            <w:vAlign w:val="center"/>
          </w:tcPr>
          <w:p w14:paraId="0614DD31" w14:textId="42B5F0A1" w:rsidR="000F6C3B" w:rsidRPr="00BB29AF" w:rsidRDefault="000960C3" w:rsidP="00322A0A">
            <w:pPr>
              <w:keepNext/>
              <w:jc w:val="center"/>
              <w:rPr>
                <w:rFonts w:ascii="Arial Narrow" w:hAnsi="Arial Narrow" w:cstheme="minorHAnsi"/>
                <w:color w:val="000000"/>
                <w:sz w:val="20"/>
                <w:szCs w:val="20"/>
                <w:highlight w:val="yellow"/>
              </w:rPr>
            </w:pPr>
            <w:r w:rsidRPr="000960C3">
              <w:rPr>
                <w:rFonts w:ascii="Arial Narrow" w:hAnsi="Arial Narrow" w:cstheme="minorHAnsi"/>
                <w:color w:val="000000"/>
                <w:sz w:val="20"/>
                <w:szCs w:val="20"/>
                <w:shd w:val="solid" w:color="000000" w:fill="000000"/>
                <w14:textFill>
                  <w14:solidFill>
                    <w14:srgbClr w14:val="000000">
                      <w14:alpha w14:val="100000"/>
                    </w14:srgbClr>
                  </w14:solidFill>
                </w14:textFill>
              </w:rPr>
              <w:t>|</w:t>
            </w:r>
            <w:r w:rsidR="001E1345" w:rsidRPr="00BB29AF">
              <w:rPr>
                <w:rFonts w:ascii="Arial Narrow" w:hAnsi="Arial Narrow" w:cstheme="minorHAnsi"/>
                <w:color w:val="000000"/>
                <w:sz w:val="20"/>
                <w:szCs w:val="20"/>
                <w:vertAlign w:val="superscript"/>
              </w:rPr>
              <w:t>3</w:t>
            </w:r>
          </w:p>
        </w:tc>
        <w:tc>
          <w:tcPr>
            <w:tcW w:w="1276" w:type="dxa"/>
            <w:shd w:val="clear" w:color="auto" w:fill="auto"/>
            <w:noWrap/>
            <w:tcMar>
              <w:left w:w="28" w:type="dxa"/>
              <w:right w:w="28" w:type="dxa"/>
            </w:tcMar>
            <w:vAlign w:val="center"/>
          </w:tcPr>
          <w:p w14:paraId="69765C71" w14:textId="7517260C" w:rsidR="000F6C3B" w:rsidRPr="00BB29AF" w:rsidRDefault="000960C3" w:rsidP="00322A0A">
            <w:pPr>
              <w:keepNext/>
              <w:jc w:val="center"/>
              <w:rPr>
                <w:rFonts w:ascii="Arial Narrow" w:hAnsi="Arial Narrow" w:cstheme="minorHAnsi"/>
                <w:color w:val="000000"/>
                <w:sz w:val="20"/>
                <w:szCs w:val="20"/>
                <w:highlight w:val="yellow"/>
              </w:rPr>
            </w:pPr>
            <w:r w:rsidRPr="000960C3">
              <w:rPr>
                <w:rFonts w:ascii="Arial Narrow" w:hAnsi="Arial Narrow" w:cstheme="minorHAnsi"/>
                <w:color w:val="000000"/>
                <w:sz w:val="20"/>
                <w:szCs w:val="20"/>
                <w:shd w:val="solid" w:color="000000" w:fill="000000"/>
                <w14:textFill>
                  <w14:solidFill>
                    <w14:srgbClr w14:val="000000">
                      <w14:alpha w14:val="100000"/>
                    </w14:srgbClr>
                  </w14:solidFill>
                </w14:textFill>
              </w:rPr>
              <w:t>|</w:t>
            </w:r>
            <w:r w:rsidR="001E1345" w:rsidRPr="00BB29AF">
              <w:rPr>
                <w:rFonts w:ascii="Arial Narrow" w:hAnsi="Arial Narrow" w:cstheme="minorHAnsi"/>
                <w:color w:val="000000"/>
                <w:sz w:val="20"/>
                <w:szCs w:val="20"/>
                <w:vertAlign w:val="superscript"/>
              </w:rPr>
              <w:t>3</w:t>
            </w:r>
          </w:p>
        </w:tc>
        <w:tc>
          <w:tcPr>
            <w:tcW w:w="1232" w:type="dxa"/>
            <w:shd w:val="clear" w:color="auto" w:fill="auto"/>
            <w:noWrap/>
            <w:tcMar>
              <w:left w:w="28" w:type="dxa"/>
              <w:right w:w="28" w:type="dxa"/>
            </w:tcMar>
            <w:vAlign w:val="center"/>
          </w:tcPr>
          <w:p w14:paraId="7CC54B5D" w14:textId="537DA421" w:rsidR="000F6C3B" w:rsidRPr="00BB29AF" w:rsidRDefault="000960C3" w:rsidP="00322A0A">
            <w:pPr>
              <w:keepNext/>
              <w:jc w:val="center"/>
              <w:rPr>
                <w:rFonts w:ascii="Arial Narrow" w:hAnsi="Arial Narrow" w:cstheme="minorHAnsi"/>
                <w:color w:val="000000"/>
                <w:sz w:val="20"/>
                <w:szCs w:val="20"/>
                <w:highlight w:val="yellow"/>
              </w:rPr>
            </w:pPr>
            <w:r w:rsidRPr="000960C3">
              <w:rPr>
                <w:rFonts w:ascii="Arial Narrow" w:hAnsi="Arial Narrow" w:cstheme="minorHAnsi"/>
                <w:color w:val="000000"/>
                <w:sz w:val="20"/>
                <w:szCs w:val="20"/>
                <w:shd w:val="solid" w:color="000000" w:fill="000000"/>
                <w14:textFill>
                  <w14:solidFill>
                    <w14:srgbClr w14:val="000000">
                      <w14:alpha w14:val="100000"/>
                    </w14:srgbClr>
                  </w14:solidFill>
                </w14:textFill>
              </w:rPr>
              <w:t>|</w:t>
            </w:r>
            <w:r w:rsidR="001E1345" w:rsidRPr="00BB29AF">
              <w:rPr>
                <w:rFonts w:ascii="Arial Narrow" w:hAnsi="Arial Narrow" w:cstheme="minorHAnsi"/>
                <w:color w:val="000000"/>
                <w:sz w:val="20"/>
                <w:szCs w:val="20"/>
                <w:vertAlign w:val="superscript"/>
              </w:rPr>
              <w:t>3</w:t>
            </w:r>
          </w:p>
        </w:tc>
      </w:tr>
      <w:tr w:rsidR="000F6C3B" w:rsidRPr="00F04A75" w14:paraId="08F057D9" w14:textId="77777777" w:rsidTr="00A37D89">
        <w:trPr>
          <w:trHeight w:val="70"/>
        </w:trPr>
        <w:tc>
          <w:tcPr>
            <w:tcW w:w="1557" w:type="dxa"/>
            <w:shd w:val="clear" w:color="auto" w:fill="auto"/>
            <w:noWrap/>
            <w:tcMar>
              <w:left w:w="28" w:type="dxa"/>
              <w:right w:w="28" w:type="dxa"/>
            </w:tcMar>
          </w:tcPr>
          <w:p w14:paraId="09577F3E" w14:textId="416C69F9" w:rsidR="000F6C3B" w:rsidRPr="00F04A75" w:rsidRDefault="000F6C3B" w:rsidP="00322A0A">
            <w:pPr>
              <w:rPr>
                <w:rFonts w:ascii="Arial Narrow" w:hAnsi="Arial Narrow" w:cs="Calibri"/>
                <w:b/>
                <w:sz w:val="20"/>
                <w:szCs w:val="20"/>
                <w:lang w:bidi="hi-IN"/>
              </w:rPr>
            </w:pPr>
            <w:r w:rsidRPr="00F04A75">
              <w:rPr>
                <w:rFonts w:ascii="Arial Narrow" w:hAnsi="Arial Narrow" w:cs="Calibri"/>
                <w:b/>
                <w:sz w:val="20"/>
                <w:szCs w:val="20"/>
                <w:lang w:bidi="hi-IN"/>
              </w:rPr>
              <w:t>Total</w:t>
            </w:r>
            <w:r w:rsidR="00BB29AF">
              <w:rPr>
                <w:rFonts w:ascii="Arial Narrow" w:hAnsi="Arial Narrow" w:cs="Calibri"/>
                <w:b/>
                <w:sz w:val="20"/>
                <w:szCs w:val="20"/>
                <w:lang w:bidi="hi-IN"/>
              </w:rPr>
              <w:t xml:space="preserve"> </w:t>
            </w:r>
            <w:r w:rsidR="00BB29AF">
              <w:rPr>
                <w:rFonts w:ascii="Arial Narrow" w:hAnsi="Arial Narrow" w:cstheme="minorHAnsi"/>
                <w:bCs/>
                <w:sz w:val="20"/>
                <w:szCs w:val="20"/>
                <w:lang w:bidi="hi-IN"/>
              </w:rPr>
              <w:t>($)</w:t>
            </w:r>
          </w:p>
        </w:tc>
        <w:tc>
          <w:tcPr>
            <w:tcW w:w="1242" w:type="dxa"/>
            <w:shd w:val="clear" w:color="auto" w:fill="auto"/>
            <w:noWrap/>
            <w:tcMar>
              <w:left w:w="28" w:type="dxa"/>
              <w:right w:w="28" w:type="dxa"/>
            </w:tcMar>
            <w:vAlign w:val="center"/>
          </w:tcPr>
          <w:p w14:paraId="7CB9209F" w14:textId="6524121C" w:rsidR="000F6C3B" w:rsidRPr="00F04A75" w:rsidRDefault="000F6C3B" w:rsidP="00322A0A">
            <w:pPr>
              <w:keepNext/>
              <w:jc w:val="center"/>
              <w:rPr>
                <w:rFonts w:ascii="Arial Narrow" w:hAnsi="Arial Narrow" w:cstheme="minorHAnsi"/>
                <w:b/>
                <w:bCs/>
                <w:color w:val="000000"/>
                <w:sz w:val="20"/>
                <w:szCs w:val="20"/>
              </w:rPr>
            </w:pPr>
            <w:r w:rsidRPr="00F04A75">
              <w:rPr>
                <w:rFonts w:ascii="Arial Narrow" w:hAnsi="Arial Narrow" w:cstheme="minorHAnsi"/>
                <w:b/>
                <w:bCs/>
                <w:color w:val="000000"/>
                <w:sz w:val="20"/>
                <w:szCs w:val="20"/>
              </w:rPr>
              <w:t>$</w:t>
            </w:r>
            <w:r w:rsidR="000960C3" w:rsidRPr="000960C3">
              <w:rPr>
                <w:rFonts w:ascii="Arial Narrow" w:hAnsi="Arial Narrow" w:cstheme="minorHAnsi" w:hint="eastAsia"/>
                <w:b/>
                <w:bCs/>
                <w:color w:val="000000"/>
                <w:w w:val="15"/>
                <w:sz w:val="20"/>
                <w:szCs w:val="20"/>
                <w:shd w:val="solid" w:color="000000" w:fill="000000"/>
                <w:fitText w:val="60" w:id="-1506043380"/>
                <w14:textFill>
                  <w14:solidFill>
                    <w14:srgbClr w14:val="000000">
                      <w14:alpha w14:val="100000"/>
                    </w14:srgbClr>
                  </w14:solidFill>
                </w14:textFill>
              </w:rPr>
              <w:t xml:space="preserve">　</w:t>
            </w:r>
            <w:r w:rsidR="000960C3" w:rsidRPr="000960C3">
              <w:rPr>
                <w:rFonts w:ascii="Arial Narrow" w:hAnsi="Arial Narrow" w:cstheme="minorHAnsi"/>
                <w:b/>
                <w:bCs/>
                <w:color w:val="000000"/>
                <w:w w:val="15"/>
                <w:sz w:val="20"/>
                <w:szCs w:val="20"/>
                <w:shd w:val="solid" w:color="000000" w:fill="000000"/>
                <w:fitText w:val="60" w:id="-1506043380"/>
                <w14:textFill>
                  <w14:solidFill>
                    <w14:srgbClr w14:val="000000">
                      <w14:alpha w14:val="100000"/>
                    </w14:srgbClr>
                  </w14:solidFill>
                </w14:textFill>
              </w:rPr>
              <w:t>|</w:t>
            </w:r>
            <w:r w:rsidR="000960C3" w:rsidRPr="000960C3">
              <w:rPr>
                <w:rFonts w:ascii="Arial Narrow" w:hAnsi="Arial Narrow" w:cstheme="minorHAnsi" w:hint="eastAsia"/>
                <w:b/>
                <w:bCs/>
                <w:color w:val="000000"/>
                <w:spacing w:val="-6"/>
                <w:w w:val="15"/>
                <w:sz w:val="20"/>
                <w:szCs w:val="20"/>
                <w:shd w:val="solid" w:color="000000" w:fill="000000"/>
                <w:fitText w:val="60" w:id="-1506043380"/>
                <w14:textFill>
                  <w14:solidFill>
                    <w14:srgbClr w14:val="000000">
                      <w14:alpha w14:val="100000"/>
                    </w14:srgbClr>
                  </w14:solidFill>
                </w14:textFill>
              </w:rPr>
              <w:t xml:space="preserve">　</w:t>
            </w:r>
            <w:r w:rsidR="001E1345">
              <w:rPr>
                <w:rFonts w:ascii="Arial Narrow" w:hAnsi="Arial Narrow" w:cstheme="minorHAnsi"/>
                <w:color w:val="000000"/>
                <w:sz w:val="20"/>
                <w:szCs w:val="20"/>
                <w:vertAlign w:val="superscript"/>
              </w:rPr>
              <w:t>6</w:t>
            </w:r>
          </w:p>
        </w:tc>
        <w:tc>
          <w:tcPr>
            <w:tcW w:w="1243" w:type="dxa"/>
            <w:shd w:val="clear" w:color="auto" w:fill="auto"/>
            <w:noWrap/>
            <w:tcMar>
              <w:left w:w="28" w:type="dxa"/>
              <w:right w:w="28" w:type="dxa"/>
            </w:tcMar>
            <w:vAlign w:val="center"/>
          </w:tcPr>
          <w:p w14:paraId="65256F51" w14:textId="73D2B9E0" w:rsidR="000F6C3B" w:rsidRPr="00F04A75" w:rsidRDefault="000F6C3B" w:rsidP="00322A0A">
            <w:pPr>
              <w:keepNext/>
              <w:jc w:val="center"/>
              <w:rPr>
                <w:rFonts w:ascii="Arial Narrow" w:hAnsi="Arial Narrow" w:cstheme="minorHAnsi"/>
                <w:b/>
                <w:bCs/>
                <w:color w:val="000000"/>
                <w:sz w:val="20"/>
                <w:szCs w:val="20"/>
              </w:rPr>
            </w:pPr>
            <w:r w:rsidRPr="00F04A75">
              <w:rPr>
                <w:rFonts w:ascii="Arial Narrow" w:hAnsi="Arial Narrow" w:cstheme="minorHAnsi"/>
                <w:b/>
                <w:bCs/>
                <w:color w:val="000000"/>
                <w:sz w:val="20"/>
                <w:szCs w:val="20"/>
              </w:rPr>
              <w:t>$</w:t>
            </w:r>
            <w:r w:rsidR="000960C3" w:rsidRPr="000960C3">
              <w:rPr>
                <w:rFonts w:ascii="Arial Narrow" w:hAnsi="Arial Narrow" w:cstheme="minorHAnsi" w:hint="eastAsia"/>
                <w:b/>
                <w:bCs/>
                <w:color w:val="000000"/>
                <w:w w:val="16"/>
                <w:sz w:val="20"/>
                <w:szCs w:val="20"/>
                <w:shd w:val="solid" w:color="000000" w:fill="000000"/>
                <w:fitText w:val="75" w:id="-1506043379"/>
                <w14:textFill>
                  <w14:solidFill>
                    <w14:srgbClr w14:val="000000">
                      <w14:alpha w14:val="100000"/>
                    </w14:srgbClr>
                  </w14:solidFill>
                </w14:textFill>
              </w:rPr>
              <w:t xml:space="preserve">　</w:t>
            </w:r>
            <w:r w:rsidR="000960C3" w:rsidRPr="000960C3">
              <w:rPr>
                <w:rFonts w:ascii="Arial Narrow" w:hAnsi="Arial Narrow" w:cstheme="minorHAnsi"/>
                <w:b/>
                <w:bCs/>
                <w:color w:val="000000"/>
                <w:w w:val="16"/>
                <w:sz w:val="20"/>
                <w:szCs w:val="20"/>
                <w:shd w:val="solid" w:color="000000" w:fill="000000"/>
                <w:fitText w:val="75" w:id="-1506043379"/>
                <w14:textFill>
                  <w14:solidFill>
                    <w14:srgbClr w14:val="000000">
                      <w14:alpha w14:val="100000"/>
                    </w14:srgbClr>
                  </w14:solidFill>
                </w14:textFill>
              </w:rPr>
              <w:t>|</w:t>
            </w:r>
            <w:r w:rsidR="000960C3" w:rsidRPr="000960C3">
              <w:rPr>
                <w:rFonts w:ascii="Arial Narrow" w:hAnsi="Arial Narrow" w:cstheme="minorHAnsi" w:hint="eastAsia"/>
                <w:b/>
                <w:bCs/>
                <w:color w:val="000000"/>
                <w:spacing w:val="5"/>
                <w:w w:val="16"/>
                <w:sz w:val="20"/>
                <w:szCs w:val="20"/>
                <w:shd w:val="solid" w:color="000000" w:fill="000000"/>
                <w:fitText w:val="75" w:id="-1506043379"/>
                <w14:textFill>
                  <w14:solidFill>
                    <w14:srgbClr w14:val="000000">
                      <w14:alpha w14:val="100000"/>
                    </w14:srgbClr>
                  </w14:solidFill>
                </w14:textFill>
              </w:rPr>
              <w:t xml:space="preserve">　</w:t>
            </w:r>
            <w:r w:rsidR="001E1345" w:rsidRPr="001E1345">
              <w:rPr>
                <w:rFonts w:ascii="Arial Narrow" w:hAnsi="Arial Narrow"/>
                <w:color w:val="333333"/>
                <w:sz w:val="18"/>
                <w:szCs w:val="18"/>
                <w:vertAlign w:val="superscript"/>
              </w:rPr>
              <w:t>8</w:t>
            </w:r>
          </w:p>
        </w:tc>
        <w:tc>
          <w:tcPr>
            <w:tcW w:w="1242" w:type="dxa"/>
            <w:shd w:val="clear" w:color="auto" w:fill="auto"/>
            <w:noWrap/>
            <w:tcMar>
              <w:left w:w="28" w:type="dxa"/>
              <w:right w:w="28" w:type="dxa"/>
            </w:tcMar>
            <w:vAlign w:val="center"/>
          </w:tcPr>
          <w:p w14:paraId="682C647E" w14:textId="05A23B26" w:rsidR="000F6C3B" w:rsidRPr="00F04A75" w:rsidRDefault="000F6C3B" w:rsidP="00322A0A">
            <w:pPr>
              <w:keepNext/>
              <w:jc w:val="center"/>
              <w:rPr>
                <w:rFonts w:ascii="Arial Narrow" w:hAnsi="Arial Narrow" w:cstheme="minorHAnsi"/>
                <w:b/>
                <w:bCs/>
                <w:color w:val="000000"/>
                <w:sz w:val="20"/>
                <w:szCs w:val="20"/>
              </w:rPr>
            </w:pPr>
            <w:r w:rsidRPr="00F04A75">
              <w:rPr>
                <w:rFonts w:ascii="Arial Narrow" w:hAnsi="Arial Narrow" w:cstheme="minorHAnsi"/>
                <w:b/>
                <w:bCs/>
                <w:color w:val="000000"/>
                <w:sz w:val="20"/>
                <w:szCs w:val="20"/>
              </w:rPr>
              <w:t>$</w:t>
            </w:r>
            <w:r w:rsidR="000960C3" w:rsidRPr="000960C3">
              <w:rPr>
                <w:rFonts w:ascii="Arial Narrow" w:hAnsi="Arial Narrow" w:cstheme="minorHAnsi" w:hint="eastAsia"/>
                <w:b/>
                <w:bCs/>
                <w:color w:val="000000"/>
                <w:w w:val="16"/>
                <w:sz w:val="20"/>
                <w:szCs w:val="20"/>
                <w:shd w:val="solid" w:color="000000" w:fill="000000"/>
                <w:fitText w:val="75" w:id="-1506043378"/>
                <w14:textFill>
                  <w14:solidFill>
                    <w14:srgbClr w14:val="000000">
                      <w14:alpha w14:val="100000"/>
                    </w14:srgbClr>
                  </w14:solidFill>
                </w14:textFill>
              </w:rPr>
              <w:t xml:space="preserve">　</w:t>
            </w:r>
            <w:r w:rsidR="000960C3" w:rsidRPr="000960C3">
              <w:rPr>
                <w:rFonts w:ascii="Arial Narrow" w:hAnsi="Arial Narrow" w:cstheme="minorHAnsi"/>
                <w:b/>
                <w:bCs/>
                <w:color w:val="000000"/>
                <w:w w:val="16"/>
                <w:sz w:val="20"/>
                <w:szCs w:val="20"/>
                <w:shd w:val="solid" w:color="000000" w:fill="000000"/>
                <w:fitText w:val="75" w:id="-1506043378"/>
                <w14:textFill>
                  <w14:solidFill>
                    <w14:srgbClr w14:val="000000">
                      <w14:alpha w14:val="100000"/>
                    </w14:srgbClr>
                  </w14:solidFill>
                </w14:textFill>
              </w:rPr>
              <w:t>|</w:t>
            </w:r>
            <w:r w:rsidR="000960C3" w:rsidRPr="000960C3">
              <w:rPr>
                <w:rFonts w:ascii="Arial Narrow" w:hAnsi="Arial Narrow" w:cstheme="minorHAnsi" w:hint="eastAsia"/>
                <w:b/>
                <w:bCs/>
                <w:color w:val="000000"/>
                <w:spacing w:val="5"/>
                <w:w w:val="16"/>
                <w:sz w:val="20"/>
                <w:szCs w:val="20"/>
                <w:shd w:val="solid" w:color="000000" w:fill="000000"/>
                <w:fitText w:val="75" w:id="-1506043378"/>
                <w14:textFill>
                  <w14:solidFill>
                    <w14:srgbClr w14:val="000000">
                      <w14:alpha w14:val="100000"/>
                    </w14:srgbClr>
                  </w14:solidFill>
                </w14:textFill>
              </w:rPr>
              <w:t xml:space="preserve">　</w:t>
            </w:r>
            <w:r w:rsidR="001E1345" w:rsidRPr="001E1345">
              <w:rPr>
                <w:rFonts w:ascii="Arial Narrow" w:hAnsi="Arial Narrow"/>
                <w:color w:val="333333"/>
                <w:sz w:val="18"/>
                <w:szCs w:val="18"/>
                <w:vertAlign w:val="superscript"/>
              </w:rPr>
              <w:t>8</w:t>
            </w:r>
          </w:p>
        </w:tc>
        <w:tc>
          <w:tcPr>
            <w:tcW w:w="1232" w:type="dxa"/>
            <w:shd w:val="clear" w:color="auto" w:fill="auto"/>
            <w:noWrap/>
            <w:tcMar>
              <w:left w:w="28" w:type="dxa"/>
              <w:right w:w="28" w:type="dxa"/>
            </w:tcMar>
            <w:vAlign w:val="center"/>
          </w:tcPr>
          <w:p w14:paraId="0A182F76" w14:textId="4D32EC12" w:rsidR="000F6C3B" w:rsidRPr="00F04A75" w:rsidRDefault="000F6C3B" w:rsidP="00322A0A">
            <w:pPr>
              <w:keepNext/>
              <w:jc w:val="center"/>
              <w:rPr>
                <w:rFonts w:ascii="Arial Narrow" w:hAnsi="Arial Narrow" w:cstheme="minorHAnsi"/>
                <w:b/>
                <w:bCs/>
                <w:color w:val="000000"/>
                <w:sz w:val="20"/>
                <w:szCs w:val="20"/>
              </w:rPr>
            </w:pPr>
            <w:r w:rsidRPr="00F04A75">
              <w:rPr>
                <w:rFonts w:ascii="Arial Narrow" w:hAnsi="Arial Narrow" w:cstheme="minorHAnsi"/>
                <w:b/>
                <w:bCs/>
                <w:color w:val="000000"/>
                <w:sz w:val="20"/>
                <w:szCs w:val="20"/>
              </w:rPr>
              <w:t>$</w:t>
            </w:r>
            <w:r w:rsidR="000960C3" w:rsidRPr="000960C3">
              <w:rPr>
                <w:rFonts w:ascii="Arial Narrow" w:hAnsi="Arial Narrow" w:cstheme="minorHAnsi" w:hint="eastAsia"/>
                <w:b/>
                <w:bCs/>
                <w:color w:val="000000"/>
                <w:w w:val="15"/>
                <w:sz w:val="20"/>
                <w:szCs w:val="20"/>
                <w:shd w:val="solid" w:color="000000" w:fill="000000"/>
                <w:fitText w:val="60" w:id="-1506043377"/>
                <w14:textFill>
                  <w14:solidFill>
                    <w14:srgbClr w14:val="000000">
                      <w14:alpha w14:val="100000"/>
                    </w14:srgbClr>
                  </w14:solidFill>
                </w14:textFill>
              </w:rPr>
              <w:t xml:space="preserve">　</w:t>
            </w:r>
            <w:r w:rsidR="000960C3" w:rsidRPr="000960C3">
              <w:rPr>
                <w:rFonts w:ascii="Arial Narrow" w:hAnsi="Arial Narrow" w:cstheme="minorHAnsi"/>
                <w:b/>
                <w:bCs/>
                <w:color w:val="000000"/>
                <w:w w:val="15"/>
                <w:sz w:val="20"/>
                <w:szCs w:val="20"/>
                <w:shd w:val="solid" w:color="000000" w:fill="000000"/>
                <w:fitText w:val="60" w:id="-1506043377"/>
                <w14:textFill>
                  <w14:solidFill>
                    <w14:srgbClr w14:val="000000">
                      <w14:alpha w14:val="100000"/>
                    </w14:srgbClr>
                  </w14:solidFill>
                </w14:textFill>
              </w:rPr>
              <w:t>|</w:t>
            </w:r>
            <w:r w:rsidR="000960C3" w:rsidRPr="000960C3">
              <w:rPr>
                <w:rFonts w:ascii="Arial Narrow" w:hAnsi="Arial Narrow" w:cstheme="minorHAnsi" w:hint="eastAsia"/>
                <w:b/>
                <w:bCs/>
                <w:color w:val="000000"/>
                <w:spacing w:val="-6"/>
                <w:w w:val="15"/>
                <w:sz w:val="20"/>
                <w:szCs w:val="20"/>
                <w:shd w:val="solid" w:color="000000" w:fill="000000"/>
                <w:fitText w:val="60" w:id="-1506043377"/>
                <w14:textFill>
                  <w14:solidFill>
                    <w14:srgbClr w14:val="000000">
                      <w14:alpha w14:val="100000"/>
                    </w14:srgbClr>
                  </w14:solidFill>
                </w14:textFill>
              </w:rPr>
              <w:t xml:space="preserve">　</w:t>
            </w:r>
            <w:r w:rsidR="001E1345" w:rsidRPr="001E1345">
              <w:rPr>
                <w:rFonts w:ascii="Arial Narrow" w:hAnsi="Arial Narrow"/>
                <w:color w:val="333333"/>
                <w:sz w:val="18"/>
                <w:szCs w:val="18"/>
                <w:vertAlign w:val="superscript"/>
              </w:rPr>
              <w:t>8</w:t>
            </w:r>
          </w:p>
        </w:tc>
        <w:tc>
          <w:tcPr>
            <w:tcW w:w="1276" w:type="dxa"/>
            <w:shd w:val="clear" w:color="auto" w:fill="auto"/>
            <w:noWrap/>
            <w:tcMar>
              <w:left w:w="28" w:type="dxa"/>
              <w:right w:w="28" w:type="dxa"/>
            </w:tcMar>
            <w:vAlign w:val="center"/>
          </w:tcPr>
          <w:p w14:paraId="5CE174BE" w14:textId="6CE3BE14" w:rsidR="000F6C3B" w:rsidRPr="00F04A75" w:rsidRDefault="000F6C3B" w:rsidP="00322A0A">
            <w:pPr>
              <w:keepNext/>
              <w:jc w:val="center"/>
              <w:rPr>
                <w:rFonts w:ascii="Arial Narrow" w:hAnsi="Arial Narrow" w:cstheme="minorHAnsi"/>
                <w:b/>
                <w:bCs/>
                <w:color w:val="000000"/>
                <w:sz w:val="20"/>
                <w:szCs w:val="20"/>
              </w:rPr>
            </w:pPr>
            <w:r w:rsidRPr="00F04A75">
              <w:rPr>
                <w:rFonts w:ascii="Arial Narrow" w:hAnsi="Arial Narrow" w:cstheme="minorHAnsi"/>
                <w:b/>
                <w:bCs/>
                <w:color w:val="000000"/>
                <w:sz w:val="20"/>
                <w:szCs w:val="20"/>
              </w:rPr>
              <w:t>$</w:t>
            </w:r>
            <w:r w:rsidR="000960C3" w:rsidRPr="000960C3">
              <w:rPr>
                <w:rFonts w:ascii="Arial Narrow" w:hAnsi="Arial Narrow" w:cstheme="minorHAnsi" w:hint="eastAsia"/>
                <w:b/>
                <w:bCs/>
                <w:color w:val="000000"/>
                <w:w w:val="15"/>
                <w:sz w:val="20"/>
                <w:szCs w:val="20"/>
                <w:shd w:val="solid" w:color="000000" w:fill="000000"/>
                <w:fitText w:val="60" w:id="-1506043376"/>
                <w14:textFill>
                  <w14:solidFill>
                    <w14:srgbClr w14:val="000000">
                      <w14:alpha w14:val="100000"/>
                    </w14:srgbClr>
                  </w14:solidFill>
                </w14:textFill>
              </w:rPr>
              <w:t xml:space="preserve">　</w:t>
            </w:r>
            <w:r w:rsidR="000960C3" w:rsidRPr="000960C3">
              <w:rPr>
                <w:rFonts w:ascii="Arial Narrow" w:hAnsi="Arial Narrow" w:cstheme="minorHAnsi"/>
                <w:b/>
                <w:bCs/>
                <w:color w:val="000000"/>
                <w:w w:val="15"/>
                <w:sz w:val="20"/>
                <w:szCs w:val="20"/>
                <w:shd w:val="solid" w:color="000000" w:fill="000000"/>
                <w:fitText w:val="60" w:id="-1506043376"/>
                <w14:textFill>
                  <w14:solidFill>
                    <w14:srgbClr w14:val="000000">
                      <w14:alpha w14:val="100000"/>
                    </w14:srgbClr>
                  </w14:solidFill>
                </w14:textFill>
              </w:rPr>
              <w:t>|</w:t>
            </w:r>
            <w:r w:rsidR="000960C3" w:rsidRPr="000960C3">
              <w:rPr>
                <w:rFonts w:ascii="Arial Narrow" w:hAnsi="Arial Narrow" w:cstheme="minorHAnsi" w:hint="eastAsia"/>
                <w:b/>
                <w:bCs/>
                <w:color w:val="000000"/>
                <w:spacing w:val="-6"/>
                <w:w w:val="15"/>
                <w:sz w:val="20"/>
                <w:szCs w:val="20"/>
                <w:shd w:val="solid" w:color="000000" w:fill="000000"/>
                <w:fitText w:val="60" w:id="-1506043376"/>
                <w14:textFill>
                  <w14:solidFill>
                    <w14:srgbClr w14:val="000000">
                      <w14:alpha w14:val="100000"/>
                    </w14:srgbClr>
                  </w14:solidFill>
                </w14:textFill>
              </w:rPr>
              <w:t xml:space="preserve">　</w:t>
            </w:r>
            <w:r w:rsidR="001E1345" w:rsidRPr="001E1345">
              <w:rPr>
                <w:rFonts w:ascii="Arial Narrow" w:hAnsi="Arial Narrow"/>
                <w:color w:val="333333"/>
                <w:sz w:val="18"/>
                <w:szCs w:val="18"/>
                <w:vertAlign w:val="superscript"/>
              </w:rPr>
              <w:t>8</w:t>
            </w:r>
          </w:p>
        </w:tc>
        <w:tc>
          <w:tcPr>
            <w:tcW w:w="1232" w:type="dxa"/>
            <w:shd w:val="clear" w:color="auto" w:fill="auto"/>
            <w:noWrap/>
            <w:tcMar>
              <w:left w:w="28" w:type="dxa"/>
              <w:right w:w="28" w:type="dxa"/>
            </w:tcMar>
            <w:vAlign w:val="center"/>
          </w:tcPr>
          <w:p w14:paraId="504883AD" w14:textId="0A5CE3F9" w:rsidR="000F6C3B" w:rsidRPr="00F04A75" w:rsidRDefault="000F6C3B" w:rsidP="00322A0A">
            <w:pPr>
              <w:keepNext/>
              <w:jc w:val="center"/>
              <w:rPr>
                <w:rFonts w:ascii="Arial Narrow" w:hAnsi="Arial Narrow" w:cstheme="minorHAnsi"/>
                <w:b/>
                <w:bCs/>
                <w:color w:val="000000"/>
                <w:sz w:val="20"/>
                <w:szCs w:val="20"/>
              </w:rPr>
            </w:pPr>
            <w:r w:rsidRPr="00F04A75">
              <w:rPr>
                <w:rFonts w:ascii="Arial Narrow" w:hAnsi="Arial Narrow" w:cstheme="minorHAnsi"/>
                <w:b/>
                <w:bCs/>
                <w:color w:val="000000"/>
                <w:sz w:val="20"/>
                <w:szCs w:val="20"/>
              </w:rPr>
              <w:t>$</w:t>
            </w:r>
            <w:r w:rsidR="000960C3" w:rsidRPr="000960C3">
              <w:rPr>
                <w:rFonts w:ascii="Arial Narrow" w:hAnsi="Arial Narrow" w:cstheme="minorHAnsi" w:hint="eastAsia"/>
                <w:b/>
                <w:bCs/>
                <w:color w:val="000000"/>
                <w:w w:val="15"/>
                <w:sz w:val="20"/>
                <w:szCs w:val="20"/>
                <w:shd w:val="solid" w:color="000000" w:fill="000000"/>
                <w:fitText w:val="60" w:id="-1506043392"/>
                <w14:textFill>
                  <w14:solidFill>
                    <w14:srgbClr w14:val="000000">
                      <w14:alpha w14:val="100000"/>
                    </w14:srgbClr>
                  </w14:solidFill>
                </w14:textFill>
              </w:rPr>
              <w:t xml:space="preserve">　</w:t>
            </w:r>
            <w:r w:rsidR="000960C3" w:rsidRPr="000960C3">
              <w:rPr>
                <w:rFonts w:ascii="Arial Narrow" w:hAnsi="Arial Narrow" w:cstheme="minorHAnsi"/>
                <w:b/>
                <w:bCs/>
                <w:color w:val="000000"/>
                <w:w w:val="15"/>
                <w:sz w:val="20"/>
                <w:szCs w:val="20"/>
                <w:shd w:val="solid" w:color="000000" w:fill="000000"/>
                <w:fitText w:val="60" w:id="-1506043392"/>
                <w14:textFill>
                  <w14:solidFill>
                    <w14:srgbClr w14:val="000000">
                      <w14:alpha w14:val="100000"/>
                    </w14:srgbClr>
                  </w14:solidFill>
                </w14:textFill>
              </w:rPr>
              <w:t>|</w:t>
            </w:r>
            <w:r w:rsidR="000960C3" w:rsidRPr="000960C3">
              <w:rPr>
                <w:rFonts w:ascii="Arial Narrow" w:hAnsi="Arial Narrow" w:cstheme="minorHAnsi" w:hint="eastAsia"/>
                <w:b/>
                <w:bCs/>
                <w:color w:val="000000"/>
                <w:spacing w:val="-6"/>
                <w:w w:val="15"/>
                <w:sz w:val="20"/>
                <w:szCs w:val="20"/>
                <w:shd w:val="solid" w:color="000000" w:fill="000000"/>
                <w:fitText w:val="60" w:id="-1506043392"/>
                <w14:textFill>
                  <w14:solidFill>
                    <w14:srgbClr w14:val="000000">
                      <w14:alpha w14:val="100000"/>
                    </w14:srgbClr>
                  </w14:solidFill>
                </w14:textFill>
              </w:rPr>
              <w:t xml:space="preserve">　</w:t>
            </w:r>
            <w:r w:rsidR="001E1345" w:rsidRPr="001E1345">
              <w:rPr>
                <w:rFonts w:ascii="Arial Narrow" w:hAnsi="Arial Narrow"/>
                <w:color w:val="333333"/>
                <w:sz w:val="18"/>
                <w:szCs w:val="18"/>
                <w:vertAlign w:val="superscript"/>
              </w:rPr>
              <w:t>8</w:t>
            </w:r>
          </w:p>
        </w:tc>
      </w:tr>
    </w:tbl>
    <w:p w14:paraId="0766C4B3" w14:textId="7665AE78" w:rsidR="00F97782" w:rsidRPr="00F04A75" w:rsidRDefault="00F97782" w:rsidP="00392547">
      <w:pPr>
        <w:rPr>
          <w:rFonts w:ascii="Arial Narrow" w:hAnsi="Arial Narrow" w:cs="Calibri"/>
          <w:sz w:val="18"/>
          <w:szCs w:val="18"/>
          <w:lang w:eastAsia="en-GB"/>
        </w:rPr>
      </w:pPr>
      <w:r w:rsidRPr="00F04A75">
        <w:rPr>
          <w:rFonts w:ascii="Arial Narrow" w:hAnsi="Arial Narrow" w:cs="Calibri"/>
          <w:sz w:val="18"/>
          <w:szCs w:val="18"/>
          <w:lang w:eastAsia="en-GB"/>
        </w:rPr>
        <w:t>Source: Table 4.5.4 p130-131 of the resubmission</w:t>
      </w:r>
      <w:r w:rsidR="00CF0D85" w:rsidRPr="00F04A75">
        <w:rPr>
          <w:rFonts w:ascii="Arial Narrow" w:hAnsi="Arial Narrow" w:cs="Calibri"/>
          <w:sz w:val="18"/>
          <w:szCs w:val="18"/>
          <w:lang w:eastAsia="en-GB"/>
        </w:rPr>
        <w:t xml:space="preserve">, </w:t>
      </w:r>
      <w:r w:rsidR="00413DFE" w:rsidRPr="00F04A75">
        <w:rPr>
          <w:rFonts w:ascii="Arial Narrow" w:hAnsi="Arial Narrow" w:cs="Calibri"/>
          <w:sz w:val="18"/>
          <w:szCs w:val="18"/>
          <w:lang w:eastAsia="en-GB"/>
        </w:rPr>
        <w:t xml:space="preserve">Section 4 workbook </w:t>
      </w:r>
      <w:r w:rsidR="00704F6B" w:rsidRPr="00F04A75">
        <w:rPr>
          <w:rFonts w:ascii="Arial Narrow" w:hAnsi="Arial Narrow" w:cs="Calibri"/>
          <w:sz w:val="18"/>
          <w:szCs w:val="18"/>
          <w:lang w:eastAsia="en-GB"/>
        </w:rPr>
        <w:t>2b. Patient-prevalent</w:t>
      </w:r>
      <w:r w:rsidR="00096A96" w:rsidRPr="00F04A75">
        <w:rPr>
          <w:rFonts w:ascii="Arial Narrow" w:hAnsi="Arial Narrow" w:cs="Calibri"/>
          <w:sz w:val="18"/>
          <w:szCs w:val="18"/>
          <w:lang w:eastAsia="en-GB"/>
        </w:rPr>
        <w:t xml:space="preserve">, </w:t>
      </w:r>
    </w:p>
    <w:p w14:paraId="0C94C898" w14:textId="39D5ADAD" w:rsidR="00D77394" w:rsidRDefault="00F97782" w:rsidP="00392547">
      <w:pPr>
        <w:pStyle w:val="TableNotes"/>
        <w:rPr>
          <w:rFonts w:ascii="Arial Narrow" w:hAnsi="Arial Narrow" w:cstheme="minorHAnsi"/>
          <w:sz w:val="18"/>
          <w:szCs w:val="18"/>
        </w:rPr>
      </w:pPr>
      <w:r w:rsidRPr="00F04A75">
        <w:rPr>
          <w:rFonts w:ascii="Arial Narrow" w:hAnsi="Arial Narrow" w:cs="Calibri"/>
          <w:sz w:val="18"/>
          <w:szCs w:val="18"/>
        </w:rPr>
        <w:t>Cd</w:t>
      </w:r>
      <w:r w:rsidR="002C2756" w:rsidRPr="00F04A75">
        <w:rPr>
          <w:rFonts w:ascii="Arial Narrow" w:hAnsi="Arial Narrow" w:cs="Calibri"/>
          <w:sz w:val="18"/>
          <w:szCs w:val="18"/>
        </w:rPr>
        <w:t xml:space="preserve"> </w:t>
      </w:r>
      <w:r w:rsidRPr="00F04A75">
        <w:rPr>
          <w:rFonts w:ascii="Arial Narrow" w:hAnsi="Arial Narrow" w:cs="Calibri"/>
          <w:sz w:val="18"/>
          <w:szCs w:val="18"/>
        </w:rPr>
        <w:t>=</w:t>
      </w:r>
      <w:r w:rsidR="002C2756" w:rsidRPr="00F04A75">
        <w:rPr>
          <w:rFonts w:ascii="Arial Narrow" w:hAnsi="Arial Narrow" w:cs="Calibri"/>
          <w:sz w:val="18"/>
          <w:szCs w:val="18"/>
        </w:rPr>
        <w:t xml:space="preserve"> </w:t>
      </w:r>
      <w:r w:rsidRPr="00F04A75">
        <w:rPr>
          <w:rFonts w:ascii="Arial Narrow" w:hAnsi="Arial Narrow" w:cs="Calibri"/>
          <w:sz w:val="18"/>
          <w:szCs w:val="18"/>
        </w:rPr>
        <w:t xml:space="preserve">carfilzomib and dexamethasone; </w:t>
      </w:r>
      <w:proofErr w:type="spellStart"/>
      <w:r w:rsidRPr="00F04A75">
        <w:rPr>
          <w:rFonts w:ascii="Arial Narrow" w:hAnsi="Arial Narrow" w:cs="Calibri"/>
          <w:sz w:val="18"/>
          <w:szCs w:val="18"/>
        </w:rPr>
        <w:t>CLd</w:t>
      </w:r>
      <w:proofErr w:type="spellEnd"/>
      <w:r w:rsidR="002C2756" w:rsidRPr="00F04A75">
        <w:rPr>
          <w:rFonts w:ascii="Arial Narrow" w:hAnsi="Arial Narrow" w:cs="Calibri"/>
          <w:sz w:val="18"/>
          <w:szCs w:val="18"/>
        </w:rPr>
        <w:t xml:space="preserve"> </w:t>
      </w:r>
      <w:r w:rsidRPr="00F04A75">
        <w:rPr>
          <w:rFonts w:ascii="Arial Narrow" w:hAnsi="Arial Narrow" w:cs="Calibri"/>
          <w:sz w:val="18"/>
          <w:szCs w:val="18"/>
        </w:rPr>
        <w:t>=</w:t>
      </w:r>
      <w:r w:rsidR="002C2756" w:rsidRPr="00F04A75">
        <w:rPr>
          <w:rFonts w:ascii="Arial Narrow" w:hAnsi="Arial Narrow" w:cs="Calibri"/>
          <w:sz w:val="18"/>
          <w:szCs w:val="18"/>
        </w:rPr>
        <w:t xml:space="preserve"> </w:t>
      </w:r>
      <w:r w:rsidRPr="00F04A75">
        <w:rPr>
          <w:rFonts w:ascii="Arial Narrow" w:hAnsi="Arial Narrow" w:cs="Calibri"/>
          <w:sz w:val="18"/>
          <w:szCs w:val="18"/>
        </w:rPr>
        <w:t>carfilzomib</w:t>
      </w:r>
      <w:r w:rsidR="002C2756" w:rsidRPr="00F04A75">
        <w:rPr>
          <w:rFonts w:ascii="Arial Narrow" w:hAnsi="Arial Narrow" w:cs="Calibri"/>
          <w:sz w:val="18"/>
          <w:szCs w:val="18"/>
        </w:rPr>
        <w:t xml:space="preserve">, </w:t>
      </w:r>
      <w:r w:rsidRPr="00F04A75">
        <w:rPr>
          <w:rFonts w:ascii="Arial Narrow" w:hAnsi="Arial Narrow" w:cs="Calibri"/>
          <w:sz w:val="18"/>
          <w:szCs w:val="18"/>
        </w:rPr>
        <w:t xml:space="preserve">lenalidomide and dexamethasone; </w:t>
      </w:r>
      <w:proofErr w:type="spellStart"/>
      <w:r w:rsidRPr="00F04A75">
        <w:rPr>
          <w:rFonts w:ascii="Arial Narrow" w:hAnsi="Arial Narrow" w:cs="Calibri"/>
          <w:sz w:val="18"/>
          <w:szCs w:val="18"/>
        </w:rPr>
        <w:t>ELd</w:t>
      </w:r>
      <w:proofErr w:type="spellEnd"/>
      <w:r w:rsidR="002C2756" w:rsidRPr="00F04A75">
        <w:rPr>
          <w:rFonts w:ascii="Arial Narrow" w:hAnsi="Arial Narrow" w:cs="Calibri"/>
          <w:sz w:val="18"/>
          <w:szCs w:val="18"/>
        </w:rPr>
        <w:t xml:space="preserve"> </w:t>
      </w:r>
      <w:r w:rsidRPr="00F04A75">
        <w:rPr>
          <w:rFonts w:ascii="Arial Narrow" w:hAnsi="Arial Narrow" w:cs="Calibri"/>
          <w:sz w:val="18"/>
          <w:szCs w:val="18"/>
        </w:rPr>
        <w:t>=</w:t>
      </w:r>
      <w:r w:rsidR="002C2756" w:rsidRPr="00F04A75">
        <w:rPr>
          <w:rFonts w:ascii="Arial Narrow" w:hAnsi="Arial Narrow" w:cs="Calibri"/>
          <w:sz w:val="18"/>
          <w:szCs w:val="18"/>
        </w:rPr>
        <w:t xml:space="preserve"> </w:t>
      </w:r>
      <w:proofErr w:type="spellStart"/>
      <w:r w:rsidRPr="00F04A75">
        <w:rPr>
          <w:rFonts w:ascii="Arial Narrow" w:hAnsi="Arial Narrow" w:cs="Calibri"/>
          <w:sz w:val="18"/>
          <w:szCs w:val="18"/>
        </w:rPr>
        <w:t>elotuzumab</w:t>
      </w:r>
      <w:proofErr w:type="spellEnd"/>
      <w:r w:rsidR="002C2756" w:rsidRPr="00F04A75">
        <w:rPr>
          <w:rFonts w:ascii="Arial Narrow" w:hAnsi="Arial Narrow" w:cs="Calibri"/>
          <w:sz w:val="18"/>
          <w:szCs w:val="18"/>
        </w:rPr>
        <w:t>,</w:t>
      </w:r>
      <w:r w:rsidRPr="00F04A75">
        <w:rPr>
          <w:rFonts w:ascii="Arial Narrow" w:hAnsi="Arial Narrow" w:cs="Calibri"/>
          <w:sz w:val="18"/>
          <w:szCs w:val="18"/>
        </w:rPr>
        <w:t xml:space="preserve"> lenalidomide and dexamethasone; </w:t>
      </w:r>
      <w:r w:rsidR="002C2756" w:rsidRPr="00F04A75">
        <w:rPr>
          <w:rFonts w:ascii="Arial Narrow" w:hAnsi="Arial Narrow" w:cs="Calibri"/>
          <w:sz w:val="18"/>
          <w:szCs w:val="18"/>
        </w:rPr>
        <w:t xml:space="preserve">MBS = Medicare Benefits Schedule; </w:t>
      </w:r>
      <w:proofErr w:type="spellStart"/>
      <w:r w:rsidRPr="00F04A75">
        <w:rPr>
          <w:rFonts w:ascii="Arial Narrow" w:hAnsi="Arial Narrow" w:cs="Calibri"/>
          <w:sz w:val="18"/>
          <w:szCs w:val="18"/>
        </w:rPr>
        <w:t>PBd</w:t>
      </w:r>
      <w:proofErr w:type="spellEnd"/>
      <w:r w:rsidR="002C2756" w:rsidRPr="00F04A75">
        <w:rPr>
          <w:rFonts w:ascii="Arial Narrow" w:hAnsi="Arial Narrow" w:cs="Calibri"/>
          <w:sz w:val="18"/>
          <w:szCs w:val="18"/>
        </w:rPr>
        <w:t xml:space="preserve"> </w:t>
      </w:r>
      <w:r w:rsidRPr="00F04A75">
        <w:rPr>
          <w:rFonts w:ascii="Arial Narrow" w:hAnsi="Arial Narrow" w:cs="Calibri"/>
          <w:sz w:val="18"/>
          <w:szCs w:val="18"/>
        </w:rPr>
        <w:t>= pomalidomide</w:t>
      </w:r>
      <w:r w:rsidR="002C2756" w:rsidRPr="00F04A75">
        <w:rPr>
          <w:rFonts w:ascii="Arial Narrow" w:hAnsi="Arial Narrow" w:cs="Calibri"/>
          <w:sz w:val="18"/>
          <w:szCs w:val="18"/>
        </w:rPr>
        <w:t>,</w:t>
      </w:r>
      <w:r w:rsidRPr="00F04A75">
        <w:rPr>
          <w:rFonts w:ascii="Arial Narrow" w:hAnsi="Arial Narrow" w:cs="Calibri"/>
          <w:sz w:val="18"/>
          <w:szCs w:val="18"/>
        </w:rPr>
        <w:t xml:space="preserve"> lenalidomide and dexamethasone; PBS</w:t>
      </w:r>
      <w:r w:rsidR="002C2756" w:rsidRPr="00F04A75">
        <w:rPr>
          <w:rFonts w:ascii="Arial Narrow" w:hAnsi="Arial Narrow" w:cs="Calibri"/>
          <w:sz w:val="18"/>
          <w:szCs w:val="18"/>
        </w:rPr>
        <w:t xml:space="preserve"> </w:t>
      </w:r>
      <w:r w:rsidRPr="00F04A75">
        <w:rPr>
          <w:rFonts w:ascii="Arial Narrow" w:hAnsi="Arial Narrow" w:cs="Calibri"/>
          <w:sz w:val="18"/>
          <w:szCs w:val="18"/>
        </w:rPr>
        <w:t>= Pharmaceutical Benefits Scheme; RPBS</w:t>
      </w:r>
      <w:r w:rsidR="002C2756" w:rsidRPr="00F04A75">
        <w:rPr>
          <w:rFonts w:ascii="Arial Narrow" w:hAnsi="Arial Narrow" w:cs="Calibri"/>
          <w:sz w:val="18"/>
          <w:szCs w:val="18"/>
        </w:rPr>
        <w:t xml:space="preserve"> </w:t>
      </w:r>
      <w:r w:rsidRPr="00F04A75">
        <w:rPr>
          <w:rFonts w:ascii="Arial Narrow" w:hAnsi="Arial Narrow" w:cs="Calibri"/>
          <w:sz w:val="18"/>
          <w:szCs w:val="18"/>
        </w:rPr>
        <w:t>=</w:t>
      </w:r>
      <w:r w:rsidRPr="00F04A75">
        <w:rPr>
          <w:sz w:val="18"/>
          <w:szCs w:val="18"/>
        </w:rPr>
        <w:t xml:space="preserve"> </w:t>
      </w:r>
      <w:r w:rsidRPr="00F04A75">
        <w:rPr>
          <w:rFonts w:ascii="Arial Narrow" w:hAnsi="Arial Narrow" w:cs="Calibri"/>
          <w:sz w:val="18"/>
          <w:szCs w:val="18"/>
        </w:rPr>
        <w:t>Repatriation Pharmaceutical Benefits</w:t>
      </w:r>
      <w:r w:rsidR="002C2756" w:rsidRPr="00F04A75">
        <w:rPr>
          <w:rFonts w:ascii="Arial Narrow" w:hAnsi="Arial Narrow" w:cs="Calibri"/>
          <w:sz w:val="18"/>
          <w:szCs w:val="18"/>
        </w:rPr>
        <w:t xml:space="preserve"> Scheme</w:t>
      </w:r>
      <w:r w:rsidR="00D77394" w:rsidRPr="00F04A75">
        <w:rPr>
          <w:rFonts w:ascii="Arial Narrow" w:hAnsi="Arial Narrow" w:cstheme="minorHAnsi"/>
          <w:sz w:val="18"/>
          <w:szCs w:val="18"/>
        </w:rPr>
        <w:t xml:space="preserve"> </w:t>
      </w:r>
    </w:p>
    <w:p w14:paraId="5574A707" w14:textId="7738A7EF" w:rsidR="00492906" w:rsidRDefault="00492906" w:rsidP="00392547">
      <w:pPr>
        <w:pStyle w:val="TableNotes"/>
        <w:rPr>
          <w:rFonts w:ascii="Arial Narrow" w:hAnsi="Arial Narrow" w:cstheme="minorHAnsi"/>
          <w:sz w:val="18"/>
          <w:szCs w:val="18"/>
        </w:rPr>
      </w:pPr>
    </w:p>
    <w:p w14:paraId="3F7C8DFC" w14:textId="77777777" w:rsidR="00492906" w:rsidRPr="001E1345" w:rsidRDefault="00492906" w:rsidP="00492906">
      <w:pPr>
        <w:pStyle w:val="TableFigureFooter"/>
        <w:keepNext/>
        <w:spacing w:after="0"/>
        <w:contextualSpacing w:val="0"/>
        <w:rPr>
          <w:i/>
          <w:color w:val="FF0000"/>
          <w:szCs w:val="18"/>
        </w:rPr>
      </w:pPr>
      <w:r w:rsidRPr="001E1345">
        <w:rPr>
          <w:i/>
          <w:color w:val="FF0000"/>
          <w:szCs w:val="18"/>
        </w:rPr>
        <w:t>The redacted values correspond to the following ranges:</w:t>
      </w:r>
    </w:p>
    <w:p w14:paraId="63DC3CFF" w14:textId="63D803E8" w:rsidR="00492906" w:rsidRPr="001E1345" w:rsidRDefault="00492906" w:rsidP="00492906">
      <w:pPr>
        <w:pStyle w:val="TableFigureFooter"/>
        <w:keepNext/>
        <w:spacing w:after="0"/>
        <w:contextualSpacing w:val="0"/>
        <w:rPr>
          <w:szCs w:val="18"/>
        </w:rPr>
      </w:pPr>
      <w:r w:rsidRPr="001E1345">
        <w:rPr>
          <w:i/>
          <w:color w:val="FF0000"/>
          <w:szCs w:val="18"/>
          <w:vertAlign w:val="superscript"/>
        </w:rPr>
        <w:t>1</w:t>
      </w:r>
      <w:r w:rsidRPr="001E1345">
        <w:rPr>
          <w:i/>
          <w:color w:val="FF0000"/>
          <w:szCs w:val="18"/>
        </w:rPr>
        <w:t>500 &lt;5,000</w:t>
      </w:r>
    </w:p>
    <w:p w14:paraId="7E8B0D4F" w14:textId="772A421B" w:rsidR="00492906" w:rsidRPr="001E1345" w:rsidRDefault="00492906" w:rsidP="00492906">
      <w:pPr>
        <w:ind w:right="150"/>
        <w:rPr>
          <w:rFonts w:ascii="Arial Narrow" w:hAnsi="Arial Narrow"/>
          <w:b/>
          <w:bCs/>
          <w:i/>
          <w:iCs/>
          <w:color w:val="333333"/>
          <w:sz w:val="18"/>
          <w:szCs w:val="18"/>
        </w:rPr>
      </w:pPr>
      <w:r w:rsidRPr="001E1345">
        <w:rPr>
          <w:rFonts w:ascii="Arial Narrow" w:hAnsi="Arial Narrow" w:cstheme="minorHAnsi"/>
          <w:i/>
          <w:iCs/>
          <w:sz w:val="18"/>
          <w:szCs w:val="18"/>
          <w:vertAlign w:val="superscript"/>
        </w:rPr>
        <w:t>2</w:t>
      </w:r>
      <w:r w:rsidRPr="001E1345">
        <w:rPr>
          <w:rFonts w:ascii="Arial Narrow" w:hAnsi="Arial Narrow"/>
          <w:i/>
          <w:iCs/>
          <w:color w:val="333333"/>
          <w:sz w:val="18"/>
          <w:szCs w:val="18"/>
        </w:rPr>
        <w:t>$30 million to &lt; $40 million</w:t>
      </w:r>
    </w:p>
    <w:p w14:paraId="2B36FF0B" w14:textId="52A7FD3C" w:rsidR="00BB29AF" w:rsidRPr="001E1345" w:rsidRDefault="00BB29AF" w:rsidP="00492906">
      <w:pPr>
        <w:ind w:right="150"/>
        <w:rPr>
          <w:rFonts w:ascii="Arial Narrow" w:hAnsi="Arial Narrow"/>
          <w:i/>
          <w:iCs/>
          <w:color w:val="333333"/>
          <w:sz w:val="18"/>
          <w:szCs w:val="18"/>
        </w:rPr>
      </w:pPr>
      <w:r w:rsidRPr="001E1345">
        <w:rPr>
          <w:rFonts w:ascii="Arial Narrow" w:hAnsi="Arial Narrow"/>
          <w:i/>
          <w:iCs/>
          <w:color w:val="333333"/>
          <w:sz w:val="18"/>
          <w:szCs w:val="18"/>
          <w:vertAlign w:val="superscript"/>
        </w:rPr>
        <w:t>3</w:t>
      </w:r>
      <w:r w:rsidRPr="001E1345">
        <w:rPr>
          <w:rFonts w:ascii="Arial Narrow" w:hAnsi="Arial Narrow"/>
          <w:i/>
          <w:iCs/>
          <w:color w:val="333333"/>
          <w:sz w:val="18"/>
          <w:szCs w:val="18"/>
        </w:rPr>
        <w:t>$0 to &lt; $10 million</w:t>
      </w:r>
    </w:p>
    <w:p w14:paraId="61AE3924" w14:textId="7DF60C5F" w:rsidR="00492906" w:rsidRPr="001E1345" w:rsidRDefault="00BB29AF" w:rsidP="00492906">
      <w:pPr>
        <w:ind w:right="150"/>
        <w:rPr>
          <w:rFonts w:ascii="Arial Narrow" w:hAnsi="Arial Narrow"/>
          <w:b/>
          <w:bCs/>
          <w:i/>
          <w:iCs/>
          <w:color w:val="333333"/>
          <w:sz w:val="18"/>
          <w:szCs w:val="18"/>
        </w:rPr>
      </w:pPr>
      <w:r w:rsidRPr="001E1345">
        <w:rPr>
          <w:rFonts w:ascii="Arial Narrow" w:hAnsi="Arial Narrow" w:cstheme="minorHAnsi"/>
          <w:i/>
          <w:iCs/>
          <w:sz w:val="18"/>
          <w:szCs w:val="18"/>
          <w:vertAlign w:val="superscript"/>
        </w:rPr>
        <w:t>4</w:t>
      </w:r>
      <w:r w:rsidR="00492906" w:rsidRPr="001E1345">
        <w:rPr>
          <w:rFonts w:ascii="Arial Narrow" w:hAnsi="Arial Narrow"/>
          <w:i/>
          <w:iCs/>
          <w:color w:val="333333"/>
          <w:sz w:val="18"/>
          <w:szCs w:val="18"/>
        </w:rPr>
        <w:t>$50 million to &lt; $60 million</w:t>
      </w:r>
    </w:p>
    <w:p w14:paraId="7B796065" w14:textId="002E742A" w:rsidR="00492906" w:rsidRPr="001E1345" w:rsidRDefault="00BB29AF" w:rsidP="00492906">
      <w:pPr>
        <w:ind w:right="150"/>
        <w:rPr>
          <w:rFonts w:ascii="Arial Narrow" w:hAnsi="Arial Narrow"/>
          <w:b/>
          <w:bCs/>
          <w:i/>
          <w:iCs/>
          <w:color w:val="333333"/>
          <w:sz w:val="18"/>
          <w:szCs w:val="18"/>
        </w:rPr>
      </w:pPr>
      <w:r w:rsidRPr="001E1345">
        <w:rPr>
          <w:rFonts w:ascii="Arial Narrow" w:hAnsi="Arial Narrow"/>
          <w:i/>
          <w:iCs/>
          <w:color w:val="333333"/>
          <w:sz w:val="18"/>
          <w:szCs w:val="18"/>
          <w:vertAlign w:val="superscript"/>
        </w:rPr>
        <w:t>5</w:t>
      </w:r>
      <w:r w:rsidR="00492906" w:rsidRPr="001E1345">
        <w:rPr>
          <w:rFonts w:ascii="Arial Narrow" w:hAnsi="Arial Narrow"/>
          <w:i/>
          <w:iCs/>
          <w:color w:val="333333"/>
          <w:sz w:val="18"/>
          <w:szCs w:val="18"/>
        </w:rPr>
        <w:t>$40 million to &lt; $50 million</w:t>
      </w:r>
    </w:p>
    <w:p w14:paraId="0016D3D7" w14:textId="736785FD" w:rsidR="00BB29AF" w:rsidRPr="001E1345" w:rsidRDefault="00BB29AF" w:rsidP="00492906">
      <w:pPr>
        <w:ind w:right="150"/>
        <w:rPr>
          <w:rFonts w:ascii="Arial Narrow" w:hAnsi="Arial Narrow"/>
          <w:b/>
          <w:bCs/>
          <w:i/>
          <w:iCs/>
          <w:color w:val="333333"/>
          <w:sz w:val="18"/>
          <w:szCs w:val="18"/>
        </w:rPr>
      </w:pPr>
      <w:r w:rsidRPr="001E1345">
        <w:rPr>
          <w:rFonts w:ascii="Arial Narrow" w:hAnsi="Arial Narrow"/>
          <w:i/>
          <w:iCs/>
          <w:color w:val="333333"/>
          <w:sz w:val="18"/>
          <w:szCs w:val="18"/>
          <w:vertAlign w:val="superscript"/>
        </w:rPr>
        <w:t>6</w:t>
      </w:r>
      <w:r w:rsidRPr="001E1345">
        <w:rPr>
          <w:rFonts w:ascii="Arial Narrow" w:hAnsi="Arial Narrow"/>
          <w:i/>
          <w:iCs/>
          <w:color w:val="333333"/>
          <w:sz w:val="18"/>
          <w:szCs w:val="18"/>
        </w:rPr>
        <w:t>$60 million to &lt; $70 million</w:t>
      </w:r>
    </w:p>
    <w:p w14:paraId="658C3471" w14:textId="2948937A" w:rsidR="001E1345" w:rsidRPr="001E1345" w:rsidRDefault="001E1345" w:rsidP="00492906">
      <w:pPr>
        <w:ind w:right="150"/>
        <w:rPr>
          <w:rFonts w:ascii="Arial Narrow" w:hAnsi="Arial Narrow"/>
          <w:b/>
          <w:bCs/>
          <w:i/>
          <w:iCs/>
          <w:color w:val="333333"/>
          <w:sz w:val="18"/>
          <w:szCs w:val="18"/>
        </w:rPr>
      </w:pPr>
      <w:r w:rsidRPr="001E1345">
        <w:rPr>
          <w:rFonts w:ascii="Arial Narrow" w:hAnsi="Arial Narrow"/>
          <w:i/>
          <w:iCs/>
          <w:color w:val="333333"/>
          <w:sz w:val="18"/>
          <w:szCs w:val="18"/>
          <w:vertAlign w:val="superscript"/>
        </w:rPr>
        <w:t>7</w:t>
      </w:r>
      <w:r w:rsidRPr="001E1345">
        <w:rPr>
          <w:rFonts w:ascii="Arial Narrow" w:hAnsi="Arial Narrow"/>
          <w:i/>
          <w:iCs/>
          <w:color w:val="333333"/>
          <w:sz w:val="18"/>
          <w:szCs w:val="18"/>
        </w:rPr>
        <w:t>$70 million to &lt; $80 million</w:t>
      </w:r>
    </w:p>
    <w:p w14:paraId="604E77B3" w14:textId="11C1DC0B" w:rsidR="001E1345" w:rsidRPr="001E1345" w:rsidRDefault="001E1345" w:rsidP="00492906">
      <w:pPr>
        <w:ind w:right="150"/>
        <w:rPr>
          <w:rFonts w:ascii="Arial Narrow" w:hAnsi="Arial Narrow"/>
          <w:i/>
          <w:iCs/>
          <w:color w:val="333333"/>
          <w:sz w:val="18"/>
          <w:szCs w:val="18"/>
        </w:rPr>
      </w:pPr>
      <w:r w:rsidRPr="001E1345">
        <w:rPr>
          <w:rFonts w:ascii="Arial Narrow" w:hAnsi="Arial Narrow"/>
          <w:i/>
          <w:iCs/>
          <w:color w:val="333333"/>
          <w:sz w:val="18"/>
          <w:szCs w:val="18"/>
          <w:vertAlign w:val="superscript"/>
        </w:rPr>
        <w:t>8</w:t>
      </w:r>
      <w:r w:rsidRPr="001E1345">
        <w:rPr>
          <w:rFonts w:ascii="Arial Narrow" w:hAnsi="Arial Narrow"/>
          <w:i/>
          <w:iCs/>
          <w:color w:val="333333"/>
          <w:sz w:val="18"/>
          <w:szCs w:val="18"/>
        </w:rPr>
        <w:t>$80 million to &lt; $90 million</w:t>
      </w:r>
    </w:p>
    <w:p w14:paraId="35FE651A" w14:textId="77777777" w:rsidR="00492906" w:rsidRDefault="00492906" w:rsidP="00492906">
      <w:pPr>
        <w:ind w:right="150"/>
        <w:rPr>
          <w:rFonts w:ascii="Arial" w:hAnsi="Arial"/>
          <w:color w:val="333333"/>
          <w:sz w:val="21"/>
          <w:szCs w:val="21"/>
        </w:rPr>
      </w:pPr>
    </w:p>
    <w:p w14:paraId="538F6758" w14:textId="73D2F736" w:rsidR="00492906" w:rsidRPr="00492906" w:rsidRDefault="00492906" w:rsidP="00392547">
      <w:pPr>
        <w:pStyle w:val="TableNotes"/>
        <w:rPr>
          <w:rFonts w:ascii="Arial Narrow" w:hAnsi="Arial Narrow" w:cstheme="minorHAnsi"/>
          <w:sz w:val="18"/>
          <w:szCs w:val="18"/>
        </w:rPr>
      </w:pPr>
    </w:p>
    <w:p w14:paraId="721EDFED" w14:textId="07C9D06D" w:rsidR="00392547" w:rsidRPr="00F04A75" w:rsidRDefault="00392547" w:rsidP="00392547">
      <w:pPr>
        <w:pStyle w:val="TableNotes"/>
        <w:rPr>
          <w:rFonts w:ascii="Calibri" w:hAnsi="Calibri" w:cs="Arial"/>
          <w:sz w:val="18"/>
          <w:szCs w:val="18"/>
          <w:lang w:eastAsia="en-AU"/>
        </w:rPr>
      </w:pPr>
    </w:p>
    <w:p w14:paraId="24A18AE3" w14:textId="4964F02C" w:rsidR="00E030CE" w:rsidRPr="00F04A75" w:rsidRDefault="00E030CE" w:rsidP="00E030CE">
      <w:pPr>
        <w:pStyle w:val="3-BodyText"/>
        <w:rPr>
          <w:color w:val="0066FF"/>
        </w:rPr>
      </w:pPr>
      <w:r w:rsidRPr="00F04A75">
        <w:t xml:space="preserve">The resubmission estimated the cost to the PBS/RPBS in the base case scenario, which assumed the PBS listings of Cd, </w:t>
      </w:r>
      <w:proofErr w:type="spellStart"/>
      <w:r w:rsidRPr="00F04A75">
        <w:t>PBd</w:t>
      </w:r>
      <w:proofErr w:type="spellEnd"/>
      <w:r w:rsidRPr="00F04A75">
        <w:t xml:space="preserve">, </w:t>
      </w:r>
      <w:proofErr w:type="spellStart"/>
      <w:r w:rsidRPr="00F04A75">
        <w:t>ELd</w:t>
      </w:r>
      <w:proofErr w:type="spellEnd"/>
      <w:r w:rsidRPr="00F04A75">
        <w:t xml:space="preserve"> and </w:t>
      </w:r>
      <w:proofErr w:type="spellStart"/>
      <w:r w:rsidRPr="00F04A75">
        <w:t>CLd</w:t>
      </w:r>
      <w:proofErr w:type="spellEnd"/>
      <w:r w:rsidRPr="00F04A75">
        <w:t>, was</w:t>
      </w:r>
      <w:r w:rsidR="001E1345">
        <w:t xml:space="preserve"> $60 million to &lt; $70 million</w:t>
      </w:r>
      <w:r w:rsidRPr="00F04A75">
        <w:t xml:space="preserve"> in Year 1 increasing to</w:t>
      </w:r>
      <w:r w:rsidR="001E1345">
        <w:t xml:space="preserve"> $80 million to &lt; $90 million</w:t>
      </w:r>
      <w:r w:rsidRPr="00F04A75">
        <w:t xml:space="preserve"> in Year 6. The estimated cost to the PBS/RPBS in the in the scenario in which Cd, </w:t>
      </w:r>
      <w:proofErr w:type="spellStart"/>
      <w:r w:rsidRPr="00F04A75">
        <w:t>PBd</w:t>
      </w:r>
      <w:proofErr w:type="spellEnd"/>
      <w:r w:rsidRPr="00F04A75">
        <w:t xml:space="preserve"> and </w:t>
      </w:r>
      <w:proofErr w:type="spellStart"/>
      <w:r w:rsidRPr="00F04A75">
        <w:t>CLd</w:t>
      </w:r>
      <w:proofErr w:type="spellEnd"/>
      <w:r w:rsidRPr="00F04A75">
        <w:t xml:space="preserve"> are listed, was</w:t>
      </w:r>
      <w:r w:rsidR="001E1345">
        <w:t xml:space="preserve"> $40 million to &lt; $50 million</w:t>
      </w:r>
      <w:r w:rsidRPr="00F04A75">
        <w:t xml:space="preserve"> in Year 1 increasing to</w:t>
      </w:r>
      <w:r w:rsidR="001E1345">
        <w:t xml:space="preserve"> $50 million to &lt; $60 million</w:t>
      </w:r>
      <w:r w:rsidRPr="00F04A75">
        <w:t xml:space="preserve"> in Year 6. </w:t>
      </w:r>
    </w:p>
    <w:p w14:paraId="6459F3DD" w14:textId="77777777" w:rsidR="00E030CE" w:rsidRPr="00F04A75" w:rsidRDefault="00E030CE" w:rsidP="00E030CE">
      <w:pPr>
        <w:pStyle w:val="3-BodyText"/>
        <w:rPr>
          <w:color w:val="0066FF"/>
        </w:rPr>
      </w:pPr>
      <w:r w:rsidRPr="00F04A75">
        <w:t xml:space="preserve">The resubmission stated that the increase in the estimated net cost to the PBS/RPBS over six years could be explained by the greater use of triple therapies, enabled by the listing of </w:t>
      </w:r>
      <w:proofErr w:type="spellStart"/>
      <w:r w:rsidRPr="00F04A75">
        <w:t>PBd</w:t>
      </w:r>
      <w:proofErr w:type="spellEnd"/>
      <w:r w:rsidRPr="00F04A75">
        <w:t xml:space="preserve"> (and potentially </w:t>
      </w:r>
      <w:proofErr w:type="spellStart"/>
      <w:r w:rsidRPr="00F04A75">
        <w:t>ELd</w:t>
      </w:r>
      <w:proofErr w:type="spellEnd"/>
      <w:r w:rsidRPr="00F04A75">
        <w:t xml:space="preserve"> and </w:t>
      </w:r>
      <w:proofErr w:type="spellStart"/>
      <w:r w:rsidRPr="00F04A75">
        <w:t>CLd</w:t>
      </w:r>
      <w:proofErr w:type="spellEnd"/>
      <w:r w:rsidRPr="00F04A75">
        <w:t xml:space="preserve">), which will result in shifting the utilisation of Pd to </w:t>
      </w:r>
      <w:proofErr w:type="spellStart"/>
      <w:r w:rsidRPr="00F04A75">
        <w:t>PBd</w:t>
      </w:r>
      <w:proofErr w:type="spellEnd"/>
      <w:r w:rsidRPr="00F04A75">
        <w:t xml:space="preserve"> (and from </w:t>
      </w:r>
      <w:proofErr w:type="spellStart"/>
      <w:r w:rsidRPr="00F04A75">
        <w:t>Ld</w:t>
      </w:r>
      <w:proofErr w:type="spellEnd"/>
      <w:r w:rsidRPr="00F04A75">
        <w:t xml:space="preserve"> to </w:t>
      </w:r>
      <w:proofErr w:type="spellStart"/>
      <w:r w:rsidRPr="00F04A75">
        <w:t>ELd</w:t>
      </w:r>
      <w:proofErr w:type="spellEnd"/>
      <w:r w:rsidRPr="00F04A75">
        <w:t xml:space="preserve"> and Cd/</w:t>
      </w:r>
      <w:proofErr w:type="spellStart"/>
      <w:r w:rsidRPr="00F04A75">
        <w:t>Ld</w:t>
      </w:r>
      <w:proofErr w:type="spellEnd"/>
      <w:r w:rsidRPr="00F04A75">
        <w:t xml:space="preserve"> to </w:t>
      </w:r>
      <w:proofErr w:type="spellStart"/>
      <w:r w:rsidRPr="00F04A75">
        <w:t>CLd</w:t>
      </w:r>
      <w:proofErr w:type="spellEnd"/>
      <w:r w:rsidRPr="00F04A75">
        <w:t xml:space="preserve">). </w:t>
      </w:r>
    </w:p>
    <w:p w14:paraId="60FA2B76" w14:textId="1F612EF6" w:rsidR="00E030CE" w:rsidRPr="00815146" w:rsidRDefault="00E030CE" w:rsidP="00E030CE">
      <w:pPr>
        <w:pStyle w:val="3-BodyText"/>
      </w:pPr>
      <w:r w:rsidRPr="00F04A75">
        <w:t xml:space="preserve">The resubmission acknowledged the uncertainties associated with the substitution rates between the therapies, proportion of market share in first and second line RRMM setting, market growth rate, duration of treatments, number of therapies </w:t>
      </w:r>
      <w:r w:rsidRPr="00815146">
        <w:t xml:space="preserve">listed in the second line RRMM setting and </w:t>
      </w:r>
      <w:r w:rsidR="00157DB2">
        <w:t xml:space="preserve">proportion of </w:t>
      </w:r>
      <w:r w:rsidRPr="00815146">
        <w:t xml:space="preserve">weekly dosing of Cd. </w:t>
      </w:r>
    </w:p>
    <w:p w14:paraId="10AE8A17" w14:textId="376164BE" w:rsidR="001876C8" w:rsidRPr="00815146" w:rsidRDefault="00E030CE" w:rsidP="00E030CE">
      <w:pPr>
        <w:pStyle w:val="3-BodyText"/>
      </w:pPr>
      <w:r w:rsidRPr="00815146">
        <w:t xml:space="preserve">An estimate of </w:t>
      </w:r>
      <w:r w:rsidR="008E7DF0">
        <w:t>the net</w:t>
      </w:r>
      <w:r w:rsidR="001A23CB" w:rsidRPr="00815146">
        <w:t xml:space="preserve"> cost </w:t>
      </w:r>
      <w:r w:rsidR="00322A0A" w:rsidRPr="00815146">
        <w:t xml:space="preserve">of listing </w:t>
      </w:r>
      <w:proofErr w:type="spellStart"/>
      <w:r w:rsidR="001A23CB" w:rsidRPr="00815146">
        <w:t>CLd</w:t>
      </w:r>
      <w:proofErr w:type="spellEnd"/>
      <w:r w:rsidR="001A23CB" w:rsidRPr="00815146">
        <w:t xml:space="preserve"> </w:t>
      </w:r>
      <w:r w:rsidR="00322A0A" w:rsidRPr="00815146">
        <w:t xml:space="preserve">on the PBS/RPBS was </w:t>
      </w:r>
      <w:r w:rsidRPr="00815146">
        <w:t xml:space="preserve">not included in the resubmission. An approximation of the costs was </w:t>
      </w:r>
      <w:r w:rsidR="00322A0A" w:rsidRPr="00815146">
        <w:t>estimated during evaluation</w:t>
      </w:r>
      <w:r w:rsidRPr="00815146">
        <w:t xml:space="preserve"> based on the total net cost for the base case scenario (listing of Cd, </w:t>
      </w:r>
      <w:proofErr w:type="spellStart"/>
      <w:r w:rsidRPr="00815146">
        <w:t>PBd</w:t>
      </w:r>
      <w:proofErr w:type="spellEnd"/>
      <w:r w:rsidRPr="00815146">
        <w:t xml:space="preserve">, </w:t>
      </w:r>
      <w:proofErr w:type="spellStart"/>
      <w:r w:rsidRPr="00815146">
        <w:t>ELd</w:t>
      </w:r>
      <w:proofErr w:type="spellEnd"/>
      <w:r w:rsidRPr="00815146">
        <w:t xml:space="preserve"> and </w:t>
      </w:r>
      <w:proofErr w:type="spellStart"/>
      <w:r w:rsidRPr="00815146">
        <w:t>CLd</w:t>
      </w:r>
      <w:proofErr w:type="spellEnd"/>
      <w:r w:rsidRPr="00815146">
        <w:t xml:space="preserve">) and the market share for </w:t>
      </w:r>
      <w:proofErr w:type="spellStart"/>
      <w:r w:rsidRPr="00815146">
        <w:t>CLd.</w:t>
      </w:r>
      <w:proofErr w:type="spellEnd"/>
      <w:r w:rsidRPr="00815146">
        <w:t xml:space="preserve"> It was estimated that the net cost would be approximately </w:t>
      </w:r>
      <w:r w:rsidR="001E1345">
        <w:t xml:space="preserve">$0 to &lt; $10 million </w:t>
      </w:r>
      <w:r w:rsidR="00A37967" w:rsidRPr="00815146">
        <w:t xml:space="preserve">in Year </w:t>
      </w:r>
      <w:r w:rsidR="002C25D8" w:rsidRPr="00815146">
        <w:t>1</w:t>
      </w:r>
      <w:r w:rsidR="00322A0A" w:rsidRPr="00815146">
        <w:t xml:space="preserve">, increasing to </w:t>
      </w:r>
      <w:r w:rsidRPr="00815146">
        <w:t>approximately</w:t>
      </w:r>
      <w:r w:rsidR="001E1345">
        <w:t xml:space="preserve"> $10 million to &lt; $20 million</w:t>
      </w:r>
      <w:r w:rsidRPr="00815146">
        <w:t xml:space="preserve"> in </w:t>
      </w:r>
      <w:r w:rsidR="00CD08A0">
        <w:t>Y</w:t>
      </w:r>
      <w:r w:rsidRPr="00815146">
        <w:t>ear 3</w:t>
      </w:r>
      <w:r w:rsidR="0021352C" w:rsidRPr="00815146">
        <w:t xml:space="preserve"> and </w:t>
      </w:r>
      <w:r w:rsidR="00815146">
        <w:t>subsequent years</w:t>
      </w:r>
      <w:r w:rsidR="006C4C85" w:rsidRPr="00815146">
        <w:t xml:space="preserve">. </w:t>
      </w:r>
    </w:p>
    <w:p w14:paraId="067E6827" w14:textId="264076C0" w:rsidR="00ED7492" w:rsidRPr="00815146" w:rsidRDefault="00727F21" w:rsidP="00ED7492">
      <w:pPr>
        <w:pStyle w:val="3-BodyText"/>
      </w:pPr>
      <w:r w:rsidRPr="00815146">
        <w:t xml:space="preserve">The PSCR </w:t>
      </w:r>
      <w:r w:rsidR="00766EFB" w:rsidRPr="00815146">
        <w:t>stated</w:t>
      </w:r>
      <w:r w:rsidRPr="00815146">
        <w:t xml:space="preserve"> that the cost of the </w:t>
      </w:r>
      <w:proofErr w:type="spellStart"/>
      <w:r w:rsidRPr="00815146">
        <w:t>CLd</w:t>
      </w:r>
      <w:proofErr w:type="spellEnd"/>
      <w:r w:rsidRPr="00815146">
        <w:t xml:space="preserve"> listing</w:t>
      </w:r>
      <w:r w:rsidR="006E3361" w:rsidRPr="00815146">
        <w:t xml:space="preserve">, including cost offsets, </w:t>
      </w:r>
      <w:r w:rsidRPr="00815146">
        <w:t xml:space="preserve">could be </w:t>
      </w:r>
      <w:r w:rsidR="006E3361" w:rsidRPr="00815146">
        <w:t>determined</w:t>
      </w:r>
      <w:r w:rsidRPr="00F04A75">
        <w:t xml:space="preserve"> from the Excel model</w:t>
      </w:r>
      <w:r w:rsidR="002343D6" w:rsidRPr="00F04A75">
        <w:t xml:space="preserve"> using </w:t>
      </w:r>
      <w:r w:rsidRPr="00F04A75">
        <w:t xml:space="preserve">the cost of carfilzomib and lenalidomide in </w:t>
      </w:r>
      <w:proofErr w:type="spellStart"/>
      <w:r w:rsidRPr="00F04A75">
        <w:t>CLd</w:t>
      </w:r>
      <w:proofErr w:type="spellEnd"/>
      <w:r w:rsidRPr="00F04A75">
        <w:t xml:space="preserve"> </w:t>
      </w:r>
      <w:r w:rsidR="0021352C">
        <w:t>for the current scenario</w:t>
      </w:r>
      <w:r w:rsidRPr="00F04A75">
        <w:t xml:space="preserve"> </w:t>
      </w:r>
      <w:r w:rsidR="0021352C">
        <w:t>(</w:t>
      </w:r>
      <w:r w:rsidRPr="00F04A75">
        <w:t>Scenario 3</w:t>
      </w:r>
      <w:r w:rsidR="0021352C">
        <w:t xml:space="preserve">, Cd, </w:t>
      </w:r>
      <w:proofErr w:type="spellStart"/>
      <w:r w:rsidR="0021352C">
        <w:t>PBd</w:t>
      </w:r>
      <w:proofErr w:type="spellEnd"/>
      <w:r w:rsidR="0021352C">
        <w:t xml:space="preserve"> and </w:t>
      </w:r>
      <w:proofErr w:type="spellStart"/>
      <w:r w:rsidR="0021352C">
        <w:t>CLd</w:t>
      </w:r>
      <w:proofErr w:type="spellEnd"/>
      <w:r w:rsidR="0021352C">
        <w:t xml:space="preserve"> listed)</w:t>
      </w:r>
      <w:r w:rsidRPr="00F04A75">
        <w:t xml:space="preserve">. For the cost offsets, </w:t>
      </w:r>
      <w:proofErr w:type="spellStart"/>
      <w:r w:rsidRPr="00F04A75">
        <w:t>PBd</w:t>
      </w:r>
      <w:proofErr w:type="spellEnd"/>
      <w:r w:rsidRPr="00F04A75">
        <w:t xml:space="preserve"> was estimated to substitute 15% of </w:t>
      </w:r>
      <w:proofErr w:type="spellStart"/>
      <w:r w:rsidRPr="00F04A75">
        <w:t>Ld</w:t>
      </w:r>
      <w:proofErr w:type="spellEnd"/>
      <w:r w:rsidRPr="00F04A75">
        <w:t xml:space="preserve"> and </w:t>
      </w:r>
      <w:proofErr w:type="spellStart"/>
      <w:r w:rsidRPr="00F04A75">
        <w:t>CLd</w:t>
      </w:r>
      <w:proofErr w:type="spellEnd"/>
      <w:r w:rsidRPr="00F04A75">
        <w:t xml:space="preserve"> was estimated to substitute 20% of </w:t>
      </w:r>
      <w:proofErr w:type="spellStart"/>
      <w:r w:rsidRPr="00F04A75">
        <w:t>Ld</w:t>
      </w:r>
      <w:proofErr w:type="spellEnd"/>
      <w:r w:rsidRPr="00F04A75">
        <w:t>; therefore</w:t>
      </w:r>
      <w:r w:rsidR="00CF2EA2" w:rsidRPr="00F04A75">
        <w:t>,</w:t>
      </w:r>
      <w:r w:rsidRPr="00F04A75">
        <w:t xml:space="preserve"> the lenalidomide cost offsets attributed to </w:t>
      </w:r>
      <w:proofErr w:type="spellStart"/>
      <w:r w:rsidRPr="00F04A75">
        <w:t>CLd</w:t>
      </w:r>
      <w:proofErr w:type="spellEnd"/>
      <w:r w:rsidRPr="00F04A75">
        <w:t xml:space="preserve"> (20% of 35%</w:t>
      </w:r>
      <w:r w:rsidR="001876C8" w:rsidRPr="00F04A75">
        <w:t>) c</w:t>
      </w:r>
      <w:r w:rsidR="00736EF0" w:rsidRPr="00F04A75">
        <w:t>ould</w:t>
      </w:r>
      <w:r w:rsidR="001876C8" w:rsidRPr="00F04A75">
        <w:t xml:space="preserve"> be determined</w:t>
      </w:r>
      <w:r w:rsidRPr="00F04A75">
        <w:t xml:space="preserve">. </w:t>
      </w:r>
      <w:r w:rsidR="0021352C">
        <w:t>Compared with the approach taken during the evaluation, t</w:t>
      </w:r>
      <w:r w:rsidR="009930D0" w:rsidRPr="00F04A75">
        <w:t xml:space="preserve">his approach resulted in a </w:t>
      </w:r>
      <w:r w:rsidR="00044D2D">
        <w:t xml:space="preserve">similar </w:t>
      </w:r>
      <w:r w:rsidR="009930D0" w:rsidRPr="00F04A75">
        <w:t xml:space="preserve">net cost to PBS/RPBS for the </w:t>
      </w:r>
      <w:proofErr w:type="spellStart"/>
      <w:r w:rsidR="009930D0" w:rsidRPr="00F04A75">
        <w:t>CLd</w:t>
      </w:r>
      <w:proofErr w:type="spellEnd"/>
      <w:r w:rsidR="009930D0" w:rsidRPr="00F04A75">
        <w:t xml:space="preserve"> listing </w:t>
      </w:r>
      <w:r w:rsidR="0021352C">
        <w:t xml:space="preserve">in </w:t>
      </w:r>
      <w:r w:rsidR="00CD08A0">
        <w:t>Y</w:t>
      </w:r>
      <w:r w:rsidR="0021352C">
        <w:t>ear 1</w:t>
      </w:r>
      <w:r w:rsidR="00044D2D">
        <w:t xml:space="preserve"> but lower estimates in </w:t>
      </w:r>
      <w:r w:rsidR="00CD08A0">
        <w:t>Y</w:t>
      </w:r>
      <w:r w:rsidR="00044D2D">
        <w:t>ear</w:t>
      </w:r>
      <w:r w:rsidR="00815146">
        <w:t>s</w:t>
      </w:r>
      <w:r w:rsidR="00044D2D">
        <w:t xml:space="preserve"> 3 </w:t>
      </w:r>
      <w:r w:rsidR="00815146">
        <w:t>to 6</w:t>
      </w:r>
      <w:r w:rsidR="00044D2D">
        <w:t xml:space="preserve"> </w:t>
      </w:r>
      <w:r w:rsidR="00044D2D" w:rsidRPr="00F2377B">
        <w:t xml:space="preserve">(Table </w:t>
      </w:r>
      <w:r w:rsidR="00F2377B" w:rsidRPr="00F2377B">
        <w:t>24</w:t>
      </w:r>
      <w:r w:rsidR="00044D2D" w:rsidRPr="00F2377B">
        <w:t>).</w:t>
      </w:r>
      <w:r w:rsidR="0021352C" w:rsidRPr="00F2377B">
        <w:t xml:space="preserve"> </w:t>
      </w:r>
      <w:r w:rsidR="00044D2D" w:rsidRPr="00F2377B">
        <w:t>The sponsor’s</w:t>
      </w:r>
      <w:r w:rsidR="00044D2D">
        <w:t xml:space="preserve"> estimates included in the PSCR were not able to be verified</w:t>
      </w:r>
      <w:r w:rsidR="00044D2D" w:rsidRPr="00815146">
        <w:t>.</w:t>
      </w:r>
      <w:r w:rsidR="00044D2D" w:rsidRPr="00815146">
        <w:rPr>
          <w:rFonts w:cstheme="minorHAnsi"/>
          <w:bCs/>
        </w:rPr>
        <w:t xml:space="preserve"> The PBAC noted these costs were based on the assumed effective prices utilised in the financial estimates and that the net cost to the PBS/RPBS will change once the confidential effective prices are applied</w:t>
      </w:r>
      <w:r w:rsidR="00044D2D" w:rsidRPr="00815146">
        <w:rPr>
          <w:rFonts w:ascii="Arial" w:hAnsi="Arial"/>
          <w:bCs/>
          <w:sz w:val="22"/>
          <w:szCs w:val="22"/>
        </w:rPr>
        <w:t>.</w:t>
      </w:r>
    </w:p>
    <w:p w14:paraId="18ED9278" w14:textId="4B4CA23F" w:rsidR="007F79B9" w:rsidRPr="00F04A75" w:rsidRDefault="007F79B9" w:rsidP="00C85BC3">
      <w:pPr>
        <w:keepNext/>
        <w:rPr>
          <w:b/>
          <w:highlight w:val="yellow"/>
        </w:rPr>
      </w:pPr>
      <w:r w:rsidRPr="00F2377B">
        <w:rPr>
          <w:rFonts w:ascii="Arial Narrow" w:hAnsi="Arial Narrow"/>
          <w:b/>
          <w:sz w:val="20"/>
          <w:szCs w:val="20"/>
        </w:rPr>
        <w:t xml:space="preserve">Table </w:t>
      </w:r>
      <w:r w:rsidR="00C8791A" w:rsidRPr="00F2377B">
        <w:rPr>
          <w:rFonts w:ascii="Arial Narrow" w:hAnsi="Arial Narrow"/>
          <w:b/>
          <w:sz w:val="20"/>
          <w:szCs w:val="20"/>
        </w:rPr>
        <w:t>24</w:t>
      </w:r>
      <w:r w:rsidRPr="00F2377B">
        <w:rPr>
          <w:rFonts w:ascii="Arial Narrow" w:hAnsi="Arial Narrow"/>
          <w:b/>
          <w:sz w:val="20"/>
          <w:szCs w:val="20"/>
        </w:rPr>
        <w:t>: Net</w:t>
      </w:r>
      <w:r w:rsidRPr="00F04A75">
        <w:rPr>
          <w:rFonts w:ascii="Arial Narrow" w:hAnsi="Arial Narrow"/>
          <w:b/>
          <w:sz w:val="20"/>
          <w:szCs w:val="20"/>
        </w:rPr>
        <w:t xml:space="preserve"> cost to PBS/RPBS for listing </w:t>
      </w:r>
      <w:proofErr w:type="spellStart"/>
      <w:r w:rsidRPr="00F04A75">
        <w:rPr>
          <w:rFonts w:ascii="Arial Narrow" w:hAnsi="Arial Narrow"/>
          <w:b/>
          <w:sz w:val="20"/>
          <w:szCs w:val="20"/>
        </w:rPr>
        <w:t>CLd</w:t>
      </w:r>
      <w:proofErr w:type="spellEnd"/>
      <w:r w:rsidR="00044D2D">
        <w:rPr>
          <w:rFonts w:ascii="Arial Narrow" w:hAnsi="Arial Narrow"/>
          <w:b/>
          <w:sz w:val="20"/>
          <w:szCs w:val="20"/>
        </w:rPr>
        <w:t xml:space="preserve"> as estimated in the PSCR</w:t>
      </w:r>
      <w:r w:rsidRPr="00F04A75">
        <w:rPr>
          <w:rFonts w:ascii="Arial Narrow" w:hAnsi="Arial Narrow"/>
          <w:b/>
          <w:sz w:val="20"/>
          <w:szCs w:val="20"/>
        </w:rPr>
        <w:t xml:space="preserve"> at known or assumed effective PBS prices</w:t>
      </w:r>
    </w:p>
    <w:tbl>
      <w:tblPr>
        <w:tblStyle w:val="TableGrid"/>
        <w:tblW w:w="9209" w:type="dxa"/>
        <w:tblLayout w:type="fixed"/>
        <w:tblLook w:val="04A0" w:firstRow="1" w:lastRow="0" w:firstColumn="1" w:lastColumn="0" w:noHBand="0" w:noVBand="1"/>
      </w:tblPr>
      <w:tblGrid>
        <w:gridCol w:w="2263"/>
        <w:gridCol w:w="1134"/>
        <w:gridCol w:w="1134"/>
        <w:gridCol w:w="1134"/>
        <w:gridCol w:w="1134"/>
        <w:gridCol w:w="1134"/>
        <w:gridCol w:w="1276"/>
      </w:tblGrid>
      <w:tr w:rsidR="00CD08A0" w:rsidRPr="00F04A75" w14:paraId="4E9D683D" w14:textId="77777777" w:rsidTr="0008572C">
        <w:trPr>
          <w:trHeight w:val="70"/>
        </w:trPr>
        <w:tc>
          <w:tcPr>
            <w:tcW w:w="2263" w:type="dxa"/>
            <w:shd w:val="clear" w:color="auto" w:fill="auto"/>
            <w:noWrap/>
            <w:tcMar>
              <w:left w:w="28" w:type="dxa"/>
              <w:right w:w="28" w:type="dxa"/>
            </w:tcMar>
          </w:tcPr>
          <w:p w14:paraId="6D18B240" w14:textId="28B11376" w:rsidR="00CD08A0" w:rsidRPr="00F04A75" w:rsidRDefault="00CD08A0" w:rsidP="00A425B1">
            <w:pPr>
              <w:keepNext/>
              <w:rPr>
                <w:rFonts w:ascii="Arial Narrow" w:hAnsi="Arial Narrow" w:cstheme="minorHAnsi"/>
                <w:b/>
                <w:sz w:val="20"/>
                <w:szCs w:val="20"/>
                <w:lang w:bidi="hi-IN"/>
              </w:rPr>
            </w:pPr>
          </w:p>
        </w:tc>
        <w:tc>
          <w:tcPr>
            <w:tcW w:w="1134" w:type="dxa"/>
            <w:shd w:val="clear" w:color="auto" w:fill="auto"/>
            <w:noWrap/>
            <w:tcMar>
              <w:left w:w="28" w:type="dxa"/>
              <w:right w:w="28" w:type="dxa"/>
            </w:tcMar>
          </w:tcPr>
          <w:p w14:paraId="677B24FA" w14:textId="77777777" w:rsidR="00CD08A0" w:rsidRPr="00F04A75" w:rsidRDefault="00CD08A0" w:rsidP="00A425B1">
            <w:pPr>
              <w:keepNext/>
              <w:jc w:val="center"/>
              <w:rPr>
                <w:rFonts w:ascii="Arial Narrow" w:hAnsi="Arial Narrow"/>
                <w:b/>
                <w:sz w:val="20"/>
                <w:szCs w:val="20"/>
              </w:rPr>
            </w:pPr>
            <w:r w:rsidRPr="00F04A75">
              <w:rPr>
                <w:rFonts w:ascii="Arial Narrow" w:hAnsi="Arial Narrow" w:cstheme="minorHAnsi"/>
                <w:b/>
                <w:sz w:val="20"/>
                <w:szCs w:val="20"/>
                <w:lang w:bidi="hi-IN"/>
              </w:rPr>
              <w:t>2022</w:t>
            </w:r>
          </w:p>
        </w:tc>
        <w:tc>
          <w:tcPr>
            <w:tcW w:w="1134" w:type="dxa"/>
            <w:shd w:val="clear" w:color="auto" w:fill="auto"/>
            <w:noWrap/>
            <w:tcMar>
              <w:left w:w="28" w:type="dxa"/>
              <w:right w:w="28" w:type="dxa"/>
            </w:tcMar>
          </w:tcPr>
          <w:p w14:paraId="7A468207" w14:textId="77777777" w:rsidR="00CD08A0" w:rsidRPr="00F04A75" w:rsidRDefault="00CD08A0" w:rsidP="00A425B1">
            <w:pPr>
              <w:keepNext/>
              <w:jc w:val="center"/>
              <w:rPr>
                <w:rFonts w:ascii="Arial Narrow" w:hAnsi="Arial Narrow"/>
                <w:b/>
                <w:sz w:val="20"/>
                <w:szCs w:val="20"/>
              </w:rPr>
            </w:pPr>
            <w:r w:rsidRPr="00F04A75">
              <w:rPr>
                <w:rFonts w:ascii="Arial Narrow" w:hAnsi="Arial Narrow" w:cstheme="minorHAnsi"/>
                <w:b/>
                <w:sz w:val="20"/>
                <w:szCs w:val="20"/>
                <w:lang w:bidi="hi-IN"/>
              </w:rPr>
              <w:t>2023</w:t>
            </w:r>
          </w:p>
        </w:tc>
        <w:tc>
          <w:tcPr>
            <w:tcW w:w="1134" w:type="dxa"/>
            <w:shd w:val="clear" w:color="auto" w:fill="auto"/>
            <w:noWrap/>
            <w:tcMar>
              <w:left w:w="28" w:type="dxa"/>
              <w:right w:w="28" w:type="dxa"/>
            </w:tcMar>
          </w:tcPr>
          <w:p w14:paraId="7DF7465E" w14:textId="77777777" w:rsidR="00CD08A0" w:rsidRPr="00F04A75" w:rsidRDefault="00CD08A0" w:rsidP="00A425B1">
            <w:pPr>
              <w:keepNext/>
              <w:jc w:val="center"/>
              <w:rPr>
                <w:rFonts w:ascii="Arial Narrow" w:hAnsi="Arial Narrow"/>
                <w:b/>
                <w:sz w:val="20"/>
                <w:szCs w:val="20"/>
              </w:rPr>
            </w:pPr>
            <w:r w:rsidRPr="00F04A75">
              <w:rPr>
                <w:rFonts w:ascii="Arial Narrow" w:hAnsi="Arial Narrow" w:cstheme="minorHAnsi"/>
                <w:b/>
                <w:sz w:val="20"/>
                <w:szCs w:val="20"/>
                <w:lang w:bidi="hi-IN"/>
              </w:rPr>
              <w:t>2024</w:t>
            </w:r>
          </w:p>
        </w:tc>
        <w:tc>
          <w:tcPr>
            <w:tcW w:w="1134" w:type="dxa"/>
            <w:shd w:val="clear" w:color="auto" w:fill="auto"/>
            <w:noWrap/>
            <w:tcMar>
              <w:left w:w="28" w:type="dxa"/>
              <w:right w:w="28" w:type="dxa"/>
            </w:tcMar>
          </w:tcPr>
          <w:p w14:paraId="12537FDC" w14:textId="77777777" w:rsidR="00CD08A0" w:rsidRPr="00F04A75" w:rsidRDefault="00CD08A0" w:rsidP="00A425B1">
            <w:pPr>
              <w:keepNext/>
              <w:jc w:val="center"/>
              <w:rPr>
                <w:rFonts w:ascii="Arial Narrow" w:hAnsi="Arial Narrow"/>
                <w:b/>
                <w:sz w:val="20"/>
                <w:szCs w:val="20"/>
              </w:rPr>
            </w:pPr>
            <w:r w:rsidRPr="00F04A75">
              <w:rPr>
                <w:rFonts w:ascii="Arial Narrow" w:hAnsi="Arial Narrow" w:cstheme="minorHAnsi"/>
                <w:b/>
                <w:sz w:val="20"/>
                <w:szCs w:val="20"/>
                <w:lang w:bidi="hi-IN"/>
              </w:rPr>
              <w:t>2025</w:t>
            </w:r>
          </w:p>
        </w:tc>
        <w:tc>
          <w:tcPr>
            <w:tcW w:w="1134" w:type="dxa"/>
            <w:shd w:val="clear" w:color="auto" w:fill="auto"/>
            <w:noWrap/>
            <w:tcMar>
              <w:left w:w="28" w:type="dxa"/>
              <w:right w:w="28" w:type="dxa"/>
            </w:tcMar>
          </w:tcPr>
          <w:p w14:paraId="285CCA34" w14:textId="77777777" w:rsidR="00CD08A0" w:rsidRPr="00F04A75" w:rsidRDefault="00CD08A0" w:rsidP="00A425B1">
            <w:pPr>
              <w:keepNext/>
              <w:jc w:val="center"/>
              <w:rPr>
                <w:rFonts w:ascii="Arial Narrow" w:hAnsi="Arial Narrow"/>
                <w:b/>
                <w:sz w:val="20"/>
                <w:szCs w:val="20"/>
              </w:rPr>
            </w:pPr>
            <w:r w:rsidRPr="00F04A75">
              <w:rPr>
                <w:rFonts w:ascii="Arial Narrow" w:hAnsi="Arial Narrow" w:cstheme="minorHAnsi"/>
                <w:b/>
                <w:sz w:val="20"/>
                <w:szCs w:val="20"/>
                <w:lang w:bidi="hi-IN"/>
              </w:rPr>
              <w:t>2026</w:t>
            </w:r>
          </w:p>
        </w:tc>
        <w:tc>
          <w:tcPr>
            <w:tcW w:w="1276" w:type="dxa"/>
          </w:tcPr>
          <w:p w14:paraId="67C6BF15" w14:textId="541A9996" w:rsidR="00CD08A0" w:rsidRPr="00F04A75" w:rsidRDefault="00CD08A0" w:rsidP="00A425B1">
            <w:pPr>
              <w:keepNext/>
              <w:jc w:val="center"/>
              <w:rPr>
                <w:rFonts w:ascii="Arial Narrow" w:hAnsi="Arial Narrow"/>
                <w:b/>
                <w:sz w:val="20"/>
                <w:szCs w:val="20"/>
              </w:rPr>
            </w:pPr>
            <w:r w:rsidRPr="00F04A75">
              <w:rPr>
                <w:rFonts w:ascii="Arial Narrow" w:hAnsi="Arial Narrow" w:cstheme="minorHAnsi"/>
                <w:b/>
                <w:sz w:val="20"/>
                <w:szCs w:val="20"/>
                <w:lang w:bidi="hi-IN"/>
              </w:rPr>
              <w:t>2027</w:t>
            </w:r>
          </w:p>
        </w:tc>
      </w:tr>
      <w:tr w:rsidR="007F79B9" w:rsidRPr="00F04A75" w14:paraId="114FBE98" w14:textId="77777777" w:rsidTr="001542D1">
        <w:trPr>
          <w:trHeight w:val="70"/>
        </w:trPr>
        <w:tc>
          <w:tcPr>
            <w:tcW w:w="9209" w:type="dxa"/>
            <w:gridSpan w:val="7"/>
            <w:shd w:val="clear" w:color="auto" w:fill="auto"/>
            <w:noWrap/>
            <w:tcMar>
              <w:left w:w="28" w:type="dxa"/>
              <w:right w:w="28" w:type="dxa"/>
            </w:tcMar>
          </w:tcPr>
          <w:p w14:paraId="13D2994C" w14:textId="3E64A78B" w:rsidR="007F79B9" w:rsidRPr="00F04A75" w:rsidRDefault="007F79B9" w:rsidP="005F532C">
            <w:pPr>
              <w:keepNext/>
              <w:jc w:val="left"/>
              <w:rPr>
                <w:rFonts w:ascii="Arial Narrow" w:hAnsi="Arial Narrow"/>
                <w:b/>
                <w:color w:val="000000"/>
                <w:sz w:val="20"/>
                <w:szCs w:val="20"/>
              </w:rPr>
            </w:pPr>
            <w:r w:rsidRPr="00F04A75">
              <w:rPr>
                <w:rFonts w:ascii="Arial Narrow" w:hAnsi="Arial Narrow"/>
                <w:b/>
                <w:color w:val="000000"/>
                <w:sz w:val="20"/>
                <w:szCs w:val="20"/>
              </w:rPr>
              <w:t>Net cost to PBS/RPBS estimated by the PSCR</w:t>
            </w:r>
            <w:r w:rsidR="005F532C">
              <w:rPr>
                <w:rFonts w:ascii="Arial Narrow" w:hAnsi="Arial Narrow"/>
                <w:b/>
                <w:color w:val="000000"/>
                <w:sz w:val="20"/>
                <w:szCs w:val="20"/>
              </w:rPr>
              <w:t xml:space="preserve">, reflects </w:t>
            </w:r>
            <w:r w:rsidR="005F532C" w:rsidRPr="00F04A75">
              <w:rPr>
                <w:rFonts w:ascii="Arial Narrow" w:hAnsi="Arial Narrow" w:cstheme="minorHAnsi"/>
                <w:b/>
                <w:bCs/>
                <w:sz w:val="20"/>
                <w:szCs w:val="20"/>
              </w:rPr>
              <w:t xml:space="preserve">Scenario 3: Cd + </w:t>
            </w:r>
            <w:proofErr w:type="spellStart"/>
            <w:r w:rsidR="005F532C" w:rsidRPr="00F04A75">
              <w:rPr>
                <w:rFonts w:ascii="Arial Narrow" w:hAnsi="Arial Narrow" w:cstheme="minorHAnsi"/>
                <w:b/>
                <w:bCs/>
                <w:sz w:val="20"/>
                <w:szCs w:val="20"/>
              </w:rPr>
              <w:t>PBd</w:t>
            </w:r>
            <w:proofErr w:type="spellEnd"/>
            <w:r w:rsidR="005F532C" w:rsidRPr="00F04A75">
              <w:rPr>
                <w:rFonts w:ascii="Arial Narrow" w:hAnsi="Arial Narrow" w:cstheme="minorHAnsi"/>
                <w:b/>
                <w:bCs/>
                <w:sz w:val="20"/>
                <w:szCs w:val="20"/>
              </w:rPr>
              <w:t xml:space="preserve"> + </w:t>
            </w:r>
            <w:proofErr w:type="spellStart"/>
            <w:r w:rsidR="005F532C" w:rsidRPr="00F04A75">
              <w:rPr>
                <w:rFonts w:ascii="Arial Narrow" w:hAnsi="Arial Narrow" w:cstheme="minorHAnsi"/>
                <w:b/>
                <w:bCs/>
                <w:sz w:val="20"/>
                <w:szCs w:val="20"/>
              </w:rPr>
              <w:t>CLd</w:t>
            </w:r>
            <w:r w:rsidR="006B5F59" w:rsidRPr="006B5F59">
              <w:rPr>
                <w:rFonts w:ascii="Arial Narrow" w:hAnsi="Arial Narrow" w:cstheme="minorHAnsi"/>
                <w:b/>
                <w:bCs/>
                <w:sz w:val="20"/>
                <w:szCs w:val="20"/>
                <w:vertAlign w:val="superscript"/>
              </w:rPr>
              <w:t>a</w:t>
            </w:r>
            <w:proofErr w:type="spellEnd"/>
          </w:p>
        </w:tc>
      </w:tr>
      <w:tr w:rsidR="00CD08A0" w:rsidRPr="00F04A75" w14:paraId="33BDCF1F" w14:textId="77777777" w:rsidTr="0008572C">
        <w:trPr>
          <w:trHeight w:val="70"/>
        </w:trPr>
        <w:tc>
          <w:tcPr>
            <w:tcW w:w="2263" w:type="dxa"/>
            <w:shd w:val="clear" w:color="auto" w:fill="auto"/>
            <w:noWrap/>
            <w:tcMar>
              <w:left w:w="28" w:type="dxa"/>
              <w:right w:w="28" w:type="dxa"/>
            </w:tcMar>
          </w:tcPr>
          <w:p w14:paraId="3B4F99B9" w14:textId="1F013807" w:rsidR="00CD08A0" w:rsidRPr="00F04A75" w:rsidRDefault="00CD08A0" w:rsidP="005F532C">
            <w:pPr>
              <w:keepNext/>
              <w:jc w:val="left"/>
              <w:rPr>
                <w:rFonts w:ascii="Arial Narrow" w:hAnsi="Arial Narrow" w:cstheme="minorHAnsi"/>
                <w:bCs/>
                <w:sz w:val="20"/>
                <w:szCs w:val="20"/>
                <w:lang w:bidi="hi-IN"/>
              </w:rPr>
            </w:pPr>
            <w:r w:rsidRPr="00F04A75">
              <w:rPr>
                <w:rFonts w:ascii="Arial Narrow" w:hAnsi="Arial Narrow" w:cs="Calibri"/>
                <w:sz w:val="20"/>
              </w:rPr>
              <w:t xml:space="preserve">C+L in </w:t>
            </w:r>
            <w:proofErr w:type="spellStart"/>
            <w:r w:rsidRPr="00F04A75">
              <w:rPr>
                <w:rFonts w:ascii="Arial Narrow" w:hAnsi="Arial Narrow" w:cs="Calibri"/>
                <w:sz w:val="20"/>
              </w:rPr>
              <w:t>CLd</w:t>
            </w:r>
            <w:proofErr w:type="spellEnd"/>
            <w:r w:rsidR="0008572C">
              <w:rPr>
                <w:rFonts w:ascii="Arial Narrow" w:hAnsi="Arial Narrow" w:cs="Calibri"/>
                <w:sz w:val="20"/>
              </w:rPr>
              <w:t xml:space="preserve"> ($)</w:t>
            </w:r>
          </w:p>
        </w:tc>
        <w:tc>
          <w:tcPr>
            <w:tcW w:w="1134" w:type="dxa"/>
            <w:shd w:val="clear" w:color="auto" w:fill="auto"/>
            <w:noWrap/>
            <w:tcMar>
              <w:left w:w="28" w:type="dxa"/>
              <w:right w:w="28" w:type="dxa"/>
            </w:tcMar>
          </w:tcPr>
          <w:p w14:paraId="77C91323" w14:textId="5B0D5E7B" w:rsidR="00CD08A0" w:rsidRPr="0008572C" w:rsidRDefault="000960C3" w:rsidP="005F532C">
            <w:pPr>
              <w:keepNext/>
              <w:jc w:val="center"/>
              <w:rPr>
                <w:rFonts w:ascii="Arial Narrow" w:hAnsi="Arial Narrow"/>
                <w:color w:val="000000"/>
                <w:sz w:val="20"/>
                <w:szCs w:val="20"/>
                <w:highlight w:val="yellow"/>
              </w:rPr>
            </w:pPr>
            <w:r w:rsidRPr="000960C3">
              <w:rPr>
                <w:rFonts w:ascii="Arial Narrow" w:hAnsi="Arial Narrow" w:cs="Calibri" w:hint="eastAsia"/>
                <w:color w:val="000000"/>
                <w:w w:val="15"/>
                <w:sz w:val="20"/>
                <w:shd w:val="solid" w:color="000000" w:fill="000000"/>
                <w:fitText w:val="45" w:id="-1506043391"/>
                <w14:textFill>
                  <w14:solidFill>
                    <w14:srgbClr w14:val="000000">
                      <w14:alpha w14:val="100000"/>
                    </w14:srgbClr>
                  </w14:solidFill>
                </w14:textFill>
              </w:rPr>
              <w:t xml:space="preserve">　</w:t>
            </w:r>
            <w:r w:rsidRPr="000960C3">
              <w:rPr>
                <w:rFonts w:ascii="Arial Narrow" w:hAnsi="Arial Narrow" w:cs="Calibri"/>
                <w:color w:val="000000"/>
                <w:w w:val="15"/>
                <w:sz w:val="20"/>
                <w:shd w:val="solid" w:color="000000" w:fill="000000"/>
                <w:fitText w:val="45" w:id="-1506043391"/>
                <w14:textFill>
                  <w14:solidFill>
                    <w14:srgbClr w14:val="000000">
                      <w14:alpha w14:val="100000"/>
                    </w14:srgbClr>
                  </w14:solidFill>
                </w14:textFill>
              </w:rPr>
              <w:t>|</w:t>
            </w:r>
            <w:r w:rsidRPr="000960C3">
              <w:rPr>
                <w:rFonts w:ascii="Arial Narrow" w:hAnsi="Arial Narrow" w:cs="Calibri" w:hint="eastAsia"/>
                <w:color w:val="000000"/>
                <w:spacing w:val="-20"/>
                <w:w w:val="15"/>
                <w:sz w:val="20"/>
                <w:shd w:val="solid" w:color="000000" w:fill="000000"/>
                <w:fitText w:val="45" w:id="-1506043391"/>
                <w14:textFill>
                  <w14:solidFill>
                    <w14:srgbClr w14:val="000000">
                      <w14:alpha w14:val="100000"/>
                    </w14:srgbClr>
                  </w14:solidFill>
                </w14:textFill>
              </w:rPr>
              <w:t xml:space="preserve">　</w:t>
            </w:r>
            <w:r w:rsidR="0008572C" w:rsidRPr="0008572C">
              <w:rPr>
                <w:rFonts w:ascii="Arial Narrow" w:hAnsi="Arial Narrow" w:cs="Calibri"/>
                <w:sz w:val="20"/>
                <w:vertAlign w:val="superscript"/>
              </w:rPr>
              <w:t>1</w:t>
            </w:r>
          </w:p>
        </w:tc>
        <w:tc>
          <w:tcPr>
            <w:tcW w:w="1134" w:type="dxa"/>
            <w:shd w:val="clear" w:color="auto" w:fill="auto"/>
            <w:noWrap/>
            <w:tcMar>
              <w:left w:w="28" w:type="dxa"/>
              <w:right w:w="28" w:type="dxa"/>
            </w:tcMar>
          </w:tcPr>
          <w:p w14:paraId="77F02A1C" w14:textId="1C2FE586" w:rsidR="00CD08A0" w:rsidRPr="0008572C" w:rsidRDefault="000960C3" w:rsidP="005F532C">
            <w:pPr>
              <w:keepNext/>
              <w:jc w:val="center"/>
              <w:rPr>
                <w:rFonts w:ascii="Arial Narrow" w:hAnsi="Arial Narrow"/>
                <w:color w:val="000000"/>
                <w:sz w:val="20"/>
                <w:szCs w:val="20"/>
                <w:highlight w:val="yellow"/>
              </w:rPr>
            </w:pPr>
            <w:r w:rsidRPr="000960C3">
              <w:rPr>
                <w:rFonts w:ascii="Arial Narrow" w:hAnsi="Arial Narrow" w:cs="Calibri" w:hint="eastAsia"/>
                <w:color w:val="000000"/>
                <w:w w:val="15"/>
                <w:sz w:val="20"/>
                <w:shd w:val="solid" w:color="000000" w:fill="000000"/>
                <w:fitText w:val="45" w:id="-1506043390"/>
                <w14:textFill>
                  <w14:solidFill>
                    <w14:srgbClr w14:val="000000">
                      <w14:alpha w14:val="100000"/>
                    </w14:srgbClr>
                  </w14:solidFill>
                </w14:textFill>
              </w:rPr>
              <w:t xml:space="preserve">　</w:t>
            </w:r>
            <w:r w:rsidRPr="000960C3">
              <w:rPr>
                <w:rFonts w:ascii="Arial Narrow" w:hAnsi="Arial Narrow" w:cs="Calibri"/>
                <w:color w:val="000000"/>
                <w:w w:val="15"/>
                <w:sz w:val="20"/>
                <w:shd w:val="solid" w:color="000000" w:fill="000000"/>
                <w:fitText w:val="45" w:id="-1506043390"/>
                <w14:textFill>
                  <w14:solidFill>
                    <w14:srgbClr w14:val="000000">
                      <w14:alpha w14:val="100000"/>
                    </w14:srgbClr>
                  </w14:solidFill>
                </w14:textFill>
              </w:rPr>
              <w:t>|</w:t>
            </w:r>
            <w:r w:rsidRPr="000960C3">
              <w:rPr>
                <w:rFonts w:ascii="Arial Narrow" w:hAnsi="Arial Narrow" w:cs="Calibri" w:hint="eastAsia"/>
                <w:color w:val="000000"/>
                <w:spacing w:val="-20"/>
                <w:w w:val="15"/>
                <w:sz w:val="20"/>
                <w:shd w:val="solid" w:color="000000" w:fill="000000"/>
                <w:fitText w:val="45" w:id="-1506043390"/>
                <w14:textFill>
                  <w14:solidFill>
                    <w14:srgbClr w14:val="000000">
                      <w14:alpha w14:val="100000"/>
                    </w14:srgbClr>
                  </w14:solidFill>
                </w14:textFill>
              </w:rPr>
              <w:t xml:space="preserve">　</w:t>
            </w:r>
            <w:r w:rsidR="0008572C" w:rsidRPr="0008572C">
              <w:rPr>
                <w:rFonts w:ascii="Arial Narrow" w:hAnsi="Arial Narrow" w:cs="Calibri"/>
                <w:sz w:val="20"/>
                <w:vertAlign w:val="superscript"/>
              </w:rPr>
              <w:t>1</w:t>
            </w:r>
          </w:p>
        </w:tc>
        <w:tc>
          <w:tcPr>
            <w:tcW w:w="1134" w:type="dxa"/>
            <w:shd w:val="clear" w:color="auto" w:fill="auto"/>
            <w:noWrap/>
            <w:tcMar>
              <w:left w:w="28" w:type="dxa"/>
              <w:right w:w="28" w:type="dxa"/>
            </w:tcMar>
          </w:tcPr>
          <w:p w14:paraId="538C72E0" w14:textId="74E7206E" w:rsidR="00CD08A0" w:rsidRPr="0008572C" w:rsidRDefault="000960C3" w:rsidP="00A425B1">
            <w:pPr>
              <w:keepNext/>
              <w:jc w:val="center"/>
              <w:rPr>
                <w:rFonts w:ascii="Arial Narrow" w:hAnsi="Arial Narrow"/>
                <w:color w:val="000000"/>
                <w:sz w:val="20"/>
                <w:szCs w:val="20"/>
                <w:highlight w:val="yellow"/>
                <w:vertAlign w:val="superscript"/>
              </w:rPr>
            </w:pPr>
            <w:r w:rsidRPr="000960C3">
              <w:rPr>
                <w:rFonts w:ascii="Arial Narrow" w:hAnsi="Arial Narrow" w:cs="Calibri" w:hint="eastAsia"/>
                <w:color w:val="000000"/>
                <w:w w:val="15"/>
                <w:sz w:val="20"/>
                <w:shd w:val="solid" w:color="000000" w:fill="000000"/>
                <w:fitText w:val="45" w:id="-1506043389"/>
                <w14:textFill>
                  <w14:solidFill>
                    <w14:srgbClr w14:val="000000">
                      <w14:alpha w14:val="100000"/>
                    </w14:srgbClr>
                  </w14:solidFill>
                </w14:textFill>
              </w:rPr>
              <w:t xml:space="preserve">　</w:t>
            </w:r>
            <w:r w:rsidRPr="000960C3">
              <w:rPr>
                <w:rFonts w:ascii="Arial Narrow" w:hAnsi="Arial Narrow" w:cs="Calibri"/>
                <w:color w:val="000000"/>
                <w:w w:val="15"/>
                <w:sz w:val="20"/>
                <w:shd w:val="solid" w:color="000000" w:fill="000000"/>
                <w:fitText w:val="45" w:id="-1506043389"/>
                <w14:textFill>
                  <w14:solidFill>
                    <w14:srgbClr w14:val="000000">
                      <w14:alpha w14:val="100000"/>
                    </w14:srgbClr>
                  </w14:solidFill>
                </w14:textFill>
              </w:rPr>
              <w:t>|</w:t>
            </w:r>
            <w:r w:rsidRPr="000960C3">
              <w:rPr>
                <w:rFonts w:ascii="Arial Narrow" w:hAnsi="Arial Narrow" w:cs="Calibri" w:hint="eastAsia"/>
                <w:color w:val="000000"/>
                <w:spacing w:val="-20"/>
                <w:w w:val="15"/>
                <w:sz w:val="20"/>
                <w:shd w:val="solid" w:color="000000" w:fill="000000"/>
                <w:fitText w:val="45" w:id="-1506043389"/>
                <w14:textFill>
                  <w14:solidFill>
                    <w14:srgbClr w14:val="000000">
                      <w14:alpha w14:val="100000"/>
                    </w14:srgbClr>
                  </w14:solidFill>
                </w14:textFill>
              </w:rPr>
              <w:t xml:space="preserve">　</w:t>
            </w:r>
            <w:r w:rsidR="0008572C" w:rsidRPr="0008572C">
              <w:rPr>
                <w:rFonts w:ascii="Arial Narrow" w:hAnsi="Arial Narrow" w:cs="Calibri"/>
                <w:sz w:val="20"/>
                <w:vertAlign w:val="superscript"/>
              </w:rPr>
              <w:t>2</w:t>
            </w:r>
          </w:p>
        </w:tc>
        <w:tc>
          <w:tcPr>
            <w:tcW w:w="1134" w:type="dxa"/>
            <w:shd w:val="clear" w:color="auto" w:fill="auto"/>
            <w:noWrap/>
            <w:tcMar>
              <w:left w:w="28" w:type="dxa"/>
              <w:right w:w="28" w:type="dxa"/>
            </w:tcMar>
          </w:tcPr>
          <w:p w14:paraId="4E1FDB35" w14:textId="2BEF5B7C" w:rsidR="00CD08A0" w:rsidRPr="0008572C" w:rsidRDefault="000960C3" w:rsidP="00A425B1">
            <w:pPr>
              <w:keepNext/>
              <w:jc w:val="center"/>
              <w:rPr>
                <w:rFonts w:ascii="Arial Narrow" w:hAnsi="Arial Narrow"/>
                <w:color w:val="000000"/>
                <w:sz w:val="20"/>
                <w:szCs w:val="20"/>
                <w:highlight w:val="yellow"/>
              </w:rPr>
            </w:pPr>
            <w:r w:rsidRPr="000960C3">
              <w:rPr>
                <w:rFonts w:ascii="Arial Narrow" w:hAnsi="Arial Narrow" w:cs="Calibri" w:hint="eastAsia"/>
                <w:color w:val="000000"/>
                <w:w w:val="15"/>
                <w:sz w:val="20"/>
                <w:shd w:val="solid" w:color="000000" w:fill="000000"/>
                <w:fitText w:val="45" w:id="-1506043388"/>
                <w14:textFill>
                  <w14:solidFill>
                    <w14:srgbClr w14:val="000000">
                      <w14:alpha w14:val="100000"/>
                    </w14:srgbClr>
                  </w14:solidFill>
                </w14:textFill>
              </w:rPr>
              <w:t xml:space="preserve">　</w:t>
            </w:r>
            <w:r w:rsidRPr="000960C3">
              <w:rPr>
                <w:rFonts w:ascii="Arial Narrow" w:hAnsi="Arial Narrow" w:cs="Calibri"/>
                <w:color w:val="000000"/>
                <w:w w:val="15"/>
                <w:sz w:val="20"/>
                <w:shd w:val="solid" w:color="000000" w:fill="000000"/>
                <w:fitText w:val="45" w:id="-1506043388"/>
                <w14:textFill>
                  <w14:solidFill>
                    <w14:srgbClr w14:val="000000">
                      <w14:alpha w14:val="100000"/>
                    </w14:srgbClr>
                  </w14:solidFill>
                </w14:textFill>
              </w:rPr>
              <w:t>|</w:t>
            </w:r>
            <w:r w:rsidRPr="000960C3">
              <w:rPr>
                <w:rFonts w:ascii="Arial Narrow" w:hAnsi="Arial Narrow" w:cs="Calibri" w:hint="eastAsia"/>
                <w:color w:val="000000"/>
                <w:spacing w:val="-20"/>
                <w:w w:val="15"/>
                <w:sz w:val="20"/>
                <w:shd w:val="solid" w:color="000000" w:fill="000000"/>
                <w:fitText w:val="45" w:id="-1506043388"/>
                <w14:textFill>
                  <w14:solidFill>
                    <w14:srgbClr w14:val="000000">
                      <w14:alpha w14:val="100000"/>
                    </w14:srgbClr>
                  </w14:solidFill>
                </w14:textFill>
              </w:rPr>
              <w:t xml:space="preserve">　</w:t>
            </w:r>
            <w:r w:rsidR="0008572C" w:rsidRPr="0008572C">
              <w:rPr>
                <w:rFonts w:ascii="Arial Narrow" w:hAnsi="Arial Narrow" w:cs="Calibri"/>
                <w:sz w:val="20"/>
                <w:vertAlign w:val="superscript"/>
              </w:rPr>
              <w:t>2</w:t>
            </w:r>
          </w:p>
        </w:tc>
        <w:tc>
          <w:tcPr>
            <w:tcW w:w="1134" w:type="dxa"/>
            <w:shd w:val="clear" w:color="auto" w:fill="auto"/>
            <w:noWrap/>
            <w:tcMar>
              <w:left w:w="28" w:type="dxa"/>
              <w:right w:w="28" w:type="dxa"/>
            </w:tcMar>
          </w:tcPr>
          <w:p w14:paraId="3729664F" w14:textId="41A17C88" w:rsidR="00CD08A0" w:rsidRPr="0008572C" w:rsidRDefault="000960C3" w:rsidP="00A425B1">
            <w:pPr>
              <w:keepNext/>
              <w:jc w:val="center"/>
              <w:rPr>
                <w:rFonts w:ascii="Arial Narrow" w:hAnsi="Arial Narrow"/>
                <w:color w:val="000000"/>
                <w:sz w:val="20"/>
                <w:szCs w:val="20"/>
                <w:highlight w:val="yellow"/>
              </w:rPr>
            </w:pPr>
            <w:r w:rsidRPr="000960C3">
              <w:rPr>
                <w:rFonts w:ascii="Arial Narrow" w:hAnsi="Arial Narrow" w:cs="Calibri" w:hint="eastAsia"/>
                <w:color w:val="000000"/>
                <w:w w:val="15"/>
                <w:sz w:val="20"/>
                <w:shd w:val="solid" w:color="000000" w:fill="000000"/>
                <w:fitText w:val="45" w:id="-1506043387"/>
                <w14:textFill>
                  <w14:solidFill>
                    <w14:srgbClr w14:val="000000">
                      <w14:alpha w14:val="100000"/>
                    </w14:srgbClr>
                  </w14:solidFill>
                </w14:textFill>
              </w:rPr>
              <w:t xml:space="preserve">　</w:t>
            </w:r>
            <w:r w:rsidRPr="000960C3">
              <w:rPr>
                <w:rFonts w:ascii="Arial Narrow" w:hAnsi="Arial Narrow" w:cs="Calibri"/>
                <w:color w:val="000000"/>
                <w:w w:val="15"/>
                <w:sz w:val="20"/>
                <w:shd w:val="solid" w:color="000000" w:fill="000000"/>
                <w:fitText w:val="45" w:id="-1506043387"/>
                <w14:textFill>
                  <w14:solidFill>
                    <w14:srgbClr w14:val="000000">
                      <w14:alpha w14:val="100000"/>
                    </w14:srgbClr>
                  </w14:solidFill>
                </w14:textFill>
              </w:rPr>
              <w:t>|</w:t>
            </w:r>
            <w:r w:rsidRPr="000960C3">
              <w:rPr>
                <w:rFonts w:ascii="Arial Narrow" w:hAnsi="Arial Narrow" w:cs="Calibri" w:hint="eastAsia"/>
                <w:color w:val="000000"/>
                <w:spacing w:val="-20"/>
                <w:w w:val="15"/>
                <w:sz w:val="20"/>
                <w:shd w:val="solid" w:color="000000" w:fill="000000"/>
                <w:fitText w:val="45" w:id="-1506043387"/>
                <w14:textFill>
                  <w14:solidFill>
                    <w14:srgbClr w14:val="000000">
                      <w14:alpha w14:val="100000"/>
                    </w14:srgbClr>
                  </w14:solidFill>
                </w14:textFill>
              </w:rPr>
              <w:t xml:space="preserve">　</w:t>
            </w:r>
            <w:r w:rsidR="0008572C" w:rsidRPr="0008572C">
              <w:rPr>
                <w:rFonts w:ascii="Arial Narrow" w:hAnsi="Arial Narrow" w:cs="Calibri"/>
                <w:sz w:val="20"/>
                <w:vertAlign w:val="superscript"/>
              </w:rPr>
              <w:t>2</w:t>
            </w:r>
          </w:p>
        </w:tc>
        <w:tc>
          <w:tcPr>
            <w:tcW w:w="1276" w:type="dxa"/>
          </w:tcPr>
          <w:p w14:paraId="138D6DE6" w14:textId="0F09E694" w:rsidR="00CD08A0" w:rsidRPr="0008572C" w:rsidRDefault="000960C3" w:rsidP="0021408B">
            <w:pPr>
              <w:keepNext/>
              <w:jc w:val="center"/>
              <w:rPr>
                <w:rFonts w:ascii="Arial Narrow" w:hAnsi="Arial Narrow"/>
                <w:color w:val="000000"/>
                <w:sz w:val="20"/>
                <w:szCs w:val="20"/>
                <w:highlight w:val="yellow"/>
              </w:rPr>
            </w:pPr>
            <w:r w:rsidRPr="000960C3">
              <w:rPr>
                <w:rFonts w:ascii="Arial Narrow" w:hAnsi="Arial Narrow" w:cs="Calibri" w:hint="eastAsia"/>
                <w:color w:val="000000"/>
                <w:w w:val="15"/>
                <w:sz w:val="20"/>
                <w:shd w:val="solid" w:color="000000" w:fill="000000"/>
                <w:fitText w:val="45" w:id="-1506043386"/>
                <w14:textFill>
                  <w14:solidFill>
                    <w14:srgbClr w14:val="000000">
                      <w14:alpha w14:val="100000"/>
                    </w14:srgbClr>
                  </w14:solidFill>
                </w14:textFill>
              </w:rPr>
              <w:t xml:space="preserve">　</w:t>
            </w:r>
            <w:r w:rsidRPr="000960C3">
              <w:rPr>
                <w:rFonts w:ascii="Arial Narrow" w:hAnsi="Arial Narrow" w:cs="Calibri"/>
                <w:color w:val="000000"/>
                <w:w w:val="15"/>
                <w:sz w:val="20"/>
                <w:shd w:val="solid" w:color="000000" w:fill="000000"/>
                <w:fitText w:val="45" w:id="-1506043386"/>
                <w14:textFill>
                  <w14:solidFill>
                    <w14:srgbClr w14:val="000000">
                      <w14:alpha w14:val="100000"/>
                    </w14:srgbClr>
                  </w14:solidFill>
                </w14:textFill>
              </w:rPr>
              <w:t>|</w:t>
            </w:r>
            <w:r w:rsidRPr="000960C3">
              <w:rPr>
                <w:rFonts w:ascii="Arial Narrow" w:hAnsi="Arial Narrow" w:cs="Calibri" w:hint="eastAsia"/>
                <w:color w:val="000000"/>
                <w:spacing w:val="-20"/>
                <w:w w:val="15"/>
                <w:sz w:val="20"/>
                <w:shd w:val="solid" w:color="000000" w:fill="000000"/>
                <w:fitText w:val="45" w:id="-1506043386"/>
                <w14:textFill>
                  <w14:solidFill>
                    <w14:srgbClr w14:val="000000">
                      <w14:alpha w14:val="100000"/>
                    </w14:srgbClr>
                  </w14:solidFill>
                </w14:textFill>
              </w:rPr>
              <w:t xml:space="preserve">　</w:t>
            </w:r>
            <w:r w:rsidR="0008572C" w:rsidRPr="0008572C">
              <w:rPr>
                <w:rFonts w:ascii="Arial Narrow" w:hAnsi="Arial Narrow" w:cs="Calibri"/>
                <w:sz w:val="20"/>
                <w:vertAlign w:val="superscript"/>
              </w:rPr>
              <w:t>2</w:t>
            </w:r>
          </w:p>
        </w:tc>
      </w:tr>
      <w:tr w:rsidR="00CD08A0" w:rsidRPr="00F04A75" w14:paraId="1A36DA50" w14:textId="77777777" w:rsidTr="0008572C">
        <w:trPr>
          <w:trHeight w:val="70"/>
        </w:trPr>
        <w:tc>
          <w:tcPr>
            <w:tcW w:w="2263" w:type="dxa"/>
            <w:shd w:val="clear" w:color="auto" w:fill="auto"/>
            <w:noWrap/>
            <w:tcMar>
              <w:left w:w="28" w:type="dxa"/>
              <w:right w:w="28" w:type="dxa"/>
            </w:tcMar>
          </w:tcPr>
          <w:p w14:paraId="13BFA571" w14:textId="7D5A7C28" w:rsidR="00CD08A0" w:rsidRPr="00F04A75" w:rsidRDefault="00CD08A0" w:rsidP="00A425B1">
            <w:pPr>
              <w:keepNext/>
              <w:jc w:val="left"/>
              <w:rPr>
                <w:rFonts w:ascii="Arial Narrow" w:hAnsi="Arial Narrow" w:cstheme="minorHAnsi"/>
                <w:bCs/>
                <w:sz w:val="20"/>
                <w:szCs w:val="20"/>
                <w:lang w:bidi="hi-IN"/>
              </w:rPr>
            </w:pPr>
            <w:r w:rsidRPr="00F04A75">
              <w:rPr>
                <w:rFonts w:ascii="Arial Narrow" w:hAnsi="Arial Narrow" w:cs="Calibri"/>
                <w:sz w:val="20"/>
              </w:rPr>
              <w:t>Cost offsets (C+L)</w:t>
            </w:r>
            <w:r w:rsidR="0008572C">
              <w:rPr>
                <w:rFonts w:ascii="Arial Narrow" w:hAnsi="Arial Narrow" w:cs="Calibri"/>
                <w:sz w:val="20"/>
              </w:rPr>
              <w:t xml:space="preserve"> ($)</w:t>
            </w:r>
          </w:p>
        </w:tc>
        <w:tc>
          <w:tcPr>
            <w:tcW w:w="1134" w:type="dxa"/>
            <w:shd w:val="clear" w:color="auto" w:fill="auto"/>
            <w:noWrap/>
            <w:tcMar>
              <w:left w:w="28" w:type="dxa"/>
              <w:right w:w="28" w:type="dxa"/>
            </w:tcMar>
          </w:tcPr>
          <w:p w14:paraId="3A3A96F9" w14:textId="5AA7D0B8" w:rsidR="00CD08A0" w:rsidRPr="0008572C" w:rsidRDefault="000960C3" w:rsidP="00A425B1">
            <w:pPr>
              <w:keepNext/>
              <w:jc w:val="center"/>
              <w:rPr>
                <w:rFonts w:ascii="Arial Narrow" w:hAnsi="Arial Narrow"/>
                <w:color w:val="000000"/>
                <w:sz w:val="20"/>
                <w:szCs w:val="20"/>
                <w:highlight w:val="yellow"/>
                <w:vertAlign w:val="superscript"/>
              </w:rPr>
            </w:pPr>
            <w:r w:rsidRPr="000960C3">
              <w:rPr>
                <w:rFonts w:ascii="Arial Narrow" w:hAnsi="Arial Narrow" w:cs="Calibri" w:hint="eastAsia"/>
                <w:color w:val="000000"/>
                <w:w w:val="15"/>
                <w:sz w:val="20"/>
                <w:shd w:val="solid" w:color="000000" w:fill="000000"/>
                <w:fitText w:val="45" w:id="-1506043385"/>
                <w14:textFill>
                  <w14:solidFill>
                    <w14:srgbClr w14:val="000000">
                      <w14:alpha w14:val="100000"/>
                    </w14:srgbClr>
                  </w14:solidFill>
                </w14:textFill>
              </w:rPr>
              <w:t xml:space="preserve">　</w:t>
            </w:r>
            <w:r w:rsidRPr="000960C3">
              <w:rPr>
                <w:rFonts w:ascii="Arial Narrow" w:hAnsi="Arial Narrow" w:cs="Calibri"/>
                <w:color w:val="000000"/>
                <w:w w:val="15"/>
                <w:sz w:val="20"/>
                <w:shd w:val="solid" w:color="000000" w:fill="000000"/>
                <w:fitText w:val="45" w:id="-1506043385"/>
                <w14:textFill>
                  <w14:solidFill>
                    <w14:srgbClr w14:val="000000">
                      <w14:alpha w14:val="100000"/>
                    </w14:srgbClr>
                  </w14:solidFill>
                </w14:textFill>
              </w:rPr>
              <w:t>|</w:t>
            </w:r>
            <w:r w:rsidRPr="000960C3">
              <w:rPr>
                <w:rFonts w:ascii="Arial Narrow" w:hAnsi="Arial Narrow" w:cs="Calibri" w:hint="eastAsia"/>
                <w:color w:val="000000"/>
                <w:spacing w:val="-20"/>
                <w:w w:val="15"/>
                <w:sz w:val="20"/>
                <w:shd w:val="solid" w:color="000000" w:fill="000000"/>
                <w:fitText w:val="45" w:id="-1506043385"/>
                <w14:textFill>
                  <w14:solidFill>
                    <w14:srgbClr w14:val="000000">
                      <w14:alpha w14:val="100000"/>
                    </w14:srgbClr>
                  </w14:solidFill>
                </w14:textFill>
              </w:rPr>
              <w:t xml:space="preserve">　</w:t>
            </w:r>
            <w:r w:rsidR="0008572C" w:rsidRPr="0008572C">
              <w:rPr>
                <w:rFonts w:ascii="Arial Narrow" w:hAnsi="Arial Narrow" w:cs="Calibri"/>
                <w:sz w:val="20"/>
                <w:vertAlign w:val="superscript"/>
              </w:rPr>
              <w:t>3</w:t>
            </w:r>
          </w:p>
        </w:tc>
        <w:tc>
          <w:tcPr>
            <w:tcW w:w="1134" w:type="dxa"/>
            <w:shd w:val="clear" w:color="auto" w:fill="auto"/>
            <w:noWrap/>
            <w:tcMar>
              <w:left w:w="28" w:type="dxa"/>
              <w:right w:w="28" w:type="dxa"/>
            </w:tcMar>
          </w:tcPr>
          <w:p w14:paraId="74BEADC3" w14:textId="68B8279A" w:rsidR="00CD08A0" w:rsidRPr="0008572C" w:rsidRDefault="000960C3" w:rsidP="00A425B1">
            <w:pPr>
              <w:keepNext/>
              <w:jc w:val="center"/>
              <w:rPr>
                <w:rFonts w:ascii="Arial Narrow" w:hAnsi="Arial Narrow"/>
                <w:color w:val="000000"/>
                <w:sz w:val="20"/>
                <w:szCs w:val="20"/>
                <w:highlight w:val="yellow"/>
              </w:rPr>
            </w:pPr>
            <w:r w:rsidRPr="000960C3">
              <w:rPr>
                <w:rFonts w:ascii="Arial Narrow" w:hAnsi="Arial Narrow" w:cs="Calibri" w:hint="eastAsia"/>
                <w:color w:val="000000"/>
                <w:w w:val="15"/>
                <w:sz w:val="20"/>
                <w:shd w:val="solid" w:color="000000" w:fill="000000"/>
                <w:fitText w:val="45" w:id="-1506043384"/>
                <w14:textFill>
                  <w14:solidFill>
                    <w14:srgbClr w14:val="000000">
                      <w14:alpha w14:val="100000"/>
                    </w14:srgbClr>
                  </w14:solidFill>
                </w14:textFill>
              </w:rPr>
              <w:t xml:space="preserve">　</w:t>
            </w:r>
            <w:r w:rsidRPr="000960C3">
              <w:rPr>
                <w:rFonts w:ascii="Arial Narrow" w:hAnsi="Arial Narrow" w:cs="Calibri"/>
                <w:color w:val="000000"/>
                <w:w w:val="15"/>
                <w:sz w:val="20"/>
                <w:shd w:val="solid" w:color="000000" w:fill="000000"/>
                <w:fitText w:val="45" w:id="-1506043384"/>
                <w14:textFill>
                  <w14:solidFill>
                    <w14:srgbClr w14:val="000000">
                      <w14:alpha w14:val="100000"/>
                    </w14:srgbClr>
                  </w14:solidFill>
                </w14:textFill>
              </w:rPr>
              <w:t>|</w:t>
            </w:r>
            <w:r w:rsidRPr="000960C3">
              <w:rPr>
                <w:rFonts w:ascii="Arial Narrow" w:hAnsi="Arial Narrow" w:cs="Calibri" w:hint="eastAsia"/>
                <w:color w:val="000000"/>
                <w:spacing w:val="-20"/>
                <w:w w:val="15"/>
                <w:sz w:val="20"/>
                <w:shd w:val="solid" w:color="000000" w:fill="000000"/>
                <w:fitText w:val="45" w:id="-1506043384"/>
                <w14:textFill>
                  <w14:solidFill>
                    <w14:srgbClr w14:val="000000">
                      <w14:alpha w14:val="100000"/>
                    </w14:srgbClr>
                  </w14:solidFill>
                </w14:textFill>
              </w:rPr>
              <w:t xml:space="preserve">　</w:t>
            </w:r>
            <w:r w:rsidR="0008572C" w:rsidRPr="0008572C">
              <w:rPr>
                <w:rFonts w:ascii="Arial Narrow" w:hAnsi="Arial Narrow" w:cs="Calibri"/>
                <w:sz w:val="20"/>
                <w:vertAlign w:val="superscript"/>
              </w:rPr>
              <w:t>3</w:t>
            </w:r>
          </w:p>
        </w:tc>
        <w:tc>
          <w:tcPr>
            <w:tcW w:w="1134" w:type="dxa"/>
            <w:shd w:val="clear" w:color="auto" w:fill="auto"/>
            <w:noWrap/>
            <w:tcMar>
              <w:left w:w="28" w:type="dxa"/>
              <w:right w:w="28" w:type="dxa"/>
            </w:tcMar>
          </w:tcPr>
          <w:p w14:paraId="521D13D7" w14:textId="69887801" w:rsidR="00CD08A0" w:rsidRPr="0008572C" w:rsidRDefault="000960C3" w:rsidP="00A425B1">
            <w:pPr>
              <w:keepNext/>
              <w:jc w:val="center"/>
              <w:rPr>
                <w:rFonts w:ascii="Arial Narrow" w:hAnsi="Arial Narrow"/>
                <w:color w:val="000000"/>
                <w:sz w:val="20"/>
                <w:szCs w:val="20"/>
                <w:highlight w:val="yellow"/>
                <w:vertAlign w:val="superscript"/>
              </w:rPr>
            </w:pPr>
            <w:r w:rsidRPr="000960C3">
              <w:rPr>
                <w:rFonts w:ascii="Arial Narrow" w:hAnsi="Arial Narrow" w:cs="Calibri" w:hint="eastAsia"/>
                <w:color w:val="000000"/>
                <w:w w:val="15"/>
                <w:sz w:val="20"/>
                <w:shd w:val="solid" w:color="000000" w:fill="000000"/>
                <w:fitText w:val="45" w:id="-1506043383"/>
                <w14:textFill>
                  <w14:solidFill>
                    <w14:srgbClr w14:val="000000">
                      <w14:alpha w14:val="100000"/>
                    </w14:srgbClr>
                  </w14:solidFill>
                </w14:textFill>
              </w:rPr>
              <w:t xml:space="preserve">　</w:t>
            </w:r>
            <w:r w:rsidRPr="000960C3">
              <w:rPr>
                <w:rFonts w:ascii="Arial Narrow" w:hAnsi="Arial Narrow" w:cs="Calibri"/>
                <w:color w:val="000000"/>
                <w:w w:val="15"/>
                <w:sz w:val="20"/>
                <w:shd w:val="solid" w:color="000000" w:fill="000000"/>
                <w:fitText w:val="45" w:id="-1506043383"/>
                <w14:textFill>
                  <w14:solidFill>
                    <w14:srgbClr w14:val="000000">
                      <w14:alpha w14:val="100000"/>
                    </w14:srgbClr>
                  </w14:solidFill>
                </w14:textFill>
              </w:rPr>
              <w:t>|</w:t>
            </w:r>
            <w:r w:rsidRPr="000960C3">
              <w:rPr>
                <w:rFonts w:ascii="Arial Narrow" w:hAnsi="Arial Narrow" w:cs="Calibri" w:hint="eastAsia"/>
                <w:color w:val="000000"/>
                <w:spacing w:val="-20"/>
                <w:w w:val="15"/>
                <w:sz w:val="20"/>
                <w:shd w:val="solid" w:color="000000" w:fill="000000"/>
                <w:fitText w:val="45" w:id="-1506043383"/>
                <w14:textFill>
                  <w14:solidFill>
                    <w14:srgbClr w14:val="000000">
                      <w14:alpha w14:val="100000"/>
                    </w14:srgbClr>
                  </w14:solidFill>
                </w14:textFill>
              </w:rPr>
              <w:t xml:space="preserve">　</w:t>
            </w:r>
            <w:r w:rsidR="0008572C" w:rsidRPr="0008572C">
              <w:rPr>
                <w:rFonts w:ascii="Arial Narrow" w:hAnsi="Arial Narrow" w:cs="Calibri"/>
                <w:sz w:val="20"/>
                <w:vertAlign w:val="superscript"/>
              </w:rPr>
              <w:t>1</w:t>
            </w:r>
          </w:p>
        </w:tc>
        <w:tc>
          <w:tcPr>
            <w:tcW w:w="1134" w:type="dxa"/>
            <w:shd w:val="clear" w:color="auto" w:fill="auto"/>
            <w:noWrap/>
            <w:tcMar>
              <w:left w:w="28" w:type="dxa"/>
              <w:right w:w="28" w:type="dxa"/>
            </w:tcMar>
          </w:tcPr>
          <w:p w14:paraId="408EFEA4" w14:textId="7D78AC71" w:rsidR="00CD08A0" w:rsidRPr="0008572C" w:rsidRDefault="000960C3" w:rsidP="00A425B1">
            <w:pPr>
              <w:keepNext/>
              <w:jc w:val="center"/>
              <w:rPr>
                <w:rFonts w:ascii="Arial Narrow" w:hAnsi="Arial Narrow"/>
                <w:color w:val="000000"/>
                <w:sz w:val="20"/>
                <w:szCs w:val="20"/>
                <w:highlight w:val="yellow"/>
              </w:rPr>
            </w:pPr>
            <w:r w:rsidRPr="000960C3">
              <w:rPr>
                <w:rFonts w:ascii="Arial Narrow" w:hAnsi="Arial Narrow" w:cs="Calibri" w:hint="eastAsia"/>
                <w:color w:val="000000"/>
                <w:w w:val="15"/>
                <w:sz w:val="20"/>
                <w:shd w:val="solid" w:color="000000" w:fill="000000"/>
                <w:fitText w:val="45" w:id="-1506043382"/>
                <w14:textFill>
                  <w14:solidFill>
                    <w14:srgbClr w14:val="000000">
                      <w14:alpha w14:val="100000"/>
                    </w14:srgbClr>
                  </w14:solidFill>
                </w14:textFill>
              </w:rPr>
              <w:t xml:space="preserve">　</w:t>
            </w:r>
            <w:r w:rsidRPr="000960C3">
              <w:rPr>
                <w:rFonts w:ascii="Arial Narrow" w:hAnsi="Arial Narrow" w:cs="Calibri"/>
                <w:color w:val="000000"/>
                <w:w w:val="15"/>
                <w:sz w:val="20"/>
                <w:shd w:val="solid" w:color="000000" w:fill="000000"/>
                <w:fitText w:val="45" w:id="-1506043382"/>
                <w14:textFill>
                  <w14:solidFill>
                    <w14:srgbClr w14:val="000000">
                      <w14:alpha w14:val="100000"/>
                    </w14:srgbClr>
                  </w14:solidFill>
                </w14:textFill>
              </w:rPr>
              <w:t>|</w:t>
            </w:r>
            <w:r w:rsidRPr="000960C3">
              <w:rPr>
                <w:rFonts w:ascii="Arial Narrow" w:hAnsi="Arial Narrow" w:cs="Calibri" w:hint="eastAsia"/>
                <w:color w:val="000000"/>
                <w:spacing w:val="-20"/>
                <w:w w:val="15"/>
                <w:sz w:val="20"/>
                <w:shd w:val="solid" w:color="000000" w:fill="000000"/>
                <w:fitText w:val="45" w:id="-1506043382"/>
                <w14:textFill>
                  <w14:solidFill>
                    <w14:srgbClr w14:val="000000">
                      <w14:alpha w14:val="100000"/>
                    </w14:srgbClr>
                  </w14:solidFill>
                </w14:textFill>
              </w:rPr>
              <w:t xml:space="preserve">　</w:t>
            </w:r>
            <w:r w:rsidR="0008572C" w:rsidRPr="0008572C">
              <w:rPr>
                <w:rFonts w:ascii="Arial Narrow" w:hAnsi="Arial Narrow" w:cs="Calibri"/>
                <w:sz w:val="20"/>
                <w:vertAlign w:val="superscript"/>
              </w:rPr>
              <w:t>1</w:t>
            </w:r>
          </w:p>
        </w:tc>
        <w:tc>
          <w:tcPr>
            <w:tcW w:w="1134" w:type="dxa"/>
            <w:shd w:val="clear" w:color="auto" w:fill="auto"/>
            <w:noWrap/>
            <w:tcMar>
              <w:left w:w="28" w:type="dxa"/>
              <w:right w:w="28" w:type="dxa"/>
            </w:tcMar>
          </w:tcPr>
          <w:p w14:paraId="48CBA3C2" w14:textId="0CC63313" w:rsidR="00CD08A0" w:rsidRPr="0008572C" w:rsidRDefault="000960C3" w:rsidP="00A425B1">
            <w:pPr>
              <w:keepNext/>
              <w:jc w:val="center"/>
              <w:rPr>
                <w:rFonts w:ascii="Arial Narrow" w:hAnsi="Arial Narrow"/>
                <w:color w:val="000000"/>
                <w:sz w:val="20"/>
                <w:szCs w:val="20"/>
                <w:highlight w:val="yellow"/>
              </w:rPr>
            </w:pPr>
            <w:r w:rsidRPr="000960C3">
              <w:rPr>
                <w:rFonts w:ascii="Arial Narrow" w:hAnsi="Arial Narrow" w:cs="Calibri" w:hint="eastAsia"/>
                <w:color w:val="000000"/>
                <w:w w:val="15"/>
                <w:sz w:val="20"/>
                <w:shd w:val="solid" w:color="000000" w:fill="000000"/>
                <w:fitText w:val="45" w:id="-1506043381"/>
                <w14:textFill>
                  <w14:solidFill>
                    <w14:srgbClr w14:val="000000">
                      <w14:alpha w14:val="100000"/>
                    </w14:srgbClr>
                  </w14:solidFill>
                </w14:textFill>
              </w:rPr>
              <w:t xml:space="preserve">　</w:t>
            </w:r>
            <w:r w:rsidRPr="000960C3">
              <w:rPr>
                <w:rFonts w:ascii="Arial Narrow" w:hAnsi="Arial Narrow" w:cs="Calibri"/>
                <w:color w:val="000000"/>
                <w:w w:val="15"/>
                <w:sz w:val="20"/>
                <w:shd w:val="solid" w:color="000000" w:fill="000000"/>
                <w:fitText w:val="45" w:id="-1506043381"/>
                <w14:textFill>
                  <w14:solidFill>
                    <w14:srgbClr w14:val="000000">
                      <w14:alpha w14:val="100000"/>
                    </w14:srgbClr>
                  </w14:solidFill>
                </w14:textFill>
              </w:rPr>
              <w:t>|</w:t>
            </w:r>
            <w:r w:rsidRPr="000960C3">
              <w:rPr>
                <w:rFonts w:ascii="Arial Narrow" w:hAnsi="Arial Narrow" w:cs="Calibri" w:hint="eastAsia"/>
                <w:color w:val="000000"/>
                <w:spacing w:val="-20"/>
                <w:w w:val="15"/>
                <w:sz w:val="20"/>
                <w:shd w:val="solid" w:color="000000" w:fill="000000"/>
                <w:fitText w:val="45" w:id="-1506043381"/>
                <w14:textFill>
                  <w14:solidFill>
                    <w14:srgbClr w14:val="000000">
                      <w14:alpha w14:val="100000"/>
                    </w14:srgbClr>
                  </w14:solidFill>
                </w14:textFill>
              </w:rPr>
              <w:t xml:space="preserve">　</w:t>
            </w:r>
            <w:r w:rsidR="0008572C" w:rsidRPr="0008572C">
              <w:rPr>
                <w:rFonts w:ascii="Arial Narrow" w:hAnsi="Arial Narrow" w:cs="Calibri"/>
                <w:sz w:val="20"/>
                <w:vertAlign w:val="superscript"/>
              </w:rPr>
              <w:t>1</w:t>
            </w:r>
          </w:p>
        </w:tc>
        <w:tc>
          <w:tcPr>
            <w:tcW w:w="1276" w:type="dxa"/>
          </w:tcPr>
          <w:p w14:paraId="4D92F7BD" w14:textId="21BC170F" w:rsidR="00CD08A0" w:rsidRPr="0008572C" w:rsidRDefault="000960C3" w:rsidP="0021408B">
            <w:pPr>
              <w:keepNext/>
              <w:jc w:val="center"/>
              <w:rPr>
                <w:rFonts w:ascii="Arial Narrow" w:hAnsi="Arial Narrow"/>
                <w:color w:val="000000"/>
                <w:sz w:val="20"/>
                <w:szCs w:val="20"/>
                <w:highlight w:val="yellow"/>
              </w:rPr>
            </w:pPr>
            <w:r w:rsidRPr="000960C3">
              <w:rPr>
                <w:rFonts w:ascii="Arial Narrow" w:hAnsi="Arial Narrow" w:cs="Calibri" w:hint="eastAsia"/>
                <w:color w:val="000000"/>
                <w:w w:val="15"/>
                <w:sz w:val="20"/>
                <w:shd w:val="solid" w:color="000000" w:fill="000000"/>
                <w:fitText w:val="45" w:id="-1506043380"/>
                <w14:textFill>
                  <w14:solidFill>
                    <w14:srgbClr w14:val="000000">
                      <w14:alpha w14:val="100000"/>
                    </w14:srgbClr>
                  </w14:solidFill>
                </w14:textFill>
              </w:rPr>
              <w:t xml:space="preserve">　</w:t>
            </w:r>
            <w:r w:rsidRPr="000960C3">
              <w:rPr>
                <w:rFonts w:ascii="Arial Narrow" w:hAnsi="Arial Narrow" w:cs="Calibri"/>
                <w:color w:val="000000"/>
                <w:w w:val="15"/>
                <w:sz w:val="20"/>
                <w:shd w:val="solid" w:color="000000" w:fill="000000"/>
                <w:fitText w:val="45" w:id="-1506043380"/>
                <w14:textFill>
                  <w14:solidFill>
                    <w14:srgbClr w14:val="000000">
                      <w14:alpha w14:val="100000"/>
                    </w14:srgbClr>
                  </w14:solidFill>
                </w14:textFill>
              </w:rPr>
              <w:t>|</w:t>
            </w:r>
            <w:r w:rsidRPr="000960C3">
              <w:rPr>
                <w:rFonts w:ascii="Arial Narrow" w:hAnsi="Arial Narrow" w:cs="Calibri" w:hint="eastAsia"/>
                <w:color w:val="000000"/>
                <w:spacing w:val="-20"/>
                <w:w w:val="15"/>
                <w:sz w:val="20"/>
                <w:shd w:val="solid" w:color="000000" w:fill="000000"/>
                <w:fitText w:val="45" w:id="-1506043380"/>
                <w14:textFill>
                  <w14:solidFill>
                    <w14:srgbClr w14:val="000000">
                      <w14:alpha w14:val="100000"/>
                    </w14:srgbClr>
                  </w14:solidFill>
                </w14:textFill>
              </w:rPr>
              <w:t xml:space="preserve">　</w:t>
            </w:r>
            <w:r w:rsidR="0008572C" w:rsidRPr="0008572C">
              <w:rPr>
                <w:rFonts w:ascii="Arial Narrow" w:hAnsi="Arial Narrow" w:cs="Calibri"/>
                <w:sz w:val="20"/>
                <w:vertAlign w:val="superscript"/>
              </w:rPr>
              <w:t>1</w:t>
            </w:r>
          </w:p>
        </w:tc>
      </w:tr>
      <w:tr w:rsidR="00CD08A0" w:rsidRPr="00F04A75" w14:paraId="7FC4CA80" w14:textId="77777777" w:rsidTr="0008572C">
        <w:trPr>
          <w:trHeight w:val="70"/>
        </w:trPr>
        <w:tc>
          <w:tcPr>
            <w:tcW w:w="2263" w:type="dxa"/>
            <w:shd w:val="clear" w:color="auto" w:fill="auto"/>
            <w:noWrap/>
            <w:tcMar>
              <w:left w:w="28" w:type="dxa"/>
              <w:right w:w="28" w:type="dxa"/>
            </w:tcMar>
          </w:tcPr>
          <w:p w14:paraId="456201EF" w14:textId="1543B995" w:rsidR="00CD08A0" w:rsidRPr="00F04A75" w:rsidRDefault="00CD08A0" w:rsidP="00A425B1">
            <w:pPr>
              <w:keepNext/>
              <w:jc w:val="left"/>
              <w:rPr>
                <w:rFonts w:ascii="Arial Narrow" w:hAnsi="Arial Narrow" w:cstheme="minorHAnsi"/>
                <w:b/>
                <w:bCs/>
                <w:sz w:val="20"/>
                <w:szCs w:val="20"/>
                <w:lang w:bidi="hi-IN"/>
              </w:rPr>
            </w:pPr>
            <w:r w:rsidRPr="00F04A75">
              <w:rPr>
                <w:rFonts w:ascii="Arial Narrow" w:hAnsi="Arial Narrow" w:cstheme="minorHAnsi"/>
                <w:b/>
                <w:bCs/>
                <w:sz w:val="20"/>
                <w:szCs w:val="20"/>
                <w:lang w:bidi="hi-IN"/>
              </w:rPr>
              <w:t>Net cost to PBS/RPBS</w:t>
            </w:r>
            <w:r w:rsidR="0008572C">
              <w:rPr>
                <w:rFonts w:ascii="Arial Narrow" w:hAnsi="Arial Narrow" w:cstheme="minorHAnsi"/>
                <w:b/>
                <w:bCs/>
                <w:sz w:val="20"/>
                <w:szCs w:val="20"/>
                <w:lang w:bidi="hi-IN"/>
              </w:rPr>
              <w:t xml:space="preserve"> ($)</w:t>
            </w:r>
          </w:p>
        </w:tc>
        <w:tc>
          <w:tcPr>
            <w:tcW w:w="1134" w:type="dxa"/>
            <w:shd w:val="clear" w:color="auto" w:fill="auto"/>
            <w:noWrap/>
            <w:tcMar>
              <w:left w:w="28" w:type="dxa"/>
              <w:right w:w="28" w:type="dxa"/>
            </w:tcMar>
            <w:vAlign w:val="center"/>
          </w:tcPr>
          <w:p w14:paraId="5BF1039E" w14:textId="65C9D621" w:rsidR="00CD08A0" w:rsidRPr="0008572C" w:rsidRDefault="000960C3" w:rsidP="00247AC4">
            <w:pPr>
              <w:keepNext/>
              <w:jc w:val="center"/>
              <w:rPr>
                <w:rFonts w:ascii="Arial Narrow" w:hAnsi="Arial Narrow"/>
                <w:b/>
                <w:color w:val="000000"/>
                <w:sz w:val="20"/>
                <w:szCs w:val="20"/>
                <w:highlight w:val="yellow"/>
                <w:vertAlign w:val="superscript"/>
              </w:rPr>
            </w:pPr>
            <w:r w:rsidRPr="000960C3">
              <w:rPr>
                <w:rFonts w:ascii="Arial Narrow" w:hAnsi="Arial Narrow" w:cs="Calibri" w:hint="eastAsia"/>
                <w:b/>
                <w:color w:val="000000"/>
                <w:w w:val="20"/>
                <w:sz w:val="20"/>
                <w:shd w:val="solid" w:color="000000" w:fill="000000"/>
                <w:fitText w:val="90" w:id="-1506043379"/>
                <w14:textFill>
                  <w14:solidFill>
                    <w14:srgbClr w14:val="000000">
                      <w14:alpha w14:val="100000"/>
                    </w14:srgbClr>
                  </w14:solidFill>
                </w14:textFill>
              </w:rPr>
              <w:t xml:space="preserve">　</w:t>
            </w:r>
            <w:r w:rsidRPr="000960C3">
              <w:rPr>
                <w:rFonts w:ascii="Arial Narrow" w:hAnsi="Arial Narrow" w:cs="Calibri"/>
                <w:b/>
                <w:color w:val="000000"/>
                <w:w w:val="20"/>
                <w:sz w:val="20"/>
                <w:shd w:val="solid" w:color="000000" w:fill="000000"/>
                <w:fitText w:val="90" w:id="-1506043379"/>
                <w14:textFill>
                  <w14:solidFill>
                    <w14:srgbClr w14:val="000000">
                      <w14:alpha w14:val="100000"/>
                    </w14:srgbClr>
                  </w14:solidFill>
                </w14:textFill>
              </w:rPr>
              <w:t>|</w:t>
            </w:r>
            <w:r w:rsidRPr="000960C3">
              <w:rPr>
                <w:rFonts w:ascii="Arial Narrow" w:hAnsi="Arial Narrow" w:cs="Calibri" w:hint="eastAsia"/>
                <w:b/>
                <w:color w:val="000000"/>
                <w:spacing w:val="2"/>
                <w:w w:val="20"/>
                <w:sz w:val="20"/>
                <w:shd w:val="solid" w:color="000000" w:fill="000000"/>
                <w:fitText w:val="90" w:id="-1506043379"/>
                <w14:textFill>
                  <w14:solidFill>
                    <w14:srgbClr w14:val="000000">
                      <w14:alpha w14:val="100000"/>
                    </w14:srgbClr>
                  </w14:solidFill>
                </w14:textFill>
              </w:rPr>
              <w:t xml:space="preserve">　</w:t>
            </w:r>
            <w:r w:rsidR="0008572C" w:rsidRPr="0008572C">
              <w:rPr>
                <w:rFonts w:ascii="Arial Narrow" w:hAnsi="Arial Narrow" w:cs="Calibri"/>
                <w:b/>
                <w:sz w:val="20"/>
                <w:vertAlign w:val="superscript"/>
              </w:rPr>
              <w:t>3</w:t>
            </w:r>
          </w:p>
        </w:tc>
        <w:tc>
          <w:tcPr>
            <w:tcW w:w="1134" w:type="dxa"/>
            <w:shd w:val="clear" w:color="auto" w:fill="auto"/>
            <w:noWrap/>
            <w:tcMar>
              <w:left w:w="28" w:type="dxa"/>
              <w:right w:w="28" w:type="dxa"/>
            </w:tcMar>
            <w:vAlign w:val="center"/>
          </w:tcPr>
          <w:p w14:paraId="48249D6A" w14:textId="67C76731" w:rsidR="00CD08A0" w:rsidRPr="0008572C" w:rsidRDefault="000960C3" w:rsidP="00247AC4">
            <w:pPr>
              <w:keepNext/>
              <w:jc w:val="center"/>
              <w:rPr>
                <w:rFonts w:ascii="Arial Narrow" w:hAnsi="Arial Narrow"/>
                <w:b/>
                <w:color w:val="000000"/>
                <w:sz w:val="20"/>
                <w:szCs w:val="20"/>
                <w:highlight w:val="yellow"/>
              </w:rPr>
            </w:pPr>
            <w:r w:rsidRPr="000960C3">
              <w:rPr>
                <w:rFonts w:ascii="Arial Narrow" w:hAnsi="Arial Narrow" w:cs="Calibri" w:hint="eastAsia"/>
                <w:b/>
                <w:color w:val="000000"/>
                <w:w w:val="20"/>
                <w:sz w:val="20"/>
                <w:shd w:val="solid" w:color="000000" w:fill="000000"/>
                <w:fitText w:val="90" w:id="-1506043378"/>
                <w14:textFill>
                  <w14:solidFill>
                    <w14:srgbClr w14:val="000000">
                      <w14:alpha w14:val="100000"/>
                    </w14:srgbClr>
                  </w14:solidFill>
                </w14:textFill>
              </w:rPr>
              <w:t xml:space="preserve">　</w:t>
            </w:r>
            <w:r w:rsidRPr="000960C3">
              <w:rPr>
                <w:rFonts w:ascii="Arial Narrow" w:hAnsi="Arial Narrow" w:cs="Calibri"/>
                <w:b/>
                <w:color w:val="000000"/>
                <w:w w:val="20"/>
                <w:sz w:val="20"/>
                <w:shd w:val="solid" w:color="000000" w:fill="000000"/>
                <w:fitText w:val="90" w:id="-1506043378"/>
                <w14:textFill>
                  <w14:solidFill>
                    <w14:srgbClr w14:val="000000">
                      <w14:alpha w14:val="100000"/>
                    </w14:srgbClr>
                  </w14:solidFill>
                </w14:textFill>
              </w:rPr>
              <w:t>|</w:t>
            </w:r>
            <w:r w:rsidRPr="000960C3">
              <w:rPr>
                <w:rFonts w:ascii="Arial Narrow" w:hAnsi="Arial Narrow" w:cs="Calibri" w:hint="eastAsia"/>
                <w:b/>
                <w:color w:val="000000"/>
                <w:spacing w:val="2"/>
                <w:w w:val="20"/>
                <w:sz w:val="20"/>
                <w:shd w:val="solid" w:color="000000" w:fill="000000"/>
                <w:fitText w:val="90" w:id="-1506043378"/>
                <w14:textFill>
                  <w14:solidFill>
                    <w14:srgbClr w14:val="000000">
                      <w14:alpha w14:val="100000"/>
                    </w14:srgbClr>
                  </w14:solidFill>
                </w14:textFill>
              </w:rPr>
              <w:t xml:space="preserve">　</w:t>
            </w:r>
            <w:r w:rsidR="0008572C" w:rsidRPr="0008572C">
              <w:rPr>
                <w:rFonts w:ascii="Arial Narrow" w:hAnsi="Arial Narrow" w:cs="Calibri"/>
                <w:b/>
                <w:sz w:val="20"/>
                <w:vertAlign w:val="superscript"/>
              </w:rPr>
              <w:t>3</w:t>
            </w:r>
          </w:p>
        </w:tc>
        <w:tc>
          <w:tcPr>
            <w:tcW w:w="1134" w:type="dxa"/>
            <w:shd w:val="clear" w:color="auto" w:fill="auto"/>
            <w:noWrap/>
            <w:tcMar>
              <w:left w:w="28" w:type="dxa"/>
              <w:right w:w="28" w:type="dxa"/>
            </w:tcMar>
            <w:vAlign w:val="center"/>
          </w:tcPr>
          <w:p w14:paraId="3FB7BD41" w14:textId="774D7F26" w:rsidR="00CD08A0" w:rsidRPr="0008572C" w:rsidRDefault="000960C3" w:rsidP="00247AC4">
            <w:pPr>
              <w:keepNext/>
              <w:jc w:val="center"/>
              <w:rPr>
                <w:rFonts w:ascii="Arial Narrow" w:hAnsi="Arial Narrow"/>
                <w:b/>
                <w:color w:val="000000"/>
                <w:sz w:val="20"/>
                <w:szCs w:val="20"/>
                <w:highlight w:val="yellow"/>
              </w:rPr>
            </w:pPr>
            <w:r w:rsidRPr="000960C3">
              <w:rPr>
                <w:rFonts w:ascii="Arial Narrow" w:hAnsi="Arial Narrow" w:cs="Calibri" w:hint="eastAsia"/>
                <w:b/>
                <w:color w:val="000000"/>
                <w:w w:val="20"/>
                <w:sz w:val="20"/>
                <w:shd w:val="solid" w:color="000000" w:fill="000000"/>
                <w:fitText w:val="90" w:id="-1506043377"/>
                <w14:textFill>
                  <w14:solidFill>
                    <w14:srgbClr w14:val="000000">
                      <w14:alpha w14:val="100000"/>
                    </w14:srgbClr>
                  </w14:solidFill>
                </w14:textFill>
              </w:rPr>
              <w:t xml:space="preserve">　</w:t>
            </w:r>
            <w:r w:rsidRPr="000960C3">
              <w:rPr>
                <w:rFonts w:ascii="Arial Narrow" w:hAnsi="Arial Narrow" w:cs="Calibri"/>
                <w:b/>
                <w:color w:val="000000"/>
                <w:w w:val="20"/>
                <w:sz w:val="20"/>
                <w:shd w:val="solid" w:color="000000" w:fill="000000"/>
                <w:fitText w:val="90" w:id="-1506043377"/>
                <w14:textFill>
                  <w14:solidFill>
                    <w14:srgbClr w14:val="000000">
                      <w14:alpha w14:val="100000"/>
                    </w14:srgbClr>
                  </w14:solidFill>
                </w14:textFill>
              </w:rPr>
              <w:t>|</w:t>
            </w:r>
            <w:r w:rsidRPr="000960C3">
              <w:rPr>
                <w:rFonts w:ascii="Arial Narrow" w:hAnsi="Arial Narrow" w:cs="Calibri" w:hint="eastAsia"/>
                <w:b/>
                <w:color w:val="000000"/>
                <w:spacing w:val="2"/>
                <w:w w:val="20"/>
                <w:sz w:val="20"/>
                <w:shd w:val="solid" w:color="000000" w:fill="000000"/>
                <w:fitText w:val="90" w:id="-1506043377"/>
                <w14:textFill>
                  <w14:solidFill>
                    <w14:srgbClr w14:val="000000">
                      <w14:alpha w14:val="100000"/>
                    </w14:srgbClr>
                  </w14:solidFill>
                </w14:textFill>
              </w:rPr>
              <w:t xml:space="preserve">　</w:t>
            </w:r>
            <w:r w:rsidR="0008572C" w:rsidRPr="0008572C">
              <w:rPr>
                <w:rFonts w:ascii="Arial Narrow" w:hAnsi="Arial Narrow" w:cs="Calibri"/>
                <w:sz w:val="20"/>
                <w:vertAlign w:val="superscript"/>
              </w:rPr>
              <w:t>1</w:t>
            </w:r>
          </w:p>
        </w:tc>
        <w:tc>
          <w:tcPr>
            <w:tcW w:w="1134" w:type="dxa"/>
            <w:shd w:val="clear" w:color="auto" w:fill="auto"/>
            <w:noWrap/>
            <w:tcMar>
              <w:left w:w="28" w:type="dxa"/>
              <w:right w:w="28" w:type="dxa"/>
            </w:tcMar>
            <w:vAlign w:val="center"/>
          </w:tcPr>
          <w:p w14:paraId="06E446FA" w14:textId="07B80FFE" w:rsidR="00CD08A0" w:rsidRPr="0008572C" w:rsidRDefault="000960C3" w:rsidP="00247AC4">
            <w:pPr>
              <w:keepNext/>
              <w:jc w:val="center"/>
              <w:rPr>
                <w:rFonts w:ascii="Arial Narrow" w:hAnsi="Arial Narrow"/>
                <w:b/>
                <w:color w:val="000000"/>
                <w:sz w:val="20"/>
                <w:szCs w:val="20"/>
                <w:highlight w:val="yellow"/>
              </w:rPr>
            </w:pPr>
            <w:r w:rsidRPr="000960C3">
              <w:rPr>
                <w:rFonts w:ascii="Arial Narrow" w:hAnsi="Arial Narrow" w:cs="Calibri" w:hint="eastAsia"/>
                <w:b/>
                <w:color w:val="000000"/>
                <w:w w:val="20"/>
                <w:sz w:val="20"/>
                <w:shd w:val="solid" w:color="000000" w:fill="000000"/>
                <w:fitText w:val="90" w:id="-1506043376"/>
                <w14:textFill>
                  <w14:solidFill>
                    <w14:srgbClr w14:val="000000">
                      <w14:alpha w14:val="100000"/>
                    </w14:srgbClr>
                  </w14:solidFill>
                </w14:textFill>
              </w:rPr>
              <w:t xml:space="preserve">　</w:t>
            </w:r>
            <w:r w:rsidRPr="000960C3">
              <w:rPr>
                <w:rFonts w:ascii="Arial Narrow" w:hAnsi="Arial Narrow" w:cs="Calibri"/>
                <w:b/>
                <w:color w:val="000000"/>
                <w:w w:val="20"/>
                <w:sz w:val="20"/>
                <w:shd w:val="solid" w:color="000000" w:fill="000000"/>
                <w:fitText w:val="90" w:id="-1506043376"/>
                <w14:textFill>
                  <w14:solidFill>
                    <w14:srgbClr w14:val="000000">
                      <w14:alpha w14:val="100000"/>
                    </w14:srgbClr>
                  </w14:solidFill>
                </w14:textFill>
              </w:rPr>
              <w:t>|</w:t>
            </w:r>
            <w:r w:rsidRPr="000960C3">
              <w:rPr>
                <w:rFonts w:ascii="Arial Narrow" w:hAnsi="Arial Narrow" w:cs="Calibri" w:hint="eastAsia"/>
                <w:b/>
                <w:color w:val="000000"/>
                <w:spacing w:val="2"/>
                <w:w w:val="20"/>
                <w:sz w:val="20"/>
                <w:shd w:val="solid" w:color="000000" w:fill="000000"/>
                <w:fitText w:val="90" w:id="-1506043376"/>
                <w14:textFill>
                  <w14:solidFill>
                    <w14:srgbClr w14:val="000000">
                      <w14:alpha w14:val="100000"/>
                    </w14:srgbClr>
                  </w14:solidFill>
                </w14:textFill>
              </w:rPr>
              <w:t xml:space="preserve">　</w:t>
            </w:r>
            <w:r w:rsidR="0008572C" w:rsidRPr="0008572C">
              <w:rPr>
                <w:rFonts w:ascii="Arial Narrow" w:hAnsi="Arial Narrow" w:cs="Calibri"/>
                <w:b/>
                <w:sz w:val="20"/>
                <w:vertAlign w:val="superscript"/>
              </w:rPr>
              <w:t>3</w:t>
            </w:r>
          </w:p>
        </w:tc>
        <w:tc>
          <w:tcPr>
            <w:tcW w:w="1134" w:type="dxa"/>
            <w:shd w:val="clear" w:color="auto" w:fill="auto"/>
            <w:noWrap/>
            <w:tcMar>
              <w:left w:w="28" w:type="dxa"/>
              <w:right w:w="28" w:type="dxa"/>
            </w:tcMar>
            <w:vAlign w:val="center"/>
          </w:tcPr>
          <w:p w14:paraId="7E83888F" w14:textId="5292A9EB" w:rsidR="00CD08A0" w:rsidRPr="0008572C" w:rsidRDefault="000960C3" w:rsidP="00247AC4">
            <w:pPr>
              <w:keepNext/>
              <w:jc w:val="center"/>
              <w:rPr>
                <w:rFonts w:ascii="Arial Narrow" w:hAnsi="Arial Narrow"/>
                <w:b/>
                <w:color w:val="000000"/>
                <w:sz w:val="20"/>
                <w:szCs w:val="20"/>
                <w:highlight w:val="yellow"/>
              </w:rPr>
            </w:pPr>
            <w:r w:rsidRPr="000960C3">
              <w:rPr>
                <w:rFonts w:ascii="Arial Narrow" w:hAnsi="Arial Narrow" w:cs="Calibri" w:hint="eastAsia"/>
                <w:b/>
                <w:color w:val="000000"/>
                <w:w w:val="20"/>
                <w:sz w:val="20"/>
                <w:shd w:val="solid" w:color="000000" w:fill="000000"/>
                <w:fitText w:val="90" w:id="-1506043392"/>
                <w14:textFill>
                  <w14:solidFill>
                    <w14:srgbClr w14:val="000000">
                      <w14:alpha w14:val="100000"/>
                    </w14:srgbClr>
                  </w14:solidFill>
                </w14:textFill>
              </w:rPr>
              <w:t xml:space="preserve">　</w:t>
            </w:r>
            <w:r w:rsidRPr="000960C3">
              <w:rPr>
                <w:rFonts w:ascii="Arial Narrow" w:hAnsi="Arial Narrow" w:cs="Calibri"/>
                <w:b/>
                <w:color w:val="000000"/>
                <w:w w:val="20"/>
                <w:sz w:val="20"/>
                <w:shd w:val="solid" w:color="000000" w:fill="000000"/>
                <w:fitText w:val="90" w:id="-1506043392"/>
                <w14:textFill>
                  <w14:solidFill>
                    <w14:srgbClr w14:val="000000">
                      <w14:alpha w14:val="100000"/>
                    </w14:srgbClr>
                  </w14:solidFill>
                </w14:textFill>
              </w:rPr>
              <w:t>|</w:t>
            </w:r>
            <w:r w:rsidRPr="000960C3">
              <w:rPr>
                <w:rFonts w:ascii="Arial Narrow" w:hAnsi="Arial Narrow" w:cs="Calibri" w:hint="eastAsia"/>
                <w:b/>
                <w:color w:val="000000"/>
                <w:spacing w:val="2"/>
                <w:w w:val="20"/>
                <w:sz w:val="20"/>
                <w:shd w:val="solid" w:color="000000" w:fill="000000"/>
                <w:fitText w:val="90" w:id="-1506043392"/>
                <w14:textFill>
                  <w14:solidFill>
                    <w14:srgbClr w14:val="000000">
                      <w14:alpha w14:val="100000"/>
                    </w14:srgbClr>
                  </w14:solidFill>
                </w14:textFill>
              </w:rPr>
              <w:t xml:space="preserve">　</w:t>
            </w:r>
            <w:r w:rsidR="0008572C" w:rsidRPr="0008572C">
              <w:rPr>
                <w:rFonts w:ascii="Arial Narrow" w:hAnsi="Arial Narrow" w:cs="Calibri"/>
                <w:b/>
                <w:sz w:val="20"/>
                <w:vertAlign w:val="superscript"/>
              </w:rPr>
              <w:t>3</w:t>
            </w:r>
          </w:p>
        </w:tc>
        <w:tc>
          <w:tcPr>
            <w:tcW w:w="1276" w:type="dxa"/>
            <w:vAlign w:val="center"/>
          </w:tcPr>
          <w:p w14:paraId="79885F81" w14:textId="40C2F2E5" w:rsidR="00CD08A0" w:rsidRPr="0008572C" w:rsidRDefault="000960C3" w:rsidP="0021408B">
            <w:pPr>
              <w:keepNext/>
              <w:jc w:val="center"/>
              <w:rPr>
                <w:rFonts w:ascii="Arial Narrow" w:hAnsi="Arial Narrow"/>
                <w:bCs/>
                <w:color w:val="000000"/>
                <w:sz w:val="20"/>
                <w:szCs w:val="20"/>
                <w:highlight w:val="yellow"/>
              </w:rPr>
            </w:pPr>
            <w:r w:rsidRPr="000960C3">
              <w:rPr>
                <w:rFonts w:ascii="Arial Narrow" w:hAnsi="Arial Narrow" w:cs="Calibri" w:hint="eastAsia"/>
                <w:b/>
                <w:color w:val="000000"/>
                <w:w w:val="20"/>
                <w:sz w:val="20"/>
                <w:shd w:val="solid" w:color="000000" w:fill="000000"/>
                <w:fitText w:val="90" w:id="-1506043391"/>
                <w14:textFill>
                  <w14:solidFill>
                    <w14:srgbClr w14:val="000000">
                      <w14:alpha w14:val="100000"/>
                    </w14:srgbClr>
                  </w14:solidFill>
                </w14:textFill>
              </w:rPr>
              <w:t xml:space="preserve">　</w:t>
            </w:r>
            <w:r w:rsidRPr="000960C3">
              <w:rPr>
                <w:rFonts w:ascii="Arial Narrow" w:hAnsi="Arial Narrow" w:cs="Calibri"/>
                <w:b/>
                <w:color w:val="000000"/>
                <w:w w:val="20"/>
                <w:sz w:val="20"/>
                <w:shd w:val="solid" w:color="000000" w:fill="000000"/>
                <w:fitText w:val="90" w:id="-1506043391"/>
                <w14:textFill>
                  <w14:solidFill>
                    <w14:srgbClr w14:val="000000">
                      <w14:alpha w14:val="100000"/>
                    </w14:srgbClr>
                  </w14:solidFill>
                </w14:textFill>
              </w:rPr>
              <w:t>|</w:t>
            </w:r>
            <w:r w:rsidRPr="000960C3">
              <w:rPr>
                <w:rFonts w:ascii="Arial Narrow" w:hAnsi="Arial Narrow" w:cs="Calibri" w:hint="eastAsia"/>
                <w:b/>
                <w:color w:val="000000"/>
                <w:spacing w:val="2"/>
                <w:w w:val="20"/>
                <w:sz w:val="20"/>
                <w:shd w:val="solid" w:color="000000" w:fill="000000"/>
                <w:fitText w:val="90" w:id="-1506043391"/>
                <w14:textFill>
                  <w14:solidFill>
                    <w14:srgbClr w14:val="000000">
                      <w14:alpha w14:val="100000"/>
                    </w14:srgbClr>
                  </w14:solidFill>
                </w14:textFill>
              </w:rPr>
              <w:t xml:space="preserve">　</w:t>
            </w:r>
            <w:r w:rsidR="0008572C" w:rsidRPr="0008572C">
              <w:rPr>
                <w:rFonts w:ascii="Arial Narrow" w:hAnsi="Arial Narrow" w:cs="Calibri"/>
                <w:b/>
                <w:sz w:val="20"/>
                <w:vertAlign w:val="superscript"/>
              </w:rPr>
              <w:t>3</w:t>
            </w:r>
          </w:p>
        </w:tc>
      </w:tr>
    </w:tbl>
    <w:p w14:paraId="53A6BB1A" w14:textId="77777777" w:rsidR="006B5F59" w:rsidRDefault="006B5F59" w:rsidP="007F79B9">
      <w:pPr>
        <w:rPr>
          <w:rFonts w:ascii="Arial Narrow" w:hAnsi="Arial Narrow" w:cs="Calibri"/>
          <w:sz w:val="18"/>
          <w:szCs w:val="18"/>
        </w:rPr>
      </w:pPr>
      <w:r w:rsidRPr="001542D1">
        <w:rPr>
          <w:rFonts w:ascii="Arial Narrow" w:hAnsi="Arial Narrow" w:cs="Calibri"/>
          <w:sz w:val="18"/>
          <w:szCs w:val="18"/>
        </w:rPr>
        <w:t xml:space="preserve">C=carfilzomib; L=lenalidomide; d=dexamethasone; </w:t>
      </w:r>
      <w:proofErr w:type="spellStart"/>
      <w:r w:rsidRPr="001542D1">
        <w:rPr>
          <w:rFonts w:ascii="Arial Narrow" w:hAnsi="Arial Narrow" w:cs="Calibri"/>
          <w:sz w:val="18"/>
          <w:szCs w:val="18"/>
        </w:rPr>
        <w:t>PBd</w:t>
      </w:r>
      <w:proofErr w:type="spellEnd"/>
      <w:r w:rsidRPr="001542D1">
        <w:rPr>
          <w:rFonts w:ascii="Arial Narrow" w:hAnsi="Arial Narrow" w:cs="Calibri"/>
          <w:sz w:val="18"/>
          <w:szCs w:val="18"/>
        </w:rPr>
        <w:t>=pomalidomide + bortezomib + dexamethasone.</w:t>
      </w:r>
    </w:p>
    <w:p w14:paraId="0ABE5017" w14:textId="62334EBC" w:rsidR="007F79B9" w:rsidRDefault="007F79B9" w:rsidP="006B5F59">
      <w:pPr>
        <w:rPr>
          <w:rFonts w:ascii="Arial Narrow" w:hAnsi="Arial Narrow" w:cs="Calibri"/>
          <w:sz w:val="18"/>
          <w:szCs w:val="18"/>
        </w:rPr>
      </w:pPr>
      <w:r w:rsidRPr="00F04A75">
        <w:rPr>
          <w:rFonts w:ascii="Arial Narrow" w:hAnsi="Arial Narrow"/>
          <w:sz w:val="20"/>
          <w:szCs w:val="20"/>
        </w:rPr>
        <w:t xml:space="preserve">a. </w:t>
      </w:r>
      <w:r w:rsidRPr="001542D1">
        <w:rPr>
          <w:rFonts w:ascii="Arial Narrow" w:hAnsi="Arial Narrow" w:cs="Calibri"/>
          <w:sz w:val="18"/>
          <w:szCs w:val="18"/>
        </w:rPr>
        <w:t xml:space="preserve">Costs from ‘Results’ worksheet referencing ‘3c. Impact - proposed (eff)’; lenalidomide offsets from sums of reduced lenalidomide codes in ‘4c. Impact - affected (eff)’ </w:t>
      </w:r>
    </w:p>
    <w:p w14:paraId="656078AE" w14:textId="77777777" w:rsidR="0008572C" w:rsidRPr="001542D1" w:rsidRDefault="0008572C" w:rsidP="006B5F59">
      <w:pPr>
        <w:rPr>
          <w:rFonts w:ascii="Arial Narrow" w:hAnsi="Arial Narrow" w:cs="Calibri"/>
          <w:sz w:val="18"/>
          <w:szCs w:val="18"/>
        </w:rPr>
      </w:pPr>
    </w:p>
    <w:p w14:paraId="43A7ED97" w14:textId="77777777" w:rsidR="0008572C" w:rsidRPr="001E1345" w:rsidRDefault="0008572C" w:rsidP="0008572C">
      <w:pPr>
        <w:pStyle w:val="TableFigureFooter"/>
        <w:keepNext/>
        <w:spacing w:after="0"/>
        <w:contextualSpacing w:val="0"/>
        <w:rPr>
          <w:i/>
          <w:color w:val="FF0000"/>
          <w:szCs w:val="18"/>
        </w:rPr>
      </w:pPr>
      <w:bookmarkStart w:id="60" w:name="_Toc90455932"/>
      <w:bookmarkStart w:id="61" w:name="_Toc93412436"/>
      <w:r w:rsidRPr="001E1345">
        <w:rPr>
          <w:i/>
          <w:color w:val="FF0000"/>
          <w:szCs w:val="18"/>
        </w:rPr>
        <w:t>The redacted values correspond to the following ranges:</w:t>
      </w:r>
    </w:p>
    <w:p w14:paraId="1C528D1A" w14:textId="1934D434" w:rsidR="0008572C" w:rsidRPr="001E1345" w:rsidRDefault="0008572C" w:rsidP="0008572C">
      <w:pPr>
        <w:pStyle w:val="TableFigureFooter"/>
        <w:keepNext/>
        <w:spacing w:after="0"/>
        <w:contextualSpacing w:val="0"/>
        <w:rPr>
          <w:szCs w:val="18"/>
        </w:rPr>
      </w:pPr>
      <w:r w:rsidRPr="001E1345">
        <w:rPr>
          <w:i/>
          <w:color w:val="FF0000"/>
          <w:szCs w:val="18"/>
          <w:vertAlign w:val="superscript"/>
        </w:rPr>
        <w:t>1</w:t>
      </w:r>
      <w:r>
        <w:rPr>
          <w:i/>
          <w:color w:val="FF0000"/>
          <w:szCs w:val="18"/>
        </w:rPr>
        <w:t>$10 million to &lt; $20 million</w:t>
      </w:r>
    </w:p>
    <w:p w14:paraId="25FBF0B8" w14:textId="524E2C12" w:rsidR="0008572C" w:rsidRPr="001E1345" w:rsidRDefault="0008572C" w:rsidP="0008572C">
      <w:pPr>
        <w:ind w:right="150"/>
        <w:rPr>
          <w:rFonts w:ascii="Arial Narrow" w:hAnsi="Arial Narrow"/>
          <w:b/>
          <w:bCs/>
          <w:i/>
          <w:iCs/>
          <w:color w:val="333333"/>
          <w:sz w:val="18"/>
          <w:szCs w:val="18"/>
        </w:rPr>
      </w:pPr>
      <w:r w:rsidRPr="001E1345">
        <w:rPr>
          <w:rFonts w:ascii="Arial Narrow" w:hAnsi="Arial Narrow" w:cstheme="minorHAnsi"/>
          <w:i/>
          <w:iCs/>
          <w:sz w:val="18"/>
          <w:szCs w:val="18"/>
          <w:vertAlign w:val="superscript"/>
        </w:rPr>
        <w:t>2</w:t>
      </w:r>
      <w:r w:rsidRPr="001E1345">
        <w:rPr>
          <w:rFonts w:ascii="Arial Narrow" w:hAnsi="Arial Narrow"/>
          <w:i/>
          <w:iCs/>
          <w:color w:val="333333"/>
          <w:sz w:val="18"/>
          <w:szCs w:val="18"/>
        </w:rPr>
        <w:t>$</w:t>
      </w:r>
      <w:r>
        <w:rPr>
          <w:rFonts w:ascii="Arial Narrow" w:hAnsi="Arial Narrow"/>
          <w:i/>
          <w:iCs/>
          <w:color w:val="333333"/>
          <w:sz w:val="18"/>
          <w:szCs w:val="18"/>
        </w:rPr>
        <w:t>20 million to &lt; $30 million</w:t>
      </w:r>
    </w:p>
    <w:p w14:paraId="4D4E8741" w14:textId="77777777" w:rsidR="0008572C" w:rsidRPr="001E1345" w:rsidRDefault="0008572C" w:rsidP="0008572C">
      <w:pPr>
        <w:ind w:right="150"/>
        <w:rPr>
          <w:rFonts w:ascii="Arial Narrow" w:hAnsi="Arial Narrow"/>
          <w:i/>
          <w:iCs/>
          <w:color w:val="333333"/>
          <w:sz w:val="18"/>
          <w:szCs w:val="18"/>
        </w:rPr>
      </w:pPr>
      <w:r w:rsidRPr="001E1345">
        <w:rPr>
          <w:rFonts w:ascii="Arial Narrow" w:hAnsi="Arial Narrow"/>
          <w:i/>
          <w:iCs/>
          <w:color w:val="333333"/>
          <w:sz w:val="18"/>
          <w:szCs w:val="18"/>
          <w:vertAlign w:val="superscript"/>
        </w:rPr>
        <w:t>3</w:t>
      </w:r>
      <w:r w:rsidRPr="001E1345">
        <w:rPr>
          <w:rFonts w:ascii="Arial Narrow" w:hAnsi="Arial Narrow"/>
          <w:i/>
          <w:iCs/>
          <w:color w:val="333333"/>
          <w:sz w:val="18"/>
          <w:szCs w:val="18"/>
        </w:rPr>
        <w:t>$0 to &lt; $10 million</w:t>
      </w:r>
    </w:p>
    <w:p w14:paraId="7453887C" w14:textId="77777777" w:rsidR="0008572C" w:rsidRDefault="0008572C" w:rsidP="0016658B">
      <w:pPr>
        <w:pStyle w:val="4-SubsectionHeading"/>
      </w:pPr>
    </w:p>
    <w:p w14:paraId="52270BC0" w14:textId="0AEE5585" w:rsidR="00F97782" w:rsidRPr="00F04A75" w:rsidRDefault="00F97782" w:rsidP="0016658B">
      <w:pPr>
        <w:pStyle w:val="4-SubsectionHeading"/>
      </w:pPr>
      <w:r w:rsidRPr="00F04A75">
        <w:t>Quality Use of Medicines</w:t>
      </w:r>
      <w:bookmarkEnd w:id="60"/>
      <w:bookmarkEnd w:id="61"/>
    </w:p>
    <w:p w14:paraId="3EFAB092" w14:textId="69F670B2" w:rsidR="00F97782" w:rsidRPr="00F04A75" w:rsidRDefault="00F97782" w:rsidP="00800906">
      <w:pPr>
        <w:pStyle w:val="3-BodyText"/>
      </w:pPr>
      <w:r w:rsidRPr="00F04A75">
        <w:t xml:space="preserve">The resubmission did not identify any potential quality use of medicines issues. The PBAC previously stated that </w:t>
      </w:r>
      <w:r w:rsidR="00506A24" w:rsidRPr="00F04A75">
        <w:t xml:space="preserve">as </w:t>
      </w:r>
      <w:r w:rsidRPr="00F04A75">
        <w:t xml:space="preserve">different doses of carfilzomib </w:t>
      </w:r>
      <w:r w:rsidR="00506A24" w:rsidRPr="00F04A75">
        <w:t>are</w:t>
      </w:r>
      <w:r w:rsidRPr="00F04A75">
        <w:t xml:space="preserve"> used in the Cd and </w:t>
      </w:r>
      <w:proofErr w:type="spellStart"/>
      <w:r w:rsidRPr="00F04A75">
        <w:t>CLd</w:t>
      </w:r>
      <w:proofErr w:type="spellEnd"/>
      <w:r w:rsidRPr="00F04A75">
        <w:t xml:space="preserve"> regimens (the carfilzomib dose in Cd regimen was 56 mg/m</w:t>
      </w:r>
      <w:r w:rsidRPr="00F04A75">
        <w:rPr>
          <w:vertAlign w:val="superscript"/>
        </w:rPr>
        <w:t>2</w:t>
      </w:r>
      <w:r w:rsidRPr="00F04A75">
        <w:t xml:space="preserve"> while for the </w:t>
      </w:r>
      <w:proofErr w:type="spellStart"/>
      <w:r w:rsidRPr="00F04A75">
        <w:t>CLd</w:t>
      </w:r>
      <w:proofErr w:type="spellEnd"/>
      <w:r w:rsidRPr="00F04A75">
        <w:t xml:space="preserve"> regimen was 27 mg/m</w:t>
      </w:r>
      <w:r w:rsidRPr="00F04A75">
        <w:rPr>
          <w:vertAlign w:val="superscript"/>
        </w:rPr>
        <w:t>2</w:t>
      </w:r>
      <w:r w:rsidRPr="00F04A75">
        <w:t xml:space="preserve"> for most cycles)</w:t>
      </w:r>
      <w:r w:rsidR="00506A24" w:rsidRPr="00F04A75">
        <w:t>, t</w:t>
      </w:r>
      <w:r w:rsidRPr="00F04A75">
        <w:t xml:space="preserve">his might potentially lead to inappropriate doses being given (paragraph 6.62, carfilzomib </w:t>
      </w:r>
      <w:r w:rsidR="00F4014E" w:rsidRPr="00F04A75">
        <w:t>PSD</w:t>
      </w:r>
      <w:r w:rsidRPr="00F04A75">
        <w:t xml:space="preserve">, July 2016). </w:t>
      </w:r>
    </w:p>
    <w:p w14:paraId="3254B97E" w14:textId="2F660155" w:rsidR="00F97782" w:rsidRPr="00F04A75" w:rsidRDefault="00F97782" w:rsidP="0016658B">
      <w:pPr>
        <w:pStyle w:val="4-SubsectionHeading"/>
      </w:pPr>
      <w:bookmarkStart w:id="62" w:name="_Toc90455933"/>
      <w:bookmarkStart w:id="63" w:name="_Toc93412437"/>
      <w:r w:rsidRPr="00F04A75">
        <w:t>Financial Management – Risk Sharing Arrangements</w:t>
      </w:r>
      <w:bookmarkEnd w:id="62"/>
      <w:bookmarkEnd w:id="63"/>
    </w:p>
    <w:p w14:paraId="775CD230" w14:textId="637455B0" w:rsidR="00F97782" w:rsidRPr="00F04A75" w:rsidRDefault="00B854F5" w:rsidP="00800906">
      <w:pPr>
        <w:pStyle w:val="ListParagraph"/>
        <w:numPr>
          <w:ilvl w:val="1"/>
          <w:numId w:val="1"/>
        </w:numPr>
        <w:rPr>
          <w:color w:val="0066FF"/>
        </w:rPr>
      </w:pPr>
      <w:r w:rsidRPr="00F04A75">
        <w:t>An</w:t>
      </w:r>
      <w:r w:rsidR="00F97782" w:rsidRPr="00F04A75">
        <w:t xml:space="preserve"> RSA was established at the time of carfilzomib listing in January 2018. At </w:t>
      </w:r>
      <w:r w:rsidR="00FF6F76" w:rsidRPr="00F04A75">
        <w:t>this</w:t>
      </w:r>
      <w:r w:rsidR="00F97782" w:rsidRPr="00F04A75">
        <w:t xml:space="preserve"> time</w:t>
      </w:r>
      <w:r w:rsidR="00FF6F76" w:rsidRPr="00F04A75">
        <w:t>,</w:t>
      </w:r>
      <w:r w:rsidR="00F97782" w:rsidRPr="00F04A75">
        <w:t xml:space="preserve"> the therapies available in </w:t>
      </w:r>
      <w:r w:rsidR="00FF6F76" w:rsidRPr="00F04A75">
        <w:t xml:space="preserve">the </w:t>
      </w:r>
      <w:r w:rsidR="00F97782" w:rsidRPr="00F04A75">
        <w:t xml:space="preserve">RRMM </w:t>
      </w:r>
      <w:r w:rsidR="00FF6F76" w:rsidRPr="00F04A75">
        <w:t>setting</w:t>
      </w:r>
      <w:r w:rsidR="00F97782" w:rsidRPr="00F04A75">
        <w:t xml:space="preserve"> were double</w:t>
      </w:r>
      <w:r w:rsidR="00506A24" w:rsidRPr="00F04A75">
        <w:t>t</w:t>
      </w:r>
      <w:r w:rsidR="00F97782" w:rsidRPr="00F04A75">
        <w:t xml:space="preserve"> therapies (</w:t>
      </w:r>
      <w:proofErr w:type="gramStart"/>
      <w:r w:rsidR="00F97782" w:rsidRPr="00F04A75">
        <w:t>i.e.</w:t>
      </w:r>
      <w:proofErr w:type="gramEnd"/>
      <w:r w:rsidR="00F97782" w:rsidRPr="00F04A75">
        <w:t xml:space="preserve"> Bd, </w:t>
      </w:r>
      <w:proofErr w:type="spellStart"/>
      <w:r w:rsidR="00F97782" w:rsidRPr="00F04A75">
        <w:t>Ld</w:t>
      </w:r>
      <w:proofErr w:type="spellEnd"/>
      <w:r w:rsidR="00F97782" w:rsidRPr="00F04A75">
        <w:t xml:space="preserve">, and Pd). The resubmission stated the expenditure caps for carfilzomib were intended to solely reflect Cd specific use and as such, represented a subset of the overall RRMM </w:t>
      </w:r>
      <w:r w:rsidR="00A86861" w:rsidRPr="00F04A75">
        <w:t>treatment algorithm (</w:t>
      </w:r>
      <w:r w:rsidR="00F97782" w:rsidRPr="00F04A75">
        <w:t xml:space="preserve">replacing Bd and to a lesser extent </w:t>
      </w:r>
      <w:proofErr w:type="spellStart"/>
      <w:r w:rsidR="00F97782" w:rsidRPr="00F04A75">
        <w:t>Ld</w:t>
      </w:r>
      <w:proofErr w:type="spellEnd"/>
      <w:r w:rsidR="00A86861" w:rsidRPr="00F04A75">
        <w:t xml:space="preserve">) and it was </w:t>
      </w:r>
      <w:r w:rsidR="00F97782" w:rsidRPr="00F04A75">
        <w:t>assum</w:t>
      </w:r>
      <w:r w:rsidR="00A86861" w:rsidRPr="00F04A75">
        <w:t xml:space="preserve">ed that </w:t>
      </w:r>
      <w:r w:rsidR="00F97782" w:rsidRPr="00F04A75">
        <w:t xml:space="preserve">separate expenditure caps </w:t>
      </w:r>
      <w:r w:rsidR="00A86861" w:rsidRPr="00F04A75">
        <w:t xml:space="preserve">would be recommended </w:t>
      </w:r>
      <w:r w:rsidR="00F97782" w:rsidRPr="00F04A75">
        <w:t xml:space="preserve">for separate therapies. </w:t>
      </w:r>
      <w:r w:rsidR="00A86861" w:rsidRPr="00F04A75">
        <w:t xml:space="preserve">Since then, the PBAC has recommended that </w:t>
      </w:r>
      <w:proofErr w:type="spellStart"/>
      <w:r w:rsidR="00A86861" w:rsidRPr="00F04A75">
        <w:t>PBd</w:t>
      </w:r>
      <w:proofErr w:type="spellEnd"/>
      <w:r w:rsidR="00A86861" w:rsidRPr="00F04A75">
        <w:t xml:space="preserve"> and </w:t>
      </w:r>
      <w:proofErr w:type="spellStart"/>
      <w:r w:rsidR="00A86861" w:rsidRPr="00F04A75">
        <w:t>ELd</w:t>
      </w:r>
      <w:proofErr w:type="spellEnd"/>
      <w:r w:rsidR="00A86861" w:rsidRPr="00F04A75">
        <w:t xml:space="preserve"> join the carfilzomib RSA </w:t>
      </w:r>
      <w:r w:rsidR="00F97782" w:rsidRPr="00F04A75">
        <w:t xml:space="preserve">(paragraph 5.34, pomalidomide PSD, November 2019; paragraph 5.31, </w:t>
      </w:r>
      <w:proofErr w:type="spellStart"/>
      <w:r w:rsidR="00F97782" w:rsidRPr="00F04A75">
        <w:t>elotuzumab</w:t>
      </w:r>
      <w:proofErr w:type="spellEnd"/>
      <w:r w:rsidR="00F97782" w:rsidRPr="00F04A75">
        <w:t xml:space="preserve"> PSD, July 2021). </w:t>
      </w:r>
      <w:r w:rsidR="00F3756A" w:rsidRPr="00F04A75">
        <w:t xml:space="preserve">The PSCR (p3) noted that this assumes that the triplet therapies will only replace Cd, which will not be the case as </w:t>
      </w:r>
      <w:proofErr w:type="spellStart"/>
      <w:r w:rsidR="00F3756A" w:rsidRPr="00F04A75">
        <w:t>ELd</w:t>
      </w:r>
      <w:proofErr w:type="spellEnd"/>
      <w:r w:rsidR="00F3756A" w:rsidRPr="00F04A75">
        <w:t xml:space="preserve"> will likely replace some </w:t>
      </w:r>
      <w:proofErr w:type="spellStart"/>
      <w:r w:rsidR="00F3756A" w:rsidRPr="00F04A75">
        <w:t>Ld</w:t>
      </w:r>
      <w:proofErr w:type="spellEnd"/>
      <w:r w:rsidR="00F3756A" w:rsidRPr="00F04A75">
        <w:t xml:space="preserve"> use and </w:t>
      </w:r>
      <w:proofErr w:type="spellStart"/>
      <w:r w:rsidR="00F3756A" w:rsidRPr="00F04A75">
        <w:t>PBd</w:t>
      </w:r>
      <w:proofErr w:type="spellEnd"/>
      <w:r w:rsidR="00F3756A" w:rsidRPr="00F04A75">
        <w:t xml:space="preserve"> will likely replace some Bd use. </w:t>
      </w:r>
    </w:p>
    <w:p w14:paraId="3EF87D37" w14:textId="1EE06E24" w:rsidR="00A86861" w:rsidRPr="00F04A75" w:rsidRDefault="00F97782" w:rsidP="0016658B">
      <w:pPr>
        <w:pStyle w:val="ListParagraph"/>
        <w:numPr>
          <w:ilvl w:val="1"/>
          <w:numId w:val="1"/>
        </w:numPr>
      </w:pPr>
      <w:r w:rsidRPr="00F04A75">
        <w:t xml:space="preserve">The resubmission stated </w:t>
      </w:r>
      <w:r w:rsidR="003A42FC" w:rsidRPr="00F04A75">
        <w:t xml:space="preserve">that </w:t>
      </w:r>
      <w:r w:rsidR="00FF6F76" w:rsidRPr="00F04A75">
        <w:t xml:space="preserve">the use of Cd has been as high as approximately </w:t>
      </w:r>
      <w:r w:rsidR="000960C3" w:rsidRPr="002941CE">
        <w:rPr>
          <w:color w:val="000000"/>
          <w:spacing w:val="19"/>
          <w:w w:val="42"/>
          <w:shd w:val="solid" w:color="000000" w:fill="000000"/>
          <w:fitText w:val="460" w:id="-1506043390"/>
          <w14:textFill>
            <w14:solidFill>
              <w14:srgbClr w14:val="000000">
                <w14:alpha w14:val="100000"/>
              </w14:srgbClr>
            </w14:solidFill>
          </w14:textFill>
        </w:rPr>
        <w:t>||</w:t>
      </w:r>
      <w:proofErr w:type="gramStart"/>
      <w:r w:rsidR="000960C3" w:rsidRPr="002941CE">
        <w:rPr>
          <w:color w:val="000000"/>
          <w:spacing w:val="19"/>
          <w:w w:val="42"/>
          <w:shd w:val="solid" w:color="000000" w:fill="000000"/>
          <w:fitText w:val="460" w:id="-1506043390"/>
          <w14:textFill>
            <w14:solidFill>
              <w14:srgbClr w14:val="000000">
                <w14:alpha w14:val="100000"/>
              </w14:srgbClr>
            </w14:solidFill>
          </w14:textFill>
        </w:rPr>
        <w:t>|  |</w:t>
      </w:r>
      <w:proofErr w:type="gramEnd"/>
      <w:r w:rsidR="000960C3" w:rsidRPr="002941CE">
        <w:rPr>
          <w:color w:val="000000"/>
          <w:spacing w:val="19"/>
          <w:w w:val="42"/>
          <w:shd w:val="solid" w:color="000000" w:fill="000000"/>
          <w:fitText w:val="460" w:id="-1506043390"/>
          <w14:textFill>
            <w14:solidFill>
              <w14:srgbClr w14:val="000000">
                <w14:alpha w14:val="100000"/>
              </w14:srgbClr>
            </w14:solidFill>
          </w14:textFill>
        </w:rPr>
        <w:t>|</w:t>
      </w:r>
      <w:r w:rsidR="000960C3" w:rsidRPr="002941CE">
        <w:rPr>
          <w:color w:val="000000"/>
          <w:spacing w:val="4"/>
          <w:w w:val="42"/>
          <w:shd w:val="solid" w:color="000000" w:fill="000000"/>
          <w:fitText w:val="460" w:id="-1506043390"/>
          <w14:textFill>
            <w14:solidFill>
              <w14:srgbClr w14:val="000000">
                <w14:alpha w14:val="100000"/>
              </w14:srgbClr>
            </w14:solidFill>
          </w14:textFill>
        </w:rPr>
        <w:t>|</w:t>
      </w:r>
      <w:r w:rsidR="00FF6F76" w:rsidRPr="00F04A75">
        <w:t xml:space="preserve">% of the expenditure cap </w:t>
      </w:r>
      <w:r w:rsidR="00A86861" w:rsidRPr="00F04A75">
        <w:t xml:space="preserve">– see Table </w:t>
      </w:r>
      <w:r w:rsidR="00813BD7" w:rsidRPr="00F04A75">
        <w:t>2</w:t>
      </w:r>
      <w:r w:rsidR="00C8791A">
        <w:t>5</w:t>
      </w:r>
      <w:r w:rsidRPr="00F04A75">
        <w:t xml:space="preserve">. </w:t>
      </w:r>
    </w:p>
    <w:p w14:paraId="5DE87188" w14:textId="30A02A0C" w:rsidR="00A56D20" w:rsidRPr="00F04A75" w:rsidRDefault="00A56D20" w:rsidP="00523710">
      <w:pPr>
        <w:pStyle w:val="Caption"/>
        <w:spacing w:after="0"/>
        <w:rPr>
          <w:rFonts w:ascii="Arial Narrow" w:hAnsi="Arial Narrow"/>
          <w:color w:val="auto"/>
          <w:sz w:val="20"/>
          <w:szCs w:val="20"/>
        </w:rPr>
      </w:pPr>
      <w:r w:rsidRPr="00F04A75">
        <w:rPr>
          <w:rFonts w:ascii="Arial Narrow" w:hAnsi="Arial Narrow"/>
          <w:color w:val="auto"/>
          <w:sz w:val="20"/>
          <w:szCs w:val="20"/>
        </w:rPr>
        <w:t xml:space="preserve">Table </w:t>
      </w:r>
      <w:r w:rsidR="00813BD7" w:rsidRPr="00F04A75">
        <w:rPr>
          <w:rFonts w:ascii="Arial Narrow" w:hAnsi="Arial Narrow"/>
          <w:color w:val="auto"/>
          <w:sz w:val="20"/>
          <w:szCs w:val="20"/>
        </w:rPr>
        <w:t>2</w:t>
      </w:r>
      <w:r w:rsidR="00C8791A">
        <w:rPr>
          <w:rFonts w:ascii="Arial Narrow" w:hAnsi="Arial Narrow"/>
          <w:color w:val="auto"/>
          <w:sz w:val="20"/>
          <w:szCs w:val="20"/>
        </w:rPr>
        <w:t>5</w:t>
      </w:r>
      <w:r w:rsidR="00523710" w:rsidRPr="00F04A75">
        <w:rPr>
          <w:rFonts w:ascii="Arial Narrow" w:hAnsi="Arial Narrow"/>
          <w:color w:val="auto"/>
          <w:sz w:val="20"/>
          <w:szCs w:val="20"/>
        </w:rPr>
        <w:t>: Carfilzomib expenditure caps and net PBS/RPBS benefits</w:t>
      </w:r>
    </w:p>
    <w:tbl>
      <w:tblPr>
        <w:tblStyle w:val="TableGridLigh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1313"/>
        <w:gridCol w:w="1315"/>
        <w:gridCol w:w="1313"/>
        <w:gridCol w:w="1315"/>
        <w:gridCol w:w="1313"/>
      </w:tblGrid>
      <w:tr w:rsidR="00523710" w:rsidRPr="00F04A75" w14:paraId="0845C053" w14:textId="77777777" w:rsidTr="00B26A7F">
        <w:trPr>
          <w:cnfStyle w:val="100000000000" w:firstRow="1" w:lastRow="0" w:firstColumn="0" w:lastColumn="0" w:oddVBand="0" w:evenVBand="0" w:oddHBand="0" w:evenHBand="0" w:firstRowFirstColumn="0" w:firstRowLastColumn="0" w:lastRowFirstColumn="0" w:lastRowLastColumn="0"/>
          <w:trHeight w:val="114"/>
        </w:trPr>
        <w:tc>
          <w:tcPr>
            <w:tcW w:w="1357" w:type="pct"/>
            <w:shd w:val="clear" w:color="auto" w:fill="auto"/>
            <w:noWrap/>
            <w:hideMark/>
          </w:tcPr>
          <w:p w14:paraId="39586458" w14:textId="77777777" w:rsidR="00523710" w:rsidRPr="00F04A75" w:rsidRDefault="00523710" w:rsidP="00B26A7F">
            <w:pPr>
              <w:rPr>
                <w:rFonts w:ascii="Arial Narrow" w:hAnsi="Arial Narrow"/>
                <w:b/>
                <w:sz w:val="20"/>
                <w:szCs w:val="20"/>
                <w:lang w:val="en-AU"/>
              </w:rPr>
            </w:pPr>
          </w:p>
        </w:tc>
        <w:tc>
          <w:tcPr>
            <w:tcW w:w="728" w:type="pct"/>
            <w:shd w:val="clear" w:color="auto" w:fill="auto"/>
            <w:noWrap/>
            <w:hideMark/>
          </w:tcPr>
          <w:p w14:paraId="0F0E5A11" w14:textId="77777777" w:rsidR="00523710" w:rsidRPr="00F04A75" w:rsidRDefault="00523710" w:rsidP="00B26A7F">
            <w:pPr>
              <w:jc w:val="center"/>
              <w:rPr>
                <w:rFonts w:ascii="Arial Narrow" w:hAnsi="Arial Narrow" w:cstheme="minorHAnsi"/>
                <w:b/>
                <w:bCs/>
                <w:sz w:val="20"/>
                <w:szCs w:val="20"/>
                <w:lang w:val="en-AU" w:eastAsia="en-AU"/>
              </w:rPr>
            </w:pPr>
            <w:r w:rsidRPr="00F04A75">
              <w:rPr>
                <w:rFonts w:ascii="Arial Narrow" w:hAnsi="Arial Narrow" w:cstheme="minorHAnsi"/>
                <w:b/>
                <w:bCs/>
                <w:sz w:val="20"/>
                <w:szCs w:val="20"/>
                <w:lang w:val="en-AU"/>
              </w:rPr>
              <w:t>2018</w:t>
            </w:r>
          </w:p>
        </w:tc>
        <w:tc>
          <w:tcPr>
            <w:tcW w:w="729" w:type="pct"/>
            <w:shd w:val="clear" w:color="auto" w:fill="auto"/>
            <w:noWrap/>
            <w:hideMark/>
          </w:tcPr>
          <w:p w14:paraId="34A1E657" w14:textId="77777777" w:rsidR="00523710" w:rsidRPr="00F04A75" w:rsidRDefault="00523710" w:rsidP="00B26A7F">
            <w:pPr>
              <w:jc w:val="center"/>
              <w:rPr>
                <w:rFonts w:ascii="Arial Narrow" w:hAnsi="Arial Narrow" w:cstheme="minorHAnsi"/>
                <w:b/>
                <w:bCs/>
                <w:sz w:val="20"/>
                <w:szCs w:val="20"/>
                <w:lang w:val="en-AU"/>
              </w:rPr>
            </w:pPr>
            <w:r w:rsidRPr="00F04A75">
              <w:rPr>
                <w:rFonts w:ascii="Arial Narrow" w:hAnsi="Arial Narrow" w:cstheme="minorHAnsi"/>
                <w:b/>
                <w:bCs/>
                <w:sz w:val="20"/>
                <w:szCs w:val="20"/>
                <w:lang w:val="en-AU"/>
              </w:rPr>
              <w:t>2019</w:t>
            </w:r>
          </w:p>
        </w:tc>
        <w:tc>
          <w:tcPr>
            <w:tcW w:w="728" w:type="pct"/>
            <w:shd w:val="clear" w:color="auto" w:fill="auto"/>
            <w:noWrap/>
            <w:hideMark/>
          </w:tcPr>
          <w:p w14:paraId="420E58DE" w14:textId="77777777" w:rsidR="00523710" w:rsidRPr="00F04A75" w:rsidRDefault="00523710" w:rsidP="00B26A7F">
            <w:pPr>
              <w:jc w:val="center"/>
              <w:rPr>
                <w:rFonts w:ascii="Arial Narrow" w:hAnsi="Arial Narrow" w:cstheme="minorHAnsi"/>
                <w:b/>
                <w:bCs/>
                <w:sz w:val="20"/>
                <w:szCs w:val="20"/>
                <w:lang w:val="en-AU"/>
              </w:rPr>
            </w:pPr>
            <w:r w:rsidRPr="00F04A75">
              <w:rPr>
                <w:rFonts w:ascii="Arial Narrow" w:hAnsi="Arial Narrow" w:cstheme="minorHAnsi"/>
                <w:b/>
                <w:bCs/>
                <w:sz w:val="20"/>
                <w:szCs w:val="20"/>
                <w:lang w:val="en-AU"/>
              </w:rPr>
              <w:t>2020</w:t>
            </w:r>
          </w:p>
        </w:tc>
        <w:tc>
          <w:tcPr>
            <w:tcW w:w="729" w:type="pct"/>
            <w:shd w:val="clear" w:color="auto" w:fill="auto"/>
            <w:noWrap/>
            <w:hideMark/>
          </w:tcPr>
          <w:p w14:paraId="3B741E81" w14:textId="77777777" w:rsidR="00523710" w:rsidRPr="00F04A75" w:rsidRDefault="00523710" w:rsidP="00B26A7F">
            <w:pPr>
              <w:jc w:val="center"/>
              <w:rPr>
                <w:rFonts w:ascii="Arial Narrow" w:hAnsi="Arial Narrow" w:cstheme="minorHAnsi"/>
                <w:b/>
                <w:bCs/>
                <w:sz w:val="20"/>
                <w:szCs w:val="20"/>
                <w:lang w:val="en-AU"/>
              </w:rPr>
            </w:pPr>
            <w:r w:rsidRPr="00F04A75">
              <w:rPr>
                <w:rFonts w:ascii="Arial Narrow" w:hAnsi="Arial Narrow" w:cstheme="minorHAnsi"/>
                <w:b/>
                <w:bCs/>
                <w:sz w:val="20"/>
                <w:szCs w:val="20"/>
                <w:lang w:val="en-AU"/>
              </w:rPr>
              <w:t>2021</w:t>
            </w:r>
          </w:p>
        </w:tc>
        <w:tc>
          <w:tcPr>
            <w:tcW w:w="728" w:type="pct"/>
            <w:shd w:val="clear" w:color="auto" w:fill="auto"/>
            <w:noWrap/>
            <w:hideMark/>
          </w:tcPr>
          <w:p w14:paraId="70C31D3E" w14:textId="77777777" w:rsidR="00523710" w:rsidRPr="00F04A75" w:rsidRDefault="00523710" w:rsidP="00B26A7F">
            <w:pPr>
              <w:jc w:val="center"/>
              <w:rPr>
                <w:rFonts w:ascii="Arial Narrow" w:hAnsi="Arial Narrow" w:cstheme="minorHAnsi"/>
                <w:b/>
                <w:bCs/>
                <w:sz w:val="20"/>
                <w:szCs w:val="20"/>
                <w:lang w:val="en-AU"/>
              </w:rPr>
            </w:pPr>
            <w:r w:rsidRPr="00F04A75">
              <w:rPr>
                <w:rFonts w:ascii="Arial Narrow" w:hAnsi="Arial Narrow" w:cstheme="minorHAnsi"/>
                <w:b/>
                <w:bCs/>
                <w:sz w:val="20"/>
                <w:szCs w:val="20"/>
                <w:lang w:val="en-AU"/>
              </w:rPr>
              <w:t>2022</w:t>
            </w:r>
          </w:p>
        </w:tc>
      </w:tr>
      <w:tr w:rsidR="00523710" w:rsidRPr="00F04A75" w14:paraId="33F3811A" w14:textId="77777777" w:rsidTr="00B26A7F">
        <w:trPr>
          <w:trHeight w:val="60"/>
        </w:trPr>
        <w:tc>
          <w:tcPr>
            <w:tcW w:w="1357" w:type="pct"/>
            <w:shd w:val="clear" w:color="auto" w:fill="auto"/>
            <w:noWrap/>
            <w:hideMark/>
          </w:tcPr>
          <w:p w14:paraId="76EFD9BC" w14:textId="54CC6B65" w:rsidR="00523710" w:rsidRPr="00F04A75" w:rsidRDefault="00523710" w:rsidP="00B26A7F">
            <w:pPr>
              <w:rPr>
                <w:rFonts w:ascii="Arial Narrow" w:hAnsi="Arial Narrow" w:cstheme="minorHAnsi"/>
                <w:b/>
                <w:bCs/>
                <w:sz w:val="20"/>
                <w:szCs w:val="20"/>
                <w:lang w:val="en-AU"/>
              </w:rPr>
            </w:pPr>
            <w:r w:rsidRPr="00F04A75">
              <w:rPr>
                <w:rFonts w:ascii="Arial Narrow" w:hAnsi="Arial Narrow" w:cstheme="minorHAnsi"/>
                <w:b/>
                <w:bCs/>
                <w:sz w:val="20"/>
                <w:szCs w:val="20"/>
                <w:lang w:val="en-AU"/>
              </w:rPr>
              <w:t>Expenditure Caps</w:t>
            </w:r>
            <w:r w:rsidR="0008572C">
              <w:rPr>
                <w:rFonts w:ascii="Arial Narrow" w:hAnsi="Arial Narrow" w:cstheme="minorHAnsi"/>
                <w:b/>
                <w:bCs/>
                <w:sz w:val="20"/>
                <w:szCs w:val="20"/>
                <w:lang w:val="en-AU"/>
              </w:rPr>
              <w:t xml:space="preserve"> ($)</w:t>
            </w:r>
          </w:p>
        </w:tc>
        <w:tc>
          <w:tcPr>
            <w:tcW w:w="728" w:type="pct"/>
            <w:shd w:val="clear" w:color="auto" w:fill="auto"/>
            <w:noWrap/>
            <w:hideMark/>
          </w:tcPr>
          <w:p w14:paraId="6A80FA3B" w14:textId="76B74737" w:rsidR="00523710" w:rsidRPr="0008572C" w:rsidRDefault="000960C3" w:rsidP="00B26A7F">
            <w:pPr>
              <w:jc w:val="center"/>
              <w:rPr>
                <w:rFonts w:ascii="Arial Narrow" w:hAnsi="Arial Narrow" w:cstheme="minorHAnsi"/>
                <w:b/>
                <w:bCs/>
                <w:sz w:val="20"/>
                <w:szCs w:val="20"/>
                <w:highlight w:val="yellow"/>
                <w:vertAlign w:val="superscript"/>
                <w:lang w:val="en-AU"/>
              </w:rPr>
            </w:pPr>
            <w:r w:rsidRPr="000960C3">
              <w:rPr>
                <w:rFonts w:ascii="Arial Narrow" w:hAnsi="Arial Narrow" w:cstheme="minorHAnsi" w:hint="eastAsia"/>
                <w:b/>
                <w:bCs/>
                <w:color w:val="000000"/>
                <w:w w:val="15"/>
                <w:sz w:val="20"/>
                <w:szCs w:val="20"/>
                <w:shd w:val="solid" w:color="000000" w:fill="000000"/>
                <w:fitText w:val="60" w:id="-1506043389"/>
                <w:lang w:val="en-AU"/>
                <w14:textFill>
                  <w14:solidFill>
                    <w14:srgbClr w14:val="000000">
                      <w14:alpha w14:val="100000"/>
                    </w14:srgbClr>
                  </w14:solidFill>
                </w14:textFill>
              </w:rPr>
              <w:t xml:space="preserve">　</w:t>
            </w:r>
            <w:r w:rsidRPr="000960C3">
              <w:rPr>
                <w:rFonts w:ascii="Arial Narrow" w:hAnsi="Arial Narrow" w:cstheme="minorHAnsi"/>
                <w:b/>
                <w:bCs/>
                <w:color w:val="000000"/>
                <w:w w:val="15"/>
                <w:sz w:val="20"/>
                <w:szCs w:val="20"/>
                <w:shd w:val="solid" w:color="000000" w:fill="000000"/>
                <w:fitText w:val="60" w:id="-1506043389"/>
                <w:lang w:val="en-AU"/>
                <w14:textFill>
                  <w14:solidFill>
                    <w14:srgbClr w14:val="000000">
                      <w14:alpha w14:val="100000"/>
                    </w14:srgbClr>
                  </w14:solidFill>
                </w14:textFill>
              </w:rPr>
              <w:t>|</w:t>
            </w:r>
            <w:r w:rsidRPr="000960C3">
              <w:rPr>
                <w:rFonts w:ascii="Arial Narrow" w:hAnsi="Arial Narrow" w:cstheme="minorHAnsi" w:hint="eastAsia"/>
                <w:b/>
                <w:bCs/>
                <w:color w:val="000000"/>
                <w:spacing w:val="-6"/>
                <w:w w:val="15"/>
                <w:sz w:val="20"/>
                <w:szCs w:val="20"/>
                <w:shd w:val="solid" w:color="000000" w:fill="000000"/>
                <w:fitText w:val="60" w:id="-1506043389"/>
                <w:lang w:val="en-AU"/>
                <w14:textFill>
                  <w14:solidFill>
                    <w14:srgbClr w14:val="000000">
                      <w14:alpha w14:val="100000"/>
                    </w14:srgbClr>
                  </w14:solidFill>
                </w14:textFill>
              </w:rPr>
              <w:t xml:space="preserve">　</w:t>
            </w:r>
            <w:r w:rsidR="0008572C" w:rsidRPr="0008572C">
              <w:rPr>
                <w:rFonts w:ascii="Arial Narrow" w:hAnsi="Arial Narrow" w:cstheme="minorHAnsi"/>
                <w:b/>
                <w:bCs/>
                <w:sz w:val="20"/>
                <w:szCs w:val="20"/>
                <w:vertAlign w:val="superscript"/>
                <w:lang w:val="en-AU"/>
              </w:rPr>
              <w:t>1</w:t>
            </w:r>
          </w:p>
        </w:tc>
        <w:tc>
          <w:tcPr>
            <w:tcW w:w="729" w:type="pct"/>
            <w:shd w:val="clear" w:color="auto" w:fill="auto"/>
            <w:noWrap/>
            <w:hideMark/>
          </w:tcPr>
          <w:p w14:paraId="710C89DD" w14:textId="3FD65265" w:rsidR="00523710" w:rsidRPr="0008572C" w:rsidRDefault="000960C3" w:rsidP="00B26A7F">
            <w:pPr>
              <w:jc w:val="center"/>
              <w:rPr>
                <w:rFonts w:ascii="Arial Narrow" w:hAnsi="Arial Narrow" w:cstheme="minorHAnsi"/>
                <w:b/>
                <w:bCs/>
                <w:sz w:val="20"/>
                <w:szCs w:val="20"/>
                <w:highlight w:val="yellow"/>
                <w:lang w:val="en-AU"/>
              </w:rPr>
            </w:pPr>
            <w:r w:rsidRPr="000960C3">
              <w:rPr>
                <w:rFonts w:ascii="Arial Narrow" w:hAnsi="Arial Narrow" w:cstheme="minorHAnsi" w:hint="eastAsia"/>
                <w:b/>
                <w:bCs/>
                <w:color w:val="000000"/>
                <w:w w:val="15"/>
                <w:sz w:val="20"/>
                <w:szCs w:val="20"/>
                <w:shd w:val="solid" w:color="000000" w:fill="000000"/>
                <w:fitText w:val="60" w:id="-1506043388"/>
                <w:lang w:val="en-AU"/>
                <w14:textFill>
                  <w14:solidFill>
                    <w14:srgbClr w14:val="000000">
                      <w14:alpha w14:val="100000"/>
                    </w14:srgbClr>
                  </w14:solidFill>
                </w14:textFill>
              </w:rPr>
              <w:t xml:space="preserve">　</w:t>
            </w:r>
            <w:r w:rsidRPr="000960C3">
              <w:rPr>
                <w:rFonts w:ascii="Arial Narrow" w:hAnsi="Arial Narrow" w:cstheme="minorHAnsi"/>
                <w:b/>
                <w:bCs/>
                <w:color w:val="000000"/>
                <w:w w:val="15"/>
                <w:sz w:val="20"/>
                <w:szCs w:val="20"/>
                <w:shd w:val="solid" w:color="000000" w:fill="000000"/>
                <w:fitText w:val="60" w:id="-1506043388"/>
                <w:lang w:val="en-AU"/>
                <w14:textFill>
                  <w14:solidFill>
                    <w14:srgbClr w14:val="000000">
                      <w14:alpha w14:val="100000"/>
                    </w14:srgbClr>
                  </w14:solidFill>
                </w14:textFill>
              </w:rPr>
              <w:t>|</w:t>
            </w:r>
            <w:r w:rsidRPr="000960C3">
              <w:rPr>
                <w:rFonts w:ascii="Arial Narrow" w:hAnsi="Arial Narrow" w:cstheme="minorHAnsi" w:hint="eastAsia"/>
                <w:b/>
                <w:bCs/>
                <w:color w:val="000000"/>
                <w:spacing w:val="-6"/>
                <w:w w:val="15"/>
                <w:sz w:val="20"/>
                <w:szCs w:val="20"/>
                <w:shd w:val="solid" w:color="000000" w:fill="000000"/>
                <w:fitText w:val="60" w:id="-1506043388"/>
                <w:lang w:val="en-AU"/>
                <w14:textFill>
                  <w14:solidFill>
                    <w14:srgbClr w14:val="000000">
                      <w14:alpha w14:val="100000"/>
                    </w14:srgbClr>
                  </w14:solidFill>
                </w14:textFill>
              </w:rPr>
              <w:t xml:space="preserve">　</w:t>
            </w:r>
            <w:r w:rsidR="0008572C" w:rsidRPr="0008572C">
              <w:rPr>
                <w:rFonts w:ascii="Arial Narrow" w:hAnsi="Arial Narrow" w:cstheme="minorHAnsi"/>
                <w:b/>
                <w:bCs/>
                <w:sz w:val="20"/>
                <w:szCs w:val="20"/>
                <w:vertAlign w:val="superscript"/>
                <w:lang w:val="en-AU"/>
              </w:rPr>
              <w:t>1</w:t>
            </w:r>
          </w:p>
        </w:tc>
        <w:tc>
          <w:tcPr>
            <w:tcW w:w="728" w:type="pct"/>
            <w:shd w:val="clear" w:color="auto" w:fill="auto"/>
            <w:noWrap/>
            <w:hideMark/>
          </w:tcPr>
          <w:p w14:paraId="0911DAB9" w14:textId="28F54200" w:rsidR="00523710" w:rsidRPr="0008572C" w:rsidRDefault="000960C3" w:rsidP="00B26A7F">
            <w:pPr>
              <w:jc w:val="center"/>
              <w:rPr>
                <w:rFonts w:ascii="Arial Narrow" w:hAnsi="Arial Narrow" w:cstheme="minorHAnsi"/>
                <w:b/>
                <w:bCs/>
                <w:sz w:val="20"/>
                <w:szCs w:val="20"/>
                <w:highlight w:val="yellow"/>
                <w:lang w:val="en-AU"/>
              </w:rPr>
            </w:pPr>
            <w:r w:rsidRPr="000960C3">
              <w:rPr>
                <w:rFonts w:ascii="Arial Narrow" w:hAnsi="Arial Narrow" w:cstheme="minorHAnsi" w:hint="eastAsia"/>
                <w:b/>
                <w:bCs/>
                <w:color w:val="000000"/>
                <w:w w:val="15"/>
                <w:sz w:val="20"/>
                <w:szCs w:val="20"/>
                <w:shd w:val="solid" w:color="000000" w:fill="000000"/>
                <w:fitText w:val="60" w:id="-1506043387"/>
                <w:lang w:val="en-AU"/>
                <w14:textFill>
                  <w14:solidFill>
                    <w14:srgbClr w14:val="000000">
                      <w14:alpha w14:val="100000"/>
                    </w14:srgbClr>
                  </w14:solidFill>
                </w14:textFill>
              </w:rPr>
              <w:t xml:space="preserve">　</w:t>
            </w:r>
            <w:r w:rsidRPr="000960C3">
              <w:rPr>
                <w:rFonts w:ascii="Arial Narrow" w:hAnsi="Arial Narrow" w:cstheme="minorHAnsi"/>
                <w:b/>
                <w:bCs/>
                <w:color w:val="000000"/>
                <w:w w:val="15"/>
                <w:sz w:val="20"/>
                <w:szCs w:val="20"/>
                <w:shd w:val="solid" w:color="000000" w:fill="000000"/>
                <w:fitText w:val="60" w:id="-1506043387"/>
                <w:lang w:val="en-AU"/>
                <w14:textFill>
                  <w14:solidFill>
                    <w14:srgbClr w14:val="000000">
                      <w14:alpha w14:val="100000"/>
                    </w14:srgbClr>
                  </w14:solidFill>
                </w14:textFill>
              </w:rPr>
              <w:t>|</w:t>
            </w:r>
            <w:r w:rsidRPr="000960C3">
              <w:rPr>
                <w:rFonts w:ascii="Arial Narrow" w:hAnsi="Arial Narrow" w:cstheme="minorHAnsi" w:hint="eastAsia"/>
                <w:b/>
                <w:bCs/>
                <w:color w:val="000000"/>
                <w:spacing w:val="-6"/>
                <w:w w:val="15"/>
                <w:sz w:val="20"/>
                <w:szCs w:val="20"/>
                <w:shd w:val="solid" w:color="000000" w:fill="000000"/>
                <w:fitText w:val="60" w:id="-1506043387"/>
                <w:lang w:val="en-AU"/>
                <w14:textFill>
                  <w14:solidFill>
                    <w14:srgbClr w14:val="000000">
                      <w14:alpha w14:val="100000"/>
                    </w14:srgbClr>
                  </w14:solidFill>
                </w14:textFill>
              </w:rPr>
              <w:t xml:space="preserve">　</w:t>
            </w:r>
            <w:r w:rsidR="0008572C" w:rsidRPr="0008572C">
              <w:rPr>
                <w:rFonts w:ascii="Arial Narrow" w:hAnsi="Arial Narrow" w:cstheme="minorHAnsi"/>
                <w:b/>
                <w:bCs/>
                <w:sz w:val="20"/>
                <w:szCs w:val="20"/>
                <w:vertAlign w:val="superscript"/>
                <w:lang w:val="en-AU"/>
              </w:rPr>
              <w:t>1</w:t>
            </w:r>
          </w:p>
        </w:tc>
        <w:tc>
          <w:tcPr>
            <w:tcW w:w="729" w:type="pct"/>
            <w:shd w:val="clear" w:color="auto" w:fill="auto"/>
            <w:noWrap/>
            <w:hideMark/>
          </w:tcPr>
          <w:p w14:paraId="0D00B35E" w14:textId="5B6CF32A" w:rsidR="00523710" w:rsidRPr="0008572C" w:rsidRDefault="000960C3" w:rsidP="00B26A7F">
            <w:pPr>
              <w:jc w:val="center"/>
              <w:rPr>
                <w:rFonts w:ascii="Arial Narrow" w:hAnsi="Arial Narrow" w:cstheme="minorHAnsi"/>
                <w:b/>
                <w:bCs/>
                <w:sz w:val="20"/>
                <w:szCs w:val="20"/>
                <w:highlight w:val="yellow"/>
                <w:lang w:val="en-AU"/>
              </w:rPr>
            </w:pPr>
            <w:r w:rsidRPr="000960C3">
              <w:rPr>
                <w:rFonts w:ascii="Arial Narrow" w:hAnsi="Arial Narrow" w:cstheme="minorHAnsi" w:hint="eastAsia"/>
                <w:b/>
                <w:bCs/>
                <w:color w:val="000000"/>
                <w:w w:val="15"/>
                <w:sz w:val="20"/>
                <w:szCs w:val="20"/>
                <w:shd w:val="solid" w:color="000000" w:fill="000000"/>
                <w:fitText w:val="60" w:id="-1506043386"/>
                <w:lang w:val="en-AU"/>
                <w14:textFill>
                  <w14:solidFill>
                    <w14:srgbClr w14:val="000000">
                      <w14:alpha w14:val="100000"/>
                    </w14:srgbClr>
                  </w14:solidFill>
                </w14:textFill>
              </w:rPr>
              <w:t xml:space="preserve">　</w:t>
            </w:r>
            <w:r w:rsidRPr="000960C3">
              <w:rPr>
                <w:rFonts w:ascii="Arial Narrow" w:hAnsi="Arial Narrow" w:cstheme="minorHAnsi"/>
                <w:b/>
                <w:bCs/>
                <w:color w:val="000000"/>
                <w:w w:val="15"/>
                <w:sz w:val="20"/>
                <w:szCs w:val="20"/>
                <w:shd w:val="solid" w:color="000000" w:fill="000000"/>
                <w:fitText w:val="60" w:id="-1506043386"/>
                <w:lang w:val="en-AU"/>
                <w14:textFill>
                  <w14:solidFill>
                    <w14:srgbClr w14:val="000000">
                      <w14:alpha w14:val="100000"/>
                    </w14:srgbClr>
                  </w14:solidFill>
                </w14:textFill>
              </w:rPr>
              <w:t>|</w:t>
            </w:r>
            <w:r w:rsidRPr="000960C3">
              <w:rPr>
                <w:rFonts w:ascii="Arial Narrow" w:hAnsi="Arial Narrow" w:cstheme="minorHAnsi" w:hint="eastAsia"/>
                <w:b/>
                <w:bCs/>
                <w:color w:val="000000"/>
                <w:spacing w:val="-6"/>
                <w:w w:val="15"/>
                <w:sz w:val="20"/>
                <w:szCs w:val="20"/>
                <w:shd w:val="solid" w:color="000000" w:fill="000000"/>
                <w:fitText w:val="60" w:id="-1506043386"/>
                <w:lang w:val="en-AU"/>
                <w14:textFill>
                  <w14:solidFill>
                    <w14:srgbClr w14:val="000000">
                      <w14:alpha w14:val="100000"/>
                    </w14:srgbClr>
                  </w14:solidFill>
                </w14:textFill>
              </w:rPr>
              <w:t xml:space="preserve">　</w:t>
            </w:r>
            <w:r w:rsidR="0008572C" w:rsidRPr="0008572C">
              <w:rPr>
                <w:rFonts w:ascii="Arial Narrow" w:hAnsi="Arial Narrow" w:cstheme="minorHAnsi"/>
                <w:b/>
                <w:bCs/>
                <w:sz w:val="20"/>
                <w:szCs w:val="20"/>
                <w:vertAlign w:val="superscript"/>
                <w:lang w:val="en-AU"/>
              </w:rPr>
              <w:t>1</w:t>
            </w:r>
          </w:p>
        </w:tc>
        <w:tc>
          <w:tcPr>
            <w:tcW w:w="728" w:type="pct"/>
            <w:shd w:val="clear" w:color="auto" w:fill="auto"/>
            <w:noWrap/>
            <w:hideMark/>
          </w:tcPr>
          <w:p w14:paraId="6EEDCD8D" w14:textId="3C3464C2" w:rsidR="00523710" w:rsidRPr="00F04A75" w:rsidRDefault="000960C3" w:rsidP="00B26A7F">
            <w:pPr>
              <w:jc w:val="center"/>
              <w:rPr>
                <w:rFonts w:ascii="Arial Narrow" w:hAnsi="Arial Narrow" w:cstheme="minorHAnsi"/>
                <w:b/>
                <w:bCs/>
                <w:sz w:val="20"/>
                <w:szCs w:val="20"/>
                <w:lang w:val="en-AU"/>
              </w:rPr>
            </w:pPr>
            <w:r w:rsidRPr="000960C3">
              <w:rPr>
                <w:rFonts w:ascii="Arial Narrow" w:hAnsi="Arial Narrow" w:cstheme="minorHAnsi" w:hint="eastAsia"/>
                <w:b/>
                <w:bCs/>
                <w:color w:val="000000"/>
                <w:w w:val="15"/>
                <w:sz w:val="20"/>
                <w:szCs w:val="20"/>
                <w:shd w:val="solid" w:color="000000" w:fill="000000"/>
                <w:fitText w:val="60" w:id="-1506043385"/>
                <w:lang w:val="en-AU"/>
                <w14:textFill>
                  <w14:solidFill>
                    <w14:srgbClr w14:val="000000">
                      <w14:alpha w14:val="100000"/>
                    </w14:srgbClr>
                  </w14:solidFill>
                </w14:textFill>
              </w:rPr>
              <w:t xml:space="preserve">　</w:t>
            </w:r>
            <w:r w:rsidRPr="000960C3">
              <w:rPr>
                <w:rFonts w:ascii="Arial Narrow" w:hAnsi="Arial Narrow" w:cstheme="minorHAnsi"/>
                <w:b/>
                <w:bCs/>
                <w:color w:val="000000"/>
                <w:w w:val="15"/>
                <w:sz w:val="20"/>
                <w:szCs w:val="20"/>
                <w:shd w:val="solid" w:color="000000" w:fill="000000"/>
                <w:fitText w:val="60" w:id="-1506043385"/>
                <w:lang w:val="en-AU"/>
                <w14:textFill>
                  <w14:solidFill>
                    <w14:srgbClr w14:val="000000">
                      <w14:alpha w14:val="100000"/>
                    </w14:srgbClr>
                  </w14:solidFill>
                </w14:textFill>
              </w:rPr>
              <w:t>|</w:t>
            </w:r>
            <w:r w:rsidRPr="000960C3">
              <w:rPr>
                <w:rFonts w:ascii="Arial Narrow" w:hAnsi="Arial Narrow" w:cstheme="minorHAnsi" w:hint="eastAsia"/>
                <w:b/>
                <w:bCs/>
                <w:color w:val="000000"/>
                <w:spacing w:val="-6"/>
                <w:w w:val="15"/>
                <w:sz w:val="20"/>
                <w:szCs w:val="20"/>
                <w:shd w:val="solid" w:color="000000" w:fill="000000"/>
                <w:fitText w:val="60" w:id="-1506043385"/>
                <w:lang w:val="en-AU"/>
                <w14:textFill>
                  <w14:solidFill>
                    <w14:srgbClr w14:val="000000">
                      <w14:alpha w14:val="100000"/>
                    </w14:srgbClr>
                  </w14:solidFill>
                </w14:textFill>
              </w:rPr>
              <w:t xml:space="preserve">　</w:t>
            </w:r>
            <w:r w:rsidR="0008572C" w:rsidRPr="0008572C">
              <w:rPr>
                <w:rFonts w:ascii="Arial Narrow" w:hAnsi="Arial Narrow" w:cstheme="minorHAnsi"/>
                <w:b/>
                <w:bCs/>
                <w:sz w:val="20"/>
                <w:szCs w:val="20"/>
                <w:vertAlign w:val="superscript"/>
                <w:lang w:val="en-AU"/>
              </w:rPr>
              <w:t>1</w:t>
            </w:r>
          </w:p>
        </w:tc>
      </w:tr>
      <w:tr w:rsidR="00523710" w:rsidRPr="00F04A75" w14:paraId="24327D2A" w14:textId="77777777" w:rsidTr="000960C3">
        <w:trPr>
          <w:trHeight w:val="60"/>
        </w:trPr>
        <w:tc>
          <w:tcPr>
            <w:tcW w:w="1357" w:type="pct"/>
            <w:shd w:val="clear" w:color="auto" w:fill="auto"/>
            <w:noWrap/>
            <w:hideMark/>
          </w:tcPr>
          <w:p w14:paraId="27D8203C" w14:textId="578A8098" w:rsidR="00523710" w:rsidRPr="00F04A75" w:rsidRDefault="00523710" w:rsidP="00B26A7F">
            <w:pPr>
              <w:rPr>
                <w:rFonts w:ascii="Arial Narrow" w:hAnsi="Arial Narrow" w:cstheme="minorHAnsi"/>
                <w:sz w:val="20"/>
                <w:szCs w:val="20"/>
                <w:lang w:val="en-AU"/>
              </w:rPr>
            </w:pPr>
            <w:r w:rsidRPr="00F04A75">
              <w:rPr>
                <w:rFonts w:ascii="Arial Narrow" w:hAnsi="Arial Narrow" w:cstheme="minorHAnsi"/>
                <w:sz w:val="20"/>
                <w:szCs w:val="20"/>
                <w:lang w:val="en-AU"/>
              </w:rPr>
              <w:t>Commonwealth Payments</w:t>
            </w:r>
            <w:r w:rsidR="0008572C">
              <w:rPr>
                <w:rFonts w:ascii="Arial Narrow" w:hAnsi="Arial Narrow" w:cstheme="minorHAnsi"/>
                <w:sz w:val="20"/>
                <w:szCs w:val="20"/>
                <w:lang w:val="en-AU"/>
              </w:rPr>
              <w:t xml:space="preserve"> ($)</w:t>
            </w:r>
          </w:p>
        </w:tc>
        <w:tc>
          <w:tcPr>
            <w:tcW w:w="728" w:type="pct"/>
            <w:tcBorders>
              <w:bottom w:val="single" w:sz="4" w:space="0" w:color="auto"/>
            </w:tcBorders>
            <w:shd w:val="clear" w:color="auto" w:fill="auto"/>
            <w:noWrap/>
            <w:hideMark/>
          </w:tcPr>
          <w:p w14:paraId="29596102" w14:textId="54FDD58C" w:rsidR="00523710" w:rsidRPr="0008572C" w:rsidRDefault="000960C3" w:rsidP="00B26A7F">
            <w:pPr>
              <w:jc w:val="center"/>
              <w:rPr>
                <w:rFonts w:ascii="Arial Narrow" w:hAnsi="Arial Narrow" w:cstheme="minorHAnsi"/>
                <w:sz w:val="20"/>
                <w:szCs w:val="20"/>
                <w:highlight w:val="yellow"/>
                <w:vertAlign w:val="superscript"/>
                <w:lang w:val="en-AU"/>
              </w:rPr>
            </w:pPr>
            <w:r w:rsidRPr="000960C3">
              <w:rPr>
                <w:rFonts w:ascii="Arial Narrow" w:hAnsi="Arial Narrow" w:cstheme="minorHAnsi" w:hint="eastAsia"/>
                <w:color w:val="000000"/>
                <w:w w:val="15"/>
                <w:sz w:val="20"/>
                <w:szCs w:val="20"/>
                <w:shd w:val="solid" w:color="000000" w:fill="000000"/>
                <w:fitText w:val="30" w:id="-1506043384"/>
                <w:lang w:val="en-AU"/>
                <w14:textFill>
                  <w14:solidFill>
                    <w14:srgbClr w14:val="000000">
                      <w14:alpha w14:val="100000"/>
                    </w14:srgbClr>
                  </w14:solidFill>
                </w14:textFill>
              </w:rPr>
              <w:t xml:space="preserve">　</w:t>
            </w:r>
            <w:r w:rsidRPr="000960C3">
              <w:rPr>
                <w:rFonts w:ascii="Arial Narrow" w:hAnsi="Arial Narrow" w:cstheme="minorHAnsi"/>
                <w:color w:val="000000"/>
                <w:w w:val="15"/>
                <w:sz w:val="20"/>
                <w:szCs w:val="20"/>
                <w:shd w:val="solid" w:color="000000" w:fill="000000"/>
                <w:fitText w:val="30" w:id="-1506043384"/>
                <w:lang w:val="en-AU"/>
                <w14:textFill>
                  <w14:solidFill>
                    <w14:srgbClr w14:val="000000">
                      <w14:alpha w14:val="100000"/>
                    </w14:srgbClr>
                  </w14:solidFill>
                </w14:textFill>
              </w:rPr>
              <w:t>|</w:t>
            </w:r>
            <w:r w:rsidRPr="000960C3">
              <w:rPr>
                <w:rFonts w:ascii="Arial Narrow" w:hAnsi="Arial Narrow" w:cstheme="minorHAnsi" w:hint="eastAsia"/>
                <w:color w:val="000000"/>
                <w:spacing w:val="-35"/>
                <w:w w:val="15"/>
                <w:sz w:val="20"/>
                <w:szCs w:val="20"/>
                <w:shd w:val="solid" w:color="000000" w:fill="000000"/>
                <w:fitText w:val="30" w:id="-1506043384"/>
                <w:lang w:val="en-AU"/>
                <w14:textFill>
                  <w14:solidFill>
                    <w14:srgbClr w14:val="000000">
                      <w14:alpha w14:val="100000"/>
                    </w14:srgbClr>
                  </w14:solidFill>
                </w14:textFill>
              </w:rPr>
              <w:t xml:space="preserve">　</w:t>
            </w:r>
            <w:r w:rsidR="0008572C" w:rsidRPr="0008572C">
              <w:rPr>
                <w:rFonts w:ascii="Arial Narrow" w:hAnsi="Arial Narrow" w:cstheme="minorHAnsi"/>
                <w:sz w:val="20"/>
                <w:szCs w:val="20"/>
                <w:vertAlign w:val="superscript"/>
                <w:lang w:val="en-AU"/>
              </w:rPr>
              <w:t>2</w:t>
            </w:r>
          </w:p>
        </w:tc>
        <w:tc>
          <w:tcPr>
            <w:tcW w:w="729" w:type="pct"/>
            <w:tcBorders>
              <w:bottom w:val="single" w:sz="4" w:space="0" w:color="auto"/>
            </w:tcBorders>
            <w:shd w:val="clear" w:color="auto" w:fill="auto"/>
            <w:noWrap/>
            <w:hideMark/>
          </w:tcPr>
          <w:p w14:paraId="64EB60F1" w14:textId="1EEC5355" w:rsidR="00523710" w:rsidRPr="0008572C" w:rsidRDefault="000960C3" w:rsidP="00B26A7F">
            <w:pPr>
              <w:jc w:val="center"/>
              <w:rPr>
                <w:rFonts w:ascii="Arial Narrow" w:hAnsi="Arial Narrow" w:cstheme="minorHAnsi"/>
                <w:sz w:val="20"/>
                <w:szCs w:val="20"/>
                <w:highlight w:val="yellow"/>
                <w:lang w:val="en-AU"/>
              </w:rPr>
            </w:pPr>
            <w:r w:rsidRPr="000960C3">
              <w:rPr>
                <w:rFonts w:ascii="Arial Narrow" w:hAnsi="Arial Narrow" w:cstheme="minorHAnsi" w:hint="eastAsia"/>
                <w:color w:val="000000"/>
                <w:w w:val="15"/>
                <w:sz w:val="20"/>
                <w:szCs w:val="20"/>
                <w:shd w:val="solid" w:color="000000" w:fill="000000"/>
                <w:fitText w:val="30" w:id="-1506043383"/>
                <w:lang w:val="en-AU"/>
                <w14:textFill>
                  <w14:solidFill>
                    <w14:srgbClr w14:val="000000">
                      <w14:alpha w14:val="100000"/>
                    </w14:srgbClr>
                  </w14:solidFill>
                </w14:textFill>
              </w:rPr>
              <w:t xml:space="preserve">　</w:t>
            </w:r>
            <w:r w:rsidRPr="000960C3">
              <w:rPr>
                <w:rFonts w:ascii="Arial Narrow" w:hAnsi="Arial Narrow" w:cstheme="minorHAnsi"/>
                <w:color w:val="000000"/>
                <w:w w:val="15"/>
                <w:sz w:val="20"/>
                <w:szCs w:val="20"/>
                <w:shd w:val="solid" w:color="000000" w:fill="000000"/>
                <w:fitText w:val="30" w:id="-1506043383"/>
                <w:lang w:val="en-AU"/>
                <w14:textFill>
                  <w14:solidFill>
                    <w14:srgbClr w14:val="000000">
                      <w14:alpha w14:val="100000"/>
                    </w14:srgbClr>
                  </w14:solidFill>
                </w14:textFill>
              </w:rPr>
              <w:t>|</w:t>
            </w:r>
            <w:r w:rsidRPr="000960C3">
              <w:rPr>
                <w:rFonts w:ascii="Arial Narrow" w:hAnsi="Arial Narrow" w:cstheme="minorHAnsi" w:hint="eastAsia"/>
                <w:color w:val="000000"/>
                <w:spacing w:val="-35"/>
                <w:w w:val="15"/>
                <w:sz w:val="20"/>
                <w:szCs w:val="20"/>
                <w:shd w:val="solid" w:color="000000" w:fill="000000"/>
                <w:fitText w:val="30" w:id="-1506043383"/>
                <w:lang w:val="en-AU"/>
                <w14:textFill>
                  <w14:solidFill>
                    <w14:srgbClr w14:val="000000">
                      <w14:alpha w14:val="100000"/>
                    </w14:srgbClr>
                  </w14:solidFill>
                </w14:textFill>
              </w:rPr>
              <w:t xml:space="preserve">　</w:t>
            </w:r>
            <w:r w:rsidR="0008572C" w:rsidRPr="0008572C">
              <w:rPr>
                <w:rFonts w:ascii="Arial Narrow" w:hAnsi="Arial Narrow" w:cstheme="minorHAnsi"/>
                <w:sz w:val="20"/>
                <w:szCs w:val="20"/>
                <w:vertAlign w:val="superscript"/>
                <w:lang w:val="en-AU"/>
              </w:rPr>
              <w:t>2</w:t>
            </w:r>
          </w:p>
        </w:tc>
        <w:tc>
          <w:tcPr>
            <w:tcW w:w="728" w:type="pct"/>
            <w:tcBorders>
              <w:bottom w:val="single" w:sz="4" w:space="0" w:color="auto"/>
            </w:tcBorders>
            <w:shd w:val="clear" w:color="auto" w:fill="auto"/>
            <w:noWrap/>
            <w:hideMark/>
          </w:tcPr>
          <w:p w14:paraId="34F2E7E0" w14:textId="1362A92F" w:rsidR="00523710" w:rsidRPr="0008572C" w:rsidRDefault="000960C3" w:rsidP="00B26A7F">
            <w:pPr>
              <w:jc w:val="center"/>
              <w:rPr>
                <w:rFonts w:ascii="Arial Narrow" w:hAnsi="Arial Narrow" w:cstheme="minorHAnsi"/>
                <w:sz w:val="20"/>
                <w:szCs w:val="20"/>
                <w:highlight w:val="yellow"/>
                <w:lang w:val="en-AU"/>
              </w:rPr>
            </w:pPr>
            <w:r w:rsidRPr="000960C3">
              <w:rPr>
                <w:rFonts w:ascii="Arial Narrow" w:hAnsi="Arial Narrow" w:cstheme="minorHAnsi" w:hint="eastAsia"/>
                <w:color w:val="000000"/>
                <w:w w:val="15"/>
                <w:sz w:val="20"/>
                <w:szCs w:val="20"/>
                <w:shd w:val="solid" w:color="000000" w:fill="000000"/>
                <w:fitText w:val="30" w:id="-1506043382"/>
                <w:lang w:val="en-AU"/>
                <w14:textFill>
                  <w14:solidFill>
                    <w14:srgbClr w14:val="000000">
                      <w14:alpha w14:val="100000"/>
                    </w14:srgbClr>
                  </w14:solidFill>
                </w14:textFill>
              </w:rPr>
              <w:t xml:space="preserve">　</w:t>
            </w:r>
            <w:r w:rsidRPr="000960C3">
              <w:rPr>
                <w:rFonts w:ascii="Arial Narrow" w:hAnsi="Arial Narrow" w:cstheme="minorHAnsi"/>
                <w:color w:val="000000"/>
                <w:w w:val="15"/>
                <w:sz w:val="20"/>
                <w:szCs w:val="20"/>
                <w:shd w:val="solid" w:color="000000" w:fill="000000"/>
                <w:fitText w:val="30" w:id="-1506043382"/>
                <w:lang w:val="en-AU"/>
                <w14:textFill>
                  <w14:solidFill>
                    <w14:srgbClr w14:val="000000">
                      <w14:alpha w14:val="100000"/>
                    </w14:srgbClr>
                  </w14:solidFill>
                </w14:textFill>
              </w:rPr>
              <w:t>|</w:t>
            </w:r>
            <w:r w:rsidRPr="000960C3">
              <w:rPr>
                <w:rFonts w:ascii="Arial Narrow" w:hAnsi="Arial Narrow" w:cstheme="minorHAnsi" w:hint="eastAsia"/>
                <w:color w:val="000000"/>
                <w:spacing w:val="-35"/>
                <w:w w:val="15"/>
                <w:sz w:val="20"/>
                <w:szCs w:val="20"/>
                <w:shd w:val="solid" w:color="000000" w:fill="000000"/>
                <w:fitText w:val="30" w:id="-1506043382"/>
                <w:lang w:val="en-AU"/>
                <w14:textFill>
                  <w14:solidFill>
                    <w14:srgbClr w14:val="000000">
                      <w14:alpha w14:val="100000"/>
                    </w14:srgbClr>
                  </w14:solidFill>
                </w14:textFill>
              </w:rPr>
              <w:t xml:space="preserve">　</w:t>
            </w:r>
            <w:r w:rsidR="0008572C" w:rsidRPr="0008572C">
              <w:rPr>
                <w:rFonts w:ascii="Arial Narrow" w:hAnsi="Arial Narrow" w:cstheme="minorHAnsi"/>
                <w:sz w:val="20"/>
                <w:szCs w:val="20"/>
                <w:vertAlign w:val="superscript"/>
                <w:lang w:val="en-AU"/>
              </w:rPr>
              <w:t>2</w:t>
            </w:r>
          </w:p>
        </w:tc>
        <w:tc>
          <w:tcPr>
            <w:tcW w:w="729" w:type="pct"/>
            <w:tcBorders>
              <w:bottom w:val="single" w:sz="4" w:space="0" w:color="auto"/>
            </w:tcBorders>
            <w:shd w:val="clear" w:color="auto" w:fill="auto"/>
            <w:noWrap/>
            <w:hideMark/>
          </w:tcPr>
          <w:p w14:paraId="65B64C8C" w14:textId="57AB1841" w:rsidR="00523710" w:rsidRPr="0008572C" w:rsidRDefault="000960C3" w:rsidP="00B26A7F">
            <w:pPr>
              <w:jc w:val="center"/>
              <w:rPr>
                <w:rFonts w:ascii="Arial Narrow" w:hAnsi="Arial Narrow" w:cstheme="minorHAnsi"/>
                <w:sz w:val="20"/>
                <w:szCs w:val="20"/>
                <w:highlight w:val="yellow"/>
                <w:lang w:val="en-AU"/>
              </w:rPr>
            </w:pPr>
            <w:r w:rsidRPr="000960C3">
              <w:rPr>
                <w:rFonts w:ascii="Arial Narrow" w:hAnsi="Arial Narrow" w:cstheme="minorHAnsi" w:hint="eastAsia"/>
                <w:color w:val="000000"/>
                <w:w w:val="15"/>
                <w:sz w:val="20"/>
                <w:szCs w:val="20"/>
                <w:shd w:val="solid" w:color="000000" w:fill="000000"/>
                <w:fitText w:val="30" w:id="-1506043381"/>
                <w:lang w:val="en-AU"/>
                <w14:textFill>
                  <w14:solidFill>
                    <w14:srgbClr w14:val="000000">
                      <w14:alpha w14:val="100000"/>
                    </w14:srgbClr>
                  </w14:solidFill>
                </w14:textFill>
              </w:rPr>
              <w:t xml:space="preserve">　</w:t>
            </w:r>
            <w:r w:rsidRPr="000960C3">
              <w:rPr>
                <w:rFonts w:ascii="Arial Narrow" w:hAnsi="Arial Narrow" w:cstheme="minorHAnsi"/>
                <w:color w:val="000000"/>
                <w:w w:val="15"/>
                <w:sz w:val="20"/>
                <w:szCs w:val="20"/>
                <w:shd w:val="solid" w:color="000000" w:fill="000000"/>
                <w:fitText w:val="30" w:id="-1506043381"/>
                <w:lang w:val="en-AU"/>
                <w14:textFill>
                  <w14:solidFill>
                    <w14:srgbClr w14:val="000000">
                      <w14:alpha w14:val="100000"/>
                    </w14:srgbClr>
                  </w14:solidFill>
                </w14:textFill>
              </w:rPr>
              <w:t>|</w:t>
            </w:r>
            <w:r w:rsidRPr="000960C3">
              <w:rPr>
                <w:rFonts w:ascii="Arial Narrow" w:hAnsi="Arial Narrow" w:cstheme="minorHAnsi" w:hint="eastAsia"/>
                <w:color w:val="000000"/>
                <w:spacing w:val="-35"/>
                <w:w w:val="15"/>
                <w:sz w:val="20"/>
                <w:szCs w:val="20"/>
                <w:shd w:val="solid" w:color="000000" w:fill="000000"/>
                <w:fitText w:val="30" w:id="-1506043381"/>
                <w:lang w:val="en-AU"/>
                <w14:textFill>
                  <w14:solidFill>
                    <w14:srgbClr w14:val="000000">
                      <w14:alpha w14:val="100000"/>
                    </w14:srgbClr>
                  </w14:solidFill>
                </w14:textFill>
              </w:rPr>
              <w:t xml:space="preserve">　</w:t>
            </w:r>
            <w:r w:rsidR="0008572C" w:rsidRPr="0008572C">
              <w:rPr>
                <w:rFonts w:ascii="Arial Narrow" w:hAnsi="Arial Narrow" w:cstheme="minorHAnsi"/>
                <w:sz w:val="20"/>
                <w:szCs w:val="20"/>
                <w:vertAlign w:val="superscript"/>
                <w:lang w:val="en-AU"/>
              </w:rPr>
              <w:t>2</w:t>
            </w:r>
          </w:p>
        </w:tc>
        <w:tc>
          <w:tcPr>
            <w:tcW w:w="728" w:type="pct"/>
            <w:shd w:val="clear" w:color="auto" w:fill="auto"/>
            <w:noWrap/>
            <w:hideMark/>
          </w:tcPr>
          <w:p w14:paraId="1DA37E56" w14:textId="77777777" w:rsidR="00523710" w:rsidRPr="00F04A75" w:rsidRDefault="00523710" w:rsidP="00B26A7F">
            <w:pPr>
              <w:jc w:val="center"/>
              <w:rPr>
                <w:rFonts w:ascii="Arial Narrow" w:hAnsi="Arial Narrow" w:cstheme="minorHAnsi"/>
                <w:sz w:val="20"/>
                <w:szCs w:val="20"/>
                <w:lang w:val="en-AU"/>
              </w:rPr>
            </w:pPr>
            <w:r w:rsidRPr="00F04A75">
              <w:rPr>
                <w:rFonts w:ascii="Arial Narrow" w:hAnsi="Arial Narrow" w:cstheme="minorHAnsi"/>
                <w:sz w:val="20"/>
                <w:szCs w:val="20"/>
                <w:lang w:val="en-AU"/>
              </w:rPr>
              <w:t>NA</w:t>
            </w:r>
          </w:p>
        </w:tc>
      </w:tr>
      <w:tr w:rsidR="00523710" w:rsidRPr="00F04A75" w14:paraId="29A48481" w14:textId="77777777" w:rsidTr="000960C3">
        <w:trPr>
          <w:trHeight w:val="60"/>
        </w:trPr>
        <w:tc>
          <w:tcPr>
            <w:tcW w:w="1357" w:type="pct"/>
            <w:shd w:val="clear" w:color="auto" w:fill="auto"/>
            <w:noWrap/>
            <w:hideMark/>
          </w:tcPr>
          <w:p w14:paraId="3FF87885" w14:textId="77777777" w:rsidR="00523710" w:rsidRPr="00F04A75" w:rsidRDefault="00523710" w:rsidP="00B26A7F">
            <w:pPr>
              <w:rPr>
                <w:rFonts w:ascii="Arial Narrow" w:hAnsi="Arial Narrow" w:cstheme="minorHAnsi"/>
                <w:sz w:val="20"/>
                <w:szCs w:val="20"/>
                <w:lang w:val="en-AU"/>
              </w:rPr>
            </w:pPr>
            <w:r w:rsidRPr="00F04A75">
              <w:rPr>
                <w:rFonts w:ascii="Arial Narrow" w:hAnsi="Arial Narrow" w:cstheme="minorHAnsi"/>
                <w:sz w:val="20"/>
                <w:szCs w:val="20"/>
                <w:lang w:val="en-AU"/>
              </w:rPr>
              <w:t>% of expenditure cap</w:t>
            </w:r>
          </w:p>
        </w:tc>
        <w:tc>
          <w:tcPr>
            <w:tcW w:w="728" w:type="pct"/>
            <w:shd w:val="solid" w:color="000000" w:fill="000000"/>
            <w:noWrap/>
            <w:hideMark/>
          </w:tcPr>
          <w:p w14:paraId="3A344C00" w14:textId="7AECB917" w:rsidR="00523710" w:rsidRPr="000960C3" w:rsidRDefault="000960C3" w:rsidP="00B26A7F">
            <w:pPr>
              <w:jc w:val="center"/>
              <w:rPr>
                <w:rFonts w:ascii="Arial Narrow" w:hAnsi="Arial Narrow" w:cstheme="minorHAnsi"/>
                <w:sz w:val="20"/>
                <w:szCs w:val="20"/>
                <w:lang w:val="en-AU"/>
              </w:rPr>
            </w:pPr>
            <w:r w:rsidRPr="000960C3">
              <w:rPr>
                <w:rFonts w:ascii="Arial Narrow" w:hAnsi="Arial Narrow" w:cstheme="minorHAnsi"/>
                <w:color w:val="000000"/>
                <w:sz w:val="20"/>
                <w:szCs w:val="20"/>
                <w:lang w:val="en-AU"/>
                <w14:textFill>
                  <w14:solidFill>
                    <w14:srgbClr w14:val="000000">
                      <w14:alpha w14:val="100000"/>
                    </w14:srgbClr>
                  </w14:solidFill>
                </w14:textFill>
              </w:rPr>
              <w:t>|</w:t>
            </w:r>
          </w:p>
        </w:tc>
        <w:tc>
          <w:tcPr>
            <w:tcW w:w="729" w:type="pct"/>
            <w:shd w:val="solid" w:color="000000" w:fill="000000"/>
            <w:noWrap/>
            <w:hideMark/>
          </w:tcPr>
          <w:p w14:paraId="035472FF" w14:textId="12539F15" w:rsidR="00523710" w:rsidRPr="000960C3" w:rsidRDefault="000960C3" w:rsidP="00B26A7F">
            <w:pPr>
              <w:jc w:val="center"/>
              <w:rPr>
                <w:rFonts w:ascii="Arial Narrow" w:hAnsi="Arial Narrow" w:cstheme="minorHAnsi"/>
                <w:sz w:val="20"/>
                <w:szCs w:val="20"/>
                <w:lang w:val="en-AU"/>
              </w:rPr>
            </w:pPr>
            <w:r w:rsidRPr="000960C3">
              <w:rPr>
                <w:rFonts w:ascii="Arial Narrow" w:hAnsi="Arial Narrow" w:cstheme="minorHAnsi"/>
                <w:color w:val="000000"/>
                <w:sz w:val="20"/>
                <w:szCs w:val="20"/>
                <w:lang w:val="en-AU"/>
                <w14:textFill>
                  <w14:solidFill>
                    <w14:srgbClr w14:val="000000">
                      <w14:alpha w14:val="100000"/>
                    </w14:srgbClr>
                  </w14:solidFill>
                </w14:textFill>
              </w:rPr>
              <w:t>|</w:t>
            </w:r>
          </w:p>
        </w:tc>
        <w:tc>
          <w:tcPr>
            <w:tcW w:w="728" w:type="pct"/>
            <w:shd w:val="solid" w:color="000000" w:fill="000000"/>
            <w:noWrap/>
            <w:hideMark/>
          </w:tcPr>
          <w:p w14:paraId="59CC4FB1" w14:textId="17AA5089" w:rsidR="00523710" w:rsidRPr="000960C3" w:rsidRDefault="000960C3" w:rsidP="00B26A7F">
            <w:pPr>
              <w:jc w:val="center"/>
              <w:rPr>
                <w:rFonts w:ascii="Arial Narrow" w:hAnsi="Arial Narrow" w:cstheme="minorHAnsi"/>
                <w:sz w:val="20"/>
                <w:szCs w:val="20"/>
                <w:lang w:val="en-AU"/>
              </w:rPr>
            </w:pPr>
            <w:r w:rsidRPr="000960C3">
              <w:rPr>
                <w:rFonts w:ascii="Arial Narrow" w:hAnsi="Arial Narrow" w:cstheme="minorHAnsi"/>
                <w:color w:val="000000"/>
                <w:sz w:val="20"/>
                <w:szCs w:val="20"/>
                <w:lang w:val="en-AU"/>
                <w14:textFill>
                  <w14:solidFill>
                    <w14:srgbClr w14:val="000000">
                      <w14:alpha w14:val="100000"/>
                    </w14:srgbClr>
                  </w14:solidFill>
                </w14:textFill>
              </w:rPr>
              <w:t>|</w:t>
            </w:r>
          </w:p>
        </w:tc>
        <w:tc>
          <w:tcPr>
            <w:tcW w:w="729" w:type="pct"/>
            <w:shd w:val="solid" w:color="000000" w:fill="000000"/>
            <w:noWrap/>
            <w:hideMark/>
          </w:tcPr>
          <w:p w14:paraId="0E1A15D8" w14:textId="184F7AE7" w:rsidR="00523710" w:rsidRPr="000960C3" w:rsidRDefault="000960C3" w:rsidP="00B26A7F">
            <w:pPr>
              <w:jc w:val="center"/>
              <w:rPr>
                <w:rFonts w:ascii="Arial Narrow" w:hAnsi="Arial Narrow" w:cstheme="minorHAnsi"/>
                <w:sz w:val="20"/>
                <w:szCs w:val="20"/>
                <w:lang w:val="en-AU"/>
              </w:rPr>
            </w:pPr>
            <w:r w:rsidRPr="000960C3">
              <w:rPr>
                <w:rFonts w:ascii="Arial Narrow" w:hAnsi="Arial Narrow" w:cstheme="minorHAnsi"/>
                <w:color w:val="000000"/>
                <w:sz w:val="20"/>
                <w:szCs w:val="20"/>
                <w:lang w:val="en-AU"/>
                <w14:textFill>
                  <w14:solidFill>
                    <w14:srgbClr w14:val="000000">
                      <w14:alpha w14:val="100000"/>
                    </w14:srgbClr>
                  </w14:solidFill>
                </w14:textFill>
              </w:rPr>
              <w:t>|</w:t>
            </w:r>
          </w:p>
        </w:tc>
        <w:tc>
          <w:tcPr>
            <w:tcW w:w="728" w:type="pct"/>
            <w:shd w:val="clear" w:color="auto" w:fill="auto"/>
            <w:noWrap/>
            <w:hideMark/>
          </w:tcPr>
          <w:p w14:paraId="19C4B01A" w14:textId="77777777" w:rsidR="00523710" w:rsidRPr="00F04A75" w:rsidRDefault="00523710" w:rsidP="00B26A7F">
            <w:pPr>
              <w:jc w:val="center"/>
              <w:rPr>
                <w:rFonts w:ascii="Arial Narrow" w:hAnsi="Arial Narrow" w:cstheme="minorHAnsi"/>
                <w:sz w:val="20"/>
                <w:szCs w:val="20"/>
                <w:lang w:val="en-AU"/>
              </w:rPr>
            </w:pPr>
            <w:r w:rsidRPr="00F04A75">
              <w:rPr>
                <w:rFonts w:ascii="Arial Narrow" w:hAnsi="Arial Narrow" w:cstheme="minorHAnsi"/>
                <w:sz w:val="20"/>
                <w:szCs w:val="20"/>
                <w:lang w:val="en-AU"/>
              </w:rPr>
              <w:t>NA</w:t>
            </w:r>
          </w:p>
        </w:tc>
      </w:tr>
    </w:tbl>
    <w:p w14:paraId="277BFF0A" w14:textId="77777777" w:rsidR="00523710" w:rsidRPr="00F04A75" w:rsidRDefault="00523710" w:rsidP="00523710">
      <w:pPr>
        <w:pStyle w:val="TableNotes"/>
        <w:rPr>
          <w:rFonts w:ascii="Arial Narrow" w:hAnsi="Arial Narrow" w:cstheme="minorHAnsi"/>
          <w:sz w:val="18"/>
          <w:szCs w:val="18"/>
        </w:rPr>
      </w:pPr>
      <w:r w:rsidRPr="00F04A75">
        <w:rPr>
          <w:rFonts w:ascii="Arial Narrow" w:hAnsi="Arial Narrow" w:cstheme="minorHAnsi"/>
          <w:sz w:val="18"/>
          <w:szCs w:val="18"/>
        </w:rPr>
        <w:t xml:space="preserve">Source: Table 4.1-1 p111 of the resubmission. </w:t>
      </w:r>
    </w:p>
    <w:p w14:paraId="5AF3E29F" w14:textId="64F4FF72" w:rsidR="00523710" w:rsidRPr="00F04A75" w:rsidRDefault="00523710" w:rsidP="00523710">
      <w:pPr>
        <w:rPr>
          <w:rFonts w:ascii="Arial Narrow" w:hAnsi="Arial Narrow"/>
          <w:sz w:val="18"/>
          <w:szCs w:val="18"/>
        </w:rPr>
      </w:pPr>
      <w:r w:rsidRPr="00F04A75">
        <w:rPr>
          <w:rFonts w:ascii="Arial Narrow" w:hAnsi="Arial Narrow"/>
          <w:sz w:val="18"/>
          <w:szCs w:val="18"/>
        </w:rPr>
        <w:t>NA</w:t>
      </w:r>
      <w:r w:rsidR="002C2756" w:rsidRPr="00F04A75">
        <w:rPr>
          <w:rFonts w:ascii="Arial Narrow" w:hAnsi="Arial Narrow"/>
          <w:sz w:val="18"/>
          <w:szCs w:val="18"/>
        </w:rPr>
        <w:t xml:space="preserve"> </w:t>
      </w:r>
      <w:r w:rsidRPr="00F04A75">
        <w:rPr>
          <w:rFonts w:ascii="Arial Narrow" w:hAnsi="Arial Narrow"/>
          <w:sz w:val="18"/>
          <w:szCs w:val="18"/>
        </w:rPr>
        <w:t>=</w:t>
      </w:r>
      <w:r w:rsidR="002C2756" w:rsidRPr="00F04A75">
        <w:rPr>
          <w:rFonts w:ascii="Arial Narrow" w:hAnsi="Arial Narrow"/>
          <w:sz w:val="18"/>
          <w:szCs w:val="18"/>
        </w:rPr>
        <w:t xml:space="preserve"> </w:t>
      </w:r>
      <w:r w:rsidRPr="00F04A75">
        <w:rPr>
          <w:rFonts w:ascii="Arial Narrow" w:hAnsi="Arial Narrow"/>
          <w:sz w:val="18"/>
          <w:szCs w:val="18"/>
        </w:rPr>
        <w:t>not a</w:t>
      </w:r>
      <w:r w:rsidR="00FF6F76" w:rsidRPr="00F04A75">
        <w:rPr>
          <w:rFonts w:ascii="Arial Narrow" w:hAnsi="Arial Narrow"/>
          <w:sz w:val="18"/>
          <w:szCs w:val="18"/>
        </w:rPr>
        <w:t>vailable</w:t>
      </w:r>
      <w:r w:rsidRPr="00F04A75">
        <w:rPr>
          <w:rFonts w:ascii="Arial Narrow" w:hAnsi="Arial Narrow"/>
          <w:sz w:val="18"/>
          <w:szCs w:val="18"/>
        </w:rPr>
        <w:t>; PBS</w:t>
      </w:r>
      <w:r w:rsidR="002C2756" w:rsidRPr="00F04A75">
        <w:rPr>
          <w:rFonts w:ascii="Arial Narrow" w:hAnsi="Arial Narrow"/>
          <w:sz w:val="18"/>
          <w:szCs w:val="18"/>
        </w:rPr>
        <w:t xml:space="preserve"> </w:t>
      </w:r>
      <w:r w:rsidRPr="00F04A75">
        <w:rPr>
          <w:rFonts w:ascii="Arial Narrow" w:hAnsi="Arial Narrow"/>
          <w:sz w:val="18"/>
          <w:szCs w:val="18"/>
        </w:rPr>
        <w:t>=</w:t>
      </w:r>
      <w:r w:rsidR="002C2756" w:rsidRPr="00F04A75">
        <w:rPr>
          <w:rFonts w:ascii="Arial Narrow" w:hAnsi="Arial Narrow"/>
          <w:sz w:val="18"/>
          <w:szCs w:val="18"/>
        </w:rPr>
        <w:t xml:space="preserve"> </w:t>
      </w:r>
      <w:r w:rsidRPr="00F04A75">
        <w:rPr>
          <w:rFonts w:ascii="Arial Narrow" w:hAnsi="Arial Narrow"/>
          <w:sz w:val="18"/>
          <w:szCs w:val="18"/>
        </w:rPr>
        <w:t>Pharmaceutical Benefits Schedule</w:t>
      </w:r>
      <w:r w:rsidR="002C2756" w:rsidRPr="00F04A75">
        <w:rPr>
          <w:rFonts w:ascii="Arial Narrow" w:hAnsi="Arial Narrow"/>
          <w:sz w:val="18"/>
          <w:szCs w:val="18"/>
        </w:rPr>
        <w:t>; RPBS = Repatriation Pharmaceutical Benefits Scheme</w:t>
      </w:r>
    </w:p>
    <w:p w14:paraId="6F11F31D" w14:textId="77777777" w:rsidR="0008572C" w:rsidRDefault="0008572C" w:rsidP="0008572C">
      <w:pPr>
        <w:pStyle w:val="TableFigureFooter"/>
        <w:keepNext/>
        <w:spacing w:after="0"/>
        <w:contextualSpacing w:val="0"/>
        <w:rPr>
          <w:i/>
          <w:color w:val="FF0000"/>
          <w:szCs w:val="18"/>
        </w:rPr>
      </w:pPr>
    </w:p>
    <w:p w14:paraId="1A4E5DD8" w14:textId="512AB942" w:rsidR="0008572C" w:rsidRPr="001E1345" w:rsidRDefault="0008572C" w:rsidP="0008572C">
      <w:pPr>
        <w:pStyle w:val="TableFigureFooter"/>
        <w:keepNext/>
        <w:spacing w:after="0"/>
        <w:contextualSpacing w:val="0"/>
        <w:rPr>
          <w:i/>
          <w:color w:val="FF0000"/>
          <w:szCs w:val="18"/>
        </w:rPr>
      </w:pPr>
      <w:r w:rsidRPr="001E1345">
        <w:rPr>
          <w:i/>
          <w:color w:val="FF0000"/>
          <w:szCs w:val="18"/>
        </w:rPr>
        <w:t>The redacted values correspond to the following ranges:</w:t>
      </w:r>
    </w:p>
    <w:p w14:paraId="4B72E955" w14:textId="585DD395" w:rsidR="0008572C" w:rsidRPr="001E1345" w:rsidRDefault="0008572C" w:rsidP="0008572C">
      <w:pPr>
        <w:pStyle w:val="TableFigureFooter"/>
        <w:keepNext/>
        <w:spacing w:after="0"/>
        <w:contextualSpacing w:val="0"/>
        <w:rPr>
          <w:szCs w:val="18"/>
        </w:rPr>
      </w:pPr>
      <w:r w:rsidRPr="001E1345">
        <w:rPr>
          <w:i/>
          <w:color w:val="FF0000"/>
          <w:szCs w:val="18"/>
          <w:vertAlign w:val="superscript"/>
        </w:rPr>
        <w:t>1</w:t>
      </w:r>
      <w:r>
        <w:rPr>
          <w:i/>
          <w:color w:val="FF0000"/>
          <w:szCs w:val="18"/>
        </w:rPr>
        <w:t>$30 million to &lt; $40 million</w:t>
      </w:r>
    </w:p>
    <w:p w14:paraId="126E2EC2" w14:textId="77777777" w:rsidR="0008572C" w:rsidRPr="001E1345" w:rsidRDefault="0008572C" w:rsidP="0008572C">
      <w:pPr>
        <w:ind w:right="150"/>
        <w:rPr>
          <w:rFonts w:ascii="Arial Narrow" w:hAnsi="Arial Narrow"/>
          <w:b/>
          <w:bCs/>
          <w:i/>
          <w:iCs/>
          <w:color w:val="333333"/>
          <w:sz w:val="18"/>
          <w:szCs w:val="18"/>
        </w:rPr>
      </w:pPr>
      <w:r w:rsidRPr="001E1345">
        <w:rPr>
          <w:rFonts w:ascii="Arial Narrow" w:hAnsi="Arial Narrow" w:cstheme="minorHAnsi"/>
          <w:i/>
          <w:iCs/>
          <w:sz w:val="18"/>
          <w:szCs w:val="18"/>
          <w:vertAlign w:val="superscript"/>
        </w:rPr>
        <w:t>2</w:t>
      </w:r>
      <w:r w:rsidRPr="001E1345">
        <w:rPr>
          <w:rFonts w:ascii="Arial Narrow" w:hAnsi="Arial Narrow"/>
          <w:i/>
          <w:iCs/>
          <w:color w:val="333333"/>
          <w:sz w:val="18"/>
          <w:szCs w:val="18"/>
        </w:rPr>
        <w:t>$</w:t>
      </w:r>
      <w:r>
        <w:rPr>
          <w:rFonts w:ascii="Arial Narrow" w:hAnsi="Arial Narrow"/>
          <w:i/>
          <w:iCs/>
          <w:color w:val="333333"/>
          <w:sz w:val="18"/>
          <w:szCs w:val="18"/>
        </w:rPr>
        <w:t>20 million to &lt; $30 million</w:t>
      </w:r>
    </w:p>
    <w:p w14:paraId="5949CC3F" w14:textId="42771D16" w:rsidR="003A42FC" w:rsidRDefault="003A42FC" w:rsidP="00523710">
      <w:pPr>
        <w:rPr>
          <w:sz w:val="18"/>
          <w:szCs w:val="18"/>
        </w:rPr>
      </w:pPr>
    </w:p>
    <w:p w14:paraId="6EA3BB1E" w14:textId="77777777" w:rsidR="0008572C" w:rsidRPr="00F04A75" w:rsidRDefault="0008572C" w:rsidP="00523710">
      <w:pPr>
        <w:rPr>
          <w:sz w:val="18"/>
          <w:szCs w:val="18"/>
        </w:rPr>
      </w:pPr>
    </w:p>
    <w:p w14:paraId="0AE3BEBA" w14:textId="1048DEC4" w:rsidR="00A05E89" w:rsidRPr="00F04A75" w:rsidRDefault="00275B0B" w:rsidP="00A05E89">
      <w:pPr>
        <w:pStyle w:val="3-BodyText"/>
      </w:pPr>
      <w:r w:rsidRPr="00F04A75">
        <w:t>The ESC considered that although cost neutrality may not be realised in practice, the resubmission’s request to increase the expenditure caps was not well supported, noting that (</w:t>
      </w:r>
      <w:proofErr w:type="spellStart"/>
      <w:r w:rsidRPr="00F04A75">
        <w:t>i</w:t>
      </w:r>
      <w:proofErr w:type="spellEnd"/>
      <w:r w:rsidRPr="00F04A75">
        <w:t xml:space="preserve">) usage currently was at approximately </w:t>
      </w:r>
      <w:proofErr w:type="gramStart"/>
      <w:r w:rsidR="000960C3" w:rsidRPr="00443BC9">
        <w:rPr>
          <w:color w:val="000000"/>
          <w:w w:val="15"/>
          <w:shd w:val="solid" w:color="000000" w:fill="000000"/>
          <w:fitText w:val="-20" w:id="-1506043380"/>
          <w14:textFill>
            <w14:solidFill>
              <w14:srgbClr w14:val="000000">
                <w14:alpha w14:val="100000"/>
              </w14:srgbClr>
            </w14:solidFill>
          </w14:textFill>
        </w:rPr>
        <w:t xml:space="preserve">|  </w:t>
      </w:r>
      <w:r w:rsidR="000960C3" w:rsidRPr="00443BC9">
        <w:rPr>
          <w:color w:val="000000"/>
          <w:spacing w:val="-69"/>
          <w:w w:val="15"/>
          <w:shd w:val="solid" w:color="000000" w:fill="000000"/>
          <w:fitText w:val="-20" w:id="-1506043380"/>
          <w14:textFill>
            <w14:solidFill>
              <w14:srgbClr w14:val="000000">
                <w14:alpha w14:val="100000"/>
              </w14:srgbClr>
            </w14:solidFill>
          </w14:textFill>
        </w:rPr>
        <w:t>|</w:t>
      </w:r>
      <w:proofErr w:type="gramEnd"/>
      <w:r w:rsidRPr="00F04A75">
        <w:t xml:space="preserve">% of the expenditure cap; (ii) a lower dose of carfilzomib is used as part of </w:t>
      </w:r>
      <w:proofErr w:type="spellStart"/>
      <w:r w:rsidRPr="00F04A75">
        <w:t>CLd</w:t>
      </w:r>
      <w:proofErr w:type="spellEnd"/>
      <w:r w:rsidRPr="00F04A75">
        <w:t xml:space="preserve"> as compared with Cd; </w:t>
      </w:r>
      <w:r w:rsidR="00882143" w:rsidRPr="00F04A75">
        <w:t xml:space="preserve">and </w:t>
      </w:r>
      <w:r w:rsidRPr="00F04A75">
        <w:t xml:space="preserve">(iii) </w:t>
      </w:r>
      <w:r w:rsidR="00436083" w:rsidRPr="00F04A75">
        <w:t>carfilzomib is now likely to be used in the third and later line settings due to the listing of daratumumab in the second line setting</w:t>
      </w:r>
      <w:r w:rsidRPr="00F04A75">
        <w:t>. The ESC did note that there was little risk of leakage of RRMM treatments to other diseases or to other lines of therapy.</w:t>
      </w:r>
      <w:r w:rsidR="002C0351" w:rsidRPr="00F04A75">
        <w:t xml:space="preserve">  The PBAC agreed with the ESC that these considerations are relevant.</w:t>
      </w:r>
    </w:p>
    <w:p w14:paraId="2CC50931" w14:textId="2A9A48D3" w:rsidR="00A05E89" w:rsidRPr="00F04A75" w:rsidRDefault="00A05E89" w:rsidP="00A05E89">
      <w:pPr>
        <w:pStyle w:val="3-BodyText"/>
        <w:numPr>
          <w:ilvl w:val="0"/>
          <w:numId w:val="0"/>
        </w:numPr>
        <w:ind w:left="720"/>
        <w:rPr>
          <w:i/>
          <w:iCs/>
        </w:rPr>
      </w:pPr>
      <w:r w:rsidRPr="00F04A75">
        <w:rPr>
          <w:i/>
          <w:iCs/>
        </w:rPr>
        <w:t>For more detail on PBAC’s view, see section 7 PBAC outcome.</w:t>
      </w:r>
    </w:p>
    <w:p w14:paraId="64911654" w14:textId="77777777" w:rsidR="00A05E89" w:rsidRPr="00F04A75" w:rsidRDefault="00A05E89" w:rsidP="00E92ADE">
      <w:pPr>
        <w:pStyle w:val="2-SectionHeading"/>
      </w:pPr>
      <w:bookmarkStart w:id="64" w:name="_Hlk76381249"/>
      <w:bookmarkStart w:id="65" w:name="_Hlk76377955"/>
      <w:r w:rsidRPr="00F04A75">
        <w:t>PBAC Outcome</w:t>
      </w:r>
    </w:p>
    <w:p w14:paraId="4E076B79" w14:textId="6DDFA50C" w:rsidR="00247AC4" w:rsidRPr="005863DC" w:rsidRDefault="00247AC4" w:rsidP="00247AC4">
      <w:pPr>
        <w:widowControl w:val="0"/>
        <w:numPr>
          <w:ilvl w:val="1"/>
          <w:numId w:val="1"/>
        </w:numPr>
        <w:spacing w:after="120"/>
        <w:rPr>
          <w:rFonts w:asciiTheme="minorHAnsi" w:hAnsiTheme="minorHAnsi"/>
          <w:snapToGrid w:val="0"/>
        </w:rPr>
      </w:pPr>
      <w:r w:rsidRPr="00F04A75">
        <w:rPr>
          <w:snapToGrid w:val="0"/>
        </w:rPr>
        <w:t xml:space="preserve">The PBAC recommended the listing of carfilzomib in </w:t>
      </w:r>
      <w:r w:rsidRPr="00F04A75">
        <w:t>combination with lenalidomide and dexamethasone (</w:t>
      </w:r>
      <w:proofErr w:type="spellStart"/>
      <w:r w:rsidRPr="00F04A75">
        <w:t>CLd</w:t>
      </w:r>
      <w:proofErr w:type="spellEnd"/>
      <w:r w:rsidRPr="00F04A75">
        <w:t>) for the treatment of relapsed or refractory multiple myeloma (RRMM)</w:t>
      </w:r>
      <w:r w:rsidRPr="00F04A75">
        <w:rPr>
          <w:snapToGrid w:val="0"/>
        </w:rPr>
        <w:t xml:space="preserve">, on the basis that it should be available only under special arrangements under Section 100 (Efficient Funding of Chemotherapy).  </w:t>
      </w:r>
      <w:r w:rsidRPr="00F04A75">
        <w:t xml:space="preserve">Listing was recommended </w:t>
      </w:r>
      <w:proofErr w:type="gramStart"/>
      <w:r w:rsidRPr="00F04A75">
        <w:t>on the basis of</w:t>
      </w:r>
      <w:proofErr w:type="gramEnd"/>
      <w:r w:rsidRPr="00F04A75">
        <w:t xml:space="preserve"> a cost-minimisation approach (CMA) versus carfilzomib in combination with dexamethasone (Cd)</w:t>
      </w:r>
      <w:r w:rsidR="003D18DE">
        <w:t xml:space="preserve">, </w:t>
      </w:r>
      <w:r w:rsidR="000D26FE">
        <w:t>and</w:t>
      </w:r>
      <w:r w:rsidR="003D18DE">
        <w:t xml:space="preserve"> </w:t>
      </w:r>
      <w:r w:rsidR="000D26FE">
        <w:t xml:space="preserve">inclusion </w:t>
      </w:r>
      <w:r w:rsidR="003D18DE">
        <w:t xml:space="preserve">in the </w:t>
      </w:r>
      <w:r w:rsidR="000A305F">
        <w:t>existing carfilzomib risk sharing arrangement (</w:t>
      </w:r>
      <w:r w:rsidR="003D18DE">
        <w:t>RSA</w:t>
      </w:r>
      <w:r w:rsidR="000A305F">
        <w:t>)</w:t>
      </w:r>
      <w:r w:rsidR="003D18DE">
        <w:t xml:space="preserve"> without an increase in the expenditure caps</w:t>
      </w:r>
      <w:r w:rsidRPr="00F04A75">
        <w:t>. The PBAC noted the resubmission also requested an increase in the expenditure caps established in the Deed of Agreement in place since carfilzomib was PBS listed in January 2018.</w:t>
      </w:r>
      <w:r>
        <w:t xml:space="preserve"> </w:t>
      </w:r>
      <w:r w:rsidR="000D7DA3">
        <w:t xml:space="preserve">The PBAC considered the estimates included in the resubmission were not a reliable basis on which to revise the existing RSA </w:t>
      </w:r>
      <w:r w:rsidR="000A305F">
        <w:t xml:space="preserve">expenditure </w:t>
      </w:r>
      <w:r w:rsidR="000D7DA3">
        <w:t xml:space="preserve">caps. However, the PBAC acknowledged that </w:t>
      </w:r>
      <w:r w:rsidR="00A87776">
        <w:t xml:space="preserve">future </w:t>
      </w:r>
      <w:r w:rsidR="000D7DA3">
        <w:t xml:space="preserve">revision to the caps may be appropriate given the changing treatment algorithm for </w:t>
      </w:r>
      <w:r w:rsidR="00167C84">
        <w:t xml:space="preserve">multiple myeloma </w:t>
      </w:r>
      <w:r w:rsidR="000D7DA3">
        <w:t>with the availability of multiple new therapies.</w:t>
      </w:r>
    </w:p>
    <w:p w14:paraId="439752E9" w14:textId="61DFA034" w:rsidR="005863DC" w:rsidRPr="005863DC" w:rsidRDefault="005863DC" w:rsidP="00247AC4">
      <w:pPr>
        <w:widowControl w:val="0"/>
        <w:numPr>
          <w:ilvl w:val="1"/>
          <w:numId w:val="1"/>
        </w:numPr>
        <w:spacing w:after="120"/>
        <w:rPr>
          <w:rFonts w:asciiTheme="minorHAnsi" w:hAnsiTheme="minorHAnsi"/>
          <w:snapToGrid w:val="0"/>
        </w:rPr>
      </w:pPr>
      <w:r>
        <w:rPr>
          <w:snapToGrid w:val="0"/>
        </w:rPr>
        <w:t xml:space="preserve">The PBAC noted and welcomed the input from consumers and </w:t>
      </w:r>
      <w:proofErr w:type="spellStart"/>
      <w:r>
        <w:rPr>
          <w:snapToGrid w:val="0"/>
        </w:rPr>
        <w:t>organistions</w:t>
      </w:r>
      <w:proofErr w:type="spellEnd"/>
      <w:r>
        <w:rPr>
          <w:snapToGrid w:val="0"/>
        </w:rPr>
        <w:t xml:space="preserve"> via the Consumer Comments facility which supported the </w:t>
      </w:r>
      <w:proofErr w:type="spellStart"/>
      <w:r>
        <w:rPr>
          <w:snapToGrid w:val="0"/>
        </w:rPr>
        <w:t>CLd</w:t>
      </w:r>
      <w:proofErr w:type="spellEnd"/>
      <w:r>
        <w:rPr>
          <w:snapToGrid w:val="0"/>
        </w:rPr>
        <w:t xml:space="preserve"> resubmission and described the desire for alternate RRMM therapies.</w:t>
      </w:r>
    </w:p>
    <w:p w14:paraId="5B11DD14" w14:textId="5C37B0E6" w:rsidR="005863DC" w:rsidRDefault="005863DC" w:rsidP="00247AC4">
      <w:pPr>
        <w:widowControl w:val="0"/>
        <w:numPr>
          <w:ilvl w:val="1"/>
          <w:numId w:val="1"/>
        </w:numPr>
        <w:spacing w:after="120"/>
        <w:rPr>
          <w:rFonts w:asciiTheme="minorHAnsi" w:hAnsiTheme="minorHAnsi"/>
          <w:snapToGrid w:val="0"/>
        </w:rPr>
      </w:pPr>
      <w:r>
        <w:rPr>
          <w:rFonts w:asciiTheme="minorHAnsi" w:hAnsiTheme="minorHAnsi"/>
          <w:snapToGrid w:val="0"/>
        </w:rPr>
        <w:t>Noting that daratumumab in combination with bortezomib and dexamethasone (</w:t>
      </w:r>
      <w:proofErr w:type="spellStart"/>
      <w:r>
        <w:rPr>
          <w:rFonts w:asciiTheme="minorHAnsi" w:hAnsiTheme="minorHAnsi"/>
          <w:snapToGrid w:val="0"/>
        </w:rPr>
        <w:t>DBd</w:t>
      </w:r>
      <w:proofErr w:type="spellEnd"/>
      <w:r>
        <w:rPr>
          <w:rFonts w:asciiTheme="minorHAnsi" w:hAnsiTheme="minorHAnsi"/>
          <w:snapToGrid w:val="0"/>
        </w:rPr>
        <w:t xml:space="preserve">) is PBS listed for use in the second line setting only, the PBAC considered </w:t>
      </w:r>
      <w:proofErr w:type="spellStart"/>
      <w:r>
        <w:rPr>
          <w:rFonts w:asciiTheme="minorHAnsi" w:hAnsiTheme="minorHAnsi"/>
          <w:snapToGrid w:val="0"/>
        </w:rPr>
        <w:t>CLd</w:t>
      </w:r>
      <w:proofErr w:type="spellEnd"/>
      <w:r>
        <w:rPr>
          <w:rFonts w:asciiTheme="minorHAnsi" w:hAnsiTheme="minorHAnsi"/>
          <w:snapToGrid w:val="0"/>
        </w:rPr>
        <w:t xml:space="preserve"> would likely be used in the third and later lines of therapy. </w:t>
      </w:r>
    </w:p>
    <w:p w14:paraId="5F8A47C3" w14:textId="5FF1C9DE" w:rsidR="005863DC" w:rsidRPr="00EE32CC" w:rsidRDefault="00F66CBF" w:rsidP="00942FE1">
      <w:pPr>
        <w:widowControl w:val="0"/>
        <w:numPr>
          <w:ilvl w:val="1"/>
          <w:numId w:val="1"/>
        </w:numPr>
        <w:spacing w:after="120"/>
        <w:rPr>
          <w:rFonts w:asciiTheme="minorHAnsi" w:hAnsiTheme="minorHAnsi"/>
          <w:snapToGrid w:val="0"/>
        </w:rPr>
      </w:pPr>
      <w:r w:rsidRPr="00EE32CC">
        <w:rPr>
          <w:rFonts w:asciiTheme="minorHAnsi" w:hAnsiTheme="minorHAnsi"/>
          <w:snapToGrid w:val="0"/>
        </w:rPr>
        <w:t xml:space="preserve">The PBAC recalled in its consideration of </w:t>
      </w:r>
      <w:proofErr w:type="spellStart"/>
      <w:r w:rsidRPr="00EE32CC">
        <w:rPr>
          <w:rFonts w:asciiTheme="minorHAnsi" w:hAnsiTheme="minorHAnsi"/>
          <w:snapToGrid w:val="0"/>
        </w:rPr>
        <w:t>ELd</w:t>
      </w:r>
      <w:proofErr w:type="spellEnd"/>
      <w:r w:rsidRPr="00EE32CC">
        <w:rPr>
          <w:rFonts w:asciiTheme="minorHAnsi" w:hAnsiTheme="minorHAnsi"/>
          <w:snapToGrid w:val="0"/>
        </w:rPr>
        <w:t xml:space="preserve"> at the July 2021 meeting that it noted that the use of lenalidomide was increasing in the first line setting as maintenance therapy and as part of triple therapy in combination with bortezomib and dexamethasone (</w:t>
      </w:r>
      <w:proofErr w:type="spellStart"/>
      <w:r w:rsidRPr="00EE32CC">
        <w:rPr>
          <w:rFonts w:asciiTheme="minorHAnsi" w:hAnsiTheme="minorHAnsi"/>
          <w:snapToGrid w:val="0"/>
        </w:rPr>
        <w:t>LBd</w:t>
      </w:r>
      <w:proofErr w:type="spellEnd"/>
      <w:r w:rsidRPr="00EE32CC">
        <w:rPr>
          <w:rFonts w:asciiTheme="minorHAnsi" w:hAnsiTheme="minorHAnsi"/>
          <w:snapToGrid w:val="0"/>
        </w:rPr>
        <w:t xml:space="preserve">). On this basis the PBAC accepted Cd as the primary comparator for </w:t>
      </w:r>
      <w:proofErr w:type="spellStart"/>
      <w:r w:rsidRPr="00EE32CC">
        <w:rPr>
          <w:rFonts w:asciiTheme="minorHAnsi" w:hAnsiTheme="minorHAnsi"/>
          <w:snapToGrid w:val="0"/>
        </w:rPr>
        <w:t>ELd</w:t>
      </w:r>
      <w:proofErr w:type="spellEnd"/>
      <w:r w:rsidRPr="00EE32CC">
        <w:rPr>
          <w:rFonts w:asciiTheme="minorHAnsi" w:hAnsiTheme="minorHAnsi"/>
          <w:snapToGrid w:val="0"/>
        </w:rPr>
        <w:t xml:space="preserve"> in the RRMM setting. Similarly, </w:t>
      </w:r>
      <w:r w:rsidR="00EE32CC" w:rsidRPr="00EE32CC">
        <w:rPr>
          <w:rFonts w:asciiTheme="minorHAnsi" w:hAnsiTheme="minorHAnsi"/>
          <w:snapToGrid w:val="0"/>
        </w:rPr>
        <w:t>t</w:t>
      </w:r>
      <w:r w:rsidR="005863DC" w:rsidRPr="00EE32CC">
        <w:rPr>
          <w:rFonts w:asciiTheme="minorHAnsi" w:hAnsiTheme="minorHAnsi"/>
          <w:snapToGrid w:val="0"/>
        </w:rPr>
        <w:t xml:space="preserve">he PBAC considered the nomination of Cd as the primary comparator </w:t>
      </w:r>
      <w:r w:rsidR="00EE32CC" w:rsidRPr="00EE32CC">
        <w:rPr>
          <w:rFonts w:asciiTheme="minorHAnsi" w:hAnsiTheme="minorHAnsi"/>
          <w:snapToGrid w:val="0"/>
        </w:rPr>
        <w:t xml:space="preserve">for </w:t>
      </w:r>
      <w:proofErr w:type="spellStart"/>
      <w:r w:rsidR="00EE32CC" w:rsidRPr="00EE32CC">
        <w:rPr>
          <w:rFonts w:asciiTheme="minorHAnsi" w:hAnsiTheme="minorHAnsi"/>
          <w:snapToGrid w:val="0"/>
        </w:rPr>
        <w:t>CLd</w:t>
      </w:r>
      <w:proofErr w:type="spellEnd"/>
      <w:r w:rsidR="00EE32CC" w:rsidRPr="00EE32CC">
        <w:rPr>
          <w:rFonts w:asciiTheme="minorHAnsi" w:hAnsiTheme="minorHAnsi"/>
          <w:snapToGrid w:val="0"/>
        </w:rPr>
        <w:t xml:space="preserve"> </w:t>
      </w:r>
      <w:r w:rsidR="005863DC" w:rsidRPr="00EE32CC">
        <w:rPr>
          <w:rFonts w:asciiTheme="minorHAnsi" w:hAnsiTheme="minorHAnsi"/>
          <w:snapToGrid w:val="0"/>
        </w:rPr>
        <w:t xml:space="preserve">to be appropriate. The PBAC considered that </w:t>
      </w:r>
      <w:r w:rsidR="00E8069B" w:rsidRPr="00EE32CC">
        <w:rPr>
          <w:rFonts w:asciiTheme="minorHAnsi" w:hAnsiTheme="minorHAnsi"/>
          <w:snapToGrid w:val="0"/>
        </w:rPr>
        <w:t xml:space="preserve">the nomination of </w:t>
      </w:r>
      <w:proofErr w:type="spellStart"/>
      <w:r w:rsidR="00E8069B" w:rsidRPr="00EE32CC">
        <w:rPr>
          <w:rFonts w:asciiTheme="minorHAnsi" w:hAnsiTheme="minorHAnsi"/>
          <w:snapToGrid w:val="0"/>
        </w:rPr>
        <w:t>pomalidomde</w:t>
      </w:r>
      <w:proofErr w:type="spellEnd"/>
      <w:r w:rsidR="00E8069B" w:rsidRPr="00EE32CC">
        <w:rPr>
          <w:rFonts w:asciiTheme="minorHAnsi" w:hAnsiTheme="minorHAnsi"/>
          <w:snapToGrid w:val="0"/>
        </w:rPr>
        <w:t xml:space="preserve"> plus bortezomib and dexamethasone (</w:t>
      </w:r>
      <w:proofErr w:type="spellStart"/>
      <w:r w:rsidR="005863DC" w:rsidRPr="00EE32CC">
        <w:rPr>
          <w:rFonts w:asciiTheme="minorHAnsi" w:hAnsiTheme="minorHAnsi"/>
          <w:snapToGrid w:val="0"/>
        </w:rPr>
        <w:t>PBd</w:t>
      </w:r>
      <w:proofErr w:type="spellEnd"/>
      <w:r w:rsidR="00E8069B" w:rsidRPr="00EE32CC">
        <w:rPr>
          <w:rFonts w:asciiTheme="minorHAnsi" w:hAnsiTheme="minorHAnsi"/>
          <w:snapToGrid w:val="0"/>
        </w:rPr>
        <w:t>)</w:t>
      </w:r>
      <w:r w:rsidR="005863DC" w:rsidRPr="00EE32CC">
        <w:rPr>
          <w:rFonts w:asciiTheme="minorHAnsi" w:hAnsiTheme="minorHAnsi"/>
          <w:snapToGrid w:val="0"/>
        </w:rPr>
        <w:t xml:space="preserve"> </w:t>
      </w:r>
      <w:r w:rsidR="00E8069B" w:rsidRPr="00EE32CC">
        <w:rPr>
          <w:rFonts w:asciiTheme="minorHAnsi" w:hAnsiTheme="minorHAnsi"/>
          <w:snapToGrid w:val="0"/>
        </w:rPr>
        <w:t xml:space="preserve">as a </w:t>
      </w:r>
      <w:r w:rsidR="005863DC" w:rsidRPr="00EE32CC">
        <w:rPr>
          <w:rFonts w:asciiTheme="minorHAnsi" w:hAnsiTheme="minorHAnsi"/>
          <w:snapToGrid w:val="0"/>
        </w:rPr>
        <w:t xml:space="preserve">secondary comparator and </w:t>
      </w:r>
      <w:proofErr w:type="spellStart"/>
      <w:r w:rsidR="00E8069B" w:rsidRPr="00EE32CC">
        <w:rPr>
          <w:rFonts w:asciiTheme="minorHAnsi" w:hAnsiTheme="minorHAnsi"/>
          <w:snapToGrid w:val="0"/>
        </w:rPr>
        <w:t>elotuzumab</w:t>
      </w:r>
      <w:proofErr w:type="spellEnd"/>
      <w:r w:rsidR="00E8069B" w:rsidRPr="00EE32CC">
        <w:rPr>
          <w:rFonts w:asciiTheme="minorHAnsi" w:hAnsiTheme="minorHAnsi"/>
          <w:snapToGrid w:val="0"/>
        </w:rPr>
        <w:t xml:space="preserve"> plus lenalidomide and dexamethasone (</w:t>
      </w:r>
      <w:proofErr w:type="spellStart"/>
      <w:r w:rsidR="005863DC" w:rsidRPr="00EE32CC">
        <w:rPr>
          <w:rFonts w:asciiTheme="minorHAnsi" w:hAnsiTheme="minorHAnsi"/>
          <w:snapToGrid w:val="0"/>
        </w:rPr>
        <w:t>E</w:t>
      </w:r>
      <w:r w:rsidR="00EE32CC">
        <w:rPr>
          <w:rFonts w:asciiTheme="minorHAnsi" w:hAnsiTheme="minorHAnsi"/>
          <w:snapToGrid w:val="0"/>
        </w:rPr>
        <w:t>L</w:t>
      </w:r>
      <w:r w:rsidR="005863DC" w:rsidRPr="00EE32CC">
        <w:rPr>
          <w:rFonts w:asciiTheme="minorHAnsi" w:hAnsiTheme="minorHAnsi"/>
          <w:snapToGrid w:val="0"/>
        </w:rPr>
        <w:t>d</w:t>
      </w:r>
      <w:proofErr w:type="spellEnd"/>
      <w:r w:rsidR="00E8069B" w:rsidRPr="00EE32CC">
        <w:rPr>
          <w:rFonts w:asciiTheme="minorHAnsi" w:hAnsiTheme="minorHAnsi"/>
          <w:snapToGrid w:val="0"/>
        </w:rPr>
        <w:t>)</w:t>
      </w:r>
      <w:r w:rsidR="005863DC" w:rsidRPr="00EE32CC">
        <w:rPr>
          <w:rFonts w:asciiTheme="minorHAnsi" w:hAnsiTheme="minorHAnsi"/>
          <w:snapToGrid w:val="0"/>
        </w:rPr>
        <w:t xml:space="preserve"> </w:t>
      </w:r>
      <w:r w:rsidR="00E8069B" w:rsidRPr="00EE32CC">
        <w:rPr>
          <w:rFonts w:asciiTheme="minorHAnsi" w:hAnsiTheme="minorHAnsi"/>
          <w:snapToGrid w:val="0"/>
        </w:rPr>
        <w:t xml:space="preserve">as a </w:t>
      </w:r>
      <w:r w:rsidR="005863DC" w:rsidRPr="00EE32CC">
        <w:rPr>
          <w:rFonts w:asciiTheme="minorHAnsi" w:hAnsiTheme="minorHAnsi"/>
          <w:snapToGrid w:val="0"/>
        </w:rPr>
        <w:t>near market comparator</w:t>
      </w:r>
      <w:r w:rsidR="00E8069B" w:rsidRPr="00EE32CC">
        <w:rPr>
          <w:rFonts w:asciiTheme="minorHAnsi" w:hAnsiTheme="minorHAnsi"/>
          <w:snapToGrid w:val="0"/>
        </w:rPr>
        <w:t xml:space="preserve"> was reasonable.</w:t>
      </w:r>
      <w:r w:rsidR="00F51172" w:rsidRPr="00EE32CC">
        <w:rPr>
          <w:rFonts w:asciiTheme="minorHAnsi" w:hAnsiTheme="minorHAnsi"/>
          <w:snapToGrid w:val="0"/>
        </w:rPr>
        <w:t xml:space="preserve"> </w:t>
      </w:r>
    </w:p>
    <w:p w14:paraId="430756D9" w14:textId="5A5F82C7" w:rsidR="00632FAE" w:rsidRPr="00F04A75" w:rsidRDefault="00632FAE" w:rsidP="00632FAE">
      <w:pPr>
        <w:widowControl w:val="0"/>
        <w:numPr>
          <w:ilvl w:val="1"/>
          <w:numId w:val="1"/>
        </w:numPr>
        <w:spacing w:after="120"/>
      </w:pPr>
      <w:r w:rsidRPr="00F04A75">
        <w:rPr>
          <w:rFonts w:asciiTheme="minorHAnsi" w:hAnsiTheme="minorHAnsi"/>
          <w:snapToGrid w:val="0"/>
        </w:rPr>
        <w:t xml:space="preserve">The PBAC noted that the primary clinical comparison presented in the submission was an </w:t>
      </w:r>
      <w:r>
        <w:rPr>
          <w:rFonts w:asciiTheme="minorHAnsi" w:hAnsiTheme="minorHAnsi"/>
          <w:snapToGrid w:val="0"/>
        </w:rPr>
        <w:t>indirect treatment comparison (</w:t>
      </w:r>
      <w:r w:rsidRPr="00F04A75">
        <w:t>ITC</w:t>
      </w:r>
      <w:r>
        <w:t>)</w:t>
      </w:r>
      <w:r w:rsidRPr="00F04A75">
        <w:t xml:space="preserve"> </w:t>
      </w:r>
      <w:r>
        <w:t xml:space="preserve">between </w:t>
      </w:r>
      <w:proofErr w:type="spellStart"/>
      <w:r w:rsidRPr="00F04A75">
        <w:t>CLd</w:t>
      </w:r>
      <w:proofErr w:type="spellEnd"/>
      <w:r w:rsidRPr="00F04A75">
        <w:t xml:space="preserve"> </w:t>
      </w:r>
      <w:r>
        <w:t xml:space="preserve">and </w:t>
      </w:r>
      <w:r w:rsidRPr="00F04A75">
        <w:t xml:space="preserve">Cd, based on </w:t>
      </w:r>
      <w:r>
        <w:t>the ASPIRE (</w:t>
      </w:r>
      <w:proofErr w:type="spellStart"/>
      <w:r>
        <w:t>CLd</w:t>
      </w:r>
      <w:proofErr w:type="spellEnd"/>
      <w:r>
        <w:t xml:space="preserve"> versus </w:t>
      </w:r>
      <w:proofErr w:type="spellStart"/>
      <w:r>
        <w:t>Ld</w:t>
      </w:r>
      <w:proofErr w:type="spellEnd"/>
      <w:r>
        <w:t xml:space="preserve">, N = 792) and ENDEAVOR </w:t>
      </w:r>
      <w:r w:rsidRPr="00F04A75">
        <w:t>(Cd v</w:t>
      </w:r>
      <w:r>
        <w:t>ersu</w:t>
      </w:r>
      <w:r w:rsidRPr="00F04A75">
        <w:t>s Bd</w:t>
      </w:r>
      <w:r>
        <w:t xml:space="preserve">, N </w:t>
      </w:r>
      <w:r w:rsidRPr="00F04A75">
        <w:t>=</w:t>
      </w:r>
      <w:r>
        <w:t xml:space="preserve"> </w:t>
      </w:r>
      <w:r w:rsidRPr="00F04A75">
        <w:t>929) trials</w:t>
      </w:r>
      <w:r>
        <w:t xml:space="preserve">. </w:t>
      </w:r>
      <w:r w:rsidRPr="00F04A75">
        <w:t xml:space="preserve">The ITC utilised </w:t>
      </w:r>
      <w:proofErr w:type="spellStart"/>
      <w:r w:rsidRPr="00F04A75">
        <w:t>Ld</w:t>
      </w:r>
      <w:proofErr w:type="spellEnd"/>
      <w:r w:rsidRPr="00F04A75">
        <w:t xml:space="preserve"> and Bd as the common reference based on an assumption of equivalence and did not adjust for any potential differences. The PBAC has previously stated it may not be reasonable to assume non-inferior efficacy between </w:t>
      </w:r>
      <w:proofErr w:type="spellStart"/>
      <w:r w:rsidRPr="00F04A75">
        <w:t>Ld</w:t>
      </w:r>
      <w:proofErr w:type="spellEnd"/>
      <w:r w:rsidRPr="00F04A75">
        <w:t xml:space="preserve"> and Bd (</w:t>
      </w:r>
      <w:r w:rsidRPr="00F2377B">
        <w:t xml:space="preserve">see </w:t>
      </w:r>
      <w:r w:rsidR="003F7206" w:rsidRPr="00F04A75">
        <w:t>paragraph 5.3, carfilzomib PSD, November 2016</w:t>
      </w:r>
      <w:r w:rsidR="003F7206">
        <w:t xml:space="preserve"> and </w:t>
      </w:r>
      <w:r w:rsidR="003F7206" w:rsidRPr="00F04A75">
        <w:t>Lenalidomide PSD, November 2008</w:t>
      </w:r>
      <w:r w:rsidRPr="00F04A75">
        <w:t xml:space="preserve">), and this was considered a limitation of the </w:t>
      </w:r>
      <w:r>
        <w:t>available evidence</w:t>
      </w:r>
      <w:r w:rsidRPr="00F04A75">
        <w:t xml:space="preserve">. </w:t>
      </w:r>
    </w:p>
    <w:p w14:paraId="0B9B8D50" w14:textId="3027BB50" w:rsidR="00632FAE" w:rsidRPr="00F04A75" w:rsidRDefault="00632FAE" w:rsidP="00632FAE">
      <w:pPr>
        <w:widowControl w:val="0"/>
        <w:numPr>
          <w:ilvl w:val="1"/>
          <w:numId w:val="1"/>
        </w:numPr>
        <w:spacing w:after="120"/>
      </w:pPr>
      <w:r w:rsidRPr="00F04A75">
        <w:rPr>
          <w:rFonts w:asciiTheme="minorHAnsi" w:hAnsiTheme="minorHAnsi"/>
          <w:snapToGrid w:val="0"/>
        </w:rPr>
        <w:t xml:space="preserve">The submission also presented secondary </w:t>
      </w:r>
      <w:r>
        <w:rPr>
          <w:rFonts w:asciiTheme="minorHAnsi" w:hAnsiTheme="minorHAnsi"/>
          <w:snapToGrid w:val="0"/>
        </w:rPr>
        <w:t>ITCs</w:t>
      </w:r>
      <w:r w:rsidRPr="00F04A75">
        <w:rPr>
          <w:rFonts w:asciiTheme="minorHAnsi" w:hAnsiTheme="minorHAnsi"/>
          <w:snapToGrid w:val="0"/>
        </w:rPr>
        <w:t xml:space="preserve"> </w:t>
      </w:r>
      <w:r>
        <w:rPr>
          <w:rFonts w:asciiTheme="minorHAnsi" w:hAnsiTheme="minorHAnsi"/>
          <w:snapToGrid w:val="0"/>
        </w:rPr>
        <w:t>between</w:t>
      </w:r>
      <w:r w:rsidRPr="00F04A75">
        <w:rPr>
          <w:rFonts w:asciiTheme="minorHAnsi" w:hAnsiTheme="minorHAnsi"/>
          <w:snapToGrid w:val="0"/>
        </w:rPr>
        <w:t xml:space="preserve"> </w:t>
      </w:r>
      <w:proofErr w:type="spellStart"/>
      <w:r w:rsidRPr="00F04A75">
        <w:rPr>
          <w:rFonts w:asciiTheme="minorHAnsi" w:hAnsiTheme="minorHAnsi"/>
          <w:snapToGrid w:val="0"/>
        </w:rPr>
        <w:t>CLd</w:t>
      </w:r>
      <w:proofErr w:type="spellEnd"/>
      <w:r w:rsidRPr="00F04A75">
        <w:rPr>
          <w:rFonts w:asciiTheme="minorHAnsi" w:hAnsiTheme="minorHAnsi"/>
          <w:snapToGrid w:val="0"/>
        </w:rPr>
        <w:t xml:space="preserve"> </w:t>
      </w:r>
      <w:r>
        <w:rPr>
          <w:rFonts w:asciiTheme="minorHAnsi" w:hAnsiTheme="minorHAnsi"/>
          <w:snapToGrid w:val="0"/>
        </w:rPr>
        <w:t xml:space="preserve">and </w:t>
      </w:r>
      <w:proofErr w:type="spellStart"/>
      <w:r w:rsidRPr="00F04A75">
        <w:rPr>
          <w:rFonts w:asciiTheme="minorHAnsi" w:hAnsiTheme="minorHAnsi"/>
          <w:snapToGrid w:val="0"/>
        </w:rPr>
        <w:t>ELd</w:t>
      </w:r>
      <w:proofErr w:type="spellEnd"/>
      <w:r w:rsidRPr="00F04A75">
        <w:rPr>
          <w:rFonts w:asciiTheme="minorHAnsi" w:hAnsiTheme="minorHAnsi"/>
          <w:snapToGrid w:val="0"/>
        </w:rPr>
        <w:t xml:space="preserve"> </w:t>
      </w:r>
      <w:r>
        <w:rPr>
          <w:rFonts w:asciiTheme="minorHAnsi" w:hAnsiTheme="minorHAnsi"/>
          <w:snapToGrid w:val="0"/>
        </w:rPr>
        <w:t xml:space="preserve">based on the ASPIRE and ELOQUENT-2 </w:t>
      </w:r>
      <w:r w:rsidRPr="00F04A75">
        <w:t>(</w:t>
      </w:r>
      <w:proofErr w:type="spellStart"/>
      <w:r w:rsidRPr="00F04A75">
        <w:t>ELd</w:t>
      </w:r>
      <w:proofErr w:type="spellEnd"/>
      <w:r w:rsidRPr="00F04A75">
        <w:t xml:space="preserve"> v</w:t>
      </w:r>
      <w:r>
        <w:t>ersu</w:t>
      </w:r>
      <w:r w:rsidRPr="00F04A75">
        <w:t xml:space="preserve">s </w:t>
      </w:r>
      <w:proofErr w:type="spellStart"/>
      <w:r w:rsidRPr="00F04A75">
        <w:t>Ld</w:t>
      </w:r>
      <w:proofErr w:type="spellEnd"/>
      <w:r w:rsidRPr="00F04A75">
        <w:t xml:space="preserve">, </w:t>
      </w:r>
      <w:r>
        <w:t xml:space="preserve">N </w:t>
      </w:r>
      <w:r w:rsidRPr="00F04A75">
        <w:t>=</w:t>
      </w:r>
      <w:r>
        <w:t xml:space="preserve"> </w:t>
      </w:r>
      <w:r w:rsidRPr="00F04A75">
        <w:t>646)</w:t>
      </w:r>
      <w:r>
        <w:t xml:space="preserve"> trials and between </w:t>
      </w:r>
      <w:proofErr w:type="spellStart"/>
      <w:r>
        <w:t>CLd</w:t>
      </w:r>
      <w:proofErr w:type="spellEnd"/>
      <w:r>
        <w:t xml:space="preserve"> </w:t>
      </w:r>
      <w:r w:rsidRPr="00F04A75">
        <w:rPr>
          <w:rFonts w:asciiTheme="minorHAnsi" w:hAnsiTheme="minorHAnsi"/>
          <w:snapToGrid w:val="0"/>
        </w:rPr>
        <w:t xml:space="preserve">and </w:t>
      </w:r>
      <w:proofErr w:type="spellStart"/>
      <w:r w:rsidRPr="00F04A75">
        <w:rPr>
          <w:rFonts w:asciiTheme="minorHAnsi" w:hAnsiTheme="minorHAnsi"/>
          <w:snapToGrid w:val="0"/>
        </w:rPr>
        <w:t>PBd</w:t>
      </w:r>
      <w:proofErr w:type="spellEnd"/>
      <w:r>
        <w:rPr>
          <w:rFonts w:asciiTheme="minorHAnsi" w:hAnsiTheme="minorHAnsi"/>
          <w:snapToGrid w:val="0"/>
        </w:rPr>
        <w:t xml:space="preserve"> based on the ASPIRE and </w:t>
      </w:r>
      <w:r w:rsidRPr="00F04A75">
        <w:t>OPTIMISMM (</w:t>
      </w:r>
      <w:proofErr w:type="spellStart"/>
      <w:r w:rsidRPr="00F04A75">
        <w:t>PBd</w:t>
      </w:r>
      <w:proofErr w:type="spellEnd"/>
      <w:r w:rsidRPr="00F04A75">
        <w:t xml:space="preserve"> v</w:t>
      </w:r>
      <w:r>
        <w:t>ersu</w:t>
      </w:r>
      <w:r w:rsidRPr="00F04A75">
        <w:t xml:space="preserve">s Bd, </w:t>
      </w:r>
      <w:r>
        <w:t xml:space="preserve">N </w:t>
      </w:r>
      <w:r w:rsidRPr="00F04A75">
        <w:t>=</w:t>
      </w:r>
      <w:r>
        <w:t xml:space="preserve"> </w:t>
      </w:r>
      <w:r w:rsidRPr="00F04A75">
        <w:t>559)</w:t>
      </w:r>
      <w:r>
        <w:t xml:space="preserve"> trials</w:t>
      </w:r>
      <w:r w:rsidRPr="00F04A75">
        <w:rPr>
          <w:rFonts w:asciiTheme="minorHAnsi" w:hAnsiTheme="minorHAnsi"/>
          <w:snapToGrid w:val="0"/>
        </w:rPr>
        <w:t xml:space="preserve">.  </w:t>
      </w:r>
      <w:r w:rsidRPr="00F04A75">
        <w:t xml:space="preserve">The PBAC noted that </w:t>
      </w:r>
      <w:r w:rsidR="00DB0244">
        <w:t>patient demographics were similar</w:t>
      </w:r>
      <w:r w:rsidR="00DB0244" w:rsidRPr="00F04A75">
        <w:t xml:space="preserve"> </w:t>
      </w:r>
      <w:r w:rsidR="00DB0244">
        <w:t xml:space="preserve">across the trials and although there were minor </w:t>
      </w:r>
      <w:r w:rsidRPr="00F04A75">
        <w:t>differe</w:t>
      </w:r>
      <w:r w:rsidR="00DB0244">
        <w:t xml:space="preserve">nces in </w:t>
      </w:r>
      <w:r w:rsidRPr="00F04A75">
        <w:t>trial durations and eligibility criteria</w:t>
      </w:r>
      <w:r w:rsidR="00DB0244">
        <w:t xml:space="preserve">, the </w:t>
      </w:r>
      <w:r w:rsidRPr="00F04A75">
        <w:t xml:space="preserve">differences were </w:t>
      </w:r>
      <w:r w:rsidRPr="000976FD">
        <w:t>not</w:t>
      </w:r>
      <w:r w:rsidRPr="00F04A75">
        <w:t xml:space="preserve"> anticipated to affect the comparability.</w:t>
      </w:r>
      <w:r w:rsidR="00CC3E2F">
        <w:t xml:space="preserve"> </w:t>
      </w:r>
      <w:r w:rsidR="00CC3E2F" w:rsidRPr="00F04A75">
        <w:t xml:space="preserve">The ITC </w:t>
      </w:r>
      <w:r w:rsidR="00CC3E2F">
        <w:t xml:space="preserve">between </w:t>
      </w:r>
      <w:proofErr w:type="spellStart"/>
      <w:r w:rsidR="00CC3E2F">
        <w:t>CLd</w:t>
      </w:r>
      <w:proofErr w:type="spellEnd"/>
      <w:r w:rsidR="00CC3E2F">
        <w:t xml:space="preserve"> and </w:t>
      </w:r>
      <w:proofErr w:type="spellStart"/>
      <w:r w:rsidR="00CC3E2F">
        <w:t>ELd</w:t>
      </w:r>
      <w:proofErr w:type="spellEnd"/>
      <w:r w:rsidR="00CC3E2F">
        <w:t xml:space="preserve"> utilised </w:t>
      </w:r>
      <w:proofErr w:type="spellStart"/>
      <w:r w:rsidR="00CC3E2F">
        <w:t>Ld</w:t>
      </w:r>
      <w:proofErr w:type="spellEnd"/>
      <w:r w:rsidR="00CC3E2F">
        <w:t xml:space="preserve"> as the common reference. The ITC between </w:t>
      </w:r>
      <w:proofErr w:type="spellStart"/>
      <w:r w:rsidR="00CC3E2F">
        <w:t>CLd</w:t>
      </w:r>
      <w:proofErr w:type="spellEnd"/>
      <w:r w:rsidR="00CC3E2F">
        <w:t xml:space="preserve"> and </w:t>
      </w:r>
      <w:proofErr w:type="spellStart"/>
      <w:r w:rsidR="00CC3E2F">
        <w:t>PBd</w:t>
      </w:r>
      <w:proofErr w:type="spellEnd"/>
      <w:r w:rsidR="00CC3E2F">
        <w:t xml:space="preserve"> </w:t>
      </w:r>
      <w:r w:rsidR="00CC3E2F" w:rsidRPr="00F04A75">
        <w:t xml:space="preserve">utilised </w:t>
      </w:r>
      <w:proofErr w:type="spellStart"/>
      <w:r w:rsidR="00CC3E2F" w:rsidRPr="00F04A75">
        <w:t>Ld</w:t>
      </w:r>
      <w:proofErr w:type="spellEnd"/>
      <w:r w:rsidR="00CC3E2F" w:rsidRPr="00F04A75">
        <w:t xml:space="preserve"> and Bd as the common reference based on an assumption of equivalence and did not adjust for any potential differences</w:t>
      </w:r>
      <w:r w:rsidR="00CC3E2F">
        <w:t>, which may not have been reasonable (</w:t>
      </w:r>
      <w:r w:rsidR="00FC0499">
        <w:t>s</w:t>
      </w:r>
      <w:r w:rsidR="00CC3E2F">
        <w:t>ee paragraph 6.5)</w:t>
      </w:r>
      <w:r w:rsidR="00CC3E2F" w:rsidRPr="00F04A75">
        <w:t>.</w:t>
      </w:r>
    </w:p>
    <w:p w14:paraId="30457165" w14:textId="0ED2AB88" w:rsidR="00632FAE" w:rsidRPr="00F04A75" w:rsidRDefault="00632FAE" w:rsidP="00632FAE">
      <w:pPr>
        <w:pStyle w:val="3-BodyText"/>
        <w:widowControl w:val="0"/>
      </w:pPr>
      <w:r w:rsidRPr="00F04A75">
        <w:t xml:space="preserve">The PBAC noted that the </w:t>
      </w:r>
      <w:r w:rsidR="00C73608">
        <w:t xml:space="preserve">ITCs </w:t>
      </w:r>
      <w:r w:rsidR="00F92C5D">
        <w:t xml:space="preserve">did not </w:t>
      </w:r>
      <w:r w:rsidR="00C73608">
        <w:t xml:space="preserve">demonstrate statistically significant differences between </w:t>
      </w:r>
      <w:proofErr w:type="spellStart"/>
      <w:r w:rsidR="00C73608">
        <w:t>CLd</w:t>
      </w:r>
      <w:proofErr w:type="spellEnd"/>
      <w:r w:rsidR="00C73608">
        <w:t xml:space="preserve"> and Cd in terms of </w:t>
      </w:r>
      <w:r w:rsidRPr="00F04A75">
        <w:t xml:space="preserve">PFS </w:t>
      </w:r>
      <w:r w:rsidR="00C73608" w:rsidRPr="00F04A75">
        <w:t>(HR = 1.29; 95% CI: 0.98, 1.71)</w:t>
      </w:r>
      <w:r w:rsidR="00C73608">
        <w:t xml:space="preserve"> </w:t>
      </w:r>
      <w:r w:rsidRPr="00F04A75">
        <w:t xml:space="preserve">and OS </w:t>
      </w:r>
      <w:r w:rsidR="00C73608" w:rsidRPr="00F04A75">
        <w:t>(HR = 0.99; 95% CI: 0.74, 1.34)</w:t>
      </w:r>
      <w:r w:rsidR="00C73608">
        <w:t xml:space="preserve">. The PBAC noted that there were also no statistically significant differences </w:t>
      </w:r>
      <w:r w:rsidR="00F92C5D">
        <w:t xml:space="preserve">found </w:t>
      </w:r>
      <w:r w:rsidR="00C73608">
        <w:t xml:space="preserve">in terms of PFS and OS between </w:t>
      </w:r>
      <w:proofErr w:type="spellStart"/>
      <w:r w:rsidR="00C73608">
        <w:t>CLd</w:t>
      </w:r>
      <w:proofErr w:type="spellEnd"/>
      <w:r w:rsidR="00C73608">
        <w:t xml:space="preserve"> and </w:t>
      </w:r>
      <w:proofErr w:type="spellStart"/>
      <w:r w:rsidR="00C73608">
        <w:t>ELd</w:t>
      </w:r>
      <w:proofErr w:type="spellEnd"/>
      <w:r w:rsidR="00C73608">
        <w:t xml:space="preserve"> or </w:t>
      </w:r>
      <w:proofErr w:type="spellStart"/>
      <w:r w:rsidR="00C73608">
        <w:t>CLd</w:t>
      </w:r>
      <w:proofErr w:type="spellEnd"/>
      <w:r w:rsidR="00C73608">
        <w:t xml:space="preserve"> and </w:t>
      </w:r>
      <w:proofErr w:type="spellStart"/>
      <w:r w:rsidR="00C73608">
        <w:t>PBd</w:t>
      </w:r>
      <w:proofErr w:type="spellEnd"/>
      <w:r w:rsidR="00C73608">
        <w:t>. The PBAC noted that a non-inferiority margin was not nominated by the resubmission.</w:t>
      </w:r>
    </w:p>
    <w:p w14:paraId="127EBC6C" w14:textId="6A2C08D6" w:rsidR="00632FAE" w:rsidRPr="00F04A75" w:rsidRDefault="00632FAE" w:rsidP="00632FAE">
      <w:pPr>
        <w:widowControl w:val="0"/>
        <w:numPr>
          <w:ilvl w:val="1"/>
          <w:numId w:val="1"/>
        </w:numPr>
        <w:spacing w:after="120"/>
      </w:pPr>
      <w:r w:rsidRPr="00F04A75">
        <w:t>With regard</w:t>
      </w:r>
      <w:r w:rsidR="00655C2D">
        <w:t>s</w:t>
      </w:r>
      <w:r w:rsidRPr="00F04A75">
        <w:t xml:space="preserve"> to comparative harms, </w:t>
      </w:r>
      <w:r w:rsidR="00C73608">
        <w:t xml:space="preserve">the PBAC </w:t>
      </w:r>
      <w:r w:rsidRPr="00F04A75">
        <w:t xml:space="preserve">considered that interpretation of </w:t>
      </w:r>
      <w:r w:rsidR="00C73608">
        <w:t xml:space="preserve">the </w:t>
      </w:r>
      <w:r w:rsidRPr="00F04A75">
        <w:t xml:space="preserve">naïve ITC was </w:t>
      </w:r>
      <w:r w:rsidR="00F51172">
        <w:t>impacted</w:t>
      </w:r>
      <w:r w:rsidRPr="00F04A75">
        <w:t xml:space="preserve"> by different durations of</w:t>
      </w:r>
      <w:r w:rsidR="00167C84">
        <w:t xml:space="preserve"> follow-up and hence</w:t>
      </w:r>
      <w:r w:rsidRPr="00F04A75">
        <w:t xml:space="preserve"> </w:t>
      </w:r>
      <w:r w:rsidRPr="00F2377B">
        <w:t>treatment (see paragraph 6.3</w:t>
      </w:r>
      <w:r w:rsidR="00C73608" w:rsidRPr="00F2377B">
        <w:t>4</w:t>
      </w:r>
      <w:r w:rsidRPr="00F2377B">
        <w:t xml:space="preserve">). </w:t>
      </w:r>
      <w:r w:rsidR="00C73608" w:rsidRPr="00F2377B">
        <w:t xml:space="preserve">The PBAC noted that </w:t>
      </w:r>
      <w:r w:rsidR="00CC3E2F" w:rsidRPr="00F2377B">
        <w:t xml:space="preserve">although </w:t>
      </w:r>
      <w:r w:rsidR="00F51172" w:rsidRPr="00F2377B">
        <w:t>for</w:t>
      </w:r>
      <w:r w:rsidR="00C73608" w:rsidRPr="00F2377B">
        <w:t xml:space="preserve"> </w:t>
      </w:r>
      <w:r w:rsidR="00DA33F8" w:rsidRPr="00F2377B">
        <w:t xml:space="preserve">the </w:t>
      </w:r>
      <w:proofErr w:type="spellStart"/>
      <w:r w:rsidR="00C73608" w:rsidRPr="00F2377B">
        <w:t>CLd</w:t>
      </w:r>
      <w:proofErr w:type="spellEnd"/>
      <w:r w:rsidR="00C73608" w:rsidRPr="00F2377B">
        <w:t xml:space="preserve"> </w:t>
      </w:r>
      <w:r w:rsidR="00CC3E2F" w:rsidRPr="00F2377B">
        <w:t xml:space="preserve">arm of ASPIRE </w:t>
      </w:r>
      <w:r w:rsidR="00C73608" w:rsidRPr="00F2377B">
        <w:t>an</w:t>
      </w:r>
      <w:r w:rsidR="00C73608" w:rsidRPr="00F04A75">
        <w:t xml:space="preserve">d </w:t>
      </w:r>
      <w:r w:rsidR="00CC3E2F">
        <w:t xml:space="preserve">the </w:t>
      </w:r>
      <w:r w:rsidR="00C73608" w:rsidRPr="00F04A75">
        <w:t xml:space="preserve">Cd arm </w:t>
      </w:r>
      <w:r w:rsidR="00492E53">
        <w:t xml:space="preserve">of </w:t>
      </w:r>
      <w:r w:rsidR="00CC3E2F">
        <w:t>ENDEAV</w:t>
      </w:r>
      <w:r w:rsidR="000D4DB9">
        <w:t>O</w:t>
      </w:r>
      <w:r w:rsidR="00CC3E2F">
        <w:t>R</w:t>
      </w:r>
      <w:r w:rsidR="00492E53">
        <w:t xml:space="preserve"> </w:t>
      </w:r>
      <w:r w:rsidR="00C73608" w:rsidRPr="00F04A75">
        <w:t xml:space="preserve">the incidence of patients experiencing at least one </w:t>
      </w:r>
      <w:r w:rsidR="008033B8">
        <w:t>adverse event (</w:t>
      </w:r>
      <w:r w:rsidR="00C73608" w:rsidRPr="00F04A75">
        <w:t>AE</w:t>
      </w:r>
      <w:r w:rsidR="008033B8">
        <w:t>;</w:t>
      </w:r>
      <w:r w:rsidR="00C73608" w:rsidRPr="00F04A75">
        <w:t xml:space="preserve"> 98% vs. 98.7%); serious AE (65.3% vs. 59.0%); Grade 3 AE (87% vs. 81.4%) and AE leading to discontinuation (33.4% vs 28.7%)</w:t>
      </w:r>
      <w:r w:rsidR="00F51172">
        <w:t xml:space="preserve"> w</w:t>
      </w:r>
      <w:r w:rsidR="00CC3E2F">
        <w:t>ere</w:t>
      </w:r>
      <w:r w:rsidR="00F51172">
        <w:t xml:space="preserve"> similar</w:t>
      </w:r>
      <w:r w:rsidR="00CC3E2F">
        <w:t xml:space="preserve">, </w:t>
      </w:r>
      <w:proofErr w:type="spellStart"/>
      <w:r w:rsidR="00CC3E2F">
        <w:t>CLd</w:t>
      </w:r>
      <w:proofErr w:type="spellEnd"/>
      <w:r w:rsidR="00CC3E2F">
        <w:t xml:space="preserve"> appeared to be associated with higher rates of Grade </w:t>
      </w:r>
      <w:r w:rsidR="00CC3E2F">
        <w:rPr>
          <w:rFonts w:cs="Calibri"/>
        </w:rPr>
        <w:t>≥</w:t>
      </w:r>
      <w:r w:rsidR="00CC3E2F">
        <w:t xml:space="preserve"> 3 neutropenia (31.1% vs. 2.4%)</w:t>
      </w:r>
      <w:r w:rsidR="000D4DB9">
        <w:t>, thrombocytopenia (16.8% vs. 8.9%), pneumonia (16.1% vs. 9.1%) and hypokalaemia (10.5% vs. 2.4%) than Cd</w:t>
      </w:r>
      <w:r w:rsidR="00C73608" w:rsidRPr="00F04A75">
        <w:t xml:space="preserve">. </w:t>
      </w:r>
    </w:p>
    <w:p w14:paraId="230F3575" w14:textId="7F49BD0E" w:rsidR="00632FAE" w:rsidRPr="00F04A75" w:rsidRDefault="00C73608" w:rsidP="00632FAE">
      <w:pPr>
        <w:pStyle w:val="3-BodyText"/>
      </w:pPr>
      <w:r>
        <w:rPr>
          <w:iCs/>
        </w:rPr>
        <w:t>Overall, t</w:t>
      </w:r>
      <w:r w:rsidR="00632FAE" w:rsidRPr="00F04A75">
        <w:rPr>
          <w:iCs/>
        </w:rPr>
        <w:t>he</w:t>
      </w:r>
      <w:r w:rsidR="00632FAE" w:rsidRPr="00F04A75">
        <w:t xml:space="preserve"> PBAC considered that the submission’s claim of non-inferior comparative effectiveness and safety was reasonable for the primary comparison </w:t>
      </w:r>
      <w:r>
        <w:t>between</w:t>
      </w:r>
      <w:r w:rsidR="00632FAE" w:rsidRPr="00F04A75">
        <w:t xml:space="preserve"> </w:t>
      </w:r>
      <w:proofErr w:type="spellStart"/>
      <w:r w:rsidR="00632FAE" w:rsidRPr="00F04A75">
        <w:t>CLd</w:t>
      </w:r>
      <w:proofErr w:type="spellEnd"/>
      <w:r w:rsidR="00632FAE" w:rsidRPr="00F04A75">
        <w:t xml:space="preserve"> </w:t>
      </w:r>
      <w:r>
        <w:t>and</w:t>
      </w:r>
      <w:r w:rsidR="00632FAE" w:rsidRPr="00F04A75">
        <w:t xml:space="preserve"> Cd, and </w:t>
      </w:r>
      <w:r>
        <w:t xml:space="preserve">for </w:t>
      </w:r>
      <w:r w:rsidR="00632FAE" w:rsidRPr="00F04A75">
        <w:t xml:space="preserve">the secondary comparisons </w:t>
      </w:r>
      <w:r>
        <w:t xml:space="preserve">between </w:t>
      </w:r>
      <w:proofErr w:type="spellStart"/>
      <w:r w:rsidR="00632FAE" w:rsidRPr="00F04A75">
        <w:t>CLd</w:t>
      </w:r>
      <w:proofErr w:type="spellEnd"/>
      <w:r w:rsidR="00632FAE" w:rsidRPr="00F04A75">
        <w:t xml:space="preserve"> </w:t>
      </w:r>
      <w:r>
        <w:t xml:space="preserve">and </w:t>
      </w:r>
      <w:proofErr w:type="spellStart"/>
      <w:r w:rsidR="00632FAE" w:rsidRPr="00F04A75">
        <w:t>ELd</w:t>
      </w:r>
      <w:proofErr w:type="spellEnd"/>
      <w:r w:rsidR="00632FAE" w:rsidRPr="00F04A75">
        <w:t xml:space="preserve"> and </w:t>
      </w:r>
      <w:proofErr w:type="spellStart"/>
      <w:r w:rsidR="00632FAE" w:rsidRPr="00F04A75">
        <w:t>PBd</w:t>
      </w:r>
      <w:proofErr w:type="spellEnd"/>
      <w:r w:rsidR="00632FAE" w:rsidRPr="00F04A75">
        <w:t xml:space="preserve">.  </w:t>
      </w:r>
      <w:r w:rsidR="00632FAE" w:rsidRPr="00F04A75">
        <w:rPr>
          <w:szCs w:val="20"/>
        </w:rPr>
        <w:t xml:space="preserve">The PBAC noted although there were some uncertainties relating to the clinical claims, the evidence base was </w:t>
      </w:r>
      <w:proofErr w:type="gramStart"/>
      <w:r w:rsidR="00632FAE" w:rsidRPr="00F04A75">
        <w:rPr>
          <w:szCs w:val="20"/>
        </w:rPr>
        <w:t>similar to</w:t>
      </w:r>
      <w:proofErr w:type="gramEnd"/>
      <w:r w:rsidR="00632FAE" w:rsidRPr="00F04A75">
        <w:rPr>
          <w:szCs w:val="20"/>
        </w:rPr>
        <w:t xml:space="preserve"> that which had supported other </w:t>
      </w:r>
      <w:r w:rsidR="009F43F1">
        <w:rPr>
          <w:szCs w:val="20"/>
        </w:rPr>
        <w:t>multiple myeloma</w:t>
      </w:r>
      <w:r w:rsidR="009F43F1" w:rsidRPr="00F04A75">
        <w:rPr>
          <w:szCs w:val="20"/>
        </w:rPr>
        <w:t xml:space="preserve"> </w:t>
      </w:r>
      <w:r w:rsidR="00632FAE" w:rsidRPr="00F04A75">
        <w:rPr>
          <w:szCs w:val="20"/>
        </w:rPr>
        <w:t>listings</w:t>
      </w:r>
      <w:r w:rsidR="00F51172">
        <w:rPr>
          <w:szCs w:val="20"/>
        </w:rPr>
        <w:t xml:space="preserve"> based on a CMA</w:t>
      </w:r>
      <w:r w:rsidR="00632FAE" w:rsidRPr="00F04A75">
        <w:rPr>
          <w:szCs w:val="20"/>
        </w:rPr>
        <w:t>.</w:t>
      </w:r>
    </w:p>
    <w:p w14:paraId="2A7F128D" w14:textId="707E2194" w:rsidR="002A212F" w:rsidRDefault="00AB2122" w:rsidP="002A212F">
      <w:pPr>
        <w:widowControl w:val="0"/>
        <w:numPr>
          <w:ilvl w:val="1"/>
          <w:numId w:val="1"/>
        </w:numPr>
        <w:spacing w:after="120"/>
        <w:rPr>
          <w:rFonts w:asciiTheme="minorHAnsi" w:hAnsiTheme="minorHAnsi"/>
          <w:snapToGrid w:val="0"/>
        </w:rPr>
      </w:pPr>
      <w:r w:rsidRPr="00F04A75">
        <w:rPr>
          <w:rFonts w:asciiTheme="minorHAnsi" w:hAnsiTheme="minorHAnsi"/>
          <w:snapToGrid w:val="0"/>
        </w:rPr>
        <w:t xml:space="preserve">The PBAC </w:t>
      </w:r>
      <w:r w:rsidR="00ED5716">
        <w:rPr>
          <w:rFonts w:asciiTheme="minorHAnsi" w:hAnsiTheme="minorHAnsi"/>
          <w:snapToGrid w:val="0"/>
        </w:rPr>
        <w:t xml:space="preserve">noted that the resubmission presented a CMA between </w:t>
      </w:r>
      <w:proofErr w:type="spellStart"/>
      <w:r w:rsidR="00ED5716">
        <w:rPr>
          <w:rFonts w:asciiTheme="minorHAnsi" w:hAnsiTheme="minorHAnsi"/>
          <w:snapToGrid w:val="0"/>
        </w:rPr>
        <w:t>CLd</w:t>
      </w:r>
      <w:proofErr w:type="spellEnd"/>
      <w:r w:rsidR="00ED5716">
        <w:rPr>
          <w:rFonts w:asciiTheme="minorHAnsi" w:hAnsiTheme="minorHAnsi"/>
          <w:snapToGrid w:val="0"/>
        </w:rPr>
        <w:t xml:space="preserve"> and Cd</w:t>
      </w:r>
      <w:r w:rsidR="00345217">
        <w:rPr>
          <w:rFonts w:asciiTheme="minorHAnsi" w:hAnsiTheme="minorHAnsi"/>
          <w:snapToGrid w:val="0"/>
        </w:rPr>
        <w:t xml:space="preserve"> based on 15 cycles of treatment</w:t>
      </w:r>
      <w:r w:rsidR="00ED5716">
        <w:rPr>
          <w:rFonts w:asciiTheme="minorHAnsi" w:hAnsiTheme="minorHAnsi"/>
          <w:snapToGrid w:val="0"/>
        </w:rPr>
        <w:t xml:space="preserve">. </w:t>
      </w:r>
      <w:r w:rsidR="00864053">
        <w:rPr>
          <w:rFonts w:asciiTheme="minorHAnsi" w:hAnsiTheme="minorHAnsi"/>
          <w:snapToGrid w:val="0"/>
        </w:rPr>
        <w:t xml:space="preserve">The PBAC considered that the </w:t>
      </w:r>
      <w:proofErr w:type="spellStart"/>
      <w:r w:rsidR="00864053">
        <w:rPr>
          <w:rFonts w:asciiTheme="minorHAnsi" w:hAnsiTheme="minorHAnsi"/>
          <w:snapToGrid w:val="0"/>
        </w:rPr>
        <w:t>equi</w:t>
      </w:r>
      <w:proofErr w:type="spellEnd"/>
      <w:r w:rsidR="00864053">
        <w:rPr>
          <w:rFonts w:asciiTheme="minorHAnsi" w:hAnsiTheme="minorHAnsi"/>
          <w:snapToGrid w:val="0"/>
        </w:rPr>
        <w:t xml:space="preserve">-effective doses derived from the clinical evidence (ASPIRE, ENDEAVOR and ARROW trials) </w:t>
      </w:r>
      <w:r w:rsidR="000976FD">
        <w:rPr>
          <w:rFonts w:asciiTheme="minorHAnsi" w:hAnsiTheme="minorHAnsi"/>
          <w:snapToGrid w:val="0"/>
        </w:rPr>
        <w:t xml:space="preserve">and based on 15 cycles of treatment </w:t>
      </w:r>
      <w:r w:rsidR="00864053">
        <w:rPr>
          <w:rFonts w:asciiTheme="minorHAnsi" w:hAnsiTheme="minorHAnsi"/>
          <w:snapToGrid w:val="0"/>
        </w:rPr>
        <w:t>were reasonable:</w:t>
      </w:r>
    </w:p>
    <w:p w14:paraId="2C8D3E18" w14:textId="77777777" w:rsidR="002A212F" w:rsidRDefault="002A212F" w:rsidP="002A212F">
      <w:pPr>
        <w:widowControl w:val="0"/>
        <w:spacing w:after="120"/>
        <w:ind w:left="720"/>
      </w:pPr>
      <w:r w:rsidRPr="00F04A75">
        <w:t xml:space="preserve">4,478 mg carfilzomib + 6,213 mg lenalidomide (given as </w:t>
      </w:r>
      <w:proofErr w:type="spellStart"/>
      <w:r w:rsidRPr="00F04A75">
        <w:t>CLd</w:t>
      </w:r>
      <w:proofErr w:type="spellEnd"/>
      <w:r w:rsidRPr="00F04A75">
        <w:t xml:space="preserve">) = </w:t>
      </w:r>
    </w:p>
    <w:p w14:paraId="0F034204" w14:textId="7C084B42" w:rsidR="002A212F" w:rsidRPr="002A212F" w:rsidRDefault="002A212F" w:rsidP="002A212F">
      <w:pPr>
        <w:widowControl w:val="0"/>
        <w:spacing w:after="120"/>
        <w:ind w:left="720"/>
        <w:rPr>
          <w:rFonts w:asciiTheme="minorHAnsi" w:hAnsiTheme="minorHAnsi"/>
          <w:snapToGrid w:val="0"/>
        </w:rPr>
      </w:pPr>
      <w:r w:rsidRPr="00F04A75">
        <w:t xml:space="preserve">9,076 mg carfilzomib BIW (given as Cd) </w:t>
      </w:r>
      <w:r w:rsidR="00864053">
        <w:t xml:space="preserve">OR </w:t>
      </w:r>
      <w:r w:rsidRPr="00F04A75">
        <w:t>5,603 mg carfilzomib QW (given as Cd)</w:t>
      </w:r>
    </w:p>
    <w:p w14:paraId="18B1C5C9" w14:textId="0E9A3A69" w:rsidR="00696363" w:rsidRPr="00696363" w:rsidRDefault="0035349B" w:rsidP="00845A7F">
      <w:pPr>
        <w:pStyle w:val="3-BodyText"/>
      </w:pPr>
      <w:r w:rsidRPr="00F04A75">
        <w:t xml:space="preserve">The PBAC </w:t>
      </w:r>
      <w:r>
        <w:t xml:space="preserve">noted </w:t>
      </w:r>
      <w:r w:rsidRPr="00F04A75">
        <w:t xml:space="preserve">that the proposed </w:t>
      </w:r>
      <w:proofErr w:type="spellStart"/>
      <w:r w:rsidRPr="00F04A75">
        <w:t>equi</w:t>
      </w:r>
      <w:proofErr w:type="spellEnd"/>
      <w:r w:rsidRPr="00F04A75">
        <w:t>-effective doses for the BIW and QW Cd regimens (9,076 mg: 5,603 mg = 1.62 mg: 1mg) were different to those previously accepted by the PBAC (7,278 mg: 4,969 mg = 1.46 mg: 1 mg)</w:t>
      </w:r>
      <w:r w:rsidR="00F66546">
        <w:t xml:space="preserve"> which assumed </w:t>
      </w:r>
      <w:r w:rsidR="00DA33F8">
        <w:t xml:space="preserve">more treatment cycles for the QW regimen </w:t>
      </w:r>
      <w:r w:rsidR="00492E53">
        <w:t>(40/3</w:t>
      </w:r>
      <w:r w:rsidR="00A60EED">
        <w:t xml:space="preserve"> </w:t>
      </w:r>
      <w:r w:rsidR="00492E53">
        <w:t>=</w:t>
      </w:r>
      <w:r w:rsidR="00A60EED">
        <w:t xml:space="preserve"> </w:t>
      </w:r>
      <w:r w:rsidR="00492E53">
        <w:t xml:space="preserve">13.3) </w:t>
      </w:r>
      <w:r w:rsidR="00DA33F8">
        <w:t xml:space="preserve">compared with the BIW regimen </w:t>
      </w:r>
      <w:r w:rsidR="00492E53">
        <w:t>(</w:t>
      </w:r>
      <w:r w:rsidR="00845A7F">
        <w:t>74/6</w:t>
      </w:r>
      <w:r w:rsidR="00A60EED">
        <w:t xml:space="preserve"> </w:t>
      </w:r>
      <w:r w:rsidR="00845A7F">
        <w:t>= 12.3</w:t>
      </w:r>
      <w:r w:rsidR="00DA33F8">
        <w:t>)</w:t>
      </w:r>
      <w:r w:rsidR="00EE32CC">
        <w:t xml:space="preserve"> (</w:t>
      </w:r>
      <w:r w:rsidR="00EE32CC" w:rsidRPr="00F2377B">
        <w:t>see paragraph 6.6</w:t>
      </w:r>
      <w:r w:rsidR="00F2377B" w:rsidRPr="00F2377B">
        <w:t>0</w:t>
      </w:r>
      <w:r w:rsidR="00EE32CC" w:rsidRPr="00F2377B">
        <w:t>)</w:t>
      </w:r>
      <w:r w:rsidR="00845A7F" w:rsidRPr="00F2377B">
        <w:t>.</w:t>
      </w:r>
      <w:r w:rsidR="00845A7F">
        <w:t xml:space="preserve"> The PBAC noted in the context of the CMA for </w:t>
      </w:r>
      <w:proofErr w:type="spellStart"/>
      <w:r w:rsidR="00845A7F">
        <w:t>CLd</w:t>
      </w:r>
      <w:proofErr w:type="spellEnd"/>
      <w:r w:rsidR="00845A7F">
        <w:t xml:space="preserve"> versus Cd assuming the same (shorter) treatment duration for the QW regimen as for the BIW regimen was potentially conservative and hence considered the </w:t>
      </w:r>
      <w:proofErr w:type="spellStart"/>
      <w:r w:rsidR="00845A7F">
        <w:t>equi</w:t>
      </w:r>
      <w:proofErr w:type="spellEnd"/>
      <w:r w:rsidR="00845A7F">
        <w:t>-effective doses as presented in the resubmission reasonable</w:t>
      </w:r>
      <w:r w:rsidR="00492E53">
        <w:t>.</w:t>
      </w:r>
      <w:r w:rsidR="008033B8">
        <w:t xml:space="preserve"> </w:t>
      </w:r>
    </w:p>
    <w:p w14:paraId="2E6B0CDF" w14:textId="309D4E53" w:rsidR="00F51172" w:rsidRDefault="008F00F9" w:rsidP="0060003F">
      <w:pPr>
        <w:pStyle w:val="3-BodyText"/>
      </w:pPr>
      <w:r>
        <w:t>The PBAC noted the cost of the QW Cd regimen ($</w:t>
      </w:r>
      <w:r w:rsidR="000960C3" w:rsidRPr="002941CE">
        <w:rPr>
          <w:color w:val="000000"/>
          <w:spacing w:val="20"/>
          <w:w w:val="43"/>
          <w:shd w:val="solid" w:color="000000" w:fill="000000"/>
          <w:fitText w:val="475" w:id="-1506043379"/>
          <w14:textFill>
            <w14:solidFill>
              <w14:srgbClr w14:val="000000">
                <w14:alpha w14:val="100000"/>
              </w14:srgbClr>
            </w14:solidFill>
          </w14:textFill>
        </w:rPr>
        <w:t>|||  ||</w:t>
      </w:r>
      <w:r w:rsidR="000960C3" w:rsidRPr="002941CE">
        <w:rPr>
          <w:color w:val="000000"/>
          <w:spacing w:val="4"/>
          <w:w w:val="43"/>
          <w:shd w:val="solid" w:color="000000" w:fill="000000"/>
          <w:fitText w:val="475" w:id="-1506043379"/>
          <w14:textFill>
            <w14:solidFill>
              <w14:srgbClr w14:val="000000">
                <w14:alpha w14:val="100000"/>
              </w14:srgbClr>
            </w14:solidFill>
          </w14:textFill>
        </w:rPr>
        <w:t>|</w:t>
      </w:r>
      <w:r>
        <w:t xml:space="preserve"> over 15 cycles; Table 19) was substantially less than the cost of the BIW Cd regimen ($</w:t>
      </w:r>
      <w:r w:rsidR="000960C3" w:rsidRPr="00443BC9">
        <w:rPr>
          <w:color w:val="000000"/>
          <w:w w:val="15"/>
          <w:shd w:val="solid" w:color="000000" w:fill="000000"/>
          <w:fitText w:val="-20" w:id="-1506043378"/>
          <w14:textFill>
            <w14:solidFill>
              <w14:srgbClr w14:val="000000">
                <w14:alpha w14:val="100000"/>
              </w14:srgbClr>
            </w14:solidFill>
          </w14:textFill>
        </w:rPr>
        <w:t xml:space="preserve">|  </w:t>
      </w:r>
      <w:r w:rsidR="000960C3" w:rsidRPr="00443BC9">
        <w:rPr>
          <w:color w:val="000000"/>
          <w:spacing w:val="-69"/>
          <w:w w:val="15"/>
          <w:shd w:val="solid" w:color="000000" w:fill="000000"/>
          <w:fitText w:val="-20" w:id="-1506043378"/>
          <w14:textFill>
            <w14:solidFill>
              <w14:srgbClr w14:val="000000">
                <w14:alpha w14:val="100000"/>
              </w14:srgbClr>
            </w14:solidFill>
          </w14:textFill>
        </w:rPr>
        <w:t>|</w:t>
      </w:r>
      <w:r>
        <w:t xml:space="preserve"> over 15 cycles, Table 19), </w:t>
      </w:r>
      <w:r w:rsidR="0091456A">
        <w:t>but noted this was based on</w:t>
      </w:r>
      <w:r w:rsidR="00A60EED">
        <w:t xml:space="preserve"> </w:t>
      </w:r>
      <w:r>
        <w:t xml:space="preserve">the current </w:t>
      </w:r>
      <w:r w:rsidR="00712DF3">
        <w:t xml:space="preserve">“weighted” </w:t>
      </w:r>
      <w:r>
        <w:t>price for carfilzomib</w:t>
      </w:r>
      <w:r w:rsidR="00A60EED">
        <w:t>,</w:t>
      </w:r>
      <w:r>
        <w:t xml:space="preserve"> which assumes 60% of Cd use is QW and 40% is BIW</w:t>
      </w:r>
      <w:r w:rsidR="00A60EED">
        <w:t>,</w:t>
      </w:r>
      <w:r>
        <w:t xml:space="preserve"> rather than regimen specific prices in which the cost per mg of carfilzomib </w:t>
      </w:r>
      <w:r w:rsidR="00C6749D">
        <w:t>would be</w:t>
      </w:r>
      <w:r>
        <w:t xml:space="preserve"> </w:t>
      </w:r>
      <w:r w:rsidR="000960C3" w:rsidRPr="00443BC9">
        <w:rPr>
          <w:color w:val="000000"/>
          <w:w w:val="15"/>
          <w:shd w:val="solid" w:color="000000" w:fill="000000"/>
          <w:fitText w:val="-20" w:id="-1506043377"/>
          <w14:textFill>
            <w14:solidFill>
              <w14:srgbClr w14:val="000000">
                <w14:alpha w14:val="100000"/>
              </w14:srgbClr>
            </w14:solidFill>
          </w14:textFill>
        </w:rPr>
        <w:t xml:space="preserve">|  </w:t>
      </w:r>
      <w:r w:rsidR="000960C3" w:rsidRPr="00443BC9">
        <w:rPr>
          <w:color w:val="000000"/>
          <w:spacing w:val="-69"/>
          <w:w w:val="15"/>
          <w:shd w:val="solid" w:color="000000" w:fill="000000"/>
          <w:fitText w:val="-20" w:id="-1506043377"/>
          <w14:textFill>
            <w14:solidFill>
              <w14:srgbClr w14:val="000000">
                <w14:alpha w14:val="100000"/>
              </w14:srgbClr>
            </w14:solidFill>
          </w14:textFill>
        </w:rPr>
        <w:t>|</w:t>
      </w:r>
      <w:r>
        <w:t xml:space="preserve"> for the QW regimen and </w:t>
      </w:r>
      <w:r w:rsidR="000960C3" w:rsidRPr="00443BC9">
        <w:rPr>
          <w:color w:val="000000"/>
          <w:w w:val="15"/>
          <w:shd w:val="solid" w:color="000000" w:fill="000000"/>
          <w:fitText w:val="-20" w:id="-1506043376"/>
          <w14:textFill>
            <w14:solidFill>
              <w14:srgbClr w14:val="000000">
                <w14:alpha w14:val="100000"/>
              </w14:srgbClr>
            </w14:solidFill>
          </w14:textFill>
        </w:rPr>
        <w:t xml:space="preserve">|  </w:t>
      </w:r>
      <w:r w:rsidR="000960C3" w:rsidRPr="00443BC9">
        <w:rPr>
          <w:color w:val="000000"/>
          <w:spacing w:val="-69"/>
          <w:w w:val="15"/>
          <w:shd w:val="solid" w:color="000000" w:fill="000000"/>
          <w:fitText w:val="-20" w:id="-1506043376"/>
          <w14:textFill>
            <w14:solidFill>
              <w14:srgbClr w14:val="000000">
                <w14:alpha w14:val="100000"/>
              </w14:srgbClr>
            </w14:solidFill>
          </w14:textFill>
        </w:rPr>
        <w:t>|</w:t>
      </w:r>
      <w:r>
        <w:t xml:space="preserve"> for the BIW regimen.</w:t>
      </w:r>
      <w:r w:rsidR="0060003F">
        <w:t xml:space="preserve"> However, the PBAC noted even when the regimen specific prices were used ($</w:t>
      </w:r>
      <w:proofErr w:type="gramStart"/>
      <w:r w:rsidR="000960C3" w:rsidRPr="00443BC9">
        <w:rPr>
          <w:color w:val="000000"/>
          <w:w w:val="15"/>
          <w:shd w:val="solid" w:color="000000" w:fill="000000"/>
          <w:fitText w:val="-20" w:id="-1506043392"/>
          <w14:textFill>
            <w14:solidFill>
              <w14:srgbClr w14:val="000000">
                <w14:alpha w14:val="100000"/>
              </w14:srgbClr>
            </w14:solidFill>
          </w14:textFill>
        </w:rPr>
        <w:t xml:space="preserve">|  </w:t>
      </w:r>
      <w:r w:rsidR="000960C3" w:rsidRPr="00443BC9">
        <w:rPr>
          <w:color w:val="000000"/>
          <w:spacing w:val="-69"/>
          <w:w w:val="15"/>
          <w:shd w:val="solid" w:color="000000" w:fill="000000"/>
          <w:fitText w:val="-20" w:id="-1506043392"/>
          <w14:textFill>
            <w14:solidFill>
              <w14:srgbClr w14:val="000000">
                <w14:alpha w14:val="100000"/>
              </w14:srgbClr>
            </w14:solidFill>
          </w14:textFill>
        </w:rPr>
        <w:t>|</w:t>
      </w:r>
      <w:proofErr w:type="gramEnd"/>
      <w:r w:rsidR="0060003F">
        <w:t xml:space="preserve"> for BIW and </w:t>
      </w:r>
      <w:r w:rsidR="00CE5C63">
        <w:t>$</w:t>
      </w:r>
      <w:r w:rsidR="000960C3" w:rsidRPr="00443BC9">
        <w:rPr>
          <w:color w:val="000000"/>
          <w:w w:val="15"/>
          <w:shd w:val="solid" w:color="000000" w:fill="000000"/>
          <w:fitText w:val="-20" w:id="-1506043391"/>
          <w14:textFill>
            <w14:solidFill>
              <w14:srgbClr w14:val="000000">
                <w14:alpha w14:val="100000"/>
              </w14:srgbClr>
            </w14:solidFill>
          </w14:textFill>
        </w:rPr>
        <w:t xml:space="preserve">|  </w:t>
      </w:r>
      <w:r w:rsidR="000960C3" w:rsidRPr="00443BC9">
        <w:rPr>
          <w:color w:val="000000"/>
          <w:spacing w:val="-69"/>
          <w:w w:val="15"/>
          <w:shd w:val="solid" w:color="000000" w:fill="000000"/>
          <w:fitText w:val="-20" w:id="-1506043391"/>
          <w14:textFill>
            <w14:solidFill>
              <w14:srgbClr w14:val="000000">
                <w14:alpha w14:val="100000"/>
              </w14:srgbClr>
            </w14:solidFill>
          </w14:textFill>
        </w:rPr>
        <w:t>|</w:t>
      </w:r>
      <w:r w:rsidR="00DE7E73">
        <w:t>/mg</w:t>
      </w:r>
      <w:r w:rsidR="0060003F">
        <w:t xml:space="preserve"> for QW</w:t>
      </w:r>
      <w:r w:rsidR="00CE5C63">
        <w:t>, back calculated from the BIW price [$</w:t>
      </w:r>
      <w:r w:rsidR="000960C3" w:rsidRPr="00443BC9">
        <w:rPr>
          <w:color w:val="000000"/>
          <w:w w:val="15"/>
          <w:shd w:val="solid" w:color="000000" w:fill="000000"/>
          <w:fitText w:val="-20" w:id="-1506043390"/>
          <w14:textFill>
            <w14:solidFill>
              <w14:srgbClr w14:val="000000">
                <w14:alpha w14:val="100000"/>
              </w14:srgbClr>
            </w14:solidFill>
          </w14:textFill>
        </w:rPr>
        <w:t xml:space="preserve">|  </w:t>
      </w:r>
      <w:r w:rsidR="000960C3" w:rsidRPr="00443BC9">
        <w:rPr>
          <w:color w:val="000000"/>
          <w:spacing w:val="-69"/>
          <w:w w:val="15"/>
          <w:shd w:val="solid" w:color="000000" w:fill="000000"/>
          <w:fitText w:val="-20" w:id="-1506043390"/>
          <w14:textFill>
            <w14:solidFill>
              <w14:srgbClr w14:val="000000">
                <w14:alpha w14:val="100000"/>
              </w14:srgbClr>
            </w14:solidFill>
          </w14:textFill>
        </w:rPr>
        <w:t>|</w:t>
      </w:r>
      <w:r w:rsidR="00DE7E73">
        <w:t>/mg</w:t>
      </w:r>
      <w:r w:rsidR="00CE5C63">
        <w:t>] and the weighted price [$</w:t>
      </w:r>
      <w:r w:rsidR="000960C3" w:rsidRPr="00443BC9">
        <w:rPr>
          <w:color w:val="000000"/>
          <w:w w:val="15"/>
          <w:shd w:val="solid" w:color="000000" w:fill="000000"/>
          <w:fitText w:val="-20" w:id="-1506043389"/>
          <w14:textFill>
            <w14:solidFill>
              <w14:srgbClr w14:val="000000">
                <w14:alpha w14:val="100000"/>
              </w14:srgbClr>
            </w14:solidFill>
          </w14:textFill>
        </w:rPr>
        <w:t xml:space="preserve">|  </w:t>
      </w:r>
      <w:r w:rsidR="000960C3" w:rsidRPr="00443BC9">
        <w:rPr>
          <w:color w:val="000000"/>
          <w:spacing w:val="-69"/>
          <w:w w:val="15"/>
          <w:shd w:val="solid" w:color="000000" w:fill="000000"/>
          <w:fitText w:val="-20" w:id="-1506043389"/>
          <w14:textFill>
            <w14:solidFill>
              <w14:srgbClr w14:val="000000">
                <w14:alpha w14:val="100000"/>
              </w14:srgbClr>
            </w14:solidFill>
          </w14:textFill>
        </w:rPr>
        <w:t>|</w:t>
      </w:r>
      <w:r w:rsidR="00DE7E73">
        <w:t>/mg</w:t>
      </w:r>
      <w:r w:rsidR="00CE5C63">
        <w:t>])</w:t>
      </w:r>
      <w:r w:rsidR="0060003F">
        <w:t>, the cost of the QW Cd regimen was still less than that for the BIW Cd regimen</w:t>
      </w:r>
      <w:r w:rsidR="001E44BA">
        <w:t xml:space="preserve"> ($</w:t>
      </w:r>
      <w:r w:rsidR="000960C3" w:rsidRPr="00443BC9">
        <w:rPr>
          <w:color w:val="000000"/>
          <w:w w:val="15"/>
          <w:shd w:val="solid" w:color="000000" w:fill="000000"/>
          <w:fitText w:val="-20" w:id="-1506043388"/>
          <w14:textFill>
            <w14:solidFill>
              <w14:srgbClr w14:val="000000">
                <w14:alpha w14:val="100000"/>
              </w14:srgbClr>
            </w14:solidFill>
          </w14:textFill>
        </w:rPr>
        <w:t xml:space="preserve">|  </w:t>
      </w:r>
      <w:r w:rsidR="000960C3" w:rsidRPr="00443BC9">
        <w:rPr>
          <w:color w:val="000000"/>
          <w:spacing w:val="-69"/>
          <w:w w:val="15"/>
          <w:shd w:val="solid" w:color="000000" w:fill="000000"/>
          <w:fitText w:val="-20" w:id="-1506043388"/>
          <w14:textFill>
            <w14:solidFill>
              <w14:srgbClr w14:val="000000">
                <w14:alpha w14:val="100000"/>
              </w14:srgbClr>
            </w14:solidFill>
          </w14:textFill>
        </w:rPr>
        <w:t>|</w:t>
      </w:r>
      <w:r w:rsidR="001E44BA">
        <w:t xml:space="preserve"> v</w:t>
      </w:r>
      <w:r w:rsidR="00F81240">
        <w:t>ersu</w:t>
      </w:r>
      <w:r w:rsidR="001E44BA">
        <w:t>s $</w:t>
      </w:r>
      <w:r w:rsidR="000960C3" w:rsidRPr="00443BC9">
        <w:rPr>
          <w:color w:val="000000"/>
          <w:w w:val="15"/>
          <w:shd w:val="solid" w:color="000000" w:fill="000000"/>
          <w:fitText w:val="-20" w:id="-1506043387"/>
          <w14:textFill>
            <w14:solidFill>
              <w14:srgbClr w14:val="000000">
                <w14:alpha w14:val="100000"/>
              </w14:srgbClr>
            </w14:solidFill>
          </w14:textFill>
        </w:rPr>
        <w:t xml:space="preserve">|  </w:t>
      </w:r>
      <w:r w:rsidR="000960C3" w:rsidRPr="00443BC9">
        <w:rPr>
          <w:color w:val="000000"/>
          <w:spacing w:val="-69"/>
          <w:w w:val="15"/>
          <w:shd w:val="solid" w:color="000000" w:fill="000000"/>
          <w:fitText w:val="-20" w:id="-1506043387"/>
          <w14:textFill>
            <w14:solidFill>
              <w14:srgbClr w14:val="000000">
                <w14:alpha w14:val="100000"/>
              </w14:srgbClr>
            </w14:solidFill>
          </w14:textFill>
        </w:rPr>
        <w:t>|</w:t>
      </w:r>
      <w:r w:rsidR="0013327A">
        <w:t xml:space="preserve"> respectively</w:t>
      </w:r>
      <w:r w:rsidR="001E44BA">
        <w:t>)</w:t>
      </w:r>
      <w:r w:rsidR="00CE5C63">
        <w:t xml:space="preserve">. </w:t>
      </w:r>
      <w:r w:rsidR="0060003F">
        <w:t>T</w:t>
      </w:r>
      <w:r w:rsidR="00CE5C63">
        <w:t>he PBAC acknowledged th</w:t>
      </w:r>
      <w:r w:rsidR="00045D3A">
        <w:t>e</w:t>
      </w:r>
      <w:r w:rsidR="00CE5C63">
        <w:t xml:space="preserve"> lower cost </w:t>
      </w:r>
      <w:r w:rsidR="0013327A">
        <w:t xml:space="preserve">associated with the QW regimen </w:t>
      </w:r>
      <w:r w:rsidR="00CE5C63">
        <w:t xml:space="preserve">was at least in part due to the assumed </w:t>
      </w:r>
      <w:proofErr w:type="spellStart"/>
      <w:r w:rsidR="00CE5C63">
        <w:t>equi</w:t>
      </w:r>
      <w:proofErr w:type="spellEnd"/>
      <w:r w:rsidR="00CE5C63">
        <w:t>-effective doses (paragraph 7.</w:t>
      </w:r>
      <w:r w:rsidR="00B20E9B">
        <w:t xml:space="preserve">11). </w:t>
      </w:r>
      <w:r w:rsidR="00CE5C63">
        <w:t xml:space="preserve"> </w:t>
      </w:r>
      <w:r w:rsidR="00F51172" w:rsidRPr="00F04A75">
        <w:t xml:space="preserve">The PBAC </w:t>
      </w:r>
      <w:r w:rsidR="00B20E9B">
        <w:t>noted</w:t>
      </w:r>
      <w:r w:rsidR="00B20E9B" w:rsidRPr="00F04A75">
        <w:t xml:space="preserve"> </w:t>
      </w:r>
      <w:r w:rsidR="00F51172">
        <w:t xml:space="preserve">the weighting of 60% QW Cd plus 40% BIW Cd proposed in the pre-PBAC response </w:t>
      </w:r>
      <w:r w:rsidR="00B20E9B">
        <w:t>for the cost-minimisation analysis</w:t>
      </w:r>
      <w:r w:rsidR="00F51172">
        <w:t xml:space="preserve"> aligned with the weighting applied in the Cd QW submission recommended by the PBAC in July 2020</w:t>
      </w:r>
      <w:r w:rsidR="00362DDF">
        <w:t xml:space="preserve"> and hence </w:t>
      </w:r>
      <w:r w:rsidR="00A60EED">
        <w:t xml:space="preserve">reflected </w:t>
      </w:r>
      <w:r w:rsidR="00362DDF">
        <w:t>the current price of carfilzomib</w:t>
      </w:r>
      <w:r w:rsidR="00F51172">
        <w:t>.</w:t>
      </w:r>
      <w:r w:rsidR="00F51172" w:rsidRPr="00F04A75">
        <w:t xml:space="preserve"> </w:t>
      </w:r>
    </w:p>
    <w:p w14:paraId="6D12BBA4" w14:textId="70C30F47" w:rsidR="002A212F" w:rsidRDefault="002A212F" w:rsidP="008033B8">
      <w:pPr>
        <w:widowControl w:val="0"/>
        <w:numPr>
          <w:ilvl w:val="1"/>
          <w:numId w:val="1"/>
        </w:numPr>
        <w:spacing w:after="120"/>
        <w:rPr>
          <w:rFonts w:asciiTheme="minorHAnsi" w:hAnsiTheme="minorHAnsi"/>
          <w:snapToGrid w:val="0"/>
        </w:rPr>
      </w:pPr>
      <w:r w:rsidRPr="00F04A75">
        <w:t xml:space="preserve">The PBAC considered that inclusion of costs for treating Grade </w:t>
      </w:r>
      <w:r w:rsidRPr="00F04A75">
        <w:rPr>
          <w:rFonts w:cstheme="minorHAnsi"/>
        </w:rPr>
        <w:t>≥</w:t>
      </w:r>
      <w:r w:rsidR="00A60EED">
        <w:rPr>
          <w:rFonts w:cstheme="minorHAnsi"/>
        </w:rPr>
        <w:t xml:space="preserve"> </w:t>
      </w:r>
      <w:r w:rsidRPr="00F04A75">
        <w:t xml:space="preserve">3 neutropenia (with </w:t>
      </w:r>
      <w:proofErr w:type="spellStart"/>
      <w:r w:rsidRPr="00F04A75">
        <w:t>CLd</w:t>
      </w:r>
      <w:proofErr w:type="spellEnd"/>
      <w:r w:rsidRPr="00F04A75">
        <w:t xml:space="preserve">), and costs for infusions (for Cd and </w:t>
      </w:r>
      <w:proofErr w:type="spellStart"/>
      <w:r w:rsidRPr="00F04A75">
        <w:t>CLd</w:t>
      </w:r>
      <w:proofErr w:type="spellEnd"/>
      <w:r w:rsidRPr="00F04A75">
        <w:t xml:space="preserve">) </w:t>
      </w:r>
      <w:r w:rsidR="00A60EED">
        <w:t xml:space="preserve">in the CMA </w:t>
      </w:r>
      <w:r w:rsidRPr="00F04A75">
        <w:t xml:space="preserve">was appropriate, with unit costs as specified in </w:t>
      </w:r>
      <w:r w:rsidRPr="00F2377B">
        <w:t xml:space="preserve">Table </w:t>
      </w:r>
      <w:r w:rsidR="00F2377B" w:rsidRPr="00F2377B">
        <w:t>1</w:t>
      </w:r>
      <w:r w:rsidR="00F2377B">
        <w:t>7</w:t>
      </w:r>
      <w:r w:rsidRPr="00F04A75">
        <w:t>.</w:t>
      </w:r>
    </w:p>
    <w:p w14:paraId="31664741" w14:textId="7B4DCDAB" w:rsidR="009D3DCD" w:rsidRPr="00787057" w:rsidRDefault="009D3DCD" w:rsidP="008033B8">
      <w:pPr>
        <w:pStyle w:val="3-BodyText"/>
        <w:rPr>
          <w:rFonts w:cstheme="minorHAnsi"/>
          <w:color w:val="000000" w:themeColor="text1"/>
        </w:rPr>
      </w:pPr>
      <w:r>
        <w:t>The PBAC noted that a</w:t>
      </w:r>
      <w:r w:rsidRPr="00815146">
        <w:t xml:space="preserve">n estimate of the </w:t>
      </w:r>
      <w:r w:rsidR="000D7DA3">
        <w:t xml:space="preserve">net </w:t>
      </w:r>
      <w:r w:rsidRPr="00815146">
        <w:t xml:space="preserve">cost of listing </w:t>
      </w:r>
      <w:proofErr w:type="spellStart"/>
      <w:r w:rsidRPr="00815146">
        <w:t>CLd</w:t>
      </w:r>
      <w:proofErr w:type="spellEnd"/>
      <w:r w:rsidRPr="00815146">
        <w:t xml:space="preserve"> on the PBS/RPBS was not included in the resubmission.</w:t>
      </w:r>
      <w:r w:rsidR="00F33517">
        <w:t xml:space="preserve"> The PBAC noted </w:t>
      </w:r>
      <w:r w:rsidR="000D7DA3">
        <w:t xml:space="preserve">that </w:t>
      </w:r>
      <w:r w:rsidR="00F33517">
        <w:t xml:space="preserve">the estimates provided in the PSCR suggested that the listing of </w:t>
      </w:r>
      <w:proofErr w:type="spellStart"/>
      <w:r w:rsidR="00F33517">
        <w:t>CLd</w:t>
      </w:r>
      <w:proofErr w:type="spellEnd"/>
      <w:r w:rsidR="00F33517">
        <w:t xml:space="preserve"> would result in an annual net cost of up to $</w:t>
      </w:r>
      <w:proofErr w:type="gramStart"/>
      <w:r w:rsidR="000960C3" w:rsidRPr="00443BC9">
        <w:rPr>
          <w:color w:val="000000"/>
          <w:w w:val="15"/>
          <w:shd w:val="solid" w:color="000000" w:fill="000000"/>
          <w:fitText w:val="-20" w:id="-1506043386"/>
          <w14:textFill>
            <w14:solidFill>
              <w14:srgbClr w14:val="000000">
                <w14:alpha w14:val="100000"/>
              </w14:srgbClr>
            </w14:solidFill>
          </w14:textFill>
        </w:rPr>
        <w:t xml:space="preserve">|  </w:t>
      </w:r>
      <w:r w:rsidR="000960C3" w:rsidRPr="00443BC9">
        <w:rPr>
          <w:color w:val="000000"/>
          <w:spacing w:val="-69"/>
          <w:w w:val="15"/>
          <w:shd w:val="solid" w:color="000000" w:fill="000000"/>
          <w:fitText w:val="-20" w:id="-1506043386"/>
          <w14:textFill>
            <w14:solidFill>
              <w14:srgbClr w14:val="000000">
                <w14:alpha w14:val="100000"/>
              </w14:srgbClr>
            </w14:solidFill>
          </w14:textFill>
        </w:rPr>
        <w:t>|</w:t>
      </w:r>
      <w:proofErr w:type="gramEnd"/>
      <w:r w:rsidR="005F44B3">
        <w:t xml:space="preserve"> (based on known or assumed effective prices)</w:t>
      </w:r>
      <w:r w:rsidR="00F33517">
        <w:t>. The PBAC noted th</w:t>
      </w:r>
      <w:r w:rsidR="00A60EED">
        <w:t xml:space="preserve">at the </w:t>
      </w:r>
      <w:r w:rsidR="00F33517">
        <w:t xml:space="preserve">additional cost was due to </w:t>
      </w:r>
      <w:proofErr w:type="spellStart"/>
      <w:r w:rsidR="00A60EED">
        <w:t>CLd</w:t>
      </w:r>
      <w:proofErr w:type="spellEnd"/>
      <w:r w:rsidR="00A60EED">
        <w:t xml:space="preserve"> replacing </w:t>
      </w:r>
      <w:proofErr w:type="spellStart"/>
      <w:r w:rsidR="00F33517">
        <w:t>Ld</w:t>
      </w:r>
      <w:proofErr w:type="spellEnd"/>
      <w:r w:rsidR="00F33517">
        <w:t xml:space="preserve"> which is less expensive than Cd and </w:t>
      </w:r>
      <w:proofErr w:type="spellStart"/>
      <w:r w:rsidR="00F33517">
        <w:t>ELd</w:t>
      </w:r>
      <w:proofErr w:type="spellEnd"/>
      <w:r w:rsidR="006B5F59">
        <w:t>;</w:t>
      </w:r>
      <w:r w:rsidR="00F33517">
        <w:t xml:space="preserve"> however</w:t>
      </w:r>
      <w:r w:rsidR="006B5F59">
        <w:t>,</w:t>
      </w:r>
      <w:r w:rsidR="00F33517">
        <w:t xml:space="preserve"> the proposed substitution rates, and in particular the extent of substitution of </w:t>
      </w:r>
      <w:proofErr w:type="spellStart"/>
      <w:r w:rsidR="00F33517">
        <w:t>Ld</w:t>
      </w:r>
      <w:proofErr w:type="spellEnd"/>
      <w:r w:rsidR="00F33517">
        <w:t xml:space="preserve"> relative to Cd, were not</w:t>
      </w:r>
      <w:r w:rsidR="008E7DF0">
        <w:t xml:space="preserve"> adequately</w:t>
      </w:r>
      <w:r w:rsidR="00F33517">
        <w:t xml:space="preserve"> justified in the resubmission.</w:t>
      </w:r>
      <w:r w:rsidR="000624E0">
        <w:t xml:space="preserve"> </w:t>
      </w:r>
      <w:r w:rsidR="000624E0" w:rsidRPr="00F2377B">
        <w:t xml:space="preserve">As noted in </w:t>
      </w:r>
      <w:proofErr w:type="spellStart"/>
      <w:r w:rsidR="000624E0" w:rsidRPr="00F2377B">
        <w:t>paragaraph</w:t>
      </w:r>
      <w:proofErr w:type="spellEnd"/>
      <w:r w:rsidR="000624E0" w:rsidRPr="00F2377B">
        <w:t xml:space="preserve"> 7.</w:t>
      </w:r>
      <w:r w:rsidR="00F2377B" w:rsidRPr="00F2377B">
        <w:t>4</w:t>
      </w:r>
      <w:r w:rsidR="000624E0">
        <w:t xml:space="preserve"> above, the PBAC considered it is likely that the use of </w:t>
      </w:r>
      <w:r w:rsidR="000624E0" w:rsidRPr="00EE32CC">
        <w:t xml:space="preserve">lenalidomide </w:t>
      </w:r>
      <w:r w:rsidR="000624E0">
        <w:t>i</w:t>
      </w:r>
      <w:r w:rsidR="000624E0" w:rsidRPr="00EE32CC">
        <w:t>s increasing in the first line setting</w:t>
      </w:r>
      <w:r w:rsidR="000624E0">
        <w:t xml:space="preserve">, and there would be a corresponding decrease in use in the relapsed and refractory setting. This would </w:t>
      </w:r>
      <w:r w:rsidR="000D7DA3">
        <w:t xml:space="preserve">be expected to </w:t>
      </w:r>
      <w:r w:rsidR="000624E0">
        <w:t xml:space="preserve">reduce the replacement of </w:t>
      </w:r>
      <w:proofErr w:type="spellStart"/>
      <w:r w:rsidR="000624E0">
        <w:t>Ld</w:t>
      </w:r>
      <w:proofErr w:type="spellEnd"/>
      <w:r w:rsidR="000624E0">
        <w:t xml:space="preserve"> </w:t>
      </w:r>
      <w:r w:rsidR="00DA2A79">
        <w:t>relative to</w:t>
      </w:r>
      <w:r w:rsidR="000624E0">
        <w:t xml:space="preserve"> the replacement </w:t>
      </w:r>
      <w:r w:rsidR="008D5D7A">
        <w:t>of Cd.</w:t>
      </w:r>
      <w:r w:rsidR="00F33517">
        <w:t xml:space="preserve"> </w:t>
      </w:r>
    </w:p>
    <w:p w14:paraId="1A91F69B" w14:textId="270DCA6A" w:rsidR="00E60444" w:rsidDel="00E60444" w:rsidRDefault="00E60444" w:rsidP="008033B8">
      <w:pPr>
        <w:pStyle w:val="3-BodyText"/>
        <w:rPr>
          <w:rFonts w:cstheme="minorHAnsi"/>
          <w:color w:val="000000" w:themeColor="text1"/>
        </w:rPr>
      </w:pPr>
      <w:r w:rsidRPr="000D7DA3">
        <w:t>The PBAC acknowledged that the treatment algorithm for MM has changed substantially since the listing of Cd, including additional listings for first line trea</w:t>
      </w:r>
      <w:r>
        <w:t>tm</w:t>
      </w:r>
      <w:r w:rsidRPr="000D7DA3">
        <w:t xml:space="preserve">ents, </w:t>
      </w:r>
      <w:proofErr w:type="spellStart"/>
      <w:r w:rsidRPr="000D7DA3">
        <w:t>DBd</w:t>
      </w:r>
      <w:proofErr w:type="spellEnd"/>
      <w:r w:rsidRPr="000D7DA3">
        <w:t xml:space="preserve"> as a second line treatment and the listing of triplet combinations. More specifically, the RRMM treatment algorithm is changing with there being an increasing preference for triplet therapies, and there being the potential for increasing sequential use of therapies (and combinations), due to the availability of new treatments with different mechanisms of action. In some cases, such as younger or fitter patients, the PBAC noted that patients may receive many lines of therapy.</w:t>
      </w:r>
      <w:r>
        <w:t xml:space="preserve"> </w:t>
      </w:r>
    </w:p>
    <w:p w14:paraId="38421A12" w14:textId="74D6FB28" w:rsidR="00A87776" w:rsidRPr="00A87776" w:rsidRDefault="00E60444" w:rsidP="00D06E1D">
      <w:pPr>
        <w:pStyle w:val="3-BodyText"/>
        <w:rPr>
          <w:rFonts w:cstheme="minorHAnsi"/>
          <w:color w:val="000000" w:themeColor="text1"/>
        </w:rPr>
      </w:pPr>
      <w:r w:rsidRPr="000D7DA3">
        <w:t>The PBAC noted that the current RSA for carfilzomib is entering its final year</w:t>
      </w:r>
      <w:r>
        <w:t xml:space="preserve"> and the </w:t>
      </w:r>
      <w:proofErr w:type="spellStart"/>
      <w:r>
        <w:t>resubmision</w:t>
      </w:r>
      <w:proofErr w:type="spellEnd"/>
      <w:r>
        <w:t xml:space="preserve"> requested PBAC consider an increase </w:t>
      </w:r>
      <w:r w:rsidR="00585EA9">
        <w:t>to the current expenditure caps</w:t>
      </w:r>
      <w:r w:rsidRPr="000D7DA3">
        <w:t xml:space="preserve">. </w:t>
      </w:r>
      <w:r w:rsidR="00787057">
        <w:rPr>
          <w:rFonts w:cstheme="minorHAnsi"/>
          <w:color w:val="000000" w:themeColor="text1"/>
        </w:rPr>
        <w:t>T</w:t>
      </w:r>
      <w:r w:rsidR="00AB2122" w:rsidRPr="00DC2A58">
        <w:rPr>
          <w:rFonts w:cstheme="minorHAnsi"/>
          <w:color w:val="000000" w:themeColor="text1"/>
        </w:rPr>
        <w:t xml:space="preserve">he PBAC </w:t>
      </w:r>
      <w:r w:rsidR="00277DB4" w:rsidRPr="00DC2A58">
        <w:rPr>
          <w:rFonts w:cstheme="minorHAnsi"/>
          <w:color w:val="000000" w:themeColor="text1"/>
        </w:rPr>
        <w:t xml:space="preserve">noted that </w:t>
      </w:r>
      <w:r w:rsidR="00787057">
        <w:rPr>
          <w:rFonts w:cstheme="minorHAnsi"/>
          <w:color w:val="000000" w:themeColor="text1"/>
        </w:rPr>
        <w:t>a</w:t>
      </w:r>
      <w:r w:rsidR="00277DB4" w:rsidRPr="00DC2A58">
        <w:rPr>
          <w:rFonts w:cstheme="minorHAnsi"/>
          <w:color w:val="000000" w:themeColor="text1"/>
        </w:rPr>
        <w:t xml:space="preserve"> m</w:t>
      </w:r>
      <w:r w:rsidR="00AB2122" w:rsidRPr="00DC2A58">
        <w:rPr>
          <w:rFonts w:cstheme="minorHAnsi"/>
          <w:color w:val="000000" w:themeColor="text1"/>
        </w:rPr>
        <w:t>ixed</w:t>
      </w:r>
      <w:r w:rsidR="00AB2122" w:rsidRPr="00DC2A58">
        <w:rPr>
          <w:rFonts w:eastAsia="Geneva" w:cs="Geneva"/>
          <w:color w:val="000000" w:themeColor="text1"/>
          <w:kern w:val="24"/>
          <w:sz w:val="28"/>
          <w:szCs w:val="28"/>
        </w:rPr>
        <w:t xml:space="preserve"> </w:t>
      </w:r>
      <w:r w:rsidR="00AB2122" w:rsidRPr="00DC2A58">
        <w:rPr>
          <w:rFonts w:cstheme="minorHAnsi"/>
          <w:color w:val="000000" w:themeColor="text1"/>
        </w:rPr>
        <w:t xml:space="preserve">modelling approach (epidemiological and market share) was presented in the </w:t>
      </w:r>
      <w:r w:rsidR="00787057">
        <w:rPr>
          <w:rFonts w:cstheme="minorHAnsi"/>
          <w:color w:val="000000" w:themeColor="text1"/>
        </w:rPr>
        <w:t>re</w:t>
      </w:r>
      <w:r w:rsidR="00AB2122" w:rsidRPr="00DC2A58">
        <w:rPr>
          <w:rFonts w:cstheme="minorHAnsi"/>
          <w:color w:val="000000" w:themeColor="text1"/>
        </w:rPr>
        <w:t xml:space="preserve">submission </w:t>
      </w:r>
      <w:r w:rsidR="00D06E1D">
        <w:rPr>
          <w:rFonts w:cstheme="minorHAnsi"/>
          <w:color w:val="000000" w:themeColor="text1"/>
        </w:rPr>
        <w:t xml:space="preserve">to estimate the </w:t>
      </w:r>
      <w:r>
        <w:rPr>
          <w:rFonts w:cstheme="minorHAnsi"/>
          <w:color w:val="000000" w:themeColor="text1"/>
        </w:rPr>
        <w:t xml:space="preserve">increased </w:t>
      </w:r>
      <w:r w:rsidR="00D06E1D">
        <w:rPr>
          <w:rFonts w:cstheme="minorHAnsi"/>
          <w:color w:val="000000" w:themeColor="text1"/>
        </w:rPr>
        <w:t xml:space="preserve">financial caps for </w:t>
      </w:r>
      <w:proofErr w:type="gramStart"/>
      <w:r w:rsidR="00D06E1D">
        <w:rPr>
          <w:rFonts w:cstheme="minorHAnsi"/>
          <w:color w:val="000000" w:themeColor="text1"/>
        </w:rPr>
        <w:t>a</w:t>
      </w:r>
      <w:proofErr w:type="gramEnd"/>
      <w:r w:rsidR="00D06E1D">
        <w:rPr>
          <w:rFonts w:cstheme="minorHAnsi"/>
          <w:color w:val="000000" w:themeColor="text1"/>
        </w:rPr>
        <w:t xml:space="preserve"> RSA including Cd and triple</w:t>
      </w:r>
      <w:r w:rsidR="00BB112E">
        <w:rPr>
          <w:rFonts w:cstheme="minorHAnsi"/>
          <w:color w:val="000000" w:themeColor="text1"/>
        </w:rPr>
        <w:t>t</w:t>
      </w:r>
      <w:r w:rsidR="00D06E1D">
        <w:rPr>
          <w:rFonts w:cstheme="minorHAnsi"/>
          <w:color w:val="000000" w:themeColor="text1"/>
        </w:rPr>
        <w:t xml:space="preserve"> therapies. Four </w:t>
      </w:r>
      <w:proofErr w:type="spellStart"/>
      <w:r w:rsidR="00D06E1D">
        <w:rPr>
          <w:rFonts w:cstheme="minorHAnsi"/>
          <w:color w:val="000000" w:themeColor="text1"/>
        </w:rPr>
        <w:t>senarios</w:t>
      </w:r>
      <w:proofErr w:type="spellEnd"/>
      <w:r w:rsidR="00D06E1D">
        <w:rPr>
          <w:rFonts w:cstheme="minorHAnsi"/>
          <w:color w:val="000000" w:themeColor="text1"/>
        </w:rPr>
        <w:t xml:space="preserve"> were presented which included the current scenario (Cd and </w:t>
      </w:r>
      <w:proofErr w:type="spellStart"/>
      <w:r w:rsidR="00D06E1D">
        <w:rPr>
          <w:rFonts w:cstheme="minorHAnsi"/>
          <w:color w:val="000000" w:themeColor="text1"/>
        </w:rPr>
        <w:t>PBd</w:t>
      </w:r>
      <w:proofErr w:type="spellEnd"/>
      <w:r w:rsidR="00D06E1D">
        <w:rPr>
          <w:rFonts w:cstheme="minorHAnsi"/>
          <w:color w:val="000000" w:themeColor="text1"/>
        </w:rPr>
        <w:t xml:space="preserve"> listed)</w:t>
      </w:r>
      <w:r w:rsidR="00BB112E">
        <w:rPr>
          <w:rFonts w:cstheme="minorHAnsi"/>
          <w:color w:val="000000" w:themeColor="text1"/>
        </w:rPr>
        <w:t>,</w:t>
      </w:r>
      <w:r w:rsidR="00D06E1D">
        <w:rPr>
          <w:rFonts w:cstheme="minorHAnsi"/>
          <w:color w:val="000000" w:themeColor="text1"/>
        </w:rPr>
        <w:t xml:space="preserve"> and scenarios with the listing of </w:t>
      </w:r>
      <w:proofErr w:type="spellStart"/>
      <w:r w:rsidR="00D06E1D">
        <w:rPr>
          <w:rFonts w:cstheme="minorHAnsi"/>
          <w:color w:val="000000" w:themeColor="text1"/>
        </w:rPr>
        <w:t>ELd</w:t>
      </w:r>
      <w:proofErr w:type="spellEnd"/>
      <w:r w:rsidR="00D06E1D">
        <w:rPr>
          <w:rFonts w:cstheme="minorHAnsi"/>
          <w:color w:val="000000" w:themeColor="text1"/>
        </w:rPr>
        <w:t xml:space="preserve"> (recommended July 21) and/or </w:t>
      </w:r>
      <w:proofErr w:type="spellStart"/>
      <w:r w:rsidR="00D06E1D">
        <w:rPr>
          <w:rFonts w:cstheme="minorHAnsi"/>
          <w:color w:val="000000" w:themeColor="text1"/>
        </w:rPr>
        <w:t>CLd.</w:t>
      </w:r>
      <w:proofErr w:type="spellEnd"/>
      <w:r w:rsidR="00D06E1D">
        <w:rPr>
          <w:rFonts w:cstheme="minorHAnsi"/>
          <w:color w:val="000000" w:themeColor="text1"/>
        </w:rPr>
        <w:t xml:space="preserve"> The PBAC noted </w:t>
      </w:r>
      <w:r w:rsidR="00D06E1D">
        <w:t xml:space="preserve">the </w:t>
      </w:r>
      <w:r w:rsidR="00D06E1D" w:rsidRPr="00F04A75">
        <w:t xml:space="preserve">estimated cost to the PBS/RPBS </w:t>
      </w:r>
      <w:r w:rsidR="00D06E1D">
        <w:t>for the</w:t>
      </w:r>
      <w:r w:rsidR="00D06E1D" w:rsidRPr="00F04A75">
        <w:t xml:space="preserve"> scenario which assumed the PBS listings of Cd, </w:t>
      </w:r>
      <w:proofErr w:type="spellStart"/>
      <w:r w:rsidR="00D06E1D" w:rsidRPr="00F04A75">
        <w:t>PBd</w:t>
      </w:r>
      <w:proofErr w:type="spellEnd"/>
      <w:r w:rsidR="00D06E1D" w:rsidRPr="00F04A75">
        <w:t xml:space="preserve">, </w:t>
      </w:r>
      <w:proofErr w:type="spellStart"/>
      <w:r w:rsidR="00D06E1D" w:rsidRPr="00F04A75">
        <w:t>ELd</w:t>
      </w:r>
      <w:proofErr w:type="spellEnd"/>
      <w:r w:rsidR="00D06E1D" w:rsidRPr="00F04A75">
        <w:t xml:space="preserve"> and </w:t>
      </w:r>
      <w:proofErr w:type="spellStart"/>
      <w:r w:rsidR="00D06E1D" w:rsidRPr="00F04A75">
        <w:t>CLd</w:t>
      </w:r>
      <w:proofErr w:type="spellEnd"/>
      <w:r w:rsidR="00D06E1D" w:rsidRPr="00F04A75">
        <w:t xml:space="preserve"> was</w:t>
      </w:r>
      <w:r w:rsidR="0008572C">
        <w:t xml:space="preserve"> $60 million to &lt; $70 million</w:t>
      </w:r>
      <w:r w:rsidR="00D06E1D" w:rsidRPr="00F04A75">
        <w:t xml:space="preserve"> in Year 1 increasing to</w:t>
      </w:r>
      <w:r w:rsidR="0008572C">
        <w:t xml:space="preserve"> $80 million to &lt; $90 million</w:t>
      </w:r>
      <w:r w:rsidR="00D06E1D" w:rsidRPr="00F04A75">
        <w:t xml:space="preserve"> in Year 6</w:t>
      </w:r>
      <w:r w:rsidR="00116228">
        <w:t xml:space="preserve"> (based on known or assumed effective prices)</w:t>
      </w:r>
      <w:r w:rsidR="00D06E1D" w:rsidRPr="00F04A75">
        <w:t xml:space="preserve">. </w:t>
      </w:r>
      <w:r w:rsidR="00D06E1D">
        <w:t>For</w:t>
      </w:r>
      <w:r w:rsidR="00D06E1D" w:rsidRPr="00F04A75">
        <w:t xml:space="preserve"> the scenario in which Cd, </w:t>
      </w:r>
      <w:proofErr w:type="spellStart"/>
      <w:r w:rsidR="00D06E1D" w:rsidRPr="00F04A75">
        <w:t>PBd</w:t>
      </w:r>
      <w:proofErr w:type="spellEnd"/>
      <w:r w:rsidR="00D06E1D" w:rsidRPr="00F04A75">
        <w:t xml:space="preserve"> and </w:t>
      </w:r>
      <w:proofErr w:type="spellStart"/>
      <w:r w:rsidR="00D06E1D" w:rsidRPr="00F04A75">
        <w:t>CLd</w:t>
      </w:r>
      <w:proofErr w:type="spellEnd"/>
      <w:r w:rsidR="00D06E1D" w:rsidRPr="00F04A75">
        <w:t xml:space="preserve"> are listed</w:t>
      </w:r>
      <w:r w:rsidR="00D06E1D">
        <w:t xml:space="preserve"> the estimated cost</w:t>
      </w:r>
      <w:r w:rsidR="00D06E1D" w:rsidRPr="00F04A75">
        <w:t xml:space="preserve"> was</w:t>
      </w:r>
      <w:r w:rsidR="0008572C">
        <w:t xml:space="preserve"> $40</w:t>
      </w:r>
      <w:r w:rsidR="00683EDA">
        <w:t xml:space="preserve"> million to &lt; $50 million</w:t>
      </w:r>
      <w:r w:rsidR="00D06E1D" w:rsidRPr="00F04A75">
        <w:t xml:space="preserve"> in Year 1 increasing to</w:t>
      </w:r>
      <w:r w:rsidR="00683EDA">
        <w:t xml:space="preserve"> $50 million to &lt; $60 million</w:t>
      </w:r>
      <w:r w:rsidR="00D06E1D" w:rsidRPr="00F04A75">
        <w:t xml:space="preserve"> in Year 6.</w:t>
      </w:r>
      <w:r w:rsidR="00B0699B">
        <w:t xml:space="preserve"> The PBAC noted</w:t>
      </w:r>
      <w:r w:rsidR="00BB112E">
        <w:t xml:space="preserve"> that</w:t>
      </w:r>
      <w:r w:rsidR="00B0699B">
        <w:t xml:space="preserve"> the proposed caps </w:t>
      </w:r>
      <w:r w:rsidR="00BB112E">
        <w:t>were</w:t>
      </w:r>
      <w:r w:rsidR="00B0699B">
        <w:t xml:space="preserve"> substantial</w:t>
      </w:r>
      <w:r w:rsidR="00E667EC">
        <w:t>ly</w:t>
      </w:r>
      <w:r w:rsidR="00BB112E">
        <w:t xml:space="preserve"> higher than the existing caps</w:t>
      </w:r>
      <w:r w:rsidR="00B0699B">
        <w:t xml:space="preserve">, with the </w:t>
      </w:r>
      <w:r w:rsidR="00E667EC">
        <w:t>Y</w:t>
      </w:r>
      <w:r w:rsidR="00B0699B">
        <w:t>ear 5 cap</w:t>
      </w:r>
      <w:r w:rsidR="00AE101C">
        <w:t xml:space="preserve"> for the current RSA</w:t>
      </w:r>
      <w:r w:rsidR="00B0699B">
        <w:t xml:space="preserve"> being</w:t>
      </w:r>
      <w:r w:rsidR="00683EDA">
        <w:t xml:space="preserve"> $30 million to &lt; $40 million</w:t>
      </w:r>
      <w:r w:rsidR="00B0699B">
        <w:t xml:space="preserve">. The PBAC noted that the additional cost was stated to be due to the replacement of </w:t>
      </w:r>
      <w:r w:rsidR="00AE101C">
        <w:t>doublet combinations</w:t>
      </w:r>
      <w:r w:rsidR="00E667EC">
        <w:t>;</w:t>
      </w:r>
      <w:r w:rsidR="00B0699B">
        <w:t xml:space="preserve"> however</w:t>
      </w:r>
      <w:r w:rsidR="00E667EC">
        <w:t>,</w:t>
      </w:r>
      <w:r w:rsidR="00B0699B">
        <w:t xml:space="preserve"> the proposed substitution rates, including extent of substitution from </w:t>
      </w:r>
      <w:r w:rsidR="00AE101C">
        <w:t>doublet combinations</w:t>
      </w:r>
      <w:r w:rsidR="00B0699B">
        <w:t xml:space="preserve"> versus triple</w:t>
      </w:r>
      <w:r w:rsidR="00BB112E">
        <w:t>t</w:t>
      </w:r>
      <w:r w:rsidR="00B0699B">
        <w:t xml:space="preserve"> </w:t>
      </w:r>
      <w:r w:rsidR="00AE101C">
        <w:t>combinations</w:t>
      </w:r>
      <w:r w:rsidR="00B0699B">
        <w:t>, were not</w:t>
      </w:r>
      <w:r w:rsidR="008E7DF0">
        <w:t xml:space="preserve"> adequately</w:t>
      </w:r>
      <w:r w:rsidR="00B0699B">
        <w:t xml:space="preserve"> justified in the resubmission.</w:t>
      </w:r>
      <w:r w:rsidR="003D18DE">
        <w:t xml:space="preserve"> </w:t>
      </w:r>
      <w:r w:rsidR="000C0E99">
        <w:t xml:space="preserve">Further, the PBAC considered it was unclear whether the impact of more effective first and second line treatments </w:t>
      </w:r>
      <w:r w:rsidR="00830A56">
        <w:t xml:space="preserve">being available </w:t>
      </w:r>
      <w:r w:rsidR="000C0E99">
        <w:t>had been adequately account</w:t>
      </w:r>
      <w:r w:rsidR="00830A56">
        <w:t xml:space="preserve">ed for. </w:t>
      </w:r>
      <w:r w:rsidR="003D18DE">
        <w:t xml:space="preserve">The PBAC considered the estimates included in the resubmission were </w:t>
      </w:r>
      <w:r w:rsidR="003D18DE" w:rsidRPr="000D7DA3">
        <w:t xml:space="preserve">not a reliable basis on which to revise the existing RSA caps. </w:t>
      </w:r>
    </w:p>
    <w:p w14:paraId="7AA6CC4F" w14:textId="3BF27C7E" w:rsidR="00D06E1D" w:rsidRPr="000D7DA3" w:rsidRDefault="00E60444" w:rsidP="00D06E1D">
      <w:pPr>
        <w:pStyle w:val="3-BodyText"/>
        <w:rPr>
          <w:rFonts w:cstheme="minorHAnsi"/>
          <w:color w:val="000000" w:themeColor="text1"/>
        </w:rPr>
      </w:pPr>
      <w:r>
        <w:t xml:space="preserve">The PBAC requested that the Department work with the relevant sponsors to </w:t>
      </w:r>
      <w:r w:rsidR="00585EA9">
        <w:t xml:space="preserve">elicit projections across the RRMM recommended and PBS listed therapies </w:t>
      </w:r>
      <w:r w:rsidR="004A06F6">
        <w:t xml:space="preserve">that would </w:t>
      </w:r>
      <w:r w:rsidR="000D26FE">
        <w:t>in</w:t>
      </w:r>
      <w:r w:rsidR="004A06F6">
        <w:t>form</w:t>
      </w:r>
      <w:r w:rsidR="00585EA9">
        <w:t xml:space="preserve"> </w:t>
      </w:r>
      <w:r w:rsidR="00585EA9">
        <w:rPr>
          <w:rFonts w:cstheme="minorHAnsi"/>
          <w:color w:val="000000" w:themeColor="text1"/>
        </w:rPr>
        <w:t>a RSA including Cd and triplet therapies</w:t>
      </w:r>
      <w:r w:rsidR="00585EA9">
        <w:t xml:space="preserve"> and provide the Committee with revised estimates of financial caps which consider the issues noted above regarding substitution rates and extent of doublet combinations versus triplet combinations</w:t>
      </w:r>
      <w:r w:rsidR="004A06F6">
        <w:t>,</w:t>
      </w:r>
      <w:r w:rsidR="00830A56">
        <w:t xml:space="preserve"> </w:t>
      </w:r>
      <w:r w:rsidR="004A06F6">
        <w:t xml:space="preserve">as well as displacement to </w:t>
      </w:r>
      <w:r w:rsidR="00116228">
        <w:t xml:space="preserve">the </w:t>
      </w:r>
      <w:r w:rsidR="004A06F6">
        <w:t>third-line treatment setting</w:t>
      </w:r>
      <w:r w:rsidR="00585EA9">
        <w:t>.</w:t>
      </w:r>
    </w:p>
    <w:p w14:paraId="105A4BDB" w14:textId="4DE54DE0" w:rsidR="00E60444" w:rsidRPr="00C17FC4" w:rsidRDefault="00E60444" w:rsidP="005E3CF9">
      <w:pPr>
        <w:pStyle w:val="3-BodyText"/>
        <w:widowControl w:val="0"/>
        <w:rPr>
          <w:rFonts w:cstheme="minorHAnsi"/>
          <w:color w:val="000000" w:themeColor="text1"/>
        </w:rPr>
      </w:pPr>
      <w:proofErr w:type="spellStart"/>
      <w:r>
        <w:t>Acknowleding</w:t>
      </w:r>
      <w:proofErr w:type="spellEnd"/>
      <w:r>
        <w:t xml:space="preserve"> the sponsor’s concerns regarding the addition of the triplet therapies to the existing RSA for Cd, </w:t>
      </w:r>
      <w:r w:rsidR="00A579D9">
        <w:t xml:space="preserve">at this time </w:t>
      </w:r>
      <w:r>
        <w:t xml:space="preserve">the PBAC considered a listing for </w:t>
      </w:r>
      <w:proofErr w:type="spellStart"/>
      <w:r>
        <w:t>CLd</w:t>
      </w:r>
      <w:proofErr w:type="spellEnd"/>
      <w:r>
        <w:t xml:space="preserve"> in which the expenditure for the carfilzomib component of </w:t>
      </w:r>
      <w:proofErr w:type="spellStart"/>
      <w:r>
        <w:t>CLd</w:t>
      </w:r>
      <w:proofErr w:type="spellEnd"/>
      <w:r>
        <w:t xml:space="preserve"> was included in the existing carfilzomib RSA without an increase in the expenditure caps was reasonable, noting that the current RSA expires in January 2023. </w:t>
      </w:r>
      <w:r w:rsidR="005100EC">
        <w:t xml:space="preserve">The PBAC also noted that in its recommendation of </w:t>
      </w:r>
      <w:proofErr w:type="spellStart"/>
      <w:r w:rsidR="005100EC">
        <w:t>E</w:t>
      </w:r>
      <w:r w:rsidR="00EC1260">
        <w:t>L</w:t>
      </w:r>
      <w:r w:rsidR="005100EC">
        <w:t>d</w:t>
      </w:r>
      <w:proofErr w:type="spellEnd"/>
      <w:r w:rsidR="005100EC">
        <w:t xml:space="preserve"> in July 2021, it had advised that expenditure on both </w:t>
      </w:r>
      <w:proofErr w:type="spellStart"/>
      <w:r w:rsidR="005100EC">
        <w:t>elotuzumab</w:t>
      </w:r>
      <w:proofErr w:type="spellEnd"/>
      <w:r w:rsidR="005100EC">
        <w:t xml:space="preserve"> and lenalidomide be included in the RSA for carfilzomib.</w:t>
      </w:r>
      <w:r w:rsidR="00EC1260">
        <w:t xml:space="preserve"> The PBAC considered that it would also be appropriate for lenalidomide as part of </w:t>
      </w:r>
      <w:proofErr w:type="spellStart"/>
      <w:r w:rsidR="00EC1260">
        <w:t>CLd</w:t>
      </w:r>
      <w:proofErr w:type="spellEnd"/>
      <w:r w:rsidR="00EC1260">
        <w:t xml:space="preserve"> to be included in the RSA</w:t>
      </w:r>
      <w:r w:rsidR="00145C2C">
        <w:t>;</w:t>
      </w:r>
      <w:r w:rsidR="00EC1260">
        <w:t xml:space="preserve"> however</w:t>
      </w:r>
      <w:r w:rsidR="00145C2C">
        <w:t>,</w:t>
      </w:r>
      <w:r w:rsidR="00EC1260">
        <w:t xml:space="preserve"> noting that it was sponsored by another company, advised the Department to negotiate these arrangements as appropriate.</w:t>
      </w:r>
      <w:r w:rsidR="005100EC">
        <w:t xml:space="preserve">  </w:t>
      </w:r>
      <w:r w:rsidRPr="00F04A75">
        <w:t xml:space="preserve">The PBAC noted </w:t>
      </w:r>
      <w:r>
        <w:t>the</w:t>
      </w:r>
      <w:r w:rsidRPr="00F04A75">
        <w:t xml:space="preserve"> clarification provided in the pre-PBAC response (p1) that stated that when Cd was recommended by the PBAC (July 2017 PBAC meeting), a </w:t>
      </w:r>
      <w:proofErr w:type="gramStart"/>
      <w:r w:rsidR="000960C3" w:rsidRPr="00443BC9">
        <w:rPr>
          <w:color w:val="000000"/>
          <w:w w:val="15"/>
          <w:shd w:val="solid" w:color="000000" w:fill="000000"/>
          <w:fitText w:val="-20" w:id="-1506043385"/>
          <w14:textFill>
            <w14:solidFill>
              <w14:srgbClr w14:val="000000">
                <w14:alpha w14:val="100000"/>
              </w14:srgbClr>
            </w14:solidFill>
          </w14:textFill>
        </w:rPr>
        <w:t xml:space="preserve">|  </w:t>
      </w:r>
      <w:r w:rsidR="000960C3" w:rsidRPr="00443BC9">
        <w:rPr>
          <w:color w:val="000000"/>
          <w:spacing w:val="-69"/>
          <w:w w:val="15"/>
          <w:shd w:val="solid" w:color="000000" w:fill="000000"/>
          <w:fitText w:val="-20" w:id="-1506043385"/>
          <w14:textFill>
            <w14:solidFill>
              <w14:srgbClr w14:val="000000">
                <w14:alpha w14:val="100000"/>
              </w14:srgbClr>
            </w14:solidFill>
          </w14:textFill>
        </w:rPr>
        <w:t>|</w:t>
      </w:r>
      <w:proofErr w:type="gramEnd"/>
      <w:r w:rsidRPr="00F04A75">
        <w:t xml:space="preserve"> cap was applied in the economic evaluation and used to derive the cost-effective price and expenditure caps. </w:t>
      </w:r>
      <w:r>
        <w:t>T</w:t>
      </w:r>
      <w:r w:rsidRPr="00F04A75">
        <w:t xml:space="preserve">his was </w:t>
      </w:r>
      <w:r>
        <w:t>implemented</w:t>
      </w:r>
      <w:r w:rsidRPr="00F04A75">
        <w:t xml:space="preserve"> by including </w:t>
      </w:r>
      <w:proofErr w:type="gramStart"/>
      <w:r w:rsidR="000960C3" w:rsidRPr="00443BC9">
        <w:rPr>
          <w:color w:val="000000"/>
          <w:w w:val="15"/>
          <w:shd w:val="solid" w:color="000000" w:fill="000000"/>
          <w:fitText w:val="-20" w:id="-1506043384"/>
          <w14:textFill>
            <w14:solidFill>
              <w14:srgbClr w14:val="000000">
                <w14:alpha w14:val="100000"/>
              </w14:srgbClr>
            </w14:solidFill>
          </w14:textFill>
        </w:rPr>
        <w:t xml:space="preserve">|  </w:t>
      </w:r>
      <w:r w:rsidR="000960C3" w:rsidRPr="00443BC9">
        <w:rPr>
          <w:color w:val="000000"/>
          <w:spacing w:val="-69"/>
          <w:w w:val="15"/>
          <w:shd w:val="solid" w:color="000000" w:fill="000000"/>
          <w:fitText w:val="-20" w:id="-1506043384"/>
          <w14:textFill>
            <w14:solidFill>
              <w14:srgbClr w14:val="000000">
                <w14:alpha w14:val="100000"/>
              </w14:srgbClr>
            </w14:solidFill>
          </w14:textFill>
        </w:rPr>
        <w:t>|</w:t>
      </w:r>
      <w:proofErr w:type="gramEnd"/>
      <w:r w:rsidRPr="00F04A75">
        <w:t xml:space="preserve">. </w:t>
      </w:r>
      <w:r w:rsidR="000960C3" w:rsidRPr="00443BC9">
        <w:rPr>
          <w:color w:val="000000"/>
          <w:w w:val="15"/>
          <w:shd w:val="solid" w:color="000000" w:fill="000000"/>
          <w:fitText w:val="-20" w:id="-1506043383"/>
          <w14:textFill>
            <w14:solidFill>
              <w14:srgbClr w14:val="000000">
                <w14:alpha w14:val="100000"/>
              </w14:srgbClr>
            </w14:solidFill>
          </w14:textFill>
        </w:rPr>
        <w:t xml:space="preserve">|  </w:t>
      </w:r>
      <w:r w:rsidR="000960C3" w:rsidRPr="00443BC9">
        <w:rPr>
          <w:color w:val="000000"/>
          <w:spacing w:val="-69"/>
          <w:w w:val="15"/>
          <w:shd w:val="solid" w:color="000000" w:fill="000000"/>
          <w:fitText w:val="-20" w:id="-1506043383"/>
          <w14:textFill>
            <w14:solidFill>
              <w14:srgbClr w14:val="000000">
                <w14:alpha w14:val="100000"/>
              </w14:srgbClr>
            </w14:solidFill>
          </w14:textFill>
        </w:rPr>
        <w:t>|</w:t>
      </w:r>
    </w:p>
    <w:p w14:paraId="1AC1F545" w14:textId="6B02BC43" w:rsidR="00C17FC4" w:rsidRPr="00E60444" w:rsidRDefault="00C17FC4" w:rsidP="005E3CF9">
      <w:pPr>
        <w:pStyle w:val="3-BodyText"/>
        <w:widowControl w:val="0"/>
        <w:rPr>
          <w:rFonts w:cstheme="minorHAnsi"/>
          <w:color w:val="000000" w:themeColor="text1"/>
        </w:rPr>
      </w:pPr>
      <w:r>
        <w:t>The PBAC noted that the financial estimates would need to be revised</w:t>
      </w:r>
      <w:r w:rsidR="00B659DB">
        <w:t xml:space="preserve"> to</w:t>
      </w:r>
      <w:r>
        <w:t xml:space="preserve"> </w:t>
      </w:r>
      <w:r w:rsidR="008C7D23">
        <w:t xml:space="preserve">present the cost of listing </w:t>
      </w:r>
      <w:proofErr w:type="spellStart"/>
      <w:r w:rsidR="008C7D23">
        <w:t>CLd</w:t>
      </w:r>
      <w:proofErr w:type="spellEnd"/>
      <w:r w:rsidR="008C7D23">
        <w:t xml:space="preserve"> </w:t>
      </w:r>
      <w:r w:rsidR="00B659DB">
        <w:t>v</w:t>
      </w:r>
      <w:r w:rsidR="00F81240">
        <w:t>ersu</w:t>
      </w:r>
      <w:r w:rsidR="00B659DB">
        <w:t xml:space="preserve">s Cd only </w:t>
      </w:r>
      <w:r w:rsidR="008C7D23">
        <w:t xml:space="preserve">on the PBS with the inclusion of </w:t>
      </w:r>
      <w:r w:rsidR="00A01A38">
        <w:t>all relevant cost offsets.</w:t>
      </w:r>
      <w:r w:rsidR="0013327A">
        <w:t xml:space="preserve"> The PBAC considered that the revised financial estimates should also apply a duration of treatment that aligned with the CMA.</w:t>
      </w:r>
    </w:p>
    <w:p w14:paraId="61F1CFC4" w14:textId="68C22285" w:rsidR="00133805" w:rsidRPr="00F04A75" w:rsidRDefault="00655C2D" w:rsidP="008E7DF0">
      <w:pPr>
        <w:pStyle w:val="3-BodyText"/>
      </w:pPr>
      <w:r>
        <w:t xml:space="preserve">In terms of the restriction, the </w:t>
      </w:r>
      <w:r w:rsidR="00585BF5" w:rsidRPr="00F04A75">
        <w:t xml:space="preserve">PBAC considered that a streamlined authority for carfilzomib would be appropriate when used as part of </w:t>
      </w:r>
      <w:proofErr w:type="spellStart"/>
      <w:r w:rsidR="00585BF5" w:rsidRPr="00F04A75">
        <w:t>CLd</w:t>
      </w:r>
      <w:proofErr w:type="spellEnd"/>
      <w:r w:rsidR="00585BF5" w:rsidRPr="00F04A75">
        <w:t xml:space="preserve">, consistent with the current Cd listing. </w:t>
      </w:r>
      <w:r w:rsidR="00133805" w:rsidRPr="00F04A75">
        <w:t xml:space="preserve">The PBAC considered it would be appropriate to include a criterion stating that ‘Patient must not have previously received this drug for this condition’ to prevent patients being retreated with carfilzomib. Including this criterion would be consistent with the current restriction for carfilzomib for use in combination with dexamethasone.  </w:t>
      </w:r>
    </w:p>
    <w:p w14:paraId="70AE56C1" w14:textId="5CCB2696" w:rsidR="00585BF5" w:rsidRPr="00F04A75" w:rsidRDefault="00133805" w:rsidP="00B02E04">
      <w:pPr>
        <w:pStyle w:val="3-BodyText"/>
      </w:pPr>
      <w:r w:rsidRPr="00F04A75">
        <w:t xml:space="preserve">The PBAC noted that </w:t>
      </w:r>
      <w:r w:rsidR="00655C2D">
        <w:t xml:space="preserve">flow on restriction changes would be required to create </w:t>
      </w:r>
      <w:r w:rsidRPr="00F04A75">
        <w:t xml:space="preserve">a separate lenalidomide listing to enable </w:t>
      </w:r>
      <w:r w:rsidR="00655C2D">
        <w:t>use in combination with carfilzomib and dexamethasone</w:t>
      </w:r>
      <w:r w:rsidRPr="00F04A75">
        <w:t xml:space="preserve">.  For lenalidomide, the PBAC considered that an immediate/real-time assessment authority required listing (telephone/online) would be appropriate when used as part of </w:t>
      </w:r>
      <w:proofErr w:type="spellStart"/>
      <w:r w:rsidRPr="00F04A75">
        <w:t>CLd</w:t>
      </w:r>
      <w:proofErr w:type="spellEnd"/>
      <w:r w:rsidRPr="00F04A75">
        <w:t xml:space="preserve">, consistent with the proposed listing for </w:t>
      </w:r>
      <w:proofErr w:type="spellStart"/>
      <w:r w:rsidRPr="00F04A75">
        <w:t>ELd</w:t>
      </w:r>
      <w:proofErr w:type="spellEnd"/>
      <w:r w:rsidRPr="00F04A75">
        <w:t>.</w:t>
      </w:r>
    </w:p>
    <w:p w14:paraId="1FDB8904" w14:textId="4EF79D16" w:rsidR="00A05E89" w:rsidRPr="00655C2D" w:rsidRDefault="007D3995" w:rsidP="00A05E89">
      <w:pPr>
        <w:widowControl w:val="0"/>
        <w:numPr>
          <w:ilvl w:val="1"/>
          <w:numId w:val="1"/>
        </w:numPr>
        <w:spacing w:after="120"/>
        <w:rPr>
          <w:rFonts w:asciiTheme="minorHAnsi" w:hAnsiTheme="minorHAnsi"/>
          <w:bCs/>
          <w:snapToGrid w:val="0"/>
        </w:rPr>
      </w:pPr>
      <w:r w:rsidRPr="00F04A75">
        <w:t xml:space="preserve">The </w:t>
      </w:r>
      <w:r w:rsidR="00655C2D">
        <w:t xml:space="preserve">PBAC noted that the </w:t>
      </w:r>
      <w:r w:rsidRPr="00F04A75">
        <w:t xml:space="preserve">submission </w:t>
      </w:r>
      <w:r w:rsidR="004211D8">
        <w:t>did not propose</w:t>
      </w:r>
      <w:r w:rsidRPr="00F04A75">
        <w:t xml:space="preserve"> a grandfathering restriction.</w:t>
      </w:r>
    </w:p>
    <w:p w14:paraId="54D55DA1" w14:textId="20635FA2" w:rsidR="00A05E89" w:rsidRPr="00F04A75" w:rsidRDefault="00F01BB9" w:rsidP="00F01BB9">
      <w:pPr>
        <w:widowControl w:val="0"/>
        <w:numPr>
          <w:ilvl w:val="1"/>
          <w:numId w:val="1"/>
        </w:numPr>
        <w:spacing w:after="120"/>
        <w:rPr>
          <w:rFonts w:asciiTheme="minorHAnsi" w:hAnsiTheme="minorHAnsi"/>
          <w:bCs/>
          <w:snapToGrid w:val="0"/>
        </w:rPr>
      </w:pPr>
      <w:r w:rsidRPr="00F04A75">
        <w:rPr>
          <w:rFonts w:asciiTheme="minorHAnsi" w:hAnsiTheme="minorHAnsi"/>
          <w:bCs/>
          <w:snapToGrid w:val="0"/>
        </w:rPr>
        <w:t>The PBAC</w:t>
      </w:r>
      <w:r w:rsidR="00A05E89" w:rsidRPr="00F04A75">
        <w:rPr>
          <w:rFonts w:asciiTheme="minorHAnsi" w:hAnsiTheme="minorHAnsi"/>
          <w:bCs/>
          <w:snapToGrid w:val="0"/>
        </w:rPr>
        <w:t xml:space="preserve"> noted that its recommendation was on a cost-minimisation basis and advised that, because </w:t>
      </w:r>
      <w:r w:rsidR="00655C2D">
        <w:rPr>
          <w:rFonts w:asciiTheme="minorHAnsi" w:hAnsiTheme="minorHAnsi"/>
          <w:bCs/>
          <w:snapToGrid w:val="0"/>
        </w:rPr>
        <w:t xml:space="preserve">carfilzomib, when used as </w:t>
      </w:r>
      <w:proofErr w:type="spellStart"/>
      <w:r w:rsidR="00655C2D">
        <w:rPr>
          <w:rFonts w:asciiTheme="minorHAnsi" w:hAnsiTheme="minorHAnsi"/>
          <w:bCs/>
          <w:snapToGrid w:val="0"/>
        </w:rPr>
        <w:t>CLd</w:t>
      </w:r>
      <w:proofErr w:type="spellEnd"/>
      <w:r w:rsidR="00655C2D">
        <w:rPr>
          <w:rFonts w:asciiTheme="minorHAnsi" w:hAnsiTheme="minorHAnsi"/>
          <w:bCs/>
          <w:snapToGrid w:val="0"/>
        </w:rPr>
        <w:t>,</w:t>
      </w:r>
      <w:r w:rsidR="00A05E89" w:rsidRPr="00F04A75">
        <w:rPr>
          <w:rFonts w:asciiTheme="minorHAnsi" w:hAnsiTheme="minorHAnsi"/>
          <w:bCs/>
          <w:snapToGrid w:val="0"/>
        </w:rPr>
        <w:t xml:space="preserve"> is not expected to provide a substantial and clinically relevant improvement in efficacy, or reduction of toxicity, over </w:t>
      </w:r>
      <w:r w:rsidRPr="00F04A75">
        <w:rPr>
          <w:rFonts w:asciiTheme="minorHAnsi" w:hAnsiTheme="minorHAnsi"/>
          <w:bCs/>
          <w:snapToGrid w:val="0"/>
        </w:rPr>
        <w:t>Cd</w:t>
      </w:r>
      <w:r w:rsidR="00A05E89" w:rsidRPr="00F04A75">
        <w:rPr>
          <w:rFonts w:asciiTheme="minorHAnsi" w:hAnsiTheme="minorHAnsi"/>
          <w:bCs/>
          <w:snapToGrid w:val="0"/>
        </w:rPr>
        <w:t>, or not expected to address a high and urgent unmet clinical need given the presence of an alternative therapy, the criteria prescribed by the National Health (Pharmaceuticals and Vaccines – Cost Recovery) Regulations 2009 for Pricing Pathway A were not met.</w:t>
      </w:r>
    </w:p>
    <w:p w14:paraId="5BC45F83" w14:textId="09AA42EF" w:rsidR="007B5F44" w:rsidRPr="00F04A75" w:rsidRDefault="00A05E89" w:rsidP="00A05E89">
      <w:pPr>
        <w:widowControl w:val="0"/>
        <w:numPr>
          <w:ilvl w:val="1"/>
          <w:numId w:val="1"/>
        </w:numPr>
        <w:spacing w:after="120"/>
        <w:rPr>
          <w:rFonts w:asciiTheme="minorHAnsi" w:hAnsiTheme="minorHAnsi"/>
          <w:bCs/>
          <w:snapToGrid w:val="0"/>
        </w:rPr>
      </w:pPr>
      <w:r w:rsidRPr="00F04A75">
        <w:rPr>
          <w:rFonts w:asciiTheme="minorHAnsi" w:hAnsiTheme="minorHAnsi"/>
          <w:bCs/>
          <w:snapToGrid w:val="0"/>
        </w:rPr>
        <w:t>The PBAC noted that this submission is not eligible for an Independent Review</w:t>
      </w:r>
      <w:r w:rsidR="007B5F44" w:rsidRPr="00F04A75">
        <w:rPr>
          <w:rFonts w:asciiTheme="minorHAnsi" w:hAnsiTheme="minorHAnsi"/>
          <w:bCs/>
          <w:snapToGrid w:val="0"/>
        </w:rPr>
        <w:t xml:space="preserve"> as it was a positive recommendation</w:t>
      </w:r>
      <w:r w:rsidRPr="00F04A75">
        <w:rPr>
          <w:rFonts w:asciiTheme="minorHAnsi" w:hAnsiTheme="minorHAnsi"/>
          <w:bCs/>
          <w:snapToGrid w:val="0"/>
        </w:rPr>
        <w:t xml:space="preserve">. </w:t>
      </w:r>
    </w:p>
    <w:p w14:paraId="696F9BDA" w14:textId="77777777" w:rsidR="00A05E89" w:rsidRPr="00F04A75" w:rsidRDefault="00A05E89" w:rsidP="00A05E89">
      <w:pPr>
        <w:spacing w:before="240"/>
        <w:rPr>
          <w:rFonts w:asciiTheme="minorHAnsi" w:hAnsiTheme="minorHAnsi"/>
          <w:b/>
          <w:bCs/>
          <w:snapToGrid w:val="0"/>
        </w:rPr>
      </w:pPr>
      <w:r w:rsidRPr="00F04A75">
        <w:rPr>
          <w:rFonts w:asciiTheme="minorHAnsi" w:hAnsiTheme="minorHAnsi"/>
          <w:b/>
          <w:bCs/>
          <w:snapToGrid w:val="0"/>
        </w:rPr>
        <w:t>Outcome:</w:t>
      </w:r>
    </w:p>
    <w:p w14:paraId="79BAF7C6" w14:textId="63CBB7BF" w:rsidR="00A05E89" w:rsidRPr="00F04A75" w:rsidRDefault="00A05E89" w:rsidP="00A05E89">
      <w:pPr>
        <w:rPr>
          <w:rFonts w:asciiTheme="minorHAnsi" w:hAnsiTheme="minorHAnsi"/>
          <w:bCs/>
          <w:snapToGrid w:val="0"/>
        </w:rPr>
      </w:pPr>
      <w:r w:rsidRPr="00F04A75">
        <w:rPr>
          <w:rFonts w:asciiTheme="minorHAnsi" w:hAnsiTheme="minorHAnsi"/>
          <w:bCs/>
          <w:snapToGrid w:val="0"/>
        </w:rPr>
        <w:t xml:space="preserve">Recommended </w:t>
      </w:r>
    </w:p>
    <w:bookmarkEnd w:id="64"/>
    <w:p w14:paraId="15D98742" w14:textId="77777777" w:rsidR="00A05E89" w:rsidRPr="00F04A75" w:rsidRDefault="00A05E89" w:rsidP="00E92ADE">
      <w:pPr>
        <w:pStyle w:val="2-SectionHeading"/>
      </w:pPr>
      <w:r w:rsidRPr="00F04A75">
        <w:t>Recommended listing</w:t>
      </w:r>
    </w:p>
    <w:p w14:paraId="5526BCD3" w14:textId="4E00893C" w:rsidR="00A05E89" w:rsidRPr="00F04A75" w:rsidRDefault="002133B9" w:rsidP="00A05E89">
      <w:pPr>
        <w:widowControl w:val="0"/>
        <w:numPr>
          <w:ilvl w:val="1"/>
          <w:numId w:val="1"/>
        </w:numPr>
        <w:spacing w:after="120"/>
        <w:contextualSpacing/>
        <w:rPr>
          <w:rFonts w:asciiTheme="minorHAnsi" w:hAnsiTheme="minorHAnsi"/>
          <w:b/>
          <w:bCs/>
          <w:snapToGrid w:val="0"/>
        </w:rPr>
      </w:pPr>
      <w:r w:rsidRPr="00F04A75">
        <w:rPr>
          <w:rFonts w:asciiTheme="minorHAnsi" w:hAnsiTheme="minorHAnsi"/>
          <w:bCs/>
          <w:snapToGrid w:val="0"/>
        </w:rPr>
        <w:t>A</w:t>
      </w:r>
      <w:r w:rsidR="00247AC4">
        <w:rPr>
          <w:rFonts w:asciiTheme="minorHAnsi" w:hAnsiTheme="minorHAnsi"/>
          <w:bCs/>
          <w:snapToGrid w:val="0"/>
        </w:rPr>
        <w:t xml:space="preserve">mend existing carfilzomib </w:t>
      </w:r>
      <w:r w:rsidR="00655C2D">
        <w:rPr>
          <w:rFonts w:asciiTheme="minorHAnsi" w:hAnsiTheme="minorHAnsi"/>
          <w:bCs/>
          <w:snapToGrid w:val="0"/>
        </w:rPr>
        <w:t>l</w:t>
      </w:r>
      <w:r w:rsidR="00247AC4">
        <w:rPr>
          <w:rFonts w:asciiTheme="minorHAnsi" w:hAnsiTheme="minorHAnsi"/>
          <w:bCs/>
          <w:snapToGrid w:val="0"/>
        </w:rPr>
        <w:t>isting</w:t>
      </w:r>
      <w:r w:rsidR="00655C2D">
        <w:rPr>
          <w:rFonts w:asciiTheme="minorHAnsi" w:hAnsiTheme="minorHAnsi"/>
          <w:bCs/>
          <w:snapToGrid w:val="0"/>
        </w:rPr>
        <w:t xml:space="preserve"> as follows</w:t>
      </w:r>
      <w:r w:rsidRPr="00F04A75">
        <w:rPr>
          <w:rFonts w:asciiTheme="minorHAnsi" w:hAnsiTheme="minorHAnsi"/>
          <w:bCs/>
          <w:snapToGrid w:val="0"/>
        </w:rPr>
        <w:t>:</w:t>
      </w:r>
    </w:p>
    <w:p w14:paraId="70CBD3EF" w14:textId="77777777" w:rsidR="002133B9" w:rsidRPr="00F04A75" w:rsidRDefault="002133B9" w:rsidP="002133B9">
      <w:pPr>
        <w:keepNext/>
        <w:rPr>
          <w:rFonts w:asciiTheme="minorHAnsi" w:hAnsiTheme="minorHAnsi" w:cstheme="minorHAnsi"/>
        </w:rPr>
      </w:pP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560"/>
        <w:gridCol w:w="1842"/>
        <w:gridCol w:w="1134"/>
        <w:gridCol w:w="2261"/>
      </w:tblGrid>
      <w:tr w:rsidR="00247AC4" w:rsidRPr="00F04A75" w14:paraId="52F43CC7" w14:textId="77777777" w:rsidTr="00247AC4">
        <w:trPr>
          <w:cantSplit/>
          <w:trHeight w:val="471"/>
        </w:trPr>
        <w:tc>
          <w:tcPr>
            <w:tcW w:w="2263" w:type="dxa"/>
            <w:tcBorders>
              <w:top w:val="single" w:sz="4" w:space="0" w:color="auto"/>
              <w:left w:val="single" w:sz="4" w:space="0" w:color="auto"/>
              <w:bottom w:val="single" w:sz="4" w:space="0" w:color="auto"/>
              <w:right w:val="single" w:sz="4" w:space="0" w:color="auto"/>
            </w:tcBorders>
            <w:hideMark/>
          </w:tcPr>
          <w:p w14:paraId="6F0A6A25" w14:textId="77777777" w:rsidR="00247AC4" w:rsidRPr="00F04A75" w:rsidRDefault="00247AC4" w:rsidP="00A425B1">
            <w:pPr>
              <w:keepNext/>
              <w:spacing w:line="256" w:lineRule="auto"/>
              <w:ind w:left="-108"/>
              <w:rPr>
                <w:rFonts w:ascii="Arial Narrow" w:eastAsiaTheme="minorHAnsi" w:hAnsi="Arial Narrow"/>
                <w:b/>
                <w:sz w:val="18"/>
                <w:szCs w:val="18"/>
                <w:lang w:eastAsia="en-US"/>
              </w:rPr>
            </w:pPr>
            <w:r w:rsidRPr="00F04A75">
              <w:rPr>
                <w:rFonts w:ascii="Arial Narrow" w:eastAsiaTheme="minorHAnsi" w:hAnsi="Arial Narrow"/>
                <w:b/>
                <w:sz w:val="18"/>
                <w:szCs w:val="18"/>
                <w:lang w:eastAsia="en-US"/>
              </w:rPr>
              <w:t>MEDICINAL PRODUCT</w:t>
            </w:r>
          </w:p>
          <w:p w14:paraId="28A2F12E" w14:textId="7D96EDDF" w:rsidR="00247AC4" w:rsidRPr="00F04A75" w:rsidRDefault="00247AC4" w:rsidP="00247AC4">
            <w:pPr>
              <w:keepNext/>
              <w:spacing w:line="256" w:lineRule="auto"/>
              <w:ind w:left="-108"/>
              <w:jc w:val="left"/>
              <w:rPr>
                <w:rFonts w:ascii="Arial Narrow" w:eastAsiaTheme="minorHAnsi" w:hAnsi="Arial Narrow"/>
                <w:b/>
                <w:sz w:val="18"/>
                <w:szCs w:val="18"/>
                <w:lang w:eastAsia="en-US"/>
              </w:rPr>
            </w:pPr>
            <w:r w:rsidRPr="00F04A75">
              <w:rPr>
                <w:rFonts w:ascii="Arial Narrow" w:eastAsiaTheme="minorHAnsi" w:hAnsi="Arial Narrow"/>
                <w:b/>
                <w:sz w:val="18"/>
                <w:szCs w:val="18"/>
                <w:lang w:eastAsia="en-US"/>
              </w:rPr>
              <w:t>Medicinal product pack</w:t>
            </w:r>
          </w:p>
        </w:tc>
        <w:tc>
          <w:tcPr>
            <w:tcW w:w="1560" w:type="dxa"/>
            <w:tcBorders>
              <w:top w:val="single" w:sz="4" w:space="0" w:color="auto"/>
              <w:left w:val="single" w:sz="4" w:space="0" w:color="auto"/>
              <w:bottom w:val="single" w:sz="4" w:space="0" w:color="auto"/>
              <w:right w:val="single" w:sz="4" w:space="0" w:color="auto"/>
            </w:tcBorders>
            <w:hideMark/>
          </w:tcPr>
          <w:p w14:paraId="0E0B2E55" w14:textId="77777777" w:rsidR="00247AC4" w:rsidRPr="00F04A75" w:rsidRDefault="00247AC4" w:rsidP="00A425B1">
            <w:pPr>
              <w:keepNext/>
              <w:spacing w:line="256" w:lineRule="auto"/>
              <w:ind w:left="-108"/>
              <w:jc w:val="center"/>
              <w:rPr>
                <w:rFonts w:ascii="Arial Narrow" w:eastAsiaTheme="minorHAnsi" w:hAnsi="Arial Narrow"/>
                <w:b/>
                <w:sz w:val="18"/>
                <w:szCs w:val="18"/>
                <w:lang w:eastAsia="en-US"/>
              </w:rPr>
            </w:pPr>
            <w:r w:rsidRPr="00F04A75">
              <w:rPr>
                <w:rFonts w:ascii="Arial Narrow" w:eastAsiaTheme="minorHAnsi" w:hAnsi="Arial Narrow"/>
                <w:b/>
                <w:sz w:val="18"/>
                <w:szCs w:val="18"/>
                <w:lang w:eastAsia="en-US"/>
              </w:rPr>
              <w:t>PBS item code</w:t>
            </w:r>
          </w:p>
        </w:tc>
        <w:tc>
          <w:tcPr>
            <w:tcW w:w="1842" w:type="dxa"/>
            <w:tcBorders>
              <w:top w:val="single" w:sz="4" w:space="0" w:color="auto"/>
              <w:left w:val="single" w:sz="4" w:space="0" w:color="auto"/>
              <w:bottom w:val="single" w:sz="4" w:space="0" w:color="auto"/>
              <w:right w:val="single" w:sz="4" w:space="0" w:color="auto"/>
            </w:tcBorders>
            <w:hideMark/>
          </w:tcPr>
          <w:p w14:paraId="5DFD2455" w14:textId="77777777" w:rsidR="00247AC4" w:rsidRPr="00F04A75" w:rsidRDefault="00247AC4" w:rsidP="00A425B1">
            <w:pPr>
              <w:keepNext/>
              <w:spacing w:line="256" w:lineRule="auto"/>
              <w:ind w:left="-108"/>
              <w:jc w:val="center"/>
              <w:rPr>
                <w:rFonts w:ascii="Arial Narrow" w:eastAsiaTheme="minorHAnsi" w:hAnsi="Arial Narrow"/>
                <w:b/>
                <w:sz w:val="18"/>
                <w:szCs w:val="18"/>
                <w:lang w:eastAsia="en-US"/>
              </w:rPr>
            </w:pPr>
            <w:r w:rsidRPr="00F04A75">
              <w:rPr>
                <w:rFonts w:ascii="Arial Narrow" w:eastAsiaTheme="minorHAnsi" w:hAnsi="Arial Narrow"/>
                <w:b/>
                <w:sz w:val="18"/>
                <w:szCs w:val="18"/>
                <w:lang w:eastAsia="en-US"/>
              </w:rPr>
              <w:t>Max.</w:t>
            </w:r>
          </w:p>
          <w:p w14:paraId="5367A639" w14:textId="77777777" w:rsidR="00247AC4" w:rsidRPr="00F04A75" w:rsidRDefault="00247AC4" w:rsidP="00A425B1">
            <w:pPr>
              <w:keepNext/>
              <w:spacing w:line="256" w:lineRule="auto"/>
              <w:ind w:left="-108"/>
              <w:jc w:val="center"/>
              <w:rPr>
                <w:rFonts w:ascii="Arial Narrow" w:eastAsiaTheme="minorHAnsi" w:hAnsi="Arial Narrow"/>
                <w:b/>
                <w:sz w:val="18"/>
                <w:szCs w:val="18"/>
                <w:lang w:eastAsia="en-US"/>
              </w:rPr>
            </w:pPr>
            <w:r w:rsidRPr="00F04A75">
              <w:rPr>
                <w:rFonts w:ascii="Arial Narrow" w:eastAsiaTheme="minorHAnsi" w:hAnsi="Arial Narrow"/>
                <w:b/>
                <w:sz w:val="18"/>
                <w:szCs w:val="18"/>
                <w:lang w:eastAsia="en-US"/>
              </w:rPr>
              <w:t>Amount</w:t>
            </w:r>
          </w:p>
        </w:tc>
        <w:tc>
          <w:tcPr>
            <w:tcW w:w="1134" w:type="dxa"/>
            <w:tcBorders>
              <w:top w:val="single" w:sz="4" w:space="0" w:color="auto"/>
              <w:left w:val="single" w:sz="4" w:space="0" w:color="auto"/>
              <w:bottom w:val="single" w:sz="4" w:space="0" w:color="auto"/>
              <w:right w:val="single" w:sz="4" w:space="0" w:color="auto"/>
            </w:tcBorders>
            <w:hideMark/>
          </w:tcPr>
          <w:p w14:paraId="4A60AE46" w14:textId="77777777" w:rsidR="00247AC4" w:rsidRPr="00F04A75" w:rsidRDefault="00247AC4" w:rsidP="00A425B1">
            <w:pPr>
              <w:keepNext/>
              <w:spacing w:line="256" w:lineRule="auto"/>
              <w:ind w:left="-108"/>
              <w:jc w:val="center"/>
              <w:rPr>
                <w:rFonts w:ascii="Arial Narrow" w:eastAsiaTheme="minorHAnsi" w:hAnsi="Arial Narrow"/>
                <w:b/>
                <w:sz w:val="18"/>
                <w:szCs w:val="18"/>
                <w:lang w:eastAsia="en-US"/>
              </w:rPr>
            </w:pPr>
            <w:proofErr w:type="gramStart"/>
            <w:r w:rsidRPr="00F04A75">
              <w:rPr>
                <w:rFonts w:ascii="Arial Narrow" w:eastAsiaTheme="minorHAnsi" w:hAnsi="Arial Narrow"/>
                <w:b/>
                <w:sz w:val="18"/>
                <w:szCs w:val="18"/>
                <w:lang w:eastAsia="en-US"/>
              </w:rPr>
              <w:t>№.of</w:t>
            </w:r>
            <w:proofErr w:type="gramEnd"/>
          </w:p>
          <w:p w14:paraId="7A0A9DE6" w14:textId="77777777" w:rsidR="00247AC4" w:rsidRPr="00F04A75" w:rsidRDefault="00247AC4" w:rsidP="00A425B1">
            <w:pPr>
              <w:keepNext/>
              <w:spacing w:line="256" w:lineRule="auto"/>
              <w:ind w:left="-108"/>
              <w:jc w:val="center"/>
              <w:rPr>
                <w:rFonts w:ascii="Arial Narrow" w:eastAsiaTheme="minorHAnsi" w:hAnsi="Arial Narrow"/>
                <w:b/>
                <w:sz w:val="18"/>
                <w:szCs w:val="18"/>
                <w:lang w:eastAsia="en-US"/>
              </w:rPr>
            </w:pPr>
            <w:proofErr w:type="spellStart"/>
            <w:r w:rsidRPr="00F04A75">
              <w:rPr>
                <w:rFonts w:ascii="Arial Narrow" w:eastAsiaTheme="minorHAnsi" w:hAnsi="Arial Narrow"/>
                <w:b/>
                <w:sz w:val="18"/>
                <w:szCs w:val="18"/>
                <w:lang w:eastAsia="en-US"/>
              </w:rPr>
              <w:t>Rpts</w:t>
            </w:r>
            <w:proofErr w:type="spellEnd"/>
          </w:p>
        </w:tc>
        <w:tc>
          <w:tcPr>
            <w:tcW w:w="2261" w:type="dxa"/>
            <w:tcBorders>
              <w:top w:val="single" w:sz="4" w:space="0" w:color="auto"/>
              <w:left w:val="single" w:sz="4" w:space="0" w:color="auto"/>
              <w:bottom w:val="single" w:sz="4" w:space="0" w:color="auto"/>
              <w:right w:val="single" w:sz="4" w:space="0" w:color="auto"/>
            </w:tcBorders>
            <w:hideMark/>
          </w:tcPr>
          <w:p w14:paraId="04588508" w14:textId="77777777" w:rsidR="00247AC4" w:rsidRPr="00F04A75" w:rsidRDefault="00247AC4" w:rsidP="00A425B1">
            <w:pPr>
              <w:keepNext/>
              <w:spacing w:line="256" w:lineRule="auto"/>
              <w:rPr>
                <w:rFonts w:ascii="Arial Narrow" w:eastAsiaTheme="minorHAnsi" w:hAnsi="Arial Narrow"/>
                <w:b/>
                <w:sz w:val="18"/>
                <w:szCs w:val="18"/>
                <w:lang w:eastAsia="en-US"/>
              </w:rPr>
            </w:pPr>
            <w:r w:rsidRPr="00F04A75">
              <w:rPr>
                <w:rFonts w:ascii="Arial Narrow" w:eastAsiaTheme="minorHAnsi" w:hAnsi="Arial Narrow"/>
                <w:b/>
                <w:sz w:val="18"/>
                <w:szCs w:val="18"/>
                <w:lang w:eastAsia="en-US"/>
              </w:rPr>
              <w:t>Manufacturer</w:t>
            </w:r>
          </w:p>
        </w:tc>
      </w:tr>
      <w:tr w:rsidR="00247AC4" w:rsidRPr="00F04A75" w14:paraId="683DF7AA" w14:textId="77777777" w:rsidTr="00247AC4">
        <w:trPr>
          <w:cantSplit/>
          <w:trHeight w:val="345"/>
        </w:trPr>
        <w:tc>
          <w:tcPr>
            <w:tcW w:w="2263" w:type="dxa"/>
            <w:tcBorders>
              <w:top w:val="single" w:sz="4" w:space="0" w:color="auto"/>
              <w:left w:val="single" w:sz="4" w:space="0" w:color="auto"/>
              <w:bottom w:val="single" w:sz="4" w:space="0" w:color="auto"/>
              <w:right w:val="single" w:sz="4" w:space="0" w:color="auto"/>
            </w:tcBorders>
            <w:hideMark/>
          </w:tcPr>
          <w:p w14:paraId="04632AF3" w14:textId="5BED1A00" w:rsidR="00247AC4" w:rsidRPr="00F04A75" w:rsidRDefault="00247AC4" w:rsidP="00247AC4">
            <w:pPr>
              <w:keepNext/>
              <w:spacing w:line="256" w:lineRule="auto"/>
              <w:ind w:left="-108"/>
              <w:jc w:val="left"/>
              <w:rPr>
                <w:rFonts w:ascii="Arial Narrow" w:eastAsiaTheme="minorHAnsi" w:hAnsi="Arial Narrow"/>
                <w:sz w:val="18"/>
                <w:szCs w:val="18"/>
                <w:lang w:eastAsia="en-US"/>
              </w:rPr>
            </w:pPr>
            <w:r w:rsidRPr="00F04A75">
              <w:rPr>
                <w:rFonts w:ascii="Arial Narrow" w:eastAsiaTheme="minorHAnsi" w:hAnsi="Arial Narrow"/>
                <w:sz w:val="18"/>
                <w:szCs w:val="18"/>
                <w:lang w:eastAsia="en-US"/>
              </w:rPr>
              <w:t>CARFILZOMIB injection</w:t>
            </w:r>
            <w:r w:rsidRPr="00F04A75">
              <w:rPr>
                <w:rFonts w:ascii="Arial Narrow" w:eastAsiaTheme="minorHAnsi" w:hAnsi="Arial Narrow" w:cs="Arial Narrow"/>
                <w:sz w:val="20"/>
                <w:lang w:eastAsia="en-US"/>
              </w:rPr>
              <w:t xml:space="preserve"> </w:t>
            </w:r>
          </w:p>
        </w:tc>
        <w:tc>
          <w:tcPr>
            <w:tcW w:w="1560" w:type="dxa"/>
            <w:tcBorders>
              <w:top w:val="single" w:sz="4" w:space="0" w:color="auto"/>
              <w:left w:val="single" w:sz="4" w:space="0" w:color="auto"/>
              <w:bottom w:val="single" w:sz="4" w:space="0" w:color="auto"/>
              <w:right w:val="single" w:sz="4" w:space="0" w:color="auto"/>
            </w:tcBorders>
          </w:tcPr>
          <w:p w14:paraId="467D6625" w14:textId="77777777" w:rsidR="00247AC4" w:rsidRPr="00F04A75" w:rsidRDefault="00247AC4" w:rsidP="00A425B1">
            <w:pPr>
              <w:keepNext/>
              <w:spacing w:line="256" w:lineRule="auto"/>
              <w:ind w:left="-108"/>
              <w:jc w:val="center"/>
              <w:rPr>
                <w:rFonts w:ascii="Arial Narrow" w:eastAsiaTheme="minorHAnsi" w:hAnsi="Arial Narrow"/>
                <w:sz w:val="18"/>
                <w:szCs w:val="18"/>
                <w:lang w:eastAsia="en-US"/>
              </w:rPr>
            </w:pPr>
            <w:r w:rsidRPr="00F04A75">
              <w:rPr>
                <w:rFonts w:ascii="Arial Narrow" w:eastAsiaTheme="minorHAnsi" w:hAnsi="Arial Narrow"/>
                <w:sz w:val="18"/>
                <w:szCs w:val="18"/>
                <w:lang w:eastAsia="en-US"/>
              </w:rPr>
              <w:t>NEW (Public)</w:t>
            </w:r>
          </w:p>
          <w:p w14:paraId="53C46DE2" w14:textId="77777777" w:rsidR="00247AC4" w:rsidRPr="00F04A75" w:rsidRDefault="00247AC4" w:rsidP="00A425B1">
            <w:pPr>
              <w:keepNext/>
              <w:spacing w:line="256" w:lineRule="auto"/>
              <w:ind w:left="-108"/>
              <w:jc w:val="center"/>
              <w:rPr>
                <w:rFonts w:ascii="Arial Narrow" w:eastAsiaTheme="minorHAnsi" w:hAnsi="Arial Narrow"/>
                <w:sz w:val="18"/>
                <w:szCs w:val="18"/>
                <w:lang w:eastAsia="en-US"/>
              </w:rPr>
            </w:pPr>
            <w:r w:rsidRPr="00F04A75">
              <w:rPr>
                <w:rFonts w:ascii="Arial Narrow" w:eastAsiaTheme="minorHAnsi" w:hAnsi="Arial Narrow"/>
                <w:sz w:val="18"/>
                <w:szCs w:val="18"/>
                <w:lang w:eastAsia="en-US"/>
              </w:rPr>
              <w:t>NEW (Private)</w:t>
            </w:r>
          </w:p>
        </w:tc>
        <w:tc>
          <w:tcPr>
            <w:tcW w:w="1842" w:type="dxa"/>
            <w:tcBorders>
              <w:top w:val="single" w:sz="4" w:space="0" w:color="auto"/>
              <w:left w:val="single" w:sz="4" w:space="0" w:color="auto"/>
              <w:bottom w:val="single" w:sz="4" w:space="0" w:color="auto"/>
              <w:right w:val="single" w:sz="4" w:space="0" w:color="auto"/>
            </w:tcBorders>
          </w:tcPr>
          <w:p w14:paraId="0B197048" w14:textId="77777777" w:rsidR="00247AC4" w:rsidRPr="00F04A75" w:rsidRDefault="00247AC4" w:rsidP="00A425B1">
            <w:pPr>
              <w:keepNext/>
              <w:spacing w:line="256" w:lineRule="auto"/>
              <w:ind w:left="-108"/>
              <w:jc w:val="center"/>
              <w:rPr>
                <w:rFonts w:ascii="Arial Narrow" w:eastAsiaTheme="minorHAnsi" w:hAnsi="Arial Narrow"/>
                <w:sz w:val="18"/>
                <w:szCs w:val="18"/>
                <w:lang w:eastAsia="en-US"/>
              </w:rPr>
            </w:pPr>
            <w:r w:rsidRPr="00F04A75">
              <w:rPr>
                <w:rFonts w:ascii="Arial Narrow" w:eastAsiaTheme="minorHAnsi" w:hAnsi="Arial Narrow"/>
                <w:sz w:val="18"/>
                <w:szCs w:val="18"/>
                <w:lang w:eastAsia="en-US"/>
              </w:rPr>
              <w:t>60 mg</w:t>
            </w:r>
          </w:p>
        </w:tc>
        <w:tc>
          <w:tcPr>
            <w:tcW w:w="1134" w:type="dxa"/>
            <w:tcBorders>
              <w:top w:val="single" w:sz="4" w:space="0" w:color="auto"/>
              <w:left w:val="single" w:sz="4" w:space="0" w:color="auto"/>
              <w:bottom w:val="single" w:sz="4" w:space="0" w:color="auto"/>
              <w:right w:val="single" w:sz="4" w:space="0" w:color="auto"/>
            </w:tcBorders>
          </w:tcPr>
          <w:p w14:paraId="7DDBD1E8" w14:textId="77777777" w:rsidR="00247AC4" w:rsidRPr="00F04A75" w:rsidRDefault="00247AC4" w:rsidP="00A425B1">
            <w:pPr>
              <w:keepNext/>
              <w:spacing w:line="256" w:lineRule="auto"/>
              <w:ind w:left="-108"/>
              <w:jc w:val="center"/>
              <w:rPr>
                <w:rFonts w:ascii="Arial Narrow" w:eastAsiaTheme="minorHAnsi" w:hAnsi="Arial Narrow"/>
                <w:sz w:val="18"/>
                <w:szCs w:val="18"/>
                <w:lang w:eastAsia="en-US"/>
              </w:rPr>
            </w:pPr>
            <w:r w:rsidRPr="00F04A75">
              <w:rPr>
                <w:rFonts w:ascii="Arial Narrow" w:eastAsiaTheme="minorHAnsi" w:hAnsi="Arial Narrow"/>
                <w:sz w:val="18"/>
                <w:szCs w:val="18"/>
                <w:lang w:eastAsia="en-US"/>
              </w:rPr>
              <w:t>17</w:t>
            </w:r>
          </w:p>
        </w:tc>
        <w:tc>
          <w:tcPr>
            <w:tcW w:w="2261" w:type="dxa"/>
            <w:tcBorders>
              <w:top w:val="single" w:sz="4" w:space="0" w:color="auto"/>
              <w:left w:val="single" w:sz="4" w:space="0" w:color="auto"/>
              <w:bottom w:val="single" w:sz="4" w:space="0" w:color="auto"/>
              <w:right w:val="single" w:sz="4" w:space="0" w:color="auto"/>
            </w:tcBorders>
          </w:tcPr>
          <w:p w14:paraId="1E3EBF4F" w14:textId="77777777" w:rsidR="00247AC4" w:rsidRPr="00F04A75" w:rsidRDefault="00247AC4" w:rsidP="00A425B1">
            <w:pPr>
              <w:keepNext/>
              <w:spacing w:line="256" w:lineRule="auto"/>
              <w:jc w:val="left"/>
              <w:rPr>
                <w:rFonts w:ascii="Arial Narrow" w:eastAsiaTheme="minorHAnsi" w:hAnsi="Arial Narrow"/>
                <w:sz w:val="18"/>
                <w:szCs w:val="18"/>
                <w:lang w:eastAsia="en-US"/>
              </w:rPr>
            </w:pPr>
            <w:r w:rsidRPr="00F04A75">
              <w:rPr>
                <w:rFonts w:ascii="Arial Narrow" w:hAnsi="Arial Narrow"/>
                <w:color w:val="000000"/>
                <w:sz w:val="20"/>
                <w:szCs w:val="18"/>
                <w:lang w:eastAsia="en-US"/>
              </w:rPr>
              <w:t xml:space="preserve">Amgen Australia </w:t>
            </w:r>
            <w:r w:rsidRPr="00F04A75">
              <w:rPr>
                <w:rFonts w:ascii="Arial Narrow" w:eastAsiaTheme="minorHAnsi" w:hAnsi="Arial Narrow"/>
                <w:sz w:val="18"/>
                <w:szCs w:val="18"/>
                <w:lang w:eastAsia="en-US"/>
              </w:rPr>
              <w:t>Pty Ltd</w:t>
            </w:r>
          </w:p>
        </w:tc>
      </w:tr>
      <w:tr w:rsidR="002133B9" w:rsidRPr="00F04A75" w14:paraId="0AA2E6E7" w14:textId="77777777" w:rsidTr="00247AC4">
        <w:trPr>
          <w:cantSplit/>
          <w:trHeight w:val="225"/>
        </w:trPr>
        <w:tc>
          <w:tcPr>
            <w:tcW w:w="9060" w:type="dxa"/>
            <w:gridSpan w:val="5"/>
            <w:tcBorders>
              <w:top w:val="single" w:sz="4" w:space="0" w:color="auto"/>
              <w:left w:val="single" w:sz="4" w:space="0" w:color="auto"/>
              <w:bottom w:val="single" w:sz="4" w:space="0" w:color="auto"/>
              <w:right w:val="single" w:sz="4" w:space="0" w:color="auto"/>
            </w:tcBorders>
            <w:hideMark/>
          </w:tcPr>
          <w:p w14:paraId="2C5316EA" w14:textId="77777777" w:rsidR="002133B9" w:rsidRPr="00F04A75" w:rsidRDefault="002133B9" w:rsidP="00A425B1">
            <w:pPr>
              <w:keepNext/>
              <w:spacing w:line="256" w:lineRule="auto"/>
              <w:jc w:val="left"/>
              <w:rPr>
                <w:rFonts w:ascii="Arial Narrow" w:eastAsiaTheme="minorHAnsi" w:hAnsi="Arial Narrow"/>
                <w:b/>
                <w:sz w:val="18"/>
                <w:szCs w:val="18"/>
                <w:lang w:eastAsia="en-US"/>
              </w:rPr>
            </w:pPr>
            <w:r w:rsidRPr="00F04A75">
              <w:rPr>
                <w:rFonts w:ascii="Arial Narrow" w:eastAsiaTheme="minorHAnsi" w:hAnsi="Arial Narrow"/>
                <w:b/>
                <w:sz w:val="18"/>
                <w:szCs w:val="18"/>
                <w:lang w:eastAsia="en-US"/>
              </w:rPr>
              <w:t>Available brands</w:t>
            </w:r>
          </w:p>
        </w:tc>
      </w:tr>
      <w:tr w:rsidR="002133B9" w:rsidRPr="00F04A75" w14:paraId="12602A92" w14:textId="77777777" w:rsidTr="00247AC4">
        <w:trPr>
          <w:cantSplit/>
          <w:trHeight w:val="360"/>
        </w:trPr>
        <w:tc>
          <w:tcPr>
            <w:tcW w:w="9060" w:type="dxa"/>
            <w:gridSpan w:val="5"/>
            <w:tcBorders>
              <w:top w:val="single" w:sz="4" w:space="0" w:color="auto"/>
              <w:left w:val="single" w:sz="4" w:space="0" w:color="auto"/>
              <w:bottom w:val="single" w:sz="4" w:space="0" w:color="auto"/>
              <w:right w:val="single" w:sz="4" w:space="0" w:color="auto"/>
            </w:tcBorders>
            <w:hideMark/>
          </w:tcPr>
          <w:p w14:paraId="2680E1DE" w14:textId="77777777" w:rsidR="002133B9" w:rsidRPr="00F04A75" w:rsidRDefault="002133B9" w:rsidP="00A425B1">
            <w:pPr>
              <w:spacing w:line="256" w:lineRule="auto"/>
              <w:rPr>
                <w:rFonts w:ascii="Arial Narrow" w:eastAsiaTheme="minorHAnsi" w:hAnsi="Arial Narrow"/>
                <w:sz w:val="18"/>
                <w:szCs w:val="18"/>
                <w:lang w:eastAsia="en-US"/>
              </w:rPr>
            </w:pPr>
            <w:proofErr w:type="spellStart"/>
            <w:r w:rsidRPr="00F04A75">
              <w:rPr>
                <w:rFonts w:ascii="Arial Narrow" w:eastAsiaTheme="minorHAnsi" w:hAnsi="Arial Narrow"/>
                <w:sz w:val="18"/>
                <w:szCs w:val="18"/>
                <w:lang w:eastAsia="en-US"/>
              </w:rPr>
              <w:t>Kyprolis</w:t>
            </w:r>
            <w:proofErr w:type="spellEnd"/>
          </w:p>
          <w:p w14:paraId="3965D319" w14:textId="77777777" w:rsidR="002133B9" w:rsidRPr="00F04A75" w:rsidRDefault="002133B9" w:rsidP="00A425B1">
            <w:pPr>
              <w:spacing w:line="256" w:lineRule="auto"/>
              <w:rPr>
                <w:rFonts w:ascii="Arial Narrow" w:eastAsiaTheme="minorHAnsi" w:hAnsi="Arial Narrow"/>
                <w:sz w:val="18"/>
                <w:szCs w:val="18"/>
                <w:lang w:eastAsia="en-US"/>
              </w:rPr>
            </w:pPr>
            <w:r w:rsidRPr="00F04A75">
              <w:rPr>
                <w:rFonts w:ascii="Arial Narrow" w:eastAsiaTheme="minorHAnsi" w:hAnsi="Arial Narrow"/>
                <w:sz w:val="18"/>
                <w:szCs w:val="18"/>
                <w:lang w:eastAsia="en-US"/>
              </w:rPr>
              <w:t>(carfilzomib 10 mg injection, 1 vial)</w:t>
            </w:r>
          </w:p>
        </w:tc>
      </w:tr>
      <w:tr w:rsidR="002133B9" w:rsidRPr="00F04A75" w14:paraId="778D916B" w14:textId="77777777" w:rsidTr="00247AC4">
        <w:trPr>
          <w:cantSplit/>
          <w:trHeight w:val="360"/>
        </w:trPr>
        <w:tc>
          <w:tcPr>
            <w:tcW w:w="9060" w:type="dxa"/>
            <w:gridSpan w:val="5"/>
            <w:tcBorders>
              <w:top w:val="single" w:sz="4" w:space="0" w:color="auto"/>
              <w:left w:val="single" w:sz="4" w:space="0" w:color="auto"/>
              <w:bottom w:val="single" w:sz="4" w:space="0" w:color="auto"/>
              <w:right w:val="single" w:sz="4" w:space="0" w:color="auto"/>
            </w:tcBorders>
            <w:hideMark/>
          </w:tcPr>
          <w:p w14:paraId="0E4DD744" w14:textId="77777777" w:rsidR="002133B9" w:rsidRPr="00F04A75" w:rsidRDefault="002133B9" w:rsidP="00A425B1">
            <w:pPr>
              <w:spacing w:line="256" w:lineRule="auto"/>
              <w:rPr>
                <w:rFonts w:ascii="Arial Narrow" w:eastAsiaTheme="minorHAnsi" w:hAnsi="Arial Narrow"/>
                <w:sz w:val="18"/>
                <w:szCs w:val="18"/>
                <w:lang w:eastAsia="en-US"/>
              </w:rPr>
            </w:pPr>
            <w:proofErr w:type="spellStart"/>
            <w:r w:rsidRPr="00F04A75">
              <w:rPr>
                <w:rFonts w:ascii="Arial Narrow" w:eastAsiaTheme="minorHAnsi" w:hAnsi="Arial Narrow"/>
                <w:sz w:val="18"/>
                <w:szCs w:val="18"/>
                <w:lang w:eastAsia="en-US"/>
              </w:rPr>
              <w:t>Kyprolis</w:t>
            </w:r>
            <w:proofErr w:type="spellEnd"/>
          </w:p>
          <w:p w14:paraId="5B481655" w14:textId="77777777" w:rsidR="002133B9" w:rsidRPr="00F04A75" w:rsidRDefault="002133B9" w:rsidP="00A425B1">
            <w:pPr>
              <w:spacing w:line="256" w:lineRule="auto"/>
              <w:rPr>
                <w:rFonts w:ascii="Arial Narrow" w:eastAsiaTheme="minorHAnsi" w:hAnsi="Arial Narrow"/>
                <w:sz w:val="18"/>
                <w:szCs w:val="18"/>
                <w:lang w:eastAsia="en-US"/>
              </w:rPr>
            </w:pPr>
            <w:r w:rsidRPr="00F04A75">
              <w:rPr>
                <w:rFonts w:ascii="Arial Narrow" w:eastAsiaTheme="minorHAnsi" w:hAnsi="Arial Narrow"/>
                <w:sz w:val="18"/>
                <w:szCs w:val="18"/>
                <w:lang w:eastAsia="en-US"/>
              </w:rPr>
              <w:t>(carfilzomib 30 mg injection, 1 vial)</w:t>
            </w:r>
          </w:p>
        </w:tc>
      </w:tr>
      <w:tr w:rsidR="002133B9" w:rsidRPr="00F04A75" w14:paraId="6AB0DA03" w14:textId="77777777" w:rsidTr="00247AC4">
        <w:trPr>
          <w:cantSplit/>
          <w:trHeight w:val="360"/>
        </w:trPr>
        <w:tc>
          <w:tcPr>
            <w:tcW w:w="9060" w:type="dxa"/>
            <w:gridSpan w:val="5"/>
            <w:tcBorders>
              <w:top w:val="single" w:sz="4" w:space="0" w:color="auto"/>
              <w:left w:val="single" w:sz="4" w:space="0" w:color="auto"/>
              <w:bottom w:val="single" w:sz="4" w:space="0" w:color="auto"/>
              <w:right w:val="single" w:sz="4" w:space="0" w:color="auto"/>
            </w:tcBorders>
            <w:hideMark/>
          </w:tcPr>
          <w:p w14:paraId="0D10AE36" w14:textId="77777777" w:rsidR="002133B9" w:rsidRPr="00F04A75" w:rsidRDefault="002133B9" w:rsidP="00A425B1">
            <w:pPr>
              <w:spacing w:line="256" w:lineRule="auto"/>
              <w:rPr>
                <w:rFonts w:ascii="Arial Narrow" w:eastAsiaTheme="minorHAnsi" w:hAnsi="Arial Narrow"/>
                <w:sz w:val="18"/>
                <w:szCs w:val="18"/>
                <w:lang w:eastAsia="en-US"/>
              </w:rPr>
            </w:pPr>
            <w:proofErr w:type="spellStart"/>
            <w:r w:rsidRPr="00F04A75">
              <w:rPr>
                <w:rFonts w:ascii="Arial Narrow" w:eastAsiaTheme="minorHAnsi" w:hAnsi="Arial Narrow"/>
                <w:sz w:val="18"/>
                <w:szCs w:val="18"/>
                <w:lang w:eastAsia="en-US"/>
              </w:rPr>
              <w:t>Kyprolis</w:t>
            </w:r>
            <w:proofErr w:type="spellEnd"/>
          </w:p>
          <w:p w14:paraId="53F7F64D" w14:textId="77777777" w:rsidR="002133B9" w:rsidRPr="00F04A75" w:rsidRDefault="002133B9" w:rsidP="00A425B1">
            <w:pPr>
              <w:spacing w:line="256" w:lineRule="auto"/>
              <w:rPr>
                <w:rFonts w:ascii="Arial Narrow" w:eastAsiaTheme="minorHAnsi" w:hAnsi="Arial Narrow"/>
                <w:sz w:val="18"/>
                <w:szCs w:val="18"/>
                <w:lang w:eastAsia="en-US"/>
              </w:rPr>
            </w:pPr>
            <w:r w:rsidRPr="00F04A75">
              <w:rPr>
                <w:rFonts w:ascii="Arial Narrow" w:eastAsiaTheme="minorHAnsi" w:hAnsi="Arial Narrow"/>
                <w:sz w:val="18"/>
                <w:szCs w:val="18"/>
                <w:lang w:eastAsia="en-US"/>
              </w:rPr>
              <w:t>(carfilzomib 60 mg injection, 1 vial)</w:t>
            </w:r>
          </w:p>
        </w:tc>
      </w:tr>
    </w:tbl>
    <w:p w14:paraId="1DA89077" w14:textId="77777777" w:rsidR="002133B9" w:rsidRPr="00F04A75" w:rsidRDefault="002133B9" w:rsidP="002133B9">
      <w:pPr>
        <w:spacing w:after="120"/>
        <w:rPr>
          <w:rFonts w:ascii="Arial Narrow" w:hAnsi="Arial Narrow"/>
          <w:b/>
          <w:sz w:val="20"/>
        </w:rPr>
      </w:pPr>
    </w:p>
    <w:p w14:paraId="66BAE3DE" w14:textId="77777777" w:rsidR="002133B9" w:rsidRPr="00F04A75" w:rsidRDefault="002133B9" w:rsidP="002133B9">
      <w:pPr>
        <w:keepNext/>
        <w:spacing w:after="120"/>
        <w:rPr>
          <w:rFonts w:ascii="Arial Narrow" w:hAnsi="Arial Narrow"/>
          <w:b/>
          <w:sz w:val="20"/>
        </w:rPr>
      </w:pPr>
      <w:r w:rsidRPr="00F04A75">
        <w:rPr>
          <w:rFonts w:ascii="Arial Narrow" w:hAnsi="Arial Narrow"/>
          <w:b/>
          <w:sz w:val="20"/>
        </w:rPr>
        <w:t>Restriction Summary [new] / Treatment of Concept: [new]</w:t>
      </w:r>
    </w:p>
    <w:tbl>
      <w:tblPr>
        <w:tblW w:w="5028"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271"/>
        <w:gridCol w:w="7796"/>
      </w:tblGrid>
      <w:tr w:rsidR="002133B9" w:rsidRPr="00F04A75" w14:paraId="130671A2" w14:textId="77777777" w:rsidTr="00A425B1">
        <w:tc>
          <w:tcPr>
            <w:tcW w:w="701"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28" w:type="dxa"/>
              <w:bottom w:w="0" w:type="dxa"/>
              <w:right w:w="28" w:type="dxa"/>
            </w:tcMar>
          </w:tcPr>
          <w:p w14:paraId="55BA8D59" w14:textId="63BE5A8E" w:rsidR="002133B9" w:rsidRPr="00F04A75" w:rsidRDefault="002133B9" w:rsidP="00A425B1">
            <w:pPr>
              <w:keepNext/>
              <w:spacing w:line="256" w:lineRule="auto"/>
              <w:jc w:val="center"/>
              <w:rPr>
                <w:rFonts w:ascii="Arial Narrow" w:hAnsi="Arial Narrow"/>
                <w:color w:val="000000"/>
                <w:sz w:val="20"/>
                <w:lang w:eastAsia="en-US"/>
              </w:rPr>
            </w:pPr>
          </w:p>
        </w:tc>
        <w:tc>
          <w:tcPr>
            <w:tcW w:w="429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28" w:type="dxa"/>
              <w:bottom w:w="0" w:type="dxa"/>
              <w:right w:w="28" w:type="dxa"/>
            </w:tcMar>
            <w:hideMark/>
          </w:tcPr>
          <w:p w14:paraId="70CD6772" w14:textId="77777777" w:rsidR="002133B9" w:rsidRPr="00F04A75" w:rsidRDefault="002133B9" w:rsidP="00A425B1">
            <w:pPr>
              <w:keepNext/>
              <w:spacing w:line="256" w:lineRule="auto"/>
              <w:jc w:val="left"/>
              <w:rPr>
                <w:rFonts w:ascii="Arial Narrow" w:hAnsi="Arial Narrow"/>
                <w:b/>
                <w:color w:val="000000"/>
                <w:sz w:val="20"/>
                <w:highlight w:val="yellow"/>
                <w:lang w:eastAsia="en-US"/>
              </w:rPr>
            </w:pPr>
            <w:r w:rsidRPr="00F04A75">
              <w:rPr>
                <w:rFonts w:ascii="Arial Narrow" w:hAnsi="Arial Narrow"/>
                <w:b/>
                <w:bCs/>
                <w:color w:val="000000"/>
                <w:sz w:val="20"/>
                <w:lang w:eastAsia="en-US"/>
              </w:rPr>
              <w:t xml:space="preserve">Category/Program: </w:t>
            </w:r>
            <w:r w:rsidRPr="00F04A75">
              <w:rPr>
                <w:rFonts w:ascii="Arial Narrow" w:hAnsi="Arial Narrow"/>
                <w:bCs/>
                <w:color w:val="000000"/>
                <w:sz w:val="20"/>
                <w:lang w:eastAsia="en-US"/>
              </w:rPr>
              <w:t>Section 100 (Efficient Funding of Chemotherapy)</w:t>
            </w:r>
          </w:p>
        </w:tc>
      </w:tr>
      <w:tr w:rsidR="002133B9" w:rsidRPr="00F04A75" w14:paraId="0EAAF02D" w14:textId="77777777" w:rsidTr="003B5756">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421902" w14:textId="77777777" w:rsidR="002133B9" w:rsidRPr="00F04A75" w:rsidRDefault="002133B9" w:rsidP="00A425B1">
            <w:pPr>
              <w:spacing w:line="256" w:lineRule="auto"/>
              <w:jc w:val="left"/>
              <w:rPr>
                <w:rFonts w:ascii="Arial Narrow" w:hAnsi="Arial Narrow"/>
                <w:color w:val="000000"/>
                <w:sz w:val="20"/>
                <w:lang w:eastAsia="en-US"/>
              </w:rPr>
            </w:pPr>
          </w:p>
        </w:tc>
        <w:tc>
          <w:tcPr>
            <w:tcW w:w="429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28" w:type="dxa"/>
              <w:bottom w:w="0" w:type="dxa"/>
              <w:right w:w="28" w:type="dxa"/>
            </w:tcMar>
            <w:hideMark/>
          </w:tcPr>
          <w:p w14:paraId="77C654AA" w14:textId="77777777" w:rsidR="002133B9" w:rsidRPr="00F04A75" w:rsidRDefault="002133B9" w:rsidP="00A425B1">
            <w:pPr>
              <w:keepNext/>
              <w:spacing w:line="256" w:lineRule="auto"/>
              <w:jc w:val="left"/>
              <w:rPr>
                <w:rFonts w:ascii="Arial Narrow" w:hAnsi="Arial Narrow"/>
                <w:bCs/>
                <w:color w:val="000000"/>
                <w:sz w:val="20"/>
                <w:highlight w:val="yellow"/>
                <w:lang w:eastAsia="en-US"/>
              </w:rPr>
            </w:pPr>
            <w:r w:rsidRPr="00F04A75">
              <w:rPr>
                <w:rFonts w:ascii="Arial Narrow" w:hAnsi="Arial Narrow"/>
                <w:b/>
                <w:bCs/>
                <w:color w:val="000000"/>
                <w:sz w:val="20"/>
                <w:lang w:eastAsia="en-US"/>
              </w:rPr>
              <w:t xml:space="preserve">Prescriber type: </w:t>
            </w:r>
            <w:r w:rsidRPr="00F04A75">
              <w:rPr>
                <w:lang w:eastAsia="en-US"/>
              </w:rPr>
              <w:fldChar w:fldCharType="begin">
                <w:ffData>
                  <w:name w:val=""/>
                  <w:enabled/>
                  <w:calcOnExit w:val="0"/>
                  <w:checkBox>
                    <w:sizeAuto/>
                    <w:default w:val="1"/>
                  </w:checkBox>
                </w:ffData>
              </w:fldChar>
            </w:r>
            <w:r w:rsidRPr="00F04A75">
              <w:rPr>
                <w:rFonts w:ascii="Arial Narrow" w:hAnsi="Arial Narrow"/>
                <w:bCs/>
                <w:color w:val="000000"/>
                <w:sz w:val="20"/>
                <w:lang w:eastAsia="en-US"/>
              </w:rPr>
              <w:instrText xml:space="preserve"> FORMCHECKBOX </w:instrText>
            </w:r>
            <w:r w:rsidR="00443BC9">
              <w:rPr>
                <w:lang w:eastAsia="en-US"/>
              </w:rPr>
            </w:r>
            <w:r w:rsidR="00443BC9">
              <w:rPr>
                <w:lang w:eastAsia="en-US"/>
              </w:rPr>
              <w:fldChar w:fldCharType="separate"/>
            </w:r>
            <w:r w:rsidRPr="00F04A75">
              <w:rPr>
                <w:lang w:eastAsia="en-US"/>
              </w:rPr>
              <w:fldChar w:fldCharType="end"/>
            </w:r>
            <w:r w:rsidRPr="00F04A75">
              <w:rPr>
                <w:rFonts w:ascii="Arial Narrow" w:hAnsi="Arial Narrow"/>
                <w:bCs/>
                <w:color w:val="000000"/>
                <w:sz w:val="20"/>
                <w:lang w:eastAsia="en-US"/>
              </w:rPr>
              <w:t xml:space="preserve">Medical Practitioners </w:t>
            </w:r>
          </w:p>
        </w:tc>
      </w:tr>
      <w:tr w:rsidR="002133B9" w:rsidRPr="00F04A75" w14:paraId="1F1B25FD" w14:textId="77777777" w:rsidTr="003B5756">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CCAFE9" w14:textId="77777777" w:rsidR="002133B9" w:rsidRPr="00F04A75" w:rsidRDefault="002133B9" w:rsidP="00A425B1">
            <w:pPr>
              <w:spacing w:line="256" w:lineRule="auto"/>
              <w:jc w:val="left"/>
              <w:rPr>
                <w:rFonts w:ascii="Arial Narrow" w:hAnsi="Arial Narrow"/>
                <w:color w:val="000000"/>
                <w:sz w:val="20"/>
                <w:lang w:eastAsia="en-US"/>
              </w:rPr>
            </w:pPr>
          </w:p>
        </w:tc>
        <w:tc>
          <w:tcPr>
            <w:tcW w:w="4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hideMark/>
          </w:tcPr>
          <w:p w14:paraId="1D855503" w14:textId="77777777" w:rsidR="002133B9" w:rsidRPr="00F04A75" w:rsidRDefault="002133B9" w:rsidP="00A425B1">
            <w:pPr>
              <w:keepNext/>
              <w:spacing w:line="256" w:lineRule="auto"/>
              <w:jc w:val="left"/>
              <w:rPr>
                <w:rFonts w:ascii="Arial Narrow" w:hAnsi="Arial Narrow"/>
                <w:b/>
                <w:bCs/>
                <w:color w:val="000000"/>
                <w:sz w:val="20"/>
                <w:lang w:eastAsia="en-US"/>
              </w:rPr>
            </w:pPr>
            <w:r w:rsidRPr="00F04A75">
              <w:rPr>
                <w:rFonts w:ascii="Arial Narrow" w:hAnsi="Arial Narrow"/>
                <w:b/>
                <w:bCs/>
                <w:color w:val="000000"/>
                <w:sz w:val="20"/>
                <w:lang w:eastAsia="en-US"/>
              </w:rPr>
              <w:t xml:space="preserve">Restriction type / Method: </w:t>
            </w:r>
            <w:r w:rsidRPr="00F04A75">
              <w:rPr>
                <w:lang w:eastAsia="en-US"/>
              </w:rPr>
              <w:fldChar w:fldCharType="begin">
                <w:ffData>
                  <w:name w:val="Check3"/>
                  <w:enabled/>
                  <w:calcOnExit w:val="0"/>
                  <w:checkBox>
                    <w:sizeAuto/>
                    <w:default w:val="1"/>
                  </w:checkBox>
                </w:ffData>
              </w:fldChar>
            </w:r>
            <w:r w:rsidRPr="00F04A75">
              <w:rPr>
                <w:rFonts w:ascii="Arial Narrow" w:hAnsi="Arial Narrow"/>
                <w:bCs/>
                <w:color w:val="000000"/>
                <w:sz w:val="20"/>
                <w:lang w:eastAsia="en-US"/>
              </w:rPr>
              <w:instrText xml:space="preserve"> FORMCHECKBOX </w:instrText>
            </w:r>
            <w:r w:rsidR="00443BC9">
              <w:rPr>
                <w:lang w:eastAsia="en-US"/>
              </w:rPr>
            </w:r>
            <w:r w:rsidR="00443BC9">
              <w:rPr>
                <w:lang w:eastAsia="en-US"/>
              </w:rPr>
              <w:fldChar w:fldCharType="separate"/>
            </w:r>
            <w:r w:rsidRPr="00F04A75">
              <w:rPr>
                <w:lang w:eastAsia="en-US"/>
              </w:rPr>
              <w:fldChar w:fldCharType="end"/>
            </w:r>
            <w:r w:rsidRPr="00F04A75">
              <w:rPr>
                <w:rFonts w:ascii="Arial Narrow" w:hAnsi="Arial Narrow"/>
                <w:bCs/>
                <w:color w:val="000000"/>
                <w:sz w:val="20"/>
                <w:lang w:eastAsia="en-US"/>
              </w:rPr>
              <w:t>Authority Required - STREAMLINED</w:t>
            </w:r>
          </w:p>
        </w:tc>
      </w:tr>
      <w:tr w:rsidR="002133B9" w:rsidRPr="00F04A75" w14:paraId="5327DBD4" w14:textId="77777777" w:rsidTr="003B5756">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8D22D7" w14:textId="77777777" w:rsidR="002133B9" w:rsidRPr="00F04A75" w:rsidRDefault="002133B9" w:rsidP="00A425B1">
            <w:pPr>
              <w:spacing w:line="256" w:lineRule="auto"/>
              <w:jc w:val="left"/>
              <w:rPr>
                <w:rFonts w:ascii="Arial Narrow" w:hAnsi="Arial Narrow"/>
                <w:color w:val="000000"/>
                <w:sz w:val="20"/>
                <w:lang w:eastAsia="en-US"/>
              </w:rPr>
            </w:pPr>
          </w:p>
        </w:tc>
        <w:tc>
          <w:tcPr>
            <w:tcW w:w="4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hideMark/>
          </w:tcPr>
          <w:p w14:paraId="147E7A55" w14:textId="77777777" w:rsidR="002133B9" w:rsidRPr="00F04A75" w:rsidRDefault="002133B9" w:rsidP="00A425B1">
            <w:pPr>
              <w:spacing w:line="256" w:lineRule="auto"/>
              <w:jc w:val="left"/>
              <w:rPr>
                <w:rFonts w:ascii="Arial Narrow" w:hAnsi="Arial Narrow"/>
                <w:bCs/>
                <w:color w:val="000000"/>
                <w:sz w:val="20"/>
                <w:lang w:eastAsia="en-US"/>
              </w:rPr>
            </w:pPr>
            <w:proofErr w:type="spellStart"/>
            <w:r w:rsidRPr="00F04A75">
              <w:rPr>
                <w:rFonts w:ascii="Arial Narrow" w:hAnsi="Arial Narrow"/>
                <w:b/>
                <w:bCs/>
                <w:color w:val="000000"/>
                <w:sz w:val="20"/>
                <w:lang w:eastAsia="en-US"/>
              </w:rPr>
              <w:t>Episodicity</w:t>
            </w:r>
            <w:proofErr w:type="spellEnd"/>
            <w:r w:rsidRPr="00F04A75">
              <w:rPr>
                <w:rFonts w:ascii="Arial Narrow" w:hAnsi="Arial Narrow"/>
                <w:b/>
                <w:bCs/>
                <w:color w:val="000000"/>
                <w:sz w:val="20"/>
                <w:lang w:eastAsia="en-US"/>
              </w:rPr>
              <w:t xml:space="preserve">: </w:t>
            </w:r>
            <w:r w:rsidRPr="00F04A75">
              <w:rPr>
                <w:rFonts w:ascii="Arial Narrow" w:hAnsi="Arial Narrow"/>
                <w:bCs/>
                <w:iCs/>
                <w:color w:val="000000"/>
                <w:sz w:val="20"/>
                <w:lang w:eastAsia="en-US"/>
              </w:rPr>
              <w:t>Relapsed and/or refractory</w:t>
            </w:r>
          </w:p>
        </w:tc>
      </w:tr>
      <w:tr w:rsidR="002133B9" w:rsidRPr="00F04A75" w14:paraId="5C26A451" w14:textId="77777777" w:rsidTr="003B5756">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2942C3" w14:textId="77777777" w:rsidR="002133B9" w:rsidRPr="00F04A75" w:rsidRDefault="002133B9" w:rsidP="00A425B1">
            <w:pPr>
              <w:spacing w:line="256" w:lineRule="auto"/>
              <w:jc w:val="left"/>
              <w:rPr>
                <w:rFonts w:ascii="Arial Narrow" w:hAnsi="Arial Narrow"/>
                <w:color w:val="000000"/>
                <w:sz w:val="20"/>
                <w:lang w:eastAsia="en-US"/>
              </w:rPr>
            </w:pPr>
          </w:p>
        </w:tc>
        <w:tc>
          <w:tcPr>
            <w:tcW w:w="4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hideMark/>
          </w:tcPr>
          <w:p w14:paraId="38F2F826" w14:textId="77777777" w:rsidR="002133B9" w:rsidRPr="00F04A75" w:rsidRDefault="002133B9" w:rsidP="00A425B1">
            <w:pPr>
              <w:spacing w:line="256" w:lineRule="auto"/>
              <w:jc w:val="left"/>
              <w:rPr>
                <w:rFonts w:ascii="Arial Narrow" w:hAnsi="Arial Narrow"/>
                <w:color w:val="000000"/>
                <w:sz w:val="20"/>
                <w:lang w:eastAsia="en-US"/>
              </w:rPr>
            </w:pPr>
            <w:r w:rsidRPr="00F04A75">
              <w:rPr>
                <w:rFonts w:ascii="Arial Narrow" w:hAnsi="Arial Narrow"/>
                <w:b/>
                <w:bCs/>
                <w:color w:val="000000"/>
                <w:sz w:val="20"/>
                <w:lang w:eastAsia="en-US"/>
              </w:rPr>
              <w:t xml:space="preserve">Condition: </w:t>
            </w:r>
            <w:r w:rsidRPr="00F04A75">
              <w:rPr>
                <w:rFonts w:ascii="Arial Narrow" w:hAnsi="Arial Narrow"/>
                <w:bCs/>
                <w:color w:val="000000"/>
                <w:sz w:val="20"/>
                <w:lang w:eastAsia="en-US"/>
              </w:rPr>
              <w:t xml:space="preserve">Multiple myeloma </w:t>
            </w:r>
          </w:p>
        </w:tc>
      </w:tr>
      <w:tr w:rsidR="002133B9" w:rsidRPr="00F04A75" w14:paraId="0D7527A7" w14:textId="77777777" w:rsidTr="003B5756">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tcPr>
          <w:p w14:paraId="517AA173" w14:textId="18A4E15D" w:rsidR="002133B9" w:rsidRPr="00F04A75" w:rsidRDefault="002133B9" w:rsidP="00A425B1">
            <w:pPr>
              <w:spacing w:line="256" w:lineRule="auto"/>
              <w:jc w:val="center"/>
              <w:rPr>
                <w:rFonts w:ascii="Arial Narrow" w:hAnsi="Arial Narrow"/>
                <w:color w:val="000000"/>
                <w:sz w:val="20"/>
                <w:lang w:eastAsia="en-US"/>
              </w:rPr>
            </w:pPr>
          </w:p>
        </w:tc>
        <w:tc>
          <w:tcPr>
            <w:tcW w:w="4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hideMark/>
          </w:tcPr>
          <w:p w14:paraId="68909370" w14:textId="77777777" w:rsidR="002133B9" w:rsidRPr="00F04A75" w:rsidRDefault="002133B9" w:rsidP="00A425B1">
            <w:pPr>
              <w:spacing w:line="256" w:lineRule="auto"/>
              <w:jc w:val="left"/>
              <w:rPr>
                <w:rFonts w:ascii="Arial Narrow" w:hAnsi="Arial Narrow"/>
                <w:color w:val="000000"/>
                <w:sz w:val="20"/>
                <w:lang w:eastAsia="en-US"/>
              </w:rPr>
            </w:pPr>
            <w:r w:rsidRPr="00F04A75">
              <w:rPr>
                <w:rFonts w:ascii="Arial Narrow" w:hAnsi="Arial Narrow"/>
                <w:b/>
                <w:bCs/>
                <w:color w:val="000000"/>
                <w:sz w:val="20"/>
                <w:lang w:eastAsia="en-US"/>
              </w:rPr>
              <w:t xml:space="preserve">PBS Indication: </w:t>
            </w:r>
            <w:r w:rsidRPr="00F04A75">
              <w:rPr>
                <w:rFonts w:ascii="Arial Narrow" w:hAnsi="Arial Narrow"/>
                <w:bCs/>
                <w:color w:val="000000"/>
                <w:sz w:val="20"/>
                <w:lang w:eastAsia="en-US"/>
              </w:rPr>
              <w:t xml:space="preserve">Relapsed </w:t>
            </w:r>
            <w:r w:rsidRPr="00F04A75">
              <w:rPr>
                <w:rFonts w:ascii="Arial Narrow" w:hAnsi="Arial Narrow"/>
                <w:bCs/>
                <w:iCs/>
                <w:color w:val="000000"/>
                <w:sz w:val="20"/>
                <w:lang w:eastAsia="en-US"/>
              </w:rPr>
              <w:t>and/or</w:t>
            </w:r>
            <w:r w:rsidRPr="00F04A75">
              <w:rPr>
                <w:rFonts w:ascii="Arial Narrow" w:hAnsi="Arial Narrow"/>
                <w:bCs/>
                <w:color w:val="000000"/>
                <w:sz w:val="20"/>
                <w:lang w:eastAsia="en-US"/>
              </w:rPr>
              <w:t xml:space="preserve"> refractory multiple myeloma </w:t>
            </w:r>
          </w:p>
        </w:tc>
      </w:tr>
      <w:tr w:rsidR="002133B9" w:rsidRPr="00F04A75" w14:paraId="6502D4BF" w14:textId="77777777" w:rsidTr="00A425B1">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tcPr>
          <w:p w14:paraId="627EDDB9" w14:textId="77777777" w:rsidR="002133B9" w:rsidRPr="00F04A75" w:rsidRDefault="002133B9" w:rsidP="00A425B1">
            <w:pPr>
              <w:spacing w:line="256" w:lineRule="auto"/>
              <w:jc w:val="left"/>
              <w:rPr>
                <w:rFonts w:ascii="Arial Narrow" w:hAnsi="Arial Narrow"/>
                <w:b/>
                <w:color w:val="000000"/>
                <w:sz w:val="20"/>
                <w:lang w:eastAsia="en-US"/>
              </w:rPr>
            </w:pPr>
          </w:p>
        </w:tc>
        <w:tc>
          <w:tcPr>
            <w:tcW w:w="4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hideMark/>
          </w:tcPr>
          <w:p w14:paraId="380CFAEB" w14:textId="77777777" w:rsidR="002133B9" w:rsidRPr="00F04A75" w:rsidRDefault="002133B9" w:rsidP="00A425B1">
            <w:pPr>
              <w:spacing w:line="256" w:lineRule="auto"/>
              <w:jc w:val="left"/>
              <w:rPr>
                <w:rFonts w:ascii="Arial Narrow" w:hAnsi="Arial Narrow"/>
                <w:color w:val="000000"/>
                <w:sz w:val="20"/>
                <w:lang w:eastAsia="en-US"/>
              </w:rPr>
            </w:pPr>
            <w:r w:rsidRPr="00F04A75">
              <w:rPr>
                <w:rFonts w:ascii="Arial Narrow" w:hAnsi="Arial Narrow"/>
                <w:b/>
                <w:bCs/>
                <w:color w:val="000000"/>
                <w:sz w:val="20"/>
                <w:lang w:eastAsia="en-US"/>
              </w:rPr>
              <w:t xml:space="preserve">Treatment phase: </w:t>
            </w:r>
            <w:r w:rsidRPr="00F04A75">
              <w:rPr>
                <w:rFonts w:ascii="Arial Narrow" w:hAnsi="Arial Narrow"/>
                <w:bCs/>
                <w:color w:val="000000"/>
                <w:sz w:val="20"/>
                <w:lang w:eastAsia="en-US"/>
              </w:rPr>
              <w:t xml:space="preserve">Initial treatment for Cycles 1 to </w:t>
            </w:r>
            <w:r w:rsidRPr="00F04A75">
              <w:rPr>
                <w:rFonts w:ascii="Arial Narrow" w:hAnsi="Arial Narrow"/>
                <w:bCs/>
                <w:strike/>
                <w:color w:val="000000"/>
                <w:sz w:val="20"/>
                <w:lang w:eastAsia="en-US"/>
              </w:rPr>
              <w:t>12</w:t>
            </w:r>
            <w:r w:rsidRPr="00F04A75">
              <w:rPr>
                <w:rFonts w:ascii="Arial Narrow" w:hAnsi="Arial Narrow"/>
                <w:bCs/>
                <w:color w:val="000000"/>
                <w:sz w:val="20"/>
                <w:lang w:eastAsia="en-US"/>
              </w:rPr>
              <w:t xml:space="preserve"> </w:t>
            </w:r>
            <w:r w:rsidRPr="00F04A75">
              <w:rPr>
                <w:rFonts w:ascii="Arial Narrow" w:hAnsi="Arial Narrow"/>
                <w:bCs/>
                <w:iCs/>
                <w:color w:val="000000"/>
                <w:sz w:val="20"/>
                <w:lang w:eastAsia="en-US"/>
              </w:rPr>
              <w:t>3</w:t>
            </w:r>
          </w:p>
        </w:tc>
      </w:tr>
      <w:tr w:rsidR="002133B9" w:rsidRPr="00F04A75" w14:paraId="61B76485" w14:textId="77777777" w:rsidTr="003B5756">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tcPr>
          <w:p w14:paraId="38A89940" w14:textId="08667638" w:rsidR="002133B9" w:rsidRPr="00F04A75" w:rsidRDefault="002133B9" w:rsidP="00A425B1">
            <w:pPr>
              <w:spacing w:line="256" w:lineRule="auto"/>
              <w:jc w:val="center"/>
              <w:rPr>
                <w:rFonts w:ascii="Arial Narrow" w:hAnsi="Arial Narrow"/>
                <w:color w:val="000000"/>
                <w:sz w:val="20"/>
                <w:lang w:eastAsia="en-US"/>
              </w:rPr>
            </w:pPr>
          </w:p>
        </w:tc>
        <w:tc>
          <w:tcPr>
            <w:tcW w:w="4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hideMark/>
          </w:tcPr>
          <w:p w14:paraId="370BFB60" w14:textId="77777777" w:rsidR="002133B9" w:rsidRPr="00F04A75" w:rsidRDefault="002133B9" w:rsidP="00A425B1">
            <w:pPr>
              <w:spacing w:line="256" w:lineRule="auto"/>
              <w:jc w:val="left"/>
              <w:rPr>
                <w:rFonts w:ascii="Arial Narrow" w:hAnsi="Arial Narrow"/>
                <w:b/>
                <w:bCs/>
                <w:color w:val="000000"/>
                <w:sz w:val="20"/>
                <w:lang w:eastAsia="en-US"/>
              </w:rPr>
            </w:pPr>
            <w:r w:rsidRPr="00F04A75">
              <w:rPr>
                <w:rFonts w:ascii="Arial Narrow" w:hAnsi="Arial Narrow"/>
                <w:b/>
                <w:bCs/>
                <w:color w:val="000000"/>
                <w:sz w:val="20"/>
                <w:lang w:eastAsia="en-US"/>
              </w:rPr>
              <w:t>Clinical criteria:</w:t>
            </w:r>
          </w:p>
        </w:tc>
      </w:tr>
      <w:tr w:rsidR="002133B9" w:rsidRPr="00F04A75" w14:paraId="2A203AB6" w14:textId="77777777" w:rsidTr="003B5756">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tcPr>
          <w:p w14:paraId="53982991" w14:textId="5DD1F61E" w:rsidR="002133B9" w:rsidRPr="00F04A75" w:rsidRDefault="002133B9" w:rsidP="00A425B1">
            <w:pPr>
              <w:spacing w:line="256" w:lineRule="auto"/>
              <w:jc w:val="center"/>
              <w:rPr>
                <w:rFonts w:ascii="Arial Narrow" w:hAnsi="Arial Narrow"/>
                <w:color w:val="000000"/>
                <w:sz w:val="20"/>
                <w:lang w:eastAsia="en-US"/>
              </w:rPr>
            </w:pPr>
          </w:p>
        </w:tc>
        <w:tc>
          <w:tcPr>
            <w:tcW w:w="4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hideMark/>
          </w:tcPr>
          <w:p w14:paraId="0F7F850F" w14:textId="77777777" w:rsidR="002133B9" w:rsidRPr="00F04A75" w:rsidRDefault="002133B9" w:rsidP="00A425B1">
            <w:pPr>
              <w:spacing w:line="256" w:lineRule="auto"/>
              <w:jc w:val="left"/>
              <w:rPr>
                <w:rFonts w:ascii="Arial Narrow" w:hAnsi="Arial Narrow"/>
                <w:bCs/>
                <w:color w:val="000000"/>
                <w:sz w:val="20"/>
                <w:lang w:eastAsia="en-US"/>
              </w:rPr>
            </w:pPr>
            <w:r w:rsidRPr="00F04A75">
              <w:rPr>
                <w:rFonts w:ascii="Arial Narrow" w:hAnsi="Arial Narrow"/>
                <w:bCs/>
                <w:color w:val="000000"/>
                <w:sz w:val="20"/>
                <w:lang w:eastAsia="en-US"/>
              </w:rPr>
              <w:t>The condition must be confirmed by a histological diagnosis,</w:t>
            </w:r>
          </w:p>
        </w:tc>
      </w:tr>
      <w:tr w:rsidR="002133B9" w:rsidRPr="00F04A75" w14:paraId="608C2E4A" w14:textId="77777777" w:rsidTr="00A425B1">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tcPr>
          <w:p w14:paraId="31791CAE" w14:textId="77777777" w:rsidR="002133B9" w:rsidRPr="00F04A75" w:rsidRDefault="002133B9" w:rsidP="00A425B1">
            <w:pPr>
              <w:spacing w:line="256" w:lineRule="auto"/>
              <w:jc w:val="center"/>
              <w:rPr>
                <w:rFonts w:ascii="Arial Narrow" w:hAnsi="Arial Narrow"/>
                <w:color w:val="000000"/>
                <w:sz w:val="20"/>
                <w:lang w:eastAsia="en-US"/>
              </w:rPr>
            </w:pPr>
          </w:p>
        </w:tc>
        <w:tc>
          <w:tcPr>
            <w:tcW w:w="4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hideMark/>
          </w:tcPr>
          <w:p w14:paraId="0E4DFA68" w14:textId="77777777" w:rsidR="002133B9" w:rsidRPr="00F04A75" w:rsidRDefault="002133B9" w:rsidP="00A425B1">
            <w:pPr>
              <w:spacing w:line="256" w:lineRule="auto"/>
              <w:jc w:val="left"/>
              <w:rPr>
                <w:rFonts w:ascii="Arial Narrow" w:hAnsi="Arial Narrow"/>
                <w:b/>
                <w:bCs/>
                <w:color w:val="000000"/>
                <w:sz w:val="20"/>
                <w:lang w:eastAsia="en-US"/>
              </w:rPr>
            </w:pPr>
            <w:r w:rsidRPr="00F04A75">
              <w:rPr>
                <w:rFonts w:ascii="Arial Narrow" w:hAnsi="Arial Narrow"/>
                <w:b/>
                <w:bCs/>
                <w:color w:val="000000"/>
                <w:sz w:val="20"/>
                <w:lang w:eastAsia="en-US"/>
              </w:rPr>
              <w:t>AND</w:t>
            </w:r>
          </w:p>
        </w:tc>
      </w:tr>
      <w:tr w:rsidR="002133B9" w:rsidRPr="00F04A75" w14:paraId="0352E779" w14:textId="77777777" w:rsidTr="003B5756">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tcPr>
          <w:p w14:paraId="7CD8A3CC" w14:textId="5ADBCA71" w:rsidR="002133B9" w:rsidRPr="00F04A75" w:rsidRDefault="002133B9" w:rsidP="00A425B1">
            <w:pPr>
              <w:spacing w:line="256" w:lineRule="auto"/>
              <w:jc w:val="center"/>
              <w:rPr>
                <w:rFonts w:ascii="Arial Narrow" w:hAnsi="Arial Narrow"/>
                <w:color w:val="000000"/>
                <w:sz w:val="20"/>
                <w:lang w:eastAsia="en-US"/>
              </w:rPr>
            </w:pPr>
          </w:p>
        </w:tc>
        <w:tc>
          <w:tcPr>
            <w:tcW w:w="4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hideMark/>
          </w:tcPr>
          <w:p w14:paraId="1E10BDED" w14:textId="77777777" w:rsidR="002133B9" w:rsidRPr="00F04A75" w:rsidRDefault="002133B9" w:rsidP="00A425B1">
            <w:pPr>
              <w:spacing w:line="256" w:lineRule="auto"/>
              <w:jc w:val="left"/>
              <w:rPr>
                <w:rFonts w:ascii="Arial Narrow" w:hAnsi="Arial Narrow"/>
                <w:b/>
                <w:bCs/>
                <w:color w:val="000000"/>
                <w:sz w:val="20"/>
                <w:lang w:eastAsia="en-US"/>
              </w:rPr>
            </w:pPr>
            <w:r w:rsidRPr="00F04A75">
              <w:rPr>
                <w:rFonts w:ascii="Arial Narrow" w:hAnsi="Arial Narrow"/>
                <w:b/>
                <w:bCs/>
                <w:color w:val="000000"/>
                <w:sz w:val="20"/>
                <w:lang w:eastAsia="en-US"/>
              </w:rPr>
              <w:t>Clinical criteria:</w:t>
            </w:r>
          </w:p>
        </w:tc>
      </w:tr>
      <w:tr w:rsidR="002133B9" w:rsidRPr="00F04A75" w14:paraId="52D46021" w14:textId="77777777" w:rsidTr="003B5756">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tcPr>
          <w:p w14:paraId="1E86AD2E" w14:textId="3CF24052" w:rsidR="002133B9" w:rsidRPr="00F04A75" w:rsidRDefault="002133B9" w:rsidP="00A425B1">
            <w:pPr>
              <w:spacing w:line="256" w:lineRule="auto"/>
              <w:jc w:val="center"/>
              <w:rPr>
                <w:rFonts w:ascii="Arial Narrow" w:hAnsi="Arial Narrow"/>
                <w:color w:val="000000"/>
                <w:sz w:val="20"/>
                <w:lang w:eastAsia="en-US"/>
              </w:rPr>
            </w:pPr>
          </w:p>
        </w:tc>
        <w:tc>
          <w:tcPr>
            <w:tcW w:w="4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hideMark/>
          </w:tcPr>
          <w:p w14:paraId="2FAE753D" w14:textId="77777777" w:rsidR="002133B9" w:rsidRPr="00F04A75" w:rsidRDefault="002133B9" w:rsidP="00A425B1">
            <w:pPr>
              <w:spacing w:line="256" w:lineRule="auto"/>
              <w:jc w:val="left"/>
              <w:rPr>
                <w:rFonts w:ascii="Arial Narrow" w:hAnsi="Arial Narrow"/>
                <w:bCs/>
                <w:color w:val="000000"/>
                <w:sz w:val="20"/>
                <w:lang w:eastAsia="en-US"/>
              </w:rPr>
            </w:pPr>
            <w:r w:rsidRPr="00F04A75">
              <w:rPr>
                <w:rFonts w:ascii="Arial Narrow" w:hAnsi="Arial Narrow"/>
                <w:bCs/>
                <w:color w:val="000000"/>
                <w:sz w:val="20"/>
                <w:lang w:eastAsia="en-US"/>
              </w:rPr>
              <w:t>The treatment must be in combination with lenalidomide and dexamethasone,</w:t>
            </w:r>
          </w:p>
        </w:tc>
      </w:tr>
      <w:tr w:rsidR="002133B9" w:rsidRPr="00F04A75" w14:paraId="55BAA30F" w14:textId="77777777" w:rsidTr="00A425B1">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tcPr>
          <w:p w14:paraId="3878A9F4" w14:textId="77777777" w:rsidR="002133B9" w:rsidRPr="00F04A75" w:rsidRDefault="002133B9" w:rsidP="00A425B1">
            <w:pPr>
              <w:spacing w:line="256" w:lineRule="auto"/>
              <w:jc w:val="center"/>
              <w:rPr>
                <w:rFonts w:ascii="Arial Narrow" w:hAnsi="Arial Narrow"/>
                <w:color w:val="000000"/>
                <w:sz w:val="20"/>
                <w:lang w:eastAsia="en-US"/>
              </w:rPr>
            </w:pPr>
          </w:p>
        </w:tc>
        <w:tc>
          <w:tcPr>
            <w:tcW w:w="4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hideMark/>
          </w:tcPr>
          <w:p w14:paraId="081CD8ED" w14:textId="77777777" w:rsidR="002133B9" w:rsidRPr="00F04A75" w:rsidRDefault="002133B9" w:rsidP="00A425B1">
            <w:pPr>
              <w:spacing w:line="256" w:lineRule="auto"/>
              <w:jc w:val="left"/>
              <w:rPr>
                <w:rFonts w:ascii="Arial Narrow" w:hAnsi="Arial Narrow"/>
                <w:b/>
                <w:bCs/>
                <w:color w:val="000000"/>
                <w:sz w:val="20"/>
                <w:lang w:eastAsia="en-US"/>
              </w:rPr>
            </w:pPr>
            <w:r w:rsidRPr="00F04A75">
              <w:rPr>
                <w:rFonts w:ascii="Arial Narrow" w:hAnsi="Arial Narrow"/>
                <w:b/>
                <w:bCs/>
                <w:color w:val="000000"/>
                <w:sz w:val="20"/>
                <w:lang w:eastAsia="en-US"/>
              </w:rPr>
              <w:t>AND</w:t>
            </w:r>
          </w:p>
        </w:tc>
      </w:tr>
      <w:tr w:rsidR="002133B9" w:rsidRPr="00F04A75" w14:paraId="4F5E2FC2" w14:textId="77777777" w:rsidTr="003B5756">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tcPr>
          <w:p w14:paraId="740E61AB" w14:textId="349A5984" w:rsidR="002133B9" w:rsidRPr="00F04A75" w:rsidRDefault="002133B9" w:rsidP="00A425B1">
            <w:pPr>
              <w:spacing w:line="256" w:lineRule="auto"/>
              <w:jc w:val="center"/>
              <w:rPr>
                <w:rFonts w:ascii="Arial Narrow" w:hAnsi="Arial Narrow"/>
                <w:color w:val="000000"/>
                <w:sz w:val="20"/>
                <w:lang w:eastAsia="en-US"/>
              </w:rPr>
            </w:pPr>
          </w:p>
        </w:tc>
        <w:tc>
          <w:tcPr>
            <w:tcW w:w="4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hideMark/>
          </w:tcPr>
          <w:p w14:paraId="66C5DA8D" w14:textId="77777777" w:rsidR="002133B9" w:rsidRPr="00F04A75" w:rsidRDefault="002133B9" w:rsidP="00A425B1">
            <w:pPr>
              <w:spacing w:line="256" w:lineRule="auto"/>
              <w:jc w:val="left"/>
              <w:rPr>
                <w:rFonts w:ascii="Arial Narrow" w:hAnsi="Arial Narrow"/>
                <w:b/>
                <w:bCs/>
                <w:color w:val="000000"/>
                <w:sz w:val="20"/>
                <w:lang w:eastAsia="en-US"/>
              </w:rPr>
            </w:pPr>
            <w:r w:rsidRPr="00F04A75">
              <w:rPr>
                <w:rFonts w:ascii="Arial Narrow" w:hAnsi="Arial Narrow"/>
                <w:b/>
                <w:bCs/>
                <w:color w:val="000000"/>
                <w:sz w:val="20"/>
                <w:lang w:eastAsia="en-US"/>
              </w:rPr>
              <w:t>Clinical criteria:</w:t>
            </w:r>
          </w:p>
        </w:tc>
      </w:tr>
      <w:tr w:rsidR="002133B9" w:rsidRPr="00F04A75" w14:paraId="5123E449" w14:textId="77777777" w:rsidTr="003B5756">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tcPr>
          <w:p w14:paraId="6B5B0BD4" w14:textId="2068DA9F" w:rsidR="002133B9" w:rsidRPr="00F04A75" w:rsidRDefault="002133B9" w:rsidP="00A425B1">
            <w:pPr>
              <w:spacing w:line="256" w:lineRule="auto"/>
              <w:jc w:val="center"/>
              <w:rPr>
                <w:rFonts w:ascii="Arial Narrow" w:hAnsi="Arial Narrow"/>
                <w:color w:val="000000"/>
                <w:sz w:val="20"/>
                <w:lang w:eastAsia="en-US"/>
              </w:rPr>
            </w:pPr>
          </w:p>
        </w:tc>
        <w:tc>
          <w:tcPr>
            <w:tcW w:w="4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hideMark/>
          </w:tcPr>
          <w:p w14:paraId="1EE1A281" w14:textId="77777777" w:rsidR="002133B9" w:rsidRPr="00F04A75" w:rsidRDefault="002133B9" w:rsidP="00A425B1">
            <w:pPr>
              <w:spacing w:line="256" w:lineRule="auto"/>
              <w:jc w:val="left"/>
              <w:rPr>
                <w:rFonts w:ascii="Arial Narrow" w:hAnsi="Arial Narrow"/>
                <w:bCs/>
                <w:color w:val="000000"/>
                <w:sz w:val="20"/>
                <w:lang w:eastAsia="en-US"/>
              </w:rPr>
            </w:pPr>
            <w:r w:rsidRPr="00F04A75">
              <w:rPr>
                <w:rFonts w:ascii="Arial Narrow" w:hAnsi="Arial Narrow"/>
                <w:bCs/>
                <w:color w:val="000000"/>
                <w:sz w:val="20"/>
                <w:lang w:eastAsia="en-US"/>
              </w:rPr>
              <w:t>Patient must have progressive disease after at least one prior therapy,</w:t>
            </w:r>
          </w:p>
        </w:tc>
      </w:tr>
      <w:tr w:rsidR="002133B9" w:rsidRPr="00F04A75" w14:paraId="6C29C492" w14:textId="77777777" w:rsidTr="00A425B1">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tcPr>
          <w:p w14:paraId="68F9B1EA" w14:textId="77777777" w:rsidR="002133B9" w:rsidRPr="00FC0499" w:rsidRDefault="002133B9" w:rsidP="00A425B1">
            <w:pPr>
              <w:spacing w:line="256" w:lineRule="auto"/>
              <w:jc w:val="center"/>
              <w:rPr>
                <w:rFonts w:ascii="Arial Narrow" w:hAnsi="Arial Narrow"/>
                <w:color w:val="000000"/>
                <w:sz w:val="20"/>
                <w:lang w:eastAsia="en-US"/>
              </w:rPr>
            </w:pPr>
          </w:p>
        </w:tc>
        <w:tc>
          <w:tcPr>
            <w:tcW w:w="4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tcPr>
          <w:p w14:paraId="4E2B3F57" w14:textId="77777777" w:rsidR="002133B9" w:rsidRPr="00FC0499" w:rsidRDefault="002133B9" w:rsidP="00A425B1">
            <w:pPr>
              <w:spacing w:line="256" w:lineRule="auto"/>
              <w:jc w:val="left"/>
              <w:rPr>
                <w:rFonts w:ascii="Arial Narrow" w:hAnsi="Arial Narrow"/>
                <w:bCs/>
                <w:color w:val="000000"/>
                <w:sz w:val="20"/>
                <w:lang w:eastAsia="en-US"/>
              </w:rPr>
            </w:pPr>
            <w:r w:rsidRPr="00FC0499">
              <w:rPr>
                <w:rFonts w:ascii="Arial Narrow" w:hAnsi="Arial Narrow"/>
                <w:bCs/>
                <w:color w:val="000000"/>
                <w:sz w:val="20"/>
                <w:lang w:eastAsia="en-US"/>
              </w:rPr>
              <w:t>AND</w:t>
            </w:r>
          </w:p>
        </w:tc>
      </w:tr>
      <w:tr w:rsidR="002133B9" w:rsidRPr="00F04A75" w14:paraId="2B8C36A1" w14:textId="77777777" w:rsidTr="00A425B1">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tcPr>
          <w:p w14:paraId="1966F852" w14:textId="7197CC0B" w:rsidR="002133B9" w:rsidRPr="00FC0499" w:rsidRDefault="002133B9" w:rsidP="00A425B1">
            <w:pPr>
              <w:spacing w:line="256" w:lineRule="auto"/>
              <w:jc w:val="center"/>
              <w:rPr>
                <w:rFonts w:ascii="Arial Narrow" w:hAnsi="Arial Narrow"/>
                <w:color w:val="000000"/>
                <w:sz w:val="20"/>
                <w:lang w:eastAsia="en-US"/>
              </w:rPr>
            </w:pPr>
          </w:p>
        </w:tc>
        <w:tc>
          <w:tcPr>
            <w:tcW w:w="4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tcPr>
          <w:p w14:paraId="1E512F31" w14:textId="77777777" w:rsidR="002133B9" w:rsidRPr="00FC0499" w:rsidRDefault="002133B9" w:rsidP="00A425B1">
            <w:pPr>
              <w:spacing w:line="256" w:lineRule="auto"/>
              <w:jc w:val="left"/>
              <w:rPr>
                <w:rFonts w:ascii="Arial Narrow" w:hAnsi="Arial Narrow"/>
                <w:bCs/>
                <w:color w:val="000000"/>
                <w:sz w:val="20"/>
                <w:lang w:eastAsia="en-US"/>
              </w:rPr>
            </w:pPr>
            <w:r w:rsidRPr="00FC0499">
              <w:rPr>
                <w:rFonts w:ascii="Arial Narrow" w:hAnsi="Arial Narrow"/>
                <w:bCs/>
                <w:color w:val="000000"/>
                <w:sz w:val="20"/>
                <w:lang w:eastAsia="en-US"/>
              </w:rPr>
              <w:t>Patient must not have previously received this drug for this condition.</w:t>
            </w:r>
          </w:p>
        </w:tc>
      </w:tr>
      <w:tr w:rsidR="002133B9" w:rsidRPr="00F04A75" w14:paraId="15B66B20" w14:textId="77777777" w:rsidTr="00A425B1">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tcPr>
          <w:p w14:paraId="7121146A" w14:textId="677BAA5E" w:rsidR="002133B9" w:rsidRPr="00F04A75" w:rsidRDefault="002133B9" w:rsidP="00A425B1">
            <w:pPr>
              <w:spacing w:line="256" w:lineRule="auto"/>
              <w:jc w:val="center"/>
              <w:rPr>
                <w:rFonts w:ascii="Arial Narrow" w:hAnsi="Arial Narrow"/>
                <w:color w:val="000000"/>
                <w:sz w:val="20"/>
                <w:lang w:eastAsia="en-US"/>
              </w:rPr>
            </w:pPr>
          </w:p>
        </w:tc>
        <w:tc>
          <w:tcPr>
            <w:tcW w:w="4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hideMark/>
          </w:tcPr>
          <w:p w14:paraId="1D191F25" w14:textId="77777777" w:rsidR="002133B9" w:rsidRPr="00F04A75" w:rsidRDefault="002133B9" w:rsidP="00A425B1">
            <w:pPr>
              <w:spacing w:line="256" w:lineRule="auto"/>
              <w:jc w:val="left"/>
              <w:rPr>
                <w:rFonts w:ascii="Arial Narrow" w:hAnsi="Arial Narrow"/>
                <w:b/>
                <w:bCs/>
                <w:iCs/>
                <w:color w:val="000000"/>
                <w:sz w:val="20"/>
                <w:lang w:eastAsia="en-US"/>
              </w:rPr>
            </w:pPr>
            <w:r w:rsidRPr="00F04A75">
              <w:rPr>
                <w:rFonts w:ascii="Arial Narrow" w:hAnsi="Arial Narrow"/>
                <w:b/>
                <w:bCs/>
                <w:color w:val="000000"/>
                <w:sz w:val="20"/>
                <w:lang w:eastAsia="en-US"/>
              </w:rPr>
              <w:t xml:space="preserve">Prescribing instructions </w:t>
            </w:r>
          </w:p>
          <w:p w14:paraId="67CC9300" w14:textId="77777777" w:rsidR="002133B9" w:rsidRPr="00F04A75" w:rsidRDefault="002133B9" w:rsidP="00A425B1">
            <w:pPr>
              <w:spacing w:line="256" w:lineRule="auto"/>
              <w:jc w:val="left"/>
              <w:rPr>
                <w:rFonts w:ascii="Arial Narrow" w:hAnsi="Arial Narrow"/>
                <w:bCs/>
                <w:color w:val="000000"/>
                <w:sz w:val="20"/>
                <w:lang w:eastAsia="en-US"/>
              </w:rPr>
            </w:pPr>
            <w:r w:rsidRPr="00F04A75">
              <w:rPr>
                <w:rFonts w:ascii="Arial Narrow" w:hAnsi="Arial Narrow"/>
                <w:bCs/>
                <w:color w:val="000000"/>
                <w:sz w:val="20"/>
                <w:lang w:eastAsia="en-US"/>
              </w:rPr>
              <w:t>Progressive disease is defined as at least 1 of the following:</w:t>
            </w:r>
          </w:p>
          <w:p w14:paraId="2E30488F" w14:textId="77777777" w:rsidR="002133B9" w:rsidRPr="00F04A75" w:rsidRDefault="002133B9" w:rsidP="00A425B1">
            <w:pPr>
              <w:spacing w:line="256" w:lineRule="auto"/>
              <w:jc w:val="left"/>
              <w:rPr>
                <w:rFonts w:ascii="Arial Narrow" w:hAnsi="Arial Narrow"/>
                <w:bCs/>
                <w:color w:val="000000"/>
                <w:sz w:val="20"/>
                <w:lang w:eastAsia="en-US"/>
              </w:rPr>
            </w:pPr>
            <w:r w:rsidRPr="00F04A75">
              <w:rPr>
                <w:rFonts w:ascii="Arial Narrow" w:hAnsi="Arial Narrow"/>
                <w:bCs/>
                <w:color w:val="000000"/>
                <w:sz w:val="20"/>
                <w:lang w:eastAsia="en-US"/>
              </w:rPr>
              <w:t>(a) at least a 25% increase and an absolute increase of at least 5 g per L in serum M protein (monoclonal protein); or</w:t>
            </w:r>
          </w:p>
          <w:p w14:paraId="0D5C5C76" w14:textId="77777777" w:rsidR="002133B9" w:rsidRPr="00F04A75" w:rsidRDefault="002133B9" w:rsidP="00A425B1">
            <w:pPr>
              <w:spacing w:line="256" w:lineRule="auto"/>
              <w:jc w:val="left"/>
              <w:rPr>
                <w:rFonts w:ascii="Arial Narrow" w:hAnsi="Arial Narrow"/>
                <w:bCs/>
                <w:color w:val="000000"/>
                <w:sz w:val="20"/>
                <w:lang w:eastAsia="en-US"/>
              </w:rPr>
            </w:pPr>
            <w:r w:rsidRPr="00F04A75">
              <w:rPr>
                <w:rFonts w:ascii="Arial Narrow" w:hAnsi="Arial Narrow"/>
                <w:bCs/>
                <w:color w:val="000000"/>
                <w:sz w:val="20"/>
                <w:lang w:eastAsia="en-US"/>
              </w:rPr>
              <w:t>(b) at least a 25% increase in 24-hour urinary light chain M protein excretion, and an absolute increase of at least 200 mg per 24 hours; or</w:t>
            </w:r>
          </w:p>
          <w:p w14:paraId="2B53CB6C" w14:textId="77777777" w:rsidR="002133B9" w:rsidRPr="00F04A75" w:rsidRDefault="002133B9" w:rsidP="00A425B1">
            <w:pPr>
              <w:spacing w:line="256" w:lineRule="auto"/>
              <w:jc w:val="left"/>
              <w:rPr>
                <w:rFonts w:ascii="Arial Narrow" w:hAnsi="Arial Narrow"/>
                <w:bCs/>
                <w:color w:val="000000"/>
                <w:sz w:val="20"/>
                <w:lang w:eastAsia="en-US"/>
              </w:rPr>
            </w:pPr>
            <w:r w:rsidRPr="00F04A75">
              <w:rPr>
                <w:rFonts w:ascii="Arial Narrow" w:hAnsi="Arial Narrow"/>
                <w:bCs/>
                <w:color w:val="000000"/>
                <w:sz w:val="20"/>
                <w:lang w:eastAsia="en-US"/>
              </w:rPr>
              <w:t xml:space="preserve">(c) in oligo-secretory and non-secretory myeloma patients only, at least a 50% increase in the difference between involved free light chain and uninvolved free light </w:t>
            </w:r>
            <w:proofErr w:type="gramStart"/>
            <w:r w:rsidRPr="00F04A75">
              <w:rPr>
                <w:rFonts w:ascii="Arial Narrow" w:hAnsi="Arial Narrow"/>
                <w:bCs/>
                <w:color w:val="000000"/>
                <w:sz w:val="20"/>
                <w:lang w:eastAsia="en-US"/>
              </w:rPr>
              <w:t>chain;</w:t>
            </w:r>
            <w:proofErr w:type="gramEnd"/>
            <w:r w:rsidRPr="00F04A75">
              <w:rPr>
                <w:rFonts w:ascii="Arial Narrow" w:hAnsi="Arial Narrow"/>
                <w:bCs/>
                <w:color w:val="000000"/>
                <w:sz w:val="20"/>
                <w:lang w:eastAsia="en-US"/>
              </w:rPr>
              <w:t xml:space="preserve"> or</w:t>
            </w:r>
          </w:p>
          <w:p w14:paraId="48AFBCAF" w14:textId="77777777" w:rsidR="002133B9" w:rsidRPr="00F04A75" w:rsidRDefault="002133B9" w:rsidP="00A425B1">
            <w:pPr>
              <w:spacing w:line="256" w:lineRule="auto"/>
              <w:jc w:val="left"/>
              <w:rPr>
                <w:rFonts w:ascii="Arial Narrow" w:hAnsi="Arial Narrow"/>
                <w:bCs/>
                <w:color w:val="000000"/>
                <w:sz w:val="20"/>
                <w:lang w:eastAsia="en-US"/>
              </w:rPr>
            </w:pPr>
            <w:r w:rsidRPr="00F04A75">
              <w:rPr>
                <w:rFonts w:ascii="Arial Narrow" w:hAnsi="Arial Narrow"/>
                <w:bCs/>
                <w:color w:val="000000"/>
                <w:sz w:val="20"/>
                <w:lang w:eastAsia="en-US"/>
              </w:rPr>
              <w:t>(d) at least a 25% relative increase and at least a 10% absolute increase in plasma cells in a bone marrow aspirate or on biopsy; or</w:t>
            </w:r>
          </w:p>
          <w:p w14:paraId="18E6663C" w14:textId="77777777" w:rsidR="002133B9" w:rsidRPr="00F04A75" w:rsidRDefault="002133B9" w:rsidP="00A425B1">
            <w:pPr>
              <w:spacing w:line="256" w:lineRule="auto"/>
              <w:jc w:val="left"/>
              <w:rPr>
                <w:rFonts w:ascii="Arial Narrow" w:hAnsi="Arial Narrow"/>
                <w:bCs/>
                <w:color w:val="000000"/>
                <w:sz w:val="20"/>
                <w:lang w:eastAsia="en-US"/>
              </w:rPr>
            </w:pPr>
            <w:r w:rsidRPr="00F04A75">
              <w:rPr>
                <w:rFonts w:ascii="Arial Narrow" w:hAnsi="Arial Narrow"/>
                <w:bCs/>
                <w:color w:val="000000"/>
                <w:sz w:val="20"/>
                <w:lang w:eastAsia="en-US"/>
              </w:rPr>
              <w:t>(e) an increase in the size or number of lytic bone lesions (not including compression fractures); or</w:t>
            </w:r>
          </w:p>
          <w:p w14:paraId="59ECCB69" w14:textId="77777777" w:rsidR="002133B9" w:rsidRPr="00F04A75" w:rsidRDefault="002133B9" w:rsidP="00A425B1">
            <w:pPr>
              <w:spacing w:line="256" w:lineRule="auto"/>
              <w:jc w:val="left"/>
              <w:rPr>
                <w:rFonts w:ascii="Arial Narrow" w:hAnsi="Arial Narrow"/>
                <w:bCs/>
                <w:color w:val="000000"/>
                <w:sz w:val="20"/>
                <w:lang w:eastAsia="en-US"/>
              </w:rPr>
            </w:pPr>
            <w:r w:rsidRPr="00F04A75">
              <w:rPr>
                <w:rFonts w:ascii="Arial Narrow" w:hAnsi="Arial Narrow"/>
                <w:bCs/>
                <w:color w:val="000000"/>
                <w:sz w:val="20"/>
                <w:lang w:eastAsia="en-US"/>
              </w:rPr>
              <w:t>(f) at least a 25% increase in the size of an existing or the development of a new soft tissue plasmacytoma (determined by clinical examination or diagnostic imaging); or</w:t>
            </w:r>
          </w:p>
          <w:p w14:paraId="6C445D26" w14:textId="77777777" w:rsidR="002133B9" w:rsidRPr="00F04A75" w:rsidRDefault="002133B9" w:rsidP="00A425B1">
            <w:pPr>
              <w:spacing w:line="256" w:lineRule="auto"/>
              <w:jc w:val="left"/>
              <w:rPr>
                <w:rFonts w:ascii="Arial Narrow" w:hAnsi="Arial Narrow"/>
                <w:bCs/>
                <w:color w:val="000000"/>
                <w:sz w:val="20"/>
                <w:lang w:eastAsia="en-US"/>
              </w:rPr>
            </w:pPr>
            <w:r w:rsidRPr="00F04A75">
              <w:rPr>
                <w:rFonts w:ascii="Arial Narrow" w:hAnsi="Arial Narrow"/>
                <w:bCs/>
                <w:color w:val="000000"/>
                <w:sz w:val="20"/>
                <w:lang w:eastAsia="en-US"/>
              </w:rPr>
              <w:t>(g) development of hypercalcaemia (corrected serum calcium greater than 2.65 mmol per L not attributable to any other cause).</w:t>
            </w:r>
          </w:p>
        </w:tc>
      </w:tr>
      <w:tr w:rsidR="002133B9" w:rsidRPr="00F04A75" w14:paraId="28EEBD10" w14:textId="77777777" w:rsidTr="00A425B1">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tcPr>
          <w:p w14:paraId="123868E5" w14:textId="77777777" w:rsidR="002133B9" w:rsidRPr="00F04A75" w:rsidRDefault="002133B9" w:rsidP="00A425B1">
            <w:pPr>
              <w:spacing w:line="256" w:lineRule="auto"/>
              <w:jc w:val="center"/>
              <w:rPr>
                <w:rFonts w:ascii="Arial Narrow" w:hAnsi="Arial Narrow"/>
                <w:color w:val="000000"/>
                <w:sz w:val="20"/>
                <w:lang w:eastAsia="en-US"/>
              </w:rPr>
            </w:pPr>
          </w:p>
          <w:p w14:paraId="191CCA7F" w14:textId="77777777" w:rsidR="002133B9" w:rsidRPr="00F04A75" w:rsidRDefault="002133B9" w:rsidP="00A425B1">
            <w:pPr>
              <w:spacing w:line="256" w:lineRule="auto"/>
              <w:jc w:val="center"/>
              <w:rPr>
                <w:rFonts w:ascii="Arial Narrow" w:hAnsi="Arial Narrow"/>
                <w:strike/>
                <w:color w:val="000000"/>
                <w:sz w:val="20"/>
                <w:lang w:eastAsia="en-US"/>
              </w:rPr>
            </w:pPr>
          </w:p>
        </w:tc>
        <w:tc>
          <w:tcPr>
            <w:tcW w:w="4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hideMark/>
          </w:tcPr>
          <w:p w14:paraId="0091318C" w14:textId="77777777" w:rsidR="002133B9" w:rsidRPr="00F04A75" w:rsidRDefault="002133B9" w:rsidP="00A425B1">
            <w:pPr>
              <w:spacing w:line="256" w:lineRule="auto"/>
              <w:jc w:val="left"/>
              <w:rPr>
                <w:rFonts w:ascii="Arial Narrow" w:hAnsi="Arial Narrow"/>
                <w:b/>
                <w:bCs/>
                <w:iCs/>
                <w:color w:val="000000"/>
                <w:sz w:val="20"/>
                <w:lang w:eastAsia="en-US"/>
              </w:rPr>
            </w:pPr>
            <w:r w:rsidRPr="00F04A75">
              <w:rPr>
                <w:rFonts w:ascii="Arial Narrow" w:hAnsi="Arial Narrow"/>
                <w:b/>
                <w:bCs/>
                <w:color w:val="000000"/>
                <w:sz w:val="20"/>
                <w:lang w:eastAsia="en-US"/>
              </w:rPr>
              <w:t xml:space="preserve">Prescribing instructions </w:t>
            </w:r>
          </w:p>
          <w:p w14:paraId="5D267F4E" w14:textId="77777777" w:rsidR="002133B9" w:rsidRPr="00F04A75" w:rsidRDefault="002133B9" w:rsidP="00A425B1">
            <w:pPr>
              <w:spacing w:line="256" w:lineRule="auto"/>
              <w:jc w:val="left"/>
              <w:rPr>
                <w:rFonts w:ascii="Arial Narrow" w:hAnsi="Arial Narrow"/>
                <w:b/>
                <w:bCs/>
                <w:color w:val="000000"/>
                <w:sz w:val="20"/>
                <w:lang w:eastAsia="en-US"/>
              </w:rPr>
            </w:pPr>
            <w:r w:rsidRPr="00F04A75">
              <w:rPr>
                <w:rFonts w:ascii="Arial Narrow" w:hAnsi="Arial Narrow"/>
                <w:bCs/>
                <w:color w:val="000000"/>
                <w:sz w:val="20"/>
                <w:lang w:eastAsia="en-US"/>
              </w:rPr>
              <w:t>Oligo-secretory and non-secretory patients are defined as having active disease with less than 10 g per L serum M protein.</w:t>
            </w:r>
          </w:p>
        </w:tc>
      </w:tr>
      <w:tr w:rsidR="002133B9" w:rsidRPr="00F04A75" w14:paraId="7CCB14AF" w14:textId="77777777" w:rsidTr="003B5756">
        <w:tc>
          <w:tcPr>
            <w:tcW w:w="70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9D7D910" w14:textId="0E43D967" w:rsidR="002133B9" w:rsidRPr="00F04A75" w:rsidRDefault="002133B9" w:rsidP="00A425B1">
            <w:pPr>
              <w:spacing w:line="256" w:lineRule="auto"/>
              <w:jc w:val="center"/>
              <w:rPr>
                <w:rFonts w:ascii="Arial Narrow" w:hAnsi="Arial Narrow"/>
                <w:color w:val="333333"/>
                <w:sz w:val="18"/>
                <w:szCs w:val="18"/>
                <w:lang w:eastAsia="en-US"/>
              </w:rPr>
            </w:pPr>
          </w:p>
        </w:tc>
        <w:tc>
          <w:tcPr>
            <w:tcW w:w="429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8AF3B3E" w14:textId="77777777" w:rsidR="002133B9" w:rsidRPr="00F04A75" w:rsidRDefault="002133B9" w:rsidP="00A425B1">
            <w:pPr>
              <w:spacing w:line="256" w:lineRule="auto"/>
              <w:jc w:val="left"/>
              <w:rPr>
                <w:rFonts w:ascii="Arial Narrow" w:hAnsi="Arial Narrow"/>
                <w:b/>
                <w:bCs/>
                <w:color w:val="333333"/>
                <w:sz w:val="20"/>
                <w:lang w:eastAsia="en-US"/>
              </w:rPr>
            </w:pPr>
            <w:r w:rsidRPr="00F04A75">
              <w:rPr>
                <w:rFonts w:ascii="Arial Narrow" w:hAnsi="Arial Narrow"/>
                <w:b/>
                <w:bCs/>
                <w:color w:val="333333"/>
                <w:sz w:val="20"/>
                <w:lang w:eastAsia="en-US"/>
              </w:rPr>
              <w:t>Prescribing Instructions:</w:t>
            </w:r>
          </w:p>
          <w:p w14:paraId="158079BD" w14:textId="77777777" w:rsidR="002133B9" w:rsidRPr="00F04A75" w:rsidRDefault="002133B9" w:rsidP="00A425B1">
            <w:pPr>
              <w:spacing w:line="256" w:lineRule="auto"/>
              <w:jc w:val="left"/>
              <w:rPr>
                <w:rFonts w:ascii="Arial Narrow" w:hAnsi="Arial Narrow"/>
                <w:bCs/>
                <w:color w:val="333333"/>
                <w:sz w:val="20"/>
                <w:lang w:eastAsia="en-US"/>
              </w:rPr>
            </w:pPr>
            <w:r w:rsidRPr="00F04A75">
              <w:rPr>
                <w:rFonts w:ascii="Arial Narrow" w:hAnsi="Arial Narrow"/>
                <w:bCs/>
                <w:color w:val="333333"/>
                <w:sz w:val="20"/>
                <w:lang w:eastAsia="en-US"/>
              </w:rPr>
              <w:t>Provide details of the histological diagnosis of multiple myeloma, prior treatments including name(s) of drug(s) and date of most recent treatment cycle; the basis of the diagnosis of progressive disease or failure to respond; and which disease activity parameters will be used to assess response once only through the Authority application for lenalidomide.</w:t>
            </w:r>
          </w:p>
        </w:tc>
      </w:tr>
      <w:tr w:rsidR="002133B9" w:rsidRPr="00F04A75" w14:paraId="60DA304C" w14:textId="77777777" w:rsidTr="003B5756">
        <w:tc>
          <w:tcPr>
            <w:tcW w:w="701" w:type="pct"/>
            <w:tcBorders>
              <w:top w:val="single" w:sz="4" w:space="0" w:color="auto"/>
              <w:left w:val="single" w:sz="4" w:space="0" w:color="auto"/>
              <w:bottom w:val="single" w:sz="4" w:space="0" w:color="auto"/>
              <w:right w:val="single" w:sz="4" w:space="0" w:color="auto"/>
            </w:tcBorders>
            <w:tcMar>
              <w:top w:w="15" w:type="dxa"/>
              <w:left w:w="28" w:type="dxa"/>
              <w:bottom w:w="15" w:type="dxa"/>
              <w:right w:w="28" w:type="dxa"/>
            </w:tcMar>
            <w:vAlign w:val="center"/>
          </w:tcPr>
          <w:p w14:paraId="15E5734A" w14:textId="5BF8048E" w:rsidR="002133B9" w:rsidRPr="00F04A75" w:rsidRDefault="002133B9" w:rsidP="00A425B1">
            <w:pPr>
              <w:spacing w:line="256" w:lineRule="auto"/>
              <w:jc w:val="center"/>
              <w:rPr>
                <w:rFonts w:ascii="Arial Narrow" w:hAnsi="Arial Narrow"/>
                <w:color w:val="333333"/>
                <w:sz w:val="18"/>
                <w:szCs w:val="18"/>
                <w:lang w:eastAsia="en-US"/>
              </w:rPr>
            </w:pPr>
          </w:p>
        </w:tc>
        <w:tc>
          <w:tcPr>
            <w:tcW w:w="4299" w:type="pct"/>
            <w:tcBorders>
              <w:top w:val="single" w:sz="4" w:space="0" w:color="auto"/>
              <w:left w:val="single" w:sz="4" w:space="0" w:color="auto"/>
              <w:bottom w:val="single" w:sz="4" w:space="0" w:color="auto"/>
              <w:right w:val="single" w:sz="4" w:space="0" w:color="auto"/>
            </w:tcBorders>
            <w:tcMar>
              <w:top w:w="15" w:type="dxa"/>
              <w:left w:w="28" w:type="dxa"/>
              <w:bottom w:w="15" w:type="dxa"/>
              <w:right w:w="28" w:type="dxa"/>
            </w:tcMar>
            <w:vAlign w:val="center"/>
            <w:hideMark/>
          </w:tcPr>
          <w:p w14:paraId="1E849F26" w14:textId="77777777" w:rsidR="002133B9" w:rsidRPr="00F04A75" w:rsidRDefault="002133B9" w:rsidP="00A425B1">
            <w:pPr>
              <w:spacing w:line="256" w:lineRule="auto"/>
              <w:jc w:val="left"/>
              <w:rPr>
                <w:rFonts w:ascii="Arial Narrow" w:hAnsi="Arial Narrow"/>
                <w:b/>
                <w:bCs/>
                <w:color w:val="333333"/>
                <w:sz w:val="20"/>
                <w:lang w:eastAsia="en-US"/>
              </w:rPr>
            </w:pPr>
            <w:r w:rsidRPr="00F04A75">
              <w:rPr>
                <w:rFonts w:ascii="Arial Narrow" w:hAnsi="Arial Narrow"/>
                <w:b/>
                <w:bCs/>
                <w:color w:val="333333"/>
                <w:sz w:val="20"/>
                <w:lang w:eastAsia="en-US"/>
              </w:rPr>
              <w:t>Administrative Advice:</w:t>
            </w:r>
            <w:r w:rsidRPr="00F04A75">
              <w:rPr>
                <w:rFonts w:ascii="Arial Narrow" w:hAnsi="Arial Narrow"/>
                <w:color w:val="333333"/>
                <w:sz w:val="20"/>
                <w:lang w:eastAsia="en-US"/>
              </w:rPr>
              <w:t xml:space="preserve"> No increase in the maximum number of repeats may be authorised.</w:t>
            </w:r>
          </w:p>
        </w:tc>
      </w:tr>
      <w:tr w:rsidR="002133B9" w:rsidRPr="00F04A75" w14:paraId="1E25CAB4" w14:textId="77777777" w:rsidTr="003B5756">
        <w:tc>
          <w:tcPr>
            <w:tcW w:w="701" w:type="pct"/>
            <w:tcBorders>
              <w:top w:val="single" w:sz="4" w:space="0" w:color="auto"/>
              <w:left w:val="single" w:sz="4" w:space="0" w:color="auto"/>
              <w:bottom w:val="single" w:sz="4" w:space="0" w:color="auto"/>
              <w:right w:val="single" w:sz="4" w:space="0" w:color="auto"/>
            </w:tcBorders>
            <w:tcMar>
              <w:top w:w="15" w:type="dxa"/>
              <w:left w:w="28" w:type="dxa"/>
              <w:bottom w:w="15" w:type="dxa"/>
              <w:right w:w="28" w:type="dxa"/>
            </w:tcMar>
            <w:vAlign w:val="center"/>
          </w:tcPr>
          <w:p w14:paraId="2D7BB5FE" w14:textId="54D3A802" w:rsidR="002133B9" w:rsidRPr="00F04A75" w:rsidRDefault="002133B9" w:rsidP="00A425B1">
            <w:pPr>
              <w:spacing w:line="256" w:lineRule="auto"/>
              <w:jc w:val="center"/>
              <w:rPr>
                <w:rFonts w:ascii="Arial Narrow" w:hAnsi="Arial Narrow"/>
                <w:color w:val="333333"/>
                <w:sz w:val="18"/>
                <w:szCs w:val="18"/>
                <w:lang w:eastAsia="en-US"/>
              </w:rPr>
            </w:pPr>
          </w:p>
        </w:tc>
        <w:tc>
          <w:tcPr>
            <w:tcW w:w="4299" w:type="pct"/>
            <w:tcBorders>
              <w:top w:val="single" w:sz="4" w:space="0" w:color="auto"/>
              <w:left w:val="single" w:sz="4" w:space="0" w:color="auto"/>
              <w:bottom w:val="single" w:sz="4" w:space="0" w:color="auto"/>
              <w:right w:val="single" w:sz="4" w:space="0" w:color="auto"/>
            </w:tcBorders>
            <w:tcMar>
              <w:top w:w="15" w:type="dxa"/>
              <w:left w:w="28" w:type="dxa"/>
              <w:bottom w:w="15" w:type="dxa"/>
              <w:right w:w="28" w:type="dxa"/>
            </w:tcMar>
            <w:vAlign w:val="center"/>
            <w:hideMark/>
          </w:tcPr>
          <w:p w14:paraId="7E0197B4" w14:textId="77777777" w:rsidR="002133B9" w:rsidRPr="00F04A75" w:rsidRDefault="002133B9" w:rsidP="00A425B1">
            <w:pPr>
              <w:spacing w:line="256" w:lineRule="auto"/>
              <w:jc w:val="left"/>
              <w:rPr>
                <w:rFonts w:ascii="Arial Narrow" w:hAnsi="Arial Narrow"/>
                <w:b/>
                <w:bCs/>
                <w:color w:val="333333"/>
                <w:sz w:val="20"/>
                <w:lang w:eastAsia="en-US"/>
              </w:rPr>
            </w:pPr>
            <w:r w:rsidRPr="00F04A75">
              <w:rPr>
                <w:rFonts w:ascii="Arial Narrow" w:hAnsi="Arial Narrow"/>
                <w:b/>
                <w:bCs/>
                <w:color w:val="333333"/>
                <w:sz w:val="20"/>
                <w:lang w:eastAsia="en-US"/>
              </w:rPr>
              <w:t xml:space="preserve">Administrative Advice: </w:t>
            </w:r>
            <w:r w:rsidRPr="00F04A75">
              <w:rPr>
                <w:rFonts w:ascii="Arial Narrow" w:hAnsi="Arial Narrow"/>
                <w:color w:val="333333"/>
                <w:sz w:val="20"/>
                <w:lang w:eastAsia="en-US"/>
              </w:rPr>
              <w:t>Special Pricing Arrangements apply</w:t>
            </w:r>
          </w:p>
        </w:tc>
      </w:tr>
    </w:tbl>
    <w:p w14:paraId="2ADE2E0A" w14:textId="77777777" w:rsidR="002133B9" w:rsidRPr="00F04A75" w:rsidRDefault="002133B9" w:rsidP="002133B9">
      <w:pPr>
        <w:rPr>
          <w:rFonts w:ascii="Arial Narrow" w:hAnsi="Arial Narrow"/>
          <w:sz w:val="20"/>
        </w:rPr>
      </w:pPr>
    </w:p>
    <w:tbl>
      <w:tblPr>
        <w:tblW w:w="5028"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271"/>
        <w:gridCol w:w="7796"/>
      </w:tblGrid>
      <w:tr w:rsidR="002133B9" w:rsidRPr="00F04A75" w14:paraId="3EEB799C" w14:textId="77777777" w:rsidTr="00A425B1">
        <w:tc>
          <w:tcPr>
            <w:tcW w:w="701"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28" w:type="dxa"/>
              <w:bottom w:w="0" w:type="dxa"/>
              <w:right w:w="28" w:type="dxa"/>
            </w:tcMar>
          </w:tcPr>
          <w:p w14:paraId="2D1D4A4A" w14:textId="56E12832" w:rsidR="002133B9" w:rsidRPr="00F04A75" w:rsidRDefault="002133B9" w:rsidP="00A425B1">
            <w:pPr>
              <w:keepNext/>
              <w:spacing w:line="256" w:lineRule="auto"/>
              <w:jc w:val="center"/>
              <w:rPr>
                <w:rFonts w:ascii="Arial Narrow" w:hAnsi="Arial Narrow"/>
                <w:color w:val="000000"/>
                <w:sz w:val="20"/>
                <w:lang w:eastAsia="en-US"/>
              </w:rPr>
            </w:pPr>
          </w:p>
        </w:tc>
        <w:tc>
          <w:tcPr>
            <w:tcW w:w="429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28" w:type="dxa"/>
              <w:bottom w:w="0" w:type="dxa"/>
              <w:right w:w="28" w:type="dxa"/>
            </w:tcMar>
            <w:hideMark/>
          </w:tcPr>
          <w:p w14:paraId="57B7BD71" w14:textId="77777777" w:rsidR="002133B9" w:rsidRPr="00F04A75" w:rsidRDefault="002133B9" w:rsidP="00A425B1">
            <w:pPr>
              <w:keepNext/>
              <w:spacing w:line="256" w:lineRule="auto"/>
              <w:jc w:val="left"/>
              <w:rPr>
                <w:rFonts w:ascii="Arial Narrow" w:hAnsi="Arial Narrow"/>
                <w:b/>
                <w:color w:val="000000"/>
                <w:sz w:val="20"/>
                <w:highlight w:val="yellow"/>
                <w:lang w:eastAsia="en-US"/>
              </w:rPr>
            </w:pPr>
            <w:r w:rsidRPr="00F04A75">
              <w:rPr>
                <w:rFonts w:ascii="Arial Narrow" w:hAnsi="Arial Narrow"/>
                <w:b/>
                <w:bCs/>
                <w:color w:val="000000"/>
                <w:sz w:val="20"/>
                <w:lang w:eastAsia="en-US"/>
              </w:rPr>
              <w:t xml:space="preserve">Category/Program: </w:t>
            </w:r>
            <w:r w:rsidRPr="00F04A75">
              <w:rPr>
                <w:rFonts w:ascii="Arial Narrow" w:hAnsi="Arial Narrow"/>
                <w:bCs/>
                <w:color w:val="000000"/>
                <w:sz w:val="20"/>
                <w:lang w:eastAsia="en-US"/>
              </w:rPr>
              <w:t>Section 100 (Efficient Funding of Chemotherapy)</w:t>
            </w:r>
          </w:p>
        </w:tc>
      </w:tr>
      <w:tr w:rsidR="002133B9" w:rsidRPr="00F04A75" w14:paraId="6460D9F0" w14:textId="77777777" w:rsidTr="003B5756">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A51C2D" w14:textId="77777777" w:rsidR="002133B9" w:rsidRPr="00F04A75" w:rsidRDefault="002133B9" w:rsidP="00A425B1">
            <w:pPr>
              <w:spacing w:line="256" w:lineRule="auto"/>
              <w:jc w:val="left"/>
              <w:rPr>
                <w:rFonts w:ascii="Arial Narrow" w:hAnsi="Arial Narrow"/>
                <w:color w:val="000000"/>
                <w:sz w:val="20"/>
                <w:lang w:eastAsia="en-US"/>
              </w:rPr>
            </w:pPr>
          </w:p>
        </w:tc>
        <w:tc>
          <w:tcPr>
            <w:tcW w:w="429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28" w:type="dxa"/>
              <w:bottom w:w="0" w:type="dxa"/>
              <w:right w:w="28" w:type="dxa"/>
            </w:tcMar>
            <w:hideMark/>
          </w:tcPr>
          <w:p w14:paraId="5B36E7A0" w14:textId="77777777" w:rsidR="002133B9" w:rsidRPr="00F04A75" w:rsidRDefault="002133B9" w:rsidP="00A425B1">
            <w:pPr>
              <w:keepNext/>
              <w:spacing w:line="256" w:lineRule="auto"/>
              <w:jc w:val="left"/>
              <w:rPr>
                <w:rFonts w:ascii="Arial Narrow" w:hAnsi="Arial Narrow"/>
                <w:bCs/>
                <w:color w:val="000000"/>
                <w:sz w:val="20"/>
                <w:highlight w:val="yellow"/>
                <w:lang w:eastAsia="en-US"/>
              </w:rPr>
            </w:pPr>
            <w:r w:rsidRPr="00F04A75">
              <w:rPr>
                <w:rFonts w:ascii="Arial Narrow" w:hAnsi="Arial Narrow"/>
                <w:b/>
                <w:bCs/>
                <w:color w:val="000000"/>
                <w:sz w:val="20"/>
                <w:lang w:eastAsia="en-US"/>
              </w:rPr>
              <w:t xml:space="preserve">Prescriber type: </w:t>
            </w:r>
            <w:r w:rsidRPr="00F04A75">
              <w:rPr>
                <w:lang w:eastAsia="en-US"/>
              </w:rPr>
              <w:fldChar w:fldCharType="begin">
                <w:ffData>
                  <w:name w:val=""/>
                  <w:enabled/>
                  <w:calcOnExit w:val="0"/>
                  <w:checkBox>
                    <w:sizeAuto/>
                    <w:default w:val="1"/>
                  </w:checkBox>
                </w:ffData>
              </w:fldChar>
            </w:r>
            <w:r w:rsidRPr="00F04A75">
              <w:rPr>
                <w:rFonts w:ascii="Arial Narrow" w:hAnsi="Arial Narrow"/>
                <w:bCs/>
                <w:color w:val="000000"/>
                <w:sz w:val="20"/>
                <w:lang w:eastAsia="en-US"/>
              </w:rPr>
              <w:instrText xml:space="preserve"> FORMCHECKBOX </w:instrText>
            </w:r>
            <w:r w:rsidR="00443BC9">
              <w:rPr>
                <w:lang w:eastAsia="en-US"/>
              </w:rPr>
            </w:r>
            <w:r w:rsidR="00443BC9">
              <w:rPr>
                <w:lang w:eastAsia="en-US"/>
              </w:rPr>
              <w:fldChar w:fldCharType="separate"/>
            </w:r>
            <w:r w:rsidRPr="00F04A75">
              <w:rPr>
                <w:lang w:eastAsia="en-US"/>
              </w:rPr>
              <w:fldChar w:fldCharType="end"/>
            </w:r>
            <w:r w:rsidRPr="00F04A75">
              <w:rPr>
                <w:rFonts w:ascii="Arial Narrow" w:hAnsi="Arial Narrow"/>
                <w:bCs/>
                <w:color w:val="000000"/>
                <w:sz w:val="20"/>
                <w:lang w:eastAsia="en-US"/>
              </w:rPr>
              <w:t xml:space="preserve">Medical Practitioners </w:t>
            </w:r>
          </w:p>
        </w:tc>
      </w:tr>
      <w:tr w:rsidR="002133B9" w:rsidRPr="00F04A75" w14:paraId="7E27B77E" w14:textId="77777777" w:rsidTr="003B5756">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95ACD8" w14:textId="77777777" w:rsidR="002133B9" w:rsidRPr="00F04A75" w:rsidRDefault="002133B9" w:rsidP="00A425B1">
            <w:pPr>
              <w:spacing w:line="256" w:lineRule="auto"/>
              <w:jc w:val="left"/>
              <w:rPr>
                <w:rFonts w:ascii="Arial Narrow" w:hAnsi="Arial Narrow"/>
                <w:color w:val="000000"/>
                <w:sz w:val="20"/>
                <w:lang w:eastAsia="en-US"/>
              </w:rPr>
            </w:pPr>
          </w:p>
        </w:tc>
        <w:tc>
          <w:tcPr>
            <w:tcW w:w="4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hideMark/>
          </w:tcPr>
          <w:p w14:paraId="7314C072" w14:textId="77777777" w:rsidR="002133B9" w:rsidRPr="00F04A75" w:rsidRDefault="002133B9" w:rsidP="00A425B1">
            <w:pPr>
              <w:keepNext/>
              <w:spacing w:line="256" w:lineRule="auto"/>
              <w:jc w:val="left"/>
              <w:rPr>
                <w:rFonts w:ascii="Arial Narrow" w:hAnsi="Arial Narrow"/>
                <w:b/>
                <w:bCs/>
                <w:color w:val="000000"/>
                <w:sz w:val="20"/>
                <w:lang w:eastAsia="en-US"/>
              </w:rPr>
            </w:pPr>
            <w:r w:rsidRPr="00F04A75">
              <w:rPr>
                <w:rFonts w:ascii="Arial Narrow" w:hAnsi="Arial Narrow"/>
                <w:b/>
                <w:bCs/>
                <w:color w:val="000000"/>
                <w:sz w:val="20"/>
                <w:lang w:eastAsia="en-US"/>
              </w:rPr>
              <w:t xml:space="preserve">Restriction type / Method: </w:t>
            </w:r>
            <w:r w:rsidRPr="00F04A75">
              <w:rPr>
                <w:lang w:eastAsia="en-US"/>
              </w:rPr>
              <w:fldChar w:fldCharType="begin">
                <w:ffData>
                  <w:name w:val="Check3"/>
                  <w:enabled/>
                  <w:calcOnExit w:val="0"/>
                  <w:checkBox>
                    <w:sizeAuto/>
                    <w:default w:val="1"/>
                  </w:checkBox>
                </w:ffData>
              </w:fldChar>
            </w:r>
            <w:r w:rsidRPr="00F04A75">
              <w:rPr>
                <w:rFonts w:ascii="Arial Narrow" w:hAnsi="Arial Narrow"/>
                <w:bCs/>
                <w:color w:val="000000"/>
                <w:sz w:val="20"/>
                <w:lang w:eastAsia="en-US"/>
              </w:rPr>
              <w:instrText xml:space="preserve"> FORMCHECKBOX </w:instrText>
            </w:r>
            <w:r w:rsidR="00443BC9">
              <w:rPr>
                <w:lang w:eastAsia="en-US"/>
              </w:rPr>
            </w:r>
            <w:r w:rsidR="00443BC9">
              <w:rPr>
                <w:lang w:eastAsia="en-US"/>
              </w:rPr>
              <w:fldChar w:fldCharType="separate"/>
            </w:r>
            <w:r w:rsidRPr="00F04A75">
              <w:rPr>
                <w:lang w:eastAsia="en-US"/>
              </w:rPr>
              <w:fldChar w:fldCharType="end"/>
            </w:r>
            <w:r w:rsidRPr="00F04A75">
              <w:rPr>
                <w:rFonts w:ascii="Arial Narrow" w:hAnsi="Arial Narrow"/>
                <w:bCs/>
                <w:color w:val="000000"/>
                <w:sz w:val="20"/>
                <w:lang w:eastAsia="en-US"/>
              </w:rPr>
              <w:t>Authority Required - STREAMLINED</w:t>
            </w:r>
          </w:p>
        </w:tc>
      </w:tr>
      <w:tr w:rsidR="002133B9" w:rsidRPr="00F04A75" w14:paraId="25852FF0" w14:textId="77777777" w:rsidTr="003B5756">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B75422" w14:textId="77777777" w:rsidR="002133B9" w:rsidRPr="00F04A75" w:rsidRDefault="002133B9" w:rsidP="00A425B1">
            <w:pPr>
              <w:spacing w:line="256" w:lineRule="auto"/>
              <w:jc w:val="left"/>
              <w:rPr>
                <w:rFonts w:ascii="Arial Narrow" w:hAnsi="Arial Narrow"/>
                <w:color w:val="000000"/>
                <w:sz w:val="20"/>
                <w:lang w:eastAsia="en-US"/>
              </w:rPr>
            </w:pPr>
          </w:p>
        </w:tc>
        <w:tc>
          <w:tcPr>
            <w:tcW w:w="4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hideMark/>
          </w:tcPr>
          <w:p w14:paraId="182383D5" w14:textId="77777777" w:rsidR="002133B9" w:rsidRPr="00F04A75" w:rsidRDefault="002133B9" w:rsidP="00A425B1">
            <w:pPr>
              <w:spacing w:line="256" w:lineRule="auto"/>
              <w:jc w:val="left"/>
              <w:rPr>
                <w:rFonts w:ascii="Arial Narrow" w:hAnsi="Arial Narrow"/>
                <w:bCs/>
                <w:color w:val="000000"/>
                <w:sz w:val="20"/>
                <w:lang w:eastAsia="en-US"/>
              </w:rPr>
            </w:pPr>
            <w:proofErr w:type="spellStart"/>
            <w:r w:rsidRPr="00F04A75">
              <w:rPr>
                <w:rFonts w:ascii="Arial Narrow" w:hAnsi="Arial Narrow"/>
                <w:b/>
                <w:bCs/>
                <w:color w:val="000000"/>
                <w:sz w:val="20"/>
                <w:lang w:eastAsia="en-US"/>
              </w:rPr>
              <w:t>Episodicity</w:t>
            </w:r>
            <w:proofErr w:type="spellEnd"/>
            <w:r w:rsidRPr="00F04A75">
              <w:rPr>
                <w:rFonts w:ascii="Arial Narrow" w:hAnsi="Arial Narrow"/>
                <w:b/>
                <w:bCs/>
                <w:color w:val="000000"/>
                <w:sz w:val="20"/>
                <w:lang w:eastAsia="en-US"/>
              </w:rPr>
              <w:t xml:space="preserve">: </w:t>
            </w:r>
            <w:r w:rsidRPr="00F04A75">
              <w:rPr>
                <w:rFonts w:ascii="Arial Narrow" w:hAnsi="Arial Narrow"/>
                <w:bCs/>
                <w:iCs/>
                <w:color w:val="000000"/>
                <w:sz w:val="20"/>
                <w:lang w:eastAsia="en-US"/>
              </w:rPr>
              <w:t>Relapsed and/or refractory</w:t>
            </w:r>
          </w:p>
        </w:tc>
      </w:tr>
      <w:tr w:rsidR="002133B9" w:rsidRPr="00F04A75" w14:paraId="46CEA0DC" w14:textId="77777777" w:rsidTr="003B5756">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8CCE74" w14:textId="77777777" w:rsidR="002133B9" w:rsidRPr="00F04A75" w:rsidRDefault="002133B9" w:rsidP="00A425B1">
            <w:pPr>
              <w:spacing w:line="256" w:lineRule="auto"/>
              <w:jc w:val="left"/>
              <w:rPr>
                <w:rFonts w:ascii="Arial Narrow" w:hAnsi="Arial Narrow"/>
                <w:color w:val="000000"/>
                <w:sz w:val="20"/>
                <w:lang w:eastAsia="en-US"/>
              </w:rPr>
            </w:pPr>
          </w:p>
        </w:tc>
        <w:tc>
          <w:tcPr>
            <w:tcW w:w="4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hideMark/>
          </w:tcPr>
          <w:p w14:paraId="11D8D777" w14:textId="77777777" w:rsidR="002133B9" w:rsidRPr="00F04A75" w:rsidRDefault="002133B9" w:rsidP="00A425B1">
            <w:pPr>
              <w:spacing w:line="256" w:lineRule="auto"/>
              <w:jc w:val="left"/>
              <w:rPr>
                <w:rFonts w:ascii="Arial Narrow" w:hAnsi="Arial Narrow"/>
                <w:color w:val="000000"/>
                <w:sz w:val="20"/>
                <w:lang w:eastAsia="en-US"/>
              </w:rPr>
            </w:pPr>
            <w:r w:rsidRPr="00F04A75">
              <w:rPr>
                <w:rFonts w:ascii="Arial Narrow" w:hAnsi="Arial Narrow"/>
                <w:b/>
                <w:bCs/>
                <w:color w:val="000000"/>
                <w:sz w:val="20"/>
                <w:lang w:eastAsia="en-US"/>
              </w:rPr>
              <w:t xml:space="preserve">Condition: </w:t>
            </w:r>
            <w:r w:rsidRPr="00F04A75">
              <w:rPr>
                <w:rFonts w:ascii="Arial Narrow" w:hAnsi="Arial Narrow"/>
                <w:bCs/>
                <w:color w:val="000000"/>
                <w:sz w:val="20"/>
                <w:lang w:eastAsia="en-US"/>
              </w:rPr>
              <w:t xml:space="preserve">Multiple myeloma </w:t>
            </w:r>
          </w:p>
        </w:tc>
      </w:tr>
      <w:tr w:rsidR="002133B9" w:rsidRPr="00F04A75" w14:paraId="342DFCDD" w14:textId="77777777" w:rsidTr="003B5756">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tcPr>
          <w:p w14:paraId="7FFDF8D7" w14:textId="16CFED58" w:rsidR="002133B9" w:rsidRPr="00F04A75" w:rsidRDefault="002133B9" w:rsidP="00A425B1">
            <w:pPr>
              <w:spacing w:line="256" w:lineRule="auto"/>
              <w:jc w:val="center"/>
              <w:rPr>
                <w:rFonts w:ascii="Arial Narrow" w:hAnsi="Arial Narrow"/>
                <w:color w:val="000000"/>
                <w:sz w:val="20"/>
                <w:lang w:eastAsia="en-US"/>
              </w:rPr>
            </w:pPr>
          </w:p>
        </w:tc>
        <w:tc>
          <w:tcPr>
            <w:tcW w:w="4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hideMark/>
          </w:tcPr>
          <w:p w14:paraId="4D403B41" w14:textId="77777777" w:rsidR="002133B9" w:rsidRPr="00F04A75" w:rsidRDefault="002133B9" w:rsidP="00A425B1">
            <w:pPr>
              <w:spacing w:line="256" w:lineRule="auto"/>
              <w:jc w:val="left"/>
              <w:rPr>
                <w:rFonts w:ascii="Arial Narrow" w:hAnsi="Arial Narrow"/>
                <w:color w:val="000000"/>
                <w:sz w:val="20"/>
                <w:lang w:eastAsia="en-US"/>
              </w:rPr>
            </w:pPr>
            <w:r w:rsidRPr="00F04A75">
              <w:rPr>
                <w:rFonts w:ascii="Arial Narrow" w:hAnsi="Arial Narrow"/>
                <w:b/>
                <w:bCs/>
                <w:color w:val="000000"/>
                <w:sz w:val="20"/>
                <w:lang w:eastAsia="en-US"/>
              </w:rPr>
              <w:t xml:space="preserve">PBS Indication: </w:t>
            </w:r>
            <w:r w:rsidRPr="00F04A75">
              <w:rPr>
                <w:rFonts w:ascii="Arial Narrow" w:hAnsi="Arial Narrow"/>
                <w:bCs/>
                <w:color w:val="000000"/>
                <w:sz w:val="20"/>
                <w:lang w:eastAsia="en-US"/>
              </w:rPr>
              <w:t xml:space="preserve">Relapsed </w:t>
            </w:r>
            <w:r w:rsidRPr="00F04A75">
              <w:rPr>
                <w:rFonts w:ascii="Arial Narrow" w:hAnsi="Arial Narrow"/>
                <w:bCs/>
                <w:iCs/>
                <w:color w:val="000000"/>
                <w:sz w:val="20"/>
                <w:lang w:eastAsia="en-US"/>
              </w:rPr>
              <w:t>and/or</w:t>
            </w:r>
            <w:r w:rsidRPr="00F04A75">
              <w:rPr>
                <w:rFonts w:ascii="Arial Narrow" w:hAnsi="Arial Narrow"/>
                <w:bCs/>
                <w:color w:val="000000"/>
                <w:sz w:val="20"/>
                <w:lang w:eastAsia="en-US"/>
              </w:rPr>
              <w:t xml:space="preserve"> refractory multiple myeloma </w:t>
            </w:r>
          </w:p>
        </w:tc>
      </w:tr>
      <w:tr w:rsidR="002133B9" w:rsidRPr="00F04A75" w14:paraId="6B91E1E9" w14:textId="77777777" w:rsidTr="00A425B1">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tcPr>
          <w:p w14:paraId="634A725D" w14:textId="77777777" w:rsidR="002133B9" w:rsidRPr="00F04A75" w:rsidRDefault="002133B9" w:rsidP="00A425B1">
            <w:pPr>
              <w:spacing w:line="256" w:lineRule="auto"/>
              <w:jc w:val="left"/>
              <w:rPr>
                <w:rFonts w:ascii="Arial Narrow" w:hAnsi="Arial Narrow"/>
                <w:b/>
                <w:color w:val="000000"/>
                <w:sz w:val="20"/>
                <w:lang w:eastAsia="en-US"/>
              </w:rPr>
            </w:pPr>
          </w:p>
        </w:tc>
        <w:tc>
          <w:tcPr>
            <w:tcW w:w="4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hideMark/>
          </w:tcPr>
          <w:p w14:paraId="3A124FF3" w14:textId="77777777" w:rsidR="002133B9" w:rsidRPr="00F04A75" w:rsidRDefault="002133B9" w:rsidP="00A425B1">
            <w:pPr>
              <w:spacing w:line="256" w:lineRule="auto"/>
              <w:jc w:val="left"/>
              <w:rPr>
                <w:rFonts w:ascii="Arial Narrow" w:hAnsi="Arial Narrow"/>
                <w:color w:val="000000"/>
                <w:sz w:val="20"/>
                <w:lang w:eastAsia="en-US"/>
              </w:rPr>
            </w:pPr>
            <w:r w:rsidRPr="00F04A75">
              <w:rPr>
                <w:rFonts w:ascii="Arial Narrow" w:hAnsi="Arial Narrow"/>
                <w:b/>
                <w:bCs/>
                <w:color w:val="000000"/>
                <w:sz w:val="20"/>
                <w:lang w:eastAsia="en-US"/>
              </w:rPr>
              <w:t xml:space="preserve">Treatment phase: </w:t>
            </w:r>
            <w:r w:rsidRPr="00F04A75">
              <w:rPr>
                <w:rFonts w:ascii="Arial Narrow" w:hAnsi="Arial Narrow"/>
                <w:bCs/>
                <w:strike/>
                <w:color w:val="000000"/>
                <w:sz w:val="20"/>
                <w:lang w:eastAsia="en-US"/>
              </w:rPr>
              <w:t>Initial</w:t>
            </w:r>
            <w:r w:rsidRPr="00F04A75">
              <w:rPr>
                <w:rFonts w:ascii="Arial Narrow" w:hAnsi="Arial Narrow"/>
                <w:bCs/>
                <w:color w:val="000000"/>
                <w:sz w:val="20"/>
                <w:lang w:eastAsia="en-US"/>
              </w:rPr>
              <w:t xml:space="preserve"> </w:t>
            </w:r>
            <w:r w:rsidRPr="00F04A75">
              <w:rPr>
                <w:rFonts w:ascii="Arial Narrow" w:hAnsi="Arial Narrow"/>
                <w:bCs/>
                <w:iCs/>
                <w:color w:val="000000"/>
                <w:sz w:val="20"/>
                <w:lang w:eastAsia="en-US"/>
              </w:rPr>
              <w:t>Continuing</w:t>
            </w:r>
            <w:r w:rsidRPr="00F04A75">
              <w:rPr>
                <w:rFonts w:ascii="Arial Narrow" w:hAnsi="Arial Narrow"/>
                <w:bCs/>
                <w:color w:val="000000"/>
                <w:sz w:val="20"/>
                <w:lang w:eastAsia="en-US"/>
              </w:rPr>
              <w:t xml:space="preserve"> treatment for Cycles </w:t>
            </w:r>
            <w:r w:rsidRPr="00F04A75">
              <w:rPr>
                <w:rFonts w:ascii="Arial Narrow" w:hAnsi="Arial Narrow"/>
                <w:bCs/>
                <w:strike/>
                <w:color w:val="000000"/>
                <w:sz w:val="20"/>
                <w:lang w:eastAsia="en-US"/>
              </w:rPr>
              <w:t>1</w:t>
            </w:r>
            <w:r w:rsidRPr="00F04A75">
              <w:rPr>
                <w:rFonts w:ascii="Arial Narrow" w:hAnsi="Arial Narrow"/>
                <w:bCs/>
                <w:color w:val="000000"/>
                <w:sz w:val="20"/>
                <w:lang w:eastAsia="en-US"/>
              </w:rPr>
              <w:t xml:space="preserve"> </w:t>
            </w:r>
            <w:r w:rsidRPr="00F04A75">
              <w:rPr>
                <w:rFonts w:ascii="Arial Narrow" w:hAnsi="Arial Narrow"/>
                <w:bCs/>
                <w:iCs/>
                <w:color w:val="000000"/>
                <w:sz w:val="20"/>
                <w:lang w:eastAsia="en-US"/>
              </w:rPr>
              <w:t>3</w:t>
            </w:r>
            <w:r w:rsidRPr="00F04A75">
              <w:rPr>
                <w:rFonts w:ascii="Arial Narrow" w:hAnsi="Arial Narrow"/>
                <w:bCs/>
                <w:color w:val="000000"/>
                <w:sz w:val="20"/>
                <w:lang w:eastAsia="en-US"/>
              </w:rPr>
              <w:t xml:space="preserve"> to 12</w:t>
            </w:r>
          </w:p>
        </w:tc>
      </w:tr>
      <w:tr w:rsidR="002133B9" w:rsidRPr="00F04A75" w14:paraId="6976B5AC" w14:textId="77777777" w:rsidTr="003B5756">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tcPr>
          <w:p w14:paraId="5694902B" w14:textId="41D10104" w:rsidR="002133B9" w:rsidRPr="00F04A75" w:rsidRDefault="002133B9" w:rsidP="00A425B1">
            <w:pPr>
              <w:spacing w:line="256" w:lineRule="auto"/>
              <w:jc w:val="center"/>
              <w:rPr>
                <w:rFonts w:ascii="Arial Narrow" w:hAnsi="Arial Narrow"/>
                <w:color w:val="000000"/>
                <w:sz w:val="20"/>
                <w:lang w:eastAsia="en-US"/>
              </w:rPr>
            </w:pPr>
          </w:p>
        </w:tc>
        <w:tc>
          <w:tcPr>
            <w:tcW w:w="4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hideMark/>
          </w:tcPr>
          <w:p w14:paraId="1C6BAA73" w14:textId="77777777" w:rsidR="002133B9" w:rsidRPr="00F04A75" w:rsidRDefault="002133B9" w:rsidP="00A425B1">
            <w:pPr>
              <w:spacing w:line="256" w:lineRule="auto"/>
              <w:jc w:val="left"/>
              <w:rPr>
                <w:rFonts w:ascii="Arial Narrow" w:hAnsi="Arial Narrow"/>
                <w:b/>
                <w:bCs/>
                <w:color w:val="000000"/>
                <w:sz w:val="20"/>
                <w:lang w:eastAsia="en-US"/>
              </w:rPr>
            </w:pPr>
            <w:r w:rsidRPr="00F04A75">
              <w:rPr>
                <w:rFonts w:ascii="Arial Narrow" w:hAnsi="Arial Narrow"/>
                <w:b/>
                <w:bCs/>
                <w:color w:val="000000"/>
                <w:sz w:val="20"/>
                <w:lang w:eastAsia="en-US"/>
              </w:rPr>
              <w:t>Clinical criteria:</w:t>
            </w:r>
          </w:p>
        </w:tc>
      </w:tr>
      <w:tr w:rsidR="002133B9" w:rsidRPr="00F04A75" w14:paraId="0722F5D6" w14:textId="77777777" w:rsidTr="003B5756">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tcPr>
          <w:p w14:paraId="0A2474A9" w14:textId="0A20CB33" w:rsidR="002133B9" w:rsidRPr="00F04A75" w:rsidRDefault="002133B9" w:rsidP="00A425B1">
            <w:pPr>
              <w:spacing w:line="256" w:lineRule="auto"/>
              <w:jc w:val="center"/>
              <w:rPr>
                <w:rFonts w:ascii="Arial Narrow" w:hAnsi="Arial Narrow"/>
                <w:color w:val="000000"/>
                <w:sz w:val="20"/>
                <w:lang w:eastAsia="en-US"/>
              </w:rPr>
            </w:pPr>
          </w:p>
        </w:tc>
        <w:tc>
          <w:tcPr>
            <w:tcW w:w="4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hideMark/>
          </w:tcPr>
          <w:p w14:paraId="339C1D76" w14:textId="77777777" w:rsidR="002133B9" w:rsidRPr="00F04A75" w:rsidRDefault="002133B9" w:rsidP="00A425B1">
            <w:pPr>
              <w:spacing w:line="256" w:lineRule="auto"/>
              <w:jc w:val="left"/>
              <w:rPr>
                <w:rFonts w:ascii="Arial Narrow" w:hAnsi="Arial Narrow"/>
                <w:bCs/>
                <w:color w:val="000000"/>
                <w:sz w:val="20"/>
                <w:lang w:eastAsia="en-US"/>
              </w:rPr>
            </w:pPr>
            <w:r w:rsidRPr="00F04A75">
              <w:rPr>
                <w:rFonts w:ascii="Arial Narrow" w:hAnsi="Arial Narrow"/>
                <w:bCs/>
                <w:color w:val="000000"/>
                <w:sz w:val="20"/>
                <w:lang w:eastAsia="en-US"/>
              </w:rPr>
              <w:t>Patient must have previously received PBS-subsidised treatment with this drug for this condition</w:t>
            </w:r>
          </w:p>
        </w:tc>
      </w:tr>
      <w:tr w:rsidR="002133B9" w:rsidRPr="00F04A75" w14:paraId="28FC70B5" w14:textId="77777777" w:rsidTr="00A425B1">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tcPr>
          <w:p w14:paraId="633DCE88" w14:textId="77777777" w:rsidR="002133B9" w:rsidRPr="00F04A75" w:rsidRDefault="002133B9" w:rsidP="00A425B1">
            <w:pPr>
              <w:spacing w:line="256" w:lineRule="auto"/>
              <w:jc w:val="center"/>
              <w:rPr>
                <w:rFonts w:ascii="Arial Narrow" w:hAnsi="Arial Narrow"/>
                <w:color w:val="000000"/>
                <w:sz w:val="20"/>
                <w:lang w:eastAsia="en-US"/>
              </w:rPr>
            </w:pPr>
          </w:p>
        </w:tc>
        <w:tc>
          <w:tcPr>
            <w:tcW w:w="4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hideMark/>
          </w:tcPr>
          <w:p w14:paraId="552935A9" w14:textId="77777777" w:rsidR="002133B9" w:rsidRPr="00F04A75" w:rsidRDefault="002133B9" w:rsidP="00A425B1">
            <w:pPr>
              <w:spacing w:line="256" w:lineRule="auto"/>
              <w:jc w:val="left"/>
              <w:rPr>
                <w:rFonts w:ascii="Arial Narrow" w:hAnsi="Arial Narrow"/>
                <w:b/>
                <w:bCs/>
                <w:color w:val="000000"/>
                <w:sz w:val="20"/>
                <w:lang w:eastAsia="en-US"/>
              </w:rPr>
            </w:pPr>
            <w:r w:rsidRPr="00F04A75">
              <w:rPr>
                <w:rFonts w:ascii="Arial Narrow" w:hAnsi="Arial Narrow"/>
                <w:b/>
                <w:bCs/>
                <w:color w:val="000000"/>
                <w:sz w:val="20"/>
                <w:lang w:eastAsia="en-US"/>
              </w:rPr>
              <w:t>AND</w:t>
            </w:r>
          </w:p>
        </w:tc>
      </w:tr>
      <w:tr w:rsidR="002133B9" w:rsidRPr="00F04A75" w14:paraId="7184999C" w14:textId="77777777" w:rsidTr="003B5756">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tcPr>
          <w:p w14:paraId="777CA133" w14:textId="272027B7" w:rsidR="002133B9" w:rsidRPr="00F04A75" w:rsidRDefault="002133B9" w:rsidP="00A425B1">
            <w:pPr>
              <w:spacing w:line="256" w:lineRule="auto"/>
              <w:jc w:val="center"/>
              <w:rPr>
                <w:rFonts w:ascii="Arial Narrow" w:hAnsi="Arial Narrow"/>
                <w:color w:val="000000"/>
                <w:sz w:val="20"/>
                <w:lang w:eastAsia="en-US"/>
              </w:rPr>
            </w:pPr>
          </w:p>
        </w:tc>
        <w:tc>
          <w:tcPr>
            <w:tcW w:w="4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hideMark/>
          </w:tcPr>
          <w:p w14:paraId="03410C61" w14:textId="77777777" w:rsidR="002133B9" w:rsidRPr="00F04A75" w:rsidRDefault="002133B9" w:rsidP="00A425B1">
            <w:pPr>
              <w:spacing w:line="256" w:lineRule="auto"/>
              <w:jc w:val="left"/>
              <w:rPr>
                <w:rFonts w:ascii="Arial Narrow" w:hAnsi="Arial Narrow"/>
                <w:b/>
                <w:bCs/>
                <w:color w:val="000000"/>
                <w:sz w:val="20"/>
                <w:lang w:eastAsia="en-US"/>
              </w:rPr>
            </w:pPr>
            <w:r w:rsidRPr="00F04A75">
              <w:rPr>
                <w:rFonts w:ascii="Arial Narrow" w:hAnsi="Arial Narrow"/>
                <w:b/>
                <w:bCs/>
                <w:color w:val="000000"/>
                <w:sz w:val="20"/>
                <w:lang w:eastAsia="en-US"/>
              </w:rPr>
              <w:t>Clinical criteria:</w:t>
            </w:r>
          </w:p>
        </w:tc>
      </w:tr>
      <w:tr w:rsidR="002133B9" w:rsidRPr="00F04A75" w14:paraId="42F149C6" w14:textId="77777777" w:rsidTr="003B5756">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tcPr>
          <w:p w14:paraId="0705F49B" w14:textId="17A05633" w:rsidR="002133B9" w:rsidRPr="00F04A75" w:rsidRDefault="002133B9" w:rsidP="00A425B1">
            <w:pPr>
              <w:spacing w:line="256" w:lineRule="auto"/>
              <w:jc w:val="center"/>
              <w:rPr>
                <w:rFonts w:ascii="Arial Narrow" w:hAnsi="Arial Narrow"/>
                <w:color w:val="000000"/>
                <w:sz w:val="20"/>
                <w:lang w:eastAsia="en-US"/>
              </w:rPr>
            </w:pPr>
          </w:p>
        </w:tc>
        <w:tc>
          <w:tcPr>
            <w:tcW w:w="4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hideMark/>
          </w:tcPr>
          <w:p w14:paraId="0A859D54" w14:textId="77777777" w:rsidR="002133B9" w:rsidRPr="00F04A75" w:rsidRDefault="002133B9" w:rsidP="00A425B1">
            <w:pPr>
              <w:spacing w:line="256" w:lineRule="auto"/>
              <w:jc w:val="left"/>
              <w:rPr>
                <w:rFonts w:ascii="Arial Narrow" w:hAnsi="Arial Narrow"/>
                <w:bCs/>
                <w:color w:val="000000"/>
                <w:sz w:val="20"/>
                <w:lang w:eastAsia="en-US"/>
              </w:rPr>
            </w:pPr>
            <w:r w:rsidRPr="00F04A75">
              <w:rPr>
                <w:rFonts w:ascii="Arial Narrow" w:hAnsi="Arial Narrow"/>
                <w:bCs/>
                <w:color w:val="000000"/>
                <w:sz w:val="20"/>
                <w:lang w:eastAsia="en-US"/>
              </w:rPr>
              <w:t>The treatment must be in combination with lenalidomide and dexamethasone,</w:t>
            </w:r>
          </w:p>
        </w:tc>
      </w:tr>
      <w:tr w:rsidR="002133B9" w:rsidRPr="00F04A75" w14:paraId="6769C19E" w14:textId="77777777" w:rsidTr="00A425B1">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tcPr>
          <w:p w14:paraId="3DA81BDA" w14:textId="77777777" w:rsidR="002133B9" w:rsidRPr="00F04A75" w:rsidRDefault="002133B9" w:rsidP="00A425B1">
            <w:pPr>
              <w:spacing w:line="256" w:lineRule="auto"/>
              <w:jc w:val="center"/>
              <w:rPr>
                <w:rFonts w:ascii="Arial Narrow" w:hAnsi="Arial Narrow"/>
                <w:color w:val="000000"/>
                <w:sz w:val="20"/>
                <w:lang w:eastAsia="en-US"/>
              </w:rPr>
            </w:pPr>
          </w:p>
        </w:tc>
        <w:tc>
          <w:tcPr>
            <w:tcW w:w="4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hideMark/>
          </w:tcPr>
          <w:p w14:paraId="75415BC0" w14:textId="77777777" w:rsidR="002133B9" w:rsidRPr="00F04A75" w:rsidRDefault="002133B9" w:rsidP="00A425B1">
            <w:pPr>
              <w:spacing w:line="256" w:lineRule="auto"/>
              <w:jc w:val="left"/>
              <w:rPr>
                <w:rFonts w:ascii="Arial Narrow" w:hAnsi="Arial Narrow"/>
                <w:b/>
                <w:bCs/>
                <w:color w:val="000000"/>
                <w:sz w:val="20"/>
                <w:lang w:eastAsia="en-US"/>
              </w:rPr>
            </w:pPr>
            <w:r w:rsidRPr="00F04A75">
              <w:rPr>
                <w:rFonts w:ascii="Arial Narrow" w:hAnsi="Arial Narrow"/>
                <w:b/>
                <w:bCs/>
                <w:color w:val="000000"/>
                <w:sz w:val="20"/>
                <w:lang w:eastAsia="en-US"/>
              </w:rPr>
              <w:t>AND</w:t>
            </w:r>
          </w:p>
        </w:tc>
      </w:tr>
      <w:tr w:rsidR="002133B9" w:rsidRPr="00F04A75" w14:paraId="1A1699F2" w14:textId="77777777" w:rsidTr="003B5756">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tcPr>
          <w:p w14:paraId="5F35C7C0" w14:textId="7D179746" w:rsidR="002133B9" w:rsidRPr="00F04A75" w:rsidRDefault="002133B9" w:rsidP="00A425B1">
            <w:pPr>
              <w:spacing w:line="256" w:lineRule="auto"/>
              <w:jc w:val="center"/>
              <w:rPr>
                <w:rFonts w:ascii="Arial Narrow" w:hAnsi="Arial Narrow"/>
                <w:color w:val="000000"/>
                <w:sz w:val="20"/>
                <w:lang w:eastAsia="en-US"/>
              </w:rPr>
            </w:pPr>
          </w:p>
        </w:tc>
        <w:tc>
          <w:tcPr>
            <w:tcW w:w="4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hideMark/>
          </w:tcPr>
          <w:p w14:paraId="2D3D0C88" w14:textId="77777777" w:rsidR="002133B9" w:rsidRPr="00F04A75" w:rsidRDefault="002133B9" w:rsidP="00A425B1">
            <w:pPr>
              <w:spacing w:line="256" w:lineRule="auto"/>
              <w:jc w:val="left"/>
              <w:rPr>
                <w:rFonts w:ascii="Arial Narrow" w:hAnsi="Arial Narrow"/>
                <w:b/>
                <w:bCs/>
                <w:color w:val="000000"/>
                <w:sz w:val="20"/>
                <w:lang w:eastAsia="en-US"/>
              </w:rPr>
            </w:pPr>
            <w:r w:rsidRPr="00F04A75">
              <w:rPr>
                <w:rFonts w:ascii="Arial Narrow" w:hAnsi="Arial Narrow"/>
                <w:b/>
                <w:bCs/>
                <w:color w:val="000000"/>
                <w:sz w:val="20"/>
                <w:lang w:eastAsia="en-US"/>
              </w:rPr>
              <w:t>Clinical criteria:</w:t>
            </w:r>
          </w:p>
        </w:tc>
      </w:tr>
      <w:tr w:rsidR="002133B9" w:rsidRPr="00F04A75" w14:paraId="126FAF35" w14:textId="77777777" w:rsidTr="003B5756">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tcPr>
          <w:p w14:paraId="701C98E6" w14:textId="0D1353D7" w:rsidR="002133B9" w:rsidRPr="00F04A75" w:rsidRDefault="002133B9" w:rsidP="00A425B1">
            <w:pPr>
              <w:spacing w:line="256" w:lineRule="auto"/>
              <w:jc w:val="center"/>
              <w:rPr>
                <w:rFonts w:ascii="Arial Narrow" w:hAnsi="Arial Narrow"/>
                <w:color w:val="000000"/>
                <w:sz w:val="20"/>
                <w:lang w:eastAsia="en-US"/>
              </w:rPr>
            </w:pPr>
          </w:p>
        </w:tc>
        <w:tc>
          <w:tcPr>
            <w:tcW w:w="4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hideMark/>
          </w:tcPr>
          <w:p w14:paraId="1422B468" w14:textId="77777777" w:rsidR="002133B9" w:rsidRPr="00F04A75" w:rsidRDefault="002133B9" w:rsidP="00A425B1">
            <w:pPr>
              <w:spacing w:line="256" w:lineRule="auto"/>
              <w:jc w:val="left"/>
              <w:rPr>
                <w:rFonts w:ascii="Arial Narrow" w:hAnsi="Arial Narrow"/>
                <w:bCs/>
                <w:color w:val="000000"/>
                <w:sz w:val="20"/>
                <w:lang w:eastAsia="en-US"/>
              </w:rPr>
            </w:pPr>
            <w:r w:rsidRPr="00F04A75">
              <w:rPr>
                <w:rFonts w:ascii="Arial Narrow" w:hAnsi="Arial Narrow"/>
                <w:bCs/>
                <w:color w:val="000000"/>
                <w:sz w:val="20"/>
                <w:lang w:eastAsia="en-US"/>
              </w:rPr>
              <w:t>Patient must not have developed progressive disease while receiving treatment with this drug for this condition,</w:t>
            </w:r>
          </w:p>
        </w:tc>
      </w:tr>
      <w:tr w:rsidR="002133B9" w:rsidRPr="00F04A75" w14:paraId="7AA95756" w14:textId="77777777" w:rsidTr="00A425B1">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tcPr>
          <w:p w14:paraId="46D161B8" w14:textId="398418E0" w:rsidR="002133B9" w:rsidRPr="00F04A75" w:rsidRDefault="002133B9" w:rsidP="00A425B1">
            <w:pPr>
              <w:spacing w:line="256" w:lineRule="auto"/>
              <w:jc w:val="center"/>
              <w:rPr>
                <w:rFonts w:ascii="Arial Narrow" w:hAnsi="Arial Narrow"/>
                <w:color w:val="000000"/>
                <w:sz w:val="20"/>
                <w:lang w:eastAsia="en-US"/>
              </w:rPr>
            </w:pPr>
          </w:p>
        </w:tc>
        <w:tc>
          <w:tcPr>
            <w:tcW w:w="4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hideMark/>
          </w:tcPr>
          <w:p w14:paraId="699EB7B1" w14:textId="77777777" w:rsidR="002133B9" w:rsidRPr="00F04A75" w:rsidRDefault="002133B9" w:rsidP="00A425B1">
            <w:pPr>
              <w:spacing w:line="256" w:lineRule="auto"/>
              <w:jc w:val="left"/>
              <w:rPr>
                <w:rFonts w:ascii="Arial Narrow" w:hAnsi="Arial Narrow"/>
                <w:b/>
                <w:bCs/>
                <w:iCs/>
                <w:color w:val="000000"/>
                <w:sz w:val="20"/>
                <w:lang w:eastAsia="en-US"/>
              </w:rPr>
            </w:pPr>
            <w:r w:rsidRPr="00F04A75">
              <w:rPr>
                <w:rFonts w:ascii="Arial Narrow" w:hAnsi="Arial Narrow"/>
                <w:b/>
                <w:bCs/>
                <w:color w:val="000000"/>
                <w:sz w:val="20"/>
                <w:lang w:eastAsia="en-US"/>
              </w:rPr>
              <w:t xml:space="preserve">Prescribing instructions </w:t>
            </w:r>
          </w:p>
          <w:p w14:paraId="08F9F811" w14:textId="77777777" w:rsidR="002133B9" w:rsidRPr="00F04A75" w:rsidRDefault="002133B9" w:rsidP="00A425B1">
            <w:pPr>
              <w:spacing w:line="256" w:lineRule="auto"/>
              <w:jc w:val="left"/>
              <w:rPr>
                <w:rFonts w:ascii="Arial Narrow" w:hAnsi="Arial Narrow"/>
                <w:bCs/>
                <w:color w:val="000000"/>
                <w:sz w:val="20"/>
                <w:lang w:eastAsia="en-US"/>
              </w:rPr>
            </w:pPr>
            <w:r w:rsidRPr="00F04A75">
              <w:rPr>
                <w:rFonts w:ascii="Arial Narrow" w:hAnsi="Arial Narrow"/>
                <w:bCs/>
                <w:color w:val="000000"/>
                <w:sz w:val="20"/>
                <w:lang w:eastAsia="en-US"/>
              </w:rPr>
              <w:t>Progressive disease is defined as at least 1 of the following:</w:t>
            </w:r>
          </w:p>
          <w:p w14:paraId="78AE53D4" w14:textId="77777777" w:rsidR="002133B9" w:rsidRPr="00F04A75" w:rsidRDefault="002133B9" w:rsidP="00A425B1">
            <w:pPr>
              <w:spacing w:line="256" w:lineRule="auto"/>
              <w:jc w:val="left"/>
              <w:rPr>
                <w:rFonts w:ascii="Arial Narrow" w:hAnsi="Arial Narrow"/>
                <w:bCs/>
                <w:color w:val="000000"/>
                <w:sz w:val="20"/>
                <w:lang w:eastAsia="en-US"/>
              </w:rPr>
            </w:pPr>
            <w:r w:rsidRPr="00F04A75">
              <w:rPr>
                <w:rFonts w:ascii="Arial Narrow" w:hAnsi="Arial Narrow"/>
                <w:bCs/>
                <w:color w:val="000000"/>
                <w:sz w:val="20"/>
                <w:lang w:eastAsia="en-US"/>
              </w:rPr>
              <w:t>(a) at least a 25% increase and an absolute increase of at least 5 g per L in serum M protein (monoclonal protein); or</w:t>
            </w:r>
          </w:p>
          <w:p w14:paraId="52D2D9EF" w14:textId="77777777" w:rsidR="002133B9" w:rsidRPr="00F04A75" w:rsidRDefault="002133B9" w:rsidP="00A425B1">
            <w:pPr>
              <w:spacing w:line="256" w:lineRule="auto"/>
              <w:jc w:val="left"/>
              <w:rPr>
                <w:rFonts w:ascii="Arial Narrow" w:hAnsi="Arial Narrow"/>
                <w:bCs/>
                <w:color w:val="000000"/>
                <w:sz w:val="20"/>
                <w:lang w:eastAsia="en-US"/>
              </w:rPr>
            </w:pPr>
            <w:r w:rsidRPr="00F04A75">
              <w:rPr>
                <w:rFonts w:ascii="Arial Narrow" w:hAnsi="Arial Narrow"/>
                <w:bCs/>
                <w:color w:val="000000"/>
                <w:sz w:val="20"/>
                <w:lang w:eastAsia="en-US"/>
              </w:rPr>
              <w:t>(b) at least a 25% increase in 24-hour urinary light chain M protein excretion, and an absolute increase of at least 200 mg per 24 hours; or</w:t>
            </w:r>
          </w:p>
          <w:p w14:paraId="7DFF91A4" w14:textId="77777777" w:rsidR="002133B9" w:rsidRPr="00F04A75" w:rsidRDefault="002133B9" w:rsidP="00A425B1">
            <w:pPr>
              <w:spacing w:line="256" w:lineRule="auto"/>
              <w:jc w:val="left"/>
              <w:rPr>
                <w:rFonts w:ascii="Arial Narrow" w:hAnsi="Arial Narrow"/>
                <w:bCs/>
                <w:color w:val="000000"/>
                <w:sz w:val="20"/>
                <w:lang w:eastAsia="en-US"/>
              </w:rPr>
            </w:pPr>
            <w:r w:rsidRPr="00F04A75">
              <w:rPr>
                <w:rFonts w:ascii="Arial Narrow" w:hAnsi="Arial Narrow"/>
                <w:bCs/>
                <w:color w:val="000000"/>
                <w:sz w:val="20"/>
                <w:lang w:eastAsia="en-US"/>
              </w:rPr>
              <w:t xml:space="preserve">(c) in oligo-secretory and non-secretory myeloma patients only, at least a 50% increase in the difference between involved free light chain and uninvolved free light </w:t>
            </w:r>
            <w:proofErr w:type="gramStart"/>
            <w:r w:rsidRPr="00F04A75">
              <w:rPr>
                <w:rFonts w:ascii="Arial Narrow" w:hAnsi="Arial Narrow"/>
                <w:bCs/>
                <w:color w:val="000000"/>
                <w:sz w:val="20"/>
                <w:lang w:eastAsia="en-US"/>
              </w:rPr>
              <w:t>chain;</w:t>
            </w:r>
            <w:proofErr w:type="gramEnd"/>
            <w:r w:rsidRPr="00F04A75">
              <w:rPr>
                <w:rFonts w:ascii="Arial Narrow" w:hAnsi="Arial Narrow"/>
                <w:bCs/>
                <w:color w:val="000000"/>
                <w:sz w:val="20"/>
                <w:lang w:eastAsia="en-US"/>
              </w:rPr>
              <w:t xml:space="preserve"> or</w:t>
            </w:r>
          </w:p>
          <w:p w14:paraId="50834F64" w14:textId="77777777" w:rsidR="002133B9" w:rsidRPr="00F04A75" w:rsidRDefault="002133B9" w:rsidP="00A425B1">
            <w:pPr>
              <w:spacing w:line="256" w:lineRule="auto"/>
              <w:jc w:val="left"/>
              <w:rPr>
                <w:rFonts w:ascii="Arial Narrow" w:hAnsi="Arial Narrow"/>
                <w:bCs/>
                <w:color w:val="000000"/>
                <w:sz w:val="20"/>
                <w:lang w:eastAsia="en-US"/>
              </w:rPr>
            </w:pPr>
            <w:r w:rsidRPr="00F04A75">
              <w:rPr>
                <w:rFonts w:ascii="Arial Narrow" w:hAnsi="Arial Narrow"/>
                <w:bCs/>
                <w:color w:val="000000"/>
                <w:sz w:val="20"/>
                <w:lang w:eastAsia="en-US"/>
              </w:rPr>
              <w:t>(d) at least a 25% relative increase and at least a 10% absolute increase in plasma cells in a bone marrow aspirate or on biopsy; or</w:t>
            </w:r>
          </w:p>
          <w:p w14:paraId="58899142" w14:textId="77777777" w:rsidR="002133B9" w:rsidRPr="00F04A75" w:rsidRDefault="002133B9" w:rsidP="00A425B1">
            <w:pPr>
              <w:spacing w:line="256" w:lineRule="auto"/>
              <w:jc w:val="left"/>
              <w:rPr>
                <w:rFonts w:ascii="Arial Narrow" w:hAnsi="Arial Narrow"/>
                <w:bCs/>
                <w:color w:val="000000"/>
                <w:sz w:val="20"/>
                <w:lang w:eastAsia="en-US"/>
              </w:rPr>
            </w:pPr>
            <w:r w:rsidRPr="00F04A75">
              <w:rPr>
                <w:rFonts w:ascii="Arial Narrow" w:hAnsi="Arial Narrow"/>
                <w:bCs/>
                <w:color w:val="000000"/>
                <w:sz w:val="20"/>
                <w:lang w:eastAsia="en-US"/>
              </w:rPr>
              <w:t>(e) an increase in the size or number of lytic bone lesions (not including compression fractures); or</w:t>
            </w:r>
          </w:p>
          <w:p w14:paraId="30967A54" w14:textId="77777777" w:rsidR="002133B9" w:rsidRPr="00F04A75" w:rsidRDefault="002133B9" w:rsidP="00A425B1">
            <w:pPr>
              <w:spacing w:line="256" w:lineRule="auto"/>
              <w:jc w:val="left"/>
              <w:rPr>
                <w:rFonts w:ascii="Arial Narrow" w:hAnsi="Arial Narrow"/>
                <w:bCs/>
                <w:color w:val="000000"/>
                <w:sz w:val="20"/>
                <w:lang w:eastAsia="en-US"/>
              </w:rPr>
            </w:pPr>
            <w:r w:rsidRPr="00F04A75">
              <w:rPr>
                <w:rFonts w:ascii="Arial Narrow" w:hAnsi="Arial Narrow"/>
                <w:bCs/>
                <w:color w:val="000000"/>
                <w:sz w:val="20"/>
                <w:lang w:eastAsia="en-US"/>
              </w:rPr>
              <w:t>(f) at least a 25% increase in the size of an existing or the development of a new soft tissue plasmacytoma (determined by clinical examination or diagnostic imaging); or</w:t>
            </w:r>
          </w:p>
          <w:p w14:paraId="17DFAAD4" w14:textId="77777777" w:rsidR="002133B9" w:rsidRPr="00F04A75" w:rsidRDefault="002133B9" w:rsidP="00A425B1">
            <w:pPr>
              <w:spacing w:line="256" w:lineRule="auto"/>
              <w:jc w:val="left"/>
              <w:rPr>
                <w:rFonts w:ascii="Arial Narrow" w:hAnsi="Arial Narrow"/>
                <w:bCs/>
                <w:color w:val="000000"/>
                <w:sz w:val="20"/>
                <w:lang w:eastAsia="en-US"/>
              </w:rPr>
            </w:pPr>
            <w:r w:rsidRPr="00F04A75">
              <w:rPr>
                <w:rFonts w:ascii="Arial Narrow" w:hAnsi="Arial Narrow"/>
                <w:bCs/>
                <w:color w:val="000000"/>
                <w:sz w:val="20"/>
                <w:lang w:eastAsia="en-US"/>
              </w:rPr>
              <w:t>(g) development of hypercalcaemia (corrected serum calcium greater than 2.65 mmol per L not attributable to any other cause).</w:t>
            </w:r>
          </w:p>
        </w:tc>
      </w:tr>
      <w:tr w:rsidR="002133B9" w:rsidRPr="00F04A75" w14:paraId="57B692D6" w14:textId="77777777" w:rsidTr="00A425B1">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tcPr>
          <w:p w14:paraId="4D8873A8" w14:textId="77777777" w:rsidR="002133B9" w:rsidRPr="00F04A75" w:rsidRDefault="002133B9" w:rsidP="00A425B1">
            <w:pPr>
              <w:spacing w:line="256" w:lineRule="auto"/>
              <w:jc w:val="center"/>
              <w:rPr>
                <w:rFonts w:ascii="Arial Narrow" w:hAnsi="Arial Narrow"/>
                <w:color w:val="000000"/>
                <w:sz w:val="20"/>
                <w:lang w:eastAsia="en-US"/>
              </w:rPr>
            </w:pPr>
          </w:p>
          <w:p w14:paraId="06C9BFCA" w14:textId="77777777" w:rsidR="002133B9" w:rsidRPr="00F04A75" w:rsidRDefault="002133B9" w:rsidP="00A425B1">
            <w:pPr>
              <w:spacing w:line="256" w:lineRule="auto"/>
              <w:jc w:val="center"/>
              <w:rPr>
                <w:rFonts w:ascii="Arial Narrow" w:hAnsi="Arial Narrow"/>
                <w:strike/>
                <w:color w:val="000000"/>
                <w:sz w:val="20"/>
                <w:lang w:eastAsia="en-US"/>
              </w:rPr>
            </w:pPr>
          </w:p>
        </w:tc>
        <w:tc>
          <w:tcPr>
            <w:tcW w:w="4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hideMark/>
          </w:tcPr>
          <w:p w14:paraId="04CF4E00" w14:textId="77777777" w:rsidR="002133B9" w:rsidRPr="00F04A75" w:rsidRDefault="002133B9" w:rsidP="00A425B1">
            <w:pPr>
              <w:spacing w:line="256" w:lineRule="auto"/>
              <w:jc w:val="left"/>
              <w:rPr>
                <w:rFonts w:ascii="Arial Narrow" w:hAnsi="Arial Narrow"/>
                <w:b/>
                <w:bCs/>
                <w:iCs/>
                <w:color w:val="000000"/>
                <w:sz w:val="20"/>
                <w:lang w:eastAsia="en-US"/>
              </w:rPr>
            </w:pPr>
            <w:r w:rsidRPr="00F04A75">
              <w:rPr>
                <w:rFonts w:ascii="Arial Narrow" w:hAnsi="Arial Narrow"/>
                <w:b/>
                <w:bCs/>
                <w:color w:val="000000"/>
                <w:sz w:val="20"/>
                <w:lang w:eastAsia="en-US"/>
              </w:rPr>
              <w:t xml:space="preserve">Prescribing instructions </w:t>
            </w:r>
          </w:p>
          <w:p w14:paraId="1FF01085" w14:textId="77777777" w:rsidR="002133B9" w:rsidRPr="00F04A75" w:rsidRDefault="002133B9" w:rsidP="00A425B1">
            <w:pPr>
              <w:spacing w:line="256" w:lineRule="auto"/>
              <w:jc w:val="left"/>
              <w:rPr>
                <w:rFonts w:ascii="Arial Narrow" w:hAnsi="Arial Narrow"/>
                <w:b/>
                <w:bCs/>
                <w:color w:val="000000"/>
                <w:sz w:val="20"/>
                <w:lang w:eastAsia="en-US"/>
              </w:rPr>
            </w:pPr>
            <w:r w:rsidRPr="00F04A75">
              <w:rPr>
                <w:rFonts w:ascii="Arial Narrow" w:hAnsi="Arial Narrow"/>
                <w:bCs/>
                <w:color w:val="000000"/>
                <w:sz w:val="20"/>
                <w:lang w:eastAsia="en-US"/>
              </w:rPr>
              <w:t>Oligo-secretory and non-secretory patients are defined as having active disease with less than 10 g per L serum M protein.</w:t>
            </w:r>
          </w:p>
        </w:tc>
      </w:tr>
      <w:tr w:rsidR="002133B9" w:rsidRPr="00F04A75" w14:paraId="126B35FD" w14:textId="77777777" w:rsidTr="003B5756">
        <w:tc>
          <w:tcPr>
            <w:tcW w:w="701" w:type="pct"/>
            <w:tcBorders>
              <w:top w:val="single" w:sz="4" w:space="0" w:color="auto"/>
              <w:left w:val="single" w:sz="4" w:space="0" w:color="auto"/>
              <w:bottom w:val="single" w:sz="4" w:space="0" w:color="auto"/>
              <w:right w:val="single" w:sz="4" w:space="0" w:color="auto"/>
            </w:tcBorders>
            <w:tcMar>
              <w:top w:w="15" w:type="dxa"/>
              <w:left w:w="28" w:type="dxa"/>
              <w:bottom w:w="15" w:type="dxa"/>
              <w:right w:w="28" w:type="dxa"/>
            </w:tcMar>
            <w:vAlign w:val="center"/>
          </w:tcPr>
          <w:p w14:paraId="122BF163" w14:textId="1BBB24F1" w:rsidR="002133B9" w:rsidRPr="00F04A75" w:rsidRDefault="002133B9" w:rsidP="00A425B1">
            <w:pPr>
              <w:spacing w:line="256" w:lineRule="auto"/>
              <w:jc w:val="center"/>
              <w:rPr>
                <w:rFonts w:ascii="Arial Narrow" w:hAnsi="Arial Narrow"/>
                <w:color w:val="333333"/>
                <w:sz w:val="18"/>
                <w:szCs w:val="18"/>
                <w:lang w:eastAsia="en-US"/>
              </w:rPr>
            </w:pPr>
          </w:p>
        </w:tc>
        <w:tc>
          <w:tcPr>
            <w:tcW w:w="4299" w:type="pct"/>
            <w:tcBorders>
              <w:top w:val="single" w:sz="4" w:space="0" w:color="auto"/>
              <w:left w:val="single" w:sz="4" w:space="0" w:color="auto"/>
              <w:bottom w:val="single" w:sz="4" w:space="0" w:color="auto"/>
              <w:right w:val="single" w:sz="4" w:space="0" w:color="auto"/>
            </w:tcBorders>
            <w:tcMar>
              <w:top w:w="15" w:type="dxa"/>
              <w:left w:w="28" w:type="dxa"/>
              <w:bottom w:w="15" w:type="dxa"/>
              <w:right w:w="28" w:type="dxa"/>
            </w:tcMar>
            <w:vAlign w:val="center"/>
            <w:hideMark/>
          </w:tcPr>
          <w:p w14:paraId="3AD82E0B" w14:textId="77777777" w:rsidR="002133B9" w:rsidRPr="00F04A75" w:rsidRDefault="002133B9" w:rsidP="00A425B1">
            <w:pPr>
              <w:spacing w:line="256" w:lineRule="auto"/>
              <w:jc w:val="left"/>
              <w:rPr>
                <w:rFonts w:ascii="Arial Narrow" w:hAnsi="Arial Narrow"/>
                <w:b/>
                <w:bCs/>
                <w:color w:val="333333"/>
                <w:sz w:val="20"/>
                <w:lang w:eastAsia="en-US"/>
              </w:rPr>
            </w:pPr>
            <w:r w:rsidRPr="00F04A75">
              <w:rPr>
                <w:rFonts w:ascii="Arial Narrow" w:hAnsi="Arial Narrow"/>
                <w:b/>
                <w:bCs/>
                <w:color w:val="333333"/>
                <w:sz w:val="20"/>
                <w:lang w:eastAsia="en-US"/>
              </w:rPr>
              <w:t>Administrative Advice:</w:t>
            </w:r>
            <w:r w:rsidRPr="00F04A75">
              <w:rPr>
                <w:rFonts w:ascii="Arial Narrow" w:hAnsi="Arial Narrow"/>
                <w:color w:val="333333"/>
                <w:sz w:val="20"/>
                <w:lang w:eastAsia="en-US"/>
              </w:rPr>
              <w:t xml:space="preserve"> No increase in the maximum number of repeats may be authorised.</w:t>
            </w:r>
          </w:p>
        </w:tc>
      </w:tr>
      <w:tr w:rsidR="002133B9" w:rsidRPr="00F04A75" w14:paraId="624F192F" w14:textId="77777777" w:rsidTr="003B5756">
        <w:tc>
          <w:tcPr>
            <w:tcW w:w="701" w:type="pct"/>
            <w:tcBorders>
              <w:top w:val="single" w:sz="4" w:space="0" w:color="auto"/>
              <w:left w:val="single" w:sz="4" w:space="0" w:color="auto"/>
              <w:bottom w:val="single" w:sz="4" w:space="0" w:color="auto"/>
              <w:right w:val="single" w:sz="4" w:space="0" w:color="auto"/>
            </w:tcBorders>
            <w:tcMar>
              <w:top w:w="15" w:type="dxa"/>
              <w:left w:w="28" w:type="dxa"/>
              <w:bottom w:w="15" w:type="dxa"/>
              <w:right w:w="28" w:type="dxa"/>
            </w:tcMar>
            <w:vAlign w:val="center"/>
          </w:tcPr>
          <w:p w14:paraId="3602E428" w14:textId="7584E3AD" w:rsidR="002133B9" w:rsidRPr="00F04A75" w:rsidRDefault="002133B9" w:rsidP="00A425B1">
            <w:pPr>
              <w:spacing w:line="256" w:lineRule="auto"/>
              <w:jc w:val="center"/>
              <w:rPr>
                <w:rFonts w:ascii="Arial Narrow" w:hAnsi="Arial Narrow"/>
                <w:color w:val="333333"/>
                <w:sz w:val="18"/>
                <w:szCs w:val="18"/>
                <w:lang w:eastAsia="en-US"/>
              </w:rPr>
            </w:pPr>
          </w:p>
        </w:tc>
        <w:tc>
          <w:tcPr>
            <w:tcW w:w="4299" w:type="pct"/>
            <w:tcBorders>
              <w:top w:val="single" w:sz="4" w:space="0" w:color="auto"/>
              <w:left w:val="single" w:sz="4" w:space="0" w:color="auto"/>
              <w:bottom w:val="single" w:sz="4" w:space="0" w:color="auto"/>
              <w:right w:val="single" w:sz="4" w:space="0" w:color="auto"/>
            </w:tcBorders>
            <w:tcMar>
              <w:top w:w="15" w:type="dxa"/>
              <w:left w:w="28" w:type="dxa"/>
              <w:bottom w:w="15" w:type="dxa"/>
              <w:right w:w="28" w:type="dxa"/>
            </w:tcMar>
            <w:vAlign w:val="center"/>
            <w:hideMark/>
          </w:tcPr>
          <w:p w14:paraId="27F7A3AE" w14:textId="77777777" w:rsidR="002133B9" w:rsidRPr="00F04A75" w:rsidRDefault="002133B9" w:rsidP="00A425B1">
            <w:pPr>
              <w:spacing w:line="256" w:lineRule="auto"/>
              <w:jc w:val="left"/>
              <w:rPr>
                <w:rFonts w:ascii="Arial Narrow" w:hAnsi="Arial Narrow"/>
                <w:b/>
                <w:bCs/>
                <w:color w:val="333333"/>
                <w:sz w:val="20"/>
                <w:lang w:eastAsia="en-US"/>
              </w:rPr>
            </w:pPr>
            <w:r w:rsidRPr="00F04A75">
              <w:rPr>
                <w:rFonts w:ascii="Arial Narrow" w:hAnsi="Arial Narrow"/>
                <w:b/>
                <w:bCs/>
                <w:color w:val="333333"/>
                <w:sz w:val="20"/>
                <w:lang w:eastAsia="en-US"/>
              </w:rPr>
              <w:t xml:space="preserve">Administrative Advice: </w:t>
            </w:r>
            <w:r w:rsidRPr="00F04A75">
              <w:rPr>
                <w:rFonts w:ascii="Arial Narrow" w:hAnsi="Arial Narrow"/>
                <w:color w:val="333333"/>
                <w:sz w:val="20"/>
                <w:lang w:eastAsia="en-US"/>
              </w:rPr>
              <w:t>Special Pricing Arrangements apply</w:t>
            </w:r>
          </w:p>
        </w:tc>
      </w:tr>
    </w:tbl>
    <w:p w14:paraId="0F860B26" w14:textId="77777777" w:rsidR="002133B9" w:rsidRPr="00F04A75" w:rsidRDefault="002133B9" w:rsidP="002133B9">
      <w:pPr>
        <w:pStyle w:val="Caption"/>
        <w:keepNext/>
        <w:rPr>
          <w:rFonts w:ascii="Arial Narrow" w:hAnsi="Arial Narrow"/>
          <w:sz w:val="20"/>
          <w:szCs w:val="20"/>
        </w:rPr>
      </w:pPr>
    </w:p>
    <w:p w14:paraId="100BF1E8" w14:textId="77777777" w:rsidR="002133B9" w:rsidRPr="00F04A75" w:rsidRDefault="002133B9" w:rsidP="002133B9">
      <w:pPr>
        <w:spacing w:after="120"/>
        <w:rPr>
          <w:rFonts w:ascii="Arial Narrow" w:hAnsi="Arial Narrow"/>
          <w:b/>
          <w:sz w:val="20"/>
        </w:rPr>
      </w:pPr>
      <w:r w:rsidRPr="00F04A75">
        <w:rPr>
          <w:rFonts w:ascii="Arial Narrow" w:hAnsi="Arial Narrow"/>
          <w:b/>
          <w:sz w:val="20"/>
        </w:rPr>
        <w:t>Restriction Summary [new] / Treatment of Concept: [new]</w:t>
      </w:r>
    </w:p>
    <w:tbl>
      <w:tblPr>
        <w:tblW w:w="5028"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271"/>
        <w:gridCol w:w="7796"/>
      </w:tblGrid>
      <w:tr w:rsidR="002133B9" w:rsidRPr="00F04A75" w14:paraId="592D3138" w14:textId="77777777" w:rsidTr="00A425B1">
        <w:tc>
          <w:tcPr>
            <w:tcW w:w="701"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28" w:type="dxa"/>
              <w:bottom w:w="0" w:type="dxa"/>
              <w:right w:w="28" w:type="dxa"/>
            </w:tcMar>
          </w:tcPr>
          <w:p w14:paraId="76480D90" w14:textId="061F518C" w:rsidR="002133B9" w:rsidRPr="00F04A75" w:rsidRDefault="002133B9" w:rsidP="00A425B1">
            <w:pPr>
              <w:spacing w:line="256" w:lineRule="auto"/>
              <w:jc w:val="center"/>
              <w:rPr>
                <w:rFonts w:ascii="Arial Narrow" w:hAnsi="Arial Narrow"/>
                <w:b/>
                <w:color w:val="000000"/>
                <w:sz w:val="20"/>
                <w:lang w:eastAsia="en-US"/>
              </w:rPr>
            </w:pPr>
          </w:p>
        </w:tc>
        <w:tc>
          <w:tcPr>
            <w:tcW w:w="429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28" w:type="dxa"/>
              <w:bottom w:w="0" w:type="dxa"/>
              <w:right w:w="28" w:type="dxa"/>
            </w:tcMar>
            <w:hideMark/>
          </w:tcPr>
          <w:p w14:paraId="453D3BD5" w14:textId="77777777" w:rsidR="002133B9" w:rsidRPr="00F04A75" w:rsidRDefault="002133B9" w:rsidP="00A425B1">
            <w:pPr>
              <w:spacing w:line="256" w:lineRule="auto"/>
              <w:jc w:val="left"/>
              <w:rPr>
                <w:rFonts w:ascii="Arial Narrow" w:hAnsi="Arial Narrow"/>
                <w:b/>
                <w:color w:val="000000"/>
                <w:sz w:val="20"/>
                <w:lang w:eastAsia="en-US"/>
              </w:rPr>
            </w:pPr>
            <w:r w:rsidRPr="00F04A75">
              <w:rPr>
                <w:rFonts w:ascii="Arial Narrow" w:hAnsi="Arial Narrow"/>
                <w:b/>
                <w:bCs/>
                <w:color w:val="000000"/>
                <w:sz w:val="20"/>
                <w:lang w:eastAsia="en-US"/>
              </w:rPr>
              <w:t xml:space="preserve">Category/Program: </w:t>
            </w:r>
            <w:r w:rsidRPr="00F04A75">
              <w:rPr>
                <w:rFonts w:ascii="Arial Narrow" w:hAnsi="Arial Narrow"/>
                <w:bCs/>
                <w:color w:val="000000"/>
                <w:sz w:val="20"/>
                <w:lang w:eastAsia="en-US"/>
              </w:rPr>
              <w:t>Section 100 (Efficient Funding of Chemotherapy)</w:t>
            </w:r>
          </w:p>
        </w:tc>
      </w:tr>
      <w:tr w:rsidR="002133B9" w:rsidRPr="00F04A75" w14:paraId="0B167896" w14:textId="77777777" w:rsidTr="003B5756">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C61F31" w14:textId="77777777" w:rsidR="002133B9" w:rsidRPr="00F04A75" w:rsidRDefault="002133B9" w:rsidP="00A425B1">
            <w:pPr>
              <w:spacing w:line="256" w:lineRule="auto"/>
              <w:jc w:val="left"/>
              <w:rPr>
                <w:rFonts w:ascii="Arial Narrow" w:hAnsi="Arial Narrow"/>
                <w:b/>
                <w:color w:val="000000"/>
                <w:sz w:val="20"/>
                <w:lang w:eastAsia="en-US"/>
              </w:rPr>
            </w:pPr>
          </w:p>
        </w:tc>
        <w:tc>
          <w:tcPr>
            <w:tcW w:w="429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28" w:type="dxa"/>
              <w:bottom w:w="0" w:type="dxa"/>
              <w:right w:w="28" w:type="dxa"/>
            </w:tcMar>
            <w:hideMark/>
          </w:tcPr>
          <w:p w14:paraId="0CA75938" w14:textId="77777777" w:rsidR="002133B9" w:rsidRPr="00F04A75" w:rsidRDefault="002133B9" w:rsidP="00A425B1">
            <w:pPr>
              <w:spacing w:line="256" w:lineRule="auto"/>
              <w:jc w:val="left"/>
              <w:rPr>
                <w:rFonts w:ascii="Arial Narrow" w:hAnsi="Arial Narrow"/>
                <w:bCs/>
                <w:color w:val="000000"/>
                <w:sz w:val="20"/>
                <w:highlight w:val="yellow"/>
                <w:lang w:eastAsia="en-US"/>
              </w:rPr>
            </w:pPr>
            <w:r w:rsidRPr="00F04A75">
              <w:rPr>
                <w:rFonts w:ascii="Arial Narrow" w:hAnsi="Arial Narrow"/>
                <w:b/>
                <w:bCs/>
                <w:color w:val="000000"/>
                <w:sz w:val="20"/>
                <w:lang w:eastAsia="en-US"/>
              </w:rPr>
              <w:t xml:space="preserve">Prescriber type: </w:t>
            </w:r>
            <w:r w:rsidRPr="00F04A75">
              <w:rPr>
                <w:lang w:eastAsia="en-US"/>
              </w:rPr>
              <w:fldChar w:fldCharType="begin">
                <w:ffData>
                  <w:name w:val=""/>
                  <w:enabled/>
                  <w:calcOnExit w:val="0"/>
                  <w:checkBox>
                    <w:sizeAuto/>
                    <w:default w:val="1"/>
                  </w:checkBox>
                </w:ffData>
              </w:fldChar>
            </w:r>
            <w:r w:rsidRPr="00F04A75">
              <w:rPr>
                <w:rFonts w:ascii="Arial Narrow" w:hAnsi="Arial Narrow"/>
                <w:bCs/>
                <w:color w:val="000000"/>
                <w:sz w:val="20"/>
                <w:lang w:eastAsia="en-US"/>
              </w:rPr>
              <w:instrText xml:space="preserve"> FORMCHECKBOX </w:instrText>
            </w:r>
            <w:r w:rsidR="00443BC9">
              <w:rPr>
                <w:lang w:eastAsia="en-US"/>
              </w:rPr>
            </w:r>
            <w:r w:rsidR="00443BC9">
              <w:rPr>
                <w:lang w:eastAsia="en-US"/>
              </w:rPr>
              <w:fldChar w:fldCharType="separate"/>
            </w:r>
            <w:r w:rsidRPr="00F04A75">
              <w:rPr>
                <w:lang w:eastAsia="en-US"/>
              </w:rPr>
              <w:fldChar w:fldCharType="end"/>
            </w:r>
            <w:r w:rsidRPr="00F04A75">
              <w:rPr>
                <w:rFonts w:ascii="Arial Narrow" w:hAnsi="Arial Narrow"/>
                <w:bCs/>
                <w:color w:val="000000"/>
                <w:sz w:val="20"/>
                <w:lang w:eastAsia="en-US"/>
              </w:rPr>
              <w:t xml:space="preserve">Medical Practitioners </w:t>
            </w:r>
          </w:p>
        </w:tc>
      </w:tr>
      <w:tr w:rsidR="002133B9" w:rsidRPr="00F04A75" w14:paraId="21849BB0" w14:textId="77777777" w:rsidTr="003B5756">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1CD1A7" w14:textId="77777777" w:rsidR="002133B9" w:rsidRPr="00F04A75" w:rsidRDefault="002133B9" w:rsidP="00A425B1">
            <w:pPr>
              <w:spacing w:line="256" w:lineRule="auto"/>
              <w:jc w:val="left"/>
              <w:rPr>
                <w:rFonts w:ascii="Arial Narrow" w:hAnsi="Arial Narrow"/>
                <w:b/>
                <w:color w:val="000000"/>
                <w:sz w:val="20"/>
                <w:lang w:eastAsia="en-US"/>
              </w:rPr>
            </w:pPr>
          </w:p>
        </w:tc>
        <w:tc>
          <w:tcPr>
            <w:tcW w:w="4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hideMark/>
          </w:tcPr>
          <w:p w14:paraId="04A3F898" w14:textId="77777777" w:rsidR="002133B9" w:rsidRPr="00F04A75" w:rsidRDefault="002133B9" w:rsidP="00A425B1">
            <w:pPr>
              <w:spacing w:line="256" w:lineRule="auto"/>
              <w:jc w:val="left"/>
              <w:rPr>
                <w:rFonts w:ascii="Arial Narrow" w:hAnsi="Arial Narrow"/>
                <w:color w:val="000000"/>
                <w:sz w:val="20"/>
                <w:lang w:eastAsia="en-US"/>
              </w:rPr>
            </w:pPr>
            <w:r w:rsidRPr="00F04A75">
              <w:rPr>
                <w:rFonts w:ascii="Arial Narrow" w:hAnsi="Arial Narrow"/>
                <w:b/>
                <w:bCs/>
                <w:color w:val="000000"/>
                <w:sz w:val="20"/>
                <w:lang w:eastAsia="en-US"/>
              </w:rPr>
              <w:t xml:space="preserve">Restriction type / Method: </w:t>
            </w:r>
            <w:r w:rsidRPr="00F04A75">
              <w:rPr>
                <w:lang w:eastAsia="en-US"/>
              </w:rPr>
              <w:fldChar w:fldCharType="begin">
                <w:ffData>
                  <w:name w:val="Check3"/>
                  <w:enabled/>
                  <w:calcOnExit w:val="0"/>
                  <w:checkBox>
                    <w:sizeAuto/>
                    <w:default w:val="1"/>
                  </w:checkBox>
                </w:ffData>
              </w:fldChar>
            </w:r>
            <w:r w:rsidRPr="00F04A75">
              <w:rPr>
                <w:rFonts w:ascii="Arial Narrow" w:hAnsi="Arial Narrow"/>
                <w:bCs/>
                <w:color w:val="000000"/>
                <w:sz w:val="20"/>
                <w:lang w:eastAsia="en-US"/>
              </w:rPr>
              <w:instrText xml:space="preserve"> FORMCHECKBOX </w:instrText>
            </w:r>
            <w:r w:rsidR="00443BC9">
              <w:rPr>
                <w:lang w:eastAsia="en-US"/>
              </w:rPr>
            </w:r>
            <w:r w:rsidR="00443BC9">
              <w:rPr>
                <w:lang w:eastAsia="en-US"/>
              </w:rPr>
              <w:fldChar w:fldCharType="separate"/>
            </w:r>
            <w:r w:rsidRPr="00F04A75">
              <w:rPr>
                <w:lang w:eastAsia="en-US"/>
              </w:rPr>
              <w:fldChar w:fldCharType="end"/>
            </w:r>
            <w:r w:rsidRPr="00F04A75">
              <w:rPr>
                <w:rFonts w:ascii="Arial Narrow" w:hAnsi="Arial Narrow"/>
                <w:bCs/>
                <w:color w:val="000000"/>
                <w:sz w:val="20"/>
                <w:lang w:eastAsia="en-US"/>
              </w:rPr>
              <w:t>Authority Required - STREAMLINED</w:t>
            </w:r>
          </w:p>
        </w:tc>
      </w:tr>
      <w:tr w:rsidR="002133B9" w:rsidRPr="00F04A75" w14:paraId="5CDAC17B" w14:textId="77777777" w:rsidTr="003B5756">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5578D0" w14:textId="77777777" w:rsidR="002133B9" w:rsidRPr="00F04A75" w:rsidRDefault="002133B9" w:rsidP="00A425B1">
            <w:pPr>
              <w:spacing w:line="256" w:lineRule="auto"/>
              <w:jc w:val="left"/>
              <w:rPr>
                <w:rFonts w:ascii="Arial Narrow" w:hAnsi="Arial Narrow"/>
                <w:b/>
                <w:color w:val="000000"/>
                <w:sz w:val="20"/>
                <w:lang w:eastAsia="en-US"/>
              </w:rPr>
            </w:pPr>
          </w:p>
        </w:tc>
        <w:tc>
          <w:tcPr>
            <w:tcW w:w="4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hideMark/>
          </w:tcPr>
          <w:p w14:paraId="2508C783" w14:textId="77777777" w:rsidR="002133B9" w:rsidRPr="00F04A75" w:rsidRDefault="002133B9" w:rsidP="00A425B1">
            <w:pPr>
              <w:spacing w:line="256" w:lineRule="auto"/>
              <w:jc w:val="left"/>
              <w:rPr>
                <w:rFonts w:ascii="Arial Narrow" w:hAnsi="Arial Narrow"/>
                <w:bCs/>
                <w:color w:val="000000"/>
                <w:sz w:val="20"/>
                <w:lang w:eastAsia="en-US"/>
              </w:rPr>
            </w:pPr>
            <w:proofErr w:type="spellStart"/>
            <w:r w:rsidRPr="00F04A75">
              <w:rPr>
                <w:rFonts w:ascii="Arial Narrow" w:hAnsi="Arial Narrow"/>
                <w:b/>
                <w:bCs/>
                <w:color w:val="000000"/>
                <w:sz w:val="20"/>
                <w:lang w:eastAsia="en-US"/>
              </w:rPr>
              <w:t>Episodicity</w:t>
            </w:r>
            <w:proofErr w:type="spellEnd"/>
            <w:r w:rsidRPr="00F04A75">
              <w:rPr>
                <w:rFonts w:ascii="Arial Narrow" w:hAnsi="Arial Narrow"/>
                <w:b/>
                <w:bCs/>
                <w:color w:val="000000"/>
                <w:sz w:val="20"/>
                <w:lang w:eastAsia="en-US"/>
              </w:rPr>
              <w:t xml:space="preserve">: </w:t>
            </w:r>
            <w:r w:rsidRPr="00F04A75">
              <w:rPr>
                <w:rFonts w:ascii="Arial Narrow" w:hAnsi="Arial Narrow"/>
                <w:bCs/>
                <w:iCs/>
                <w:color w:val="000000"/>
                <w:sz w:val="20"/>
                <w:lang w:eastAsia="en-US"/>
              </w:rPr>
              <w:t>Relapsed and/or refractory</w:t>
            </w:r>
          </w:p>
        </w:tc>
      </w:tr>
      <w:tr w:rsidR="002133B9" w:rsidRPr="00F04A75" w14:paraId="6C765E5D" w14:textId="77777777" w:rsidTr="003B5756">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3D842B" w14:textId="77777777" w:rsidR="002133B9" w:rsidRPr="00F04A75" w:rsidRDefault="002133B9" w:rsidP="00A425B1">
            <w:pPr>
              <w:spacing w:line="256" w:lineRule="auto"/>
              <w:jc w:val="left"/>
              <w:rPr>
                <w:rFonts w:ascii="Arial Narrow" w:hAnsi="Arial Narrow"/>
                <w:b/>
                <w:color w:val="000000"/>
                <w:sz w:val="20"/>
                <w:lang w:eastAsia="en-US"/>
              </w:rPr>
            </w:pPr>
          </w:p>
        </w:tc>
        <w:tc>
          <w:tcPr>
            <w:tcW w:w="4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hideMark/>
          </w:tcPr>
          <w:p w14:paraId="06044276" w14:textId="77777777" w:rsidR="002133B9" w:rsidRPr="00F04A75" w:rsidRDefault="002133B9" w:rsidP="00A425B1">
            <w:pPr>
              <w:spacing w:line="256" w:lineRule="auto"/>
              <w:jc w:val="left"/>
              <w:rPr>
                <w:rFonts w:ascii="Arial Narrow" w:hAnsi="Arial Narrow"/>
                <w:bCs/>
                <w:strike/>
                <w:color w:val="000000"/>
                <w:sz w:val="20"/>
                <w:lang w:eastAsia="en-US"/>
              </w:rPr>
            </w:pPr>
            <w:r w:rsidRPr="00F04A75">
              <w:rPr>
                <w:rFonts w:ascii="Arial Narrow" w:hAnsi="Arial Narrow"/>
                <w:b/>
                <w:bCs/>
                <w:color w:val="000000"/>
                <w:sz w:val="20"/>
                <w:lang w:eastAsia="en-US"/>
              </w:rPr>
              <w:t xml:space="preserve">Condition: </w:t>
            </w:r>
            <w:r w:rsidRPr="00F04A75">
              <w:rPr>
                <w:rFonts w:ascii="Arial Narrow" w:hAnsi="Arial Narrow"/>
                <w:bCs/>
                <w:color w:val="000000"/>
                <w:sz w:val="20"/>
                <w:lang w:eastAsia="en-US"/>
              </w:rPr>
              <w:t xml:space="preserve">Multiple myeloma </w:t>
            </w:r>
          </w:p>
        </w:tc>
      </w:tr>
      <w:tr w:rsidR="002133B9" w:rsidRPr="00F04A75" w14:paraId="02391EAB" w14:textId="77777777" w:rsidTr="003B5756">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0F0A27" w14:textId="77777777" w:rsidR="002133B9" w:rsidRPr="00F04A75" w:rsidRDefault="002133B9" w:rsidP="00A425B1">
            <w:pPr>
              <w:spacing w:line="256" w:lineRule="auto"/>
              <w:jc w:val="left"/>
              <w:rPr>
                <w:rFonts w:ascii="Arial Narrow" w:hAnsi="Arial Narrow"/>
                <w:b/>
                <w:color w:val="000000"/>
                <w:sz w:val="20"/>
                <w:lang w:eastAsia="en-US"/>
              </w:rPr>
            </w:pPr>
          </w:p>
        </w:tc>
        <w:tc>
          <w:tcPr>
            <w:tcW w:w="4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hideMark/>
          </w:tcPr>
          <w:p w14:paraId="20053118" w14:textId="77777777" w:rsidR="002133B9" w:rsidRPr="00F04A75" w:rsidRDefault="002133B9" w:rsidP="00A425B1">
            <w:pPr>
              <w:spacing w:line="256" w:lineRule="auto"/>
              <w:jc w:val="left"/>
              <w:rPr>
                <w:rFonts w:ascii="Arial Narrow" w:hAnsi="Arial Narrow"/>
                <w:color w:val="000000"/>
                <w:sz w:val="20"/>
                <w:lang w:eastAsia="en-US"/>
              </w:rPr>
            </w:pPr>
            <w:r w:rsidRPr="00F04A75">
              <w:rPr>
                <w:rFonts w:ascii="Arial Narrow" w:hAnsi="Arial Narrow"/>
                <w:b/>
                <w:bCs/>
                <w:color w:val="000000"/>
                <w:sz w:val="20"/>
                <w:lang w:eastAsia="en-US"/>
              </w:rPr>
              <w:t xml:space="preserve">PBS Indication: </w:t>
            </w:r>
            <w:r w:rsidRPr="00F04A75">
              <w:rPr>
                <w:rFonts w:ascii="Arial Narrow" w:hAnsi="Arial Narrow"/>
                <w:bCs/>
                <w:color w:val="000000"/>
                <w:sz w:val="20"/>
                <w:lang w:eastAsia="en-US"/>
              </w:rPr>
              <w:t xml:space="preserve">Relapsed </w:t>
            </w:r>
            <w:r w:rsidRPr="00F04A75">
              <w:rPr>
                <w:rFonts w:ascii="Arial Narrow" w:hAnsi="Arial Narrow"/>
                <w:bCs/>
                <w:iCs/>
                <w:color w:val="000000"/>
                <w:sz w:val="20"/>
                <w:lang w:eastAsia="en-US"/>
              </w:rPr>
              <w:t>and/or</w:t>
            </w:r>
            <w:r w:rsidRPr="00F04A75">
              <w:rPr>
                <w:rFonts w:ascii="Arial Narrow" w:hAnsi="Arial Narrow"/>
                <w:bCs/>
                <w:color w:val="000000"/>
                <w:sz w:val="20"/>
                <w:lang w:eastAsia="en-US"/>
              </w:rPr>
              <w:t xml:space="preserve"> refractory multiple myeloma </w:t>
            </w:r>
          </w:p>
        </w:tc>
      </w:tr>
      <w:tr w:rsidR="002133B9" w:rsidRPr="00F04A75" w14:paraId="09F2BF63" w14:textId="77777777" w:rsidTr="00A425B1">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tcPr>
          <w:p w14:paraId="645A3B65" w14:textId="77777777" w:rsidR="002133B9" w:rsidRPr="00F04A75" w:rsidRDefault="002133B9" w:rsidP="00A425B1">
            <w:pPr>
              <w:spacing w:line="256" w:lineRule="auto"/>
              <w:jc w:val="center"/>
              <w:rPr>
                <w:rFonts w:ascii="Arial Narrow" w:hAnsi="Arial Narrow"/>
                <w:b/>
                <w:color w:val="000000"/>
                <w:sz w:val="20"/>
                <w:lang w:eastAsia="en-US"/>
              </w:rPr>
            </w:pPr>
          </w:p>
        </w:tc>
        <w:tc>
          <w:tcPr>
            <w:tcW w:w="4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hideMark/>
          </w:tcPr>
          <w:p w14:paraId="74A57126" w14:textId="77777777" w:rsidR="002133B9" w:rsidRPr="00F04A75" w:rsidRDefault="002133B9" w:rsidP="00A425B1">
            <w:pPr>
              <w:spacing w:line="256" w:lineRule="auto"/>
              <w:jc w:val="left"/>
              <w:rPr>
                <w:rFonts w:ascii="Arial Narrow" w:hAnsi="Arial Narrow"/>
                <w:color w:val="000000"/>
                <w:sz w:val="20"/>
                <w:lang w:eastAsia="en-US"/>
              </w:rPr>
            </w:pPr>
            <w:r w:rsidRPr="00F04A75">
              <w:rPr>
                <w:rFonts w:ascii="Arial Narrow" w:hAnsi="Arial Narrow"/>
                <w:b/>
                <w:bCs/>
                <w:color w:val="000000"/>
                <w:sz w:val="20"/>
                <w:lang w:eastAsia="en-US"/>
              </w:rPr>
              <w:t xml:space="preserve">Treatment phase: </w:t>
            </w:r>
            <w:r w:rsidRPr="00F04A75">
              <w:rPr>
                <w:rFonts w:ascii="Arial Narrow" w:hAnsi="Arial Narrow"/>
                <w:bCs/>
                <w:color w:val="000000"/>
                <w:sz w:val="20"/>
                <w:lang w:eastAsia="en-US"/>
              </w:rPr>
              <w:t>Continuing treatment for Cycles 13 onwards</w:t>
            </w:r>
          </w:p>
        </w:tc>
      </w:tr>
      <w:tr w:rsidR="002133B9" w:rsidRPr="00F04A75" w14:paraId="444817A7" w14:textId="77777777" w:rsidTr="003B5756">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tcPr>
          <w:p w14:paraId="40A4E0C1" w14:textId="7A881856" w:rsidR="002133B9" w:rsidRPr="00F04A75" w:rsidRDefault="002133B9" w:rsidP="00A425B1">
            <w:pPr>
              <w:spacing w:line="256" w:lineRule="auto"/>
              <w:jc w:val="center"/>
              <w:rPr>
                <w:rFonts w:ascii="Arial Narrow" w:hAnsi="Arial Narrow"/>
                <w:b/>
                <w:color w:val="000000"/>
                <w:sz w:val="20"/>
                <w:lang w:eastAsia="en-US"/>
              </w:rPr>
            </w:pPr>
          </w:p>
        </w:tc>
        <w:tc>
          <w:tcPr>
            <w:tcW w:w="4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hideMark/>
          </w:tcPr>
          <w:p w14:paraId="104F10E7" w14:textId="77777777" w:rsidR="002133B9" w:rsidRPr="00F04A75" w:rsidRDefault="002133B9" w:rsidP="00A425B1">
            <w:pPr>
              <w:spacing w:line="256" w:lineRule="auto"/>
              <w:jc w:val="left"/>
              <w:rPr>
                <w:rFonts w:ascii="Arial Narrow" w:hAnsi="Arial Narrow"/>
                <w:color w:val="000000"/>
                <w:sz w:val="20"/>
                <w:lang w:eastAsia="en-US"/>
              </w:rPr>
            </w:pPr>
            <w:r w:rsidRPr="00F04A75">
              <w:rPr>
                <w:rFonts w:ascii="Arial Narrow" w:hAnsi="Arial Narrow"/>
                <w:b/>
                <w:bCs/>
                <w:color w:val="000000"/>
                <w:sz w:val="20"/>
                <w:lang w:eastAsia="en-US"/>
              </w:rPr>
              <w:t>Clinical criteria:</w:t>
            </w:r>
          </w:p>
        </w:tc>
      </w:tr>
      <w:tr w:rsidR="002133B9" w:rsidRPr="00F04A75" w14:paraId="1B2B1037" w14:textId="77777777" w:rsidTr="003B5756">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tcPr>
          <w:p w14:paraId="1CC0422E" w14:textId="521A8916" w:rsidR="002133B9" w:rsidRPr="00F04A75" w:rsidRDefault="002133B9" w:rsidP="00A425B1">
            <w:pPr>
              <w:spacing w:line="256" w:lineRule="auto"/>
              <w:jc w:val="center"/>
              <w:rPr>
                <w:rFonts w:ascii="Arial Narrow" w:hAnsi="Arial Narrow"/>
                <w:color w:val="000000"/>
                <w:sz w:val="20"/>
                <w:lang w:eastAsia="en-US"/>
              </w:rPr>
            </w:pPr>
          </w:p>
        </w:tc>
        <w:tc>
          <w:tcPr>
            <w:tcW w:w="4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hideMark/>
          </w:tcPr>
          <w:p w14:paraId="16B79064" w14:textId="77777777" w:rsidR="002133B9" w:rsidRPr="00F04A75" w:rsidRDefault="002133B9" w:rsidP="00A425B1">
            <w:pPr>
              <w:spacing w:line="256" w:lineRule="auto"/>
              <w:jc w:val="left"/>
              <w:rPr>
                <w:rFonts w:ascii="Arial Narrow" w:hAnsi="Arial Narrow"/>
                <w:b/>
                <w:bCs/>
                <w:color w:val="000000"/>
                <w:sz w:val="20"/>
                <w:lang w:eastAsia="en-US"/>
              </w:rPr>
            </w:pPr>
            <w:r w:rsidRPr="00F04A75">
              <w:rPr>
                <w:rFonts w:ascii="Arial Narrow" w:hAnsi="Arial Narrow"/>
                <w:bCs/>
                <w:color w:val="000000"/>
                <w:sz w:val="20"/>
                <w:lang w:eastAsia="en-US"/>
              </w:rPr>
              <w:t>Patient must have previously received PBS-subsidised treatment with this drug for this condition</w:t>
            </w:r>
          </w:p>
        </w:tc>
      </w:tr>
      <w:tr w:rsidR="002133B9" w:rsidRPr="00F04A75" w14:paraId="46EFC708" w14:textId="77777777" w:rsidTr="00A425B1">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tcPr>
          <w:p w14:paraId="5E19D72F" w14:textId="77777777" w:rsidR="002133B9" w:rsidRPr="00F04A75" w:rsidRDefault="002133B9" w:rsidP="00A425B1">
            <w:pPr>
              <w:spacing w:line="256" w:lineRule="auto"/>
              <w:jc w:val="center"/>
              <w:rPr>
                <w:rFonts w:ascii="Arial Narrow" w:hAnsi="Arial Narrow"/>
                <w:color w:val="000000"/>
                <w:sz w:val="20"/>
                <w:lang w:eastAsia="en-US"/>
              </w:rPr>
            </w:pPr>
          </w:p>
        </w:tc>
        <w:tc>
          <w:tcPr>
            <w:tcW w:w="4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hideMark/>
          </w:tcPr>
          <w:p w14:paraId="206111AC" w14:textId="77777777" w:rsidR="002133B9" w:rsidRPr="00F04A75" w:rsidRDefault="002133B9" w:rsidP="00A425B1">
            <w:pPr>
              <w:spacing w:line="256" w:lineRule="auto"/>
              <w:jc w:val="left"/>
              <w:rPr>
                <w:rFonts w:ascii="Arial Narrow" w:hAnsi="Arial Narrow"/>
                <w:color w:val="000000"/>
                <w:sz w:val="20"/>
                <w:lang w:eastAsia="en-US"/>
              </w:rPr>
            </w:pPr>
            <w:r w:rsidRPr="00F04A75">
              <w:rPr>
                <w:rFonts w:ascii="Arial Narrow" w:hAnsi="Arial Narrow"/>
                <w:b/>
                <w:bCs/>
                <w:color w:val="000000"/>
                <w:sz w:val="20"/>
                <w:lang w:eastAsia="en-US"/>
              </w:rPr>
              <w:t>AND</w:t>
            </w:r>
          </w:p>
        </w:tc>
      </w:tr>
      <w:tr w:rsidR="002133B9" w:rsidRPr="00F04A75" w14:paraId="1BA3C544" w14:textId="77777777" w:rsidTr="003B5756">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tcPr>
          <w:p w14:paraId="77B345AF" w14:textId="5F09F5EB" w:rsidR="002133B9" w:rsidRPr="00F04A75" w:rsidRDefault="002133B9" w:rsidP="00A425B1">
            <w:pPr>
              <w:spacing w:line="256" w:lineRule="auto"/>
              <w:jc w:val="center"/>
              <w:rPr>
                <w:rFonts w:ascii="Arial Narrow" w:hAnsi="Arial Narrow"/>
                <w:b/>
                <w:color w:val="000000"/>
                <w:sz w:val="20"/>
                <w:lang w:eastAsia="en-US"/>
              </w:rPr>
            </w:pPr>
          </w:p>
        </w:tc>
        <w:tc>
          <w:tcPr>
            <w:tcW w:w="4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hideMark/>
          </w:tcPr>
          <w:p w14:paraId="33854B3A" w14:textId="77777777" w:rsidR="002133B9" w:rsidRPr="00F04A75" w:rsidRDefault="002133B9" w:rsidP="00A425B1">
            <w:pPr>
              <w:spacing w:line="256" w:lineRule="auto"/>
              <w:jc w:val="left"/>
              <w:rPr>
                <w:rFonts w:ascii="Arial Narrow" w:hAnsi="Arial Narrow"/>
                <w:b/>
                <w:bCs/>
                <w:color w:val="000000"/>
                <w:sz w:val="20"/>
                <w:lang w:eastAsia="en-US"/>
              </w:rPr>
            </w:pPr>
            <w:r w:rsidRPr="00F04A75">
              <w:rPr>
                <w:rFonts w:ascii="Arial Narrow" w:hAnsi="Arial Narrow"/>
                <w:b/>
                <w:bCs/>
                <w:color w:val="000000"/>
                <w:sz w:val="20"/>
                <w:lang w:eastAsia="en-US"/>
              </w:rPr>
              <w:t>Clinical criteria:</w:t>
            </w:r>
          </w:p>
        </w:tc>
      </w:tr>
      <w:tr w:rsidR="002133B9" w:rsidRPr="00F04A75" w14:paraId="60ADC8A7" w14:textId="77777777" w:rsidTr="003B5756">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tcPr>
          <w:p w14:paraId="74D38955" w14:textId="1C2C2BEA" w:rsidR="002133B9" w:rsidRPr="00F04A75" w:rsidRDefault="002133B9" w:rsidP="00A425B1">
            <w:pPr>
              <w:spacing w:line="256" w:lineRule="auto"/>
              <w:jc w:val="center"/>
              <w:rPr>
                <w:rFonts w:ascii="Arial Narrow" w:hAnsi="Arial Narrow"/>
                <w:b/>
                <w:color w:val="000000"/>
                <w:sz w:val="20"/>
                <w:lang w:eastAsia="en-US"/>
              </w:rPr>
            </w:pPr>
          </w:p>
        </w:tc>
        <w:tc>
          <w:tcPr>
            <w:tcW w:w="4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hideMark/>
          </w:tcPr>
          <w:p w14:paraId="72487497" w14:textId="77777777" w:rsidR="002133B9" w:rsidRPr="00F04A75" w:rsidRDefault="002133B9" w:rsidP="00A425B1">
            <w:pPr>
              <w:spacing w:line="256" w:lineRule="auto"/>
              <w:jc w:val="left"/>
              <w:rPr>
                <w:rFonts w:ascii="Arial Narrow" w:hAnsi="Arial Narrow"/>
                <w:b/>
                <w:bCs/>
                <w:color w:val="000000"/>
                <w:sz w:val="20"/>
                <w:lang w:eastAsia="en-US"/>
              </w:rPr>
            </w:pPr>
            <w:r w:rsidRPr="00F04A75">
              <w:rPr>
                <w:rFonts w:ascii="Arial Narrow" w:hAnsi="Arial Narrow"/>
                <w:bCs/>
                <w:color w:val="000000"/>
                <w:sz w:val="20"/>
                <w:lang w:eastAsia="en-US"/>
              </w:rPr>
              <w:t>The treatment must be in combination with lenalidomide and dexamethasone,</w:t>
            </w:r>
          </w:p>
        </w:tc>
      </w:tr>
      <w:tr w:rsidR="002133B9" w:rsidRPr="00F04A75" w14:paraId="27784085" w14:textId="77777777" w:rsidTr="00A425B1">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tcPr>
          <w:p w14:paraId="05F79BFE" w14:textId="77777777" w:rsidR="002133B9" w:rsidRPr="00F04A75" w:rsidRDefault="002133B9" w:rsidP="00A425B1">
            <w:pPr>
              <w:spacing w:line="256" w:lineRule="auto"/>
              <w:jc w:val="center"/>
              <w:rPr>
                <w:rFonts w:ascii="Arial Narrow" w:hAnsi="Arial Narrow"/>
                <w:b/>
                <w:color w:val="000000"/>
                <w:sz w:val="20"/>
                <w:lang w:eastAsia="en-US"/>
              </w:rPr>
            </w:pPr>
          </w:p>
        </w:tc>
        <w:tc>
          <w:tcPr>
            <w:tcW w:w="4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hideMark/>
          </w:tcPr>
          <w:p w14:paraId="07281347" w14:textId="77777777" w:rsidR="002133B9" w:rsidRPr="00F04A75" w:rsidRDefault="002133B9" w:rsidP="00A425B1">
            <w:pPr>
              <w:spacing w:line="256" w:lineRule="auto"/>
              <w:jc w:val="left"/>
              <w:rPr>
                <w:rFonts w:ascii="Arial Narrow" w:hAnsi="Arial Narrow"/>
                <w:bCs/>
                <w:color w:val="000000"/>
                <w:sz w:val="20"/>
                <w:lang w:eastAsia="en-US"/>
              </w:rPr>
            </w:pPr>
            <w:r w:rsidRPr="00F04A75">
              <w:rPr>
                <w:rFonts w:ascii="Arial Narrow" w:hAnsi="Arial Narrow"/>
                <w:b/>
                <w:bCs/>
                <w:color w:val="000000"/>
                <w:sz w:val="20"/>
                <w:lang w:eastAsia="en-US"/>
              </w:rPr>
              <w:t>AND</w:t>
            </w:r>
          </w:p>
        </w:tc>
      </w:tr>
      <w:tr w:rsidR="002133B9" w:rsidRPr="00F04A75" w14:paraId="7DFCC107" w14:textId="77777777" w:rsidTr="003B5756">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tcPr>
          <w:p w14:paraId="4B4FEADC" w14:textId="659D66EE" w:rsidR="002133B9" w:rsidRPr="00F04A75" w:rsidRDefault="002133B9" w:rsidP="00A425B1">
            <w:pPr>
              <w:spacing w:line="256" w:lineRule="auto"/>
              <w:jc w:val="center"/>
              <w:rPr>
                <w:rFonts w:ascii="Arial Narrow" w:hAnsi="Arial Narrow"/>
                <w:b/>
                <w:color w:val="000000"/>
                <w:sz w:val="20"/>
                <w:lang w:eastAsia="en-US"/>
              </w:rPr>
            </w:pPr>
          </w:p>
        </w:tc>
        <w:tc>
          <w:tcPr>
            <w:tcW w:w="4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hideMark/>
          </w:tcPr>
          <w:p w14:paraId="53F1CAC5" w14:textId="77777777" w:rsidR="002133B9" w:rsidRPr="00F04A75" w:rsidRDefault="002133B9" w:rsidP="00A425B1">
            <w:pPr>
              <w:spacing w:line="256" w:lineRule="auto"/>
              <w:jc w:val="left"/>
              <w:rPr>
                <w:rFonts w:ascii="Arial Narrow" w:hAnsi="Arial Narrow"/>
                <w:b/>
                <w:bCs/>
                <w:color w:val="000000"/>
                <w:sz w:val="20"/>
                <w:lang w:eastAsia="en-US"/>
              </w:rPr>
            </w:pPr>
            <w:r w:rsidRPr="00F04A75">
              <w:rPr>
                <w:rFonts w:ascii="Arial Narrow" w:hAnsi="Arial Narrow"/>
                <w:b/>
                <w:bCs/>
                <w:color w:val="000000"/>
                <w:sz w:val="20"/>
                <w:lang w:eastAsia="en-US"/>
              </w:rPr>
              <w:t>Clinical criteria:</w:t>
            </w:r>
          </w:p>
        </w:tc>
      </w:tr>
      <w:tr w:rsidR="002133B9" w:rsidRPr="00F04A75" w14:paraId="7B73917C" w14:textId="77777777" w:rsidTr="003B5756">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tcPr>
          <w:p w14:paraId="64862519" w14:textId="628297C5" w:rsidR="002133B9" w:rsidRPr="00F04A75" w:rsidRDefault="002133B9" w:rsidP="00A425B1">
            <w:pPr>
              <w:spacing w:line="256" w:lineRule="auto"/>
              <w:jc w:val="center"/>
              <w:rPr>
                <w:rFonts w:ascii="Arial Narrow" w:hAnsi="Arial Narrow"/>
                <w:color w:val="000000"/>
                <w:sz w:val="20"/>
                <w:lang w:eastAsia="en-US"/>
              </w:rPr>
            </w:pPr>
          </w:p>
        </w:tc>
        <w:tc>
          <w:tcPr>
            <w:tcW w:w="4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hideMark/>
          </w:tcPr>
          <w:p w14:paraId="094A1E28" w14:textId="77777777" w:rsidR="002133B9" w:rsidRPr="00F04A75" w:rsidRDefault="002133B9" w:rsidP="00A425B1">
            <w:pPr>
              <w:spacing w:line="256" w:lineRule="auto"/>
              <w:jc w:val="left"/>
              <w:rPr>
                <w:rFonts w:ascii="Arial Narrow" w:hAnsi="Arial Narrow"/>
                <w:b/>
                <w:bCs/>
                <w:color w:val="000000"/>
                <w:sz w:val="20"/>
                <w:lang w:eastAsia="en-US"/>
              </w:rPr>
            </w:pPr>
            <w:r w:rsidRPr="00F04A75">
              <w:rPr>
                <w:rFonts w:ascii="Arial Narrow" w:hAnsi="Arial Narrow"/>
                <w:bCs/>
                <w:color w:val="000000"/>
                <w:sz w:val="20"/>
                <w:lang w:eastAsia="en-US"/>
              </w:rPr>
              <w:t>Patient must not have developed progressive disease while receiving treatment with this drug for this condition,</w:t>
            </w:r>
          </w:p>
        </w:tc>
      </w:tr>
      <w:tr w:rsidR="00145C2C" w:rsidRPr="00F04A75" w14:paraId="6E043C8A" w14:textId="77777777" w:rsidTr="00145C2C">
        <w:trPr>
          <w:trHeight w:val="3487"/>
        </w:trPr>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tcPr>
          <w:p w14:paraId="4D047D45" w14:textId="47053C34" w:rsidR="00145C2C" w:rsidRPr="00F04A75" w:rsidRDefault="00145C2C" w:rsidP="00A425B1">
            <w:pPr>
              <w:spacing w:line="256" w:lineRule="auto"/>
              <w:jc w:val="center"/>
              <w:rPr>
                <w:rFonts w:ascii="Arial Narrow" w:hAnsi="Arial Narrow"/>
                <w:color w:val="000000"/>
                <w:sz w:val="20"/>
                <w:lang w:eastAsia="en-US"/>
              </w:rPr>
            </w:pPr>
          </w:p>
        </w:tc>
        <w:tc>
          <w:tcPr>
            <w:tcW w:w="4299" w:type="pct"/>
            <w:tcBorders>
              <w:top w:val="single" w:sz="4" w:space="0" w:color="000000" w:themeColor="text1"/>
              <w:left w:val="single" w:sz="4" w:space="0" w:color="000000" w:themeColor="text1"/>
              <w:right w:val="single" w:sz="4" w:space="0" w:color="000000" w:themeColor="text1"/>
            </w:tcBorders>
            <w:tcMar>
              <w:top w:w="0" w:type="dxa"/>
              <w:left w:w="28" w:type="dxa"/>
              <w:bottom w:w="0" w:type="dxa"/>
              <w:right w:w="28" w:type="dxa"/>
            </w:tcMar>
          </w:tcPr>
          <w:p w14:paraId="49D1FC39" w14:textId="3A5FDF47" w:rsidR="00145C2C" w:rsidRPr="00F04A75" w:rsidRDefault="00145C2C" w:rsidP="00A425B1">
            <w:pPr>
              <w:spacing w:line="256" w:lineRule="auto"/>
              <w:jc w:val="left"/>
              <w:rPr>
                <w:rFonts w:ascii="Arial Narrow" w:hAnsi="Arial Narrow"/>
                <w:b/>
                <w:bCs/>
                <w:iCs/>
                <w:color w:val="000000"/>
                <w:sz w:val="20"/>
                <w:lang w:eastAsia="en-US"/>
              </w:rPr>
            </w:pPr>
            <w:r w:rsidRPr="00F04A75">
              <w:rPr>
                <w:rFonts w:ascii="Arial Narrow" w:hAnsi="Arial Narrow"/>
                <w:b/>
                <w:bCs/>
                <w:color w:val="000000"/>
                <w:sz w:val="20"/>
                <w:lang w:eastAsia="en-US"/>
              </w:rPr>
              <w:t xml:space="preserve">Prescribing instructions </w:t>
            </w:r>
          </w:p>
          <w:p w14:paraId="17C5E2C3" w14:textId="77777777" w:rsidR="00145C2C" w:rsidRPr="00F04A75" w:rsidRDefault="00145C2C" w:rsidP="00A425B1">
            <w:pPr>
              <w:spacing w:line="256" w:lineRule="auto"/>
              <w:jc w:val="left"/>
              <w:rPr>
                <w:rFonts w:ascii="Arial Narrow" w:hAnsi="Arial Narrow"/>
                <w:bCs/>
                <w:color w:val="000000"/>
                <w:sz w:val="20"/>
                <w:lang w:eastAsia="en-US"/>
              </w:rPr>
            </w:pPr>
            <w:r w:rsidRPr="00F04A75">
              <w:rPr>
                <w:rFonts w:ascii="Arial Narrow" w:hAnsi="Arial Narrow"/>
                <w:bCs/>
                <w:color w:val="000000"/>
                <w:sz w:val="20"/>
                <w:lang w:eastAsia="en-US"/>
              </w:rPr>
              <w:t>Progressive disease is defined as at least 1 of the following:</w:t>
            </w:r>
          </w:p>
          <w:p w14:paraId="1D991454" w14:textId="77777777" w:rsidR="00145C2C" w:rsidRPr="00F04A75" w:rsidRDefault="00145C2C" w:rsidP="00A425B1">
            <w:pPr>
              <w:spacing w:line="256" w:lineRule="auto"/>
              <w:jc w:val="left"/>
              <w:rPr>
                <w:rFonts w:ascii="Arial Narrow" w:hAnsi="Arial Narrow"/>
                <w:bCs/>
                <w:color w:val="000000"/>
                <w:sz w:val="20"/>
                <w:lang w:eastAsia="en-US"/>
              </w:rPr>
            </w:pPr>
            <w:r w:rsidRPr="00F04A75">
              <w:rPr>
                <w:rFonts w:ascii="Arial Narrow" w:hAnsi="Arial Narrow"/>
                <w:bCs/>
                <w:color w:val="000000"/>
                <w:sz w:val="20"/>
                <w:lang w:eastAsia="en-US"/>
              </w:rPr>
              <w:t>(a) at least a 25% increase and an absolute increase of at least 5 g per L in serum M protein (monoclonal protein); or</w:t>
            </w:r>
          </w:p>
          <w:p w14:paraId="14ADAAEB" w14:textId="77777777" w:rsidR="00145C2C" w:rsidRPr="00F04A75" w:rsidRDefault="00145C2C" w:rsidP="00A425B1">
            <w:pPr>
              <w:spacing w:line="256" w:lineRule="auto"/>
              <w:jc w:val="left"/>
              <w:rPr>
                <w:rFonts w:ascii="Arial Narrow" w:hAnsi="Arial Narrow"/>
                <w:bCs/>
                <w:color w:val="000000"/>
                <w:sz w:val="20"/>
                <w:lang w:eastAsia="en-US"/>
              </w:rPr>
            </w:pPr>
            <w:r w:rsidRPr="00F04A75">
              <w:rPr>
                <w:rFonts w:ascii="Arial Narrow" w:hAnsi="Arial Narrow"/>
                <w:bCs/>
                <w:color w:val="000000"/>
                <w:sz w:val="20"/>
                <w:lang w:eastAsia="en-US"/>
              </w:rPr>
              <w:t>(b) at least a 25% increase in 24-hour urinary light chain M protein excretion, and an absolute increase of at least 200 mg per 24 hours; or</w:t>
            </w:r>
          </w:p>
          <w:p w14:paraId="6582A906" w14:textId="77777777" w:rsidR="00145C2C" w:rsidRPr="00F04A75" w:rsidRDefault="00145C2C" w:rsidP="00A425B1">
            <w:pPr>
              <w:spacing w:line="256" w:lineRule="auto"/>
              <w:jc w:val="left"/>
              <w:rPr>
                <w:rFonts w:ascii="Arial Narrow" w:hAnsi="Arial Narrow"/>
                <w:bCs/>
                <w:color w:val="000000"/>
                <w:sz w:val="20"/>
                <w:lang w:eastAsia="en-US"/>
              </w:rPr>
            </w:pPr>
            <w:r w:rsidRPr="00F04A75">
              <w:rPr>
                <w:rFonts w:ascii="Arial Narrow" w:hAnsi="Arial Narrow"/>
                <w:bCs/>
                <w:color w:val="000000"/>
                <w:sz w:val="20"/>
                <w:lang w:eastAsia="en-US"/>
              </w:rPr>
              <w:t xml:space="preserve">(c) in oligo-secretory and non-secretory myeloma patients only, at least a 50% increase in the difference between involved free light chain and uninvolved free light </w:t>
            </w:r>
            <w:proofErr w:type="gramStart"/>
            <w:r w:rsidRPr="00F04A75">
              <w:rPr>
                <w:rFonts w:ascii="Arial Narrow" w:hAnsi="Arial Narrow"/>
                <w:bCs/>
                <w:color w:val="000000"/>
                <w:sz w:val="20"/>
                <w:lang w:eastAsia="en-US"/>
              </w:rPr>
              <w:t>chain;</w:t>
            </w:r>
            <w:proofErr w:type="gramEnd"/>
            <w:r w:rsidRPr="00F04A75">
              <w:rPr>
                <w:rFonts w:ascii="Arial Narrow" w:hAnsi="Arial Narrow"/>
                <w:bCs/>
                <w:color w:val="000000"/>
                <w:sz w:val="20"/>
                <w:lang w:eastAsia="en-US"/>
              </w:rPr>
              <w:t xml:space="preserve"> or</w:t>
            </w:r>
          </w:p>
          <w:p w14:paraId="609B3919" w14:textId="77777777" w:rsidR="00145C2C" w:rsidRPr="00F04A75" w:rsidRDefault="00145C2C" w:rsidP="00A425B1">
            <w:pPr>
              <w:spacing w:line="256" w:lineRule="auto"/>
              <w:jc w:val="left"/>
              <w:rPr>
                <w:rFonts w:ascii="Arial Narrow" w:hAnsi="Arial Narrow"/>
                <w:bCs/>
                <w:color w:val="000000"/>
                <w:sz w:val="20"/>
                <w:lang w:eastAsia="en-US"/>
              </w:rPr>
            </w:pPr>
            <w:r w:rsidRPr="00F04A75">
              <w:rPr>
                <w:rFonts w:ascii="Arial Narrow" w:hAnsi="Arial Narrow"/>
                <w:bCs/>
                <w:color w:val="000000"/>
                <w:sz w:val="20"/>
                <w:lang w:eastAsia="en-US"/>
              </w:rPr>
              <w:t>(d) at least a 25% relative increase and at least a 10% absolute increase in plasma cells in a bone marrow aspirate or on biopsy; or</w:t>
            </w:r>
          </w:p>
          <w:p w14:paraId="3DEA5FD4" w14:textId="77777777" w:rsidR="00145C2C" w:rsidRPr="00F04A75" w:rsidRDefault="00145C2C" w:rsidP="00A425B1">
            <w:pPr>
              <w:spacing w:line="256" w:lineRule="auto"/>
              <w:jc w:val="left"/>
              <w:rPr>
                <w:rFonts w:ascii="Arial Narrow" w:hAnsi="Arial Narrow"/>
                <w:bCs/>
                <w:color w:val="000000"/>
                <w:sz w:val="20"/>
                <w:lang w:eastAsia="en-US"/>
              </w:rPr>
            </w:pPr>
            <w:r w:rsidRPr="00F04A75">
              <w:rPr>
                <w:rFonts w:ascii="Arial Narrow" w:hAnsi="Arial Narrow"/>
                <w:bCs/>
                <w:color w:val="000000"/>
                <w:sz w:val="20"/>
                <w:lang w:eastAsia="en-US"/>
              </w:rPr>
              <w:t>(e) an increase in the size or number of lytic bone lesions (not including compression fractures); or</w:t>
            </w:r>
          </w:p>
          <w:p w14:paraId="636B297F" w14:textId="77777777" w:rsidR="00145C2C" w:rsidRPr="00F04A75" w:rsidRDefault="00145C2C" w:rsidP="00A425B1">
            <w:pPr>
              <w:spacing w:line="256" w:lineRule="auto"/>
              <w:jc w:val="left"/>
              <w:rPr>
                <w:rFonts w:ascii="Arial Narrow" w:hAnsi="Arial Narrow"/>
                <w:bCs/>
                <w:color w:val="000000"/>
                <w:sz w:val="20"/>
                <w:lang w:eastAsia="en-US"/>
              </w:rPr>
            </w:pPr>
            <w:r w:rsidRPr="00F04A75">
              <w:rPr>
                <w:rFonts w:ascii="Arial Narrow" w:hAnsi="Arial Narrow"/>
                <w:bCs/>
                <w:color w:val="000000"/>
                <w:sz w:val="20"/>
                <w:lang w:eastAsia="en-US"/>
              </w:rPr>
              <w:t>(f) at least a 25% increase in the size of an existing or the development of a new soft tissue plasmacytoma (determined by clinical examination or diagnostic imaging); or</w:t>
            </w:r>
          </w:p>
          <w:p w14:paraId="40468FB7" w14:textId="2123D30B" w:rsidR="00145C2C" w:rsidRPr="00F04A75" w:rsidRDefault="00145C2C" w:rsidP="00A425B1">
            <w:pPr>
              <w:spacing w:line="256" w:lineRule="auto"/>
              <w:jc w:val="left"/>
              <w:rPr>
                <w:rFonts w:ascii="Arial Narrow" w:hAnsi="Arial Narrow"/>
                <w:b/>
                <w:bCs/>
                <w:color w:val="000000"/>
                <w:sz w:val="20"/>
                <w:lang w:eastAsia="en-US"/>
              </w:rPr>
            </w:pPr>
            <w:r w:rsidRPr="00F04A75">
              <w:rPr>
                <w:rFonts w:ascii="Arial Narrow" w:hAnsi="Arial Narrow"/>
                <w:bCs/>
                <w:color w:val="000000"/>
                <w:sz w:val="20"/>
                <w:lang w:eastAsia="en-US"/>
              </w:rPr>
              <w:t>(g) development of hypercalcaemia (corrected serum calcium greater than 2.65 mmol per L not attributable to any other cause).</w:t>
            </w:r>
          </w:p>
        </w:tc>
      </w:tr>
      <w:tr w:rsidR="002133B9" w:rsidRPr="00F04A75" w14:paraId="13A4885E" w14:textId="77777777" w:rsidTr="00A425B1">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tcPr>
          <w:p w14:paraId="540123CF" w14:textId="77777777" w:rsidR="002133B9" w:rsidRPr="00F04A75" w:rsidRDefault="002133B9" w:rsidP="00A425B1">
            <w:pPr>
              <w:spacing w:line="256" w:lineRule="auto"/>
              <w:jc w:val="center"/>
              <w:rPr>
                <w:rFonts w:ascii="Arial Narrow" w:hAnsi="Arial Narrow"/>
                <w:color w:val="000000"/>
                <w:sz w:val="20"/>
                <w:lang w:eastAsia="en-US"/>
              </w:rPr>
            </w:pPr>
          </w:p>
        </w:tc>
        <w:tc>
          <w:tcPr>
            <w:tcW w:w="4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hideMark/>
          </w:tcPr>
          <w:p w14:paraId="4AC794EA" w14:textId="77777777" w:rsidR="002133B9" w:rsidRPr="00F04A75" w:rsidRDefault="002133B9" w:rsidP="00A425B1">
            <w:pPr>
              <w:spacing w:line="256" w:lineRule="auto"/>
              <w:jc w:val="left"/>
              <w:rPr>
                <w:rFonts w:ascii="Arial Narrow" w:hAnsi="Arial Narrow"/>
                <w:b/>
                <w:bCs/>
                <w:iCs/>
                <w:color w:val="000000"/>
                <w:sz w:val="20"/>
                <w:lang w:eastAsia="en-US"/>
              </w:rPr>
            </w:pPr>
            <w:r w:rsidRPr="00F04A75">
              <w:rPr>
                <w:rFonts w:ascii="Arial Narrow" w:hAnsi="Arial Narrow"/>
                <w:b/>
                <w:bCs/>
                <w:color w:val="000000"/>
                <w:sz w:val="20"/>
                <w:lang w:eastAsia="en-US"/>
              </w:rPr>
              <w:t xml:space="preserve">Prescribing instructions </w:t>
            </w:r>
          </w:p>
          <w:p w14:paraId="65A8B13E" w14:textId="77777777" w:rsidR="002133B9" w:rsidRPr="00F04A75" w:rsidRDefault="002133B9" w:rsidP="00A425B1">
            <w:pPr>
              <w:spacing w:line="256" w:lineRule="auto"/>
              <w:jc w:val="left"/>
              <w:rPr>
                <w:rFonts w:ascii="Arial Narrow" w:hAnsi="Arial Narrow"/>
                <w:b/>
                <w:bCs/>
                <w:strike/>
                <w:color w:val="000000"/>
                <w:sz w:val="20"/>
                <w:lang w:eastAsia="en-US"/>
              </w:rPr>
            </w:pPr>
            <w:r w:rsidRPr="00F04A75">
              <w:rPr>
                <w:rFonts w:ascii="Arial Narrow" w:hAnsi="Arial Narrow"/>
                <w:bCs/>
                <w:color w:val="000000"/>
                <w:sz w:val="20"/>
                <w:lang w:eastAsia="en-US"/>
              </w:rPr>
              <w:t>Oligo-secretory and non-secretory patients are defined as having active disease with less than 10 g per L serum M protein.</w:t>
            </w:r>
          </w:p>
        </w:tc>
      </w:tr>
      <w:tr w:rsidR="002133B9" w:rsidRPr="00F04A75" w14:paraId="711F48AA" w14:textId="77777777" w:rsidTr="003B5756">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vAlign w:val="center"/>
          </w:tcPr>
          <w:p w14:paraId="2A1046C1" w14:textId="2EE3765A" w:rsidR="002133B9" w:rsidRPr="00F04A75" w:rsidRDefault="002133B9" w:rsidP="00A425B1">
            <w:pPr>
              <w:spacing w:line="256" w:lineRule="auto"/>
              <w:jc w:val="center"/>
              <w:rPr>
                <w:rFonts w:ascii="Arial Narrow" w:hAnsi="Arial Narrow"/>
                <w:color w:val="000000"/>
                <w:sz w:val="20"/>
                <w:lang w:eastAsia="en-US"/>
              </w:rPr>
            </w:pPr>
          </w:p>
        </w:tc>
        <w:tc>
          <w:tcPr>
            <w:tcW w:w="4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vAlign w:val="center"/>
            <w:hideMark/>
          </w:tcPr>
          <w:p w14:paraId="4D773454" w14:textId="77777777" w:rsidR="002133B9" w:rsidRPr="00F04A75" w:rsidRDefault="002133B9" w:rsidP="00A425B1">
            <w:pPr>
              <w:spacing w:line="256" w:lineRule="auto"/>
              <w:jc w:val="left"/>
              <w:rPr>
                <w:rFonts w:ascii="Arial Narrow" w:hAnsi="Arial Narrow"/>
                <w:strike/>
                <w:color w:val="000000"/>
                <w:sz w:val="20"/>
                <w:lang w:eastAsia="en-US"/>
              </w:rPr>
            </w:pPr>
            <w:r w:rsidRPr="00F04A75">
              <w:rPr>
                <w:rFonts w:ascii="Arial Narrow" w:hAnsi="Arial Narrow"/>
                <w:b/>
                <w:bCs/>
                <w:color w:val="333333"/>
                <w:sz w:val="20"/>
                <w:lang w:eastAsia="en-US"/>
              </w:rPr>
              <w:t>Administrative Advice:</w:t>
            </w:r>
            <w:r w:rsidRPr="00F04A75">
              <w:rPr>
                <w:rFonts w:ascii="Arial Narrow" w:hAnsi="Arial Narrow"/>
                <w:color w:val="333333"/>
                <w:sz w:val="20"/>
                <w:lang w:eastAsia="en-US"/>
              </w:rPr>
              <w:t xml:space="preserve"> No increase in the maximum number of repeats may be authorised.</w:t>
            </w:r>
          </w:p>
        </w:tc>
      </w:tr>
      <w:tr w:rsidR="002133B9" w:rsidRPr="00F04A75" w14:paraId="4E36D97D" w14:textId="77777777" w:rsidTr="00A425B1">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vAlign w:val="center"/>
            <w:hideMark/>
          </w:tcPr>
          <w:p w14:paraId="58338CE7" w14:textId="67401DE7" w:rsidR="002133B9" w:rsidRPr="00F04A75" w:rsidRDefault="002133B9" w:rsidP="00A425B1">
            <w:pPr>
              <w:spacing w:line="256" w:lineRule="auto"/>
              <w:jc w:val="center"/>
              <w:rPr>
                <w:rFonts w:ascii="Arial Narrow" w:hAnsi="Arial Narrow"/>
                <w:color w:val="000000"/>
                <w:sz w:val="20"/>
                <w:lang w:eastAsia="en-US"/>
              </w:rPr>
            </w:pPr>
          </w:p>
        </w:tc>
        <w:tc>
          <w:tcPr>
            <w:tcW w:w="4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vAlign w:val="center"/>
            <w:hideMark/>
          </w:tcPr>
          <w:p w14:paraId="4CB17087" w14:textId="77777777" w:rsidR="002133B9" w:rsidRPr="00F04A75" w:rsidRDefault="002133B9" w:rsidP="00A425B1">
            <w:pPr>
              <w:spacing w:line="256" w:lineRule="auto"/>
              <w:jc w:val="left"/>
              <w:rPr>
                <w:rFonts w:ascii="Arial Narrow" w:hAnsi="Arial Narrow"/>
                <w:bCs/>
                <w:color w:val="000000"/>
                <w:sz w:val="20"/>
                <w:lang w:eastAsia="en-US"/>
              </w:rPr>
            </w:pPr>
            <w:r w:rsidRPr="00F04A75">
              <w:rPr>
                <w:rFonts w:ascii="Arial Narrow" w:hAnsi="Arial Narrow"/>
                <w:b/>
                <w:bCs/>
                <w:color w:val="333333"/>
                <w:sz w:val="20"/>
                <w:lang w:eastAsia="en-US"/>
              </w:rPr>
              <w:t xml:space="preserve">Administrative Advice: </w:t>
            </w:r>
            <w:r w:rsidRPr="00F04A75">
              <w:rPr>
                <w:rFonts w:ascii="Arial Narrow" w:hAnsi="Arial Narrow"/>
                <w:color w:val="333333"/>
                <w:sz w:val="20"/>
                <w:lang w:eastAsia="en-US"/>
              </w:rPr>
              <w:t>Special Pricing Arrangements apply</w:t>
            </w:r>
          </w:p>
        </w:tc>
      </w:tr>
    </w:tbl>
    <w:p w14:paraId="29426036" w14:textId="77777777" w:rsidR="002133B9" w:rsidRPr="00F04A75" w:rsidRDefault="002133B9" w:rsidP="002133B9"/>
    <w:p w14:paraId="7271BC40" w14:textId="10D82611" w:rsidR="002133B9" w:rsidRPr="00F04A75" w:rsidRDefault="00655C2D" w:rsidP="00655C2D">
      <w:pPr>
        <w:spacing w:after="120"/>
        <w:ind w:left="720" w:hanging="720"/>
        <w:rPr>
          <w:rFonts w:eastAsia="Calibri"/>
          <w:iCs/>
          <w:snapToGrid w:val="0"/>
          <w:szCs w:val="22"/>
        </w:rPr>
      </w:pPr>
      <w:r>
        <w:rPr>
          <w:rFonts w:eastAsia="Calibri"/>
          <w:bCs/>
          <w:iCs/>
          <w:snapToGrid w:val="0"/>
          <w:szCs w:val="22"/>
        </w:rPr>
        <w:t>8.2</w:t>
      </w:r>
      <w:r>
        <w:rPr>
          <w:rFonts w:eastAsia="Calibri"/>
          <w:bCs/>
          <w:iCs/>
          <w:snapToGrid w:val="0"/>
          <w:szCs w:val="22"/>
        </w:rPr>
        <w:tab/>
      </w:r>
      <w:r w:rsidR="002133B9" w:rsidRPr="00F04A75">
        <w:rPr>
          <w:rFonts w:eastAsia="Calibri"/>
          <w:bCs/>
          <w:iCs/>
          <w:snapToGrid w:val="0"/>
          <w:szCs w:val="22"/>
        </w:rPr>
        <w:t>Add new lenalidomide Treatment phase listing to permit use in carfilzomib + lenalidomide + dexamethasone triple combination therapy as follows:</w:t>
      </w:r>
    </w:p>
    <w:p w14:paraId="104FCBC7" w14:textId="77777777" w:rsidR="002133B9" w:rsidRPr="00F04A75" w:rsidRDefault="002133B9" w:rsidP="002133B9">
      <w:pPr>
        <w:rPr>
          <w:iCs/>
          <w:sz w:val="18"/>
          <w:szCs w:val="18"/>
        </w:rPr>
      </w:pPr>
    </w:p>
    <w:tbl>
      <w:tblPr>
        <w:tblStyle w:val="MSDTableGrid1"/>
        <w:tblW w:w="9060" w:type="dxa"/>
        <w:tblLayout w:type="fixed"/>
        <w:tblLook w:val="04A0" w:firstRow="1" w:lastRow="0" w:firstColumn="1" w:lastColumn="0" w:noHBand="0" w:noVBand="1"/>
      </w:tblPr>
      <w:tblGrid>
        <w:gridCol w:w="2404"/>
        <w:gridCol w:w="1984"/>
        <w:gridCol w:w="849"/>
        <w:gridCol w:w="850"/>
        <w:gridCol w:w="707"/>
        <w:gridCol w:w="992"/>
        <w:gridCol w:w="1274"/>
      </w:tblGrid>
      <w:tr w:rsidR="002133B9" w:rsidRPr="00F04A75" w14:paraId="629C06DD" w14:textId="77777777" w:rsidTr="00A425B1">
        <w:trPr>
          <w:cnfStyle w:val="100000000000" w:firstRow="1" w:lastRow="0" w:firstColumn="0" w:lastColumn="0" w:oddVBand="0" w:evenVBand="0" w:oddHBand="0" w:evenHBand="0" w:firstRowFirstColumn="0" w:firstRowLastColumn="0" w:lastRowFirstColumn="0" w:lastRowLastColumn="0"/>
        </w:trPr>
        <w:tc>
          <w:tcPr>
            <w:tcW w:w="240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14:paraId="604953C1" w14:textId="77777777" w:rsidR="002133B9" w:rsidRPr="00F04A75" w:rsidRDefault="002133B9" w:rsidP="00A425B1">
            <w:pPr>
              <w:rPr>
                <w:rFonts w:ascii="Arial Narrow" w:hAnsi="Arial Narrow"/>
                <w:bCs/>
                <w:iCs/>
                <w:snapToGrid w:val="0"/>
                <w:sz w:val="20"/>
                <w:szCs w:val="20"/>
                <w:lang w:val="en-AU"/>
              </w:rPr>
            </w:pPr>
            <w:r w:rsidRPr="00F04A75">
              <w:rPr>
                <w:rFonts w:ascii="Arial Narrow" w:hAnsi="Arial Narrow"/>
                <w:bCs/>
                <w:iCs/>
                <w:snapToGrid w:val="0"/>
                <w:sz w:val="20"/>
                <w:szCs w:val="20"/>
                <w:lang w:val="en-AU"/>
              </w:rPr>
              <w:t>MEDICINAL PRODUCT</w:t>
            </w:r>
          </w:p>
          <w:p w14:paraId="781EF15F" w14:textId="77777777" w:rsidR="002133B9" w:rsidRPr="00F04A75" w:rsidRDefault="002133B9" w:rsidP="00A425B1">
            <w:pPr>
              <w:rPr>
                <w:rFonts w:ascii="Arial Narrow" w:hAnsi="Arial Narrow"/>
                <w:bCs/>
                <w:iCs/>
                <w:snapToGrid w:val="0"/>
                <w:sz w:val="20"/>
                <w:szCs w:val="20"/>
                <w:lang w:val="en-AU"/>
              </w:rPr>
            </w:pPr>
            <w:r w:rsidRPr="00F04A75">
              <w:rPr>
                <w:rFonts w:ascii="Arial Narrow" w:hAnsi="Arial Narrow"/>
                <w:bCs/>
                <w:iCs/>
                <w:snapToGrid w:val="0"/>
                <w:sz w:val="20"/>
                <w:szCs w:val="20"/>
                <w:lang w:val="en-AU"/>
              </w:rPr>
              <w:t>medicinal product pack</w:t>
            </w:r>
          </w:p>
        </w:tc>
        <w:tc>
          <w:tcPr>
            <w:tcW w:w="198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14:paraId="561EB6AE" w14:textId="77777777" w:rsidR="002133B9" w:rsidRPr="00F04A75" w:rsidRDefault="002133B9" w:rsidP="00A425B1">
            <w:pPr>
              <w:jc w:val="center"/>
              <w:rPr>
                <w:rFonts w:ascii="Arial Narrow" w:hAnsi="Arial Narrow"/>
                <w:bCs/>
                <w:iCs/>
                <w:snapToGrid w:val="0"/>
                <w:sz w:val="20"/>
                <w:szCs w:val="20"/>
                <w:lang w:val="en-AU"/>
              </w:rPr>
            </w:pPr>
            <w:r w:rsidRPr="00F04A75">
              <w:rPr>
                <w:rFonts w:ascii="Arial Narrow" w:hAnsi="Arial Narrow"/>
                <w:bCs/>
                <w:iCs/>
                <w:snapToGrid w:val="0"/>
                <w:sz w:val="20"/>
                <w:szCs w:val="20"/>
                <w:lang w:val="en-AU"/>
              </w:rPr>
              <w:t>PBS item code</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14:paraId="73532413" w14:textId="77777777" w:rsidR="002133B9" w:rsidRPr="00F04A75" w:rsidRDefault="002133B9" w:rsidP="00A425B1">
            <w:pPr>
              <w:jc w:val="center"/>
              <w:rPr>
                <w:rFonts w:ascii="Arial Narrow" w:hAnsi="Arial Narrow"/>
                <w:bCs/>
                <w:iCs/>
                <w:snapToGrid w:val="0"/>
                <w:sz w:val="20"/>
                <w:szCs w:val="20"/>
                <w:lang w:val="en-AU"/>
              </w:rPr>
            </w:pPr>
            <w:r w:rsidRPr="00F04A75">
              <w:rPr>
                <w:rFonts w:ascii="Arial Narrow" w:hAnsi="Arial Narrow"/>
                <w:bCs/>
                <w:iCs/>
                <w:snapToGrid w:val="0"/>
                <w:sz w:val="20"/>
                <w:szCs w:val="20"/>
                <w:lang w:val="en-AU"/>
              </w:rPr>
              <w:t>Max. Qty (units)</w:t>
            </w:r>
          </w:p>
        </w:tc>
        <w:tc>
          <w:tcPr>
            <w:tcW w:w="85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14:paraId="579BD833" w14:textId="77777777" w:rsidR="002133B9" w:rsidRPr="00F04A75" w:rsidRDefault="002133B9" w:rsidP="00A425B1">
            <w:pPr>
              <w:jc w:val="center"/>
              <w:rPr>
                <w:rFonts w:ascii="Arial Narrow" w:hAnsi="Arial Narrow"/>
                <w:bCs/>
                <w:iCs/>
                <w:snapToGrid w:val="0"/>
                <w:sz w:val="20"/>
                <w:szCs w:val="20"/>
                <w:lang w:val="en-AU"/>
              </w:rPr>
            </w:pPr>
            <w:r w:rsidRPr="00F04A75">
              <w:rPr>
                <w:rFonts w:ascii="Arial Narrow" w:hAnsi="Arial Narrow"/>
                <w:bCs/>
                <w:iCs/>
                <w:snapToGrid w:val="0"/>
                <w:sz w:val="20"/>
                <w:szCs w:val="20"/>
                <w:lang w:val="en-AU"/>
              </w:rPr>
              <w:t>Max. Qty (packs)</w:t>
            </w:r>
          </w:p>
        </w:tc>
        <w:tc>
          <w:tcPr>
            <w:tcW w:w="70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14:paraId="10C1FA91" w14:textId="77777777" w:rsidR="002133B9" w:rsidRPr="00F04A75" w:rsidRDefault="002133B9" w:rsidP="00A425B1">
            <w:pPr>
              <w:jc w:val="center"/>
              <w:rPr>
                <w:rFonts w:ascii="Arial Narrow" w:hAnsi="Arial Narrow"/>
                <w:bCs/>
                <w:iCs/>
                <w:snapToGrid w:val="0"/>
                <w:sz w:val="20"/>
                <w:szCs w:val="20"/>
                <w:lang w:val="en-AU"/>
              </w:rPr>
            </w:pPr>
            <w:r w:rsidRPr="00F04A75">
              <w:rPr>
                <w:rFonts w:ascii="Arial Narrow" w:hAnsi="Arial Narrow"/>
                <w:bCs/>
                <w:iCs/>
                <w:snapToGrid w:val="0"/>
                <w:sz w:val="20"/>
                <w:szCs w:val="20"/>
                <w:lang w:val="en-AU"/>
              </w:rPr>
              <w:t xml:space="preserve">No. of </w:t>
            </w:r>
            <w:proofErr w:type="spellStart"/>
            <w:r w:rsidRPr="00F04A75">
              <w:rPr>
                <w:rFonts w:ascii="Arial Narrow" w:hAnsi="Arial Narrow"/>
                <w:bCs/>
                <w:iCs/>
                <w:snapToGrid w:val="0"/>
                <w:sz w:val="20"/>
                <w:szCs w:val="20"/>
                <w:lang w:val="en-AU"/>
              </w:rPr>
              <w:t>Rpts</w:t>
            </w:r>
            <w:proofErr w:type="spellEnd"/>
          </w:p>
        </w:tc>
        <w:tc>
          <w:tcPr>
            <w:tcW w:w="99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14:paraId="7CB63E93" w14:textId="77777777" w:rsidR="002133B9" w:rsidRPr="00F04A75" w:rsidRDefault="002133B9" w:rsidP="00A425B1">
            <w:pPr>
              <w:rPr>
                <w:rFonts w:ascii="Arial Narrow" w:hAnsi="Arial Narrow"/>
                <w:bCs/>
                <w:iCs/>
                <w:snapToGrid w:val="0"/>
                <w:sz w:val="20"/>
                <w:szCs w:val="20"/>
                <w:lang w:val="en-AU"/>
              </w:rPr>
            </w:pPr>
            <w:r w:rsidRPr="00F04A75">
              <w:rPr>
                <w:rFonts w:ascii="Arial Narrow" w:hAnsi="Arial Narrow"/>
                <w:bCs/>
                <w:iCs/>
                <w:snapToGrid w:val="0"/>
                <w:sz w:val="20"/>
                <w:szCs w:val="20"/>
                <w:lang w:val="en-AU"/>
              </w:rPr>
              <w:t>Available brands</w:t>
            </w:r>
          </w:p>
        </w:tc>
        <w:tc>
          <w:tcPr>
            <w:tcW w:w="127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14:paraId="768B8C8D" w14:textId="77777777" w:rsidR="002133B9" w:rsidRPr="00F04A75" w:rsidRDefault="002133B9" w:rsidP="00A425B1">
            <w:pPr>
              <w:rPr>
                <w:rFonts w:ascii="Arial Narrow" w:hAnsi="Arial Narrow"/>
                <w:bCs/>
                <w:iCs/>
                <w:snapToGrid w:val="0"/>
                <w:sz w:val="20"/>
                <w:szCs w:val="20"/>
                <w:lang w:val="en-AU"/>
              </w:rPr>
            </w:pPr>
            <w:r w:rsidRPr="00F04A75">
              <w:rPr>
                <w:rFonts w:ascii="Arial Narrow" w:hAnsi="Arial Narrow"/>
                <w:bCs/>
                <w:iCs/>
                <w:snapToGrid w:val="0"/>
                <w:sz w:val="20"/>
                <w:szCs w:val="20"/>
                <w:lang w:val="en-AU"/>
              </w:rPr>
              <w:t>Sponsor</w:t>
            </w:r>
          </w:p>
        </w:tc>
      </w:tr>
      <w:tr w:rsidR="002133B9" w:rsidRPr="00F04A75" w14:paraId="2BE33A2B" w14:textId="77777777" w:rsidTr="00A425B1">
        <w:tc>
          <w:tcPr>
            <w:tcW w:w="7792" w:type="dxa"/>
            <w:gridSpan w:val="6"/>
            <w:tcBorders>
              <w:top w:val="single" w:sz="4" w:space="0" w:color="auto"/>
              <w:left w:val="single" w:sz="4" w:space="0" w:color="auto"/>
              <w:bottom w:val="single" w:sz="4" w:space="0" w:color="auto"/>
              <w:right w:val="single" w:sz="4" w:space="0" w:color="auto"/>
            </w:tcBorders>
            <w:tcMar>
              <w:left w:w="28" w:type="dxa"/>
              <w:right w:w="28" w:type="dxa"/>
            </w:tcMar>
            <w:hideMark/>
          </w:tcPr>
          <w:p w14:paraId="16C0400D" w14:textId="77777777" w:rsidR="002133B9" w:rsidRPr="00F04A75" w:rsidRDefault="002133B9" w:rsidP="00A425B1">
            <w:pPr>
              <w:rPr>
                <w:rFonts w:ascii="Arial Narrow" w:hAnsi="Arial Narrow"/>
                <w:iCs/>
                <w:snapToGrid w:val="0"/>
                <w:sz w:val="20"/>
                <w:szCs w:val="20"/>
                <w:lang w:val="en-AU"/>
              </w:rPr>
            </w:pPr>
            <w:r w:rsidRPr="00F04A75">
              <w:rPr>
                <w:rFonts w:ascii="Arial Narrow" w:hAnsi="Arial Narrow"/>
                <w:iCs/>
                <w:snapToGrid w:val="0"/>
                <w:sz w:val="20"/>
                <w:szCs w:val="20"/>
                <w:lang w:val="en-AU"/>
              </w:rPr>
              <w:t>LENALIDOMIDE</w:t>
            </w:r>
          </w:p>
        </w:tc>
        <w:tc>
          <w:tcPr>
            <w:tcW w:w="1275" w:type="dxa"/>
            <w:tcBorders>
              <w:top w:val="single" w:sz="4" w:space="0" w:color="auto"/>
              <w:left w:val="single" w:sz="4" w:space="0" w:color="auto"/>
              <w:bottom w:val="single" w:sz="4" w:space="0" w:color="auto"/>
              <w:right w:val="single" w:sz="4" w:space="0" w:color="auto"/>
            </w:tcBorders>
            <w:tcMar>
              <w:left w:w="28" w:type="dxa"/>
              <w:right w:w="28" w:type="dxa"/>
            </w:tcMar>
          </w:tcPr>
          <w:p w14:paraId="6865FE8C" w14:textId="77777777" w:rsidR="002133B9" w:rsidRPr="00F04A75" w:rsidRDefault="002133B9" w:rsidP="00A425B1">
            <w:pPr>
              <w:rPr>
                <w:rFonts w:ascii="Arial Narrow" w:hAnsi="Arial Narrow"/>
                <w:iCs/>
                <w:snapToGrid w:val="0"/>
                <w:sz w:val="20"/>
                <w:szCs w:val="20"/>
                <w:lang w:val="en-AU"/>
              </w:rPr>
            </w:pPr>
          </w:p>
        </w:tc>
      </w:tr>
      <w:tr w:rsidR="002133B9" w:rsidRPr="00F04A75" w14:paraId="1755EA5E" w14:textId="77777777" w:rsidTr="00A425B1">
        <w:trPr>
          <w:trHeight w:val="220"/>
        </w:trPr>
        <w:tc>
          <w:tcPr>
            <w:tcW w:w="2405"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473B6062" w14:textId="77777777" w:rsidR="002133B9" w:rsidRPr="00F04A75" w:rsidRDefault="002133B9" w:rsidP="00A425B1">
            <w:pPr>
              <w:rPr>
                <w:rFonts w:ascii="Arial Narrow" w:hAnsi="Arial Narrow"/>
                <w:iCs/>
                <w:snapToGrid w:val="0"/>
                <w:sz w:val="20"/>
                <w:szCs w:val="20"/>
                <w:lang w:val="en-AU"/>
              </w:rPr>
            </w:pPr>
            <w:r w:rsidRPr="00F04A75">
              <w:rPr>
                <w:rFonts w:ascii="Arial Narrow" w:hAnsi="Arial Narrow"/>
                <w:iCs/>
                <w:snapToGrid w:val="0"/>
                <w:sz w:val="20"/>
                <w:szCs w:val="20"/>
                <w:lang w:val="en-AU"/>
              </w:rPr>
              <w:t>lenalidomide 5 mg capsule, 21</w:t>
            </w:r>
          </w:p>
        </w:tc>
        <w:tc>
          <w:tcPr>
            <w:tcW w:w="1985"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4BED647F" w14:textId="77777777" w:rsidR="002133B9" w:rsidRPr="00F04A75" w:rsidRDefault="002133B9" w:rsidP="00A425B1">
            <w:pPr>
              <w:jc w:val="center"/>
              <w:rPr>
                <w:rFonts w:ascii="Arial Narrow" w:hAnsi="Arial Narrow"/>
                <w:iCs/>
                <w:snapToGrid w:val="0"/>
                <w:sz w:val="20"/>
                <w:szCs w:val="20"/>
                <w:lang w:val="en-AU"/>
              </w:rPr>
            </w:pPr>
            <w:r w:rsidRPr="00F04A75">
              <w:rPr>
                <w:rFonts w:ascii="Arial Narrow" w:hAnsi="Arial Narrow"/>
                <w:iCs/>
                <w:snapToGrid w:val="0"/>
                <w:sz w:val="20"/>
                <w:szCs w:val="20"/>
                <w:lang w:val="en-AU"/>
              </w:rPr>
              <w:t>New (Public) / (Private)</w:t>
            </w:r>
          </w:p>
        </w:tc>
        <w:tc>
          <w:tcPr>
            <w:tcW w:w="850"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6D352E41" w14:textId="77777777" w:rsidR="002133B9" w:rsidRPr="00F04A75" w:rsidRDefault="002133B9" w:rsidP="00A425B1">
            <w:pPr>
              <w:jc w:val="center"/>
              <w:rPr>
                <w:rFonts w:ascii="Arial Narrow" w:hAnsi="Arial Narrow"/>
                <w:iCs/>
                <w:snapToGrid w:val="0"/>
                <w:sz w:val="20"/>
                <w:szCs w:val="20"/>
                <w:lang w:val="en-AU"/>
              </w:rPr>
            </w:pPr>
            <w:r w:rsidRPr="00F04A75">
              <w:rPr>
                <w:rFonts w:ascii="Arial Narrow" w:hAnsi="Arial Narrow"/>
                <w:iCs/>
                <w:snapToGrid w:val="0"/>
                <w:sz w:val="20"/>
                <w:szCs w:val="20"/>
                <w:lang w:val="en-AU"/>
              </w:rPr>
              <w:t>21</w:t>
            </w:r>
          </w:p>
        </w:tc>
        <w:tc>
          <w:tcPr>
            <w:tcW w:w="851"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2C3C76D0" w14:textId="77777777" w:rsidR="002133B9" w:rsidRPr="00F04A75" w:rsidRDefault="002133B9" w:rsidP="00A425B1">
            <w:pPr>
              <w:jc w:val="center"/>
              <w:rPr>
                <w:rFonts w:ascii="Arial Narrow" w:hAnsi="Arial Narrow"/>
                <w:iCs/>
                <w:snapToGrid w:val="0"/>
                <w:sz w:val="20"/>
                <w:szCs w:val="20"/>
                <w:lang w:val="en-AU"/>
              </w:rPr>
            </w:pPr>
            <w:r w:rsidRPr="00F04A75">
              <w:rPr>
                <w:rFonts w:ascii="Arial Narrow" w:hAnsi="Arial Narrow"/>
                <w:iCs/>
                <w:snapToGrid w:val="0"/>
                <w:sz w:val="20"/>
                <w:szCs w:val="20"/>
                <w:lang w:val="en-AU"/>
              </w:rPr>
              <w:t>1</w:t>
            </w:r>
          </w:p>
        </w:tc>
        <w:tc>
          <w:tcPr>
            <w:tcW w:w="708"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26A6E580" w14:textId="77777777" w:rsidR="002133B9" w:rsidRPr="00F04A75" w:rsidRDefault="002133B9" w:rsidP="00A425B1">
            <w:pPr>
              <w:keepNext/>
              <w:keepLines/>
              <w:jc w:val="center"/>
              <w:rPr>
                <w:rFonts w:ascii="Arial Narrow" w:hAnsi="Arial Narrow"/>
                <w:iCs/>
                <w:sz w:val="20"/>
                <w:szCs w:val="20"/>
                <w:lang w:val="en-AU"/>
              </w:rPr>
            </w:pPr>
            <w:r w:rsidRPr="00F04A75">
              <w:rPr>
                <w:rFonts w:ascii="Arial Narrow" w:hAnsi="Arial Narrow"/>
                <w:iCs/>
                <w:sz w:val="20"/>
                <w:szCs w:val="20"/>
                <w:lang w:val="en-AU"/>
              </w:rPr>
              <w:t>2</w:t>
            </w:r>
          </w:p>
        </w:tc>
        <w:tc>
          <w:tcPr>
            <w:tcW w:w="993"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6BBF3477" w14:textId="77777777" w:rsidR="002133B9" w:rsidRPr="00F04A75" w:rsidRDefault="002133B9" w:rsidP="00A425B1">
            <w:pPr>
              <w:rPr>
                <w:rFonts w:ascii="Arial Narrow" w:hAnsi="Arial Narrow"/>
                <w:iCs/>
                <w:snapToGrid w:val="0"/>
                <w:sz w:val="20"/>
                <w:szCs w:val="20"/>
                <w:lang w:val="en-AU"/>
              </w:rPr>
            </w:pPr>
            <w:r w:rsidRPr="00F04A75">
              <w:rPr>
                <w:rFonts w:ascii="Arial Narrow" w:hAnsi="Arial Narrow"/>
                <w:iCs/>
                <w:snapToGrid w:val="0"/>
                <w:sz w:val="20"/>
                <w:szCs w:val="20"/>
                <w:lang w:val="en-AU"/>
              </w:rPr>
              <w:t>Revlimid</w:t>
            </w:r>
          </w:p>
        </w:tc>
        <w:tc>
          <w:tcPr>
            <w:tcW w:w="1275"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214CB8B0" w14:textId="77777777" w:rsidR="002133B9" w:rsidRPr="00F04A75" w:rsidRDefault="002133B9" w:rsidP="00A425B1">
            <w:pPr>
              <w:rPr>
                <w:rFonts w:ascii="Arial Narrow" w:hAnsi="Arial Narrow"/>
                <w:iCs/>
                <w:snapToGrid w:val="0"/>
                <w:sz w:val="20"/>
                <w:szCs w:val="20"/>
                <w:lang w:val="en-AU"/>
              </w:rPr>
            </w:pPr>
            <w:r w:rsidRPr="00F04A75">
              <w:rPr>
                <w:rFonts w:ascii="Arial Narrow" w:hAnsi="Arial Narrow"/>
                <w:iCs/>
                <w:snapToGrid w:val="0"/>
                <w:sz w:val="20"/>
                <w:szCs w:val="20"/>
                <w:lang w:val="en-AU"/>
              </w:rPr>
              <w:t>Celgene Pty Ltd</w:t>
            </w:r>
          </w:p>
        </w:tc>
      </w:tr>
      <w:tr w:rsidR="002133B9" w:rsidRPr="00F04A75" w14:paraId="727AB0EA" w14:textId="77777777" w:rsidTr="00A425B1">
        <w:trPr>
          <w:trHeight w:val="220"/>
        </w:trPr>
        <w:tc>
          <w:tcPr>
            <w:tcW w:w="2405"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560CD4FD" w14:textId="77777777" w:rsidR="002133B9" w:rsidRPr="00F04A75" w:rsidRDefault="002133B9" w:rsidP="00A425B1">
            <w:pPr>
              <w:rPr>
                <w:rFonts w:ascii="Arial Narrow" w:hAnsi="Arial Narrow"/>
                <w:iCs/>
                <w:snapToGrid w:val="0"/>
                <w:sz w:val="20"/>
                <w:szCs w:val="20"/>
                <w:lang w:val="en-AU"/>
              </w:rPr>
            </w:pPr>
            <w:r w:rsidRPr="00F04A75">
              <w:rPr>
                <w:rFonts w:ascii="Arial Narrow" w:hAnsi="Arial Narrow"/>
                <w:iCs/>
                <w:snapToGrid w:val="0"/>
                <w:sz w:val="20"/>
                <w:szCs w:val="20"/>
                <w:lang w:val="en-AU"/>
              </w:rPr>
              <w:t>lenalidomide 10 mg capsule, 21</w:t>
            </w:r>
          </w:p>
        </w:tc>
        <w:tc>
          <w:tcPr>
            <w:tcW w:w="1985"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4553DAA2" w14:textId="77777777" w:rsidR="002133B9" w:rsidRPr="00F04A75" w:rsidRDefault="002133B9" w:rsidP="00A425B1">
            <w:pPr>
              <w:jc w:val="center"/>
              <w:rPr>
                <w:rFonts w:ascii="Arial Narrow" w:hAnsi="Arial Narrow"/>
                <w:iCs/>
                <w:snapToGrid w:val="0"/>
                <w:sz w:val="20"/>
                <w:szCs w:val="20"/>
                <w:lang w:val="en-AU"/>
              </w:rPr>
            </w:pPr>
            <w:r w:rsidRPr="00F04A75">
              <w:rPr>
                <w:rFonts w:ascii="Arial Narrow" w:hAnsi="Arial Narrow"/>
                <w:iCs/>
                <w:snapToGrid w:val="0"/>
                <w:sz w:val="20"/>
                <w:szCs w:val="20"/>
                <w:lang w:val="en-AU"/>
              </w:rPr>
              <w:t>New (Public) / (Private)</w:t>
            </w:r>
          </w:p>
        </w:tc>
        <w:tc>
          <w:tcPr>
            <w:tcW w:w="850"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3CF741D5" w14:textId="77777777" w:rsidR="002133B9" w:rsidRPr="00F04A75" w:rsidRDefault="002133B9" w:rsidP="00A425B1">
            <w:pPr>
              <w:jc w:val="center"/>
              <w:rPr>
                <w:rFonts w:ascii="Arial Narrow" w:hAnsi="Arial Narrow"/>
                <w:iCs/>
                <w:snapToGrid w:val="0"/>
                <w:sz w:val="20"/>
                <w:szCs w:val="20"/>
                <w:lang w:val="en-AU"/>
              </w:rPr>
            </w:pPr>
            <w:r w:rsidRPr="00F04A75">
              <w:rPr>
                <w:rFonts w:ascii="Arial Narrow" w:hAnsi="Arial Narrow"/>
                <w:iCs/>
                <w:snapToGrid w:val="0"/>
                <w:sz w:val="20"/>
                <w:szCs w:val="20"/>
                <w:lang w:val="en-AU"/>
              </w:rPr>
              <w:t>21</w:t>
            </w:r>
          </w:p>
        </w:tc>
        <w:tc>
          <w:tcPr>
            <w:tcW w:w="851"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74A55F11" w14:textId="77777777" w:rsidR="002133B9" w:rsidRPr="00F04A75" w:rsidRDefault="002133B9" w:rsidP="00A425B1">
            <w:pPr>
              <w:jc w:val="center"/>
              <w:rPr>
                <w:rFonts w:ascii="Arial Narrow" w:hAnsi="Arial Narrow"/>
                <w:iCs/>
                <w:snapToGrid w:val="0"/>
                <w:sz w:val="20"/>
                <w:szCs w:val="20"/>
                <w:lang w:val="en-AU"/>
              </w:rPr>
            </w:pPr>
            <w:r w:rsidRPr="00F04A75">
              <w:rPr>
                <w:rFonts w:ascii="Arial Narrow" w:hAnsi="Arial Narrow"/>
                <w:iCs/>
                <w:snapToGrid w:val="0"/>
                <w:sz w:val="20"/>
                <w:szCs w:val="20"/>
                <w:lang w:val="en-AU"/>
              </w:rPr>
              <w:t>1</w:t>
            </w:r>
          </w:p>
        </w:tc>
        <w:tc>
          <w:tcPr>
            <w:tcW w:w="708"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073D1573" w14:textId="77777777" w:rsidR="002133B9" w:rsidRPr="00F04A75" w:rsidRDefault="002133B9" w:rsidP="00A425B1">
            <w:pPr>
              <w:keepNext/>
              <w:keepLines/>
              <w:jc w:val="center"/>
              <w:rPr>
                <w:rFonts w:ascii="Arial Narrow" w:hAnsi="Arial Narrow"/>
                <w:iCs/>
                <w:sz w:val="20"/>
                <w:szCs w:val="20"/>
                <w:lang w:val="en-AU"/>
              </w:rPr>
            </w:pPr>
            <w:r w:rsidRPr="00F04A75">
              <w:rPr>
                <w:rFonts w:ascii="Arial Narrow" w:hAnsi="Arial Narrow"/>
                <w:iCs/>
                <w:sz w:val="20"/>
                <w:szCs w:val="20"/>
                <w:lang w:val="en-AU"/>
              </w:rPr>
              <w:t>2</w:t>
            </w:r>
          </w:p>
        </w:tc>
        <w:tc>
          <w:tcPr>
            <w:tcW w:w="993"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4D6CA36F" w14:textId="77777777" w:rsidR="002133B9" w:rsidRPr="00F04A75" w:rsidRDefault="002133B9" w:rsidP="00A425B1">
            <w:pPr>
              <w:rPr>
                <w:rFonts w:ascii="Arial Narrow" w:hAnsi="Arial Narrow"/>
                <w:iCs/>
                <w:snapToGrid w:val="0"/>
                <w:sz w:val="20"/>
                <w:szCs w:val="20"/>
                <w:lang w:val="en-AU"/>
              </w:rPr>
            </w:pPr>
            <w:r w:rsidRPr="00F04A75">
              <w:rPr>
                <w:rFonts w:ascii="Arial Narrow" w:hAnsi="Arial Narrow"/>
                <w:iCs/>
                <w:snapToGrid w:val="0"/>
                <w:sz w:val="20"/>
                <w:szCs w:val="20"/>
                <w:lang w:val="en-AU"/>
              </w:rPr>
              <w:t>Revlimid</w:t>
            </w:r>
          </w:p>
        </w:tc>
        <w:tc>
          <w:tcPr>
            <w:tcW w:w="1275"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5BC6BE2D" w14:textId="77777777" w:rsidR="002133B9" w:rsidRPr="00F04A75" w:rsidRDefault="002133B9" w:rsidP="00A425B1">
            <w:pPr>
              <w:rPr>
                <w:rFonts w:ascii="Arial Narrow" w:hAnsi="Arial Narrow"/>
                <w:iCs/>
                <w:snapToGrid w:val="0"/>
                <w:sz w:val="20"/>
                <w:szCs w:val="20"/>
                <w:lang w:val="en-AU"/>
              </w:rPr>
            </w:pPr>
            <w:r w:rsidRPr="00F04A75">
              <w:rPr>
                <w:rFonts w:ascii="Arial Narrow" w:hAnsi="Arial Narrow"/>
                <w:iCs/>
                <w:snapToGrid w:val="0"/>
                <w:sz w:val="20"/>
                <w:szCs w:val="20"/>
                <w:lang w:val="en-AU"/>
              </w:rPr>
              <w:t>Celgene Pty Ltd</w:t>
            </w:r>
          </w:p>
        </w:tc>
      </w:tr>
      <w:tr w:rsidR="002133B9" w:rsidRPr="00F04A75" w14:paraId="7C092A11" w14:textId="77777777" w:rsidTr="00A425B1">
        <w:trPr>
          <w:trHeight w:val="220"/>
        </w:trPr>
        <w:tc>
          <w:tcPr>
            <w:tcW w:w="2405"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67E208C7" w14:textId="77777777" w:rsidR="002133B9" w:rsidRPr="00F04A75" w:rsidRDefault="002133B9" w:rsidP="00A425B1">
            <w:pPr>
              <w:rPr>
                <w:rFonts w:ascii="Arial Narrow" w:hAnsi="Arial Narrow"/>
                <w:iCs/>
                <w:snapToGrid w:val="0"/>
                <w:sz w:val="20"/>
                <w:szCs w:val="20"/>
                <w:lang w:val="en-AU"/>
              </w:rPr>
            </w:pPr>
            <w:r w:rsidRPr="00F04A75">
              <w:rPr>
                <w:rFonts w:ascii="Arial Narrow" w:hAnsi="Arial Narrow"/>
                <w:iCs/>
                <w:snapToGrid w:val="0"/>
                <w:sz w:val="20"/>
                <w:szCs w:val="20"/>
                <w:lang w:val="en-AU"/>
              </w:rPr>
              <w:t>lenalidomide 15 mg capsule, 21</w:t>
            </w:r>
          </w:p>
        </w:tc>
        <w:tc>
          <w:tcPr>
            <w:tcW w:w="1985"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6577993A" w14:textId="77777777" w:rsidR="002133B9" w:rsidRPr="00F04A75" w:rsidRDefault="002133B9" w:rsidP="00A425B1">
            <w:pPr>
              <w:jc w:val="center"/>
              <w:rPr>
                <w:rFonts w:ascii="Arial Narrow" w:hAnsi="Arial Narrow"/>
                <w:iCs/>
                <w:snapToGrid w:val="0"/>
                <w:sz w:val="20"/>
                <w:szCs w:val="20"/>
                <w:lang w:val="en-AU"/>
              </w:rPr>
            </w:pPr>
            <w:r w:rsidRPr="00F04A75">
              <w:rPr>
                <w:rFonts w:ascii="Arial Narrow" w:hAnsi="Arial Narrow"/>
                <w:iCs/>
                <w:snapToGrid w:val="0"/>
                <w:sz w:val="20"/>
                <w:szCs w:val="20"/>
                <w:lang w:val="en-AU"/>
              </w:rPr>
              <w:t>New (Public) / (Private)</w:t>
            </w:r>
          </w:p>
        </w:tc>
        <w:tc>
          <w:tcPr>
            <w:tcW w:w="850"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383E253B" w14:textId="77777777" w:rsidR="002133B9" w:rsidRPr="00F04A75" w:rsidRDefault="002133B9" w:rsidP="00A425B1">
            <w:pPr>
              <w:jc w:val="center"/>
              <w:rPr>
                <w:rFonts w:ascii="Arial Narrow" w:hAnsi="Arial Narrow"/>
                <w:iCs/>
                <w:snapToGrid w:val="0"/>
                <w:sz w:val="20"/>
                <w:szCs w:val="20"/>
                <w:lang w:val="en-AU"/>
              </w:rPr>
            </w:pPr>
            <w:r w:rsidRPr="00F04A75">
              <w:rPr>
                <w:rFonts w:ascii="Arial Narrow" w:hAnsi="Arial Narrow"/>
                <w:iCs/>
                <w:snapToGrid w:val="0"/>
                <w:sz w:val="20"/>
                <w:szCs w:val="20"/>
                <w:lang w:val="en-AU"/>
              </w:rPr>
              <w:t>21</w:t>
            </w:r>
          </w:p>
        </w:tc>
        <w:tc>
          <w:tcPr>
            <w:tcW w:w="851"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43271622" w14:textId="77777777" w:rsidR="002133B9" w:rsidRPr="00F04A75" w:rsidRDefault="002133B9" w:rsidP="00A425B1">
            <w:pPr>
              <w:jc w:val="center"/>
              <w:rPr>
                <w:rFonts w:ascii="Arial Narrow" w:hAnsi="Arial Narrow"/>
                <w:iCs/>
                <w:snapToGrid w:val="0"/>
                <w:sz w:val="20"/>
                <w:szCs w:val="20"/>
                <w:lang w:val="en-AU"/>
              </w:rPr>
            </w:pPr>
            <w:r w:rsidRPr="00F04A75">
              <w:rPr>
                <w:rFonts w:ascii="Arial Narrow" w:hAnsi="Arial Narrow"/>
                <w:iCs/>
                <w:snapToGrid w:val="0"/>
                <w:sz w:val="20"/>
                <w:szCs w:val="20"/>
                <w:lang w:val="en-AU"/>
              </w:rPr>
              <w:t>1</w:t>
            </w:r>
          </w:p>
        </w:tc>
        <w:tc>
          <w:tcPr>
            <w:tcW w:w="708"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4D88FE0D" w14:textId="77777777" w:rsidR="002133B9" w:rsidRPr="00F04A75" w:rsidRDefault="002133B9" w:rsidP="00A425B1">
            <w:pPr>
              <w:keepNext/>
              <w:keepLines/>
              <w:jc w:val="center"/>
              <w:rPr>
                <w:rFonts w:ascii="Arial Narrow" w:hAnsi="Arial Narrow"/>
                <w:iCs/>
                <w:sz w:val="20"/>
                <w:szCs w:val="20"/>
                <w:lang w:val="en-AU"/>
              </w:rPr>
            </w:pPr>
            <w:r w:rsidRPr="00F04A75">
              <w:rPr>
                <w:rFonts w:ascii="Arial Narrow" w:hAnsi="Arial Narrow"/>
                <w:iCs/>
                <w:sz w:val="20"/>
                <w:szCs w:val="20"/>
                <w:lang w:val="en-AU"/>
              </w:rPr>
              <w:t>2</w:t>
            </w:r>
          </w:p>
        </w:tc>
        <w:tc>
          <w:tcPr>
            <w:tcW w:w="993"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1B87218D" w14:textId="77777777" w:rsidR="002133B9" w:rsidRPr="00F04A75" w:rsidRDefault="002133B9" w:rsidP="00A425B1">
            <w:pPr>
              <w:rPr>
                <w:rFonts w:ascii="Arial Narrow" w:hAnsi="Arial Narrow"/>
                <w:iCs/>
                <w:snapToGrid w:val="0"/>
                <w:sz w:val="20"/>
                <w:szCs w:val="20"/>
                <w:lang w:val="en-AU"/>
              </w:rPr>
            </w:pPr>
            <w:r w:rsidRPr="00F04A75">
              <w:rPr>
                <w:rFonts w:ascii="Arial Narrow" w:hAnsi="Arial Narrow"/>
                <w:iCs/>
                <w:snapToGrid w:val="0"/>
                <w:sz w:val="20"/>
                <w:szCs w:val="20"/>
                <w:lang w:val="en-AU"/>
              </w:rPr>
              <w:t>Revlimid</w:t>
            </w:r>
          </w:p>
        </w:tc>
        <w:tc>
          <w:tcPr>
            <w:tcW w:w="1275"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2A1ED61F" w14:textId="77777777" w:rsidR="002133B9" w:rsidRPr="00F04A75" w:rsidRDefault="002133B9" w:rsidP="00A425B1">
            <w:pPr>
              <w:rPr>
                <w:rFonts w:ascii="Arial Narrow" w:hAnsi="Arial Narrow"/>
                <w:iCs/>
                <w:snapToGrid w:val="0"/>
                <w:sz w:val="20"/>
                <w:szCs w:val="20"/>
                <w:lang w:val="en-AU"/>
              </w:rPr>
            </w:pPr>
            <w:r w:rsidRPr="00F04A75">
              <w:rPr>
                <w:rFonts w:ascii="Arial Narrow" w:hAnsi="Arial Narrow"/>
                <w:iCs/>
                <w:snapToGrid w:val="0"/>
                <w:sz w:val="20"/>
                <w:szCs w:val="20"/>
                <w:lang w:val="en-AU"/>
              </w:rPr>
              <w:t>Celgene Pty Ltd</w:t>
            </w:r>
          </w:p>
        </w:tc>
      </w:tr>
      <w:tr w:rsidR="002133B9" w:rsidRPr="00F04A75" w14:paraId="73462120" w14:textId="77777777" w:rsidTr="00A425B1">
        <w:trPr>
          <w:trHeight w:val="220"/>
        </w:trPr>
        <w:tc>
          <w:tcPr>
            <w:tcW w:w="2405"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069FC0F8" w14:textId="77777777" w:rsidR="002133B9" w:rsidRPr="00F04A75" w:rsidRDefault="002133B9" w:rsidP="00A425B1">
            <w:pPr>
              <w:rPr>
                <w:rFonts w:ascii="Arial Narrow" w:hAnsi="Arial Narrow"/>
                <w:iCs/>
                <w:snapToGrid w:val="0"/>
                <w:sz w:val="20"/>
                <w:szCs w:val="20"/>
                <w:lang w:val="en-AU"/>
              </w:rPr>
            </w:pPr>
            <w:r w:rsidRPr="00F04A75">
              <w:rPr>
                <w:rFonts w:ascii="Arial Narrow" w:hAnsi="Arial Narrow"/>
                <w:iCs/>
                <w:snapToGrid w:val="0"/>
                <w:sz w:val="20"/>
                <w:szCs w:val="20"/>
                <w:lang w:val="en-AU"/>
              </w:rPr>
              <w:t>lenalidomide 25 mg capsule, 21</w:t>
            </w:r>
          </w:p>
        </w:tc>
        <w:tc>
          <w:tcPr>
            <w:tcW w:w="1985"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39BAA80F" w14:textId="77777777" w:rsidR="002133B9" w:rsidRPr="00F04A75" w:rsidRDefault="002133B9" w:rsidP="00A425B1">
            <w:pPr>
              <w:jc w:val="center"/>
              <w:rPr>
                <w:rFonts w:ascii="Arial Narrow" w:hAnsi="Arial Narrow"/>
                <w:iCs/>
                <w:snapToGrid w:val="0"/>
                <w:sz w:val="20"/>
                <w:szCs w:val="20"/>
                <w:lang w:val="en-AU"/>
              </w:rPr>
            </w:pPr>
            <w:r w:rsidRPr="00F04A75">
              <w:rPr>
                <w:rFonts w:ascii="Arial Narrow" w:hAnsi="Arial Narrow"/>
                <w:iCs/>
                <w:snapToGrid w:val="0"/>
                <w:sz w:val="20"/>
                <w:szCs w:val="20"/>
                <w:lang w:val="en-AU"/>
              </w:rPr>
              <w:t>New (Public) / (Private)</w:t>
            </w:r>
          </w:p>
        </w:tc>
        <w:tc>
          <w:tcPr>
            <w:tcW w:w="850"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48CE299B" w14:textId="77777777" w:rsidR="002133B9" w:rsidRPr="00F04A75" w:rsidRDefault="002133B9" w:rsidP="00A425B1">
            <w:pPr>
              <w:jc w:val="center"/>
              <w:rPr>
                <w:rFonts w:ascii="Arial Narrow" w:hAnsi="Arial Narrow"/>
                <w:iCs/>
                <w:snapToGrid w:val="0"/>
                <w:sz w:val="20"/>
                <w:szCs w:val="20"/>
                <w:lang w:val="en-AU"/>
              </w:rPr>
            </w:pPr>
            <w:r w:rsidRPr="00F04A75">
              <w:rPr>
                <w:rFonts w:ascii="Arial Narrow" w:hAnsi="Arial Narrow"/>
                <w:iCs/>
                <w:snapToGrid w:val="0"/>
                <w:sz w:val="20"/>
                <w:szCs w:val="20"/>
                <w:lang w:val="en-AU"/>
              </w:rPr>
              <w:t>21</w:t>
            </w:r>
          </w:p>
        </w:tc>
        <w:tc>
          <w:tcPr>
            <w:tcW w:w="851"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281EF734" w14:textId="77777777" w:rsidR="002133B9" w:rsidRPr="00F04A75" w:rsidRDefault="002133B9" w:rsidP="00A425B1">
            <w:pPr>
              <w:jc w:val="center"/>
              <w:rPr>
                <w:rFonts w:ascii="Arial Narrow" w:hAnsi="Arial Narrow"/>
                <w:iCs/>
                <w:snapToGrid w:val="0"/>
                <w:sz w:val="20"/>
                <w:szCs w:val="20"/>
                <w:lang w:val="en-AU"/>
              </w:rPr>
            </w:pPr>
            <w:r w:rsidRPr="00F04A75">
              <w:rPr>
                <w:rFonts w:ascii="Arial Narrow" w:hAnsi="Arial Narrow"/>
                <w:iCs/>
                <w:snapToGrid w:val="0"/>
                <w:sz w:val="20"/>
                <w:szCs w:val="20"/>
                <w:lang w:val="en-AU"/>
              </w:rPr>
              <w:t>1</w:t>
            </w:r>
          </w:p>
        </w:tc>
        <w:tc>
          <w:tcPr>
            <w:tcW w:w="708"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46FE3BD7" w14:textId="77777777" w:rsidR="002133B9" w:rsidRPr="00F04A75" w:rsidRDefault="002133B9" w:rsidP="00A425B1">
            <w:pPr>
              <w:keepNext/>
              <w:keepLines/>
              <w:jc w:val="center"/>
              <w:rPr>
                <w:rFonts w:ascii="Arial Narrow" w:hAnsi="Arial Narrow"/>
                <w:iCs/>
                <w:sz w:val="20"/>
                <w:szCs w:val="20"/>
                <w:lang w:val="en-AU"/>
              </w:rPr>
            </w:pPr>
            <w:r w:rsidRPr="00F04A75">
              <w:rPr>
                <w:rFonts w:ascii="Arial Narrow" w:hAnsi="Arial Narrow"/>
                <w:iCs/>
                <w:sz w:val="20"/>
                <w:szCs w:val="20"/>
                <w:lang w:val="en-AU"/>
              </w:rPr>
              <w:t>2</w:t>
            </w:r>
          </w:p>
        </w:tc>
        <w:tc>
          <w:tcPr>
            <w:tcW w:w="993"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224A788E" w14:textId="77777777" w:rsidR="002133B9" w:rsidRPr="00F04A75" w:rsidRDefault="002133B9" w:rsidP="00A425B1">
            <w:pPr>
              <w:rPr>
                <w:rFonts w:ascii="Arial Narrow" w:hAnsi="Arial Narrow"/>
                <w:iCs/>
                <w:snapToGrid w:val="0"/>
                <w:sz w:val="20"/>
                <w:szCs w:val="20"/>
                <w:lang w:val="en-AU"/>
              </w:rPr>
            </w:pPr>
            <w:r w:rsidRPr="00F04A75">
              <w:rPr>
                <w:rFonts w:ascii="Arial Narrow" w:hAnsi="Arial Narrow"/>
                <w:iCs/>
                <w:snapToGrid w:val="0"/>
                <w:sz w:val="20"/>
                <w:szCs w:val="20"/>
                <w:lang w:val="en-AU"/>
              </w:rPr>
              <w:t>Revlimid</w:t>
            </w:r>
          </w:p>
        </w:tc>
        <w:tc>
          <w:tcPr>
            <w:tcW w:w="1275"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1DFFA413" w14:textId="77777777" w:rsidR="002133B9" w:rsidRPr="00F04A75" w:rsidRDefault="002133B9" w:rsidP="00A425B1">
            <w:pPr>
              <w:rPr>
                <w:rFonts w:ascii="Arial Narrow" w:hAnsi="Arial Narrow"/>
                <w:iCs/>
                <w:snapToGrid w:val="0"/>
                <w:sz w:val="20"/>
                <w:szCs w:val="20"/>
                <w:lang w:val="en-AU"/>
              </w:rPr>
            </w:pPr>
            <w:r w:rsidRPr="00F04A75">
              <w:rPr>
                <w:rFonts w:ascii="Arial Narrow" w:hAnsi="Arial Narrow"/>
                <w:iCs/>
                <w:snapToGrid w:val="0"/>
                <w:sz w:val="20"/>
                <w:szCs w:val="20"/>
                <w:lang w:val="en-AU"/>
              </w:rPr>
              <w:t>Celgene Pty Ltd</w:t>
            </w:r>
          </w:p>
        </w:tc>
      </w:tr>
      <w:tr w:rsidR="002133B9" w:rsidRPr="00F04A75" w14:paraId="79EAB8F0" w14:textId="77777777" w:rsidTr="00A425B1">
        <w:trPr>
          <w:trHeight w:val="220"/>
        </w:trPr>
        <w:tc>
          <w:tcPr>
            <w:tcW w:w="9067" w:type="dxa"/>
            <w:gridSpan w:val="7"/>
            <w:tcBorders>
              <w:top w:val="single" w:sz="4" w:space="0" w:color="auto"/>
              <w:left w:val="single" w:sz="4" w:space="0" w:color="auto"/>
              <w:bottom w:val="single" w:sz="4" w:space="0" w:color="auto"/>
              <w:right w:val="single" w:sz="4" w:space="0" w:color="auto"/>
            </w:tcBorders>
          </w:tcPr>
          <w:p w14:paraId="6471B99D" w14:textId="77777777" w:rsidR="002133B9" w:rsidRPr="00F04A75" w:rsidRDefault="002133B9" w:rsidP="00A425B1">
            <w:pPr>
              <w:rPr>
                <w:rFonts w:ascii="Arial Narrow" w:hAnsi="Arial Narrow"/>
                <w:iCs/>
                <w:snapToGrid w:val="0"/>
                <w:sz w:val="20"/>
                <w:szCs w:val="20"/>
                <w:lang w:val="en-AU"/>
              </w:rPr>
            </w:pPr>
          </w:p>
        </w:tc>
      </w:tr>
    </w:tbl>
    <w:tbl>
      <w:tblPr>
        <w:tblW w:w="502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0"/>
        <w:gridCol w:w="7937"/>
      </w:tblGrid>
      <w:tr w:rsidR="002133B9" w:rsidRPr="00F04A75" w14:paraId="0A842EBC" w14:textId="77777777" w:rsidTr="00A425B1">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14:paraId="3CC5C786" w14:textId="77777777" w:rsidR="002133B9" w:rsidRPr="00F04A75" w:rsidRDefault="002133B9" w:rsidP="00A425B1">
            <w:pPr>
              <w:spacing w:line="256" w:lineRule="auto"/>
              <w:rPr>
                <w:rFonts w:ascii="Arial Narrow" w:hAnsi="Arial Narrow"/>
                <w:b/>
                <w:bCs/>
                <w:iCs/>
                <w:color w:val="000000"/>
                <w:sz w:val="20"/>
                <w:szCs w:val="20"/>
                <w:lang w:eastAsia="en-US"/>
              </w:rPr>
            </w:pPr>
            <w:r w:rsidRPr="00F04A75">
              <w:rPr>
                <w:rFonts w:ascii="Arial Narrow" w:hAnsi="Arial Narrow"/>
                <w:b/>
                <w:bCs/>
                <w:iCs/>
                <w:color w:val="000000"/>
                <w:sz w:val="20"/>
                <w:szCs w:val="20"/>
                <w:lang w:eastAsia="en-US"/>
              </w:rPr>
              <w:t>Restriction Summary [new] / Treatment of Concept: [new]</w:t>
            </w:r>
          </w:p>
        </w:tc>
      </w:tr>
      <w:tr w:rsidR="002133B9" w:rsidRPr="00F04A75" w14:paraId="1A12A226" w14:textId="77777777" w:rsidTr="003B5756">
        <w:tc>
          <w:tcPr>
            <w:tcW w:w="623" w:type="pct"/>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14:paraId="31BC570C" w14:textId="21C82480" w:rsidR="002133B9" w:rsidRPr="00F04A75" w:rsidRDefault="002133B9" w:rsidP="00A425B1">
            <w:pPr>
              <w:spacing w:line="256" w:lineRule="auto"/>
              <w:jc w:val="center"/>
              <w:rPr>
                <w:rFonts w:ascii="Arial Narrow" w:hAnsi="Arial Narrow"/>
                <w:b/>
                <w:iCs/>
                <w:color w:val="000000"/>
                <w:sz w:val="20"/>
                <w:szCs w:val="20"/>
                <w:lang w:eastAsia="en-US"/>
              </w:rPr>
            </w:pPr>
          </w:p>
        </w:tc>
        <w:tc>
          <w:tcPr>
            <w:tcW w:w="4377" w:type="pct"/>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14:paraId="21642600" w14:textId="77777777" w:rsidR="002133B9" w:rsidRPr="00F04A75" w:rsidRDefault="002133B9" w:rsidP="00A425B1">
            <w:pPr>
              <w:spacing w:line="256" w:lineRule="auto"/>
              <w:rPr>
                <w:rFonts w:ascii="Arial Narrow" w:hAnsi="Arial Narrow"/>
                <w:b/>
                <w:iCs/>
                <w:color w:val="000000"/>
                <w:sz w:val="20"/>
                <w:szCs w:val="20"/>
                <w:lang w:eastAsia="en-US"/>
              </w:rPr>
            </w:pPr>
            <w:r w:rsidRPr="00F04A75">
              <w:rPr>
                <w:rFonts w:ascii="Arial Narrow" w:hAnsi="Arial Narrow"/>
                <w:b/>
                <w:bCs/>
                <w:iCs/>
                <w:color w:val="000000"/>
                <w:sz w:val="20"/>
                <w:szCs w:val="20"/>
                <w:lang w:eastAsia="en-US"/>
              </w:rPr>
              <w:t xml:space="preserve">Category/Program: </w:t>
            </w:r>
            <w:r w:rsidRPr="00F04A75">
              <w:rPr>
                <w:rFonts w:ascii="Arial Narrow" w:hAnsi="Arial Narrow"/>
                <w:bCs/>
                <w:iCs/>
                <w:color w:val="000000"/>
                <w:sz w:val="20"/>
                <w:szCs w:val="20"/>
                <w:lang w:eastAsia="en-US"/>
              </w:rPr>
              <w:t>Section 100 (Highly Specialised Drugs Program) – Public/Private hospitals</w:t>
            </w:r>
          </w:p>
        </w:tc>
      </w:tr>
      <w:tr w:rsidR="002133B9" w:rsidRPr="00F04A75" w14:paraId="5B37AB63" w14:textId="77777777" w:rsidTr="003B5756">
        <w:tc>
          <w:tcPr>
            <w:tcW w:w="0" w:type="auto"/>
            <w:vMerge/>
            <w:tcBorders>
              <w:top w:val="single" w:sz="4" w:space="0" w:color="000000"/>
              <w:left w:val="single" w:sz="4" w:space="0" w:color="000000"/>
              <w:bottom w:val="single" w:sz="4" w:space="0" w:color="000000"/>
              <w:right w:val="single" w:sz="4" w:space="0" w:color="000000"/>
            </w:tcBorders>
            <w:vAlign w:val="center"/>
          </w:tcPr>
          <w:p w14:paraId="57E33E9B" w14:textId="77777777" w:rsidR="002133B9" w:rsidRPr="00F04A75" w:rsidRDefault="002133B9" w:rsidP="00A425B1">
            <w:pPr>
              <w:spacing w:line="256" w:lineRule="auto"/>
              <w:jc w:val="left"/>
              <w:rPr>
                <w:rFonts w:ascii="Arial Narrow" w:hAnsi="Arial Narrow"/>
                <w:b/>
                <w:iCs/>
                <w:color w:val="000000"/>
                <w:sz w:val="20"/>
                <w:szCs w:val="20"/>
                <w:lang w:eastAsia="en-US"/>
              </w:rPr>
            </w:pPr>
          </w:p>
        </w:tc>
        <w:tc>
          <w:tcPr>
            <w:tcW w:w="4377" w:type="pct"/>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14:paraId="43E59FFE" w14:textId="77777777" w:rsidR="002133B9" w:rsidRPr="00F04A75" w:rsidRDefault="002133B9" w:rsidP="00A425B1">
            <w:pPr>
              <w:spacing w:line="256" w:lineRule="auto"/>
              <w:rPr>
                <w:rFonts w:ascii="Arial Narrow" w:hAnsi="Arial Narrow"/>
                <w:bCs/>
                <w:iCs/>
                <w:color w:val="000000"/>
                <w:sz w:val="20"/>
                <w:szCs w:val="20"/>
                <w:highlight w:val="yellow"/>
                <w:lang w:eastAsia="en-US"/>
              </w:rPr>
            </w:pPr>
            <w:r w:rsidRPr="00F04A75">
              <w:rPr>
                <w:rFonts w:ascii="Arial Narrow" w:hAnsi="Arial Narrow"/>
                <w:b/>
                <w:bCs/>
                <w:iCs/>
                <w:color w:val="000000"/>
                <w:sz w:val="20"/>
                <w:szCs w:val="20"/>
                <w:lang w:eastAsia="en-US"/>
              </w:rPr>
              <w:t xml:space="preserve">Prescriber type: </w:t>
            </w:r>
            <w:r w:rsidRPr="00F04A75">
              <w:rPr>
                <w:rFonts w:ascii="Arial Narrow" w:hAnsi="Arial Narrow"/>
                <w:bCs/>
                <w:iCs/>
                <w:color w:val="000000"/>
                <w:sz w:val="20"/>
                <w:szCs w:val="20"/>
                <w:lang w:eastAsia="en-US"/>
              </w:rPr>
              <w:t xml:space="preserve"> </w:t>
            </w:r>
            <w:r w:rsidRPr="00F04A75">
              <w:rPr>
                <w:rFonts w:ascii="Arial Narrow" w:hAnsi="Arial Narrow"/>
                <w:bCs/>
                <w:iCs/>
                <w:color w:val="000000"/>
                <w:sz w:val="20"/>
                <w:szCs w:val="20"/>
                <w:lang w:eastAsia="en-US"/>
              </w:rPr>
              <w:fldChar w:fldCharType="begin">
                <w:ffData>
                  <w:name w:val=""/>
                  <w:enabled/>
                  <w:calcOnExit w:val="0"/>
                  <w:checkBox>
                    <w:sizeAuto/>
                    <w:default w:val="1"/>
                  </w:checkBox>
                </w:ffData>
              </w:fldChar>
            </w:r>
            <w:r w:rsidRPr="00F04A75">
              <w:rPr>
                <w:rFonts w:ascii="Arial Narrow" w:hAnsi="Arial Narrow"/>
                <w:bCs/>
                <w:iCs/>
                <w:color w:val="000000"/>
                <w:sz w:val="20"/>
                <w:szCs w:val="20"/>
                <w:lang w:eastAsia="en-US"/>
              </w:rPr>
              <w:instrText xml:space="preserve"> FORMCHECKBOX </w:instrText>
            </w:r>
            <w:r w:rsidR="00443BC9">
              <w:rPr>
                <w:rFonts w:ascii="Arial Narrow" w:hAnsi="Arial Narrow"/>
                <w:bCs/>
                <w:iCs/>
                <w:color w:val="000000"/>
                <w:sz w:val="20"/>
                <w:szCs w:val="20"/>
                <w:lang w:eastAsia="en-US"/>
              </w:rPr>
            </w:r>
            <w:r w:rsidR="00443BC9">
              <w:rPr>
                <w:rFonts w:ascii="Arial Narrow" w:hAnsi="Arial Narrow"/>
                <w:bCs/>
                <w:iCs/>
                <w:color w:val="000000"/>
                <w:sz w:val="20"/>
                <w:szCs w:val="20"/>
                <w:lang w:eastAsia="en-US"/>
              </w:rPr>
              <w:fldChar w:fldCharType="separate"/>
            </w:r>
            <w:r w:rsidRPr="00F04A75">
              <w:rPr>
                <w:rFonts w:ascii="Arial Narrow" w:hAnsi="Arial Narrow"/>
                <w:bCs/>
                <w:iCs/>
                <w:color w:val="000000"/>
                <w:sz w:val="20"/>
                <w:szCs w:val="20"/>
                <w:lang w:eastAsia="en-US"/>
              </w:rPr>
              <w:fldChar w:fldCharType="end"/>
            </w:r>
            <w:r w:rsidRPr="00F04A75">
              <w:rPr>
                <w:rFonts w:ascii="Arial Narrow" w:hAnsi="Arial Narrow"/>
                <w:bCs/>
                <w:iCs/>
                <w:color w:val="000000"/>
                <w:sz w:val="20"/>
                <w:szCs w:val="20"/>
                <w:lang w:eastAsia="en-US"/>
              </w:rPr>
              <w:t xml:space="preserve">Medical Practitioners </w:t>
            </w:r>
          </w:p>
        </w:tc>
      </w:tr>
      <w:tr w:rsidR="002133B9" w:rsidRPr="00F04A75" w14:paraId="5C8E1081" w14:textId="77777777" w:rsidTr="003B5756">
        <w:tc>
          <w:tcPr>
            <w:tcW w:w="0" w:type="auto"/>
            <w:vMerge/>
            <w:tcBorders>
              <w:top w:val="single" w:sz="4" w:space="0" w:color="000000"/>
              <w:left w:val="single" w:sz="4" w:space="0" w:color="000000"/>
              <w:bottom w:val="single" w:sz="4" w:space="0" w:color="000000"/>
              <w:right w:val="single" w:sz="4" w:space="0" w:color="000000"/>
            </w:tcBorders>
            <w:vAlign w:val="center"/>
          </w:tcPr>
          <w:p w14:paraId="01B6E630" w14:textId="77777777" w:rsidR="002133B9" w:rsidRPr="00F04A75" w:rsidRDefault="002133B9" w:rsidP="00A425B1">
            <w:pPr>
              <w:spacing w:line="256" w:lineRule="auto"/>
              <w:jc w:val="left"/>
              <w:rPr>
                <w:rFonts w:ascii="Arial Narrow" w:hAnsi="Arial Narrow"/>
                <w:b/>
                <w:iCs/>
                <w:color w:val="000000"/>
                <w:sz w:val="20"/>
                <w:szCs w:val="20"/>
                <w:lang w:eastAsia="en-US"/>
              </w:rPr>
            </w:pPr>
          </w:p>
        </w:tc>
        <w:tc>
          <w:tcPr>
            <w:tcW w:w="43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60A95E28" w14:textId="77777777" w:rsidR="002133B9" w:rsidRPr="00F04A75" w:rsidRDefault="002133B9" w:rsidP="00A425B1">
            <w:pPr>
              <w:spacing w:line="256" w:lineRule="auto"/>
              <w:rPr>
                <w:rFonts w:ascii="Arial Narrow" w:hAnsi="Arial Narrow"/>
                <w:iCs/>
                <w:color w:val="000000"/>
                <w:sz w:val="20"/>
                <w:szCs w:val="20"/>
                <w:lang w:eastAsia="en-US"/>
              </w:rPr>
            </w:pPr>
            <w:r w:rsidRPr="00F04A75">
              <w:rPr>
                <w:rFonts w:ascii="Arial Narrow" w:hAnsi="Arial Narrow"/>
                <w:b/>
                <w:bCs/>
                <w:iCs/>
                <w:color w:val="000000"/>
                <w:sz w:val="20"/>
                <w:szCs w:val="20"/>
                <w:lang w:eastAsia="en-US"/>
              </w:rPr>
              <w:t xml:space="preserve">Restriction type: </w:t>
            </w:r>
            <w:r w:rsidRPr="00F04A75">
              <w:rPr>
                <w:rFonts w:ascii="Arial Narrow" w:hAnsi="Arial Narrow"/>
                <w:bCs/>
                <w:iCs/>
                <w:color w:val="000000"/>
                <w:sz w:val="20"/>
                <w:szCs w:val="20"/>
                <w:lang w:eastAsia="en-US"/>
              </w:rPr>
              <w:fldChar w:fldCharType="begin">
                <w:ffData>
                  <w:name w:val="Check3"/>
                  <w:enabled/>
                  <w:calcOnExit w:val="0"/>
                  <w:checkBox>
                    <w:sizeAuto/>
                    <w:default w:val="1"/>
                  </w:checkBox>
                </w:ffData>
              </w:fldChar>
            </w:r>
            <w:r w:rsidRPr="00F04A75">
              <w:rPr>
                <w:rFonts w:ascii="Arial Narrow" w:hAnsi="Arial Narrow"/>
                <w:bCs/>
                <w:iCs/>
                <w:color w:val="000000"/>
                <w:sz w:val="20"/>
                <w:szCs w:val="20"/>
                <w:lang w:eastAsia="en-US"/>
              </w:rPr>
              <w:instrText xml:space="preserve"> FORMCHECKBOX </w:instrText>
            </w:r>
            <w:r w:rsidR="00443BC9">
              <w:rPr>
                <w:rFonts w:ascii="Arial Narrow" w:hAnsi="Arial Narrow"/>
                <w:bCs/>
                <w:iCs/>
                <w:color w:val="000000"/>
                <w:sz w:val="20"/>
                <w:szCs w:val="20"/>
                <w:lang w:eastAsia="en-US"/>
              </w:rPr>
            </w:r>
            <w:r w:rsidR="00443BC9">
              <w:rPr>
                <w:rFonts w:ascii="Arial Narrow" w:hAnsi="Arial Narrow"/>
                <w:bCs/>
                <w:iCs/>
                <w:color w:val="000000"/>
                <w:sz w:val="20"/>
                <w:szCs w:val="20"/>
                <w:lang w:eastAsia="en-US"/>
              </w:rPr>
              <w:fldChar w:fldCharType="separate"/>
            </w:r>
            <w:r w:rsidRPr="00F04A75">
              <w:rPr>
                <w:rFonts w:ascii="Arial Narrow" w:hAnsi="Arial Narrow"/>
                <w:bCs/>
                <w:iCs/>
                <w:color w:val="000000"/>
                <w:sz w:val="20"/>
                <w:szCs w:val="20"/>
                <w:lang w:eastAsia="en-US"/>
              </w:rPr>
              <w:fldChar w:fldCharType="end"/>
            </w:r>
            <w:r w:rsidRPr="00F04A75">
              <w:rPr>
                <w:rFonts w:ascii="Arial Narrow" w:hAnsi="Arial Narrow"/>
                <w:bCs/>
                <w:iCs/>
                <w:color w:val="000000"/>
                <w:sz w:val="20"/>
                <w:szCs w:val="20"/>
                <w:lang w:eastAsia="en-US"/>
              </w:rPr>
              <w:t>Authority Required (telephone/online PBS Authorities system)</w:t>
            </w:r>
          </w:p>
        </w:tc>
      </w:tr>
      <w:tr w:rsidR="002133B9" w:rsidRPr="00F04A75" w14:paraId="0C8F38F6" w14:textId="77777777" w:rsidTr="003B5756">
        <w:tc>
          <w:tcPr>
            <w:tcW w:w="62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11C0BE4" w14:textId="162D0676" w:rsidR="002133B9" w:rsidRPr="00F04A75" w:rsidRDefault="002133B9" w:rsidP="00A425B1">
            <w:pPr>
              <w:spacing w:line="256" w:lineRule="auto"/>
              <w:jc w:val="center"/>
              <w:rPr>
                <w:rFonts w:ascii="Arial Narrow" w:hAnsi="Arial Narrow"/>
                <w:bCs/>
                <w:iCs/>
                <w:color w:val="000000"/>
                <w:sz w:val="20"/>
                <w:szCs w:val="20"/>
                <w:lang w:eastAsia="en-US"/>
              </w:rPr>
            </w:pPr>
          </w:p>
        </w:tc>
        <w:tc>
          <w:tcPr>
            <w:tcW w:w="43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3C00FA4D" w14:textId="77777777" w:rsidR="002133B9" w:rsidRPr="00F04A75" w:rsidRDefault="002133B9" w:rsidP="00A425B1">
            <w:pPr>
              <w:spacing w:line="256" w:lineRule="auto"/>
              <w:rPr>
                <w:rFonts w:ascii="Arial Narrow" w:hAnsi="Arial Narrow"/>
                <w:iCs/>
                <w:color w:val="000000"/>
                <w:sz w:val="20"/>
                <w:szCs w:val="20"/>
                <w:lang w:eastAsia="en-US"/>
              </w:rPr>
            </w:pPr>
            <w:r w:rsidRPr="00F04A75">
              <w:rPr>
                <w:rFonts w:ascii="Arial Narrow" w:hAnsi="Arial Narrow"/>
                <w:b/>
                <w:bCs/>
                <w:iCs/>
                <w:color w:val="000000"/>
                <w:sz w:val="20"/>
                <w:szCs w:val="20"/>
                <w:lang w:eastAsia="en-US"/>
              </w:rPr>
              <w:t xml:space="preserve">PBS Indication: </w:t>
            </w:r>
            <w:r w:rsidRPr="00F04A75">
              <w:rPr>
                <w:rFonts w:ascii="Arial Narrow" w:hAnsi="Arial Narrow"/>
                <w:iCs/>
                <w:color w:val="000000"/>
                <w:sz w:val="20"/>
                <w:szCs w:val="20"/>
                <w:lang w:eastAsia="en-US"/>
              </w:rPr>
              <w:t xml:space="preserve">Relapsed and/or refractory </w:t>
            </w:r>
            <w:r w:rsidRPr="00F04A75">
              <w:rPr>
                <w:rFonts w:ascii="Arial Narrow" w:hAnsi="Arial Narrow"/>
                <w:bCs/>
                <w:iCs/>
                <w:color w:val="000000"/>
                <w:sz w:val="20"/>
                <w:szCs w:val="20"/>
                <w:lang w:eastAsia="en-US"/>
              </w:rPr>
              <w:t xml:space="preserve">multiple myeloma </w:t>
            </w:r>
          </w:p>
        </w:tc>
      </w:tr>
      <w:tr w:rsidR="002133B9" w:rsidRPr="00F04A75" w14:paraId="1BF8F142" w14:textId="77777777" w:rsidTr="00A425B1">
        <w:tc>
          <w:tcPr>
            <w:tcW w:w="62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D88F8CD" w14:textId="77777777" w:rsidR="002133B9" w:rsidRPr="00F04A75" w:rsidRDefault="002133B9" w:rsidP="00A425B1">
            <w:pPr>
              <w:spacing w:line="256" w:lineRule="auto"/>
              <w:jc w:val="center"/>
              <w:rPr>
                <w:rFonts w:ascii="Arial Narrow" w:hAnsi="Arial Narrow"/>
                <w:iCs/>
                <w:color w:val="000000"/>
                <w:sz w:val="20"/>
                <w:szCs w:val="20"/>
                <w:lang w:eastAsia="en-US"/>
              </w:rPr>
            </w:pPr>
          </w:p>
        </w:tc>
        <w:tc>
          <w:tcPr>
            <w:tcW w:w="43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3ABDBC98" w14:textId="77777777" w:rsidR="002133B9" w:rsidRPr="00F04A75" w:rsidRDefault="002133B9" w:rsidP="00A425B1">
            <w:pPr>
              <w:spacing w:line="256" w:lineRule="auto"/>
              <w:rPr>
                <w:rFonts w:ascii="Arial Narrow" w:hAnsi="Arial Narrow"/>
                <w:iCs/>
                <w:color w:val="000000"/>
                <w:sz w:val="20"/>
                <w:szCs w:val="20"/>
                <w:lang w:eastAsia="en-US"/>
              </w:rPr>
            </w:pPr>
            <w:r w:rsidRPr="00F04A75">
              <w:rPr>
                <w:rFonts w:ascii="Arial Narrow" w:hAnsi="Arial Narrow"/>
                <w:b/>
                <w:bCs/>
                <w:iCs/>
                <w:color w:val="000000"/>
                <w:sz w:val="20"/>
                <w:szCs w:val="20"/>
                <w:lang w:eastAsia="en-US"/>
              </w:rPr>
              <w:t xml:space="preserve">Treatment phase: </w:t>
            </w:r>
            <w:r w:rsidRPr="00F04A75">
              <w:rPr>
                <w:rFonts w:ascii="Arial Narrow" w:hAnsi="Arial Narrow"/>
                <w:bCs/>
                <w:iCs/>
                <w:color w:val="000000"/>
                <w:sz w:val="20"/>
                <w:szCs w:val="20"/>
                <w:lang w:eastAsia="en-US"/>
              </w:rPr>
              <w:t>Triple combination therapy consisting of carfilzomib, lenalidomide and dexamethasone</w:t>
            </w:r>
          </w:p>
        </w:tc>
      </w:tr>
      <w:tr w:rsidR="002133B9" w:rsidRPr="00F04A75" w14:paraId="2B4C2040" w14:textId="77777777" w:rsidTr="00A425B1">
        <w:tc>
          <w:tcPr>
            <w:tcW w:w="62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84C22E1" w14:textId="77777777" w:rsidR="002133B9" w:rsidRPr="00F04A75" w:rsidRDefault="002133B9" w:rsidP="00A425B1">
            <w:pPr>
              <w:spacing w:line="256" w:lineRule="auto"/>
              <w:jc w:val="center"/>
              <w:rPr>
                <w:rFonts w:ascii="Arial Narrow" w:hAnsi="Arial Narrow"/>
                <w:iCs/>
                <w:color w:val="000000"/>
                <w:sz w:val="20"/>
                <w:szCs w:val="20"/>
                <w:lang w:eastAsia="en-US"/>
              </w:rPr>
            </w:pPr>
          </w:p>
        </w:tc>
        <w:tc>
          <w:tcPr>
            <w:tcW w:w="43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5BE2EA87" w14:textId="77777777" w:rsidR="002133B9" w:rsidRPr="00F04A75" w:rsidRDefault="002133B9" w:rsidP="00A425B1">
            <w:pPr>
              <w:spacing w:line="256" w:lineRule="auto"/>
              <w:rPr>
                <w:rFonts w:ascii="Arial Narrow" w:hAnsi="Arial Narrow"/>
                <w:b/>
                <w:bCs/>
                <w:iCs/>
                <w:color w:val="000000"/>
                <w:sz w:val="20"/>
                <w:szCs w:val="20"/>
                <w:lang w:eastAsia="en-US"/>
              </w:rPr>
            </w:pPr>
            <w:r w:rsidRPr="00F04A75">
              <w:rPr>
                <w:rFonts w:ascii="Arial Narrow" w:hAnsi="Arial Narrow"/>
                <w:b/>
                <w:bCs/>
                <w:iCs/>
                <w:color w:val="000000"/>
                <w:sz w:val="20"/>
                <w:szCs w:val="20"/>
                <w:lang w:eastAsia="en-US"/>
              </w:rPr>
              <w:t>Treatment criteria:</w:t>
            </w:r>
          </w:p>
        </w:tc>
      </w:tr>
      <w:tr w:rsidR="002133B9" w:rsidRPr="00F04A75" w14:paraId="3113675C" w14:textId="77777777" w:rsidTr="003B5756">
        <w:tc>
          <w:tcPr>
            <w:tcW w:w="62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27DFD9C" w14:textId="585DAD0A" w:rsidR="002133B9" w:rsidRPr="00F04A75" w:rsidRDefault="002133B9" w:rsidP="00A425B1">
            <w:pPr>
              <w:spacing w:line="256" w:lineRule="auto"/>
              <w:jc w:val="center"/>
              <w:rPr>
                <w:rFonts w:ascii="Arial Narrow" w:hAnsi="Arial Narrow"/>
                <w:iCs/>
                <w:color w:val="000000"/>
                <w:sz w:val="20"/>
                <w:szCs w:val="20"/>
                <w:lang w:eastAsia="en-US"/>
              </w:rPr>
            </w:pPr>
          </w:p>
        </w:tc>
        <w:tc>
          <w:tcPr>
            <w:tcW w:w="43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567712A7" w14:textId="77777777" w:rsidR="002133B9" w:rsidRPr="00F04A75" w:rsidRDefault="002133B9" w:rsidP="00A425B1">
            <w:pPr>
              <w:spacing w:line="256" w:lineRule="auto"/>
              <w:rPr>
                <w:rFonts w:ascii="Arial Narrow" w:hAnsi="Arial Narrow"/>
                <w:bCs/>
                <w:iCs/>
                <w:color w:val="000000"/>
                <w:sz w:val="20"/>
                <w:szCs w:val="20"/>
                <w:lang w:eastAsia="en-US"/>
              </w:rPr>
            </w:pPr>
            <w:r w:rsidRPr="00F04A75">
              <w:rPr>
                <w:rFonts w:ascii="Arial Narrow" w:hAnsi="Arial Narrow"/>
                <w:bCs/>
                <w:iCs/>
                <w:color w:val="000000"/>
                <w:sz w:val="20"/>
                <w:szCs w:val="20"/>
                <w:lang w:eastAsia="en-US"/>
              </w:rPr>
              <w:t>Patient must be undergoing concurrent treatment with carfilzomib obtained through the PBS</w:t>
            </w:r>
          </w:p>
        </w:tc>
      </w:tr>
      <w:tr w:rsidR="002133B9" w:rsidRPr="00F04A75" w14:paraId="4D64B79F" w14:textId="77777777" w:rsidTr="00A425B1">
        <w:tc>
          <w:tcPr>
            <w:tcW w:w="62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0711454" w14:textId="77777777" w:rsidR="002133B9" w:rsidRPr="00F04A75" w:rsidRDefault="002133B9" w:rsidP="00A425B1">
            <w:pPr>
              <w:spacing w:line="256" w:lineRule="auto"/>
              <w:jc w:val="center"/>
              <w:rPr>
                <w:rFonts w:ascii="Arial Narrow" w:hAnsi="Arial Narrow"/>
                <w:iCs/>
                <w:color w:val="000000"/>
                <w:sz w:val="20"/>
                <w:szCs w:val="20"/>
                <w:lang w:eastAsia="en-US"/>
              </w:rPr>
            </w:pPr>
          </w:p>
        </w:tc>
        <w:tc>
          <w:tcPr>
            <w:tcW w:w="43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1D25C78A" w14:textId="77777777" w:rsidR="002133B9" w:rsidRPr="00F04A75" w:rsidRDefault="002133B9" w:rsidP="00A425B1">
            <w:pPr>
              <w:spacing w:line="256" w:lineRule="auto"/>
              <w:rPr>
                <w:rFonts w:ascii="Arial Narrow" w:hAnsi="Arial Narrow"/>
                <w:b/>
                <w:bCs/>
                <w:iCs/>
                <w:color w:val="000000"/>
                <w:sz w:val="20"/>
                <w:szCs w:val="20"/>
                <w:lang w:eastAsia="en-US"/>
              </w:rPr>
            </w:pPr>
            <w:r w:rsidRPr="00F04A75">
              <w:rPr>
                <w:rFonts w:ascii="Arial Narrow" w:hAnsi="Arial Narrow"/>
                <w:b/>
                <w:bCs/>
                <w:iCs/>
                <w:color w:val="000000"/>
                <w:sz w:val="20"/>
                <w:szCs w:val="20"/>
                <w:lang w:eastAsia="en-US"/>
              </w:rPr>
              <w:t>AND</w:t>
            </w:r>
          </w:p>
        </w:tc>
      </w:tr>
      <w:tr w:rsidR="002133B9" w:rsidRPr="00F04A75" w14:paraId="79648873" w14:textId="77777777" w:rsidTr="00A425B1">
        <w:tc>
          <w:tcPr>
            <w:tcW w:w="62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BE53B56" w14:textId="77777777" w:rsidR="002133B9" w:rsidRPr="00F04A75" w:rsidRDefault="002133B9" w:rsidP="00A425B1">
            <w:pPr>
              <w:spacing w:line="256" w:lineRule="auto"/>
              <w:jc w:val="center"/>
              <w:rPr>
                <w:rFonts w:ascii="Arial Narrow" w:hAnsi="Arial Narrow"/>
                <w:iCs/>
                <w:color w:val="000000"/>
                <w:sz w:val="20"/>
                <w:szCs w:val="20"/>
                <w:lang w:eastAsia="en-US"/>
              </w:rPr>
            </w:pPr>
          </w:p>
        </w:tc>
        <w:tc>
          <w:tcPr>
            <w:tcW w:w="43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14220D4A" w14:textId="77777777" w:rsidR="002133B9" w:rsidRPr="00F04A75" w:rsidRDefault="002133B9" w:rsidP="00A425B1">
            <w:pPr>
              <w:spacing w:line="256" w:lineRule="auto"/>
              <w:rPr>
                <w:rFonts w:ascii="Arial Narrow" w:hAnsi="Arial Narrow"/>
                <w:b/>
                <w:bCs/>
                <w:iCs/>
                <w:color w:val="000000"/>
                <w:sz w:val="20"/>
                <w:szCs w:val="20"/>
                <w:lang w:eastAsia="en-US"/>
              </w:rPr>
            </w:pPr>
            <w:r w:rsidRPr="00F04A75">
              <w:rPr>
                <w:rFonts w:ascii="Arial Narrow" w:hAnsi="Arial Narrow"/>
                <w:b/>
                <w:bCs/>
                <w:iCs/>
                <w:color w:val="000000"/>
                <w:sz w:val="20"/>
                <w:szCs w:val="20"/>
                <w:lang w:eastAsia="en-US"/>
              </w:rPr>
              <w:t>Treatment criteria:</w:t>
            </w:r>
          </w:p>
        </w:tc>
      </w:tr>
      <w:tr w:rsidR="002133B9" w:rsidRPr="00F04A75" w14:paraId="30E2B9EE" w14:textId="77777777" w:rsidTr="003B5756">
        <w:tc>
          <w:tcPr>
            <w:tcW w:w="62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0D3A94D" w14:textId="1CC4401C" w:rsidR="002133B9" w:rsidRPr="00F04A75" w:rsidRDefault="002133B9" w:rsidP="00A425B1">
            <w:pPr>
              <w:spacing w:line="256" w:lineRule="auto"/>
              <w:jc w:val="center"/>
              <w:rPr>
                <w:rFonts w:ascii="Arial Narrow" w:hAnsi="Arial Narrow"/>
                <w:iCs/>
                <w:color w:val="000000"/>
                <w:sz w:val="20"/>
                <w:szCs w:val="20"/>
                <w:lang w:eastAsia="en-US"/>
              </w:rPr>
            </w:pPr>
          </w:p>
        </w:tc>
        <w:tc>
          <w:tcPr>
            <w:tcW w:w="43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7312BCD2" w14:textId="77777777" w:rsidR="002133B9" w:rsidRPr="00F04A75" w:rsidRDefault="002133B9" w:rsidP="00A425B1">
            <w:pPr>
              <w:spacing w:line="256" w:lineRule="auto"/>
              <w:rPr>
                <w:rFonts w:ascii="Arial Narrow" w:hAnsi="Arial Narrow"/>
                <w:bCs/>
                <w:iCs/>
                <w:color w:val="000000"/>
                <w:sz w:val="20"/>
                <w:szCs w:val="20"/>
                <w:lang w:eastAsia="en-US"/>
              </w:rPr>
            </w:pPr>
            <w:r w:rsidRPr="00F04A75">
              <w:rPr>
                <w:rFonts w:ascii="Arial Narrow" w:hAnsi="Arial Narrow"/>
                <w:bCs/>
                <w:iCs/>
                <w:color w:val="000000"/>
                <w:sz w:val="20"/>
                <w:szCs w:val="20"/>
                <w:lang w:eastAsia="en-US"/>
              </w:rPr>
              <w:t>Patient must not be undergoing simultaneous treatment with this drug obtained under another PBS listing</w:t>
            </w:r>
          </w:p>
        </w:tc>
      </w:tr>
      <w:tr w:rsidR="00340779" w:rsidRPr="00F04A75" w14:paraId="1FA60368" w14:textId="77777777" w:rsidTr="00A425B1">
        <w:tc>
          <w:tcPr>
            <w:tcW w:w="62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36BD26C" w14:textId="2FDC4618" w:rsidR="00340779" w:rsidRPr="00F04A75" w:rsidRDefault="00340779" w:rsidP="00A425B1">
            <w:pPr>
              <w:spacing w:line="256" w:lineRule="auto"/>
              <w:jc w:val="center"/>
              <w:rPr>
                <w:rFonts w:ascii="Arial Narrow" w:hAnsi="Arial Narrow"/>
                <w:iCs/>
                <w:color w:val="000000"/>
                <w:sz w:val="20"/>
                <w:szCs w:val="20"/>
                <w:lang w:eastAsia="en-US"/>
              </w:rPr>
            </w:pPr>
          </w:p>
        </w:tc>
        <w:tc>
          <w:tcPr>
            <w:tcW w:w="43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E626537" w14:textId="77777777" w:rsidR="00340779" w:rsidRPr="00145C2C" w:rsidRDefault="00340779" w:rsidP="00A425B1">
            <w:pPr>
              <w:spacing w:line="256" w:lineRule="auto"/>
              <w:rPr>
                <w:rFonts w:ascii="Arial Narrow" w:hAnsi="Arial Narrow"/>
                <w:b/>
                <w:iCs/>
                <w:color w:val="000000"/>
                <w:sz w:val="20"/>
                <w:szCs w:val="20"/>
                <w:lang w:eastAsia="en-US"/>
              </w:rPr>
            </w:pPr>
            <w:r w:rsidRPr="00145C2C">
              <w:rPr>
                <w:rFonts w:ascii="Arial Narrow" w:hAnsi="Arial Narrow"/>
                <w:b/>
                <w:iCs/>
                <w:color w:val="000000"/>
                <w:sz w:val="20"/>
                <w:szCs w:val="20"/>
                <w:lang w:eastAsia="en-US"/>
              </w:rPr>
              <w:t>Prescribing Instructions:</w:t>
            </w:r>
          </w:p>
          <w:p w14:paraId="3A746DD3" w14:textId="06BA4714" w:rsidR="00340779" w:rsidRPr="00145C2C" w:rsidRDefault="00340779" w:rsidP="00A425B1">
            <w:pPr>
              <w:spacing w:line="256" w:lineRule="auto"/>
              <w:rPr>
                <w:rFonts w:ascii="Arial Narrow" w:hAnsi="Arial Narrow"/>
                <w:bCs/>
                <w:iCs/>
                <w:color w:val="000000"/>
                <w:sz w:val="20"/>
                <w:szCs w:val="20"/>
                <w:lang w:eastAsia="en-US"/>
              </w:rPr>
            </w:pPr>
            <w:r w:rsidRPr="00145C2C">
              <w:rPr>
                <w:rFonts w:ascii="Arial Narrow" w:hAnsi="Arial Narrow"/>
                <w:bCs/>
                <w:iCs/>
                <w:color w:val="000000"/>
                <w:sz w:val="20"/>
                <w:szCs w:val="20"/>
                <w:lang w:eastAsia="en-US"/>
              </w:rPr>
              <w:t xml:space="preserve">Patients receiving this drug under the PBS listing must be registered in the </w:t>
            </w:r>
            <w:proofErr w:type="spellStart"/>
            <w:r w:rsidRPr="00145C2C">
              <w:rPr>
                <w:rFonts w:ascii="Arial Narrow" w:hAnsi="Arial Narrow"/>
                <w:bCs/>
                <w:iCs/>
                <w:color w:val="000000"/>
                <w:sz w:val="20"/>
                <w:szCs w:val="20"/>
                <w:lang w:eastAsia="en-US"/>
              </w:rPr>
              <w:t>i</w:t>
            </w:r>
            <w:proofErr w:type="spellEnd"/>
            <w:r w:rsidRPr="00145C2C">
              <w:rPr>
                <w:rFonts w:ascii="Arial Narrow" w:hAnsi="Arial Narrow"/>
                <w:bCs/>
                <w:iCs/>
                <w:color w:val="000000"/>
                <w:sz w:val="20"/>
                <w:szCs w:val="20"/>
                <w:lang w:eastAsia="en-US"/>
              </w:rPr>
              <w:t>-access risk management program</w:t>
            </w:r>
          </w:p>
        </w:tc>
      </w:tr>
      <w:tr w:rsidR="00340779" w:rsidRPr="00F04A75" w14:paraId="2103D37E" w14:textId="77777777" w:rsidTr="00A425B1">
        <w:tc>
          <w:tcPr>
            <w:tcW w:w="62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80BEC68" w14:textId="3079CAFB" w:rsidR="00340779" w:rsidRPr="00F04A75" w:rsidRDefault="00340779" w:rsidP="00A425B1">
            <w:pPr>
              <w:spacing w:line="256" w:lineRule="auto"/>
              <w:jc w:val="center"/>
              <w:rPr>
                <w:rFonts w:ascii="Arial Narrow" w:hAnsi="Arial Narrow"/>
                <w:iCs/>
                <w:color w:val="000000"/>
                <w:sz w:val="20"/>
                <w:szCs w:val="20"/>
                <w:lang w:eastAsia="en-US"/>
              </w:rPr>
            </w:pPr>
          </w:p>
        </w:tc>
        <w:tc>
          <w:tcPr>
            <w:tcW w:w="43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CAC8D88" w14:textId="77777777" w:rsidR="00340779" w:rsidRPr="00145C2C" w:rsidRDefault="00340779" w:rsidP="00A425B1">
            <w:pPr>
              <w:spacing w:line="256" w:lineRule="auto"/>
              <w:rPr>
                <w:rFonts w:ascii="Arial Narrow" w:hAnsi="Arial Narrow"/>
                <w:b/>
                <w:iCs/>
                <w:color w:val="000000"/>
                <w:sz w:val="20"/>
                <w:szCs w:val="20"/>
                <w:lang w:eastAsia="en-US"/>
              </w:rPr>
            </w:pPr>
            <w:r w:rsidRPr="00145C2C">
              <w:rPr>
                <w:rFonts w:ascii="Arial Narrow" w:hAnsi="Arial Narrow"/>
                <w:b/>
                <w:iCs/>
                <w:color w:val="000000"/>
                <w:sz w:val="20"/>
                <w:szCs w:val="20"/>
                <w:lang w:eastAsia="en-US"/>
              </w:rPr>
              <w:t>Caution:</w:t>
            </w:r>
          </w:p>
          <w:p w14:paraId="0C793570" w14:textId="7CF93009" w:rsidR="00340779" w:rsidRPr="00145C2C" w:rsidRDefault="00340779" w:rsidP="00A425B1">
            <w:pPr>
              <w:spacing w:line="256" w:lineRule="auto"/>
              <w:rPr>
                <w:rFonts w:ascii="Arial Narrow" w:hAnsi="Arial Narrow"/>
                <w:bCs/>
                <w:iCs/>
                <w:color w:val="000000"/>
                <w:sz w:val="20"/>
                <w:szCs w:val="20"/>
                <w:lang w:eastAsia="en-US"/>
              </w:rPr>
            </w:pPr>
            <w:r w:rsidRPr="00145C2C">
              <w:rPr>
                <w:rFonts w:ascii="Arial Narrow" w:hAnsi="Arial Narrow"/>
                <w:bCs/>
                <w:color w:val="000000"/>
                <w:sz w:val="20"/>
                <w:szCs w:val="20"/>
              </w:rPr>
              <w:t>This drug is a category X drug and must not be given to pregnant women. If lenalidomide is taken during pregnancy, a teratogenic effect of lenalidomide in humans cannot be ruled out.</w:t>
            </w:r>
          </w:p>
        </w:tc>
      </w:tr>
      <w:tr w:rsidR="002133B9" w:rsidRPr="00F04A75" w14:paraId="602E1A74" w14:textId="77777777" w:rsidTr="00A425B1">
        <w:tc>
          <w:tcPr>
            <w:tcW w:w="62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63146F5" w14:textId="4B6CC4DE" w:rsidR="00C126E6" w:rsidRPr="00F04A75" w:rsidRDefault="00C126E6" w:rsidP="00A425B1">
            <w:pPr>
              <w:spacing w:line="256" w:lineRule="auto"/>
              <w:jc w:val="center"/>
              <w:rPr>
                <w:rFonts w:ascii="Arial Narrow" w:hAnsi="Arial Narrow"/>
                <w:iCs/>
                <w:color w:val="333333"/>
                <w:sz w:val="20"/>
                <w:szCs w:val="20"/>
                <w:lang w:eastAsia="en-US"/>
              </w:rPr>
            </w:pPr>
          </w:p>
        </w:tc>
        <w:tc>
          <w:tcPr>
            <w:tcW w:w="43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5B7C2940" w14:textId="77777777" w:rsidR="002133B9" w:rsidRPr="00F04A75" w:rsidRDefault="002133B9" w:rsidP="00A425B1">
            <w:pPr>
              <w:spacing w:line="256" w:lineRule="auto"/>
              <w:rPr>
                <w:rFonts w:ascii="Arial Narrow" w:hAnsi="Arial Narrow"/>
                <w:b/>
                <w:bCs/>
                <w:iCs/>
                <w:sz w:val="20"/>
                <w:szCs w:val="20"/>
                <w:lang w:eastAsia="en-US"/>
              </w:rPr>
            </w:pPr>
            <w:r w:rsidRPr="00F04A75">
              <w:rPr>
                <w:rFonts w:ascii="Arial Narrow" w:hAnsi="Arial Narrow"/>
                <w:b/>
                <w:bCs/>
                <w:iCs/>
                <w:sz w:val="20"/>
                <w:szCs w:val="20"/>
                <w:lang w:eastAsia="en-US"/>
              </w:rPr>
              <w:t xml:space="preserve">Administrative advice: </w:t>
            </w:r>
          </w:p>
          <w:p w14:paraId="45476D04" w14:textId="47E276C4" w:rsidR="002133B9" w:rsidRPr="00F04A75" w:rsidRDefault="002133B9" w:rsidP="00A425B1">
            <w:pPr>
              <w:spacing w:line="256" w:lineRule="auto"/>
              <w:rPr>
                <w:rFonts w:ascii="Arial Narrow" w:hAnsi="Arial Narrow"/>
                <w:b/>
                <w:iCs/>
                <w:sz w:val="20"/>
                <w:szCs w:val="20"/>
                <w:lang w:eastAsia="en-US"/>
              </w:rPr>
            </w:pPr>
            <w:r w:rsidRPr="00F04A75">
              <w:rPr>
                <w:rFonts w:ascii="Arial Narrow" w:hAnsi="Arial Narrow"/>
                <w:bCs/>
                <w:iCs/>
                <w:sz w:val="20"/>
                <w:szCs w:val="20"/>
                <w:lang w:eastAsia="en-US"/>
              </w:rPr>
              <w:t>Applications for authorisation under this restriction may be made in real time using the Online PBS Authorities system (see www.servicesaustralia.gov.au/HPOS) or by telephone by contacting Services Australia on 1800</w:t>
            </w:r>
            <w:r w:rsidR="00340779">
              <w:rPr>
                <w:rFonts w:ascii="Arial Narrow" w:hAnsi="Arial Narrow"/>
                <w:bCs/>
                <w:iCs/>
                <w:sz w:val="20"/>
                <w:szCs w:val="20"/>
                <w:lang w:eastAsia="en-US"/>
              </w:rPr>
              <w:t xml:space="preserve"> 700 270</w:t>
            </w:r>
            <w:r w:rsidRPr="00F04A75">
              <w:rPr>
                <w:rFonts w:ascii="Arial Narrow" w:hAnsi="Arial Narrow"/>
                <w:bCs/>
                <w:iCs/>
                <w:sz w:val="20"/>
                <w:szCs w:val="20"/>
                <w:lang w:eastAsia="en-US"/>
              </w:rPr>
              <w:t>.</w:t>
            </w:r>
          </w:p>
        </w:tc>
      </w:tr>
      <w:tr w:rsidR="002133B9" w:rsidRPr="00F04A75" w14:paraId="45D64763" w14:textId="77777777" w:rsidTr="003B5756">
        <w:tc>
          <w:tcPr>
            <w:tcW w:w="62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3B9B279" w14:textId="26C94FA4" w:rsidR="002133B9" w:rsidRPr="00F04A75" w:rsidRDefault="002133B9" w:rsidP="00A425B1">
            <w:pPr>
              <w:spacing w:line="256" w:lineRule="auto"/>
              <w:jc w:val="center"/>
              <w:rPr>
                <w:rFonts w:ascii="Arial Narrow" w:hAnsi="Arial Narrow"/>
                <w:b/>
                <w:iCs/>
                <w:color w:val="000000"/>
                <w:sz w:val="20"/>
                <w:szCs w:val="20"/>
                <w:lang w:eastAsia="en-US"/>
              </w:rPr>
            </w:pPr>
          </w:p>
        </w:tc>
        <w:tc>
          <w:tcPr>
            <w:tcW w:w="43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6600C018" w14:textId="77777777" w:rsidR="002133B9" w:rsidRPr="00F04A75" w:rsidRDefault="002133B9" w:rsidP="00A425B1">
            <w:pPr>
              <w:spacing w:line="256" w:lineRule="auto"/>
              <w:rPr>
                <w:rFonts w:ascii="Arial Narrow" w:hAnsi="Arial Narrow"/>
                <w:b/>
                <w:bCs/>
                <w:iCs/>
                <w:color w:val="000000"/>
                <w:sz w:val="20"/>
                <w:szCs w:val="20"/>
                <w:lang w:eastAsia="en-US"/>
              </w:rPr>
            </w:pPr>
            <w:r w:rsidRPr="00F04A75">
              <w:rPr>
                <w:rFonts w:ascii="Arial Narrow" w:hAnsi="Arial Narrow"/>
                <w:b/>
                <w:iCs/>
                <w:sz w:val="20"/>
                <w:szCs w:val="20"/>
                <w:lang w:eastAsia="en-US"/>
              </w:rPr>
              <w:t>Administrative Advice:</w:t>
            </w:r>
            <w:r w:rsidRPr="00F04A75">
              <w:rPr>
                <w:rFonts w:ascii="Arial Narrow" w:hAnsi="Arial Narrow"/>
                <w:iCs/>
                <w:sz w:val="20"/>
                <w:szCs w:val="20"/>
                <w:lang w:eastAsia="en-US"/>
              </w:rPr>
              <w:t xml:space="preserve"> Special Pricing Arrangements apply</w:t>
            </w:r>
          </w:p>
        </w:tc>
      </w:tr>
    </w:tbl>
    <w:p w14:paraId="487D85AB" w14:textId="77777777" w:rsidR="002133B9" w:rsidRPr="00F04A75" w:rsidRDefault="002133B9" w:rsidP="002133B9"/>
    <w:bookmarkEnd w:id="65"/>
    <w:bookmarkEnd w:id="1"/>
    <w:bookmarkEnd w:id="2"/>
    <w:bookmarkEnd w:id="3"/>
    <w:bookmarkEnd w:id="4"/>
    <w:bookmarkEnd w:id="5"/>
    <w:p w14:paraId="70567EB4" w14:textId="77777777" w:rsidR="003B5756" w:rsidRDefault="003B5756" w:rsidP="003B5756">
      <w:pPr>
        <w:spacing w:after="120"/>
        <w:ind w:left="426"/>
        <w:rPr>
          <w:rFonts w:asciiTheme="minorHAnsi" w:hAnsiTheme="minorHAnsi"/>
          <w:bCs/>
          <w:lang w:val="en-GB"/>
        </w:rPr>
      </w:pPr>
      <w:r w:rsidRPr="00C07617">
        <w:rPr>
          <w:rFonts w:asciiTheme="minorHAnsi" w:hAnsiTheme="minorHAnsi"/>
          <w:b/>
          <w:sz w:val="32"/>
        </w:rPr>
        <w:t>9</w:t>
      </w:r>
      <w:r w:rsidRPr="00C07617">
        <w:rPr>
          <w:rFonts w:asciiTheme="minorHAnsi" w:hAnsiTheme="minorHAnsi"/>
          <w:b/>
          <w:sz w:val="32"/>
        </w:rPr>
        <w:tab/>
        <w:t>Context for Decision</w:t>
      </w:r>
    </w:p>
    <w:p w14:paraId="4147A990" w14:textId="77777777" w:rsidR="003B5756" w:rsidRPr="007129F2" w:rsidRDefault="003B5756" w:rsidP="003B5756">
      <w:pPr>
        <w:spacing w:after="120"/>
        <w:ind w:left="426"/>
        <w:rPr>
          <w:rFonts w:asciiTheme="minorHAnsi" w:hAnsiTheme="minorHAnsi"/>
          <w:bCs/>
          <w:lang w:val="en-GB"/>
        </w:rPr>
      </w:pPr>
      <w:r w:rsidRPr="007129F2">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7540E1FC" w14:textId="77777777" w:rsidR="003B5756" w:rsidRPr="00C07617" w:rsidRDefault="003B5756" w:rsidP="003B5756">
      <w:pPr>
        <w:ind w:left="426"/>
        <w:rPr>
          <w:rFonts w:asciiTheme="minorHAnsi" w:hAnsiTheme="minorHAnsi"/>
          <w:b/>
          <w:sz w:val="32"/>
        </w:rPr>
      </w:pPr>
      <w:r>
        <w:rPr>
          <w:rFonts w:asciiTheme="minorHAnsi" w:hAnsiTheme="minorHAnsi"/>
          <w:b/>
          <w:sz w:val="32"/>
        </w:rPr>
        <w:t>10</w:t>
      </w:r>
      <w:r w:rsidRPr="00C07617">
        <w:rPr>
          <w:rFonts w:asciiTheme="minorHAnsi" w:hAnsiTheme="minorHAnsi"/>
          <w:b/>
          <w:sz w:val="32"/>
        </w:rPr>
        <w:t xml:space="preserve"> </w:t>
      </w:r>
      <w:r>
        <w:rPr>
          <w:rFonts w:asciiTheme="minorHAnsi" w:hAnsiTheme="minorHAnsi"/>
          <w:b/>
          <w:sz w:val="32"/>
        </w:rPr>
        <w:t>Sponsor’s Comment</w:t>
      </w:r>
    </w:p>
    <w:p w14:paraId="47E30ED3" w14:textId="77777777" w:rsidR="00B55CA5" w:rsidRPr="00B55CA5" w:rsidRDefault="00B55CA5" w:rsidP="00B55CA5">
      <w:pPr>
        <w:ind w:left="426"/>
        <w:rPr>
          <w:rFonts w:cs="Calibri"/>
          <w:sz w:val="22"/>
          <w:szCs w:val="22"/>
        </w:rPr>
      </w:pPr>
      <w:r w:rsidRPr="00B55CA5">
        <w:t xml:space="preserve">Amgen are pleased that the PBAC have recommended carfilzomib, lenalidomide and </w:t>
      </w:r>
      <w:r w:rsidRPr="002941CE">
        <w:t xml:space="preserve">dexamethasone as triplet therapy. In accordance with the PBAC’s recommendation we will now work closely with the Department to ensure that the carfilzomib RSA is appropriately amended to reflect </w:t>
      </w:r>
      <w:r w:rsidRPr="00B55CA5">
        <w:t>carfilzomib and triplet therapy use.</w:t>
      </w:r>
    </w:p>
    <w:p w14:paraId="6562054A" w14:textId="77777777" w:rsidR="000F316A" w:rsidRPr="00F04A75" w:rsidRDefault="000F316A" w:rsidP="001F67DD"/>
    <w:sectPr w:rsidR="000F316A" w:rsidRPr="00F04A75" w:rsidSect="00ED0B92">
      <w:headerReference w:type="even" r:id="rId11"/>
      <w:headerReference w:type="default" r:id="rId12"/>
      <w:footerReference w:type="even" r:id="rId13"/>
      <w:footerReference w:type="default" r:id="rId14"/>
      <w:headerReference w:type="first" r:id="rId15"/>
      <w:footerReference w:type="first" r:id="rId16"/>
      <w:pgSz w:w="11907"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8EF5D3" w14:textId="77777777" w:rsidR="00034559" w:rsidRDefault="00034559" w:rsidP="00124A51">
      <w:r>
        <w:separator/>
      </w:r>
    </w:p>
    <w:p w14:paraId="167984CF" w14:textId="77777777" w:rsidR="00034559" w:rsidRDefault="00034559"/>
  </w:endnote>
  <w:endnote w:type="continuationSeparator" w:id="0">
    <w:p w14:paraId="50716C4B" w14:textId="77777777" w:rsidR="00034559" w:rsidRDefault="00034559" w:rsidP="00124A51">
      <w:r>
        <w:continuationSeparator/>
      </w:r>
    </w:p>
    <w:p w14:paraId="2A5459AE" w14:textId="77777777" w:rsidR="00034559" w:rsidRDefault="00034559"/>
  </w:endnote>
  <w:endnote w:type="continuationNotice" w:id="1">
    <w:p w14:paraId="26FF6D87" w14:textId="77777777" w:rsidR="00034559" w:rsidRDefault="000345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imesNewRoman">
    <w:altName w:val="MS Gothic"/>
    <w:panose1 w:val="00000000000000000000"/>
    <w:charset w:val="80"/>
    <w:family w:val="auto"/>
    <w:notTrueType/>
    <w:pitch w:val="default"/>
    <w:sig w:usb0="00000001" w:usb1="08070000" w:usb2="00000010" w:usb3="00000000" w:csb0="00020001" w:csb1="00000000"/>
  </w:font>
  <w:font w:name="Genev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7FA998" w14:textId="77777777" w:rsidR="000960C3" w:rsidRDefault="000960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73159315"/>
      <w:docPartObj>
        <w:docPartGallery w:val="Page Numbers (Bottom of Page)"/>
        <w:docPartUnique/>
      </w:docPartObj>
    </w:sdtPr>
    <w:sdtEndPr>
      <w:rPr>
        <w:noProof/>
      </w:rPr>
    </w:sdtEndPr>
    <w:sdtContent>
      <w:p w14:paraId="25B8A582" w14:textId="77777777" w:rsidR="00034559" w:rsidRDefault="00034559">
        <w:pPr>
          <w:pStyle w:val="Footer"/>
          <w:jc w:val="center"/>
        </w:pPr>
      </w:p>
      <w:p w14:paraId="1963108E" w14:textId="55C03ECB" w:rsidR="00034559" w:rsidRDefault="00034559">
        <w:pPr>
          <w:pStyle w:val="Footer"/>
          <w:jc w:val="center"/>
        </w:pPr>
        <w:r w:rsidRPr="00A05E89">
          <w:rPr>
            <w:b/>
            <w:bCs/>
          </w:rPr>
          <w:fldChar w:fldCharType="begin"/>
        </w:r>
        <w:r w:rsidRPr="00A05E89">
          <w:rPr>
            <w:b/>
            <w:bCs/>
          </w:rPr>
          <w:instrText xml:space="preserve"> PAGE   \* MERGEFORMAT </w:instrText>
        </w:r>
        <w:r w:rsidRPr="00A05E89">
          <w:rPr>
            <w:b/>
            <w:bCs/>
          </w:rPr>
          <w:fldChar w:fldCharType="separate"/>
        </w:r>
        <w:r>
          <w:rPr>
            <w:b/>
            <w:bCs/>
            <w:noProof/>
          </w:rPr>
          <w:t>46</w:t>
        </w:r>
        <w:r w:rsidRPr="00A05E89">
          <w:rPr>
            <w:b/>
            <w:bCs/>
            <w:noProof/>
          </w:rPr>
          <w:fldChar w:fldCharType="end"/>
        </w:r>
      </w:p>
    </w:sdtContent>
  </w:sdt>
  <w:p w14:paraId="2C2471AF" w14:textId="77777777" w:rsidR="00034559" w:rsidRPr="00D13A3E" w:rsidRDefault="00034559" w:rsidP="00015886">
    <w:pPr>
      <w:ind w:right="360"/>
      <w:jc w:val="center"/>
      <w:rPr>
        <w:b/>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521F94" w14:textId="77777777" w:rsidR="000960C3" w:rsidRDefault="000960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127562" w14:textId="77777777" w:rsidR="00034559" w:rsidRDefault="00034559" w:rsidP="00124A51">
      <w:r>
        <w:separator/>
      </w:r>
    </w:p>
    <w:p w14:paraId="4F2DFF93" w14:textId="77777777" w:rsidR="00034559" w:rsidRDefault="00034559"/>
  </w:footnote>
  <w:footnote w:type="continuationSeparator" w:id="0">
    <w:p w14:paraId="081D3274" w14:textId="77777777" w:rsidR="00034559" w:rsidRDefault="00034559" w:rsidP="00124A51">
      <w:r>
        <w:continuationSeparator/>
      </w:r>
    </w:p>
    <w:p w14:paraId="63254A67" w14:textId="77777777" w:rsidR="00034559" w:rsidRDefault="00034559"/>
  </w:footnote>
  <w:footnote w:type="continuationNotice" w:id="1">
    <w:p w14:paraId="4288B62F" w14:textId="77777777" w:rsidR="00034559" w:rsidRDefault="000345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1607C4" w14:textId="77777777" w:rsidR="000960C3" w:rsidRDefault="000960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F5CDFC" w14:textId="5FF92850" w:rsidR="00034559" w:rsidRPr="00A05E89" w:rsidRDefault="00034559" w:rsidP="00A05E89">
    <w:pPr>
      <w:tabs>
        <w:tab w:val="left" w:pos="142"/>
        <w:tab w:val="right" w:pos="9027"/>
      </w:tabs>
      <w:jc w:val="center"/>
      <w:rPr>
        <w:i/>
        <w:iCs/>
      </w:rPr>
    </w:pPr>
    <w:r>
      <w:rPr>
        <w:i/>
        <w:iCs/>
      </w:rPr>
      <w:t>Public Summary Document</w:t>
    </w:r>
    <w:r w:rsidRPr="00A05E89">
      <w:rPr>
        <w:i/>
        <w:iCs/>
      </w:rPr>
      <w:t xml:space="preserve"> – March 2022 PBAC Meeting</w:t>
    </w:r>
  </w:p>
  <w:p w14:paraId="6EBF612E" w14:textId="77777777" w:rsidR="00034559" w:rsidRPr="008C7ECB" w:rsidRDefault="000345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33AB22" w14:textId="77777777" w:rsidR="000960C3" w:rsidRDefault="000960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A22029A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1379D5"/>
    <w:multiLevelType w:val="hybridMultilevel"/>
    <w:tmpl w:val="67C6AA9E"/>
    <w:lvl w:ilvl="0" w:tplc="0C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6E6F0D"/>
    <w:multiLevelType w:val="hybridMultilevel"/>
    <w:tmpl w:val="0A083396"/>
    <w:lvl w:ilvl="0" w:tplc="5D76E300">
      <w:start w:val="1"/>
      <w:numFmt w:val="lowerLetter"/>
      <w:pStyle w:val="OrderedList"/>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0FFF556F"/>
    <w:multiLevelType w:val="hybridMultilevel"/>
    <w:tmpl w:val="6BC035C4"/>
    <w:lvl w:ilvl="0" w:tplc="FB942214">
      <w:start w:val="1"/>
      <w:numFmt w:val="bullet"/>
      <w:pStyle w:val="Bullet"/>
      <w:lvlText w:val=""/>
      <w:lvlJc w:val="left"/>
      <w:pPr>
        <w:ind w:left="1791" w:hanging="360"/>
      </w:pPr>
      <w:rPr>
        <w:rFonts w:ascii="Symbol" w:hAnsi="Symbol" w:hint="default"/>
      </w:rPr>
    </w:lvl>
    <w:lvl w:ilvl="1" w:tplc="0C090003">
      <w:start w:val="1"/>
      <w:numFmt w:val="bullet"/>
      <w:lvlText w:val="o"/>
      <w:lvlJc w:val="left"/>
      <w:pPr>
        <w:ind w:left="2511" w:hanging="360"/>
      </w:pPr>
      <w:rPr>
        <w:rFonts w:ascii="Courier New" w:hAnsi="Courier New" w:cs="Courier New" w:hint="default"/>
      </w:rPr>
    </w:lvl>
    <w:lvl w:ilvl="2" w:tplc="0C090005" w:tentative="1">
      <w:start w:val="1"/>
      <w:numFmt w:val="bullet"/>
      <w:lvlText w:val=""/>
      <w:lvlJc w:val="left"/>
      <w:pPr>
        <w:ind w:left="3231" w:hanging="360"/>
      </w:pPr>
      <w:rPr>
        <w:rFonts w:ascii="Wingdings" w:hAnsi="Wingdings" w:hint="default"/>
      </w:rPr>
    </w:lvl>
    <w:lvl w:ilvl="3" w:tplc="0C090001" w:tentative="1">
      <w:start w:val="1"/>
      <w:numFmt w:val="bullet"/>
      <w:lvlText w:val=""/>
      <w:lvlJc w:val="left"/>
      <w:pPr>
        <w:ind w:left="3951" w:hanging="360"/>
      </w:pPr>
      <w:rPr>
        <w:rFonts w:ascii="Symbol" w:hAnsi="Symbol" w:hint="default"/>
      </w:rPr>
    </w:lvl>
    <w:lvl w:ilvl="4" w:tplc="0C090003" w:tentative="1">
      <w:start w:val="1"/>
      <w:numFmt w:val="bullet"/>
      <w:lvlText w:val="o"/>
      <w:lvlJc w:val="left"/>
      <w:pPr>
        <w:ind w:left="4671" w:hanging="360"/>
      </w:pPr>
      <w:rPr>
        <w:rFonts w:ascii="Courier New" w:hAnsi="Courier New" w:cs="Courier New" w:hint="default"/>
      </w:rPr>
    </w:lvl>
    <w:lvl w:ilvl="5" w:tplc="0C090005" w:tentative="1">
      <w:start w:val="1"/>
      <w:numFmt w:val="bullet"/>
      <w:lvlText w:val=""/>
      <w:lvlJc w:val="left"/>
      <w:pPr>
        <w:ind w:left="5391" w:hanging="360"/>
      </w:pPr>
      <w:rPr>
        <w:rFonts w:ascii="Wingdings" w:hAnsi="Wingdings" w:hint="default"/>
      </w:rPr>
    </w:lvl>
    <w:lvl w:ilvl="6" w:tplc="0C090001" w:tentative="1">
      <w:start w:val="1"/>
      <w:numFmt w:val="bullet"/>
      <w:lvlText w:val=""/>
      <w:lvlJc w:val="left"/>
      <w:pPr>
        <w:ind w:left="6111" w:hanging="360"/>
      </w:pPr>
      <w:rPr>
        <w:rFonts w:ascii="Symbol" w:hAnsi="Symbol" w:hint="default"/>
      </w:rPr>
    </w:lvl>
    <w:lvl w:ilvl="7" w:tplc="0C090003" w:tentative="1">
      <w:start w:val="1"/>
      <w:numFmt w:val="bullet"/>
      <w:lvlText w:val="o"/>
      <w:lvlJc w:val="left"/>
      <w:pPr>
        <w:ind w:left="6831" w:hanging="360"/>
      </w:pPr>
      <w:rPr>
        <w:rFonts w:ascii="Courier New" w:hAnsi="Courier New" w:cs="Courier New" w:hint="default"/>
      </w:rPr>
    </w:lvl>
    <w:lvl w:ilvl="8" w:tplc="0C090005" w:tentative="1">
      <w:start w:val="1"/>
      <w:numFmt w:val="bullet"/>
      <w:lvlText w:val=""/>
      <w:lvlJc w:val="left"/>
      <w:pPr>
        <w:ind w:left="7551" w:hanging="360"/>
      </w:pPr>
      <w:rPr>
        <w:rFonts w:ascii="Wingdings" w:hAnsi="Wingdings" w:hint="default"/>
      </w:rPr>
    </w:lvl>
  </w:abstractNum>
  <w:abstractNum w:abstractNumId="7" w15:restartNumberingAfterBreak="0">
    <w:nsid w:val="11CC6770"/>
    <w:multiLevelType w:val="multilevel"/>
    <w:tmpl w:val="2214E380"/>
    <w:lvl w:ilvl="0">
      <w:start w:val="1"/>
      <w:numFmt w:val="decimal"/>
      <w:lvlText w:val="%1"/>
      <w:lvlJc w:val="left"/>
      <w:pPr>
        <w:ind w:left="720" w:hanging="720"/>
      </w:pPr>
      <w:rPr>
        <w:rFonts w:hint="default"/>
        <w:b/>
      </w:rPr>
    </w:lvl>
    <w:lvl w:ilvl="1">
      <w:start w:val="1"/>
      <w:numFmt w:val="bullet"/>
      <w:lvlText w:val="o"/>
      <w:lvlJc w:val="left"/>
      <w:pPr>
        <w:ind w:left="720" w:hanging="720"/>
      </w:pPr>
      <w:rPr>
        <w:rFonts w:ascii="Courier New" w:hAnsi="Courier New" w:cs="Courier New"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F20D1A"/>
    <w:multiLevelType w:val="hybridMultilevel"/>
    <w:tmpl w:val="AB30F32A"/>
    <w:lvl w:ilvl="0" w:tplc="1200F720">
      <w:start w:val="1"/>
      <w:numFmt w:val="bullet"/>
      <w:lvlText w:val="•"/>
      <w:lvlJc w:val="left"/>
      <w:pPr>
        <w:tabs>
          <w:tab w:val="num" w:pos="720"/>
        </w:tabs>
        <w:ind w:left="720" w:hanging="360"/>
      </w:pPr>
      <w:rPr>
        <w:rFonts w:ascii="Arial" w:hAnsi="Arial" w:hint="default"/>
      </w:rPr>
    </w:lvl>
    <w:lvl w:ilvl="1" w:tplc="446A0FC6" w:tentative="1">
      <w:start w:val="1"/>
      <w:numFmt w:val="bullet"/>
      <w:lvlText w:val="•"/>
      <w:lvlJc w:val="left"/>
      <w:pPr>
        <w:tabs>
          <w:tab w:val="num" w:pos="1440"/>
        </w:tabs>
        <w:ind w:left="1440" w:hanging="360"/>
      </w:pPr>
      <w:rPr>
        <w:rFonts w:ascii="Arial" w:hAnsi="Arial" w:hint="default"/>
      </w:rPr>
    </w:lvl>
    <w:lvl w:ilvl="2" w:tplc="5FD616A4" w:tentative="1">
      <w:start w:val="1"/>
      <w:numFmt w:val="bullet"/>
      <w:lvlText w:val="•"/>
      <w:lvlJc w:val="left"/>
      <w:pPr>
        <w:tabs>
          <w:tab w:val="num" w:pos="2160"/>
        </w:tabs>
        <w:ind w:left="2160" w:hanging="360"/>
      </w:pPr>
      <w:rPr>
        <w:rFonts w:ascii="Arial" w:hAnsi="Arial" w:hint="default"/>
      </w:rPr>
    </w:lvl>
    <w:lvl w:ilvl="3" w:tplc="EC98005A" w:tentative="1">
      <w:start w:val="1"/>
      <w:numFmt w:val="bullet"/>
      <w:lvlText w:val="•"/>
      <w:lvlJc w:val="left"/>
      <w:pPr>
        <w:tabs>
          <w:tab w:val="num" w:pos="2880"/>
        </w:tabs>
        <w:ind w:left="2880" w:hanging="360"/>
      </w:pPr>
      <w:rPr>
        <w:rFonts w:ascii="Arial" w:hAnsi="Arial" w:hint="default"/>
      </w:rPr>
    </w:lvl>
    <w:lvl w:ilvl="4" w:tplc="B78E5916" w:tentative="1">
      <w:start w:val="1"/>
      <w:numFmt w:val="bullet"/>
      <w:lvlText w:val="•"/>
      <w:lvlJc w:val="left"/>
      <w:pPr>
        <w:tabs>
          <w:tab w:val="num" w:pos="3600"/>
        </w:tabs>
        <w:ind w:left="3600" w:hanging="360"/>
      </w:pPr>
      <w:rPr>
        <w:rFonts w:ascii="Arial" w:hAnsi="Arial" w:hint="default"/>
      </w:rPr>
    </w:lvl>
    <w:lvl w:ilvl="5" w:tplc="3BD4B4A8" w:tentative="1">
      <w:start w:val="1"/>
      <w:numFmt w:val="bullet"/>
      <w:lvlText w:val="•"/>
      <w:lvlJc w:val="left"/>
      <w:pPr>
        <w:tabs>
          <w:tab w:val="num" w:pos="4320"/>
        </w:tabs>
        <w:ind w:left="4320" w:hanging="360"/>
      </w:pPr>
      <w:rPr>
        <w:rFonts w:ascii="Arial" w:hAnsi="Arial" w:hint="default"/>
      </w:rPr>
    </w:lvl>
    <w:lvl w:ilvl="6" w:tplc="49BC009C" w:tentative="1">
      <w:start w:val="1"/>
      <w:numFmt w:val="bullet"/>
      <w:lvlText w:val="•"/>
      <w:lvlJc w:val="left"/>
      <w:pPr>
        <w:tabs>
          <w:tab w:val="num" w:pos="5040"/>
        </w:tabs>
        <w:ind w:left="5040" w:hanging="360"/>
      </w:pPr>
      <w:rPr>
        <w:rFonts w:ascii="Arial" w:hAnsi="Arial" w:hint="default"/>
      </w:rPr>
    </w:lvl>
    <w:lvl w:ilvl="7" w:tplc="9D10E302" w:tentative="1">
      <w:start w:val="1"/>
      <w:numFmt w:val="bullet"/>
      <w:lvlText w:val="•"/>
      <w:lvlJc w:val="left"/>
      <w:pPr>
        <w:tabs>
          <w:tab w:val="num" w:pos="5760"/>
        </w:tabs>
        <w:ind w:left="5760" w:hanging="360"/>
      </w:pPr>
      <w:rPr>
        <w:rFonts w:ascii="Arial" w:hAnsi="Arial" w:hint="default"/>
      </w:rPr>
    </w:lvl>
    <w:lvl w:ilvl="8" w:tplc="4998ABA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A8F266F"/>
    <w:multiLevelType w:val="hybridMultilevel"/>
    <w:tmpl w:val="75EC75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BFA76FE"/>
    <w:multiLevelType w:val="hybridMultilevel"/>
    <w:tmpl w:val="9362A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6C1ADB"/>
    <w:multiLevelType w:val="hybridMultilevel"/>
    <w:tmpl w:val="F816FDA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903E0E"/>
    <w:multiLevelType w:val="hybridMultilevel"/>
    <w:tmpl w:val="8250DC00"/>
    <w:lvl w:ilvl="0" w:tplc="A790E638">
      <w:start w:val="2"/>
      <w:numFmt w:val="decimal"/>
      <w:lvlText w:val="%1."/>
      <w:lvlJc w:val="left"/>
      <w:pPr>
        <w:ind w:left="360" w:hanging="360"/>
      </w:pPr>
      <w:rPr>
        <w:rFonts w:cstheme="minorHAnsi"/>
        <w:i/>
        <w:color w:val="00000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5"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25D4F9E"/>
    <w:multiLevelType w:val="hybridMultilevel"/>
    <w:tmpl w:val="2EBC5F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7340AA8"/>
    <w:multiLevelType w:val="hybridMultilevel"/>
    <w:tmpl w:val="15BAC8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1017610"/>
    <w:multiLevelType w:val="hybridMultilevel"/>
    <w:tmpl w:val="2DF4444A"/>
    <w:lvl w:ilvl="0" w:tplc="0C090001">
      <w:start w:val="1"/>
      <w:numFmt w:val="bullet"/>
      <w:lvlText w:val=""/>
      <w:lvlJc w:val="left"/>
      <w:pPr>
        <w:ind w:left="720" w:hanging="360"/>
      </w:pPr>
      <w:rPr>
        <w:rFonts w:ascii="Symbol" w:hAnsi="Symbol" w:hint="default"/>
      </w:rPr>
    </w:lvl>
    <w:lvl w:ilvl="1" w:tplc="1FD8E7DE">
      <w:numFmt w:val="bullet"/>
      <w:lvlText w:val="•"/>
      <w:lvlJc w:val="left"/>
      <w:pPr>
        <w:ind w:left="1440" w:hanging="360"/>
      </w:pPr>
      <w:rPr>
        <w:rFonts w:ascii="Arial Narrow" w:eastAsia="Times New Roman" w:hAnsi="Arial Narro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2376C72"/>
    <w:multiLevelType w:val="hybridMultilevel"/>
    <w:tmpl w:val="24264656"/>
    <w:lvl w:ilvl="0" w:tplc="0C090001">
      <w:start w:val="1"/>
      <w:numFmt w:val="bullet"/>
      <w:lvlText w:val=""/>
      <w:lvlJc w:val="left"/>
      <w:pPr>
        <w:ind w:left="1353"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8D67A6"/>
    <w:multiLevelType w:val="hybridMultilevel"/>
    <w:tmpl w:val="51CA1480"/>
    <w:lvl w:ilvl="0" w:tplc="04090001">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020C1A"/>
    <w:multiLevelType w:val="hybridMultilevel"/>
    <w:tmpl w:val="C33C6146"/>
    <w:lvl w:ilvl="0" w:tplc="0C09001B">
      <w:start w:val="1"/>
      <w:numFmt w:val="lowerRoman"/>
      <w:lvlText w:val="%1."/>
      <w:lvlJc w:val="right"/>
      <w:pPr>
        <w:ind w:left="829" w:hanging="360"/>
      </w:pPr>
      <w:rPr>
        <w:i/>
        <w:color w:val="auto"/>
      </w:rPr>
    </w:lvl>
    <w:lvl w:ilvl="1" w:tplc="0C090019">
      <w:start w:val="1"/>
      <w:numFmt w:val="lowerLetter"/>
      <w:lvlText w:val="%2."/>
      <w:lvlJc w:val="left"/>
      <w:pPr>
        <w:ind w:left="1549" w:hanging="360"/>
      </w:pPr>
    </w:lvl>
    <w:lvl w:ilvl="2" w:tplc="0C09001B">
      <w:start w:val="1"/>
      <w:numFmt w:val="lowerRoman"/>
      <w:lvlText w:val="%3."/>
      <w:lvlJc w:val="right"/>
      <w:pPr>
        <w:ind w:left="2269" w:hanging="180"/>
      </w:pPr>
    </w:lvl>
    <w:lvl w:ilvl="3" w:tplc="0C09000F">
      <w:start w:val="1"/>
      <w:numFmt w:val="decimal"/>
      <w:lvlText w:val="%4."/>
      <w:lvlJc w:val="left"/>
      <w:pPr>
        <w:ind w:left="2989" w:hanging="360"/>
      </w:pPr>
    </w:lvl>
    <w:lvl w:ilvl="4" w:tplc="0C090019">
      <w:start w:val="1"/>
      <w:numFmt w:val="lowerLetter"/>
      <w:lvlText w:val="%5."/>
      <w:lvlJc w:val="left"/>
      <w:pPr>
        <w:ind w:left="3709" w:hanging="360"/>
      </w:pPr>
    </w:lvl>
    <w:lvl w:ilvl="5" w:tplc="0C09001B">
      <w:start w:val="1"/>
      <w:numFmt w:val="lowerRoman"/>
      <w:lvlText w:val="%6."/>
      <w:lvlJc w:val="right"/>
      <w:pPr>
        <w:ind w:left="4429" w:hanging="180"/>
      </w:pPr>
    </w:lvl>
    <w:lvl w:ilvl="6" w:tplc="0C09000F">
      <w:start w:val="1"/>
      <w:numFmt w:val="decimal"/>
      <w:lvlText w:val="%7."/>
      <w:lvlJc w:val="left"/>
      <w:pPr>
        <w:ind w:left="5149" w:hanging="360"/>
      </w:pPr>
    </w:lvl>
    <w:lvl w:ilvl="7" w:tplc="0C090019">
      <w:start w:val="1"/>
      <w:numFmt w:val="lowerLetter"/>
      <w:lvlText w:val="%8."/>
      <w:lvlJc w:val="left"/>
      <w:pPr>
        <w:ind w:left="5869" w:hanging="360"/>
      </w:pPr>
    </w:lvl>
    <w:lvl w:ilvl="8" w:tplc="0C09001B">
      <w:start w:val="1"/>
      <w:numFmt w:val="lowerRoman"/>
      <w:lvlText w:val="%9."/>
      <w:lvlJc w:val="right"/>
      <w:pPr>
        <w:ind w:left="6589" w:hanging="180"/>
      </w:pPr>
    </w:lvl>
  </w:abstractNum>
  <w:abstractNum w:abstractNumId="23" w15:restartNumberingAfterBreak="0">
    <w:nsid w:val="4A9E4761"/>
    <w:multiLevelType w:val="hybridMultilevel"/>
    <w:tmpl w:val="50A422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D5A422D"/>
    <w:multiLevelType w:val="hybridMultilevel"/>
    <w:tmpl w:val="7E2614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0B6241A"/>
    <w:multiLevelType w:val="hybridMultilevel"/>
    <w:tmpl w:val="4210E62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A76300F"/>
    <w:multiLevelType w:val="hybridMultilevel"/>
    <w:tmpl w:val="66D45F42"/>
    <w:lvl w:ilvl="0" w:tplc="0246780A">
      <w:start w:val="1"/>
      <w:numFmt w:val="bullet"/>
      <w:lvlText w:val=""/>
      <w:lvlJc w:val="left"/>
      <w:pPr>
        <w:tabs>
          <w:tab w:val="num" w:pos="357"/>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pStyle w:val="ListBulletlvl3"/>
      <w:lvlText w:val=""/>
      <w:lvlJc w:val="left"/>
      <w:pPr>
        <w:ind w:left="2160" w:hanging="360"/>
      </w:pPr>
      <w:rPr>
        <w:rFonts w:ascii="Wingdings" w:hAnsi="Wingdings" w:hint="default"/>
      </w:rPr>
    </w:lvl>
    <w:lvl w:ilvl="3" w:tplc="04090001">
      <w:start w:val="1"/>
      <w:numFmt w:val="bullet"/>
      <w:pStyle w:val="ListBulletlvl4"/>
      <w:lvlText w:val=""/>
      <w:lvlJc w:val="left"/>
      <w:pPr>
        <w:ind w:left="2880" w:hanging="360"/>
      </w:pPr>
      <w:rPr>
        <w:rFonts w:ascii="Symbol" w:hAnsi="Symbol" w:hint="default"/>
      </w:rPr>
    </w:lvl>
    <w:lvl w:ilvl="4" w:tplc="04090003">
      <w:start w:val="1"/>
      <w:numFmt w:val="bullet"/>
      <w:pStyle w:val="ListBulletlvl5"/>
      <w:lvlText w:val="o"/>
      <w:lvlJc w:val="left"/>
      <w:pPr>
        <w:ind w:left="3600" w:hanging="360"/>
      </w:pPr>
      <w:rPr>
        <w:rFonts w:ascii="Courier New" w:hAnsi="Courier New" w:hint="default"/>
      </w:rPr>
    </w:lvl>
    <w:lvl w:ilvl="5" w:tplc="04090005">
      <w:start w:val="1"/>
      <w:numFmt w:val="bullet"/>
      <w:pStyle w:val="ListBulletlvl6"/>
      <w:lvlText w:val=""/>
      <w:lvlJc w:val="left"/>
      <w:pPr>
        <w:ind w:left="4320" w:hanging="360"/>
      </w:pPr>
      <w:rPr>
        <w:rFonts w:ascii="Wingdings" w:hAnsi="Wingdings" w:hint="default"/>
      </w:rPr>
    </w:lvl>
    <w:lvl w:ilvl="6" w:tplc="04090001">
      <w:start w:val="1"/>
      <w:numFmt w:val="bullet"/>
      <w:pStyle w:val="ListBulletlvl7"/>
      <w:lvlText w:val=""/>
      <w:lvlJc w:val="left"/>
      <w:pPr>
        <w:ind w:left="5040" w:hanging="360"/>
      </w:pPr>
      <w:rPr>
        <w:rFonts w:ascii="Symbol" w:hAnsi="Symbol" w:hint="default"/>
      </w:rPr>
    </w:lvl>
    <w:lvl w:ilvl="7" w:tplc="04090003">
      <w:start w:val="1"/>
      <w:numFmt w:val="bullet"/>
      <w:pStyle w:val="ListBulletlvl8"/>
      <w:lvlText w:val="o"/>
      <w:lvlJc w:val="left"/>
      <w:pPr>
        <w:ind w:left="5760" w:hanging="360"/>
      </w:pPr>
      <w:rPr>
        <w:rFonts w:ascii="Courier New" w:hAnsi="Courier New" w:hint="default"/>
      </w:rPr>
    </w:lvl>
    <w:lvl w:ilvl="8" w:tplc="04090005">
      <w:start w:val="1"/>
      <w:numFmt w:val="bullet"/>
      <w:pStyle w:val="ListBulletlvl9"/>
      <w:lvlText w:val=""/>
      <w:lvlJc w:val="left"/>
      <w:pPr>
        <w:ind w:left="6480" w:hanging="360"/>
      </w:pPr>
      <w:rPr>
        <w:rFonts w:ascii="Wingdings" w:hAnsi="Wingdings" w:hint="default"/>
      </w:rPr>
    </w:lvl>
  </w:abstractNum>
  <w:abstractNum w:abstractNumId="28" w15:restartNumberingAfterBreak="0">
    <w:nsid w:val="5DA425F1"/>
    <w:multiLevelType w:val="hybridMultilevel"/>
    <w:tmpl w:val="DC9E3344"/>
    <w:lvl w:ilvl="0" w:tplc="571AE6F2">
      <w:start w:val="1"/>
      <w:numFmt w:val="bullet"/>
      <w:pStyle w:val="TableNotesLas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DC77455"/>
    <w:multiLevelType w:val="hybridMultilevel"/>
    <w:tmpl w:val="60FE5A66"/>
    <w:lvl w:ilvl="0" w:tplc="5F12C5F0">
      <w:start w:val="1"/>
      <w:numFmt w:val="bullet"/>
      <w:lvlText w:val="•"/>
      <w:lvlJc w:val="left"/>
      <w:pPr>
        <w:tabs>
          <w:tab w:val="num" w:pos="720"/>
        </w:tabs>
        <w:ind w:left="720" w:hanging="360"/>
      </w:pPr>
      <w:rPr>
        <w:rFonts w:ascii="Arial" w:hAnsi="Arial" w:hint="default"/>
      </w:rPr>
    </w:lvl>
    <w:lvl w:ilvl="1" w:tplc="33D26868" w:tentative="1">
      <w:start w:val="1"/>
      <w:numFmt w:val="bullet"/>
      <w:lvlText w:val="•"/>
      <w:lvlJc w:val="left"/>
      <w:pPr>
        <w:tabs>
          <w:tab w:val="num" w:pos="1440"/>
        </w:tabs>
        <w:ind w:left="1440" w:hanging="360"/>
      </w:pPr>
      <w:rPr>
        <w:rFonts w:ascii="Arial" w:hAnsi="Arial" w:hint="default"/>
      </w:rPr>
    </w:lvl>
    <w:lvl w:ilvl="2" w:tplc="DE089110" w:tentative="1">
      <w:start w:val="1"/>
      <w:numFmt w:val="bullet"/>
      <w:lvlText w:val="•"/>
      <w:lvlJc w:val="left"/>
      <w:pPr>
        <w:tabs>
          <w:tab w:val="num" w:pos="2160"/>
        </w:tabs>
        <w:ind w:left="2160" w:hanging="360"/>
      </w:pPr>
      <w:rPr>
        <w:rFonts w:ascii="Arial" w:hAnsi="Arial" w:hint="default"/>
      </w:rPr>
    </w:lvl>
    <w:lvl w:ilvl="3" w:tplc="B398432C" w:tentative="1">
      <w:start w:val="1"/>
      <w:numFmt w:val="bullet"/>
      <w:lvlText w:val="•"/>
      <w:lvlJc w:val="left"/>
      <w:pPr>
        <w:tabs>
          <w:tab w:val="num" w:pos="2880"/>
        </w:tabs>
        <w:ind w:left="2880" w:hanging="360"/>
      </w:pPr>
      <w:rPr>
        <w:rFonts w:ascii="Arial" w:hAnsi="Arial" w:hint="default"/>
      </w:rPr>
    </w:lvl>
    <w:lvl w:ilvl="4" w:tplc="4A225882" w:tentative="1">
      <w:start w:val="1"/>
      <w:numFmt w:val="bullet"/>
      <w:lvlText w:val="•"/>
      <w:lvlJc w:val="left"/>
      <w:pPr>
        <w:tabs>
          <w:tab w:val="num" w:pos="3600"/>
        </w:tabs>
        <w:ind w:left="3600" w:hanging="360"/>
      </w:pPr>
      <w:rPr>
        <w:rFonts w:ascii="Arial" w:hAnsi="Arial" w:hint="default"/>
      </w:rPr>
    </w:lvl>
    <w:lvl w:ilvl="5" w:tplc="D2E6744A" w:tentative="1">
      <w:start w:val="1"/>
      <w:numFmt w:val="bullet"/>
      <w:lvlText w:val="•"/>
      <w:lvlJc w:val="left"/>
      <w:pPr>
        <w:tabs>
          <w:tab w:val="num" w:pos="4320"/>
        </w:tabs>
        <w:ind w:left="4320" w:hanging="360"/>
      </w:pPr>
      <w:rPr>
        <w:rFonts w:ascii="Arial" w:hAnsi="Arial" w:hint="default"/>
      </w:rPr>
    </w:lvl>
    <w:lvl w:ilvl="6" w:tplc="C09EE804" w:tentative="1">
      <w:start w:val="1"/>
      <w:numFmt w:val="bullet"/>
      <w:lvlText w:val="•"/>
      <w:lvlJc w:val="left"/>
      <w:pPr>
        <w:tabs>
          <w:tab w:val="num" w:pos="5040"/>
        </w:tabs>
        <w:ind w:left="5040" w:hanging="360"/>
      </w:pPr>
      <w:rPr>
        <w:rFonts w:ascii="Arial" w:hAnsi="Arial" w:hint="default"/>
      </w:rPr>
    </w:lvl>
    <w:lvl w:ilvl="7" w:tplc="645EC8FA" w:tentative="1">
      <w:start w:val="1"/>
      <w:numFmt w:val="bullet"/>
      <w:lvlText w:val="•"/>
      <w:lvlJc w:val="left"/>
      <w:pPr>
        <w:tabs>
          <w:tab w:val="num" w:pos="5760"/>
        </w:tabs>
        <w:ind w:left="5760" w:hanging="360"/>
      </w:pPr>
      <w:rPr>
        <w:rFonts w:ascii="Arial" w:hAnsi="Arial" w:hint="default"/>
      </w:rPr>
    </w:lvl>
    <w:lvl w:ilvl="8" w:tplc="C4FEFEF2"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1" w15:restartNumberingAfterBreak="0">
    <w:nsid w:val="60224A9C"/>
    <w:multiLevelType w:val="multilevel"/>
    <w:tmpl w:val="F8B26D50"/>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AF22442"/>
    <w:multiLevelType w:val="hybridMultilevel"/>
    <w:tmpl w:val="9BA0DDBE"/>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1">
      <w:start w:val="1"/>
      <w:numFmt w:val="bullet"/>
      <w:lvlText w:val=""/>
      <w:lvlJc w:val="left"/>
      <w:pPr>
        <w:ind w:left="1800" w:hanging="360"/>
      </w:pPr>
      <w:rPr>
        <w:rFonts w:ascii="Symbol" w:hAnsi="Symbol"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CF1353C"/>
    <w:multiLevelType w:val="hybridMultilevel"/>
    <w:tmpl w:val="6A56C588"/>
    <w:lvl w:ilvl="0" w:tplc="082282E4">
      <w:start w:val="1"/>
      <w:numFmt w:val="decimal"/>
      <w:lvlText w:val="%1."/>
      <w:lvlJc w:val="left"/>
      <w:pPr>
        <w:ind w:left="360" w:hanging="360"/>
      </w:pPr>
      <w:rPr>
        <w:rFonts w:hint="default"/>
      </w:rPr>
    </w:lvl>
    <w:lvl w:ilvl="1" w:tplc="3A2880FA">
      <w:start w:val="1"/>
      <w:numFmt w:val="lowerLetter"/>
      <w:pStyle w:val="ListNumberedlvl2"/>
      <w:lvlText w:val="%2."/>
      <w:lvlJc w:val="left"/>
      <w:pPr>
        <w:ind w:left="1080" w:hanging="360"/>
      </w:pPr>
    </w:lvl>
    <w:lvl w:ilvl="2" w:tplc="37844A7E">
      <w:start w:val="1"/>
      <w:numFmt w:val="lowerRoman"/>
      <w:pStyle w:val="ListNumberedlvl3"/>
      <w:lvlText w:val="%3."/>
      <w:lvlJc w:val="right"/>
      <w:pPr>
        <w:ind w:left="1800" w:hanging="180"/>
      </w:pPr>
    </w:lvl>
    <w:lvl w:ilvl="3" w:tplc="87264702">
      <w:start w:val="1"/>
      <w:numFmt w:val="decimal"/>
      <w:pStyle w:val="ListNumberedlvl4"/>
      <w:lvlText w:val="%4."/>
      <w:lvlJc w:val="left"/>
      <w:pPr>
        <w:ind w:left="2520" w:hanging="360"/>
      </w:pPr>
    </w:lvl>
    <w:lvl w:ilvl="4" w:tplc="C7DE4C48">
      <w:start w:val="1"/>
      <w:numFmt w:val="lowerLetter"/>
      <w:pStyle w:val="ListNumberedlvl5"/>
      <w:lvlText w:val="%5."/>
      <w:lvlJc w:val="left"/>
      <w:pPr>
        <w:ind w:left="3240" w:hanging="360"/>
      </w:pPr>
    </w:lvl>
    <w:lvl w:ilvl="5" w:tplc="571AF820">
      <w:start w:val="1"/>
      <w:numFmt w:val="lowerRoman"/>
      <w:pStyle w:val="ListNumberedlvl6"/>
      <w:lvlText w:val="%6."/>
      <w:lvlJc w:val="right"/>
      <w:pPr>
        <w:ind w:left="3960" w:hanging="180"/>
      </w:pPr>
    </w:lvl>
    <w:lvl w:ilvl="6" w:tplc="E7568C1E">
      <w:start w:val="1"/>
      <w:numFmt w:val="decimal"/>
      <w:pStyle w:val="ListNumberedlvl7"/>
      <w:lvlText w:val="%7."/>
      <w:lvlJc w:val="left"/>
      <w:pPr>
        <w:ind w:left="4680" w:hanging="360"/>
      </w:pPr>
    </w:lvl>
    <w:lvl w:ilvl="7" w:tplc="CF44FDAA">
      <w:start w:val="1"/>
      <w:numFmt w:val="lowerLetter"/>
      <w:pStyle w:val="ListNumberedlvl8"/>
      <w:lvlText w:val="%8."/>
      <w:lvlJc w:val="left"/>
      <w:pPr>
        <w:ind w:left="5400" w:hanging="360"/>
      </w:pPr>
    </w:lvl>
    <w:lvl w:ilvl="8" w:tplc="B8BA5F62">
      <w:start w:val="1"/>
      <w:numFmt w:val="lowerRoman"/>
      <w:pStyle w:val="ListNumberedlvl9"/>
      <w:lvlText w:val="%9."/>
      <w:lvlJc w:val="right"/>
      <w:pPr>
        <w:ind w:left="6120" w:hanging="180"/>
      </w:pPr>
    </w:lvl>
  </w:abstractNum>
  <w:abstractNum w:abstractNumId="34"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84D033C"/>
    <w:multiLevelType w:val="multilevel"/>
    <w:tmpl w:val="67269FFA"/>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35"/>
  </w:num>
  <w:num w:numId="2">
    <w:abstractNumId w:val="20"/>
  </w:num>
  <w:num w:numId="3">
    <w:abstractNumId w:val="21"/>
  </w:num>
  <w:num w:numId="4">
    <w:abstractNumId w:val="35"/>
  </w:num>
  <w:num w:numId="5">
    <w:abstractNumId w:val="18"/>
  </w:num>
  <w:num w:numId="6">
    <w:abstractNumId w:val="9"/>
  </w:num>
  <w:num w:numId="7">
    <w:abstractNumId w:val="28"/>
  </w:num>
  <w:num w:numId="8">
    <w:abstractNumId w:val="5"/>
  </w:num>
  <w:num w:numId="9">
    <w:abstractNumId w:val="33"/>
  </w:num>
  <w:num w:numId="10">
    <w:abstractNumId w:val="6"/>
  </w:num>
  <w:num w:numId="11">
    <w:abstractNumId w:val="27"/>
  </w:num>
  <w:num w:numId="12">
    <w:abstractNumId w:val="23"/>
  </w:num>
  <w:num w:numId="13">
    <w:abstractNumId w:val="24"/>
  </w:num>
  <w:num w:numId="14">
    <w:abstractNumId w:val="19"/>
  </w:num>
  <w:num w:numId="15">
    <w:abstractNumId w:val="10"/>
  </w:num>
  <w:num w:numId="16">
    <w:abstractNumId w:val="31"/>
  </w:num>
  <w:num w:numId="17">
    <w:abstractNumId w:val="4"/>
  </w:num>
  <w:num w:numId="18">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num>
  <w:num w:numId="21">
    <w:abstractNumId w:val="16"/>
  </w:num>
  <w:num w:numId="22">
    <w:abstractNumId w:val="7"/>
  </w:num>
  <w:num w:numId="23">
    <w:abstractNumId w:val="25"/>
  </w:num>
  <w:num w:numId="24">
    <w:abstractNumId w:val="17"/>
  </w:num>
  <w:num w:numId="25">
    <w:abstractNumId w:val="2"/>
  </w:num>
  <w:num w:numId="26">
    <w:abstractNumId w:val="26"/>
  </w:num>
  <w:num w:numId="27">
    <w:abstractNumId w:val="3"/>
  </w:num>
  <w:num w:numId="28">
    <w:abstractNumId w:val="1"/>
  </w:num>
  <w:num w:numId="29">
    <w:abstractNumId w:val="13"/>
  </w:num>
  <w:num w:numId="30">
    <w:abstractNumId w:val="15"/>
  </w:num>
  <w:num w:numId="31">
    <w:abstractNumId w:val="12"/>
  </w:num>
  <w:num w:numId="32">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num>
  <w:num w:numId="34">
    <w:abstractNumId w:val="11"/>
  </w:num>
  <w:num w:numId="35">
    <w:abstractNumId w:val="29"/>
  </w:num>
  <w:num w:numId="36">
    <w:abstractNumId w:val="8"/>
  </w:num>
  <w:num w:numId="37">
    <w:abstractNumId w:val="0"/>
  </w:num>
  <w:num w:numId="38">
    <w:abstractNumId w:val="35"/>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removePersonalInformation/>
  <w:removeDateAndTime/>
  <w:hideSpellingErrors/>
  <w:activeWritingStyle w:appName="MSWord" w:lang="es-CL" w:vendorID="64" w:dllVersion="6" w:nlCheck="1" w:checkStyle="0"/>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IN" w:vendorID="64" w:dllVersion="6" w:nlCheck="1" w:checkStyle="1"/>
  <w:activeWritingStyle w:appName="MSWord" w:lang="en-AU" w:vendorID="64" w:dllVersion="0" w:nlCheck="1" w:checkStyle="0"/>
  <w:activeWritingStyle w:appName="MSWord" w:lang="en-US" w:vendorID="64" w:dllVersion="0" w:nlCheck="1" w:checkStyle="0"/>
  <w:activeWritingStyle w:appName="MSWord" w:lang="es-CL" w:vendorID="64" w:dllVersion="0" w:nlCheck="1" w:checkStyle="0"/>
  <w:activeWritingStyle w:appName="MSWord" w:lang="en-GB" w:vendorID="64" w:dllVersion="0" w:nlCheck="1" w:checkStyle="0"/>
  <w:activeWritingStyle w:appName="MSWord" w:lang="en-IN" w:vendorID="64" w:dllVersion="0" w:nlCheck="1" w:checkStyle="0"/>
  <w:activeWritingStyle w:appName="MSWord" w:lang="en-AU" w:vendorID="64" w:dllVersion="4096" w:nlCheck="1" w:checkStyle="0"/>
  <w:activeWritingStyle w:appName="MSWord" w:lang="en-US" w:vendorID="64" w:dllVersion="4096" w:nlCheck="1" w:checkStyle="0"/>
  <w:activeWritingStyle w:appName="MSWord" w:lang="es-CL" w:vendorID="64" w:dllVersion="4096" w:nlCheck="1" w:checkStyle="0"/>
  <w:activeWritingStyle w:appName="MSWord" w:lang="en-GB" w:vendorID="64" w:dllVersion="4096" w:nlCheck="1" w:checkStyle="0"/>
  <w:activeWritingStyle w:appName="MSWord" w:lang="en-IN" w:vendorID="64" w:dllVersion="4096" w:nlCheck="1" w:checkStyle="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1454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DC1MDMwMzcwMTQwsjRX0lEKTi0uzszPAykwqgUAr7v9ZiwAAAA="/>
  </w:docVars>
  <w:rsids>
    <w:rsidRoot w:val="00E65E79"/>
    <w:rsid w:val="00000264"/>
    <w:rsid w:val="00000790"/>
    <w:rsid w:val="0000110B"/>
    <w:rsid w:val="000013DE"/>
    <w:rsid w:val="000013F7"/>
    <w:rsid w:val="00002204"/>
    <w:rsid w:val="000024B7"/>
    <w:rsid w:val="00002582"/>
    <w:rsid w:val="00002999"/>
    <w:rsid w:val="00002D8D"/>
    <w:rsid w:val="0000320C"/>
    <w:rsid w:val="00003499"/>
    <w:rsid w:val="000039B7"/>
    <w:rsid w:val="00003B05"/>
    <w:rsid w:val="00003D18"/>
    <w:rsid w:val="00003EC0"/>
    <w:rsid w:val="00003F81"/>
    <w:rsid w:val="000046F1"/>
    <w:rsid w:val="00004B3C"/>
    <w:rsid w:val="00005358"/>
    <w:rsid w:val="00005563"/>
    <w:rsid w:val="0000592E"/>
    <w:rsid w:val="00005F9B"/>
    <w:rsid w:val="0000639A"/>
    <w:rsid w:val="00006466"/>
    <w:rsid w:val="000064A9"/>
    <w:rsid w:val="0000688A"/>
    <w:rsid w:val="00006A14"/>
    <w:rsid w:val="00006FCA"/>
    <w:rsid w:val="00007445"/>
    <w:rsid w:val="0000758E"/>
    <w:rsid w:val="00007628"/>
    <w:rsid w:val="00010205"/>
    <w:rsid w:val="000109BC"/>
    <w:rsid w:val="00010C29"/>
    <w:rsid w:val="00010C7F"/>
    <w:rsid w:val="00011837"/>
    <w:rsid w:val="00012162"/>
    <w:rsid w:val="0001232C"/>
    <w:rsid w:val="00012342"/>
    <w:rsid w:val="00012944"/>
    <w:rsid w:val="00012EE8"/>
    <w:rsid w:val="00013247"/>
    <w:rsid w:val="0001393C"/>
    <w:rsid w:val="00013EDA"/>
    <w:rsid w:val="00014E1B"/>
    <w:rsid w:val="000157A2"/>
    <w:rsid w:val="00015886"/>
    <w:rsid w:val="00015A82"/>
    <w:rsid w:val="00015C18"/>
    <w:rsid w:val="00015E51"/>
    <w:rsid w:val="000162EF"/>
    <w:rsid w:val="000167BA"/>
    <w:rsid w:val="0001686F"/>
    <w:rsid w:val="0001692D"/>
    <w:rsid w:val="00016BF1"/>
    <w:rsid w:val="00017447"/>
    <w:rsid w:val="000176B4"/>
    <w:rsid w:val="00020406"/>
    <w:rsid w:val="00020502"/>
    <w:rsid w:val="000207C9"/>
    <w:rsid w:val="00020BE8"/>
    <w:rsid w:val="00020C61"/>
    <w:rsid w:val="00020D12"/>
    <w:rsid w:val="00020D53"/>
    <w:rsid w:val="0002135D"/>
    <w:rsid w:val="00021604"/>
    <w:rsid w:val="00021905"/>
    <w:rsid w:val="00021AE2"/>
    <w:rsid w:val="00021B0F"/>
    <w:rsid w:val="0002206D"/>
    <w:rsid w:val="000220A2"/>
    <w:rsid w:val="00022136"/>
    <w:rsid w:val="0002225F"/>
    <w:rsid w:val="0002275A"/>
    <w:rsid w:val="00022D68"/>
    <w:rsid w:val="00023763"/>
    <w:rsid w:val="0002399B"/>
    <w:rsid w:val="00023B1C"/>
    <w:rsid w:val="00023CB8"/>
    <w:rsid w:val="000241AF"/>
    <w:rsid w:val="00024381"/>
    <w:rsid w:val="00024558"/>
    <w:rsid w:val="0002459F"/>
    <w:rsid w:val="000248AF"/>
    <w:rsid w:val="00024AF9"/>
    <w:rsid w:val="00024EC6"/>
    <w:rsid w:val="000251DC"/>
    <w:rsid w:val="00025262"/>
    <w:rsid w:val="000263C7"/>
    <w:rsid w:val="00026DD7"/>
    <w:rsid w:val="00026E0D"/>
    <w:rsid w:val="000270B1"/>
    <w:rsid w:val="000274B8"/>
    <w:rsid w:val="00027597"/>
    <w:rsid w:val="000276CF"/>
    <w:rsid w:val="000279C2"/>
    <w:rsid w:val="00027A21"/>
    <w:rsid w:val="00027DC9"/>
    <w:rsid w:val="00027FCB"/>
    <w:rsid w:val="00030427"/>
    <w:rsid w:val="00030754"/>
    <w:rsid w:val="00030EFF"/>
    <w:rsid w:val="00031006"/>
    <w:rsid w:val="000313D4"/>
    <w:rsid w:val="0003189D"/>
    <w:rsid w:val="00031C5F"/>
    <w:rsid w:val="00031E8F"/>
    <w:rsid w:val="00031EF8"/>
    <w:rsid w:val="0003245B"/>
    <w:rsid w:val="000324D0"/>
    <w:rsid w:val="0003269C"/>
    <w:rsid w:val="0003371F"/>
    <w:rsid w:val="00033863"/>
    <w:rsid w:val="000339FF"/>
    <w:rsid w:val="00033B25"/>
    <w:rsid w:val="00033FC1"/>
    <w:rsid w:val="000342F9"/>
    <w:rsid w:val="0003446A"/>
    <w:rsid w:val="00034559"/>
    <w:rsid w:val="00034590"/>
    <w:rsid w:val="00034597"/>
    <w:rsid w:val="0003462A"/>
    <w:rsid w:val="00034768"/>
    <w:rsid w:val="000348B1"/>
    <w:rsid w:val="00034DD4"/>
    <w:rsid w:val="00035C4C"/>
    <w:rsid w:val="00035DC0"/>
    <w:rsid w:val="00035E8B"/>
    <w:rsid w:val="000361AB"/>
    <w:rsid w:val="00036326"/>
    <w:rsid w:val="00036519"/>
    <w:rsid w:val="00036666"/>
    <w:rsid w:val="00036829"/>
    <w:rsid w:val="00036A33"/>
    <w:rsid w:val="000371DD"/>
    <w:rsid w:val="00037A0E"/>
    <w:rsid w:val="00037A3D"/>
    <w:rsid w:val="00037BA8"/>
    <w:rsid w:val="00037CAD"/>
    <w:rsid w:val="00037D32"/>
    <w:rsid w:val="00040895"/>
    <w:rsid w:val="00040BC4"/>
    <w:rsid w:val="00040BC7"/>
    <w:rsid w:val="00041695"/>
    <w:rsid w:val="000416A0"/>
    <w:rsid w:val="000418E1"/>
    <w:rsid w:val="00041F0D"/>
    <w:rsid w:val="00042010"/>
    <w:rsid w:val="00042C84"/>
    <w:rsid w:val="00042DD2"/>
    <w:rsid w:val="00042E9A"/>
    <w:rsid w:val="00043347"/>
    <w:rsid w:val="0004347A"/>
    <w:rsid w:val="0004354F"/>
    <w:rsid w:val="000435EE"/>
    <w:rsid w:val="00043654"/>
    <w:rsid w:val="00043699"/>
    <w:rsid w:val="00043987"/>
    <w:rsid w:val="00043C37"/>
    <w:rsid w:val="00043F4D"/>
    <w:rsid w:val="0004425F"/>
    <w:rsid w:val="00044283"/>
    <w:rsid w:val="00044379"/>
    <w:rsid w:val="00044565"/>
    <w:rsid w:val="00044885"/>
    <w:rsid w:val="00044D2D"/>
    <w:rsid w:val="00044D43"/>
    <w:rsid w:val="00045017"/>
    <w:rsid w:val="000450A8"/>
    <w:rsid w:val="0004515E"/>
    <w:rsid w:val="00045A2B"/>
    <w:rsid w:val="00045A9E"/>
    <w:rsid w:val="00045D3A"/>
    <w:rsid w:val="0004604C"/>
    <w:rsid w:val="000464ED"/>
    <w:rsid w:val="0004698F"/>
    <w:rsid w:val="00046BFA"/>
    <w:rsid w:val="00046C21"/>
    <w:rsid w:val="000476BC"/>
    <w:rsid w:val="000478B7"/>
    <w:rsid w:val="000478D6"/>
    <w:rsid w:val="0005108B"/>
    <w:rsid w:val="00051813"/>
    <w:rsid w:val="00051DF6"/>
    <w:rsid w:val="00052032"/>
    <w:rsid w:val="000520C3"/>
    <w:rsid w:val="00052581"/>
    <w:rsid w:val="000527A3"/>
    <w:rsid w:val="00052B37"/>
    <w:rsid w:val="000530A4"/>
    <w:rsid w:val="00053581"/>
    <w:rsid w:val="0005382D"/>
    <w:rsid w:val="000539D0"/>
    <w:rsid w:val="00053BB4"/>
    <w:rsid w:val="00053C8F"/>
    <w:rsid w:val="00054621"/>
    <w:rsid w:val="000546D7"/>
    <w:rsid w:val="00054BC1"/>
    <w:rsid w:val="00055428"/>
    <w:rsid w:val="00055D43"/>
    <w:rsid w:val="00055DC9"/>
    <w:rsid w:val="00055E10"/>
    <w:rsid w:val="00056528"/>
    <w:rsid w:val="00056775"/>
    <w:rsid w:val="00056E99"/>
    <w:rsid w:val="00056ECF"/>
    <w:rsid w:val="00056EFC"/>
    <w:rsid w:val="000570BE"/>
    <w:rsid w:val="000572DD"/>
    <w:rsid w:val="0005733A"/>
    <w:rsid w:val="00057972"/>
    <w:rsid w:val="000579AD"/>
    <w:rsid w:val="00060051"/>
    <w:rsid w:val="000601BD"/>
    <w:rsid w:val="00060354"/>
    <w:rsid w:val="000604DF"/>
    <w:rsid w:val="00060C51"/>
    <w:rsid w:val="000610AD"/>
    <w:rsid w:val="0006118A"/>
    <w:rsid w:val="0006129A"/>
    <w:rsid w:val="00062302"/>
    <w:rsid w:val="0006232B"/>
    <w:rsid w:val="000624CA"/>
    <w:rsid w:val="000624E0"/>
    <w:rsid w:val="000627CA"/>
    <w:rsid w:val="000628C5"/>
    <w:rsid w:val="00063033"/>
    <w:rsid w:val="000642DE"/>
    <w:rsid w:val="00064640"/>
    <w:rsid w:val="00064A45"/>
    <w:rsid w:val="00064B8B"/>
    <w:rsid w:val="000652A2"/>
    <w:rsid w:val="000652B6"/>
    <w:rsid w:val="00065342"/>
    <w:rsid w:val="000653B5"/>
    <w:rsid w:val="000658E8"/>
    <w:rsid w:val="00065BA7"/>
    <w:rsid w:val="00065FBB"/>
    <w:rsid w:val="00066360"/>
    <w:rsid w:val="00066806"/>
    <w:rsid w:val="00066AF8"/>
    <w:rsid w:val="00066C33"/>
    <w:rsid w:val="00066CF0"/>
    <w:rsid w:val="000671CA"/>
    <w:rsid w:val="00067462"/>
    <w:rsid w:val="000675C2"/>
    <w:rsid w:val="00067AA9"/>
    <w:rsid w:val="00070253"/>
    <w:rsid w:val="00070664"/>
    <w:rsid w:val="00071248"/>
    <w:rsid w:val="000712E1"/>
    <w:rsid w:val="00071F10"/>
    <w:rsid w:val="000720B9"/>
    <w:rsid w:val="00072388"/>
    <w:rsid w:val="000727EE"/>
    <w:rsid w:val="00072CEC"/>
    <w:rsid w:val="00072CF7"/>
    <w:rsid w:val="00072F81"/>
    <w:rsid w:val="000737F7"/>
    <w:rsid w:val="000740A6"/>
    <w:rsid w:val="00074C29"/>
    <w:rsid w:val="00074D0C"/>
    <w:rsid w:val="000750CF"/>
    <w:rsid w:val="000752C0"/>
    <w:rsid w:val="0007551A"/>
    <w:rsid w:val="00075B56"/>
    <w:rsid w:val="0007672F"/>
    <w:rsid w:val="00076B54"/>
    <w:rsid w:val="00076EFD"/>
    <w:rsid w:val="00076F03"/>
    <w:rsid w:val="00076FCC"/>
    <w:rsid w:val="000774F0"/>
    <w:rsid w:val="00077B3E"/>
    <w:rsid w:val="00077E58"/>
    <w:rsid w:val="00080725"/>
    <w:rsid w:val="00080909"/>
    <w:rsid w:val="00081208"/>
    <w:rsid w:val="000812AC"/>
    <w:rsid w:val="000812CA"/>
    <w:rsid w:val="00081468"/>
    <w:rsid w:val="00081474"/>
    <w:rsid w:val="00081551"/>
    <w:rsid w:val="000815F2"/>
    <w:rsid w:val="000818F6"/>
    <w:rsid w:val="00081B42"/>
    <w:rsid w:val="00081E63"/>
    <w:rsid w:val="00081FB4"/>
    <w:rsid w:val="00081FBC"/>
    <w:rsid w:val="00082434"/>
    <w:rsid w:val="00082481"/>
    <w:rsid w:val="0008258D"/>
    <w:rsid w:val="00083377"/>
    <w:rsid w:val="00083612"/>
    <w:rsid w:val="000836D7"/>
    <w:rsid w:val="00083E99"/>
    <w:rsid w:val="0008450A"/>
    <w:rsid w:val="00084FA8"/>
    <w:rsid w:val="000856C5"/>
    <w:rsid w:val="0008572C"/>
    <w:rsid w:val="00085736"/>
    <w:rsid w:val="00085C31"/>
    <w:rsid w:val="00085EC2"/>
    <w:rsid w:val="00085F6B"/>
    <w:rsid w:val="00086047"/>
    <w:rsid w:val="00086158"/>
    <w:rsid w:val="00086376"/>
    <w:rsid w:val="00086427"/>
    <w:rsid w:val="000868D0"/>
    <w:rsid w:val="000871CD"/>
    <w:rsid w:val="000875A9"/>
    <w:rsid w:val="00087EBA"/>
    <w:rsid w:val="00090147"/>
    <w:rsid w:val="000902D9"/>
    <w:rsid w:val="000902DE"/>
    <w:rsid w:val="000908CE"/>
    <w:rsid w:val="00090B32"/>
    <w:rsid w:val="00090BDD"/>
    <w:rsid w:val="00090C7E"/>
    <w:rsid w:val="000918E2"/>
    <w:rsid w:val="00091B3C"/>
    <w:rsid w:val="00091C39"/>
    <w:rsid w:val="00091D36"/>
    <w:rsid w:val="00091D6E"/>
    <w:rsid w:val="0009207B"/>
    <w:rsid w:val="000924E0"/>
    <w:rsid w:val="00092600"/>
    <w:rsid w:val="0009262B"/>
    <w:rsid w:val="0009311D"/>
    <w:rsid w:val="00093310"/>
    <w:rsid w:val="00093368"/>
    <w:rsid w:val="00093A60"/>
    <w:rsid w:val="00093A64"/>
    <w:rsid w:val="0009445C"/>
    <w:rsid w:val="00095200"/>
    <w:rsid w:val="0009527C"/>
    <w:rsid w:val="00095327"/>
    <w:rsid w:val="000959CD"/>
    <w:rsid w:val="00095FE5"/>
    <w:rsid w:val="000960C3"/>
    <w:rsid w:val="00096284"/>
    <w:rsid w:val="000965F5"/>
    <w:rsid w:val="000966DC"/>
    <w:rsid w:val="000967EA"/>
    <w:rsid w:val="0009682B"/>
    <w:rsid w:val="00096A96"/>
    <w:rsid w:val="000970FA"/>
    <w:rsid w:val="000973BF"/>
    <w:rsid w:val="000976FD"/>
    <w:rsid w:val="00097829"/>
    <w:rsid w:val="000978D6"/>
    <w:rsid w:val="00097DB2"/>
    <w:rsid w:val="000A0509"/>
    <w:rsid w:val="000A080A"/>
    <w:rsid w:val="000A0CD9"/>
    <w:rsid w:val="000A135F"/>
    <w:rsid w:val="000A1504"/>
    <w:rsid w:val="000A1645"/>
    <w:rsid w:val="000A1BC0"/>
    <w:rsid w:val="000A1C34"/>
    <w:rsid w:val="000A2765"/>
    <w:rsid w:val="000A27D0"/>
    <w:rsid w:val="000A305F"/>
    <w:rsid w:val="000A363B"/>
    <w:rsid w:val="000A397E"/>
    <w:rsid w:val="000A3BC5"/>
    <w:rsid w:val="000A4140"/>
    <w:rsid w:val="000A47E1"/>
    <w:rsid w:val="000A4EAF"/>
    <w:rsid w:val="000A50C9"/>
    <w:rsid w:val="000A5483"/>
    <w:rsid w:val="000A5BF3"/>
    <w:rsid w:val="000A5C8C"/>
    <w:rsid w:val="000A5D4F"/>
    <w:rsid w:val="000A5FA0"/>
    <w:rsid w:val="000A6039"/>
    <w:rsid w:val="000A646B"/>
    <w:rsid w:val="000A6503"/>
    <w:rsid w:val="000A6F91"/>
    <w:rsid w:val="000A702A"/>
    <w:rsid w:val="000A7411"/>
    <w:rsid w:val="000A7453"/>
    <w:rsid w:val="000A76A2"/>
    <w:rsid w:val="000A78E4"/>
    <w:rsid w:val="000A78E7"/>
    <w:rsid w:val="000A7D08"/>
    <w:rsid w:val="000B0121"/>
    <w:rsid w:val="000B02F4"/>
    <w:rsid w:val="000B050D"/>
    <w:rsid w:val="000B0670"/>
    <w:rsid w:val="000B08EC"/>
    <w:rsid w:val="000B0E75"/>
    <w:rsid w:val="000B127B"/>
    <w:rsid w:val="000B1881"/>
    <w:rsid w:val="000B1E70"/>
    <w:rsid w:val="000B2249"/>
    <w:rsid w:val="000B2418"/>
    <w:rsid w:val="000B2555"/>
    <w:rsid w:val="000B261F"/>
    <w:rsid w:val="000B2AA9"/>
    <w:rsid w:val="000B2DCB"/>
    <w:rsid w:val="000B2DCF"/>
    <w:rsid w:val="000B2F02"/>
    <w:rsid w:val="000B3340"/>
    <w:rsid w:val="000B3357"/>
    <w:rsid w:val="000B34C1"/>
    <w:rsid w:val="000B35CF"/>
    <w:rsid w:val="000B3E8F"/>
    <w:rsid w:val="000B3EC4"/>
    <w:rsid w:val="000B43AF"/>
    <w:rsid w:val="000B43D3"/>
    <w:rsid w:val="000B4451"/>
    <w:rsid w:val="000B48A1"/>
    <w:rsid w:val="000B49AA"/>
    <w:rsid w:val="000B4FBC"/>
    <w:rsid w:val="000B5660"/>
    <w:rsid w:val="000B57CC"/>
    <w:rsid w:val="000B59CD"/>
    <w:rsid w:val="000B5AB5"/>
    <w:rsid w:val="000B5C4D"/>
    <w:rsid w:val="000B5CE0"/>
    <w:rsid w:val="000B6356"/>
    <w:rsid w:val="000B6CAC"/>
    <w:rsid w:val="000B72C5"/>
    <w:rsid w:val="000B745D"/>
    <w:rsid w:val="000B7612"/>
    <w:rsid w:val="000B78AE"/>
    <w:rsid w:val="000B7A74"/>
    <w:rsid w:val="000B7C94"/>
    <w:rsid w:val="000B7FF1"/>
    <w:rsid w:val="000C076D"/>
    <w:rsid w:val="000C0DA0"/>
    <w:rsid w:val="000C0E99"/>
    <w:rsid w:val="000C10DB"/>
    <w:rsid w:val="000C11DC"/>
    <w:rsid w:val="000C15B5"/>
    <w:rsid w:val="000C1C30"/>
    <w:rsid w:val="000C237E"/>
    <w:rsid w:val="000C27DA"/>
    <w:rsid w:val="000C2A8E"/>
    <w:rsid w:val="000C2C9A"/>
    <w:rsid w:val="000C2CFA"/>
    <w:rsid w:val="000C314B"/>
    <w:rsid w:val="000C3197"/>
    <w:rsid w:val="000C38ED"/>
    <w:rsid w:val="000C3DF9"/>
    <w:rsid w:val="000C4029"/>
    <w:rsid w:val="000C4393"/>
    <w:rsid w:val="000C43A1"/>
    <w:rsid w:val="000C4749"/>
    <w:rsid w:val="000C4783"/>
    <w:rsid w:val="000C48CD"/>
    <w:rsid w:val="000C4C04"/>
    <w:rsid w:val="000C5072"/>
    <w:rsid w:val="000C51B0"/>
    <w:rsid w:val="000C5775"/>
    <w:rsid w:val="000C589A"/>
    <w:rsid w:val="000C58F6"/>
    <w:rsid w:val="000C61B6"/>
    <w:rsid w:val="000C6713"/>
    <w:rsid w:val="000C698D"/>
    <w:rsid w:val="000C725C"/>
    <w:rsid w:val="000C792B"/>
    <w:rsid w:val="000D0632"/>
    <w:rsid w:val="000D1014"/>
    <w:rsid w:val="000D14CC"/>
    <w:rsid w:val="000D16CF"/>
    <w:rsid w:val="000D17E3"/>
    <w:rsid w:val="000D1A34"/>
    <w:rsid w:val="000D1BFC"/>
    <w:rsid w:val="000D1C0F"/>
    <w:rsid w:val="000D1D5D"/>
    <w:rsid w:val="000D2420"/>
    <w:rsid w:val="000D26FE"/>
    <w:rsid w:val="000D27B1"/>
    <w:rsid w:val="000D280C"/>
    <w:rsid w:val="000D281A"/>
    <w:rsid w:val="000D2848"/>
    <w:rsid w:val="000D2D7F"/>
    <w:rsid w:val="000D326A"/>
    <w:rsid w:val="000D34D0"/>
    <w:rsid w:val="000D36BE"/>
    <w:rsid w:val="000D3F26"/>
    <w:rsid w:val="000D4DB9"/>
    <w:rsid w:val="000D503C"/>
    <w:rsid w:val="000D51A1"/>
    <w:rsid w:val="000D51FB"/>
    <w:rsid w:val="000D56D9"/>
    <w:rsid w:val="000D5810"/>
    <w:rsid w:val="000D5C44"/>
    <w:rsid w:val="000D62A6"/>
    <w:rsid w:val="000D6672"/>
    <w:rsid w:val="000D78D5"/>
    <w:rsid w:val="000D7D68"/>
    <w:rsid w:val="000D7DA3"/>
    <w:rsid w:val="000E01DC"/>
    <w:rsid w:val="000E0640"/>
    <w:rsid w:val="000E0A93"/>
    <w:rsid w:val="000E0C31"/>
    <w:rsid w:val="000E0FCF"/>
    <w:rsid w:val="000E10D3"/>
    <w:rsid w:val="000E11B7"/>
    <w:rsid w:val="000E12CF"/>
    <w:rsid w:val="000E135D"/>
    <w:rsid w:val="000E136F"/>
    <w:rsid w:val="000E170B"/>
    <w:rsid w:val="000E17E2"/>
    <w:rsid w:val="000E1B4A"/>
    <w:rsid w:val="000E1D47"/>
    <w:rsid w:val="000E25F6"/>
    <w:rsid w:val="000E2A06"/>
    <w:rsid w:val="000E2C3F"/>
    <w:rsid w:val="000E2D24"/>
    <w:rsid w:val="000E2DDE"/>
    <w:rsid w:val="000E2FD2"/>
    <w:rsid w:val="000E301B"/>
    <w:rsid w:val="000E334C"/>
    <w:rsid w:val="000E3AB7"/>
    <w:rsid w:val="000E3B86"/>
    <w:rsid w:val="000E3F74"/>
    <w:rsid w:val="000E3FAD"/>
    <w:rsid w:val="000E4A22"/>
    <w:rsid w:val="000E4BF1"/>
    <w:rsid w:val="000E50A2"/>
    <w:rsid w:val="000E52B7"/>
    <w:rsid w:val="000E61CD"/>
    <w:rsid w:val="000E6954"/>
    <w:rsid w:val="000E6CDF"/>
    <w:rsid w:val="000E6ED6"/>
    <w:rsid w:val="000E7023"/>
    <w:rsid w:val="000E70E4"/>
    <w:rsid w:val="000E73D8"/>
    <w:rsid w:val="000E7464"/>
    <w:rsid w:val="000E747D"/>
    <w:rsid w:val="000E74A7"/>
    <w:rsid w:val="000E75FC"/>
    <w:rsid w:val="000F00BA"/>
    <w:rsid w:val="000F0520"/>
    <w:rsid w:val="000F070D"/>
    <w:rsid w:val="000F0D35"/>
    <w:rsid w:val="000F0E70"/>
    <w:rsid w:val="000F1311"/>
    <w:rsid w:val="000F1377"/>
    <w:rsid w:val="000F138B"/>
    <w:rsid w:val="000F1433"/>
    <w:rsid w:val="000F1460"/>
    <w:rsid w:val="000F1B73"/>
    <w:rsid w:val="000F1E8B"/>
    <w:rsid w:val="000F2051"/>
    <w:rsid w:val="000F2110"/>
    <w:rsid w:val="000F2128"/>
    <w:rsid w:val="000F23AC"/>
    <w:rsid w:val="000F251E"/>
    <w:rsid w:val="000F288F"/>
    <w:rsid w:val="000F2F58"/>
    <w:rsid w:val="000F316A"/>
    <w:rsid w:val="000F3236"/>
    <w:rsid w:val="000F39DB"/>
    <w:rsid w:val="000F3B09"/>
    <w:rsid w:val="000F3C74"/>
    <w:rsid w:val="000F4516"/>
    <w:rsid w:val="000F4757"/>
    <w:rsid w:val="000F4BB8"/>
    <w:rsid w:val="000F4C99"/>
    <w:rsid w:val="000F4FA9"/>
    <w:rsid w:val="000F519D"/>
    <w:rsid w:val="000F53FB"/>
    <w:rsid w:val="000F5579"/>
    <w:rsid w:val="000F5635"/>
    <w:rsid w:val="000F5F44"/>
    <w:rsid w:val="000F5F4B"/>
    <w:rsid w:val="000F644C"/>
    <w:rsid w:val="000F6905"/>
    <w:rsid w:val="000F6C3B"/>
    <w:rsid w:val="000F6C86"/>
    <w:rsid w:val="000F7127"/>
    <w:rsid w:val="000F71E0"/>
    <w:rsid w:val="000F71F5"/>
    <w:rsid w:val="000F730D"/>
    <w:rsid w:val="000F7891"/>
    <w:rsid w:val="000F7B54"/>
    <w:rsid w:val="000F7FDC"/>
    <w:rsid w:val="00100200"/>
    <w:rsid w:val="001007B1"/>
    <w:rsid w:val="001009A6"/>
    <w:rsid w:val="00100F8A"/>
    <w:rsid w:val="00101246"/>
    <w:rsid w:val="00101576"/>
    <w:rsid w:val="00101EFB"/>
    <w:rsid w:val="00101FF5"/>
    <w:rsid w:val="0010209A"/>
    <w:rsid w:val="001021B7"/>
    <w:rsid w:val="00102349"/>
    <w:rsid w:val="00102438"/>
    <w:rsid w:val="001033D2"/>
    <w:rsid w:val="00104001"/>
    <w:rsid w:val="0010452E"/>
    <w:rsid w:val="00104680"/>
    <w:rsid w:val="00104BBA"/>
    <w:rsid w:val="00104FDD"/>
    <w:rsid w:val="001051EB"/>
    <w:rsid w:val="00105900"/>
    <w:rsid w:val="00105AE2"/>
    <w:rsid w:val="00105BA1"/>
    <w:rsid w:val="00105CA3"/>
    <w:rsid w:val="00105E0E"/>
    <w:rsid w:val="00105F9A"/>
    <w:rsid w:val="001060C6"/>
    <w:rsid w:val="001060E6"/>
    <w:rsid w:val="00106B80"/>
    <w:rsid w:val="00107555"/>
    <w:rsid w:val="001075D0"/>
    <w:rsid w:val="00107933"/>
    <w:rsid w:val="0010798D"/>
    <w:rsid w:val="00107D92"/>
    <w:rsid w:val="0011025D"/>
    <w:rsid w:val="0011032E"/>
    <w:rsid w:val="0011041B"/>
    <w:rsid w:val="00110566"/>
    <w:rsid w:val="00110AB4"/>
    <w:rsid w:val="00112C08"/>
    <w:rsid w:val="00112F28"/>
    <w:rsid w:val="001131AE"/>
    <w:rsid w:val="001131C9"/>
    <w:rsid w:val="0011344C"/>
    <w:rsid w:val="0011348B"/>
    <w:rsid w:val="001135FF"/>
    <w:rsid w:val="00113869"/>
    <w:rsid w:val="00113B0A"/>
    <w:rsid w:val="00113C8A"/>
    <w:rsid w:val="0011467D"/>
    <w:rsid w:val="001147C0"/>
    <w:rsid w:val="00114CD3"/>
    <w:rsid w:val="0011547D"/>
    <w:rsid w:val="001156CD"/>
    <w:rsid w:val="00115982"/>
    <w:rsid w:val="00115BA6"/>
    <w:rsid w:val="00116228"/>
    <w:rsid w:val="0011678A"/>
    <w:rsid w:val="00116A0F"/>
    <w:rsid w:val="00116C53"/>
    <w:rsid w:val="00116F31"/>
    <w:rsid w:val="001173DE"/>
    <w:rsid w:val="00117457"/>
    <w:rsid w:val="00117BFF"/>
    <w:rsid w:val="00117FE3"/>
    <w:rsid w:val="0012045D"/>
    <w:rsid w:val="00120826"/>
    <w:rsid w:val="00120BEF"/>
    <w:rsid w:val="00120DD6"/>
    <w:rsid w:val="00121190"/>
    <w:rsid w:val="00121227"/>
    <w:rsid w:val="00121574"/>
    <w:rsid w:val="0012157E"/>
    <w:rsid w:val="00121799"/>
    <w:rsid w:val="00121A93"/>
    <w:rsid w:val="00121B77"/>
    <w:rsid w:val="00121C27"/>
    <w:rsid w:val="00122192"/>
    <w:rsid w:val="001222FC"/>
    <w:rsid w:val="001223E4"/>
    <w:rsid w:val="00122B38"/>
    <w:rsid w:val="00122EF2"/>
    <w:rsid w:val="00123624"/>
    <w:rsid w:val="00123902"/>
    <w:rsid w:val="00123D79"/>
    <w:rsid w:val="00123E75"/>
    <w:rsid w:val="001240ED"/>
    <w:rsid w:val="00124420"/>
    <w:rsid w:val="001244EC"/>
    <w:rsid w:val="00124719"/>
    <w:rsid w:val="00124A51"/>
    <w:rsid w:val="00124AEF"/>
    <w:rsid w:val="00124F10"/>
    <w:rsid w:val="00124F96"/>
    <w:rsid w:val="001255A5"/>
    <w:rsid w:val="00125CA9"/>
    <w:rsid w:val="00125E32"/>
    <w:rsid w:val="0012622F"/>
    <w:rsid w:val="00126621"/>
    <w:rsid w:val="0012670A"/>
    <w:rsid w:val="00126713"/>
    <w:rsid w:val="00126B1D"/>
    <w:rsid w:val="00126D3A"/>
    <w:rsid w:val="00126F5B"/>
    <w:rsid w:val="001271A9"/>
    <w:rsid w:val="00127597"/>
    <w:rsid w:val="00127E44"/>
    <w:rsid w:val="001301E9"/>
    <w:rsid w:val="0013028B"/>
    <w:rsid w:val="0013040B"/>
    <w:rsid w:val="0013172C"/>
    <w:rsid w:val="00131B83"/>
    <w:rsid w:val="00131D82"/>
    <w:rsid w:val="00131E6B"/>
    <w:rsid w:val="00132512"/>
    <w:rsid w:val="00132B22"/>
    <w:rsid w:val="00132B89"/>
    <w:rsid w:val="0013327A"/>
    <w:rsid w:val="001336C7"/>
    <w:rsid w:val="00133805"/>
    <w:rsid w:val="0013380E"/>
    <w:rsid w:val="001338C7"/>
    <w:rsid w:val="00133D36"/>
    <w:rsid w:val="00133E08"/>
    <w:rsid w:val="00134140"/>
    <w:rsid w:val="001341B0"/>
    <w:rsid w:val="00134553"/>
    <w:rsid w:val="00134872"/>
    <w:rsid w:val="00134E6A"/>
    <w:rsid w:val="0013539A"/>
    <w:rsid w:val="001361BF"/>
    <w:rsid w:val="00136C87"/>
    <w:rsid w:val="00137151"/>
    <w:rsid w:val="001372BF"/>
    <w:rsid w:val="00137645"/>
    <w:rsid w:val="001379C8"/>
    <w:rsid w:val="00140066"/>
    <w:rsid w:val="0014015A"/>
    <w:rsid w:val="00140584"/>
    <w:rsid w:val="0014062E"/>
    <w:rsid w:val="00140896"/>
    <w:rsid w:val="00140E99"/>
    <w:rsid w:val="00142446"/>
    <w:rsid w:val="0014264E"/>
    <w:rsid w:val="00142D90"/>
    <w:rsid w:val="00142EB0"/>
    <w:rsid w:val="001430E4"/>
    <w:rsid w:val="0014314D"/>
    <w:rsid w:val="001434E9"/>
    <w:rsid w:val="001435C1"/>
    <w:rsid w:val="001435C4"/>
    <w:rsid w:val="00143988"/>
    <w:rsid w:val="00143F4B"/>
    <w:rsid w:val="00143F67"/>
    <w:rsid w:val="001447B4"/>
    <w:rsid w:val="001449EF"/>
    <w:rsid w:val="00144C0E"/>
    <w:rsid w:val="00144D92"/>
    <w:rsid w:val="00144F65"/>
    <w:rsid w:val="00145211"/>
    <w:rsid w:val="00145540"/>
    <w:rsid w:val="001456B0"/>
    <w:rsid w:val="00145774"/>
    <w:rsid w:val="00145C2C"/>
    <w:rsid w:val="00145F38"/>
    <w:rsid w:val="00147761"/>
    <w:rsid w:val="00147778"/>
    <w:rsid w:val="00147947"/>
    <w:rsid w:val="00147B30"/>
    <w:rsid w:val="00147FE4"/>
    <w:rsid w:val="00150044"/>
    <w:rsid w:val="001508BC"/>
    <w:rsid w:val="00150B75"/>
    <w:rsid w:val="001515A2"/>
    <w:rsid w:val="00151772"/>
    <w:rsid w:val="0015265B"/>
    <w:rsid w:val="001527E7"/>
    <w:rsid w:val="00152900"/>
    <w:rsid w:val="00152B31"/>
    <w:rsid w:val="00152C8A"/>
    <w:rsid w:val="0015344F"/>
    <w:rsid w:val="001535DA"/>
    <w:rsid w:val="001536D1"/>
    <w:rsid w:val="00153914"/>
    <w:rsid w:val="00153C29"/>
    <w:rsid w:val="00153DF1"/>
    <w:rsid w:val="00153DF8"/>
    <w:rsid w:val="00153F08"/>
    <w:rsid w:val="00153F26"/>
    <w:rsid w:val="001540F5"/>
    <w:rsid w:val="001542D1"/>
    <w:rsid w:val="001547FE"/>
    <w:rsid w:val="00154A2D"/>
    <w:rsid w:val="001560BA"/>
    <w:rsid w:val="001567B8"/>
    <w:rsid w:val="001568F6"/>
    <w:rsid w:val="00156F8F"/>
    <w:rsid w:val="00156F93"/>
    <w:rsid w:val="00157130"/>
    <w:rsid w:val="00157384"/>
    <w:rsid w:val="0015768F"/>
    <w:rsid w:val="001576B1"/>
    <w:rsid w:val="001579C6"/>
    <w:rsid w:val="00157BFE"/>
    <w:rsid w:val="00157D46"/>
    <w:rsid w:val="00157DB2"/>
    <w:rsid w:val="0016047B"/>
    <w:rsid w:val="001605D6"/>
    <w:rsid w:val="001609D9"/>
    <w:rsid w:val="00160A4C"/>
    <w:rsid w:val="00160E80"/>
    <w:rsid w:val="00161565"/>
    <w:rsid w:val="001619A7"/>
    <w:rsid w:val="00162238"/>
    <w:rsid w:val="001623B7"/>
    <w:rsid w:val="00162424"/>
    <w:rsid w:val="001626E5"/>
    <w:rsid w:val="00162913"/>
    <w:rsid w:val="00162A66"/>
    <w:rsid w:val="00162B23"/>
    <w:rsid w:val="00162CA7"/>
    <w:rsid w:val="00163C24"/>
    <w:rsid w:val="00163EFF"/>
    <w:rsid w:val="00163F66"/>
    <w:rsid w:val="0016408E"/>
    <w:rsid w:val="001648C8"/>
    <w:rsid w:val="00164C65"/>
    <w:rsid w:val="00164CF2"/>
    <w:rsid w:val="00164DAF"/>
    <w:rsid w:val="00165483"/>
    <w:rsid w:val="00165907"/>
    <w:rsid w:val="00165953"/>
    <w:rsid w:val="00165A06"/>
    <w:rsid w:val="001661FB"/>
    <w:rsid w:val="0016658B"/>
    <w:rsid w:val="00166710"/>
    <w:rsid w:val="00166CD1"/>
    <w:rsid w:val="00166FD5"/>
    <w:rsid w:val="001671A0"/>
    <w:rsid w:val="00167458"/>
    <w:rsid w:val="001674BE"/>
    <w:rsid w:val="0016767F"/>
    <w:rsid w:val="00167C84"/>
    <w:rsid w:val="001708BF"/>
    <w:rsid w:val="00170D45"/>
    <w:rsid w:val="001716C9"/>
    <w:rsid w:val="00171A5C"/>
    <w:rsid w:val="00171DF7"/>
    <w:rsid w:val="001727C1"/>
    <w:rsid w:val="0017283C"/>
    <w:rsid w:val="00172D73"/>
    <w:rsid w:val="00173565"/>
    <w:rsid w:val="001737E9"/>
    <w:rsid w:val="00173B07"/>
    <w:rsid w:val="00173B35"/>
    <w:rsid w:val="00173BDC"/>
    <w:rsid w:val="001743D0"/>
    <w:rsid w:val="001748D7"/>
    <w:rsid w:val="001751F9"/>
    <w:rsid w:val="001751FA"/>
    <w:rsid w:val="001753C5"/>
    <w:rsid w:val="00175708"/>
    <w:rsid w:val="001758E6"/>
    <w:rsid w:val="00175923"/>
    <w:rsid w:val="00175EC6"/>
    <w:rsid w:val="00175F8E"/>
    <w:rsid w:val="0017656E"/>
    <w:rsid w:val="001765EF"/>
    <w:rsid w:val="001766AE"/>
    <w:rsid w:val="00176ACD"/>
    <w:rsid w:val="00176D02"/>
    <w:rsid w:val="00177A45"/>
    <w:rsid w:val="00177FC8"/>
    <w:rsid w:val="0018058F"/>
    <w:rsid w:val="00180713"/>
    <w:rsid w:val="001809B5"/>
    <w:rsid w:val="00180A8F"/>
    <w:rsid w:val="00180A9A"/>
    <w:rsid w:val="00181176"/>
    <w:rsid w:val="0018159A"/>
    <w:rsid w:val="00181A1A"/>
    <w:rsid w:val="00181D66"/>
    <w:rsid w:val="00181D9C"/>
    <w:rsid w:val="00181DB0"/>
    <w:rsid w:val="001820E5"/>
    <w:rsid w:val="001825B0"/>
    <w:rsid w:val="00182895"/>
    <w:rsid w:val="00182AA4"/>
    <w:rsid w:val="00182FEF"/>
    <w:rsid w:val="00183B9A"/>
    <w:rsid w:val="00183F74"/>
    <w:rsid w:val="001840BC"/>
    <w:rsid w:val="001840E4"/>
    <w:rsid w:val="001844F8"/>
    <w:rsid w:val="0018457A"/>
    <w:rsid w:val="0018469F"/>
    <w:rsid w:val="00184770"/>
    <w:rsid w:val="00184827"/>
    <w:rsid w:val="001849D2"/>
    <w:rsid w:val="00184B0E"/>
    <w:rsid w:val="00184C39"/>
    <w:rsid w:val="00184D5A"/>
    <w:rsid w:val="00184D75"/>
    <w:rsid w:val="00185908"/>
    <w:rsid w:val="001859C9"/>
    <w:rsid w:val="00185A22"/>
    <w:rsid w:val="00185B3C"/>
    <w:rsid w:val="00185FCC"/>
    <w:rsid w:val="001860B6"/>
    <w:rsid w:val="0018649E"/>
    <w:rsid w:val="0018689A"/>
    <w:rsid w:val="001868BD"/>
    <w:rsid w:val="00187502"/>
    <w:rsid w:val="0018752F"/>
    <w:rsid w:val="001876C8"/>
    <w:rsid w:val="001905A2"/>
    <w:rsid w:val="00190824"/>
    <w:rsid w:val="00190D0C"/>
    <w:rsid w:val="00190E19"/>
    <w:rsid w:val="001910B7"/>
    <w:rsid w:val="00191142"/>
    <w:rsid w:val="00191551"/>
    <w:rsid w:val="001916DC"/>
    <w:rsid w:val="00191756"/>
    <w:rsid w:val="00191852"/>
    <w:rsid w:val="001920EF"/>
    <w:rsid w:val="00192E16"/>
    <w:rsid w:val="00193645"/>
    <w:rsid w:val="00193838"/>
    <w:rsid w:val="00193877"/>
    <w:rsid w:val="00193C8A"/>
    <w:rsid w:val="001940EB"/>
    <w:rsid w:val="0019430E"/>
    <w:rsid w:val="001944F5"/>
    <w:rsid w:val="00194721"/>
    <w:rsid w:val="001948D1"/>
    <w:rsid w:val="00194AD8"/>
    <w:rsid w:val="00194BD6"/>
    <w:rsid w:val="00195222"/>
    <w:rsid w:val="00195399"/>
    <w:rsid w:val="00195558"/>
    <w:rsid w:val="001961DF"/>
    <w:rsid w:val="00196324"/>
    <w:rsid w:val="0019634F"/>
    <w:rsid w:val="0019675D"/>
    <w:rsid w:val="001969E1"/>
    <w:rsid w:val="00196B7C"/>
    <w:rsid w:val="00196CB2"/>
    <w:rsid w:val="00197254"/>
    <w:rsid w:val="001975D8"/>
    <w:rsid w:val="00197D7F"/>
    <w:rsid w:val="001A040A"/>
    <w:rsid w:val="001A0418"/>
    <w:rsid w:val="001A0AED"/>
    <w:rsid w:val="001A10DC"/>
    <w:rsid w:val="001A178E"/>
    <w:rsid w:val="001A23CB"/>
    <w:rsid w:val="001A2ADD"/>
    <w:rsid w:val="001A330E"/>
    <w:rsid w:val="001A3825"/>
    <w:rsid w:val="001A3C61"/>
    <w:rsid w:val="001A43FA"/>
    <w:rsid w:val="001A47C5"/>
    <w:rsid w:val="001A4BB2"/>
    <w:rsid w:val="001A4BCF"/>
    <w:rsid w:val="001A4E04"/>
    <w:rsid w:val="001A5424"/>
    <w:rsid w:val="001A59FB"/>
    <w:rsid w:val="001A5B29"/>
    <w:rsid w:val="001A5E9E"/>
    <w:rsid w:val="001A6266"/>
    <w:rsid w:val="001A62DF"/>
    <w:rsid w:val="001A6354"/>
    <w:rsid w:val="001A6366"/>
    <w:rsid w:val="001A66E5"/>
    <w:rsid w:val="001A674C"/>
    <w:rsid w:val="001A6A6E"/>
    <w:rsid w:val="001A6B6F"/>
    <w:rsid w:val="001A702E"/>
    <w:rsid w:val="001A7458"/>
    <w:rsid w:val="001A74D8"/>
    <w:rsid w:val="001A7AE8"/>
    <w:rsid w:val="001B014F"/>
    <w:rsid w:val="001B02BC"/>
    <w:rsid w:val="001B0709"/>
    <w:rsid w:val="001B1769"/>
    <w:rsid w:val="001B17C9"/>
    <w:rsid w:val="001B1CB9"/>
    <w:rsid w:val="001B1DB0"/>
    <w:rsid w:val="001B204E"/>
    <w:rsid w:val="001B2238"/>
    <w:rsid w:val="001B2372"/>
    <w:rsid w:val="001B2F1D"/>
    <w:rsid w:val="001B30F7"/>
    <w:rsid w:val="001B336E"/>
    <w:rsid w:val="001B3443"/>
    <w:rsid w:val="001B3493"/>
    <w:rsid w:val="001B4B30"/>
    <w:rsid w:val="001B4B9C"/>
    <w:rsid w:val="001B4D20"/>
    <w:rsid w:val="001B4D84"/>
    <w:rsid w:val="001B54A7"/>
    <w:rsid w:val="001B66D9"/>
    <w:rsid w:val="001B6C12"/>
    <w:rsid w:val="001B7227"/>
    <w:rsid w:val="001B79C1"/>
    <w:rsid w:val="001B7B66"/>
    <w:rsid w:val="001C0046"/>
    <w:rsid w:val="001C022B"/>
    <w:rsid w:val="001C06F3"/>
    <w:rsid w:val="001C0D4B"/>
    <w:rsid w:val="001C1155"/>
    <w:rsid w:val="001C11C0"/>
    <w:rsid w:val="001C188C"/>
    <w:rsid w:val="001C1FA9"/>
    <w:rsid w:val="001C2001"/>
    <w:rsid w:val="001C2063"/>
    <w:rsid w:val="001C2501"/>
    <w:rsid w:val="001C277E"/>
    <w:rsid w:val="001C2965"/>
    <w:rsid w:val="001C2A18"/>
    <w:rsid w:val="001C2A9B"/>
    <w:rsid w:val="001C2B6B"/>
    <w:rsid w:val="001C4299"/>
    <w:rsid w:val="001C443B"/>
    <w:rsid w:val="001C45CD"/>
    <w:rsid w:val="001C4874"/>
    <w:rsid w:val="001C4AEE"/>
    <w:rsid w:val="001C4AF5"/>
    <w:rsid w:val="001C4D6E"/>
    <w:rsid w:val="001C504A"/>
    <w:rsid w:val="001C52DC"/>
    <w:rsid w:val="001C561C"/>
    <w:rsid w:val="001C5CB5"/>
    <w:rsid w:val="001C5F94"/>
    <w:rsid w:val="001C650F"/>
    <w:rsid w:val="001C6CA0"/>
    <w:rsid w:val="001C6E66"/>
    <w:rsid w:val="001C7E68"/>
    <w:rsid w:val="001D021E"/>
    <w:rsid w:val="001D025D"/>
    <w:rsid w:val="001D044C"/>
    <w:rsid w:val="001D052C"/>
    <w:rsid w:val="001D0D23"/>
    <w:rsid w:val="001D1100"/>
    <w:rsid w:val="001D1391"/>
    <w:rsid w:val="001D158E"/>
    <w:rsid w:val="001D1640"/>
    <w:rsid w:val="001D19AF"/>
    <w:rsid w:val="001D23BC"/>
    <w:rsid w:val="001D25D7"/>
    <w:rsid w:val="001D284A"/>
    <w:rsid w:val="001D2D8D"/>
    <w:rsid w:val="001D323A"/>
    <w:rsid w:val="001D3323"/>
    <w:rsid w:val="001D35B6"/>
    <w:rsid w:val="001D378C"/>
    <w:rsid w:val="001D3836"/>
    <w:rsid w:val="001D3975"/>
    <w:rsid w:val="001D3C5E"/>
    <w:rsid w:val="001D3E43"/>
    <w:rsid w:val="001D3EBF"/>
    <w:rsid w:val="001D4D65"/>
    <w:rsid w:val="001D4D74"/>
    <w:rsid w:val="001D4E77"/>
    <w:rsid w:val="001D4F19"/>
    <w:rsid w:val="001D50B2"/>
    <w:rsid w:val="001D53E4"/>
    <w:rsid w:val="001D55B0"/>
    <w:rsid w:val="001D59F7"/>
    <w:rsid w:val="001D64B5"/>
    <w:rsid w:val="001D6520"/>
    <w:rsid w:val="001D6B18"/>
    <w:rsid w:val="001D6DC3"/>
    <w:rsid w:val="001D7645"/>
    <w:rsid w:val="001D77BC"/>
    <w:rsid w:val="001D78F8"/>
    <w:rsid w:val="001E0014"/>
    <w:rsid w:val="001E023D"/>
    <w:rsid w:val="001E036C"/>
    <w:rsid w:val="001E038B"/>
    <w:rsid w:val="001E0770"/>
    <w:rsid w:val="001E100D"/>
    <w:rsid w:val="001E104B"/>
    <w:rsid w:val="001E11D1"/>
    <w:rsid w:val="001E1345"/>
    <w:rsid w:val="001E13AC"/>
    <w:rsid w:val="001E1516"/>
    <w:rsid w:val="001E16EB"/>
    <w:rsid w:val="001E17F4"/>
    <w:rsid w:val="001E1E86"/>
    <w:rsid w:val="001E2258"/>
    <w:rsid w:val="001E238E"/>
    <w:rsid w:val="001E2483"/>
    <w:rsid w:val="001E2693"/>
    <w:rsid w:val="001E2B1E"/>
    <w:rsid w:val="001E2CFF"/>
    <w:rsid w:val="001E2F24"/>
    <w:rsid w:val="001E30D4"/>
    <w:rsid w:val="001E327E"/>
    <w:rsid w:val="001E34DF"/>
    <w:rsid w:val="001E3686"/>
    <w:rsid w:val="001E40A0"/>
    <w:rsid w:val="001E44BA"/>
    <w:rsid w:val="001E4680"/>
    <w:rsid w:val="001E4936"/>
    <w:rsid w:val="001E4B96"/>
    <w:rsid w:val="001E50F0"/>
    <w:rsid w:val="001E5106"/>
    <w:rsid w:val="001E52AD"/>
    <w:rsid w:val="001E52EB"/>
    <w:rsid w:val="001E554A"/>
    <w:rsid w:val="001E5565"/>
    <w:rsid w:val="001E5A9C"/>
    <w:rsid w:val="001E5C10"/>
    <w:rsid w:val="001E6112"/>
    <w:rsid w:val="001E61D2"/>
    <w:rsid w:val="001E64C1"/>
    <w:rsid w:val="001E6CF7"/>
    <w:rsid w:val="001E6DCB"/>
    <w:rsid w:val="001E740C"/>
    <w:rsid w:val="001E7C79"/>
    <w:rsid w:val="001F0401"/>
    <w:rsid w:val="001F0ECB"/>
    <w:rsid w:val="001F1235"/>
    <w:rsid w:val="001F1344"/>
    <w:rsid w:val="001F1C23"/>
    <w:rsid w:val="001F1CB3"/>
    <w:rsid w:val="001F1E36"/>
    <w:rsid w:val="001F1F50"/>
    <w:rsid w:val="001F22A6"/>
    <w:rsid w:val="001F2403"/>
    <w:rsid w:val="001F2444"/>
    <w:rsid w:val="001F2836"/>
    <w:rsid w:val="001F3347"/>
    <w:rsid w:val="001F3386"/>
    <w:rsid w:val="001F35B6"/>
    <w:rsid w:val="001F38B5"/>
    <w:rsid w:val="001F3A8C"/>
    <w:rsid w:val="001F406B"/>
    <w:rsid w:val="001F4081"/>
    <w:rsid w:val="001F4286"/>
    <w:rsid w:val="001F4586"/>
    <w:rsid w:val="001F47AC"/>
    <w:rsid w:val="001F50B1"/>
    <w:rsid w:val="001F5949"/>
    <w:rsid w:val="001F6449"/>
    <w:rsid w:val="001F650C"/>
    <w:rsid w:val="001F667F"/>
    <w:rsid w:val="001F66EA"/>
    <w:rsid w:val="001F67DD"/>
    <w:rsid w:val="001F6845"/>
    <w:rsid w:val="001F68D8"/>
    <w:rsid w:val="001F6BB8"/>
    <w:rsid w:val="001F6C61"/>
    <w:rsid w:val="001F7361"/>
    <w:rsid w:val="001F73CB"/>
    <w:rsid w:val="002004D6"/>
    <w:rsid w:val="002007F0"/>
    <w:rsid w:val="00200CA4"/>
    <w:rsid w:val="00200D44"/>
    <w:rsid w:val="00200E48"/>
    <w:rsid w:val="00201117"/>
    <w:rsid w:val="002011B0"/>
    <w:rsid w:val="0020132E"/>
    <w:rsid w:val="00202403"/>
    <w:rsid w:val="00202982"/>
    <w:rsid w:val="002029D6"/>
    <w:rsid w:val="00202B37"/>
    <w:rsid w:val="00202C4D"/>
    <w:rsid w:val="00202FE2"/>
    <w:rsid w:val="00203181"/>
    <w:rsid w:val="00203783"/>
    <w:rsid w:val="0020385F"/>
    <w:rsid w:val="00203C81"/>
    <w:rsid w:val="00204682"/>
    <w:rsid w:val="00204719"/>
    <w:rsid w:val="00204963"/>
    <w:rsid w:val="002049F4"/>
    <w:rsid w:val="00204F4A"/>
    <w:rsid w:val="002052A4"/>
    <w:rsid w:val="00205B5A"/>
    <w:rsid w:val="00205F3A"/>
    <w:rsid w:val="00206472"/>
    <w:rsid w:val="002068A0"/>
    <w:rsid w:val="00206B12"/>
    <w:rsid w:val="00207021"/>
    <w:rsid w:val="0020732F"/>
    <w:rsid w:val="0020736F"/>
    <w:rsid w:val="00207D00"/>
    <w:rsid w:val="00207FF0"/>
    <w:rsid w:val="002105C1"/>
    <w:rsid w:val="00210E53"/>
    <w:rsid w:val="002110D2"/>
    <w:rsid w:val="0021113D"/>
    <w:rsid w:val="002111BB"/>
    <w:rsid w:val="0021185C"/>
    <w:rsid w:val="00212007"/>
    <w:rsid w:val="002120A1"/>
    <w:rsid w:val="0021211E"/>
    <w:rsid w:val="00212143"/>
    <w:rsid w:val="002123DC"/>
    <w:rsid w:val="00212558"/>
    <w:rsid w:val="002126E9"/>
    <w:rsid w:val="002128D0"/>
    <w:rsid w:val="002128FB"/>
    <w:rsid w:val="0021295B"/>
    <w:rsid w:val="00212C46"/>
    <w:rsid w:val="002133B9"/>
    <w:rsid w:val="0021341D"/>
    <w:rsid w:val="0021352C"/>
    <w:rsid w:val="002136CE"/>
    <w:rsid w:val="00213DB5"/>
    <w:rsid w:val="00213EF5"/>
    <w:rsid w:val="0021408B"/>
    <w:rsid w:val="002145BF"/>
    <w:rsid w:val="002148C5"/>
    <w:rsid w:val="00214A98"/>
    <w:rsid w:val="00215151"/>
    <w:rsid w:val="00215519"/>
    <w:rsid w:val="002157E5"/>
    <w:rsid w:val="00215B8F"/>
    <w:rsid w:val="00215CD1"/>
    <w:rsid w:val="00215F6E"/>
    <w:rsid w:val="00216674"/>
    <w:rsid w:val="0021696C"/>
    <w:rsid w:val="00216BD4"/>
    <w:rsid w:val="00216BF5"/>
    <w:rsid w:val="00216D83"/>
    <w:rsid w:val="00216D88"/>
    <w:rsid w:val="00216E58"/>
    <w:rsid w:val="00216F09"/>
    <w:rsid w:val="00217286"/>
    <w:rsid w:val="002175FB"/>
    <w:rsid w:val="0021775E"/>
    <w:rsid w:val="002178A7"/>
    <w:rsid w:val="00217D34"/>
    <w:rsid w:val="002202A5"/>
    <w:rsid w:val="002203FF"/>
    <w:rsid w:val="00220475"/>
    <w:rsid w:val="00220D48"/>
    <w:rsid w:val="00220E39"/>
    <w:rsid w:val="00221085"/>
    <w:rsid w:val="00221302"/>
    <w:rsid w:val="00221903"/>
    <w:rsid w:val="00222257"/>
    <w:rsid w:val="0022230B"/>
    <w:rsid w:val="00222D0F"/>
    <w:rsid w:val="002230D6"/>
    <w:rsid w:val="0022315F"/>
    <w:rsid w:val="002231FE"/>
    <w:rsid w:val="002232B7"/>
    <w:rsid w:val="00223B49"/>
    <w:rsid w:val="00223D5A"/>
    <w:rsid w:val="00223DD5"/>
    <w:rsid w:val="00223F06"/>
    <w:rsid w:val="00224103"/>
    <w:rsid w:val="00224927"/>
    <w:rsid w:val="00224DD4"/>
    <w:rsid w:val="00225620"/>
    <w:rsid w:val="00225764"/>
    <w:rsid w:val="002257CF"/>
    <w:rsid w:val="0022588F"/>
    <w:rsid w:val="00225E5B"/>
    <w:rsid w:val="00225F88"/>
    <w:rsid w:val="002260C2"/>
    <w:rsid w:val="00226479"/>
    <w:rsid w:val="002264E0"/>
    <w:rsid w:val="002265AF"/>
    <w:rsid w:val="00226FBA"/>
    <w:rsid w:val="00227002"/>
    <w:rsid w:val="002271EC"/>
    <w:rsid w:val="002272D6"/>
    <w:rsid w:val="0022736A"/>
    <w:rsid w:val="002276BB"/>
    <w:rsid w:val="002278A0"/>
    <w:rsid w:val="00227B6C"/>
    <w:rsid w:val="002305A7"/>
    <w:rsid w:val="0023076B"/>
    <w:rsid w:val="002309CC"/>
    <w:rsid w:val="00231A1D"/>
    <w:rsid w:val="00231FD0"/>
    <w:rsid w:val="00232041"/>
    <w:rsid w:val="0023209F"/>
    <w:rsid w:val="00232156"/>
    <w:rsid w:val="00232310"/>
    <w:rsid w:val="00232B28"/>
    <w:rsid w:val="00232F1E"/>
    <w:rsid w:val="0023305F"/>
    <w:rsid w:val="002330E2"/>
    <w:rsid w:val="002334CA"/>
    <w:rsid w:val="00233BE0"/>
    <w:rsid w:val="00233C01"/>
    <w:rsid w:val="00233D4C"/>
    <w:rsid w:val="0023413C"/>
    <w:rsid w:val="002343D6"/>
    <w:rsid w:val="002345DA"/>
    <w:rsid w:val="002346F0"/>
    <w:rsid w:val="002347D7"/>
    <w:rsid w:val="00234968"/>
    <w:rsid w:val="002349C3"/>
    <w:rsid w:val="00234AA0"/>
    <w:rsid w:val="0023521C"/>
    <w:rsid w:val="002352A4"/>
    <w:rsid w:val="00235491"/>
    <w:rsid w:val="00235531"/>
    <w:rsid w:val="00235C08"/>
    <w:rsid w:val="00235D09"/>
    <w:rsid w:val="002361F0"/>
    <w:rsid w:val="0023629D"/>
    <w:rsid w:val="002362BA"/>
    <w:rsid w:val="002363BD"/>
    <w:rsid w:val="00236410"/>
    <w:rsid w:val="002365B7"/>
    <w:rsid w:val="002365BD"/>
    <w:rsid w:val="002369AE"/>
    <w:rsid w:val="00236F55"/>
    <w:rsid w:val="00237255"/>
    <w:rsid w:val="0023772D"/>
    <w:rsid w:val="0023776A"/>
    <w:rsid w:val="002377FB"/>
    <w:rsid w:val="00237A39"/>
    <w:rsid w:val="0024028D"/>
    <w:rsid w:val="00240715"/>
    <w:rsid w:val="00240717"/>
    <w:rsid w:val="0024072A"/>
    <w:rsid w:val="00240923"/>
    <w:rsid w:val="00240B3A"/>
    <w:rsid w:val="00240BF6"/>
    <w:rsid w:val="00241CE0"/>
    <w:rsid w:val="00241D62"/>
    <w:rsid w:val="00241DC9"/>
    <w:rsid w:val="00241FF7"/>
    <w:rsid w:val="0024230F"/>
    <w:rsid w:val="002424AF"/>
    <w:rsid w:val="0024252D"/>
    <w:rsid w:val="0024261B"/>
    <w:rsid w:val="0024282A"/>
    <w:rsid w:val="0024285D"/>
    <w:rsid w:val="002431B0"/>
    <w:rsid w:val="002432F7"/>
    <w:rsid w:val="002433A2"/>
    <w:rsid w:val="002437C0"/>
    <w:rsid w:val="002439DC"/>
    <w:rsid w:val="00243D22"/>
    <w:rsid w:val="00243F26"/>
    <w:rsid w:val="00244099"/>
    <w:rsid w:val="002441D2"/>
    <w:rsid w:val="002443AE"/>
    <w:rsid w:val="0024486E"/>
    <w:rsid w:val="0024496F"/>
    <w:rsid w:val="00244DC8"/>
    <w:rsid w:val="00245283"/>
    <w:rsid w:val="0024560D"/>
    <w:rsid w:val="00245803"/>
    <w:rsid w:val="002458BA"/>
    <w:rsid w:val="00245927"/>
    <w:rsid w:val="00245C42"/>
    <w:rsid w:val="00245CE9"/>
    <w:rsid w:val="0024636C"/>
    <w:rsid w:val="002463E5"/>
    <w:rsid w:val="00246748"/>
    <w:rsid w:val="00246770"/>
    <w:rsid w:val="002469DF"/>
    <w:rsid w:val="00246CD2"/>
    <w:rsid w:val="00246DCB"/>
    <w:rsid w:val="00246EC3"/>
    <w:rsid w:val="0024712A"/>
    <w:rsid w:val="0024765D"/>
    <w:rsid w:val="00247726"/>
    <w:rsid w:val="00247925"/>
    <w:rsid w:val="002479B9"/>
    <w:rsid w:val="00247AC4"/>
    <w:rsid w:val="00247EA0"/>
    <w:rsid w:val="00250B35"/>
    <w:rsid w:val="00251006"/>
    <w:rsid w:val="00251165"/>
    <w:rsid w:val="002511F6"/>
    <w:rsid w:val="0025135F"/>
    <w:rsid w:val="002513D2"/>
    <w:rsid w:val="0025148D"/>
    <w:rsid w:val="002524D5"/>
    <w:rsid w:val="0025279D"/>
    <w:rsid w:val="00252958"/>
    <w:rsid w:val="00252ADE"/>
    <w:rsid w:val="00252EF0"/>
    <w:rsid w:val="002536FF"/>
    <w:rsid w:val="00253B0D"/>
    <w:rsid w:val="00253B1D"/>
    <w:rsid w:val="00253D69"/>
    <w:rsid w:val="00253F4F"/>
    <w:rsid w:val="00254167"/>
    <w:rsid w:val="00254175"/>
    <w:rsid w:val="00254438"/>
    <w:rsid w:val="0025478E"/>
    <w:rsid w:val="0025487C"/>
    <w:rsid w:val="00254DCF"/>
    <w:rsid w:val="0025526D"/>
    <w:rsid w:val="0025534B"/>
    <w:rsid w:val="002555EC"/>
    <w:rsid w:val="00255BB7"/>
    <w:rsid w:val="0025646B"/>
    <w:rsid w:val="002567E5"/>
    <w:rsid w:val="00256931"/>
    <w:rsid w:val="00257541"/>
    <w:rsid w:val="00257746"/>
    <w:rsid w:val="00257A39"/>
    <w:rsid w:val="00257A65"/>
    <w:rsid w:val="00257AC4"/>
    <w:rsid w:val="00257BF2"/>
    <w:rsid w:val="00257E3E"/>
    <w:rsid w:val="00257EC3"/>
    <w:rsid w:val="002605B6"/>
    <w:rsid w:val="00260612"/>
    <w:rsid w:val="00260BAD"/>
    <w:rsid w:val="00260EDF"/>
    <w:rsid w:val="00260F93"/>
    <w:rsid w:val="0026138F"/>
    <w:rsid w:val="00261AFD"/>
    <w:rsid w:val="00261C96"/>
    <w:rsid w:val="00261D43"/>
    <w:rsid w:val="00261EC3"/>
    <w:rsid w:val="00261EEF"/>
    <w:rsid w:val="002621A6"/>
    <w:rsid w:val="0026259D"/>
    <w:rsid w:val="00262A1A"/>
    <w:rsid w:val="00262A87"/>
    <w:rsid w:val="00262B1E"/>
    <w:rsid w:val="00263296"/>
    <w:rsid w:val="00263543"/>
    <w:rsid w:val="00263733"/>
    <w:rsid w:val="0026376A"/>
    <w:rsid w:val="002637F8"/>
    <w:rsid w:val="002639E4"/>
    <w:rsid w:val="00264B50"/>
    <w:rsid w:val="00264D26"/>
    <w:rsid w:val="00264F10"/>
    <w:rsid w:val="0026535B"/>
    <w:rsid w:val="002654A6"/>
    <w:rsid w:val="00265D08"/>
    <w:rsid w:val="002667FE"/>
    <w:rsid w:val="00267473"/>
    <w:rsid w:val="0026755D"/>
    <w:rsid w:val="00267642"/>
    <w:rsid w:val="00267AB6"/>
    <w:rsid w:val="00267AEA"/>
    <w:rsid w:val="00267B7E"/>
    <w:rsid w:val="00267B95"/>
    <w:rsid w:val="00267C1A"/>
    <w:rsid w:val="00267D51"/>
    <w:rsid w:val="00270000"/>
    <w:rsid w:val="002700E6"/>
    <w:rsid w:val="002708C8"/>
    <w:rsid w:val="00270E94"/>
    <w:rsid w:val="00270F5F"/>
    <w:rsid w:val="00270FB3"/>
    <w:rsid w:val="00270FC5"/>
    <w:rsid w:val="00271215"/>
    <w:rsid w:val="0027130A"/>
    <w:rsid w:val="00271736"/>
    <w:rsid w:val="0027243A"/>
    <w:rsid w:val="002727F0"/>
    <w:rsid w:val="0027294B"/>
    <w:rsid w:val="00273039"/>
    <w:rsid w:val="0027304E"/>
    <w:rsid w:val="002731AD"/>
    <w:rsid w:val="00273844"/>
    <w:rsid w:val="00273B39"/>
    <w:rsid w:val="00273EB4"/>
    <w:rsid w:val="00274682"/>
    <w:rsid w:val="00274827"/>
    <w:rsid w:val="00274C42"/>
    <w:rsid w:val="002758B3"/>
    <w:rsid w:val="0027593E"/>
    <w:rsid w:val="00275B0B"/>
    <w:rsid w:val="00275C5A"/>
    <w:rsid w:val="002765DA"/>
    <w:rsid w:val="00276ACA"/>
    <w:rsid w:val="0027714B"/>
    <w:rsid w:val="0027752C"/>
    <w:rsid w:val="00277DB4"/>
    <w:rsid w:val="00280DEF"/>
    <w:rsid w:val="00280EF9"/>
    <w:rsid w:val="00280F24"/>
    <w:rsid w:val="00280F45"/>
    <w:rsid w:val="00281014"/>
    <w:rsid w:val="00281399"/>
    <w:rsid w:val="002817E5"/>
    <w:rsid w:val="00281961"/>
    <w:rsid w:val="00281CF2"/>
    <w:rsid w:val="00282644"/>
    <w:rsid w:val="00282774"/>
    <w:rsid w:val="00282921"/>
    <w:rsid w:val="00282AEE"/>
    <w:rsid w:val="00282B69"/>
    <w:rsid w:val="00283024"/>
    <w:rsid w:val="0028311B"/>
    <w:rsid w:val="00283963"/>
    <w:rsid w:val="00283BDC"/>
    <w:rsid w:val="00283E03"/>
    <w:rsid w:val="002841C2"/>
    <w:rsid w:val="0028432F"/>
    <w:rsid w:val="002844BA"/>
    <w:rsid w:val="00284FAA"/>
    <w:rsid w:val="00285C4E"/>
    <w:rsid w:val="002862C3"/>
    <w:rsid w:val="0028631E"/>
    <w:rsid w:val="0028641C"/>
    <w:rsid w:val="0028665D"/>
    <w:rsid w:val="002869C1"/>
    <w:rsid w:val="00286E0A"/>
    <w:rsid w:val="00287430"/>
    <w:rsid w:val="00287FB9"/>
    <w:rsid w:val="002900EB"/>
    <w:rsid w:val="002913ED"/>
    <w:rsid w:val="00291657"/>
    <w:rsid w:val="002921CB"/>
    <w:rsid w:val="00292700"/>
    <w:rsid w:val="00292A39"/>
    <w:rsid w:val="00292D1F"/>
    <w:rsid w:val="00292E21"/>
    <w:rsid w:val="00293478"/>
    <w:rsid w:val="002934E0"/>
    <w:rsid w:val="0029377A"/>
    <w:rsid w:val="00293942"/>
    <w:rsid w:val="00293ADF"/>
    <w:rsid w:val="00293AFA"/>
    <w:rsid w:val="002940E0"/>
    <w:rsid w:val="0029418A"/>
    <w:rsid w:val="002941CE"/>
    <w:rsid w:val="0029475E"/>
    <w:rsid w:val="0029527E"/>
    <w:rsid w:val="00295CD6"/>
    <w:rsid w:val="00295EAB"/>
    <w:rsid w:val="00296135"/>
    <w:rsid w:val="00296569"/>
    <w:rsid w:val="00296CD3"/>
    <w:rsid w:val="00296F34"/>
    <w:rsid w:val="00297945"/>
    <w:rsid w:val="002979AF"/>
    <w:rsid w:val="00297A27"/>
    <w:rsid w:val="00297E45"/>
    <w:rsid w:val="002A051C"/>
    <w:rsid w:val="002A0829"/>
    <w:rsid w:val="002A1217"/>
    <w:rsid w:val="002A14AB"/>
    <w:rsid w:val="002A18E2"/>
    <w:rsid w:val="002A1BD1"/>
    <w:rsid w:val="002A1CD0"/>
    <w:rsid w:val="002A1D27"/>
    <w:rsid w:val="002A1D80"/>
    <w:rsid w:val="002A1DE4"/>
    <w:rsid w:val="002A1E1B"/>
    <w:rsid w:val="002A1FAD"/>
    <w:rsid w:val="002A212F"/>
    <w:rsid w:val="002A23F3"/>
    <w:rsid w:val="002A2491"/>
    <w:rsid w:val="002A2ADE"/>
    <w:rsid w:val="002A2D5B"/>
    <w:rsid w:val="002A2F50"/>
    <w:rsid w:val="002A305A"/>
    <w:rsid w:val="002A325F"/>
    <w:rsid w:val="002A352F"/>
    <w:rsid w:val="002A370C"/>
    <w:rsid w:val="002A3733"/>
    <w:rsid w:val="002A45BA"/>
    <w:rsid w:val="002A4C5F"/>
    <w:rsid w:val="002A4E97"/>
    <w:rsid w:val="002A5209"/>
    <w:rsid w:val="002A5264"/>
    <w:rsid w:val="002A5680"/>
    <w:rsid w:val="002A58DA"/>
    <w:rsid w:val="002A5B0E"/>
    <w:rsid w:val="002A5E9B"/>
    <w:rsid w:val="002A65CA"/>
    <w:rsid w:val="002A6638"/>
    <w:rsid w:val="002A6778"/>
    <w:rsid w:val="002A687B"/>
    <w:rsid w:val="002A6D3E"/>
    <w:rsid w:val="002B05A1"/>
    <w:rsid w:val="002B09A4"/>
    <w:rsid w:val="002B09B7"/>
    <w:rsid w:val="002B0BDA"/>
    <w:rsid w:val="002B1124"/>
    <w:rsid w:val="002B17CA"/>
    <w:rsid w:val="002B1C1F"/>
    <w:rsid w:val="002B225C"/>
    <w:rsid w:val="002B2937"/>
    <w:rsid w:val="002B2ACD"/>
    <w:rsid w:val="002B2BFF"/>
    <w:rsid w:val="002B3E0E"/>
    <w:rsid w:val="002B432F"/>
    <w:rsid w:val="002B4736"/>
    <w:rsid w:val="002B4E7C"/>
    <w:rsid w:val="002B5193"/>
    <w:rsid w:val="002B5AC2"/>
    <w:rsid w:val="002B5EE0"/>
    <w:rsid w:val="002B62B3"/>
    <w:rsid w:val="002B6754"/>
    <w:rsid w:val="002B696C"/>
    <w:rsid w:val="002B6CCE"/>
    <w:rsid w:val="002B6CD5"/>
    <w:rsid w:val="002B7A71"/>
    <w:rsid w:val="002B7AA3"/>
    <w:rsid w:val="002B7BBD"/>
    <w:rsid w:val="002B7ED2"/>
    <w:rsid w:val="002C0351"/>
    <w:rsid w:val="002C1355"/>
    <w:rsid w:val="002C14AA"/>
    <w:rsid w:val="002C1A20"/>
    <w:rsid w:val="002C1B35"/>
    <w:rsid w:val="002C1EC8"/>
    <w:rsid w:val="002C1EE7"/>
    <w:rsid w:val="002C24EF"/>
    <w:rsid w:val="002C2510"/>
    <w:rsid w:val="002C25D8"/>
    <w:rsid w:val="002C2756"/>
    <w:rsid w:val="002C2775"/>
    <w:rsid w:val="002C27C1"/>
    <w:rsid w:val="002C2CCA"/>
    <w:rsid w:val="002C2CD3"/>
    <w:rsid w:val="002C3258"/>
    <w:rsid w:val="002C34BB"/>
    <w:rsid w:val="002C34DA"/>
    <w:rsid w:val="002C380D"/>
    <w:rsid w:val="002C42C1"/>
    <w:rsid w:val="002C4BD1"/>
    <w:rsid w:val="002C4C37"/>
    <w:rsid w:val="002C4D82"/>
    <w:rsid w:val="002C5099"/>
    <w:rsid w:val="002C5889"/>
    <w:rsid w:val="002C58E1"/>
    <w:rsid w:val="002C5B33"/>
    <w:rsid w:val="002C5E11"/>
    <w:rsid w:val="002C61CB"/>
    <w:rsid w:val="002C6332"/>
    <w:rsid w:val="002C6807"/>
    <w:rsid w:val="002C6D44"/>
    <w:rsid w:val="002C6E0D"/>
    <w:rsid w:val="002C6F0D"/>
    <w:rsid w:val="002C71CE"/>
    <w:rsid w:val="002C72F7"/>
    <w:rsid w:val="002C771F"/>
    <w:rsid w:val="002C7ED7"/>
    <w:rsid w:val="002D0173"/>
    <w:rsid w:val="002D08F8"/>
    <w:rsid w:val="002D0964"/>
    <w:rsid w:val="002D0F81"/>
    <w:rsid w:val="002D17B8"/>
    <w:rsid w:val="002D2122"/>
    <w:rsid w:val="002D28B0"/>
    <w:rsid w:val="002D3077"/>
    <w:rsid w:val="002D33BC"/>
    <w:rsid w:val="002D3BE6"/>
    <w:rsid w:val="002D41B4"/>
    <w:rsid w:val="002D4297"/>
    <w:rsid w:val="002D43DC"/>
    <w:rsid w:val="002D4663"/>
    <w:rsid w:val="002D47FA"/>
    <w:rsid w:val="002D4FF1"/>
    <w:rsid w:val="002D549F"/>
    <w:rsid w:val="002D577C"/>
    <w:rsid w:val="002D5A39"/>
    <w:rsid w:val="002D5AAF"/>
    <w:rsid w:val="002D5E86"/>
    <w:rsid w:val="002D5ED0"/>
    <w:rsid w:val="002D64E1"/>
    <w:rsid w:val="002D698F"/>
    <w:rsid w:val="002D6E7A"/>
    <w:rsid w:val="002D6EC2"/>
    <w:rsid w:val="002D75A0"/>
    <w:rsid w:val="002D7913"/>
    <w:rsid w:val="002D7942"/>
    <w:rsid w:val="002E004B"/>
    <w:rsid w:val="002E013F"/>
    <w:rsid w:val="002E056C"/>
    <w:rsid w:val="002E0B92"/>
    <w:rsid w:val="002E1071"/>
    <w:rsid w:val="002E12DF"/>
    <w:rsid w:val="002E14AE"/>
    <w:rsid w:val="002E14C7"/>
    <w:rsid w:val="002E15B9"/>
    <w:rsid w:val="002E1616"/>
    <w:rsid w:val="002E20C7"/>
    <w:rsid w:val="002E2158"/>
    <w:rsid w:val="002E2711"/>
    <w:rsid w:val="002E276F"/>
    <w:rsid w:val="002E2988"/>
    <w:rsid w:val="002E2B5E"/>
    <w:rsid w:val="002E32B4"/>
    <w:rsid w:val="002E3467"/>
    <w:rsid w:val="002E3656"/>
    <w:rsid w:val="002E368A"/>
    <w:rsid w:val="002E3C27"/>
    <w:rsid w:val="002E434C"/>
    <w:rsid w:val="002E476B"/>
    <w:rsid w:val="002E476E"/>
    <w:rsid w:val="002E4A98"/>
    <w:rsid w:val="002E4F02"/>
    <w:rsid w:val="002E536E"/>
    <w:rsid w:val="002E544A"/>
    <w:rsid w:val="002E5655"/>
    <w:rsid w:val="002E5A01"/>
    <w:rsid w:val="002E5E9F"/>
    <w:rsid w:val="002E603F"/>
    <w:rsid w:val="002E60FA"/>
    <w:rsid w:val="002E6787"/>
    <w:rsid w:val="002E6FC0"/>
    <w:rsid w:val="002E7062"/>
    <w:rsid w:val="002E7722"/>
    <w:rsid w:val="002E7907"/>
    <w:rsid w:val="002F02AE"/>
    <w:rsid w:val="002F07BA"/>
    <w:rsid w:val="002F0D06"/>
    <w:rsid w:val="002F0D78"/>
    <w:rsid w:val="002F0DA9"/>
    <w:rsid w:val="002F1014"/>
    <w:rsid w:val="002F104A"/>
    <w:rsid w:val="002F1264"/>
    <w:rsid w:val="002F16A5"/>
    <w:rsid w:val="002F1BAA"/>
    <w:rsid w:val="002F1BAC"/>
    <w:rsid w:val="002F26F3"/>
    <w:rsid w:val="002F2A89"/>
    <w:rsid w:val="002F2F96"/>
    <w:rsid w:val="002F389B"/>
    <w:rsid w:val="002F3987"/>
    <w:rsid w:val="002F3A7F"/>
    <w:rsid w:val="002F3E12"/>
    <w:rsid w:val="002F433D"/>
    <w:rsid w:val="002F443E"/>
    <w:rsid w:val="002F446E"/>
    <w:rsid w:val="002F4512"/>
    <w:rsid w:val="002F46F4"/>
    <w:rsid w:val="002F5762"/>
    <w:rsid w:val="002F5A28"/>
    <w:rsid w:val="002F5B41"/>
    <w:rsid w:val="002F5D85"/>
    <w:rsid w:val="002F643C"/>
    <w:rsid w:val="002F65A3"/>
    <w:rsid w:val="002F6A2E"/>
    <w:rsid w:val="002F6F79"/>
    <w:rsid w:val="002F71C0"/>
    <w:rsid w:val="002F73B2"/>
    <w:rsid w:val="002F74F1"/>
    <w:rsid w:val="002F758B"/>
    <w:rsid w:val="002F7774"/>
    <w:rsid w:val="002F7C13"/>
    <w:rsid w:val="002F7F4B"/>
    <w:rsid w:val="003009A4"/>
    <w:rsid w:val="00300A9A"/>
    <w:rsid w:val="00300D4B"/>
    <w:rsid w:val="00301017"/>
    <w:rsid w:val="00301081"/>
    <w:rsid w:val="00301383"/>
    <w:rsid w:val="0030155F"/>
    <w:rsid w:val="003015B1"/>
    <w:rsid w:val="0030212A"/>
    <w:rsid w:val="00302139"/>
    <w:rsid w:val="003022AD"/>
    <w:rsid w:val="00303776"/>
    <w:rsid w:val="00303A07"/>
    <w:rsid w:val="00303CBB"/>
    <w:rsid w:val="003040AF"/>
    <w:rsid w:val="00304661"/>
    <w:rsid w:val="0030471A"/>
    <w:rsid w:val="00304789"/>
    <w:rsid w:val="003051E3"/>
    <w:rsid w:val="003056B7"/>
    <w:rsid w:val="0030587B"/>
    <w:rsid w:val="00305CC2"/>
    <w:rsid w:val="00305CF7"/>
    <w:rsid w:val="00306254"/>
    <w:rsid w:val="00306D98"/>
    <w:rsid w:val="0030713D"/>
    <w:rsid w:val="003072A6"/>
    <w:rsid w:val="003072EA"/>
    <w:rsid w:val="0030786C"/>
    <w:rsid w:val="00307C55"/>
    <w:rsid w:val="00307FDB"/>
    <w:rsid w:val="0031024B"/>
    <w:rsid w:val="0031031A"/>
    <w:rsid w:val="00310981"/>
    <w:rsid w:val="00310AB0"/>
    <w:rsid w:val="00310FA1"/>
    <w:rsid w:val="0031151E"/>
    <w:rsid w:val="00311735"/>
    <w:rsid w:val="003119B2"/>
    <w:rsid w:val="00311CCD"/>
    <w:rsid w:val="00312003"/>
    <w:rsid w:val="003124D9"/>
    <w:rsid w:val="00312594"/>
    <w:rsid w:val="00312881"/>
    <w:rsid w:val="003128F3"/>
    <w:rsid w:val="00312B4D"/>
    <w:rsid w:val="00312C57"/>
    <w:rsid w:val="00313612"/>
    <w:rsid w:val="00313746"/>
    <w:rsid w:val="00315425"/>
    <w:rsid w:val="00315498"/>
    <w:rsid w:val="00315516"/>
    <w:rsid w:val="003158AC"/>
    <w:rsid w:val="00315F61"/>
    <w:rsid w:val="0031601F"/>
    <w:rsid w:val="00316474"/>
    <w:rsid w:val="003165F6"/>
    <w:rsid w:val="00316758"/>
    <w:rsid w:val="0031685A"/>
    <w:rsid w:val="00316D0B"/>
    <w:rsid w:val="00317104"/>
    <w:rsid w:val="0031756D"/>
    <w:rsid w:val="00317C01"/>
    <w:rsid w:val="003200CC"/>
    <w:rsid w:val="00320582"/>
    <w:rsid w:val="00320D0F"/>
    <w:rsid w:val="003218CD"/>
    <w:rsid w:val="00321E0C"/>
    <w:rsid w:val="00321FD9"/>
    <w:rsid w:val="00322107"/>
    <w:rsid w:val="00322355"/>
    <w:rsid w:val="00322515"/>
    <w:rsid w:val="00322732"/>
    <w:rsid w:val="00322846"/>
    <w:rsid w:val="00322A0A"/>
    <w:rsid w:val="00322A51"/>
    <w:rsid w:val="00322BCE"/>
    <w:rsid w:val="00322DF3"/>
    <w:rsid w:val="00322F85"/>
    <w:rsid w:val="00323051"/>
    <w:rsid w:val="0032318A"/>
    <w:rsid w:val="00323566"/>
    <w:rsid w:val="003238DB"/>
    <w:rsid w:val="00323E89"/>
    <w:rsid w:val="00324347"/>
    <w:rsid w:val="0032496D"/>
    <w:rsid w:val="00324C96"/>
    <w:rsid w:val="00324E6D"/>
    <w:rsid w:val="00324EDF"/>
    <w:rsid w:val="00324FAD"/>
    <w:rsid w:val="003258E6"/>
    <w:rsid w:val="00325BD3"/>
    <w:rsid w:val="003262D1"/>
    <w:rsid w:val="00326DA7"/>
    <w:rsid w:val="003270E4"/>
    <w:rsid w:val="00327DA3"/>
    <w:rsid w:val="00327E16"/>
    <w:rsid w:val="0033054F"/>
    <w:rsid w:val="003309C2"/>
    <w:rsid w:val="00330D7C"/>
    <w:rsid w:val="00330DAA"/>
    <w:rsid w:val="00330F5C"/>
    <w:rsid w:val="00330F94"/>
    <w:rsid w:val="00331049"/>
    <w:rsid w:val="003310DD"/>
    <w:rsid w:val="003314E7"/>
    <w:rsid w:val="0033216C"/>
    <w:rsid w:val="00332647"/>
    <w:rsid w:val="003329F4"/>
    <w:rsid w:val="00332B10"/>
    <w:rsid w:val="00332CEC"/>
    <w:rsid w:val="00332F0E"/>
    <w:rsid w:val="00333278"/>
    <w:rsid w:val="0033327D"/>
    <w:rsid w:val="00333283"/>
    <w:rsid w:val="00333E42"/>
    <w:rsid w:val="003345B7"/>
    <w:rsid w:val="00334BF4"/>
    <w:rsid w:val="00334CF5"/>
    <w:rsid w:val="00334EE6"/>
    <w:rsid w:val="003351B1"/>
    <w:rsid w:val="00335900"/>
    <w:rsid w:val="00335913"/>
    <w:rsid w:val="003359F8"/>
    <w:rsid w:val="00335A5A"/>
    <w:rsid w:val="00336239"/>
    <w:rsid w:val="003362FE"/>
    <w:rsid w:val="00336410"/>
    <w:rsid w:val="003366C9"/>
    <w:rsid w:val="00337015"/>
    <w:rsid w:val="003371B0"/>
    <w:rsid w:val="003377AE"/>
    <w:rsid w:val="00337995"/>
    <w:rsid w:val="00340779"/>
    <w:rsid w:val="00340DF1"/>
    <w:rsid w:val="00341389"/>
    <w:rsid w:val="00341AA0"/>
    <w:rsid w:val="003420C2"/>
    <w:rsid w:val="0034270F"/>
    <w:rsid w:val="003430B0"/>
    <w:rsid w:val="003433A1"/>
    <w:rsid w:val="00343AE1"/>
    <w:rsid w:val="00343D42"/>
    <w:rsid w:val="00343E13"/>
    <w:rsid w:val="00343EA1"/>
    <w:rsid w:val="00344963"/>
    <w:rsid w:val="0034504B"/>
    <w:rsid w:val="00345156"/>
    <w:rsid w:val="00345160"/>
    <w:rsid w:val="00345217"/>
    <w:rsid w:val="003458E7"/>
    <w:rsid w:val="00346101"/>
    <w:rsid w:val="00346349"/>
    <w:rsid w:val="0034694E"/>
    <w:rsid w:val="00346D40"/>
    <w:rsid w:val="00346E8F"/>
    <w:rsid w:val="003475AD"/>
    <w:rsid w:val="003475FD"/>
    <w:rsid w:val="0034764E"/>
    <w:rsid w:val="00347B07"/>
    <w:rsid w:val="00347E5D"/>
    <w:rsid w:val="003503F4"/>
    <w:rsid w:val="00350EA2"/>
    <w:rsid w:val="00351255"/>
    <w:rsid w:val="003516C2"/>
    <w:rsid w:val="003517F9"/>
    <w:rsid w:val="00351BA9"/>
    <w:rsid w:val="0035213C"/>
    <w:rsid w:val="003521C6"/>
    <w:rsid w:val="0035223D"/>
    <w:rsid w:val="003525E0"/>
    <w:rsid w:val="00352D8E"/>
    <w:rsid w:val="0035318F"/>
    <w:rsid w:val="0035349B"/>
    <w:rsid w:val="00354190"/>
    <w:rsid w:val="003541BC"/>
    <w:rsid w:val="0035499B"/>
    <w:rsid w:val="00354F4E"/>
    <w:rsid w:val="00354F64"/>
    <w:rsid w:val="0035562F"/>
    <w:rsid w:val="00355920"/>
    <w:rsid w:val="0035608F"/>
    <w:rsid w:val="0035620E"/>
    <w:rsid w:val="0035649A"/>
    <w:rsid w:val="00356667"/>
    <w:rsid w:val="003573AE"/>
    <w:rsid w:val="003576A8"/>
    <w:rsid w:val="00357940"/>
    <w:rsid w:val="003579EA"/>
    <w:rsid w:val="00357F2C"/>
    <w:rsid w:val="00360345"/>
    <w:rsid w:val="0036072E"/>
    <w:rsid w:val="00361388"/>
    <w:rsid w:val="003618D1"/>
    <w:rsid w:val="00361A05"/>
    <w:rsid w:val="00361C07"/>
    <w:rsid w:val="00361ECB"/>
    <w:rsid w:val="003624C4"/>
    <w:rsid w:val="00362C9F"/>
    <w:rsid w:val="00362DDF"/>
    <w:rsid w:val="00363B00"/>
    <w:rsid w:val="00363DAE"/>
    <w:rsid w:val="0036418A"/>
    <w:rsid w:val="003647EB"/>
    <w:rsid w:val="0036521D"/>
    <w:rsid w:val="003654AC"/>
    <w:rsid w:val="00365D1D"/>
    <w:rsid w:val="00365D30"/>
    <w:rsid w:val="00366A4E"/>
    <w:rsid w:val="0036723F"/>
    <w:rsid w:val="00367538"/>
    <w:rsid w:val="00367F37"/>
    <w:rsid w:val="003700E6"/>
    <w:rsid w:val="003701E3"/>
    <w:rsid w:val="003701E8"/>
    <w:rsid w:val="00370427"/>
    <w:rsid w:val="00370F56"/>
    <w:rsid w:val="00370FD4"/>
    <w:rsid w:val="003710CF"/>
    <w:rsid w:val="003712D7"/>
    <w:rsid w:val="00371381"/>
    <w:rsid w:val="0037288E"/>
    <w:rsid w:val="003728DE"/>
    <w:rsid w:val="0037324F"/>
    <w:rsid w:val="003733D2"/>
    <w:rsid w:val="0037358A"/>
    <w:rsid w:val="003735E8"/>
    <w:rsid w:val="00373698"/>
    <w:rsid w:val="00373AE7"/>
    <w:rsid w:val="00374014"/>
    <w:rsid w:val="00374780"/>
    <w:rsid w:val="00374DBF"/>
    <w:rsid w:val="00374DF2"/>
    <w:rsid w:val="00374FCC"/>
    <w:rsid w:val="003750F6"/>
    <w:rsid w:val="00375138"/>
    <w:rsid w:val="00375488"/>
    <w:rsid w:val="003759A1"/>
    <w:rsid w:val="00375A96"/>
    <w:rsid w:val="00375B22"/>
    <w:rsid w:val="00375F40"/>
    <w:rsid w:val="003760FC"/>
    <w:rsid w:val="00376419"/>
    <w:rsid w:val="0037652E"/>
    <w:rsid w:val="0037657A"/>
    <w:rsid w:val="0037667C"/>
    <w:rsid w:val="00376BA0"/>
    <w:rsid w:val="00376E92"/>
    <w:rsid w:val="00377604"/>
    <w:rsid w:val="0037783A"/>
    <w:rsid w:val="00377C10"/>
    <w:rsid w:val="00381BE9"/>
    <w:rsid w:val="00381F46"/>
    <w:rsid w:val="0038204D"/>
    <w:rsid w:val="003827C5"/>
    <w:rsid w:val="00382AE2"/>
    <w:rsid w:val="003832FA"/>
    <w:rsid w:val="0038365C"/>
    <w:rsid w:val="0038369B"/>
    <w:rsid w:val="003836A6"/>
    <w:rsid w:val="00383AF3"/>
    <w:rsid w:val="00383B78"/>
    <w:rsid w:val="003840AD"/>
    <w:rsid w:val="003848EB"/>
    <w:rsid w:val="00384926"/>
    <w:rsid w:val="00384972"/>
    <w:rsid w:val="003849B0"/>
    <w:rsid w:val="00384A0E"/>
    <w:rsid w:val="00384A6A"/>
    <w:rsid w:val="0038587D"/>
    <w:rsid w:val="0038595D"/>
    <w:rsid w:val="0038599E"/>
    <w:rsid w:val="00385A9D"/>
    <w:rsid w:val="00385BEC"/>
    <w:rsid w:val="0038750C"/>
    <w:rsid w:val="00387D53"/>
    <w:rsid w:val="00387FCD"/>
    <w:rsid w:val="003902B1"/>
    <w:rsid w:val="0039039C"/>
    <w:rsid w:val="0039068F"/>
    <w:rsid w:val="00390A16"/>
    <w:rsid w:val="00390D2A"/>
    <w:rsid w:val="003912DF"/>
    <w:rsid w:val="0039179C"/>
    <w:rsid w:val="00391D8B"/>
    <w:rsid w:val="00392121"/>
    <w:rsid w:val="00392547"/>
    <w:rsid w:val="00392AC9"/>
    <w:rsid w:val="00392BF0"/>
    <w:rsid w:val="0039362A"/>
    <w:rsid w:val="00393690"/>
    <w:rsid w:val="00393C0D"/>
    <w:rsid w:val="003942DA"/>
    <w:rsid w:val="00394547"/>
    <w:rsid w:val="00394783"/>
    <w:rsid w:val="00394B9F"/>
    <w:rsid w:val="00394E34"/>
    <w:rsid w:val="00395467"/>
    <w:rsid w:val="00395667"/>
    <w:rsid w:val="00395DC9"/>
    <w:rsid w:val="00396834"/>
    <w:rsid w:val="0039684F"/>
    <w:rsid w:val="00396879"/>
    <w:rsid w:val="00396896"/>
    <w:rsid w:val="00396BEC"/>
    <w:rsid w:val="00396CFA"/>
    <w:rsid w:val="00396FD0"/>
    <w:rsid w:val="003972BD"/>
    <w:rsid w:val="0039764A"/>
    <w:rsid w:val="00397ACA"/>
    <w:rsid w:val="00397B1F"/>
    <w:rsid w:val="00397C21"/>
    <w:rsid w:val="00397C48"/>
    <w:rsid w:val="003A01E8"/>
    <w:rsid w:val="003A024D"/>
    <w:rsid w:val="003A02BA"/>
    <w:rsid w:val="003A0AA9"/>
    <w:rsid w:val="003A1444"/>
    <w:rsid w:val="003A1655"/>
    <w:rsid w:val="003A193B"/>
    <w:rsid w:val="003A1A68"/>
    <w:rsid w:val="003A1A7A"/>
    <w:rsid w:val="003A2392"/>
    <w:rsid w:val="003A2831"/>
    <w:rsid w:val="003A2A7E"/>
    <w:rsid w:val="003A30E2"/>
    <w:rsid w:val="003A354B"/>
    <w:rsid w:val="003A354D"/>
    <w:rsid w:val="003A3720"/>
    <w:rsid w:val="003A3CB6"/>
    <w:rsid w:val="003A3ED1"/>
    <w:rsid w:val="003A42FC"/>
    <w:rsid w:val="003A44DB"/>
    <w:rsid w:val="003A4500"/>
    <w:rsid w:val="003A4515"/>
    <w:rsid w:val="003A4A04"/>
    <w:rsid w:val="003A4BA7"/>
    <w:rsid w:val="003A50F0"/>
    <w:rsid w:val="003A5407"/>
    <w:rsid w:val="003A5A03"/>
    <w:rsid w:val="003A5B27"/>
    <w:rsid w:val="003A6245"/>
    <w:rsid w:val="003A65C8"/>
    <w:rsid w:val="003A66B7"/>
    <w:rsid w:val="003A672E"/>
    <w:rsid w:val="003A6A7A"/>
    <w:rsid w:val="003A6D0C"/>
    <w:rsid w:val="003A70D1"/>
    <w:rsid w:val="003A7737"/>
    <w:rsid w:val="003A7C29"/>
    <w:rsid w:val="003B0035"/>
    <w:rsid w:val="003B024F"/>
    <w:rsid w:val="003B032E"/>
    <w:rsid w:val="003B039E"/>
    <w:rsid w:val="003B0440"/>
    <w:rsid w:val="003B0A92"/>
    <w:rsid w:val="003B0C43"/>
    <w:rsid w:val="003B0DC8"/>
    <w:rsid w:val="003B109D"/>
    <w:rsid w:val="003B156F"/>
    <w:rsid w:val="003B15AC"/>
    <w:rsid w:val="003B1FFD"/>
    <w:rsid w:val="003B2839"/>
    <w:rsid w:val="003B2A45"/>
    <w:rsid w:val="003B2E86"/>
    <w:rsid w:val="003B2EDB"/>
    <w:rsid w:val="003B30B3"/>
    <w:rsid w:val="003B3316"/>
    <w:rsid w:val="003B332A"/>
    <w:rsid w:val="003B368B"/>
    <w:rsid w:val="003B3971"/>
    <w:rsid w:val="003B4183"/>
    <w:rsid w:val="003B43C0"/>
    <w:rsid w:val="003B448F"/>
    <w:rsid w:val="003B4EFC"/>
    <w:rsid w:val="003B5452"/>
    <w:rsid w:val="003B55D1"/>
    <w:rsid w:val="003B5756"/>
    <w:rsid w:val="003B594D"/>
    <w:rsid w:val="003B5A04"/>
    <w:rsid w:val="003B5B61"/>
    <w:rsid w:val="003B5FE3"/>
    <w:rsid w:val="003B62CC"/>
    <w:rsid w:val="003B673C"/>
    <w:rsid w:val="003B6C6C"/>
    <w:rsid w:val="003B6F72"/>
    <w:rsid w:val="003B7703"/>
    <w:rsid w:val="003B7772"/>
    <w:rsid w:val="003C02C9"/>
    <w:rsid w:val="003C0663"/>
    <w:rsid w:val="003C07A7"/>
    <w:rsid w:val="003C1654"/>
    <w:rsid w:val="003C1C6F"/>
    <w:rsid w:val="003C2BF8"/>
    <w:rsid w:val="003C2EAF"/>
    <w:rsid w:val="003C3055"/>
    <w:rsid w:val="003C3B95"/>
    <w:rsid w:val="003C467A"/>
    <w:rsid w:val="003C4944"/>
    <w:rsid w:val="003C4C05"/>
    <w:rsid w:val="003C4C83"/>
    <w:rsid w:val="003C5542"/>
    <w:rsid w:val="003C5803"/>
    <w:rsid w:val="003C67AC"/>
    <w:rsid w:val="003C68F7"/>
    <w:rsid w:val="003C6C23"/>
    <w:rsid w:val="003C6EEC"/>
    <w:rsid w:val="003C6F9B"/>
    <w:rsid w:val="003C7B2C"/>
    <w:rsid w:val="003C7D19"/>
    <w:rsid w:val="003C7D2F"/>
    <w:rsid w:val="003C7E68"/>
    <w:rsid w:val="003D036A"/>
    <w:rsid w:val="003D0B26"/>
    <w:rsid w:val="003D149A"/>
    <w:rsid w:val="003D1828"/>
    <w:rsid w:val="003D18DE"/>
    <w:rsid w:val="003D1968"/>
    <w:rsid w:val="003D1DE4"/>
    <w:rsid w:val="003D1E7A"/>
    <w:rsid w:val="003D1E9A"/>
    <w:rsid w:val="003D2422"/>
    <w:rsid w:val="003D3110"/>
    <w:rsid w:val="003D37E8"/>
    <w:rsid w:val="003D39A1"/>
    <w:rsid w:val="003D3FBF"/>
    <w:rsid w:val="003D406A"/>
    <w:rsid w:val="003D444F"/>
    <w:rsid w:val="003D45EC"/>
    <w:rsid w:val="003D48A7"/>
    <w:rsid w:val="003D4A30"/>
    <w:rsid w:val="003D4B0A"/>
    <w:rsid w:val="003D5A76"/>
    <w:rsid w:val="003D5B62"/>
    <w:rsid w:val="003D5E9B"/>
    <w:rsid w:val="003D6317"/>
    <w:rsid w:val="003D646E"/>
    <w:rsid w:val="003D6676"/>
    <w:rsid w:val="003D6D08"/>
    <w:rsid w:val="003D6E3C"/>
    <w:rsid w:val="003D72F2"/>
    <w:rsid w:val="003D7452"/>
    <w:rsid w:val="003D763A"/>
    <w:rsid w:val="003D79BB"/>
    <w:rsid w:val="003D7A89"/>
    <w:rsid w:val="003D7C98"/>
    <w:rsid w:val="003D7D9D"/>
    <w:rsid w:val="003E03DE"/>
    <w:rsid w:val="003E0543"/>
    <w:rsid w:val="003E1972"/>
    <w:rsid w:val="003E1BAC"/>
    <w:rsid w:val="003E1DBC"/>
    <w:rsid w:val="003E1DEE"/>
    <w:rsid w:val="003E1F52"/>
    <w:rsid w:val="003E2119"/>
    <w:rsid w:val="003E2146"/>
    <w:rsid w:val="003E22C3"/>
    <w:rsid w:val="003E2333"/>
    <w:rsid w:val="003E27F0"/>
    <w:rsid w:val="003E2C50"/>
    <w:rsid w:val="003E337C"/>
    <w:rsid w:val="003E3884"/>
    <w:rsid w:val="003E3C1B"/>
    <w:rsid w:val="003E3ECE"/>
    <w:rsid w:val="003E4D66"/>
    <w:rsid w:val="003E5024"/>
    <w:rsid w:val="003E5CCB"/>
    <w:rsid w:val="003E5E52"/>
    <w:rsid w:val="003E5F5B"/>
    <w:rsid w:val="003E6C52"/>
    <w:rsid w:val="003E6F7E"/>
    <w:rsid w:val="003E71FC"/>
    <w:rsid w:val="003E73A4"/>
    <w:rsid w:val="003E749E"/>
    <w:rsid w:val="003E777D"/>
    <w:rsid w:val="003E7BA8"/>
    <w:rsid w:val="003E7E73"/>
    <w:rsid w:val="003F0891"/>
    <w:rsid w:val="003F09E1"/>
    <w:rsid w:val="003F0CA2"/>
    <w:rsid w:val="003F0DF6"/>
    <w:rsid w:val="003F1496"/>
    <w:rsid w:val="003F17A1"/>
    <w:rsid w:val="003F1825"/>
    <w:rsid w:val="003F1B6C"/>
    <w:rsid w:val="003F1CFE"/>
    <w:rsid w:val="003F21D8"/>
    <w:rsid w:val="003F2224"/>
    <w:rsid w:val="003F305A"/>
    <w:rsid w:val="003F3074"/>
    <w:rsid w:val="003F3480"/>
    <w:rsid w:val="003F35C9"/>
    <w:rsid w:val="003F35E2"/>
    <w:rsid w:val="003F3633"/>
    <w:rsid w:val="003F3684"/>
    <w:rsid w:val="003F3800"/>
    <w:rsid w:val="003F4156"/>
    <w:rsid w:val="003F5270"/>
    <w:rsid w:val="003F5515"/>
    <w:rsid w:val="003F558A"/>
    <w:rsid w:val="003F564E"/>
    <w:rsid w:val="003F5ADF"/>
    <w:rsid w:val="003F5DB7"/>
    <w:rsid w:val="003F5F9E"/>
    <w:rsid w:val="003F60D1"/>
    <w:rsid w:val="003F66D1"/>
    <w:rsid w:val="003F6C65"/>
    <w:rsid w:val="003F6D06"/>
    <w:rsid w:val="003F6D7E"/>
    <w:rsid w:val="003F7206"/>
    <w:rsid w:val="003F724E"/>
    <w:rsid w:val="003F7C53"/>
    <w:rsid w:val="003F7D68"/>
    <w:rsid w:val="004002FE"/>
    <w:rsid w:val="0040078C"/>
    <w:rsid w:val="004009D3"/>
    <w:rsid w:val="00400B29"/>
    <w:rsid w:val="00400B98"/>
    <w:rsid w:val="00400E63"/>
    <w:rsid w:val="00401332"/>
    <w:rsid w:val="00401520"/>
    <w:rsid w:val="00401BE8"/>
    <w:rsid w:val="00402839"/>
    <w:rsid w:val="004032BF"/>
    <w:rsid w:val="00403367"/>
    <w:rsid w:val="004037B4"/>
    <w:rsid w:val="00403AE1"/>
    <w:rsid w:val="00403E0B"/>
    <w:rsid w:val="004042EC"/>
    <w:rsid w:val="004043C7"/>
    <w:rsid w:val="00404E79"/>
    <w:rsid w:val="0040504B"/>
    <w:rsid w:val="0040595D"/>
    <w:rsid w:val="004059CD"/>
    <w:rsid w:val="004059F4"/>
    <w:rsid w:val="00405BEC"/>
    <w:rsid w:val="00406390"/>
    <w:rsid w:val="00406924"/>
    <w:rsid w:val="00406DFF"/>
    <w:rsid w:val="00406ED4"/>
    <w:rsid w:val="004070C0"/>
    <w:rsid w:val="004073B5"/>
    <w:rsid w:val="00407543"/>
    <w:rsid w:val="00407695"/>
    <w:rsid w:val="00407BA8"/>
    <w:rsid w:val="00407DC3"/>
    <w:rsid w:val="00407DF8"/>
    <w:rsid w:val="00407FE5"/>
    <w:rsid w:val="004101B0"/>
    <w:rsid w:val="00410326"/>
    <w:rsid w:val="004103D9"/>
    <w:rsid w:val="00410708"/>
    <w:rsid w:val="00410DE2"/>
    <w:rsid w:val="00410EC7"/>
    <w:rsid w:val="0041103F"/>
    <w:rsid w:val="004111A1"/>
    <w:rsid w:val="00411491"/>
    <w:rsid w:val="00411B39"/>
    <w:rsid w:val="00411BBA"/>
    <w:rsid w:val="00411C81"/>
    <w:rsid w:val="00411EC6"/>
    <w:rsid w:val="00412457"/>
    <w:rsid w:val="0041248A"/>
    <w:rsid w:val="00412670"/>
    <w:rsid w:val="004127A7"/>
    <w:rsid w:val="00412A84"/>
    <w:rsid w:val="0041310D"/>
    <w:rsid w:val="0041325E"/>
    <w:rsid w:val="004132D1"/>
    <w:rsid w:val="004138E4"/>
    <w:rsid w:val="00413A1E"/>
    <w:rsid w:val="00413D06"/>
    <w:rsid w:val="00413DFE"/>
    <w:rsid w:val="00413F80"/>
    <w:rsid w:val="00414059"/>
    <w:rsid w:val="004140D2"/>
    <w:rsid w:val="00414476"/>
    <w:rsid w:val="00414C2E"/>
    <w:rsid w:val="00414C38"/>
    <w:rsid w:val="00414D29"/>
    <w:rsid w:val="00414E8D"/>
    <w:rsid w:val="00414F33"/>
    <w:rsid w:val="0041503E"/>
    <w:rsid w:val="0041513C"/>
    <w:rsid w:val="004151CF"/>
    <w:rsid w:val="004152C4"/>
    <w:rsid w:val="00415718"/>
    <w:rsid w:val="00415A5E"/>
    <w:rsid w:val="0041634C"/>
    <w:rsid w:val="00416364"/>
    <w:rsid w:val="0041647D"/>
    <w:rsid w:val="004165A8"/>
    <w:rsid w:val="0041667C"/>
    <w:rsid w:val="004166FD"/>
    <w:rsid w:val="00416F35"/>
    <w:rsid w:val="00417181"/>
    <w:rsid w:val="00417197"/>
    <w:rsid w:val="00417838"/>
    <w:rsid w:val="00417845"/>
    <w:rsid w:val="00417DDC"/>
    <w:rsid w:val="00417ED0"/>
    <w:rsid w:val="0042047F"/>
    <w:rsid w:val="00420AA6"/>
    <w:rsid w:val="00420B9F"/>
    <w:rsid w:val="00420FA1"/>
    <w:rsid w:val="004211D8"/>
    <w:rsid w:val="004211FF"/>
    <w:rsid w:val="004214F7"/>
    <w:rsid w:val="00421674"/>
    <w:rsid w:val="004216AE"/>
    <w:rsid w:val="0042192C"/>
    <w:rsid w:val="00421D21"/>
    <w:rsid w:val="00422260"/>
    <w:rsid w:val="004223CF"/>
    <w:rsid w:val="004223ED"/>
    <w:rsid w:val="00422828"/>
    <w:rsid w:val="00422BE3"/>
    <w:rsid w:val="00422ECE"/>
    <w:rsid w:val="004230EC"/>
    <w:rsid w:val="00423208"/>
    <w:rsid w:val="00423876"/>
    <w:rsid w:val="00423B94"/>
    <w:rsid w:val="00423BD9"/>
    <w:rsid w:val="0042413F"/>
    <w:rsid w:val="00424324"/>
    <w:rsid w:val="00424449"/>
    <w:rsid w:val="00424B69"/>
    <w:rsid w:val="0042516F"/>
    <w:rsid w:val="0042536C"/>
    <w:rsid w:val="00425BDF"/>
    <w:rsid w:val="00426197"/>
    <w:rsid w:val="004265BA"/>
    <w:rsid w:val="004269F7"/>
    <w:rsid w:val="00426F01"/>
    <w:rsid w:val="00427077"/>
    <w:rsid w:val="00427126"/>
    <w:rsid w:val="004272A3"/>
    <w:rsid w:val="0042741F"/>
    <w:rsid w:val="00427619"/>
    <w:rsid w:val="004277AA"/>
    <w:rsid w:val="00427CA0"/>
    <w:rsid w:val="00430112"/>
    <w:rsid w:val="0043020D"/>
    <w:rsid w:val="0043028F"/>
    <w:rsid w:val="004302F2"/>
    <w:rsid w:val="004306FA"/>
    <w:rsid w:val="00430982"/>
    <w:rsid w:val="00430DF0"/>
    <w:rsid w:val="00430F1F"/>
    <w:rsid w:val="004312CB"/>
    <w:rsid w:val="0043139C"/>
    <w:rsid w:val="004319F8"/>
    <w:rsid w:val="00431AC4"/>
    <w:rsid w:val="00431D40"/>
    <w:rsid w:val="00431E55"/>
    <w:rsid w:val="00432090"/>
    <w:rsid w:val="004321F6"/>
    <w:rsid w:val="004323F2"/>
    <w:rsid w:val="004326C4"/>
    <w:rsid w:val="004328BD"/>
    <w:rsid w:val="0043293D"/>
    <w:rsid w:val="00432F0B"/>
    <w:rsid w:val="00433044"/>
    <w:rsid w:val="00433A87"/>
    <w:rsid w:val="00433DD4"/>
    <w:rsid w:val="00434088"/>
    <w:rsid w:val="00434528"/>
    <w:rsid w:val="004347AF"/>
    <w:rsid w:val="00434F98"/>
    <w:rsid w:val="004351F7"/>
    <w:rsid w:val="004354FA"/>
    <w:rsid w:val="00435845"/>
    <w:rsid w:val="00435B2D"/>
    <w:rsid w:val="00435C79"/>
    <w:rsid w:val="00435D7B"/>
    <w:rsid w:val="00435DF3"/>
    <w:rsid w:val="00435E54"/>
    <w:rsid w:val="00436083"/>
    <w:rsid w:val="00436892"/>
    <w:rsid w:val="00436B10"/>
    <w:rsid w:val="00436DA8"/>
    <w:rsid w:val="00436F07"/>
    <w:rsid w:val="0043744B"/>
    <w:rsid w:val="004375B9"/>
    <w:rsid w:val="00441041"/>
    <w:rsid w:val="00441476"/>
    <w:rsid w:val="0044187C"/>
    <w:rsid w:val="00441952"/>
    <w:rsid w:val="00441CB7"/>
    <w:rsid w:val="00442020"/>
    <w:rsid w:val="0044230D"/>
    <w:rsid w:val="00442436"/>
    <w:rsid w:val="004428D0"/>
    <w:rsid w:val="00442B5D"/>
    <w:rsid w:val="00442BD2"/>
    <w:rsid w:val="004433F2"/>
    <w:rsid w:val="00443BC9"/>
    <w:rsid w:val="00444185"/>
    <w:rsid w:val="004442F3"/>
    <w:rsid w:val="004443A7"/>
    <w:rsid w:val="0044442C"/>
    <w:rsid w:val="00444CEB"/>
    <w:rsid w:val="00444D70"/>
    <w:rsid w:val="00444EE8"/>
    <w:rsid w:val="00444F33"/>
    <w:rsid w:val="00445941"/>
    <w:rsid w:val="00445B9A"/>
    <w:rsid w:val="00445C4B"/>
    <w:rsid w:val="004464EB"/>
    <w:rsid w:val="00446518"/>
    <w:rsid w:val="00446D1E"/>
    <w:rsid w:val="004472AF"/>
    <w:rsid w:val="0044770B"/>
    <w:rsid w:val="00447874"/>
    <w:rsid w:val="00447B4D"/>
    <w:rsid w:val="00447D26"/>
    <w:rsid w:val="00447DFC"/>
    <w:rsid w:val="00447E1C"/>
    <w:rsid w:val="00447FAA"/>
    <w:rsid w:val="00450138"/>
    <w:rsid w:val="00450325"/>
    <w:rsid w:val="00450625"/>
    <w:rsid w:val="00450888"/>
    <w:rsid w:val="00450992"/>
    <w:rsid w:val="00450DCA"/>
    <w:rsid w:val="00450E93"/>
    <w:rsid w:val="00450F5B"/>
    <w:rsid w:val="00451501"/>
    <w:rsid w:val="0045166E"/>
    <w:rsid w:val="004518C0"/>
    <w:rsid w:val="00451B9F"/>
    <w:rsid w:val="00451C3A"/>
    <w:rsid w:val="00451CF5"/>
    <w:rsid w:val="00452099"/>
    <w:rsid w:val="004521FC"/>
    <w:rsid w:val="004526D7"/>
    <w:rsid w:val="004528FB"/>
    <w:rsid w:val="00452D6B"/>
    <w:rsid w:val="0045323D"/>
    <w:rsid w:val="00453455"/>
    <w:rsid w:val="00453CF9"/>
    <w:rsid w:val="004541A2"/>
    <w:rsid w:val="00454ADF"/>
    <w:rsid w:val="00454CF1"/>
    <w:rsid w:val="00454E7F"/>
    <w:rsid w:val="00454FCE"/>
    <w:rsid w:val="00454FDE"/>
    <w:rsid w:val="004554CB"/>
    <w:rsid w:val="00455D45"/>
    <w:rsid w:val="00455DD7"/>
    <w:rsid w:val="004561DD"/>
    <w:rsid w:val="0045641F"/>
    <w:rsid w:val="004564FE"/>
    <w:rsid w:val="00456C97"/>
    <w:rsid w:val="00456E38"/>
    <w:rsid w:val="0045707C"/>
    <w:rsid w:val="00457246"/>
    <w:rsid w:val="00457320"/>
    <w:rsid w:val="00457CD2"/>
    <w:rsid w:val="00457D19"/>
    <w:rsid w:val="00460282"/>
    <w:rsid w:val="00460385"/>
    <w:rsid w:val="0046077D"/>
    <w:rsid w:val="00460BA2"/>
    <w:rsid w:val="00461C44"/>
    <w:rsid w:val="00461D10"/>
    <w:rsid w:val="00461EE6"/>
    <w:rsid w:val="00461FE1"/>
    <w:rsid w:val="00462F2B"/>
    <w:rsid w:val="00463698"/>
    <w:rsid w:val="00463867"/>
    <w:rsid w:val="004639E4"/>
    <w:rsid w:val="00464498"/>
    <w:rsid w:val="00464595"/>
    <w:rsid w:val="004645ED"/>
    <w:rsid w:val="004645F3"/>
    <w:rsid w:val="004649E9"/>
    <w:rsid w:val="00464B3F"/>
    <w:rsid w:val="00464C9C"/>
    <w:rsid w:val="004650F6"/>
    <w:rsid w:val="00465490"/>
    <w:rsid w:val="0046573A"/>
    <w:rsid w:val="004657B4"/>
    <w:rsid w:val="004658B5"/>
    <w:rsid w:val="00465921"/>
    <w:rsid w:val="00465D65"/>
    <w:rsid w:val="00465EFF"/>
    <w:rsid w:val="0046605A"/>
    <w:rsid w:val="0046631F"/>
    <w:rsid w:val="00466A04"/>
    <w:rsid w:val="00466A65"/>
    <w:rsid w:val="00466B85"/>
    <w:rsid w:val="00466C9D"/>
    <w:rsid w:val="0046757F"/>
    <w:rsid w:val="0046771D"/>
    <w:rsid w:val="004678BF"/>
    <w:rsid w:val="00467B51"/>
    <w:rsid w:val="00467EDB"/>
    <w:rsid w:val="004710B3"/>
    <w:rsid w:val="00471580"/>
    <w:rsid w:val="0047199A"/>
    <w:rsid w:val="00471D5E"/>
    <w:rsid w:val="00471EA5"/>
    <w:rsid w:val="004721E3"/>
    <w:rsid w:val="004722CF"/>
    <w:rsid w:val="0047251F"/>
    <w:rsid w:val="004729F4"/>
    <w:rsid w:val="00472A79"/>
    <w:rsid w:val="00472D4D"/>
    <w:rsid w:val="00472DF6"/>
    <w:rsid w:val="00472E98"/>
    <w:rsid w:val="00473F19"/>
    <w:rsid w:val="004740DA"/>
    <w:rsid w:val="00474389"/>
    <w:rsid w:val="004743ED"/>
    <w:rsid w:val="004744C8"/>
    <w:rsid w:val="00474AB1"/>
    <w:rsid w:val="00474B7A"/>
    <w:rsid w:val="00474F32"/>
    <w:rsid w:val="00474FA0"/>
    <w:rsid w:val="00475285"/>
    <w:rsid w:val="004752EA"/>
    <w:rsid w:val="00475A1A"/>
    <w:rsid w:val="00475BD0"/>
    <w:rsid w:val="00475E22"/>
    <w:rsid w:val="00475EB2"/>
    <w:rsid w:val="004767D4"/>
    <w:rsid w:val="004769B1"/>
    <w:rsid w:val="00476DDE"/>
    <w:rsid w:val="00476F7F"/>
    <w:rsid w:val="0047740A"/>
    <w:rsid w:val="00477842"/>
    <w:rsid w:val="00477B5D"/>
    <w:rsid w:val="00477F05"/>
    <w:rsid w:val="004805E7"/>
    <w:rsid w:val="004807A7"/>
    <w:rsid w:val="0048088E"/>
    <w:rsid w:val="0048097B"/>
    <w:rsid w:val="00480B75"/>
    <w:rsid w:val="00480F2B"/>
    <w:rsid w:val="00480F8A"/>
    <w:rsid w:val="0048112B"/>
    <w:rsid w:val="00481448"/>
    <w:rsid w:val="00481D47"/>
    <w:rsid w:val="00481E8C"/>
    <w:rsid w:val="004826A2"/>
    <w:rsid w:val="00482720"/>
    <w:rsid w:val="0048282D"/>
    <w:rsid w:val="00482D4F"/>
    <w:rsid w:val="0048308C"/>
    <w:rsid w:val="00483195"/>
    <w:rsid w:val="00483501"/>
    <w:rsid w:val="004835E7"/>
    <w:rsid w:val="0048384C"/>
    <w:rsid w:val="00483E76"/>
    <w:rsid w:val="00484159"/>
    <w:rsid w:val="0048425F"/>
    <w:rsid w:val="004848FA"/>
    <w:rsid w:val="00485157"/>
    <w:rsid w:val="004852CD"/>
    <w:rsid w:val="00485498"/>
    <w:rsid w:val="004857EA"/>
    <w:rsid w:val="00485A79"/>
    <w:rsid w:val="00485E85"/>
    <w:rsid w:val="004865A1"/>
    <w:rsid w:val="004865DF"/>
    <w:rsid w:val="004867A8"/>
    <w:rsid w:val="004867E2"/>
    <w:rsid w:val="00486D1A"/>
    <w:rsid w:val="00486E93"/>
    <w:rsid w:val="0048713C"/>
    <w:rsid w:val="004873C7"/>
    <w:rsid w:val="004878A3"/>
    <w:rsid w:val="00490B17"/>
    <w:rsid w:val="00491150"/>
    <w:rsid w:val="00491611"/>
    <w:rsid w:val="00491977"/>
    <w:rsid w:val="0049197A"/>
    <w:rsid w:val="00491A7E"/>
    <w:rsid w:val="00491B3A"/>
    <w:rsid w:val="004921D6"/>
    <w:rsid w:val="0049242A"/>
    <w:rsid w:val="00492685"/>
    <w:rsid w:val="00492906"/>
    <w:rsid w:val="00492CFD"/>
    <w:rsid w:val="00492E34"/>
    <w:rsid w:val="00492E53"/>
    <w:rsid w:val="00493B05"/>
    <w:rsid w:val="00493F90"/>
    <w:rsid w:val="00494165"/>
    <w:rsid w:val="00494207"/>
    <w:rsid w:val="00494500"/>
    <w:rsid w:val="004949B1"/>
    <w:rsid w:val="00494A0B"/>
    <w:rsid w:val="00494DD5"/>
    <w:rsid w:val="00494EA9"/>
    <w:rsid w:val="004956F1"/>
    <w:rsid w:val="004957A5"/>
    <w:rsid w:val="00495A25"/>
    <w:rsid w:val="00495E8B"/>
    <w:rsid w:val="00495FFA"/>
    <w:rsid w:val="004962D2"/>
    <w:rsid w:val="004966BD"/>
    <w:rsid w:val="00496A16"/>
    <w:rsid w:val="00496D5F"/>
    <w:rsid w:val="00496F8B"/>
    <w:rsid w:val="00497075"/>
    <w:rsid w:val="004973AA"/>
    <w:rsid w:val="00497B04"/>
    <w:rsid w:val="00497F92"/>
    <w:rsid w:val="004A06ED"/>
    <w:rsid w:val="004A06F6"/>
    <w:rsid w:val="004A0B52"/>
    <w:rsid w:val="004A0D1C"/>
    <w:rsid w:val="004A0DA1"/>
    <w:rsid w:val="004A0F06"/>
    <w:rsid w:val="004A13D6"/>
    <w:rsid w:val="004A14B2"/>
    <w:rsid w:val="004A22AA"/>
    <w:rsid w:val="004A25D6"/>
    <w:rsid w:val="004A2A35"/>
    <w:rsid w:val="004A2C6E"/>
    <w:rsid w:val="004A30E2"/>
    <w:rsid w:val="004A3246"/>
    <w:rsid w:val="004A3507"/>
    <w:rsid w:val="004A3D31"/>
    <w:rsid w:val="004A3EE6"/>
    <w:rsid w:val="004A438F"/>
    <w:rsid w:val="004A4DDB"/>
    <w:rsid w:val="004A52E9"/>
    <w:rsid w:val="004A5548"/>
    <w:rsid w:val="004A5721"/>
    <w:rsid w:val="004A57FE"/>
    <w:rsid w:val="004A6040"/>
    <w:rsid w:val="004A6597"/>
    <w:rsid w:val="004A6B7E"/>
    <w:rsid w:val="004A726E"/>
    <w:rsid w:val="004A7848"/>
    <w:rsid w:val="004A7AAE"/>
    <w:rsid w:val="004A7B3A"/>
    <w:rsid w:val="004B09F5"/>
    <w:rsid w:val="004B0B09"/>
    <w:rsid w:val="004B1293"/>
    <w:rsid w:val="004B147D"/>
    <w:rsid w:val="004B1CB4"/>
    <w:rsid w:val="004B238A"/>
    <w:rsid w:val="004B2812"/>
    <w:rsid w:val="004B2B2D"/>
    <w:rsid w:val="004B2F18"/>
    <w:rsid w:val="004B34BD"/>
    <w:rsid w:val="004B3CAC"/>
    <w:rsid w:val="004B3DDB"/>
    <w:rsid w:val="004B435F"/>
    <w:rsid w:val="004B44FD"/>
    <w:rsid w:val="004B45B8"/>
    <w:rsid w:val="004B4BF3"/>
    <w:rsid w:val="004B4D36"/>
    <w:rsid w:val="004B5110"/>
    <w:rsid w:val="004B5740"/>
    <w:rsid w:val="004B57CC"/>
    <w:rsid w:val="004B5A7D"/>
    <w:rsid w:val="004B5CFC"/>
    <w:rsid w:val="004B5EFB"/>
    <w:rsid w:val="004B5FE5"/>
    <w:rsid w:val="004B6728"/>
    <w:rsid w:val="004B6D0B"/>
    <w:rsid w:val="004B6F79"/>
    <w:rsid w:val="004B71FA"/>
    <w:rsid w:val="004B73AA"/>
    <w:rsid w:val="004B774D"/>
    <w:rsid w:val="004B7A93"/>
    <w:rsid w:val="004B7BF9"/>
    <w:rsid w:val="004B7FA2"/>
    <w:rsid w:val="004B7FDA"/>
    <w:rsid w:val="004C006F"/>
    <w:rsid w:val="004C0472"/>
    <w:rsid w:val="004C1177"/>
    <w:rsid w:val="004C19FD"/>
    <w:rsid w:val="004C221E"/>
    <w:rsid w:val="004C22BB"/>
    <w:rsid w:val="004C28B3"/>
    <w:rsid w:val="004C3257"/>
    <w:rsid w:val="004C36B9"/>
    <w:rsid w:val="004C37E1"/>
    <w:rsid w:val="004C3AE0"/>
    <w:rsid w:val="004C41D4"/>
    <w:rsid w:val="004C456C"/>
    <w:rsid w:val="004C4AED"/>
    <w:rsid w:val="004C5354"/>
    <w:rsid w:val="004C59C7"/>
    <w:rsid w:val="004C6281"/>
    <w:rsid w:val="004C63D5"/>
    <w:rsid w:val="004C643B"/>
    <w:rsid w:val="004C663C"/>
    <w:rsid w:val="004C6933"/>
    <w:rsid w:val="004C7409"/>
    <w:rsid w:val="004C79A7"/>
    <w:rsid w:val="004C7BE3"/>
    <w:rsid w:val="004D026D"/>
    <w:rsid w:val="004D09F4"/>
    <w:rsid w:val="004D0DAA"/>
    <w:rsid w:val="004D15CA"/>
    <w:rsid w:val="004D243D"/>
    <w:rsid w:val="004D261A"/>
    <w:rsid w:val="004D29BB"/>
    <w:rsid w:val="004D2C2D"/>
    <w:rsid w:val="004D3822"/>
    <w:rsid w:val="004D3A5B"/>
    <w:rsid w:val="004D3A6A"/>
    <w:rsid w:val="004D3B5C"/>
    <w:rsid w:val="004D3B8B"/>
    <w:rsid w:val="004D3D07"/>
    <w:rsid w:val="004D419B"/>
    <w:rsid w:val="004D41A2"/>
    <w:rsid w:val="004D442A"/>
    <w:rsid w:val="004D49CE"/>
    <w:rsid w:val="004D4AE5"/>
    <w:rsid w:val="004D4B1A"/>
    <w:rsid w:val="004D4CF6"/>
    <w:rsid w:val="004D50DB"/>
    <w:rsid w:val="004D52C9"/>
    <w:rsid w:val="004D5849"/>
    <w:rsid w:val="004D5B81"/>
    <w:rsid w:val="004D6161"/>
    <w:rsid w:val="004D623F"/>
    <w:rsid w:val="004D6568"/>
    <w:rsid w:val="004D6739"/>
    <w:rsid w:val="004D69B5"/>
    <w:rsid w:val="004D6BE3"/>
    <w:rsid w:val="004D6F0B"/>
    <w:rsid w:val="004D6F93"/>
    <w:rsid w:val="004D7227"/>
    <w:rsid w:val="004D75B7"/>
    <w:rsid w:val="004D75F6"/>
    <w:rsid w:val="004D78CF"/>
    <w:rsid w:val="004D7961"/>
    <w:rsid w:val="004D7978"/>
    <w:rsid w:val="004D7A08"/>
    <w:rsid w:val="004D7A38"/>
    <w:rsid w:val="004D7F21"/>
    <w:rsid w:val="004E09E7"/>
    <w:rsid w:val="004E0A74"/>
    <w:rsid w:val="004E0E7F"/>
    <w:rsid w:val="004E0EB8"/>
    <w:rsid w:val="004E10AF"/>
    <w:rsid w:val="004E1376"/>
    <w:rsid w:val="004E17AE"/>
    <w:rsid w:val="004E18E9"/>
    <w:rsid w:val="004E1E32"/>
    <w:rsid w:val="004E2614"/>
    <w:rsid w:val="004E2ADC"/>
    <w:rsid w:val="004E2B20"/>
    <w:rsid w:val="004E2DD3"/>
    <w:rsid w:val="004E3282"/>
    <w:rsid w:val="004E32F8"/>
    <w:rsid w:val="004E37AD"/>
    <w:rsid w:val="004E3C16"/>
    <w:rsid w:val="004E43B2"/>
    <w:rsid w:val="004E450A"/>
    <w:rsid w:val="004E5280"/>
    <w:rsid w:val="004E5837"/>
    <w:rsid w:val="004E5DFB"/>
    <w:rsid w:val="004E68E7"/>
    <w:rsid w:val="004E6997"/>
    <w:rsid w:val="004E6E03"/>
    <w:rsid w:val="004E7953"/>
    <w:rsid w:val="004E7B7A"/>
    <w:rsid w:val="004E7BFA"/>
    <w:rsid w:val="004E7CC2"/>
    <w:rsid w:val="004F0123"/>
    <w:rsid w:val="004F04A3"/>
    <w:rsid w:val="004F08A1"/>
    <w:rsid w:val="004F09E0"/>
    <w:rsid w:val="004F0B8C"/>
    <w:rsid w:val="004F11D0"/>
    <w:rsid w:val="004F1212"/>
    <w:rsid w:val="004F1631"/>
    <w:rsid w:val="004F1CF4"/>
    <w:rsid w:val="004F1D02"/>
    <w:rsid w:val="004F22FA"/>
    <w:rsid w:val="004F2459"/>
    <w:rsid w:val="004F2679"/>
    <w:rsid w:val="004F28A6"/>
    <w:rsid w:val="004F2F21"/>
    <w:rsid w:val="004F303C"/>
    <w:rsid w:val="004F3286"/>
    <w:rsid w:val="004F33CC"/>
    <w:rsid w:val="004F34F2"/>
    <w:rsid w:val="004F36D9"/>
    <w:rsid w:val="004F3954"/>
    <w:rsid w:val="004F3DE5"/>
    <w:rsid w:val="004F3E7C"/>
    <w:rsid w:val="004F4066"/>
    <w:rsid w:val="004F4A68"/>
    <w:rsid w:val="004F4A8B"/>
    <w:rsid w:val="004F4E3E"/>
    <w:rsid w:val="004F56D6"/>
    <w:rsid w:val="004F592E"/>
    <w:rsid w:val="004F5D2E"/>
    <w:rsid w:val="004F606B"/>
    <w:rsid w:val="004F61F0"/>
    <w:rsid w:val="004F6913"/>
    <w:rsid w:val="004F6ABF"/>
    <w:rsid w:val="004F6DD2"/>
    <w:rsid w:val="004F785E"/>
    <w:rsid w:val="004F7865"/>
    <w:rsid w:val="004F7AA7"/>
    <w:rsid w:val="004F7AAF"/>
    <w:rsid w:val="004F7AC0"/>
    <w:rsid w:val="00500A02"/>
    <w:rsid w:val="00500E8A"/>
    <w:rsid w:val="00500F3D"/>
    <w:rsid w:val="005010F2"/>
    <w:rsid w:val="0050174E"/>
    <w:rsid w:val="00501854"/>
    <w:rsid w:val="00501AB2"/>
    <w:rsid w:val="00501B39"/>
    <w:rsid w:val="00501B75"/>
    <w:rsid w:val="00501D05"/>
    <w:rsid w:val="00501E94"/>
    <w:rsid w:val="005020B7"/>
    <w:rsid w:val="00502145"/>
    <w:rsid w:val="0050219B"/>
    <w:rsid w:val="00502365"/>
    <w:rsid w:val="0050250F"/>
    <w:rsid w:val="00502516"/>
    <w:rsid w:val="0050299B"/>
    <w:rsid w:val="00502E7E"/>
    <w:rsid w:val="00503120"/>
    <w:rsid w:val="00503193"/>
    <w:rsid w:val="0050324C"/>
    <w:rsid w:val="005034ED"/>
    <w:rsid w:val="00503664"/>
    <w:rsid w:val="00503AF7"/>
    <w:rsid w:val="00503BE8"/>
    <w:rsid w:val="00503F17"/>
    <w:rsid w:val="00504231"/>
    <w:rsid w:val="00504321"/>
    <w:rsid w:val="00504E96"/>
    <w:rsid w:val="005058AE"/>
    <w:rsid w:val="00505A92"/>
    <w:rsid w:val="0050653C"/>
    <w:rsid w:val="0050670F"/>
    <w:rsid w:val="005067E4"/>
    <w:rsid w:val="00506928"/>
    <w:rsid w:val="00506A24"/>
    <w:rsid w:val="005077EF"/>
    <w:rsid w:val="005077F2"/>
    <w:rsid w:val="00507E4E"/>
    <w:rsid w:val="005100EC"/>
    <w:rsid w:val="005101B2"/>
    <w:rsid w:val="005103E5"/>
    <w:rsid w:val="00510A59"/>
    <w:rsid w:val="00510AE5"/>
    <w:rsid w:val="00510ECB"/>
    <w:rsid w:val="00511552"/>
    <w:rsid w:val="005115B5"/>
    <w:rsid w:val="00511898"/>
    <w:rsid w:val="00511AD5"/>
    <w:rsid w:val="00511D51"/>
    <w:rsid w:val="00511DC7"/>
    <w:rsid w:val="00513003"/>
    <w:rsid w:val="00513014"/>
    <w:rsid w:val="00513834"/>
    <w:rsid w:val="005142C5"/>
    <w:rsid w:val="00514599"/>
    <w:rsid w:val="0051470B"/>
    <w:rsid w:val="00514B18"/>
    <w:rsid w:val="00514FF6"/>
    <w:rsid w:val="0051501B"/>
    <w:rsid w:val="005152B5"/>
    <w:rsid w:val="00515DFD"/>
    <w:rsid w:val="00516131"/>
    <w:rsid w:val="005165E5"/>
    <w:rsid w:val="005166C0"/>
    <w:rsid w:val="00516B72"/>
    <w:rsid w:val="00516B7A"/>
    <w:rsid w:val="00516F82"/>
    <w:rsid w:val="00517C30"/>
    <w:rsid w:val="00520234"/>
    <w:rsid w:val="005204D9"/>
    <w:rsid w:val="00521102"/>
    <w:rsid w:val="0052123C"/>
    <w:rsid w:val="00521319"/>
    <w:rsid w:val="00521493"/>
    <w:rsid w:val="00521CDD"/>
    <w:rsid w:val="005223C5"/>
    <w:rsid w:val="005229BE"/>
    <w:rsid w:val="00522AD2"/>
    <w:rsid w:val="00522BC8"/>
    <w:rsid w:val="00522CBF"/>
    <w:rsid w:val="00523337"/>
    <w:rsid w:val="00523710"/>
    <w:rsid w:val="00523C28"/>
    <w:rsid w:val="00523F42"/>
    <w:rsid w:val="0052437C"/>
    <w:rsid w:val="0052464A"/>
    <w:rsid w:val="00525C95"/>
    <w:rsid w:val="00526329"/>
    <w:rsid w:val="00526B31"/>
    <w:rsid w:val="00526F82"/>
    <w:rsid w:val="00527270"/>
    <w:rsid w:val="005279E8"/>
    <w:rsid w:val="00527AAC"/>
    <w:rsid w:val="00527B51"/>
    <w:rsid w:val="00527B80"/>
    <w:rsid w:val="005301DE"/>
    <w:rsid w:val="00530BBD"/>
    <w:rsid w:val="00531127"/>
    <w:rsid w:val="0053176B"/>
    <w:rsid w:val="00531B4B"/>
    <w:rsid w:val="00531BBF"/>
    <w:rsid w:val="00531D81"/>
    <w:rsid w:val="00531E0E"/>
    <w:rsid w:val="0053229B"/>
    <w:rsid w:val="00532822"/>
    <w:rsid w:val="00532F35"/>
    <w:rsid w:val="0053337F"/>
    <w:rsid w:val="00533670"/>
    <w:rsid w:val="00533686"/>
    <w:rsid w:val="00533A09"/>
    <w:rsid w:val="00533C3B"/>
    <w:rsid w:val="00534745"/>
    <w:rsid w:val="00534BD4"/>
    <w:rsid w:val="00534D78"/>
    <w:rsid w:val="00534E14"/>
    <w:rsid w:val="005355A5"/>
    <w:rsid w:val="005355AA"/>
    <w:rsid w:val="005355DF"/>
    <w:rsid w:val="00535EA8"/>
    <w:rsid w:val="005360BF"/>
    <w:rsid w:val="005363FC"/>
    <w:rsid w:val="00536B78"/>
    <w:rsid w:val="00536F42"/>
    <w:rsid w:val="00537182"/>
    <w:rsid w:val="0053725D"/>
    <w:rsid w:val="0053771E"/>
    <w:rsid w:val="00537828"/>
    <w:rsid w:val="00537964"/>
    <w:rsid w:val="00537B8C"/>
    <w:rsid w:val="00537CB0"/>
    <w:rsid w:val="00537E4D"/>
    <w:rsid w:val="00537EA0"/>
    <w:rsid w:val="00540383"/>
    <w:rsid w:val="0054087E"/>
    <w:rsid w:val="00540999"/>
    <w:rsid w:val="00540D65"/>
    <w:rsid w:val="00540F4A"/>
    <w:rsid w:val="00540F81"/>
    <w:rsid w:val="00541606"/>
    <w:rsid w:val="00541CA0"/>
    <w:rsid w:val="00541EDD"/>
    <w:rsid w:val="005420A9"/>
    <w:rsid w:val="00542743"/>
    <w:rsid w:val="0054298C"/>
    <w:rsid w:val="00542C2D"/>
    <w:rsid w:val="005430BA"/>
    <w:rsid w:val="00543392"/>
    <w:rsid w:val="00544041"/>
    <w:rsid w:val="005440A7"/>
    <w:rsid w:val="005445AB"/>
    <w:rsid w:val="00544B28"/>
    <w:rsid w:val="00544EDE"/>
    <w:rsid w:val="00545BD9"/>
    <w:rsid w:val="00545C9D"/>
    <w:rsid w:val="00546003"/>
    <w:rsid w:val="00546481"/>
    <w:rsid w:val="00546BB0"/>
    <w:rsid w:val="00546F98"/>
    <w:rsid w:val="005472C0"/>
    <w:rsid w:val="005475A1"/>
    <w:rsid w:val="005478B9"/>
    <w:rsid w:val="005478BD"/>
    <w:rsid w:val="005479D7"/>
    <w:rsid w:val="005479E3"/>
    <w:rsid w:val="00547A70"/>
    <w:rsid w:val="00547D9D"/>
    <w:rsid w:val="00547E89"/>
    <w:rsid w:val="0055030D"/>
    <w:rsid w:val="00550739"/>
    <w:rsid w:val="00550A32"/>
    <w:rsid w:val="00551534"/>
    <w:rsid w:val="00551711"/>
    <w:rsid w:val="00551985"/>
    <w:rsid w:val="00551D89"/>
    <w:rsid w:val="005520B6"/>
    <w:rsid w:val="005525B3"/>
    <w:rsid w:val="00552673"/>
    <w:rsid w:val="005528F8"/>
    <w:rsid w:val="00552BD0"/>
    <w:rsid w:val="00552BD3"/>
    <w:rsid w:val="00552D42"/>
    <w:rsid w:val="005532A0"/>
    <w:rsid w:val="00553444"/>
    <w:rsid w:val="0055397D"/>
    <w:rsid w:val="00553DFF"/>
    <w:rsid w:val="00553E50"/>
    <w:rsid w:val="00554632"/>
    <w:rsid w:val="00554D5E"/>
    <w:rsid w:val="00555109"/>
    <w:rsid w:val="00555794"/>
    <w:rsid w:val="00555F1E"/>
    <w:rsid w:val="00555FE1"/>
    <w:rsid w:val="00556033"/>
    <w:rsid w:val="00556246"/>
    <w:rsid w:val="0055626C"/>
    <w:rsid w:val="005565DE"/>
    <w:rsid w:val="005566E5"/>
    <w:rsid w:val="00556B35"/>
    <w:rsid w:val="00557355"/>
    <w:rsid w:val="0055741A"/>
    <w:rsid w:val="00557D8C"/>
    <w:rsid w:val="00557F9E"/>
    <w:rsid w:val="00560401"/>
    <w:rsid w:val="00560E57"/>
    <w:rsid w:val="005611B7"/>
    <w:rsid w:val="005617C2"/>
    <w:rsid w:val="005618D4"/>
    <w:rsid w:val="005618FD"/>
    <w:rsid w:val="00561977"/>
    <w:rsid w:val="005627E0"/>
    <w:rsid w:val="005634AA"/>
    <w:rsid w:val="00563973"/>
    <w:rsid w:val="00563A5C"/>
    <w:rsid w:val="0056505A"/>
    <w:rsid w:val="00565076"/>
    <w:rsid w:val="00565CF3"/>
    <w:rsid w:val="00565DF0"/>
    <w:rsid w:val="00565EAD"/>
    <w:rsid w:val="0056611D"/>
    <w:rsid w:val="005663AF"/>
    <w:rsid w:val="00566454"/>
    <w:rsid w:val="0056696F"/>
    <w:rsid w:val="005669DD"/>
    <w:rsid w:val="00566C38"/>
    <w:rsid w:val="00567263"/>
    <w:rsid w:val="00567756"/>
    <w:rsid w:val="00570401"/>
    <w:rsid w:val="0057067E"/>
    <w:rsid w:val="005709CD"/>
    <w:rsid w:val="005710A8"/>
    <w:rsid w:val="005712FD"/>
    <w:rsid w:val="0057150D"/>
    <w:rsid w:val="005715FF"/>
    <w:rsid w:val="005721E0"/>
    <w:rsid w:val="0057224D"/>
    <w:rsid w:val="00572269"/>
    <w:rsid w:val="0057244A"/>
    <w:rsid w:val="005727F2"/>
    <w:rsid w:val="005728C9"/>
    <w:rsid w:val="00572D8A"/>
    <w:rsid w:val="00572EAE"/>
    <w:rsid w:val="00572F26"/>
    <w:rsid w:val="00573095"/>
    <w:rsid w:val="00573858"/>
    <w:rsid w:val="00573CEF"/>
    <w:rsid w:val="00573E28"/>
    <w:rsid w:val="00574114"/>
    <w:rsid w:val="005741A5"/>
    <w:rsid w:val="00574620"/>
    <w:rsid w:val="00574818"/>
    <w:rsid w:val="00574DD5"/>
    <w:rsid w:val="00575026"/>
    <w:rsid w:val="005750C5"/>
    <w:rsid w:val="0057511B"/>
    <w:rsid w:val="005752DE"/>
    <w:rsid w:val="00575727"/>
    <w:rsid w:val="00575D8D"/>
    <w:rsid w:val="00575DCC"/>
    <w:rsid w:val="0057627E"/>
    <w:rsid w:val="00576972"/>
    <w:rsid w:val="00576A45"/>
    <w:rsid w:val="00576E35"/>
    <w:rsid w:val="00577102"/>
    <w:rsid w:val="00577151"/>
    <w:rsid w:val="005804C0"/>
    <w:rsid w:val="0058090D"/>
    <w:rsid w:val="00580BA1"/>
    <w:rsid w:val="00581457"/>
    <w:rsid w:val="00581D2C"/>
    <w:rsid w:val="00581F0F"/>
    <w:rsid w:val="00581F84"/>
    <w:rsid w:val="00582398"/>
    <w:rsid w:val="00582799"/>
    <w:rsid w:val="00582E9C"/>
    <w:rsid w:val="00583621"/>
    <w:rsid w:val="00583699"/>
    <w:rsid w:val="00583D94"/>
    <w:rsid w:val="005841CB"/>
    <w:rsid w:val="005844E8"/>
    <w:rsid w:val="0058450C"/>
    <w:rsid w:val="005845B9"/>
    <w:rsid w:val="0058473C"/>
    <w:rsid w:val="00584C16"/>
    <w:rsid w:val="00584C23"/>
    <w:rsid w:val="00585147"/>
    <w:rsid w:val="00585183"/>
    <w:rsid w:val="005851CE"/>
    <w:rsid w:val="0058550F"/>
    <w:rsid w:val="00585653"/>
    <w:rsid w:val="005856C2"/>
    <w:rsid w:val="0058589F"/>
    <w:rsid w:val="00585BF5"/>
    <w:rsid w:val="00585CDD"/>
    <w:rsid w:val="00585EA9"/>
    <w:rsid w:val="00586057"/>
    <w:rsid w:val="0058609D"/>
    <w:rsid w:val="005863DC"/>
    <w:rsid w:val="005865D0"/>
    <w:rsid w:val="005868D5"/>
    <w:rsid w:val="00587058"/>
    <w:rsid w:val="00587112"/>
    <w:rsid w:val="005871A4"/>
    <w:rsid w:val="0058720C"/>
    <w:rsid w:val="00587322"/>
    <w:rsid w:val="0058754A"/>
    <w:rsid w:val="00587A9C"/>
    <w:rsid w:val="0059017E"/>
    <w:rsid w:val="005902EE"/>
    <w:rsid w:val="00590527"/>
    <w:rsid w:val="0059069E"/>
    <w:rsid w:val="005906E1"/>
    <w:rsid w:val="005907D0"/>
    <w:rsid w:val="00590893"/>
    <w:rsid w:val="00590D27"/>
    <w:rsid w:val="00590DCF"/>
    <w:rsid w:val="0059116F"/>
    <w:rsid w:val="00591288"/>
    <w:rsid w:val="00591957"/>
    <w:rsid w:val="00592675"/>
    <w:rsid w:val="00592AA1"/>
    <w:rsid w:val="00592FAB"/>
    <w:rsid w:val="00592FD1"/>
    <w:rsid w:val="00593129"/>
    <w:rsid w:val="005936CC"/>
    <w:rsid w:val="00593815"/>
    <w:rsid w:val="005939CE"/>
    <w:rsid w:val="00594CCF"/>
    <w:rsid w:val="00594FA1"/>
    <w:rsid w:val="00595021"/>
    <w:rsid w:val="00595029"/>
    <w:rsid w:val="00595644"/>
    <w:rsid w:val="00595754"/>
    <w:rsid w:val="00595B66"/>
    <w:rsid w:val="005961A0"/>
    <w:rsid w:val="0059649F"/>
    <w:rsid w:val="005964CB"/>
    <w:rsid w:val="00596B59"/>
    <w:rsid w:val="00596EE2"/>
    <w:rsid w:val="005972F9"/>
    <w:rsid w:val="0059741F"/>
    <w:rsid w:val="00597737"/>
    <w:rsid w:val="00597A0F"/>
    <w:rsid w:val="00597BF9"/>
    <w:rsid w:val="00597F3B"/>
    <w:rsid w:val="005A04BB"/>
    <w:rsid w:val="005A0596"/>
    <w:rsid w:val="005A0EB7"/>
    <w:rsid w:val="005A1EBC"/>
    <w:rsid w:val="005A22B6"/>
    <w:rsid w:val="005A309A"/>
    <w:rsid w:val="005A366E"/>
    <w:rsid w:val="005A371A"/>
    <w:rsid w:val="005A373D"/>
    <w:rsid w:val="005A3825"/>
    <w:rsid w:val="005A3A3F"/>
    <w:rsid w:val="005A3F40"/>
    <w:rsid w:val="005A4278"/>
    <w:rsid w:val="005A4609"/>
    <w:rsid w:val="005A462D"/>
    <w:rsid w:val="005A4BBC"/>
    <w:rsid w:val="005A55A8"/>
    <w:rsid w:val="005A5929"/>
    <w:rsid w:val="005A59CB"/>
    <w:rsid w:val="005A5DDD"/>
    <w:rsid w:val="005A5EFB"/>
    <w:rsid w:val="005A5FE1"/>
    <w:rsid w:val="005A61E1"/>
    <w:rsid w:val="005A6662"/>
    <w:rsid w:val="005A66F0"/>
    <w:rsid w:val="005A6941"/>
    <w:rsid w:val="005A6C22"/>
    <w:rsid w:val="005A6F68"/>
    <w:rsid w:val="005A7092"/>
    <w:rsid w:val="005A70F8"/>
    <w:rsid w:val="005A778C"/>
    <w:rsid w:val="005A7954"/>
    <w:rsid w:val="005B0505"/>
    <w:rsid w:val="005B06F1"/>
    <w:rsid w:val="005B0AC5"/>
    <w:rsid w:val="005B0B58"/>
    <w:rsid w:val="005B10DA"/>
    <w:rsid w:val="005B110C"/>
    <w:rsid w:val="005B1245"/>
    <w:rsid w:val="005B136F"/>
    <w:rsid w:val="005B1557"/>
    <w:rsid w:val="005B22D4"/>
    <w:rsid w:val="005B2665"/>
    <w:rsid w:val="005B2870"/>
    <w:rsid w:val="005B2D28"/>
    <w:rsid w:val="005B304C"/>
    <w:rsid w:val="005B3664"/>
    <w:rsid w:val="005B44C2"/>
    <w:rsid w:val="005B4E53"/>
    <w:rsid w:val="005B576C"/>
    <w:rsid w:val="005B5857"/>
    <w:rsid w:val="005B5EA4"/>
    <w:rsid w:val="005B5F77"/>
    <w:rsid w:val="005B66E0"/>
    <w:rsid w:val="005B6883"/>
    <w:rsid w:val="005B6A32"/>
    <w:rsid w:val="005B6C76"/>
    <w:rsid w:val="005B6DD7"/>
    <w:rsid w:val="005B6E41"/>
    <w:rsid w:val="005B6EBB"/>
    <w:rsid w:val="005B6EE9"/>
    <w:rsid w:val="005B7069"/>
    <w:rsid w:val="005B7232"/>
    <w:rsid w:val="005B783C"/>
    <w:rsid w:val="005B7843"/>
    <w:rsid w:val="005B7AF5"/>
    <w:rsid w:val="005B7D1B"/>
    <w:rsid w:val="005B7E6E"/>
    <w:rsid w:val="005B7FED"/>
    <w:rsid w:val="005C02E4"/>
    <w:rsid w:val="005C0703"/>
    <w:rsid w:val="005C0EBF"/>
    <w:rsid w:val="005C1059"/>
    <w:rsid w:val="005C16A2"/>
    <w:rsid w:val="005C19C9"/>
    <w:rsid w:val="005C1A9C"/>
    <w:rsid w:val="005C1B83"/>
    <w:rsid w:val="005C20B9"/>
    <w:rsid w:val="005C22DB"/>
    <w:rsid w:val="005C25FF"/>
    <w:rsid w:val="005C2D55"/>
    <w:rsid w:val="005C346B"/>
    <w:rsid w:val="005C3EE8"/>
    <w:rsid w:val="005C3F1A"/>
    <w:rsid w:val="005C4E81"/>
    <w:rsid w:val="005C519A"/>
    <w:rsid w:val="005C5417"/>
    <w:rsid w:val="005C55BB"/>
    <w:rsid w:val="005C5890"/>
    <w:rsid w:val="005C59E7"/>
    <w:rsid w:val="005C5DCE"/>
    <w:rsid w:val="005C735B"/>
    <w:rsid w:val="005D044D"/>
    <w:rsid w:val="005D0ABD"/>
    <w:rsid w:val="005D0BB9"/>
    <w:rsid w:val="005D1545"/>
    <w:rsid w:val="005D18AD"/>
    <w:rsid w:val="005D1A84"/>
    <w:rsid w:val="005D1DD9"/>
    <w:rsid w:val="005D1E11"/>
    <w:rsid w:val="005D2373"/>
    <w:rsid w:val="005D26B4"/>
    <w:rsid w:val="005D2A05"/>
    <w:rsid w:val="005D2EF5"/>
    <w:rsid w:val="005D3179"/>
    <w:rsid w:val="005D35D0"/>
    <w:rsid w:val="005D39A2"/>
    <w:rsid w:val="005D3BF1"/>
    <w:rsid w:val="005D3D0D"/>
    <w:rsid w:val="005D4639"/>
    <w:rsid w:val="005D4903"/>
    <w:rsid w:val="005D538E"/>
    <w:rsid w:val="005D5D20"/>
    <w:rsid w:val="005D626D"/>
    <w:rsid w:val="005D66C0"/>
    <w:rsid w:val="005D6E32"/>
    <w:rsid w:val="005D6E54"/>
    <w:rsid w:val="005D7534"/>
    <w:rsid w:val="005D7C55"/>
    <w:rsid w:val="005E069D"/>
    <w:rsid w:val="005E0A29"/>
    <w:rsid w:val="005E0D35"/>
    <w:rsid w:val="005E1177"/>
    <w:rsid w:val="005E1501"/>
    <w:rsid w:val="005E1927"/>
    <w:rsid w:val="005E19D7"/>
    <w:rsid w:val="005E20A5"/>
    <w:rsid w:val="005E21F9"/>
    <w:rsid w:val="005E22A4"/>
    <w:rsid w:val="005E2CD4"/>
    <w:rsid w:val="005E2D40"/>
    <w:rsid w:val="005E2EE4"/>
    <w:rsid w:val="005E2F53"/>
    <w:rsid w:val="005E3154"/>
    <w:rsid w:val="005E3874"/>
    <w:rsid w:val="005E3B1E"/>
    <w:rsid w:val="005E3CF9"/>
    <w:rsid w:val="005E400B"/>
    <w:rsid w:val="005E41FF"/>
    <w:rsid w:val="005E46E2"/>
    <w:rsid w:val="005E4ABB"/>
    <w:rsid w:val="005E4DFF"/>
    <w:rsid w:val="005E55E5"/>
    <w:rsid w:val="005E5E66"/>
    <w:rsid w:val="005E5FE1"/>
    <w:rsid w:val="005E62C5"/>
    <w:rsid w:val="005E6833"/>
    <w:rsid w:val="005E6A9B"/>
    <w:rsid w:val="005E6BC4"/>
    <w:rsid w:val="005E6CBC"/>
    <w:rsid w:val="005E6E66"/>
    <w:rsid w:val="005E7262"/>
    <w:rsid w:val="005E72FF"/>
    <w:rsid w:val="005E736A"/>
    <w:rsid w:val="005E73C0"/>
    <w:rsid w:val="005E774E"/>
    <w:rsid w:val="005F05A8"/>
    <w:rsid w:val="005F090B"/>
    <w:rsid w:val="005F0BF6"/>
    <w:rsid w:val="005F14E4"/>
    <w:rsid w:val="005F1534"/>
    <w:rsid w:val="005F1593"/>
    <w:rsid w:val="005F1888"/>
    <w:rsid w:val="005F1C68"/>
    <w:rsid w:val="005F1E54"/>
    <w:rsid w:val="005F2308"/>
    <w:rsid w:val="005F2362"/>
    <w:rsid w:val="005F2706"/>
    <w:rsid w:val="005F2797"/>
    <w:rsid w:val="005F28C3"/>
    <w:rsid w:val="005F2956"/>
    <w:rsid w:val="005F29D7"/>
    <w:rsid w:val="005F2B99"/>
    <w:rsid w:val="005F3020"/>
    <w:rsid w:val="005F326C"/>
    <w:rsid w:val="005F33D7"/>
    <w:rsid w:val="005F3670"/>
    <w:rsid w:val="005F37C4"/>
    <w:rsid w:val="005F3853"/>
    <w:rsid w:val="005F44B3"/>
    <w:rsid w:val="005F44E5"/>
    <w:rsid w:val="005F46CE"/>
    <w:rsid w:val="005F4D87"/>
    <w:rsid w:val="005F51CC"/>
    <w:rsid w:val="005F532C"/>
    <w:rsid w:val="005F583F"/>
    <w:rsid w:val="005F59A2"/>
    <w:rsid w:val="005F5B65"/>
    <w:rsid w:val="005F61B9"/>
    <w:rsid w:val="005F6A8F"/>
    <w:rsid w:val="005F6BB7"/>
    <w:rsid w:val="005F6DFA"/>
    <w:rsid w:val="005F72C0"/>
    <w:rsid w:val="005F7588"/>
    <w:rsid w:val="005F75D3"/>
    <w:rsid w:val="005F7DC8"/>
    <w:rsid w:val="0060003F"/>
    <w:rsid w:val="0060062F"/>
    <w:rsid w:val="00600758"/>
    <w:rsid w:val="00600838"/>
    <w:rsid w:val="00600CEE"/>
    <w:rsid w:val="0060142E"/>
    <w:rsid w:val="006014BC"/>
    <w:rsid w:val="006017BE"/>
    <w:rsid w:val="00601E33"/>
    <w:rsid w:val="006021D5"/>
    <w:rsid w:val="006022A2"/>
    <w:rsid w:val="006022BF"/>
    <w:rsid w:val="00602E97"/>
    <w:rsid w:val="006034FC"/>
    <w:rsid w:val="0060357B"/>
    <w:rsid w:val="006037BC"/>
    <w:rsid w:val="00603BFB"/>
    <w:rsid w:val="00603D93"/>
    <w:rsid w:val="00603DB9"/>
    <w:rsid w:val="006042CF"/>
    <w:rsid w:val="00604356"/>
    <w:rsid w:val="00604604"/>
    <w:rsid w:val="00604CDD"/>
    <w:rsid w:val="00605DA5"/>
    <w:rsid w:val="006063B5"/>
    <w:rsid w:val="006065F2"/>
    <w:rsid w:val="0060671A"/>
    <w:rsid w:val="00606E1F"/>
    <w:rsid w:val="00606FBA"/>
    <w:rsid w:val="00607120"/>
    <w:rsid w:val="00607669"/>
    <w:rsid w:val="006076F4"/>
    <w:rsid w:val="006078D9"/>
    <w:rsid w:val="00607AFD"/>
    <w:rsid w:val="00607B30"/>
    <w:rsid w:val="00607DCA"/>
    <w:rsid w:val="00607F17"/>
    <w:rsid w:val="00610484"/>
    <w:rsid w:val="0061062E"/>
    <w:rsid w:val="00610A88"/>
    <w:rsid w:val="00610AD4"/>
    <w:rsid w:val="00611231"/>
    <w:rsid w:val="006112A4"/>
    <w:rsid w:val="0061148F"/>
    <w:rsid w:val="00611493"/>
    <w:rsid w:val="00611A5E"/>
    <w:rsid w:val="00611CF6"/>
    <w:rsid w:val="00611F1B"/>
    <w:rsid w:val="0061237F"/>
    <w:rsid w:val="006124A6"/>
    <w:rsid w:val="00612615"/>
    <w:rsid w:val="00612961"/>
    <w:rsid w:val="006129EE"/>
    <w:rsid w:val="00612F97"/>
    <w:rsid w:val="00613087"/>
    <w:rsid w:val="0061345D"/>
    <w:rsid w:val="006137EF"/>
    <w:rsid w:val="00613A81"/>
    <w:rsid w:val="00613EA5"/>
    <w:rsid w:val="00613EBB"/>
    <w:rsid w:val="00613F9B"/>
    <w:rsid w:val="00613FC1"/>
    <w:rsid w:val="006141C4"/>
    <w:rsid w:val="00614248"/>
    <w:rsid w:val="0061437D"/>
    <w:rsid w:val="006146C5"/>
    <w:rsid w:val="006146C8"/>
    <w:rsid w:val="0061474C"/>
    <w:rsid w:val="006152F9"/>
    <w:rsid w:val="0061549B"/>
    <w:rsid w:val="006155F8"/>
    <w:rsid w:val="00615651"/>
    <w:rsid w:val="006156AD"/>
    <w:rsid w:val="00615929"/>
    <w:rsid w:val="00615959"/>
    <w:rsid w:val="006159F2"/>
    <w:rsid w:val="00615C2C"/>
    <w:rsid w:val="006162B6"/>
    <w:rsid w:val="00616802"/>
    <w:rsid w:val="00616BFA"/>
    <w:rsid w:val="00616C29"/>
    <w:rsid w:val="006172E6"/>
    <w:rsid w:val="00617335"/>
    <w:rsid w:val="006175CC"/>
    <w:rsid w:val="006178D9"/>
    <w:rsid w:val="00617A69"/>
    <w:rsid w:val="00617CA6"/>
    <w:rsid w:val="00617E12"/>
    <w:rsid w:val="0062012B"/>
    <w:rsid w:val="0062068A"/>
    <w:rsid w:val="006209F2"/>
    <w:rsid w:val="00620A3C"/>
    <w:rsid w:val="00620C25"/>
    <w:rsid w:val="00621477"/>
    <w:rsid w:val="00621ADA"/>
    <w:rsid w:val="00621E01"/>
    <w:rsid w:val="00622111"/>
    <w:rsid w:val="0062239C"/>
    <w:rsid w:val="00622502"/>
    <w:rsid w:val="00622711"/>
    <w:rsid w:val="00622ADB"/>
    <w:rsid w:val="00622B19"/>
    <w:rsid w:val="00622C36"/>
    <w:rsid w:val="0062384C"/>
    <w:rsid w:val="00623A86"/>
    <w:rsid w:val="00623D6C"/>
    <w:rsid w:val="00623F7B"/>
    <w:rsid w:val="00624347"/>
    <w:rsid w:val="00624382"/>
    <w:rsid w:val="006244C5"/>
    <w:rsid w:val="00624D9B"/>
    <w:rsid w:val="0062503B"/>
    <w:rsid w:val="00625276"/>
    <w:rsid w:val="00625476"/>
    <w:rsid w:val="006254C3"/>
    <w:rsid w:val="006268E3"/>
    <w:rsid w:val="00626914"/>
    <w:rsid w:val="00626A4B"/>
    <w:rsid w:val="00626C14"/>
    <w:rsid w:val="006274F2"/>
    <w:rsid w:val="00627693"/>
    <w:rsid w:val="00627A67"/>
    <w:rsid w:val="00627BFB"/>
    <w:rsid w:val="00630108"/>
    <w:rsid w:val="00630489"/>
    <w:rsid w:val="006306CD"/>
    <w:rsid w:val="00630C98"/>
    <w:rsid w:val="0063148C"/>
    <w:rsid w:val="0063158F"/>
    <w:rsid w:val="00631D6B"/>
    <w:rsid w:val="00631F4F"/>
    <w:rsid w:val="00631FC5"/>
    <w:rsid w:val="00632183"/>
    <w:rsid w:val="00632A04"/>
    <w:rsid w:val="00632FAE"/>
    <w:rsid w:val="006330A1"/>
    <w:rsid w:val="00633168"/>
    <w:rsid w:val="006336E2"/>
    <w:rsid w:val="00633B28"/>
    <w:rsid w:val="00633E60"/>
    <w:rsid w:val="006344AE"/>
    <w:rsid w:val="006345D8"/>
    <w:rsid w:val="0063479F"/>
    <w:rsid w:val="00635002"/>
    <w:rsid w:val="006353F0"/>
    <w:rsid w:val="006354B4"/>
    <w:rsid w:val="00635609"/>
    <w:rsid w:val="006357B5"/>
    <w:rsid w:val="006358E3"/>
    <w:rsid w:val="00635969"/>
    <w:rsid w:val="006359CC"/>
    <w:rsid w:val="006364A1"/>
    <w:rsid w:val="0063678E"/>
    <w:rsid w:val="006367B2"/>
    <w:rsid w:val="00636C5C"/>
    <w:rsid w:val="00636E91"/>
    <w:rsid w:val="00637BFD"/>
    <w:rsid w:val="00640250"/>
    <w:rsid w:val="006404CB"/>
    <w:rsid w:val="00640697"/>
    <w:rsid w:val="0064131F"/>
    <w:rsid w:val="00641465"/>
    <w:rsid w:val="00641750"/>
    <w:rsid w:val="00641895"/>
    <w:rsid w:val="00641BED"/>
    <w:rsid w:val="00641C4E"/>
    <w:rsid w:val="00641FB3"/>
    <w:rsid w:val="00642114"/>
    <w:rsid w:val="006422C0"/>
    <w:rsid w:val="00642A5D"/>
    <w:rsid w:val="00643111"/>
    <w:rsid w:val="0064317A"/>
    <w:rsid w:val="0064318C"/>
    <w:rsid w:val="006433E1"/>
    <w:rsid w:val="00643651"/>
    <w:rsid w:val="006436FE"/>
    <w:rsid w:val="00643A58"/>
    <w:rsid w:val="00643D02"/>
    <w:rsid w:val="00643DFB"/>
    <w:rsid w:val="00643E87"/>
    <w:rsid w:val="0064434C"/>
    <w:rsid w:val="00644485"/>
    <w:rsid w:val="0064482D"/>
    <w:rsid w:val="00644D3E"/>
    <w:rsid w:val="00645608"/>
    <w:rsid w:val="00645B67"/>
    <w:rsid w:val="00646CAE"/>
    <w:rsid w:val="00646F14"/>
    <w:rsid w:val="006470F9"/>
    <w:rsid w:val="006471CC"/>
    <w:rsid w:val="006471E4"/>
    <w:rsid w:val="006479B5"/>
    <w:rsid w:val="00647A29"/>
    <w:rsid w:val="00647B05"/>
    <w:rsid w:val="00647D14"/>
    <w:rsid w:val="00647E8E"/>
    <w:rsid w:val="006501E8"/>
    <w:rsid w:val="00650644"/>
    <w:rsid w:val="00650793"/>
    <w:rsid w:val="0065079F"/>
    <w:rsid w:val="00651169"/>
    <w:rsid w:val="00651A87"/>
    <w:rsid w:val="00651B57"/>
    <w:rsid w:val="00651F66"/>
    <w:rsid w:val="006521E6"/>
    <w:rsid w:val="006529C6"/>
    <w:rsid w:val="006529EC"/>
    <w:rsid w:val="00652A28"/>
    <w:rsid w:val="00653495"/>
    <w:rsid w:val="0065379F"/>
    <w:rsid w:val="00653B93"/>
    <w:rsid w:val="00653C1B"/>
    <w:rsid w:val="00655192"/>
    <w:rsid w:val="006554D2"/>
    <w:rsid w:val="0065559A"/>
    <w:rsid w:val="0065579B"/>
    <w:rsid w:val="00655C2D"/>
    <w:rsid w:val="00655D05"/>
    <w:rsid w:val="00655EF8"/>
    <w:rsid w:val="00656188"/>
    <w:rsid w:val="006561A3"/>
    <w:rsid w:val="0065629A"/>
    <w:rsid w:val="006566AD"/>
    <w:rsid w:val="00656FA5"/>
    <w:rsid w:val="006570EE"/>
    <w:rsid w:val="00657104"/>
    <w:rsid w:val="0065715A"/>
    <w:rsid w:val="0066031C"/>
    <w:rsid w:val="006606B4"/>
    <w:rsid w:val="00660AE5"/>
    <w:rsid w:val="00660D9E"/>
    <w:rsid w:val="006610F1"/>
    <w:rsid w:val="006614E0"/>
    <w:rsid w:val="006615D1"/>
    <w:rsid w:val="006619C2"/>
    <w:rsid w:val="00661BFC"/>
    <w:rsid w:val="00661C6B"/>
    <w:rsid w:val="006622D6"/>
    <w:rsid w:val="0066286D"/>
    <w:rsid w:val="0066289F"/>
    <w:rsid w:val="00662CAB"/>
    <w:rsid w:val="00663108"/>
    <w:rsid w:val="006634DC"/>
    <w:rsid w:val="00663742"/>
    <w:rsid w:val="006638C9"/>
    <w:rsid w:val="00663A03"/>
    <w:rsid w:val="00663D55"/>
    <w:rsid w:val="00663FF0"/>
    <w:rsid w:val="00664287"/>
    <w:rsid w:val="00664421"/>
    <w:rsid w:val="0066443D"/>
    <w:rsid w:val="00664B70"/>
    <w:rsid w:val="0066503F"/>
    <w:rsid w:val="00665439"/>
    <w:rsid w:val="006658BD"/>
    <w:rsid w:val="006658C6"/>
    <w:rsid w:val="00665AAD"/>
    <w:rsid w:val="00665B89"/>
    <w:rsid w:val="00665CEF"/>
    <w:rsid w:val="00665D81"/>
    <w:rsid w:val="00665E65"/>
    <w:rsid w:val="00666907"/>
    <w:rsid w:val="00666A04"/>
    <w:rsid w:val="006672A6"/>
    <w:rsid w:val="00667D14"/>
    <w:rsid w:val="00667DBA"/>
    <w:rsid w:val="00670A35"/>
    <w:rsid w:val="00670AE7"/>
    <w:rsid w:val="00670C6B"/>
    <w:rsid w:val="00670E80"/>
    <w:rsid w:val="00670EC5"/>
    <w:rsid w:val="00671004"/>
    <w:rsid w:val="00671088"/>
    <w:rsid w:val="006717A6"/>
    <w:rsid w:val="00671A03"/>
    <w:rsid w:val="00671F4E"/>
    <w:rsid w:val="00672646"/>
    <w:rsid w:val="00672B18"/>
    <w:rsid w:val="00672FEA"/>
    <w:rsid w:val="006737CC"/>
    <w:rsid w:val="00673E4D"/>
    <w:rsid w:val="00673FAC"/>
    <w:rsid w:val="006745CD"/>
    <w:rsid w:val="006745ED"/>
    <w:rsid w:val="006747DC"/>
    <w:rsid w:val="006749EB"/>
    <w:rsid w:val="00674AA9"/>
    <w:rsid w:val="00674E42"/>
    <w:rsid w:val="00674E66"/>
    <w:rsid w:val="00675A18"/>
    <w:rsid w:val="00675E8A"/>
    <w:rsid w:val="006765E0"/>
    <w:rsid w:val="00676B6A"/>
    <w:rsid w:val="00676BC2"/>
    <w:rsid w:val="00676E1D"/>
    <w:rsid w:val="00677774"/>
    <w:rsid w:val="00677D34"/>
    <w:rsid w:val="0068006B"/>
    <w:rsid w:val="00680613"/>
    <w:rsid w:val="0068070E"/>
    <w:rsid w:val="00680D4C"/>
    <w:rsid w:val="00680E30"/>
    <w:rsid w:val="0068120A"/>
    <w:rsid w:val="00681238"/>
    <w:rsid w:val="00681290"/>
    <w:rsid w:val="00681330"/>
    <w:rsid w:val="006813F8"/>
    <w:rsid w:val="006814DD"/>
    <w:rsid w:val="006814DE"/>
    <w:rsid w:val="00681B85"/>
    <w:rsid w:val="00681CE0"/>
    <w:rsid w:val="00682112"/>
    <w:rsid w:val="006822F5"/>
    <w:rsid w:val="0068267B"/>
    <w:rsid w:val="006826D9"/>
    <w:rsid w:val="00682BA6"/>
    <w:rsid w:val="00682BF3"/>
    <w:rsid w:val="006831BC"/>
    <w:rsid w:val="00683409"/>
    <w:rsid w:val="0068346D"/>
    <w:rsid w:val="006837EF"/>
    <w:rsid w:val="00683BA5"/>
    <w:rsid w:val="00683D49"/>
    <w:rsid w:val="00683ECD"/>
    <w:rsid w:val="00683EDA"/>
    <w:rsid w:val="006840D6"/>
    <w:rsid w:val="006847FC"/>
    <w:rsid w:val="00684A12"/>
    <w:rsid w:val="00684F67"/>
    <w:rsid w:val="00685208"/>
    <w:rsid w:val="00685E9F"/>
    <w:rsid w:val="0068635E"/>
    <w:rsid w:val="00686957"/>
    <w:rsid w:val="00686FDB"/>
    <w:rsid w:val="006872BA"/>
    <w:rsid w:val="00687397"/>
    <w:rsid w:val="0068750F"/>
    <w:rsid w:val="00687C1E"/>
    <w:rsid w:val="00687D06"/>
    <w:rsid w:val="00687EAA"/>
    <w:rsid w:val="006901A0"/>
    <w:rsid w:val="0069034D"/>
    <w:rsid w:val="0069071B"/>
    <w:rsid w:val="00690795"/>
    <w:rsid w:val="006908F7"/>
    <w:rsid w:val="0069099B"/>
    <w:rsid w:val="006909AF"/>
    <w:rsid w:val="00690B6A"/>
    <w:rsid w:val="00690F0F"/>
    <w:rsid w:val="00691124"/>
    <w:rsid w:val="006911DB"/>
    <w:rsid w:val="00691648"/>
    <w:rsid w:val="006917A2"/>
    <w:rsid w:val="006917D7"/>
    <w:rsid w:val="00691D01"/>
    <w:rsid w:val="00692272"/>
    <w:rsid w:val="006923D7"/>
    <w:rsid w:val="006928FD"/>
    <w:rsid w:val="00692EC7"/>
    <w:rsid w:val="0069354B"/>
    <w:rsid w:val="00693D74"/>
    <w:rsid w:val="00694086"/>
    <w:rsid w:val="0069434C"/>
    <w:rsid w:val="00694604"/>
    <w:rsid w:val="006949AF"/>
    <w:rsid w:val="00694ECC"/>
    <w:rsid w:val="00694F44"/>
    <w:rsid w:val="0069521D"/>
    <w:rsid w:val="00695400"/>
    <w:rsid w:val="00695646"/>
    <w:rsid w:val="006959C4"/>
    <w:rsid w:val="00695EE2"/>
    <w:rsid w:val="00695F51"/>
    <w:rsid w:val="00696363"/>
    <w:rsid w:val="006965BC"/>
    <w:rsid w:val="0069667E"/>
    <w:rsid w:val="0069686D"/>
    <w:rsid w:val="00696BB8"/>
    <w:rsid w:val="00696E8F"/>
    <w:rsid w:val="00696F51"/>
    <w:rsid w:val="006972AE"/>
    <w:rsid w:val="006973E8"/>
    <w:rsid w:val="00697408"/>
    <w:rsid w:val="00697562"/>
    <w:rsid w:val="0069772B"/>
    <w:rsid w:val="006979A5"/>
    <w:rsid w:val="00697CDF"/>
    <w:rsid w:val="00697F5D"/>
    <w:rsid w:val="006A02E6"/>
    <w:rsid w:val="006A036B"/>
    <w:rsid w:val="006A03B6"/>
    <w:rsid w:val="006A0AAB"/>
    <w:rsid w:val="006A0B99"/>
    <w:rsid w:val="006A0C56"/>
    <w:rsid w:val="006A1363"/>
    <w:rsid w:val="006A1520"/>
    <w:rsid w:val="006A1982"/>
    <w:rsid w:val="006A1FE6"/>
    <w:rsid w:val="006A2096"/>
    <w:rsid w:val="006A24B9"/>
    <w:rsid w:val="006A2A22"/>
    <w:rsid w:val="006A2A5E"/>
    <w:rsid w:val="006A2A74"/>
    <w:rsid w:val="006A2B5C"/>
    <w:rsid w:val="006A2E12"/>
    <w:rsid w:val="006A2F23"/>
    <w:rsid w:val="006A3EC2"/>
    <w:rsid w:val="006A495A"/>
    <w:rsid w:val="006A4B32"/>
    <w:rsid w:val="006A4B7C"/>
    <w:rsid w:val="006A4C00"/>
    <w:rsid w:val="006A4C3E"/>
    <w:rsid w:val="006A4EF8"/>
    <w:rsid w:val="006A5BCC"/>
    <w:rsid w:val="006A67AB"/>
    <w:rsid w:val="006A6897"/>
    <w:rsid w:val="006A694E"/>
    <w:rsid w:val="006A6B99"/>
    <w:rsid w:val="006A7E5F"/>
    <w:rsid w:val="006B05A1"/>
    <w:rsid w:val="006B091D"/>
    <w:rsid w:val="006B09FC"/>
    <w:rsid w:val="006B1C62"/>
    <w:rsid w:val="006B1D9F"/>
    <w:rsid w:val="006B1DA6"/>
    <w:rsid w:val="006B1F95"/>
    <w:rsid w:val="006B238B"/>
    <w:rsid w:val="006B24AE"/>
    <w:rsid w:val="006B25DB"/>
    <w:rsid w:val="006B261B"/>
    <w:rsid w:val="006B29E8"/>
    <w:rsid w:val="006B29FA"/>
    <w:rsid w:val="006B2C90"/>
    <w:rsid w:val="006B2D8B"/>
    <w:rsid w:val="006B3454"/>
    <w:rsid w:val="006B35E6"/>
    <w:rsid w:val="006B3672"/>
    <w:rsid w:val="006B37AF"/>
    <w:rsid w:val="006B4021"/>
    <w:rsid w:val="006B4296"/>
    <w:rsid w:val="006B465A"/>
    <w:rsid w:val="006B4A53"/>
    <w:rsid w:val="006B516C"/>
    <w:rsid w:val="006B533D"/>
    <w:rsid w:val="006B5500"/>
    <w:rsid w:val="006B574E"/>
    <w:rsid w:val="006B5C21"/>
    <w:rsid w:val="006B5E37"/>
    <w:rsid w:val="006B5F59"/>
    <w:rsid w:val="006B6283"/>
    <w:rsid w:val="006B69BD"/>
    <w:rsid w:val="006B6A7F"/>
    <w:rsid w:val="006B6DD0"/>
    <w:rsid w:val="006B6F51"/>
    <w:rsid w:val="006B7283"/>
    <w:rsid w:val="006B7A64"/>
    <w:rsid w:val="006B7C1D"/>
    <w:rsid w:val="006B7D73"/>
    <w:rsid w:val="006B7F7F"/>
    <w:rsid w:val="006C028B"/>
    <w:rsid w:val="006C0399"/>
    <w:rsid w:val="006C0807"/>
    <w:rsid w:val="006C0BE2"/>
    <w:rsid w:val="006C1610"/>
    <w:rsid w:val="006C172C"/>
    <w:rsid w:val="006C19ED"/>
    <w:rsid w:val="006C1B05"/>
    <w:rsid w:val="006C1D3C"/>
    <w:rsid w:val="006C1D50"/>
    <w:rsid w:val="006C1DC7"/>
    <w:rsid w:val="006C21DF"/>
    <w:rsid w:val="006C21F3"/>
    <w:rsid w:val="006C265C"/>
    <w:rsid w:val="006C2A8E"/>
    <w:rsid w:val="006C3141"/>
    <w:rsid w:val="006C3255"/>
    <w:rsid w:val="006C333F"/>
    <w:rsid w:val="006C3478"/>
    <w:rsid w:val="006C36A9"/>
    <w:rsid w:val="006C3B34"/>
    <w:rsid w:val="006C3E4B"/>
    <w:rsid w:val="006C3F26"/>
    <w:rsid w:val="006C4C0A"/>
    <w:rsid w:val="006C4C85"/>
    <w:rsid w:val="006C5781"/>
    <w:rsid w:val="006C616A"/>
    <w:rsid w:val="006C62E4"/>
    <w:rsid w:val="006C650D"/>
    <w:rsid w:val="006C65D6"/>
    <w:rsid w:val="006C68AB"/>
    <w:rsid w:val="006C6BDB"/>
    <w:rsid w:val="006C74F3"/>
    <w:rsid w:val="006C796A"/>
    <w:rsid w:val="006C7989"/>
    <w:rsid w:val="006C7DA3"/>
    <w:rsid w:val="006C7E03"/>
    <w:rsid w:val="006D065A"/>
    <w:rsid w:val="006D0A89"/>
    <w:rsid w:val="006D0D17"/>
    <w:rsid w:val="006D14E7"/>
    <w:rsid w:val="006D169E"/>
    <w:rsid w:val="006D1816"/>
    <w:rsid w:val="006D1ACD"/>
    <w:rsid w:val="006D1E92"/>
    <w:rsid w:val="006D28FE"/>
    <w:rsid w:val="006D2BC9"/>
    <w:rsid w:val="006D2FCF"/>
    <w:rsid w:val="006D39E5"/>
    <w:rsid w:val="006D3C7D"/>
    <w:rsid w:val="006D3D76"/>
    <w:rsid w:val="006D4376"/>
    <w:rsid w:val="006D4659"/>
    <w:rsid w:val="006D472C"/>
    <w:rsid w:val="006D4F78"/>
    <w:rsid w:val="006D5008"/>
    <w:rsid w:val="006D50D0"/>
    <w:rsid w:val="006D544D"/>
    <w:rsid w:val="006D5623"/>
    <w:rsid w:val="006D5695"/>
    <w:rsid w:val="006D5959"/>
    <w:rsid w:val="006D5BE5"/>
    <w:rsid w:val="006D5D5F"/>
    <w:rsid w:val="006D611F"/>
    <w:rsid w:val="006D625A"/>
    <w:rsid w:val="006D68FB"/>
    <w:rsid w:val="006D6CAE"/>
    <w:rsid w:val="006D6DB8"/>
    <w:rsid w:val="006D7D6C"/>
    <w:rsid w:val="006E0810"/>
    <w:rsid w:val="006E0923"/>
    <w:rsid w:val="006E0AAE"/>
    <w:rsid w:val="006E0ECA"/>
    <w:rsid w:val="006E0FBF"/>
    <w:rsid w:val="006E1148"/>
    <w:rsid w:val="006E190A"/>
    <w:rsid w:val="006E1971"/>
    <w:rsid w:val="006E1A24"/>
    <w:rsid w:val="006E1B71"/>
    <w:rsid w:val="006E1BBC"/>
    <w:rsid w:val="006E1EB0"/>
    <w:rsid w:val="006E2022"/>
    <w:rsid w:val="006E2497"/>
    <w:rsid w:val="006E2868"/>
    <w:rsid w:val="006E2EA3"/>
    <w:rsid w:val="006E30EB"/>
    <w:rsid w:val="006E3361"/>
    <w:rsid w:val="006E3794"/>
    <w:rsid w:val="006E3C86"/>
    <w:rsid w:val="006E3D72"/>
    <w:rsid w:val="006E41C4"/>
    <w:rsid w:val="006E426D"/>
    <w:rsid w:val="006E46DF"/>
    <w:rsid w:val="006E597A"/>
    <w:rsid w:val="006E5CB1"/>
    <w:rsid w:val="006E6134"/>
    <w:rsid w:val="006E686F"/>
    <w:rsid w:val="006E7348"/>
    <w:rsid w:val="006E7369"/>
    <w:rsid w:val="006E76BA"/>
    <w:rsid w:val="006E77BE"/>
    <w:rsid w:val="006F06BC"/>
    <w:rsid w:val="006F0BC5"/>
    <w:rsid w:val="006F147E"/>
    <w:rsid w:val="006F149F"/>
    <w:rsid w:val="006F1730"/>
    <w:rsid w:val="006F2A91"/>
    <w:rsid w:val="006F2A92"/>
    <w:rsid w:val="006F306C"/>
    <w:rsid w:val="006F3359"/>
    <w:rsid w:val="006F35CB"/>
    <w:rsid w:val="006F36DD"/>
    <w:rsid w:val="006F3AE9"/>
    <w:rsid w:val="006F4157"/>
    <w:rsid w:val="006F4825"/>
    <w:rsid w:val="006F488C"/>
    <w:rsid w:val="006F489B"/>
    <w:rsid w:val="006F493C"/>
    <w:rsid w:val="006F4DE0"/>
    <w:rsid w:val="006F549D"/>
    <w:rsid w:val="006F58B6"/>
    <w:rsid w:val="006F5AD6"/>
    <w:rsid w:val="006F5DD1"/>
    <w:rsid w:val="006F62E6"/>
    <w:rsid w:val="006F63A5"/>
    <w:rsid w:val="006F63D0"/>
    <w:rsid w:val="006F6D4A"/>
    <w:rsid w:val="006F6E12"/>
    <w:rsid w:val="006F73CC"/>
    <w:rsid w:val="006F76D4"/>
    <w:rsid w:val="0070055A"/>
    <w:rsid w:val="00701215"/>
    <w:rsid w:val="0070142B"/>
    <w:rsid w:val="00701449"/>
    <w:rsid w:val="0070145E"/>
    <w:rsid w:val="007017E0"/>
    <w:rsid w:val="00701B89"/>
    <w:rsid w:val="00701C05"/>
    <w:rsid w:val="00701D4D"/>
    <w:rsid w:val="00701E11"/>
    <w:rsid w:val="00701FBC"/>
    <w:rsid w:val="0070215F"/>
    <w:rsid w:val="0070225E"/>
    <w:rsid w:val="00702465"/>
    <w:rsid w:val="00702671"/>
    <w:rsid w:val="0070276E"/>
    <w:rsid w:val="0070280B"/>
    <w:rsid w:val="00702F8F"/>
    <w:rsid w:val="0070330F"/>
    <w:rsid w:val="00703584"/>
    <w:rsid w:val="007039C2"/>
    <w:rsid w:val="00703DE3"/>
    <w:rsid w:val="00703ED9"/>
    <w:rsid w:val="00704C33"/>
    <w:rsid w:val="00704DAA"/>
    <w:rsid w:val="00704F32"/>
    <w:rsid w:val="00704F6B"/>
    <w:rsid w:val="00705334"/>
    <w:rsid w:val="0070548C"/>
    <w:rsid w:val="007057C8"/>
    <w:rsid w:val="00705CAF"/>
    <w:rsid w:val="00705E23"/>
    <w:rsid w:val="007067C1"/>
    <w:rsid w:val="00706864"/>
    <w:rsid w:val="007068FA"/>
    <w:rsid w:val="007070D2"/>
    <w:rsid w:val="00707522"/>
    <w:rsid w:val="007079FC"/>
    <w:rsid w:val="00707EEE"/>
    <w:rsid w:val="00710543"/>
    <w:rsid w:val="00710D31"/>
    <w:rsid w:val="00710DFD"/>
    <w:rsid w:val="00711A36"/>
    <w:rsid w:val="00711BEF"/>
    <w:rsid w:val="0071238D"/>
    <w:rsid w:val="00712A3E"/>
    <w:rsid w:val="00712DF3"/>
    <w:rsid w:val="00713155"/>
    <w:rsid w:val="007135C5"/>
    <w:rsid w:val="00713925"/>
    <w:rsid w:val="0071408E"/>
    <w:rsid w:val="00714191"/>
    <w:rsid w:val="00714713"/>
    <w:rsid w:val="00714775"/>
    <w:rsid w:val="00714C26"/>
    <w:rsid w:val="0071529C"/>
    <w:rsid w:val="0071532D"/>
    <w:rsid w:val="007156F7"/>
    <w:rsid w:val="007157C9"/>
    <w:rsid w:val="00716215"/>
    <w:rsid w:val="0071639D"/>
    <w:rsid w:val="007163B9"/>
    <w:rsid w:val="007165CB"/>
    <w:rsid w:val="007166D8"/>
    <w:rsid w:val="0071696A"/>
    <w:rsid w:val="007169B3"/>
    <w:rsid w:val="00716C17"/>
    <w:rsid w:val="00716E3F"/>
    <w:rsid w:val="007170DA"/>
    <w:rsid w:val="007172AD"/>
    <w:rsid w:val="007200C0"/>
    <w:rsid w:val="00720579"/>
    <w:rsid w:val="007205D7"/>
    <w:rsid w:val="007207AC"/>
    <w:rsid w:val="00720801"/>
    <w:rsid w:val="007209DF"/>
    <w:rsid w:val="00720AFA"/>
    <w:rsid w:val="00720B53"/>
    <w:rsid w:val="00720E4C"/>
    <w:rsid w:val="007210D9"/>
    <w:rsid w:val="00721173"/>
    <w:rsid w:val="00721393"/>
    <w:rsid w:val="0072156B"/>
    <w:rsid w:val="00721880"/>
    <w:rsid w:val="007218F2"/>
    <w:rsid w:val="00721C1B"/>
    <w:rsid w:val="00721DDB"/>
    <w:rsid w:val="00721FBA"/>
    <w:rsid w:val="0072201E"/>
    <w:rsid w:val="0072225B"/>
    <w:rsid w:val="007224A4"/>
    <w:rsid w:val="007224CB"/>
    <w:rsid w:val="007227D5"/>
    <w:rsid w:val="00722B1B"/>
    <w:rsid w:val="00722E67"/>
    <w:rsid w:val="007233AD"/>
    <w:rsid w:val="007236C2"/>
    <w:rsid w:val="007236D0"/>
    <w:rsid w:val="0072416F"/>
    <w:rsid w:val="00724213"/>
    <w:rsid w:val="007243CF"/>
    <w:rsid w:val="00724897"/>
    <w:rsid w:val="00724FC4"/>
    <w:rsid w:val="007252AB"/>
    <w:rsid w:val="00725A67"/>
    <w:rsid w:val="00727B99"/>
    <w:rsid w:val="00727C94"/>
    <w:rsid w:val="00727F21"/>
    <w:rsid w:val="00730BF2"/>
    <w:rsid w:val="00731258"/>
    <w:rsid w:val="007313DC"/>
    <w:rsid w:val="0073165B"/>
    <w:rsid w:val="00731B0A"/>
    <w:rsid w:val="00731CEE"/>
    <w:rsid w:val="00731E05"/>
    <w:rsid w:val="00731EAE"/>
    <w:rsid w:val="00732190"/>
    <w:rsid w:val="00732226"/>
    <w:rsid w:val="00732517"/>
    <w:rsid w:val="007328F3"/>
    <w:rsid w:val="00732A2B"/>
    <w:rsid w:val="00732C8D"/>
    <w:rsid w:val="00733073"/>
    <w:rsid w:val="0073337D"/>
    <w:rsid w:val="007336FE"/>
    <w:rsid w:val="0073393F"/>
    <w:rsid w:val="00733B01"/>
    <w:rsid w:val="00733E54"/>
    <w:rsid w:val="00734236"/>
    <w:rsid w:val="00734B49"/>
    <w:rsid w:val="00735033"/>
    <w:rsid w:val="0073504A"/>
    <w:rsid w:val="00735328"/>
    <w:rsid w:val="007354A5"/>
    <w:rsid w:val="00735606"/>
    <w:rsid w:val="0073578F"/>
    <w:rsid w:val="007359C0"/>
    <w:rsid w:val="00735AC2"/>
    <w:rsid w:val="007362C4"/>
    <w:rsid w:val="00736580"/>
    <w:rsid w:val="0073685B"/>
    <w:rsid w:val="00736C32"/>
    <w:rsid w:val="00736DEF"/>
    <w:rsid w:val="00736EF0"/>
    <w:rsid w:val="0073744C"/>
    <w:rsid w:val="007376D6"/>
    <w:rsid w:val="00737752"/>
    <w:rsid w:val="00737797"/>
    <w:rsid w:val="00737A04"/>
    <w:rsid w:val="00737D4B"/>
    <w:rsid w:val="00737DB0"/>
    <w:rsid w:val="00737FEC"/>
    <w:rsid w:val="0074003D"/>
    <w:rsid w:val="0074039B"/>
    <w:rsid w:val="007409DB"/>
    <w:rsid w:val="00740D6B"/>
    <w:rsid w:val="00741054"/>
    <w:rsid w:val="007411D8"/>
    <w:rsid w:val="00741974"/>
    <w:rsid w:val="007428DA"/>
    <w:rsid w:val="00742900"/>
    <w:rsid w:val="0074341C"/>
    <w:rsid w:val="0074355E"/>
    <w:rsid w:val="007439FA"/>
    <w:rsid w:val="00743EA4"/>
    <w:rsid w:val="007443C2"/>
    <w:rsid w:val="00744420"/>
    <w:rsid w:val="00744572"/>
    <w:rsid w:val="0074490B"/>
    <w:rsid w:val="00744915"/>
    <w:rsid w:val="007449BF"/>
    <w:rsid w:val="00745983"/>
    <w:rsid w:val="00745C26"/>
    <w:rsid w:val="00746255"/>
    <w:rsid w:val="00746640"/>
    <w:rsid w:val="007466A7"/>
    <w:rsid w:val="0074672D"/>
    <w:rsid w:val="00746BC0"/>
    <w:rsid w:val="007477E4"/>
    <w:rsid w:val="00747B2C"/>
    <w:rsid w:val="00747D54"/>
    <w:rsid w:val="00747F0A"/>
    <w:rsid w:val="00747F95"/>
    <w:rsid w:val="0075005A"/>
    <w:rsid w:val="00750259"/>
    <w:rsid w:val="00750433"/>
    <w:rsid w:val="007504E7"/>
    <w:rsid w:val="007505ED"/>
    <w:rsid w:val="00750A17"/>
    <w:rsid w:val="00750FA2"/>
    <w:rsid w:val="007510B4"/>
    <w:rsid w:val="00751380"/>
    <w:rsid w:val="00751629"/>
    <w:rsid w:val="007518EC"/>
    <w:rsid w:val="00751D80"/>
    <w:rsid w:val="00751EA0"/>
    <w:rsid w:val="00752142"/>
    <w:rsid w:val="00752215"/>
    <w:rsid w:val="007523F9"/>
    <w:rsid w:val="007526B0"/>
    <w:rsid w:val="0075272F"/>
    <w:rsid w:val="007530D4"/>
    <w:rsid w:val="0075337B"/>
    <w:rsid w:val="0075357E"/>
    <w:rsid w:val="0075370D"/>
    <w:rsid w:val="00753B72"/>
    <w:rsid w:val="0075431D"/>
    <w:rsid w:val="00754506"/>
    <w:rsid w:val="00754F15"/>
    <w:rsid w:val="0075568D"/>
    <w:rsid w:val="00755765"/>
    <w:rsid w:val="00755B65"/>
    <w:rsid w:val="0075602A"/>
    <w:rsid w:val="00756546"/>
    <w:rsid w:val="00756ED1"/>
    <w:rsid w:val="00756F2D"/>
    <w:rsid w:val="007573E8"/>
    <w:rsid w:val="007576DE"/>
    <w:rsid w:val="00757F99"/>
    <w:rsid w:val="0076010E"/>
    <w:rsid w:val="00760543"/>
    <w:rsid w:val="00760B69"/>
    <w:rsid w:val="00760C4E"/>
    <w:rsid w:val="00760F9E"/>
    <w:rsid w:val="00761C1E"/>
    <w:rsid w:val="00761D24"/>
    <w:rsid w:val="00761E74"/>
    <w:rsid w:val="00761FA0"/>
    <w:rsid w:val="0076221A"/>
    <w:rsid w:val="007627BE"/>
    <w:rsid w:val="007639E8"/>
    <w:rsid w:val="007639FA"/>
    <w:rsid w:val="00763B36"/>
    <w:rsid w:val="00763BE1"/>
    <w:rsid w:val="0076464E"/>
    <w:rsid w:val="00764B84"/>
    <w:rsid w:val="00764F03"/>
    <w:rsid w:val="007650A3"/>
    <w:rsid w:val="007650F1"/>
    <w:rsid w:val="007651B8"/>
    <w:rsid w:val="007651F8"/>
    <w:rsid w:val="0076567C"/>
    <w:rsid w:val="0076572E"/>
    <w:rsid w:val="00765926"/>
    <w:rsid w:val="00765995"/>
    <w:rsid w:val="00765AD5"/>
    <w:rsid w:val="00765B1A"/>
    <w:rsid w:val="00765C04"/>
    <w:rsid w:val="00765D94"/>
    <w:rsid w:val="00765E0E"/>
    <w:rsid w:val="00766007"/>
    <w:rsid w:val="007661F9"/>
    <w:rsid w:val="00766619"/>
    <w:rsid w:val="00766766"/>
    <w:rsid w:val="007668C4"/>
    <w:rsid w:val="0076691D"/>
    <w:rsid w:val="00766C3F"/>
    <w:rsid w:val="00766E21"/>
    <w:rsid w:val="00766EFB"/>
    <w:rsid w:val="00766FDE"/>
    <w:rsid w:val="007671C7"/>
    <w:rsid w:val="00767381"/>
    <w:rsid w:val="00767387"/>
    <w:rsid w:val="00767DCD"/>
    <w:rsid w:val="0077065E"/>
    <w:rsid w:val="0077081F"/>
    <w:rsid w:val="00771667"/>
    <w:rsid w:val="00771D2F"/>
    <w:rsid w:val="00771E85"/>
    <w:rsid w:val="00772199"/>
    <w:rsid w:val="007724DF"/>
    <w:rsid w:val="00772500"/>
    <w:rsid w:val="0077255F"/>
    <w:rsid w:val="00772A76"/>
    <w:rsid w:val="00772CEA"/>
    <w:rsid w:val="007730A6"/>
    <w:rsid w:val="007739FF"/>
    <w:rsid w:val="007740D4"/>
    <w:rsid w:val="007747E0"/>
    <w:rsid w:val="00774A77"/>
    <w:rsid w:val="00774C7C"/>
    <w:rsid w:val="00775180"/>
    <w:rsid w:val="0077583F"/>
    <w:rsid w:val="00775B91"/>
    <w:rsid w:val="00775E02"/>
    <w:rsid w:val="007763FD"/>
    <w:rsid w:val="007764A6"/>
    <w:rsid w:val="00776703"/>
    <w:rsid w:val="00776755"/>
    <w:rsid w:val="00776A7F"/>
    <w:rsid w:val="00776B35"/>
    <w:rsid w:val="00777335"/>
    <w:rsid w:val="00777380"/>
    <w:rsid w:val="007774A8"/>
    <w:rsid w:val="007774F8"/>
    <w:rsid w:val="00777957"/>
    <w:rsid w:val="00777A36"/>
    <w:rsid w:val="00777A83"/>
    <w:rsid w:val="00777A90"/>
    <w:rsid w:val="00777BA8"/>
    <w:rsid w:val="00777E0A"/>
    <w:rsid w:val="007805B6"/>
    <w:rsid w:val="0078062A"/>
    <w:rsid w:val="007806EB"/>
    <w:rsid w:val="00781324"/>
    <w:rsid w:val="007816DB"/>
    <w:rsid w:val="00781ADF"/>
    <w:rsid w:val="00781FC1"/>
    <w:rsid w:val="007820AB"/>
    <w:rsid w:val="007821D9"/>
    <w:rsid w:val="00782229"/>
    <w:rsid w:val="007824BB"/>
    <w:rsid w:val="007827B5"/>
    <w:rsid w:val="00782A1F"/>
    <w:rsid w:val="00782B62"/>
    <w:rsid w:val="00782C63"/>
    <w:rsid w:val="00782D47"/>
    <w:rsid w:val="007834E5"/>
    <w:rsid w:val="00783B23"/>
    <w:rsid w:val="007843F2"/>
    <w:rsid w:val="00784643"/>
    <w:rsid w:val="007849F1"/>
    <w:rsid w:val="00784ED8"/>
    <w:rsid w:val="007856C1"/>
    <w:rsid w:val="00785A9F"/>
    <w:rsid w:val="00785C47"/>
    <w:rsid w:val="00786335"/>
    <w:rsid w:val="007866CA"/>
    <w:rsid w:val="0078680B"/>
    <w:rsid w:val="0078685E"/>
    <w:rsid w:val="00786BA5"/>
    <w:rsid w:val="00786BBB"/>
    <w:rsid w:val="00786C27"/>
    <w:rsid w:val="00786F17"/>
    <w:rsid w:val="00787057"/>
    <w:rsid w:val="00787AAD"/>
    <w:rsid w:val="00787D37"/>
    <w:rsid w:val="00787DBB"/>
    <w:rsid w:val="007900CE"/>
    <w:rsid w:val="00790573"/>
    <w:rsid w:val="007905AD"/>
    <w:rsid w:val="00790799"/>
    <w:rsid w:val="00791314"/>
    <w:rsid w:val="007913FE"/>
    <w:rsid w:val="00791638"/>
    <w:rsid w:val="007919EE"/>
    <w:rsid w:val="00792410"/>
    <w:rsid w:val="00792588"/>
    <w:rsid w:val="007925DF"/>
    <w:rsid w:val="00792BBE"/>
    <w:rsid w:val="00792D5A"/>
    <w:rsid w:val="00792E45"/>
    <w:rsid w:val="007932A1"/>
    <w:rsid w:val="007938F4"/>
    <w:rsid w:val="0079409B"/>
    <w:rsid w:val="00794C46"/>
    <w:rsid w:val="00794D0D"/>
    <w:rsid w:val="00795205"/>
    <w:rsid w:val="00795669"/>
    <w:rsid w:val="007957C2"/>
    <w:rsid w:val="0079582A"/>
    <w:rsid w:val="007958A7"/>
    <w:rsid w:val="0079592F"/>
    <w:rsid w:val="00795969"/>
    <w:rsid w:val="00795BA6"/>
    <w:rsid w:val="0079600C"/>
    <w:rsid w:val="007960E1"/>
    <w:rsid w:val="00796363"/>
    <w:rsid w:val="007964A4"/>
    <w:rsid w:val="00796558"/>
    <w:rsid w:val="00796787"/>
    <w:rsid w:val="00796C27"/>
    <w:rsid w:val="00796E8F"/>
    <w:rsid w:val="00796FFE"/>
    <w:rsid w:val="007977E3"/>
    <w:rsid w:val="00797BCE"/>
    <w:rsid w:val="007A08AA"/>
    <w:rsid w:val="007A0A12"/>
    <w:rsid w:val="007A0A40"/>
    <w:rsid w:val="007A10D0"/>
    <w:rsid w:val="007A10F5"/>
    <w:rsid w:val="007A132D"/>
    <w:rsid w:val="007A1345"/>
    <w:rsid w:val="007A1AB7"/>
    <w:rsid w:val="007A1B14"/>
    <w:rsid w:val="007A1E0A"/>
    <w:rsid w:val="007A2044"/>
    <w:rsid w:val="007A22F1"/>
    <w:rsid w:val="007A29F9"/>
    <w:rsid w:val="007A2DDB"/>
    <w:rsid w:val="007A3396"/>
    <w:rsid w:val="007A35DC"/>
    <w:rsid w:val="007A3D92"/>
    <w:rsid w:val="007A3FE2"/>
    <w:rsid w:val="007A44D0"/>
    <w:rsid w:val="007A44E6"/>
    <w:rsid w:val="007A45F1"/>
    <w:rsid w:val="007A476E"/>
    <w:rsid w:val="007A5097"/>
    <w:rsid w:val="007A51A8"/>
    <w:rsid w:val="007A54A5"/>
    <w:rsid w:val="007A5563"/>
    <w:rsid w:val="007A58DF"/>
    <w:rsid w:val="007A5D03"/>
    <w:rsid w:val="007A5E3B"/>
    <w:rsid w:val="007A6079"/>
    <w:rsid w:val="007A6169"/>
    <w:rsid w:val="007A63C6"/>
    <w:rsid w:val="007A677C"/>
    <w:rsid w:val="007A6C46"/>
    <w:rsid w:val="007A6CF8"/>
    <w:rsid w:val="007A6FD1"/>
    <w:rsid w:val="007A6FFB"/>
    <w:rsid w:val="007A70BA"/>
    <w:rsid w:val="007A7645"/>
    <w:rsid w:val="007A777E"/>
    <w:rsid w:val="007A7922"/>
    <w:rsid w:val="007A7F6E"/>
    <w:rsid w:val="007A7F83"/>
    <w:rsid w:val="007B02D1"/>
    <w:rsid w:val="007B0D68"/>
    <w:rsid w:val="007B0ED5"/>
    <w:rsid w:val="007B1493"/>
    <w:rsid w:val="007B1D92"/>
    <w:rsid w:val="007B1FCA"/>
    <w:rsid w:val="007B251D"/>
    <w:rsid w:val="007B35AB"/>
    <w:rsid w:val="007B3621"/>
    <w:rsid w:val="007B38C2"/>
    <w:rsid w:val="007B398D"/>
    <w:rsid w:val="007B3DA7"/>
    <w:rsid w:val="007B3E87"/>
    <w:rsid w:val="007B3F4E"/>
    <w:rsid w:val="007B4551"/>
    <w:rsid w:val="007B47EA"/>
    <w:rsid w:val="007B48C0"/>
    <w:rsid w:val="007B491F"/>
    <w:rsid w:val="007B49CE"/>
    <w:rsid w:val="007B4F58"/>
    <w:rsid w:val="007B5101"/>
    <w:rsid w:val="007B5285"/>
    <w:rsid w:val="007B528D"/>
    <w:rsid w:val="007B5949"/>
    <w:rsid w:val="007B5EB6"/>
    <w:rsid w:val="007B5EBC"/>
    <w:rsid w:val="007B5F44"/>
    <w:rsid w:val="007B5F5E"/>
    <w:rsid w:val="007B637B"/>
    <w:rsid w:val="007B63CA"/>
    <w:rsid w:val="007B6AB7"/>
    <w:rsid w:val="007B6C7B"/>
    <w:rsid w:val="007B7706"/>
    <w:rsid w:val="007B77CE"/>
    <w:rsid w:val="007B77D1"/>
    <w:rsid w:val="007C0161"/>
    <w:rsid w:val="007C04CE"/>
    <w:rsid w:val="007C07C7"/>
    <w:rsid w:val="007C08B8"/>
    <w:rsid w:val="007C0F22"/>
    <w:rsid w:val="007C0F6D"/>
    <w:rsid w:val="007C1508"/>
    <w:rsid w:val="007C159E"/>
    <w:rsid w:val="007C197C"/>
    <w:rsid w:val="007C1CD9"/>
    <w:rsid w:val="007C1D93"/>
    <w:rsid w:val="007C20C1"/>
    <w:rsid w:val="007C2207"/>
    <w:rsid w:val="007C230C"/>
    <w:rsid w:val="007C28F7"/>
    <w:rsid w:val="007C316A"/>
    <w:rsid w:val="007C3253"/>
    <w:rsid w:val="007C32EF"/>
    <w:rsid w:val="007C3542"/>
    <w:rsid w:val="007C361D"/>
    <w:rsid w:val="007C386D"/>
    <w:rsid w:val="007C3B82"/>
    <w:rsid w:val="007C3EB1"/>
    <w:rsid w:val="007C4291"/>
    <w:rsid w:val="007C44EE"/>
    <w:rsid w:val="007C4682"/>
    <w:rsid w:val="007C468C"/>
    <w:rsid w:val="007C46DF"/>
    <w:rsid w:val="007C4896"/>
    <w:rsid w:val="007C4B84"/>
    <w:rsid w:val="007C4D11"/>
    <w:rsid w:val="007C563F"/>
    <w:rsid w:val="007C595B"/>
    <w:rsid w:val="007C60CD"/>
    <w:rsid w:val="007C6101"/>
    <w:rsid w:val="007C63AB"/>
    <w:rsid w:val="007C69F3"/>
    <w:rsid w:val="007C70FF"/>
    <w:rsid w:val="007C76D9"/>
    <w:rsid w:val="007C7715"/>
    <w:rsid w:val="007C7AF9"/>
    <w:rsid w:val="007C7B26"/>
    <w:rsid w:val="007C7C25"/>
    <w:rsid w:val="007D004F"/>
    <w:rsid w:val="007D008E"/>
    <w:rsid w:val="007D0B38"/>
    <w:rsid w:val="007D0B4D"/>
    <w:rsid w:val="007D0BEB"/>
    <w:rsid w:val="007D10AA"/>
    <w:rsid w:val="007D17BC"/>
    <w:rsid w:val="007D1B08"/>
    <w:rsid w:val="007D1CAD"/>
    <w:rsid w:val="007D259E"/>
    <w:rsid w:val="007D2A34"/>
    <w:rsid w:val="007D2CF2"/>
    <w:rsid w:val="007D2FD8"/>
    <w:rsid w:val="007D3048"/>
    <w:rsid w:val="007D307C"/>
    <w:rsid w:val="007D3091"/>
    <w:rsid w:val="007D353C"/>
    <w:rsid w:val="007D3995"/>
    <w:rsid w:val="007D3FC3"/>
    <w:rsid w:val="007D4057"/>
    <w:rsid w:val="007D4548"/>
    <w:rsid w:val="007D4DD3"/>
    <w:rsid w:val="007D534A"/>
    <w:rsid w:val="007D5440"/>
    <w:rsid w:val="007D554A"/>
    <w:rsid w:val="007D56EC"/>
    <w:rsid w:val="007D58F3"/>
    <w:rsid w:val="007D596F"/>
    <w:rsid w:val="007D5B32"/>
    <w:rsid w:val="007D5B7F"/>
    <w:rsid w:val="007D61E6"/>
    <w:rsid w:val="007D6852"/>
    <w:rsid w:val="007D69EB"/>
    <w:rsid w:val="007D6A1B"/>
    <w:rsid w:val="007D6DFD"/>
    <w:rsid w:val="007D6EA2"/>
    <w:rsid w:val="007D76BC"/>
    <w:rsid w:val="007D7834"/>
    <w:rsid w:val="007D787B"/>
    <w:rsid w:val="007E052A"/>
    <w:rsid w:val="007E062D"/>
    <w:rsid w:val="007E128F"/>
    <w:rsid w:val="007E1B20"/>
    <w:rsid w:val="007E2092"/>
    <w:rsid w:val="007E2499"/>
    <w:rsid w:val="007E2606"/>
    <w:rsid w:val="007E2682"/>
    <w:rsid w:val="007E2D80"/>
    <w:rsid w:val="007E30C5"/>
    <w:rsid w:val="007E3BB7"/>
    <w:rsid w:val="007E44FA"/>
    <w:rsid w:val="007E4745"/>
    <w:rsid w:val="007E4A90"/>
    <w:rsid w:val="007E4B2F"/>
    <w:rsid w:val="007E4B6B"/>
    <w:rsid w:val="007E5055"/>
    <w:rsid w:val="007E5566"/>
    <w:rsid w:val="007E582D"/>
    <w:rsid w:val="007E58CC"/>
    <w:rsid w:val="007E5D5B"/>
    <w:rsid w:val="007E66DF"/>
    <w:rsid w:val="007E6B0E"/>
    <w:rsid w:val="007E736B"/>
    <w:rsid w:val="007E7EC5"/>
    <w:rsid w:val="007F0B3E"/>
    <w:rsid w:val="007F0DE3"/>
    <w:rsid w:val="007F0EA5"/>
    <w:rsid w:val="007F1017"/>
    <w:rsid w:val="007F129D"/>
    <w:rsid w:val="007F1580"/>
    <w:rsid w:val="007F1C4F"/>
    <w:rsid w:val="007F2086"/>
    <w:rsid w:val="007F210E"/>
    <w:rsid w:val="007F234B"/>
    <w:rsid w:val="007F264F"/>
    <w:rsid w:val="007F3027"/>
    <w:rsid w:val="007F32B2"/>
    <w:rsid w:val="007F34BF"/>
    <w:rsid w:val="007F368D"/>
    <w:rsid w:val="007F3B64"/>
    <w:rsid w:val="007F3DD2"/>
    <w:rsid w:val="007F4619"/>
    <w:rsid w:val="007F4A3F"/>
    <w:rsid w:val="007F4A61"/>
    <w:rsid w:val="007F5255"/>
    <w:rsid w:val="007F526D"/>
    <w:rsid w:val="007F56CC"/>
    <w:rsid w:val="007F5BAC"/>
    <w:rsid w:val="007F5C22"/>
    <w:rsid w:val="007F5F52"/>
    <w:rsid w:val="007F6002"/>
    <w:rsid w:val="007F61C2"/>
    <w:rsid w:val="007F71F6"/>
    <w:rsid w:val="007F7391"/>
    <w:rsid w:val="007F759D"/>
    <w:rsid w:val="007F79B9"/>
    <w:rsid w:val="007F7BBA"/>
    <w:rsid w:val="007F7F4A"/>
    <w:rsid w:val="00800906"/>
    <w:rsid w:val="0080093A"/>
    <w:rsid w:val="008009A9"/>
    <w:rsid w:val="00800AE5"/>
    <w:rsid w:val="00800B17"/>
    <w:rsid w:val="00801BCD"/>
    <w:rsid w:val="008023C9"/>
    <w:rsid w:val="0080270D"/>
    <w:rsid w:val="00802866"/>
    <w:rsid w:val="0080323B"/>
    <w:rsid w:val="008033B8"/>
    <w:rsid w:val="008033FA"/>
    <w:rsid w:val="008034CA"/>
    <w:rsid w:val="00803541"/>
    <w:rsid w:val="008036AF"/>
    <w:rsid w:val="008036E1"/>
    <w:rsid w:val="008037BA"/>
    <w:rsid w:val="008042C3"/>
    <w:rsid w:val="00804E79"/>
    <w:rsid w:val="00804F3F"/>
    <w:rsid w:val="00805142"/>
    <w:rsid w:val="0080551E"/>
    <w:rsid w:val="008058DD"/>
    <w:rsid w:val="00805FCE"/>
    <w:rsid w:val="00806103"/>
    <w:rsid w:val="00806452"/>
    <w:rsid w:val="00806ABD"/>
    <w:rsid w:val="00806C86"/>
    <w:rsid w:val="00806FF5"/>
    <w:rsid w:val="008073F4"/>
    <w:rsid w:val="008074ED"/>
    <w:rsid w:val="00807598"/>
    <w:rsid w:val="00807A8B"/>
    <w:rsid w:val="00807B76"/>
    <w:rsid w:val="00807DF9"/>
    <w:rsid w:val="008103C1"/>
    <w:rsid w:val="00810437"/>
    <w:rsid w:val="00810934"/>
    <w:rsid w:val="00811164"/>
    <w:rsid w:val="00811383"/>
    <w:rsid w:val="00811449"/>
    <w:rsid w:val="008118AF"/>
    <w:rsid w:val="00811AD7"/>
    <w:rsid w:val="0081203A"/>
    <w:rsid w:val="00812110"/>
    <w:rsid w:val="00812149"/>
    <w:rsid w:val="008127C9"/>
    <w:rsid w:val="00812CAC"/>
    <w:rsid w:val="00813175"/>
    <w:rsid w:val="00813253"/>
    <w:rsid w:val="008137FD"/>
    <w:rsid w:val="00813BD7"/>
    <w:rsid w:val="008141CC"/>
    <w:rsid w:val="00814652"/>
    <w:rsid w:val="00814667"/>
    <w:rsid w:val="0081493C"/>
    <w:rsid w:val="00814965"/>
    <w:rsid w:val="008149D1"/>
    <w:rsid w:val="00814BF3"/>
    <w:rsid w:val="008150E1"/>
    <w:rsid w:val="00815146"/>
    <w:rsid w:val="0081525B"/>
    <w:rsid w:val="0081552E"/>
    <w:rsid w:val="008155EA"/>
    <w:rsid w:val="008158C1"/>
    <w:rsid w:val="008159CC"/>
    <w:rsid w:val="00816361"/>
    <w:rsid w:val="008165B8"/>
    <w:rsid w:val="008166EF"/>
    <w:rsid w:val="008169DA"/>
    <w:rsid w:val="00816FEF"/>
    <w:rsid w:val="00820069"/>
    <w:rsid w:val="00820163"/>
    <w:rsid w:val="0082042B"/>
    <w:rsid w:val="0082043A"/>
    <w:rsid w:val="008204A2"/>
    <w:rsid w:val="00820598"/>
    <w:rsid w:val="00820782"/>
    <w:rsid w:val="00820A36"/>
    <w:rsid w:val="00820A8C"/>
    <w:rsid w:val="00820BC0"/>
    <w:rsid w:val="008210EC"/>
    <w:rsid w:val="00821372"/>
    <w:rsid w:val="008215FB"/>
    <w:rsid w:val="00821C6B"/>
    <w:rsid w:val="00821C9F"/>
    <w:rsid w:val="00821EC4"/>
    <w:rsid w:val="00822B78"/>
    <w:rsid w:val="00823021"/>
    <w:rsid w:val="00823174"/>
    <w:rsid w:val="0082432A"/>
    <w:rsid w:val="0082466C"/>
    <w:rsid w:val="008246A1"/>
    <w:rsid w:val="0082480D"/>
    <w:rsid w:val="00824B60"/>
    <w:rsid w:val="00824C98"/>
    <w:rsid w:val="00825130"/>
    <w:rsid w:val="00825650"/>
    <w:rsid w:val="00825751"/>
    <w:rsid w:val="00825C4D"/>
    <w:rsid w:val="008264EB"/>
    <w:rsid w:val="008265B9"/>
    <w:rsid w:val="00826917"/>
    <w:rsid w:val="00826F34"/>
    <w:rsid w:val="00827CD0"/>
    <w:rsid w:val="00830509"/>
    <w:rsid w:val="008309AD"/>
    <w:rsid w:val="00830A56"/>
    <w:rsid w:val="00831116"/>
    <w:rsid w:val="00831513"/>
    <w:rsid w:val="0083178C"/>
    <w:rsid w:val="00831A92"/>
    <w:rsid w:val="00831F21"/>
    <w:rsid w:val="00831FC4"/>
    <w:rsid w:val="0083238A"/>
    <w:rsid w:val="00832966"/>
    <w:rsid w:val="00832BAA"/>
    <w:rsid w:val="00833093"/>
    <w:rsid w:val="008330F7"/>
    <w:rsid w:val="00833B05"/>
    <w:rsid w:val="00833EB1"/>
    <w:rsid w:val="008341DC"/>
    <w:rsid w:val="00834A41"/>
    <w:rsid w:val="00834C3D"/>
    <w:rsid w:val="0083532F"/>
    <w:rsid w:val="008356FF"/>
    <w:rsid w:val="00835E83"/>
    <w:rsid w:val="00836182"/>
    <w:rsid w:val="008362B4"/>
    <w:rsid w:val="00836CD3"/>
    <w:rsid w:val="00837A22"/>
    <w:rsid w:val="00837D39"/>
    <w:rsid w:val="00837D57"/>
    <w:rsid w:val="00840BE3"/>
    <w:rsid w:val="00840CA2"/>
    <w:rsid w:val="008411B2"/>
    <w:rsid w:val="00841367"/>
    <w:rsid w:val="008417EB"/>
    <w:rsid w:val="00841E3D"/>
    <w:rsid w:val="00841E5E"/>
    <w:rsid w:val="008420E5"/>
    <w:rsid w:val="00842234"/>
    <w:rsid w:val="008423DD"/>
    <w:rsid w:val="00842AA0"/>
    <w:rsid w:val="0084374F"/>
    <w:rsid w:val="00843837"/>
    <w:rsid w:val="00843A50"/>
    <w:rsid w:val="00843BF6"/>
    <w:rsid w:val="00844140"/>
    <w:rsid w:val="00844A22"/>
    <w:rsid w:val="00844CFC"/>
    <w:rsid w:val="008450EE"/>
    <w:rsid w:val="008453B2"/>
    <w:rsid w:val="00845A7F"/>
    <w:rsid w:val="00845D12"/>
    <w:rsid w:val="0084635A"/>
    <w:rsid w:val="008463D1"/>
    <w:rsid w:val="00846C84"/>
    <w:rsid w:val="0084738F"/>
    <w:rsid w:val="008476CF"/>
    <w:rsid w:val="00847703"/>
    <w:rsid w:val="00847DF5"/>
    <w:rsid w:val="0085031B"/>
    <w:rsid w:val="00850715"/>
    <w:rsid w:val="00850C19"/>
    <w:rsid w:val="00851261"/>
    <w:rsid w:val="0085178E"/>
    <w:rsid w:val="00851826"/>
    <w:rsid w:val="0085197E"/>
    <w:rsid w:val="00851D9D"/>
    <w:rsid w:val="00851EA8"/>
    <w:rsid w:val="0085229C"/>
    <w:rsid w:val="008523B1"/>
    <w:rsid w:val="00852606"/>
    <w:rsid w:val="00852964"/>
    <w:rsid w:val="00852A3E"/>
    <w:rsid w:val="0085309D"/>
    <w:rsid w:val="0085316C"/>
    <w:rsid w:val="0085365C"/>
    <w:rsid w:val="00853AB9"/>
    <w:rsid w:val="0085449B"/>
    <w:rsid w:val="00854760"/>
    <w:rsid w:val="0085478D"/>
    <w:rsid w:val="0085502B"/>
    <w:rsid w:val="008550AA"/>
    <w:rsid w:val="00855758"/>
    <w:rsid w:val="00855DDB"/>
    <w:rsid w:val="0085633C"/>
    <w:rsid w:val="008564D3"/>
    <w:rsid w:val="0085683F"/>
    <w:rsid w:val="00856897"/>
    <w:rsid w:val="0085689A"/>
    <w:rsid w:val="008569E2"/>
    <w:rsid w:val="00856E9A"/>
    <w:rsid w:val="00856FA9"/>
    <w:rsid w:val="00857279"/>
    <w:rsid w:val="008574F8"/>
    <w:rsid w:val="008579C6"/>
    <w:rsid w:val="00857E9D"/>
    <w:rsid w:val="00857EB7"/>
    <w:rsid w:val="00857FF0"/>
    <w:rsid w:val="0086030B"/>
    <w:rsid w:val="008605E2"/>
    <w:rsid w:val="008605E7"/>
    <w:rsid w:val="008606ED"/>
    <w:rsid w:val="0086075D"/>
    <w:rsid w:val="00861122"/>
    <w:rsid w:val="0086159C"/>
    <w:rsid w:val="008615BF"/>
    <w:rsid w:val="008615EF"/>
    <w:rsid w:val="008616C1"/>
    <w:rsid w:val="00861AF8"/>
    <w:rsid w:val="00862502"/>
    <w:rsid w:val="00862B7C"/>
    <w:rsid w:val="00862CC1"/>
    <w:rsid w:val="00862D29"/>
    <w:rsid w:val="00862EBB"/>
    <w:rsid w:val="0086303B"/>
    <w:rsid w:val="008636C0"/>
    <w:rsid w:val="0086370A"/>
    <w:rsid w:val="0086383E"/>
    <w:rsid w:val="008639F4"/>
    <w:rsid w:val="00864053"/>
    <w:rsid w:val="00864BD5"/>
    <w:rsid w:val="0086500F"/>
    <w:rsid w:val="00865307"/>
    <w:rsid w:val="008656FE"/>
    <w:rsid w:val="008660D1"/>
    <w:rsid w:val="008660D4"/>
    <w:rsid w:val="00866405"/>
    <w:rsid w:val="00866813"/>
    <w:rsid w:val="00866F0D"/>
    <w:rsid w:val="00867120"/>
    <w:rsid w:val="00867455"/>
    <w:rsid w:val="00867803"/>
    <w:rsid w:val="00867E15"/>
    <w:rsid w:val="008700A7"/>
    <w:rsid w:val="00870205"/>
    <w:rsid w:val="0087070B"/>
    <w:rsid w:val="00870909"/>
    <w:rsid w:val="00870F55"/>
    <w:rsid w:val="00871004"/>
    <w:rsid w:val="00871A4F"/>
    <w:rsid w:val="00871C72"/>
    <w:rsid w:val="00871FA9"/>
    <w:rsid w:val="0087219F"/>
    <w:rsid w:val="00872524"/>
    <w:rsid w:val="008728E9"/>
    <w:rsid w:val="00872985"/>
    <w:rsid w:val="00872A03"/>
    <w:rsid w:val="00872BD1"/>
    <w:rsid w:val="00872BE6"/>
    <w:rsid w:val="00872C25"/>
    <w:rsid w:val="00872C2B"/>
    <w:rsid w:val="00872FF6"/>
    <w:rsid w:val="0087337C"/>
    <w:rsid w:val="00873987"/>
    <w:rsid w:val="008739E2"/>
    <w:rsid w:val="00873A72"/>
    <w:rsid w:val="00873BA5"/>
    <w:rsid w:val="00874295"/>
    <w:rsid w:val="008747F2"/>
    <w:rsid w:val="008749FD"/>
    <w:rsid w:val="00874F1E"/>
    <w:rsid w:val="00875A6B"/>
    <w:rsid w:val="00876447"/>
    <w:rsid w:val="0087674F"/>
    <w:rsid w:val="0087677A"/>
    <w:rsid w:val="0087690A"/>
    <w:rsid w:val="00876E39"/>
    <w:rsid w:val="00876E61"/>
    <w:rsid w:val="008772A6"/>
    <w:rsid w:val="00877894"/>
    <w:rsid w:val="008807A5"/>
    <w:rsid w:val="00880882"/>
    <w:rsid w:val="008811E9"/>
    <w:rsid w:val="008813DC"/>
    <w:rsid w:val="008819C3"/>
    <w:rsid w:val="00882143"/>
    <w:rsid w:val="00882874"/>
    <w:rsid w:val="00882E3C"/>
    <w:rsid w:val="00882FB9"/>
    <w:rsid w:val="00883556"/>
    <w:rsid w:val="00883787"/>
    <w:rsid w:val="00883D6E"/>
    <w:rsid w:val="00883EC5"/>
    <w:rsid w:val="008846A2"/>
    <w:rsid w:val="008849D5"/>
    <w:rsid w:val="008854C5"/>
    <w:rsid w:val="008855E4"/>
    <w:rsid w:val="00885618"/>
    <w:rsid w:val="008856D5"/>
    <w:rsid w:val="00885D6D"/>
    <w:rsid w:val="00885E69"/>
    <w:rsid w:val="00885E6A"/>
    <w:rsid w:val="00885FF3"/>
    <w:rsid w:val="008860D7"/>
    <w:rsid w:val="008860E3"/>
    <w:rsid w:val="0088637D"/>
    <w:rsid w:val="008864B2"/>
    <w:rsid w:val="0088653B"/>
    <w:rsid w:val="008869B6"/>
    <w:rsid w:val="00886C08"/>
    <w:rsid w:val="00886CD2"/>
    <w:rsid w:val="00887142"/>
    <w:rsid w:val="00887226"/>
    <w:rsid w:val="0088746B"/>
    <w:rsid w:val="0088775C"/>
    <w:rsid w:val="008901D7"/>
    <w:rsid w:val="008907BE"/>
    <w:rsid w:val="008908EE"/>
    <w:rsid w:val="008909B8"/>
    <w:rsid w:val="008912CC"/>
    <w:rsid w:val="008915CE"/>
    <w:rsid w:val="00891ACA"/>
    <w:rsid w:val="00891E6F"/>
    <w:rsid w:val="00892433"/>
    <w:rsid w:val="00892741"/>
    <w:rsid w:val="0089275D"/>
    <w:rsid w:val="008927FB"/>
    <w:rsid w:val="00892953"/>
    <w:rsid w:val="00892A36"/>
    <w:rsid w:val="00892BB6"/>
    <w:rsid w:val="00892BF5"/>
    <w:rsid w:val="00892E22"/>
    <w:rsid w:val="00892F47"/>
    <w:rsid w:val="00893018"/>
    <w:rsid w:val="00893239"/>
    <w:rsid w:val="008933DA"/>
    <w:rsid w:val="008933EC"/>
    <w:rsid w:val="0089389C"/>
    <w:rsid w:val="008939DD"/>
    <w:rsid w:val="00893BD2"/>
    <w:rsid w:val="00893F2D"/>
    <w:rsid w:val="008940E1"/>
    <w:rsid w:val="00894489"/>
    <w:rsid w:val="00894DA9"/>
    <w:rsid w:val="00894ED3"/>
    <w:rsid w:val="008951A6"/>
    <w:rsid w:val="00895461"/>
    <w:rsid w:val="008956AF"/>
    <w:rsid w:val="008959C9"/>
    <w:rsid w:val="00895AB1"/>
    <w:rsid w:val="00895C1E"/>
    <w:rsid w:val="00895DD1"/>
    <w:rsid w:val="0089602C"/>
    <w:rsid w:val="008961BE"/>
    <w:rsid w:val="008961E7"/>
    <w:rsid w:val="008963A5"/>
    <w:rsid w:val="00896982"/>
    <w:rsid w:val="00896AB0"/>
    <w:rsid w:val="00896D5D"/>
    <w:rsid w:val="00896ECB"/>
    <w:rsid w:val="008972CA"/>
    <w:rsid w:val="008975CE"/>
    <w:rsid w:val="00897782"/>
    <w:rsid w:val="00897835"/>
    <w:rsid w:val="00897897"/>
    <w:rsid w:val="008A010C"/>
    <w:rsid w:val="008A0161"/>
    <w:rsid w:val="008A07B3"/>
    <w:rsid w:val="008A08DE"/>
    <w:rsid w:val="008A0F58"/>
    <w:rsid w:val="008A11E1"/>
    <w:rsid w:val="008A1529"/>
    <w:rsid w:val="008A1589"/>
    <w:rsid w:val="008A15BA"/>
    <w:rsid w:val="008A1790"/>
    <w:rsid w:val="008A1933"/>
    <w:rsid w:val="008A1EDA"/>
    <w:rsid w:val="008A2E3A"/>
    <w:rsid w:val="008A3117"/>
    <w:rsid w:val="008A3363"/>
    <w:rsid w:val="008A3371"/>
    <w:rsid w:val="008A3C3E"/>
    <w:rsid w:val="008A402E"/>
    <w:rsid w:val="008A428E"/>
    <w:rsid w:val="008A4320"/>
    <w:rsid w:val="008A43C2"/>
    <w:rsid w:val="008A46A9"/>
    <w:rsid w:val="008A4957"/>
    <w:rsid w:val="008A496D"/>
    <w:rsid w:val="008A4A50"/>
    <w:rsid w:val="008A5673"/>
    <w:rsid w:val="008A5CF9"/>
    <w:rsid w:val="008A65E7"/>
    <w:rsid w:val="008A69F6"/>
    <w:rsid w:val="008A6A98"/>
    <w:rsid w:val="008A6B2D"/>
    <w:rsid w:val="008A6D62"/>
    <w:rsid w:val="008A70A1"/>
    <w:rsid w:val="008A754E"/>
    <w:rsid w:val="008A78B7"/>
    <w:rsid w:val="008A79DE"/>
    <w:rsid w:val="008A7A2A"/>
    <w:rsid w:val="008A7B8D"/>
    <w:rsid w:val="008A7F6C"/>
    <w:rsid w:val="008B0064"/>
    <w:rsid w:val="008B0168"/>
    <w:rsid w:val="008B058F"/>
    <w:rsid w:val="008B07A5"/>
    <w:rsid w:val="008B0A43"/>
    <w:rsid w:val="008B0F81"/>
    <w:rsid w:val="008B1244"/>
    <w:rsid w:val="008B13D1"/>
    <w:rsid w:val="008B172B"/>
    <w:rsid w:val="008B1757"/>
    <w:rsid w:val="008B2127"/>
    <w:rsid w:val="008B2596"/>
    <w:rsid w:val="008B2663"/>
    <w:rsid w:val="008B26B6"/>
    <w:rsid w:val="008B2B9E"/>
    <w:rsid w:val="008B2BEC"/>
    <w:rsid w:val="008B2C28"/>
    <w:rsid w:val="008B30E9"/>
    <w:rsid w:val="008B3383"/>
    <w:rsid w:val="008B3E79"/>
    <w:rsid w:val="008B401E"/>
    <w:rsid w:val="008B407F"/>
    <w:rsid w:val="008B4D45"/>
    <w:rsid w:val="008B4DFD"/>
    <w:rsid w:val="008B4FFF"/>
    <w:rsid w:val="008B5B0D"/>
    <w:rsid w:val="008B5F5C"/>
    <w:rsid w:val="008B6E7B"/>
    <w:rsid w:val="008B70D3"/>
    <w:rsid w:val="008B7106"/>
    <w:rsid w:val="008B721C"/>
    <w:rsid w:val="008B7439"/>
    <w:rsid w:val="008B7992"/>
    <w:rsid w:val="008B79B2"/>
    <w:rsid w:val="008B7B74"/>
    <w:rsid w:val="008B7D7E"/>
    <w:rsid w:val="008C02F5"/>
    <w:rsid w:val="008C0572"/>
    <w:rsid w:val="008C06DC"/>
    <w:rsid w:val="008C0D4F"/>
    <w:rsid w:val="008C0F8E"/>
    <w:rsid w:val="008C1405"/>
    <w:rsid w:val="008C14BC"/>
    <w:rsid w:val="008C1CA8"/>
    <w:rsid w:val="008C1D39"/>
    <w:rsid w:val="008C1E5A"/>
    <w:rsid w:val="008C22A8"/>
    <w:rsid w:val="008C23AF"/>
    <w:rsid w:val="008C24C9"/>
    <w:rsid w:val="008C2609"/>
    <w:rsid w:val="008C2842"/>
    <w:rsid w:val="008C2C2C"/>
    <w:rsid w:val="008C31FE"/>
    <w:rsid w:val="008C39CF"/>
    <w:rsid w:val="008C3B2B"/>
    <w:rsid w:val="008C49BF"/>
    <w:rsid w:val="008C4B06"/>
    <w:rsid w:val="008C4F85"/>
    <w:rsid w:val="008C54DD"/>
    <w:rsid w:val="008C5610"/>
    <w:rsid w:val="008C5739"/>
    <w:rsid w:val="008C5AB4"/>
    <w:rsid w:val="008C6BC6"/>
    <w:rsid w:val="008C6F22"/>
    <w:rsid w:val="008C6F31"/>
    <w:rsid w:val="008C72A6"/>
    <w:rsid w:val="008C7445"/>
    <w:rsid w:val="008C74C2"/>
    <w:rsid w:val="008C764D"/>
    <w:rsid w:val="008C7AD7"/>
    <w:rsid w:val="008C7D23"/>
    <w:rsid w:val="008C7ECB"/>
    <w:rsid w:val="008D02AA"/>
    <w:rsid w:val="008D048F"/>
    <w:rsid w:val="008D0498"/>
    <w:rsid w:val="008D0510"/>
    <w:rsid w:val="008D0A4C"/>
    <w:rsid w:val="008D12CD"/>
    <w:rsid w:val="008D1301"/>
    <w:rsid w:val="008D1690"/>
    <w:rsid w:val="008D1B1D"/>
    <w:rsid w:val="008D1C26"/>
    <w:rsid w:val="008D1DEC"/>
    <w:rsid w:val="008D2793"/>
    <w:rsid w:val="008D2870"/>
    <w:rsid w:val="008D2954"/>
    <w:rsid w:val="008D2AB0"/>
    <w:rsid w:val="008D2F64"/>
    <w:rsid w:val="008D3691"/>
    <w:rsid w:val="008D3B86"/>
    <w:rsid w:val="008D406D"/>
    <w:rsid w:val="008D4096"/>
    <w:rsid w:val="008D455D"/>
    <w:rsid w:val="008D4755"/>
    <w:rsid w:val="008D48BB"/>
    <w:rsid w:val="008D4C3D"/>
    <w:rsid w:val="008D565B"/>
    <w:rsid w:val="008D5BB6"/>
    <w:rsid w:val="008D5D7A"/>
    <w:rsid w:val="008D62FE"/>
    <w:rsid w:val="008D6B8D"/>
    <w:rsid w:val="008D6F25"/>
    <w:rsid w:val="008D743C"/>
    <w:rsid w:val="008D7544"/>
    <w:rsid w:val="008D7969"/>
    <w:rsid w:val="008D7A48"/>
    <w:rsid w:val="008E06F6"/>
    <w:rsid w:val="008E0A94"/>
    <w:rsid w:val="008E0CD8"/>
    <w:rsid w:val="008E0D3C"/>
    <w:rsid w:val="008E0FB6"/>
    <w:rsid w:val="008E137A"/>
    <w:rsid w:val="008E196F"/>
    <w:rsid w:val="008E1B9E"/>
    <w:rsid w:val="008E2353"/>
    <w:rsid w:val="008E2E43"/>
    <w:rsid w:val="008E2F2B"/>
    <w:rsid w:val="008E3807"/>
    <w:rsid w:val="008E3AED"/>
    <w:rsid w:val="008E3E99"/>
    <w:rsid w:val="008E401B"/>
    <w:rsid w:val="008E40EC"/>
    <w:rsid w:val="008E46F4"/>
    <w:rsid w:val="008E4814"/>
    <w:rsid w:val="008E51CE"/>
    <w:rsid w:val="008E55AB"/>
    <w:rsid w:val="008E596C"/>
    <w:rsid w:val="008E59FD"/>
    <w:rsid w:val="008E5A1A"/>
    <w:rsid w:val="008E5BAC"/>
    <w:rsid w:val="008E6183"/>
    <w:rsid w:val="008E6194"/>
    <w:rsid w:val="008E6760"/>
    <w:rsid w:val="008E67DB"/>
    <w:rsid w:val="008E6B76"/>
    <w:rsid w:val="008E717A"/>
    <w:rsid w:val="008E7DF0"/>
    <w:rsid w:val="008F00F9"/>
    <w:rsid w:val="008F0606"/>
    <w:rsid w:val="008F0ABE"/>
    <w:rsid w:val="008F0AF1"/>
    <w:rsid w:val="008F11CD"/>
    <w:rsid w:val="008F120A"/>
    <w:rsid w:val="008F12F9"/>
    <w:rsid w:val="008F14FA"/>
    <w:rsid w:val="008F18BA"/>
    <w:rsid w:val="008F1A9D"/>
    <w:rsid w:val="008F1C75"/>
    <w:rsid w:val="008F2310"/>
    <w:rsid w:val="008F27E0"/>
    <w:rsid w:val="008F290F"/>
    <w:rsid w:val="008F2AE4"/>
    <w:rsid w:val="008F3395"/>
    <w:rsid w:val="008F390D"/>
    <w:rsid w:val="008F3A6A"/>
    <w:rsid w:val="008F3D49"/>
    <w:rsid w:val="008F41D7"/>
    <w:rsid w:val="008F47B5"/>
    <w:rsid w:val="008F48EB"/>
    <w:rsid w:val="008F4F0B"/>
    <w:rsid w:val="008F4FFF"/>
    <w:rsid w:val="008F529F"/>
    <w:rsid w:val="008F5743"/>
    <w:rsid w:val="008F5AA2"/>
    <w:rsid w:val="008F65B3"/>
    <w:rsid w:val="008F7175"/>
    <w:rsid w:val="008F71C5"/>
    <w:rsid w:val="00900011"/>
    <w:rsid w:val="00900142"/>
    <w:rsid w:val="009003E1"/>
    <w:rsid w:val="00900665"/>
    <w:rsid w:val="00900E41"/>
    <w:rsid w:val="00900F02"/>
    <w:rsid w:val="00900F85"/>
    <w:rsid w:val="009017A3"/>
    <w:rsid w:val="00901A4A"/>
    <w:rsid w:val="00901A66"/>
    <w:rsid w:val="00901FB2"/>
    <w:rsid w:val="00901FDB"/>
    <w:rsid w:val="009028EC"/>
    <w:rsid w:val="00902B98"/>
    <w:rsid w:val="00903207"/>
    <w:rsid w:val="00903306"/>
    <w:rsid w:val="009036CF"/>
    <w:rsid w:val="0090379F"/>
    <w:rsid w:val="009046C4"/>
    <w:rsid w:val="00904FF8"/>
    <w:rsid w:val="0090527E"/>
    <w:rsid w:val="00905423"/>
    <w:rsid w:val="009058B5"/>
    <w:rsid w:val="009062A5"/>
    <w:rsid w:val="009062EF"/>
    <w:rsid w:val="00906357"/>
    <w:rsid w:val="00906A66"/>
    <w:rsid w:val="00906D7A"/>
    <w:rsid w:val="009072CB"/>
    <w:rsid w:val="009075BB"/>
    <w:rsid w:val="00907B2E"/>
    <w:rsid w:val="00907EB0"/>
    <w:rsid w:val="00907F3D"/>
    <w:rsid w:val="009107D7"/>
    <w:rsid w:val="00910FA7"/>
    <w:rsid w:val="00911272"/>
    <w:rsid w:val="00911BCC"/>
    <w:rsid w:val="00911D3B"/>
    <w:rsid w:val="00912018"/>
    <w:rsid w:val="009120CE"/>
    <w:rsid w:val="009120DB"/>
    <w:rsid w:val="0091257A"/>
    <w:rsid w:val="009130DF"/>
    <w:rsid w:val="00913359"/>
    <w:rsid w:val="009135D6"/>
    <w:rsid w:val="0091362C"/>
    <w:rsid w:val="00913904"/>
    <w:rsid w:val="009142BC"/>
    <w:rsid w:val="0091456A"/>
    <w:rsid w:val="00914C77"/>
    <w:rsid w:val="00914E83"/>
    <w:rsid w:val="00915E6B"/>
    <w:rsid w:val="0091600B"/>
    <w:rsid w:val="0091666B"/>
    <w:rsid w:val="009166FF"/>
    <w:rsid w:val="00916AA9"/>
    <w:rsid w:val="00917192"/>
    <w:rsid w:val="00917491"/>
    <w:rsid w:val="00917FAB"/>
    <w:rsid w:val="0092061A"/>
    <w:rsid w:val="0092079C"/>
    <w:rsid w:val="00920E1C"/>
    <w:rsid w:val="009214F9"/>
    <w:rsid w:val="009216D0"/>
    <w:rsid w:val="0092186B"/>
    <w:rsid w:val="00921ACB"/>
    <w:rsid w:val="00921C04"/>
    <w:rsid w:val="00921D9B"/>
    <w:rsid w:val="00921EF3"/>
    <w:rsid w:val="00921F15"/>
    <w:rsid w:val="00921F43"/>
    <w:rsid w:val="009220A8"/>
    <w:rsid w:val="0092245C"/>
    <w:rsid w:val="00922662"/>
    <w:rsid w:val="00922747"/>
    <w:rsid w:val="00922A9E"/>
    <w:rsid w:val="00922D02"/>
    <w:rsid w:val="009232B4"/>
    <w:rsid w:val="009235BD"/>
    <w:rsid w:val="0092369B"/>
    <w:rsid w:val="009238FC"/>
    <w:rsid w:val="00923B16"/>
    <w:rsid w:val="00923EF7"/>
    <w:rsid w:val="009243DA"/>
    <w:rsid w:val="0092454C"/>
    <w:rsid w:val="009248CF"/>
    <w:rsid w:val="00924ECB"/>
    <w:rsid w:val="00925CDB"/>
    <w:rsid w:val="00926C10"/>
    <w:rsid w:val="00926EE4"/>
    <w:rsid w:val="009270C1"/>
    <w:rsid w:val="009270CF"/>
    <w:rsid w:val="00927A80"/>
    <w:rsid w:val="00927C6F"/>
    <w:rsid w:val="00927F96"/>
    <w:rsid w:val="00927FA9"/>
    <w:rsid w:val="009310F4"/>
    <w:rsid w:val="009316DC"/>
    <w:rsid w:val="00931E42"/>
    <w:rsid w:val="00932134"/>
    <w:rsid w:val="009322B0"/>
    <w:rsid w:val="00933478"/>
    <w:rsid w:val="00933571"/>
    <w:rsid w:val="00933585"/>
    <w:rsid w:val="00933C22"/>
    <w:rsid w:val="00933D47"/>
    <w:rsid w:val="00933EC5"/>
    <w:rsid w:val="00933ED6"/>
    <w:rsid w:val="00934083"/>
    <w:rsid w:val="0093410C"/>
    <w:rsid w:val="00934916"/>
    <w:rsid w:val="00934988"/>
    <w:rsid w:val="00934F6F"/>
    <w:rsid w:val="00934FBA"/>
    <w:rsid w:val="009356FD"/>
    <w:rsid w:val="00935E6A"/>
    <w:rsid w:val="00936972"/>
    <w:rsid w:val="00936CAC"/>
    <w:rsid w:val="00937089"/>
    <w:rsid w:val="00937489"/>
    <w:rsid w:val="00937A6F"/>
    <w:rsid w:val="00940699"/>
    <w:rsid w:val="0094103A"/>
    <w:rsid w:val="00941126"/>
    <w:rsid w:val="00941319"/>
    <w:rsid w:val="00941BF6"/>
    <w:rsid w:val="00941E2D"/>
    <w:rsid w:val="00942742"/>
    <w:rsid w:val="00942897"/>
    <w:rsid w:val="00942F6A"/>
    <w:rsid w:val="00942FE1"/>
    <w:rsid w:val="0094300E"/>
    <w:rsid w:val="00943405"/>
    <w:rsid w:val="00943B47"/>
    <w:rsid w:val="0094400B"/>
    <w:rsid w:val="009441F9"/>
    <w:rsid w:val="0094450A"/>
    <w:rsid w:val="00944E71"/>
    <w:rsid w:val="00944F48"/>
    <w:rsid w:val="00944F8A"/>
    <w:rsid w:val="00945C66"/>
    <w:rsid w:val="0094603E"/>
    <w:rsid w:val="00946151"/>
    <w:rsid w:val="0094641B"/>
    <w:rsid w:val="0094690F"/>
    <w:rsid w:val="009469FC"/>
    <w:rsid w:val="00946F9D"/>
    <w:rsid w:val="0094749A"/>
    <w:rsid w:val="00947640"/>
    <w:rsid w:val="009478CF"/>
    <w:rsid w:val="00947FDF"/>
    <w:rsid w:val="00950F14"/>
    <w:rsid w:val="009510A2"/>
    <w:rsid w:val="00952057"/>
    <w:rsid w:val="00952709"/>
    <w:rsid w:val="00952A1E"/>
    <w:rsid w:val="00953257"/>
    <w:rsid w:val="009536AA"/>
    <w:rsid w:val="009537E9"/>
    <w:rsid w:val="00953916"/>
    <w:rsid w:val="00953CC7"/>
    <w:rsid w:val="00953CD8"/>
    <w:rsid w:val="009540EE"/>
    <w:rsid w:val="00954186"/>
    <w:rsid w:val="0095444E"/>
    <w:rsid w:val="00954455"/>
    <w:rsid w:val="009546E2"/>
    <w:rsid w:val="0095474C"/>
    <w:rsid w:val="0095477B"/>
    <w:rsid w:val="00954884"/>
    <w:rsid w:val="00954E31"/>
    <w:rsid w:val="00954EA0"/>
    <w:rsid w:val="00955619"/>
    <w:rsid w:val="0095598B"/>
    <w:rsid w:val="0095599C"/>
    <w:rsid w:val="00955D4B"/>
    <w:rsid w:val="00956849"/>
    <w:rsid w:val="00956E35"/>
    <w:rsid w:val="0095759E"/>
    <w:rsid w:val="00957E52"/>
    <w:rsid w:val="00957F52"/>
    <w:rsid w:val="0096055A"/>
    <w:rsid w:val="00960951"/>
    <w:rsid w:val="00960C22"/>
    <w:rsid w:val="00960DC2"/>
    <w:rsid w:val="00960F5C"/>
    <w:rsid w:val="00960F5D"/>
    <w:rsid w:val="0096181E"/>
    <w:rsid w:val="009620AE"/>
    <w:rsid w:val="00962CB9"/>
    <w:rsid w:val="0096319D"/>
    <w:rsid w:val="00963395"/>
    <w:rsid w:val="0096360D"/>
    <w:rsid w:val="00963BCA"/>
    <w:rsid w:val="00963CA7"/>
    <w:rsid w:val="009642A7"/>
    <w:rsid w:val="00964312"/>
    <w:rsid w:val="00964E89"/>
    <w:rsid w:val="00965056"/>
    <w:rsid w:val="00965497"/>
    <w:rsid w:val="009654B3"/>
    <w:rsid w:val="00965B8A"/>
    <w:rsid w:val="00965B90"/>
    <w:rsid w:val="009663A2"/>
    <w:rsid w:val="009669CD"/>
    <w:rsid w:val="00966B58"/>
    <w:rsid w:val="00966C31"/>
    <w:rsid w:val="00967349"/>
    <w:rsid w:val="0096741F"/>
    <w:rsid w:val="0096783C"/>
    <w:rsid w:val="0096793D"/>
    <w:rsid w:val="009679C2"/>
    <w:rsid w:val="00967A9C"/>
    <w:rsid w:val="00967C5F"/>
    <w:rsid w:val="00967DEC"/>
    <w:rsid w:val="0097009E"/>
    <w:rsid w:val="00970107"/>
    <w:rsid w:val="009706D0"/>
    <w:rsid w:val="0097071F"/>
    <w:rsid w:val="009709FD"/>
    <w:rsid w:val="00971013"/>
    <w:rsid w:val="00971098"/>
    <w:rsid w:val="009717AC"/>
    <w:rsid w:val="009719EE"/>
    <w:rsid w:val="00971F84"/>
    <w:rsid w:val="00972013"/>
    <w:rsid w:val="00972397"/>
    <w:rsid w:val="0097248E"/>
    <w:rsid w:val="00972754"/>
    <w:rsid w:val="009727B4"/>
    <w:rsid w:val="009729EB"/>
    <w:rsid w:val="00972CB8"/>
    <w:rsid w:val="00973146"/>
    <w:rsid w:val="0097327B"/>
    <w:rsid w:val="009736DB"/>
    <w:rsid w:val="00973EB0"/>
    <w:rsid w:val="009741B3"/>
    <w:rsid w:val="009742A2"/>
    <w:rsid w:val="00974464"/>
    <w:rsid w:val="009744D7"/>
    <w:rsid w:val="00974721"/>
    <w:rsid w:val="00974B3A"/>
    <w:rsid w:val="00974FD3"/>
    <w:rsid w:val="00975075"/>
    <w:rsid w:val="00975102"/>
    <w:rsid w:val="00975133"/>
    <w:rsid w:val="009751C1"/>
    <w:rsid w:val="0097538F"/>
    <w:rsid w:val="009755D9"/>
    <w:rsid w:val="009760F6"/>
    <w:rsid w:val="00976217"/>
    <w:rsid w:val="0097637D"/>
    <w:rsid w:val="0097783C"/>
    <w:rsid w:val="00977AD9"/>
    <w:rsid w:val="00977F15"/>
    <w:rsid w:val="00977FDD"/>
    <w:rsid w:val="00980091"/>
    <w:rsid w:val="00980916"/>
    <w:rsid w:val="00980CF1"/>
    <w:rsid w:val="009811F1"/>
    <w:rsid w:val="009815F2"/>
    <w:rsid w:val="009821B6"/>
    <w:rsid w:val="00982A2C"/>
    <w:rsid w:val="0098325E"/>
    <w:rsid w:val="00983523"/>
    <w:rsid w:val="00983804"/>
    <w:rsid w:val="00983886"/>
    <w:rsid w:val="00983BAA"/>
    <w:rsid w:val="00983BD3"/>
    <w:rsid w:val="00983D64"/>
    <w:rsid w:val="00983E57"/>
    <w:rsid w:val="00984764"/>
    <w:rsid w:val="00984C5D"/>
    <w:rsid w:val="00984E4E"/>
    <w:rsid w:val="00985168"/>
    <w:rsid w:val="00985256"/>
    <w:rsid w:val="0098547A"/>
    <w:rsid w:val="00985949"/>
    <w:rsid w:val="00985DE2"/>
    <w:rsid w:val="009862D4"/>
    <w:rsid w:val="0098675D"/>
    <w:rsid w:val="00986ADA"/>
    <w:rsid w:val="0098706C"/>
    <w:rsid w:val="009870D3"/>
    <w:rsid w:val="009902F8"/>
    <w:rsid w:val="00990312"/>
    <w:rsid w:val="00991124"/>
    <w:rsid w:val="00991D55"/>
    <w:rsid w:val="009926E0"/>
    <w:rsid w:val="009926E6"/>
    <w:rsid w:val="00992752"/>
    <w:rsid w:val="009927DC"/>
    <w:rsid w:val="00992BB1"/>
    <w:rsid w:val="00992EA3"/>
    <w:rsid w:val="0099302F"/>
    <w:rsid w:val="009930AF"/>
    <w:rsid w:val="009930D0"/>
    <w:rsid w:val="00993152"/>
    <w:rsid w:val="00993E00"/>
    <w:rsid w:val="00994071"/>
    <w:rsid w:val="0099451E"/>
    <w:rsid w:val="00994579"/>
    <w:rsid w:val="00994BF5"/>
    <w:rsid w:val="00995318"/>
    <w:rsid w:val="0099537B"/>
    <w:rsid w:val="00995438"/>
    <w:rsid w:val="00995498"/>
    <w:rsid w:val="009958A7"/>
    <w:rsid w:val="00995A65"/>
    <w:rsid w:val="00995E29"/>
    <w:rsid w:val="00995F31"/>
    <w:rsid w:val="0099645D"/>
    <w:rsid w:val="0099662E"/>
    <w:rsid w:val="00996693"/>
    <w:rsid w:val="00996B1A"/>
    <w:rsid w:val="00996DEF"/>
    <w:rsid w:val="00996EDC"/>
    <w:rsid w:val="00996F60"/>
    <w:rsid w:val="009970E5"/>
    <w:rsid w:val="009A0033"/>
    <w:rsid w:val="009A06A3"/>
    <w:rsid w:val="009A10A1"/>
    <w:rsid w:val="009A121D"/>
    <w:rsid w:val="009A1460"/>
    <w:rsid w:val="009A1817"/>
    <w:rsid w:val="009A1AE2"/>
    <w:rsid w:val="009A1D4F"/>
    <w:rsid w:val="009A2265"/>
    <w:rsid w:val="009A27F6"/>
    <w:rsid w:val="009A2DCC"/>
    <w:rsid w:val="009A32EB"/>
    <w:rsid w:val="009A3EF9"/>
    <w:rsid w:val="009A41FF"/>
    <w:rsid w:val="009A4217"/>
    <w:rsid w:val="009A4239"/>
    <w:rsid w:val="009A4D51"/>
    <w:rsid w:val="009A543B"/>
    <w:rsid w:val="009A5ABC"/>
    <w:rsid w:val="009A5B4B"/>
    <w:rsid w:val="009A5D8A"/>
    <w:rsid w:val="009A5E2E"/>
    <w:rsid w:val="009A6233"/>
    <w:rsid w:val="009A63BA"/>
    <w:rsid w:val="009A68E3"/>
    <w:rsid w:val="009A6D5A"/>
    <w:rsid w:val="009A6F8A"/>
    <w:rsid w:val="009A71F6"/>
    <w:rsid w:val="009A7291"/>
    <w:rsid w:val="009A7F10"/>
    <w:rsid w:val="009B003B"/>
    <w:rsid w:val="009B004A"/>
    <w:rsid w:val="009B01BA"/>
    <w:rsid w:val="009B020E"/>
    <w:rsid w:val="009B06BA"/>
    <w:rsid w:val="009B079E"/>
    <w:rsid w:val="009B08A9"/>
    <w:rsid w:val="009B0EE3"/>
    <w:rsid w:val="009B1322"/>
    <w:rsid w:val="009B1A33"/>
    <w:rsid w:val="009B2AB1"/>
    <w:rsid w:val="009B2BF5"/>
    <w:rsid w:val="009B2D9F"/>
    <w:rsid w:val="009B339D"/>
    <w:rsid w:val="009B354E"/>
    <w:rsid w:val="009B3E26"/>
    <w:rsid w:val="009B48D5"/>
    <w:rsid w:val="009B4948"/>
    <w:rsid w:val="009B4BC6"/>
    <w:rsid w:val="009B4CBA"/>
    <w:rsid w:val="009B4F98"/>
    <w:rsid w:val="009B515B"/>
    <w:rsid w:val="009B56BF"/>
    <w:rsid w:val="009B5766"/>
    <w:rsid w:val="009B5AF4"/>
    <w:rsid w:val="009B5D35"/>
    <w:rsid w:val="009B6326"/>
    <w:rsid w:val="009B655B"/>
    <w:rsid w:val="009B6577"/>
    <w:rsid w:val="009B6601"/>
    <w:rsid w:val="009B697F"/>
    <w:rsid w:val="009B6AA1"/>
    <w:rsid w:val="009B6C63"/>
    <w:rsid w:val="009B6C94"/>
    <w:rsid w:val="009B6DB0"/>
    <w:rsid w:val="009B7375"/>
    <w:rsid w:val="009B742D"/>
    <w:rsid w:val="009B7C68"/>
    <w:rsid w:val="009B7CCE"/>
    <w:rsid w:val="009B7D4C"/>
    <w:rsid w:val="009C000E"/>
    <w:rsid w:val="009C0415"/>
    <w:rsid w:val="009C0802"/>
    <w:rsid w:val="009C0863"/>
    <w:rsid w:val="009C0E01"/>
    <w:rsid w:val="009C12B2"/>
    <w:rsid w:val="009C1439"/>
    <w:rsid w:val="009C1448"/>
    <w:rsid w:val="009C185A"/>
    <w:rsid w:val="009C1DAD"/>
    <w:rsid w:val="009C1DAF"/>
    <w:rsid w:val="009C2132"/>
    <w:rsid w:val="009C21FF"/>
    <w:rsid w:val="009C273A"/>
    <w:rsid w:val="009C2A11"/>
    <w:rsid w:val="009C2AED"/>
    <w:rsid w:val="009C2B83"/>
    <w:rsid w:val="009C2F5E"/>
    <w:rsid w:val="009C33BE"/>
    <w:rsid w:val="009C35F0"/>
    <w:rsid w:val="009C3706"/>
    <w:rsid w:val="009C3A3A"/>
    <w:rsid w:val="009C3C47"/>
    <w:rsid w:val="009C4271"/>
    <w:rsid w:val="009C49C6"/>
    <w:rsid w:val="009C4B44"/>
    <w:rsid w:val="009C4E01"/>
    <w:rsid w:val="009C5109"/>
    <w:rsid w:val="009C5383"/>
    <w:rsid w:val="009C54B7"/>
    <w:rsid w:val="009C57E6"/>
    <w:rsid w:val="009C5D6D"/>
    <w:rsid w:val="009C5E13"/>
    <w:rsid w:val="009C610D"/>
    <w:rsid w:val="009C6546"/>
    <w:rsid w:val="009C66FD"/>
    <w:rsid w:val="009C6748"/>
    <w:rsid w:val="009C685D"/>
    <w:rsid w:val="009C6B99"/>
    <w:rsid w:val="009C6CEA"/>
    <w:rsid w:val="009C6F70"/>
    <w:rsid w:val="009C7503"/>
    <w:rsid w:val="009C7539"/>
    <w:rsid w:val="009C7742"/>
    <w:rsid w:val="009C77D5"/>
    <w:rsid w:val="009C7B85"/>
    <w:rsid w:val="009D0254"/>
    <w:rsid w:val="009D02C1"/>
    <w:rsid w:val="009D03EC"/>
    <w:rsid w:val="009D060D"/>
    <w:rsid w:val="009D09CA"/>
    <w:rsid w:val="009D0B68"/>
    <w:rsid w:val="009D0F22"/>
    <w:rsid w:val="009D1107"/>
    <w:rsid w:val="009D1579"/>
    <w:rsid w:val="009D1675"/>
    <w:rsid w:val="009D1A64"/>
    <w:rsid w:val="009D1C9F"/>
    <w:rsid w:val="009D2367"/>
    <w:rsid w:val="009D24CA"/>
    <w:rsid w:val="009D2754"/>
    <w:rsid w:val="009D2891"/>
    <w:rsid w:val="009D2E31"/>
    <w:rsid w:val="009D2EBD"/>
    <w:rsid w:val="009D35DC"/>
    <w:rsid w:val="009D376B"/>
    <w:rsid w:val="009D39EC"/>
    <w:rsid w:val="009D3C9C"/>
    <w:rsid w:val="009D3DCD"/>
    <w:rsid w:val="009D3E3B"/>
    <w:rsid w:val="009D4858"/>
    <w:rsid w:val="009D49DF"/>
    <w:rsid w:val="009D4D3F"/>
    <w:rsid w:val="009D4F70"/>
    <w:rsid w:val="009D51A9"/>
    <w:rsid w:val="009D53A9"/>
    <w:rsid w:val="009D5AAB"/>
    <w:rsid w:val="009D5B4C"/>
    <w:rsid w:val="009D5B91"/>
    <w:rsid w:val="009D6170"/>
    <w:rsid w:val="009D6594"/>
    <w:rsid w:val="009D6857"/>
    <w:rsid w:val="009D6C02"/>
    <w:rsid w:val="009D6D8B"/>
    <w:rsid w:val="009D6F5C"/>
    <w:rsid w:val="009D7501"/>
    <w:rsid w:val="009D792E"/>
    <w:rsid w:val="009D7D73"/>
    <w:rsid w:val="009E05B9"/>
    <w:rsid w:val="009E0710"/>
    <w:rsid w:val="009E0CF4"/>
    <w:rsid w:val="009E0D2E"/>
    <w:rsid w:val="009E0DFE"/>
    <w:rsid w:val="009E1415"/>
    <w:rsid w:val="009E187A"/>
    <w:rsid w:val="009E1A0F"/>
    <w:rsid w:val="009E1C8E"/>
    <w:rsid w:val="009E1CAE"/>
    <w:rsid w:val="009E1F68"/>
    <w:rsid w:val="009E2497"/>
    <w:rsid w:val="009E2D10"/>
    <w:rsid w:val="009E31F6"/>
    <w:rsid w:val="009E321D"/>
    <w:rsid w:val="009E33CF"/>
    <w:rsid w:val="009E38D7"/>
    <w:rsid w:val="009E396C"/>
    <w:rsid w:val="009E4614"/>
    <w:rsid w:val="009E4973"/>
    <w:rsid w:val="009E4C07"/>
    <w:rsid w:val="009E4CDA"/>
    <w:rsid w:val="009E5038"/>
    <w:rsid w:val="009E563E"/>
    <w:rsid w:val="009E5E1E"/>
    <w:rsid w:val="009E6386"/>
    <w:rsid w:val="009E7359"/>
    <w:rsid w:val="009E73BE"/>
    <w:rsid w:val="009E756A"/>
    <w:rsid w:val="009E75D5"/>
    <w:rsid w:val="009E7721"/>
    <w:rsid w:val="009E7A96"/>
    <w:rsid w:val="009F005D"/>
    <w:rsid w:val="009F0070"/>
    <w:rsid w:val="009F0A8C"/>
    <w:rsid w:val="009F0D17"/>
    <w:rsid w:val="009F0E00"/>
    <w:rsid w:val="009F23AA"/>
    <w:rsid w:val="009F2A76"/>
    <w:rsid w:val="009F315C"/>
    <w:rsid w:val="009F31FC"/>
    <w:rsid w:val="009F3425"/>
    <w:rsid w:val="009F3772"/>
    <w:rsid w:val="009F3A41"/>
    <w:rsid w:val="009F3C8B"/>
    <w:rsid w:val="009F3D7C"/>
    <w:rsid w:val="009F3E4C"/>
    <w:rsid w:val="009F43F1"/>
    <w:rsid w:val="009F4803"/>
    <w:rsid w:val="009F4869"/>
    <w:rsid w:val="009F4A6F"/>
    <w:rsid w:val="009F4B14"/>
    <w:rsid w:val="009F4B92"/>
    <w:rsid w:val="009F4F18"/>
    <w:rsid w:val="009F5132"/>
    <w:rsid w:val="009F51F4"/>
    <w:rsid w:val="009F53CC"/>
    <w:rsid w:val="009F58A7"/>
    <w:rsid w:val="009F5C40"/>
    <w:rsid w:val="009F603F"/>
    <w:rsid w:val="009F6194"/>
    <w:rsid w:val="009F6560"/>
    <w:rsid w:val="009F67D1"/>
    <w:rsid w:val="009F6F44"/>
    <w:rsid w:val="009F7D7A"/>
    <w:rsid w:val="009F7F84"/>
    <w:rsid w:val="00A001A0"/>
    <w:rsid w:val="00A00604"/>
    <w:rsid w:val="00A00B63"/>
    <w:rsid w:val="00A00EB4"/>
    <w:rsid w:val="00A01184"/>
    <w:rsid w:val="00A019DD"/>
    <w:rsid w:val="00A01A38"/>
    <w:rsid w:val="00A026C8"/>
    <w:rsid w:val="00A02D8B"/>
    <w:rsid w:val="00A02ED4"/>
    <w:rsid w:val="00A030AC"/>
    <w:rsid w:val="00A03227"/>
    <w:rsid w:val="00A0357D"/>
    <w:rsid w:val="00A037C2"/>
    <w:rsid w:val="00A03D43"/>
    <w:rsid w:val="00A0407F"/>
    <w:rsid w:val="00A04380"/>
    <w:rsid w:val="00A045AF"/>
    <w:rsid w:val="00A046A4"/>
    <w:rsid w:val="00A0470F"/>
    <w:rsid w:val="00A0524E"/>
    <w:rsid w:val="00A05472"/>
    <w:rsid w:val="00A0584B"/>
    <w:rsid w:val="00A05C32"/>
    <w:rsid w:val="00A05CF4"/>
    <w:rsid w:val="00A05E89"/>
    <w:rsid w:val="00A060AA"/>
    <w:rsid w:val="00A060BE"/>
    <w:rsid w:val="00A061C4"/>
    <w:rsid w:val="00A063C6"/>
    <w:rsid w:val="00A0653F"/>
    <w:rsid w:val="00A06582"/>
    <w:rsid w:val="00A06828"/>
    <w:rsid w:val="00A0682A"/>
    <w:rsid w:val="00A06A31"/>
    <w:rsid w:val="00A06C32"/>
    <w:rsid w:val="00A06F2D"/>
    <w:rsid w:val="00A06FF7"/>
    <w:rsid w:val="00A070D3"/>
    <w:rsid w:val="00A0721F"/>
    <w:rsid w:val="00A0752A"/>
    <w:rsid w:val="00A0777F"/>
    <w:rsid w:val="00A1043A"/>
    <w:rsid w:val="00A106E9"/>
    <w:rsid w:val="00A10C77"/>
    <w:rsid w:val="00A11525"/>
    <w:rsid w:val="00A11A7B"/>
    <w:rsid w:val="00A11CD0"/>
    <w:rsid w:val="00A12054"/>
    <w:rsid w:val="00A124EB"/>
    <w:rsid w:val="00A131C4"/>
    <w:rsid w:val="00A133BD"/>
    <w:rsid w:val="00A13948"/>
    <w:rsid w:val="00A13957"/>
    <w:rsid w:val="00A13D64"/>
    <w:rsid w:val="00A13D6E"/>
    <w:rsid w:val="00A13F5E"/>
    <w:rsid w:val="00A142B7"/>
    <w:rsid w:val="00A14341"/>
    <w:rsid w:val="00A143BF"/>
    <w:rsid w:val="00A1441A"/>
    <w:rsid w:val="00A14899"/>
    <w:rsid w:val="00A1509C"/>
    <w:rsid w:val="00A1536C"/>
    <w:rsid w:val="00A153B2"/>
    <w:rsid w:val="00A1555B"/>
    <w:rsid w:val="00A15586"/>
    <w:rsid w:val="00A155C5"/>
    <w:rsid w:val="00A157B9"/>
    <w:rsid w:val="00A15A55"/>
    <w:rsid w:val="00A15CC2"/>
    <w:rsid w:val="00A15E27"/>
    <w:rsid w:val="00A15F33"/>
    <w:rsid w:val="00A169E4"/>
    <w:rsid w:val="00A16AD8"/>
    <w:rsid w:val="00A16BAA"/>
    <w:rsid w:val="00A16CA8"/>
    <w:rsid w:val="00A16E97"/>
    <w:rsid w:val="00A17EDE"/>
    <w:rsid w:val="00A17FC4"/>
    <w:rsid w:val="00A2006E"/>
    <w:rsid w:val="00A200C9"/>
    <w:rsid w:val="00A20240"/>
    <w:rsid w:val="00A203A1"/>
    <w:rsid w:val="00A2046B"/>
    <w:rsid w:val="00A208A6"/>
    <w:rsid w:val="00A20AEF"/>
    <w:rsid w:val="00A20FC7"/>
    <w:rsid w:val="00A210E5"/>
    <w:rsid w:val="00A2126A"/>
    <w:rsid w:val="00A212FD"/>
    <w:rsid w:val="00A21C09"/>
    <w:rsid w:val="00A21C95"/>
    <w:rsid w:val="00A21CF3"/>
    <w:rsid w:val="00A21FB8"/>
    <w:rsid w:val="00A2243D"/>
    <w:rsid w:val="00A22442"/>
    <w:rsid w:val="00A22586"/>
    <w:rsid w:val="00A22B30"/>
    <w:rsid w:val="00A22B77"/>
    <w:rsid w:val="00A22D9E"/>
    <w:rsid w:val="00A22E2C"/>
    <w:rsid w:val="00A22FC7"/>
    <w:rsid w:val="00A241A5"/>
    <w:rsid w:val="00A24259"/>
    <w:rsid w:val="00A24813"/>
    <w:rsid w:val="00A24DC1"/>
    <w:rsid w:val="00A24E5A"/>
    <w:rsid w:val="00A24FD8"/>
    <w:rsid w:val="00A25010"/>
    <w:rsid w:val="00A25125"/>
    <w:rsid w:val="00A26207"/>
    <w:rsid w:val="00A26D58"/>
    <w:rsid w:val="00A26E51"/>
    <w:rsid w:val="00A27377"/>
    <w:rsid w:val="00A2754C"/>
    <w:rsid w:val="00A27677"/>
    <w:rsid w:val="00A2776D"/>
    <w:rsid w:val="00A27AEC"/>
    <w:rsid w:val="00A27B3E"/>
    <w:rsid w:val="00A27DD7"/>
    <w:rsid w:val="00A3009E"/>
    <w:rsid w:val="00A303A7"/>
    <w:rsid w:val="00A30406"/>
    <w:rsid w:val="00A30E74"/>
    <w:rsid w:val="00A30F84"/>
    <w:rsid w:val="00A31D4F"/>
    <w:rsid w:val="00A320DB"/>
    <w:rsid w:val="00A32B52"/>
    <w:rsid w:val="00A32D67"/>
    <w:rsid w:val="00A331BE"/>
    <w:rsid w:val="00A331E9"/>
    <w:rsid w:val="00A33B20"/>
    <w:rsid w:val="00A33D6C"/>
    <w:rsid w:val="00A33DEF"/>
    <w:rsid w:val="00A34D74"/>
    <w:rsid w:val="00A35287"/>
    <w:rsid w:val="00A357C8"/>
    <w:rsid w:val="00A35D16"/>
    <w:rsid w:val="00A35E54"/>
    <w:rsid w:val="00A3622B"/>
    <w:rsid w:val="00A36684"/>
    <w:rsid w:val="00A36929"/>
    <w:rsid w:val="00A36A8D"/>
    <w:rsid w:val="00A36B9A"/>
    <w:rsid w:val="00A370FE"/>
    <w:rsid w:val="00A37388"/>
    <w:rsid w:val="00A37967"/>
    <w:rsid w:val="00A37A7A"/>
    <w:rsid w:val="00A37BCD"/>
    <w:rsid w:val="00A37D89"/>
    <w:rsid w:val="00A400E8"/>
    <w:rsid w:val="00A40102"/>
    <w:rsid w:val="00A40263"/>
    <w:rsid w:val="00A402D6"/>
    <w:rsid w:val="00A40B04"/>
    <w:rsid w:val="00A40F56"/>
    <w:rsid w:val="00A41270"/>
    <w:rsid w:val="00A41689"/>
    <w:rsid w:val="00A41D82"/>
    <w:rsid w:val="00A42592"/>
    <w:rsid w:val="00A425B1"/>
    <w:rsid w:val="00A42CB6"/>
    <w:rsid w:val="00A42E06"/>
    <w:rsid w:val="00A43BBE"/>
    <w:rsid w:val="00A43C59"/>
    <w:rsid w:val="00A44479"/>
    <w:rsid w:val="00A44606"/>
    <w:rsid w:val="00A448A2"/>
    <w:rsid w:val="00A448FC"/>
    <w:rsid w:val="00A44BD9"/>
    <w:rsid w:val="00A44C2C"/>
    <w:rsid w:val="00A44F7A"/>
    <w:rsid w:val="00A4540B"/>
    <w:rsid w:val="00A456E2"/>
    <w:rsid w:val="00A45B86"/>
    <w:rsid w:val="00A45E69"/>
    <w:rsid w:val="00A4636A"/>
    <w:rsid w:val="00A4659D"/>
    <w:rsid w:val="00A46930"/>
    <w:rsid w:val="00A46C55"/>
    <w:rsid w:val="00A46D73"/>
    <w:rsid w:val="00A47041"/>
    <w:rsid w:val="00A47C6C"/>
    <w:rsid w:val="00A47E5D"/>
    <w:rsid w:val="00A50896"/>
    <w:rsid w:val="00A50ECD"/>
    <w:rsid w:val="00A518DC"/>
    <w:rsid w:val="00A518F3"/>
    <w:rsid w:val="00A51DB1"/>
    <w:rsid w:val="00A51DE3"/>
    <w:rsid w:val="00A51FE0"/>
    <w:rsid w:val="00A525F0"/>
    <w:rsid w:val="00A5268C"/>
    <w:rsid w:val="00A52729"/>
    <w:rsid w:val="00A52A76"/>
    <w:rsid w:val="00A52F20"/>
    <w:rsid w:val="00A5301A"/>
    <w:rsid w:val="00A53675"/>
    <w:rsid w:val="00A53707"/>
    <w:rsid w:val="00A5370E"/>
    <w:rsid w:val="00A5383C"/>
    <w:rsid w:val="00A5465E"/>
    <w:rsid w:val="00A54AB6"/>
    <w:rsid w:val="00A5541C"/>
    <w:rsid w:val="00A554A1"/>
    <w:rsid w:val="00A556C4"/>
    <w:rsid w:val="00A55ADD"/>
    <w:rsid w:val="00A55DFD"/>
    <w:rsid w:val="00A55FF1"/>
    <w:rsid w:val="00A5615D"/>
    <w:rsid w:val="00A564D7"/>
    <w:rsid w:val="00A5652A"/>
    <w:rsid w:val="00A56642"/>
    <w:rsid w:val="00A56914"/>
    <w:rsid w:val="00A56A5E"/>
    <w:rsid w:val="00A56B6A"/>
    <w:rsid w:val="00A56B8B"/>
    <w:rsid w:val="00A56D20"/>
    <w:rsid w:val="00A571A0"/>
    <w:rsid w:val="00A572CC"/>
    <w:rsid w:val="00A57702"/>
    <w:rsid w:val="00A57845"/>
    <w:rsid w:val="00A578DC"/>
    <w:rsid w:val="00A579D9"/>
    <w:rsid w:val="00A57C3D"/>
    <w:rsid w:val="00A57D28"/>
    <w:rsid w:val="00A57F6C"/>
    <w:rsid w:val="00A60897"/>
    <w:rsid w:val="00A60C16"/>
    <w:rsid w:val="00A60EED"/>
    <w:rsid w:val="00A61155"/>
    <w:rsid w:val="00A61261"/>
    <w:rsid w:val="00A618E2"/>
    <w:rsid w:val="00A61946"/>
    <w:rsid w:val="00A62152"/>
    <w:rsid w:val="00A6234E"/>
    <w:rsid w:val="00A6251C"/>
    <w:rsid w:val="00A6263A"/>
    <w:rsid w:val="00A62B88"/>
    <w:rsid w:val="00A62C4C"/>
    <w:rsid w:val="00A62FA6"/>
    <w:rsid w:val="00A6350A"/>
    <w:rsid w:val="00A6373D"/>
    <w:rsid w:val="00A63CB2"/>
    <w:rsid w:val="00A63F93"/>
    <w:rsid w:val="00A640E2"/>
    <w:rsid w:val="00A64ABE"/>
    <w:rsid w:val="00A64D65"/>
    <w:rsid w:val="00A651B4"/>
    <w:rsid w:val="00A65763"/>
    <w:rsid w:val="00A65911"/>
    <w:rsid w:val="00A65A76"/>
    <w:rsid w:val="00A65BCE"/>
    <w:rsid w:val="00A65E31"/>
    <w:rsid w:val="00A660A4"/>
    <w:rsid w:val="00A660FD"/>
    <w:rsid w:val="00A6634D"/>
    <w:rsid w:val="00A664C1"/>
    <w:rsid w:val="00A668F0"/>
    <w:rsid w:val="00A66A18"/>
    <w:rsid w:val="00A66A70"/>
    <w:rsid w:val="00A66AEF"/>
    <w:rsid w:val="00A66E20"/>
    <w:rsid w:val="00A6725B"/>
    <w:rsid w:val="00A674EE"/>
    <w:rsid w:val="00A67537"/>
    <w:rsid w:val="00A67739"/>
    <w:rsid w:val="00A67B4C"/>
    <w:rsid w:val="00A67C73"/>
    <w:rsid w:val="00A700BB"/>
    <w:rsid w:val="00A70183"/>
    <w:rsid w:val="00A7050C"/>
    <w:rsid w:val="00A70605"/>
    <w:rsid w:val="00A70D1F"/>
    <w:rsid w:val="00A71053"/>
    <w:rsid w:val="00A71525"/>
    <w:rsid w:val="00A71567"/>
    <w:rsid w:val="00A7247F"/>
    <w:rsid w:val="00A724C3"/>
    <w:rsid w:val="00A72619"/>
    <w:rsid w:val="00A7264E"/>
    <w:rsid w:val="00A72D8F"/>
    <w:rsid w:val="00A73134"/>
    <w:rsid w:val="00A7340F"/>
    <w:rsid w:val="00A73D9C"/>
    <w:rsid w:val="00A73F5F"/>
    <w:rsid w:val="00A74758"/>
    <w:rsid w:val="00A749B2"/>
    <w:rsid w:val="00A74A00"/>
    <w:rsid w:val="00A74B91"/>
    <w:rsid w:val="00A74F82"/>
    <w:rsid w:val="00A7514B"/>
    <w:rsid w:val="00A758E6"/>
    <w:rsid w:val="00A759FE"/>
    <w:rsid w:val="00A76001"/>
    <w:rsid w:val="00A77330"/>
    <w:rsid w:val="00A777B2"/>
    <w:rsid w:val="00A7796B"/>
    <w:rsid w:val="00A779B0"/>
    <w:rsid w:val="00A77FC3"/>
    <w:rsid w:val="00A8119E"/>
    <w:rsid w:val="00A81D80"/>
    <w:rsid w:val="00A821BE"/>
    <w:rsid w:val="00A825D4"/>
    <w:rsid w:val="00A828F6"/>
    <w:rsid w:val="00A82B73"/>
    <w:rsid w:val="00A83652"/>
    <w:rsid w:val="00A83AB3"/>
    <w:rsid w:val="00A83F8B"/>
    <w:rsid w:val="00A84152"/>
    <w:rsid w:val="00A8428C"/>
    <w:rsid w:val="00A8435A"/>
    <w:rsid w:val="00A8449E"/>
    <w:rsid w:val="00A844F8"/>
    <w:rsid w:val="00A8477A"/>
    <w:rsid w:val="00A85177"/>
    <w:rsid w:val="00A851D5"/>
    <w:rsid w:val="00A855AF"/>
    <w:rsid w:val="00A85D7C"/>
    <w:rsid w:val="00A86416"/>
    <w:rsid w:val="00A86861"/>
    <w:rsid w:val="00A86E8B"/>
    <w:rsid w:val="00A87164"/>
    <w:rsid w:val="00A87437"/>
    <w:rsid w:val="00A87776"/>
    <w:rsid w:val="00A9056E"/>
    <w:rsid w:val="00A90CC7"/>
    <w:rsid w:val="00A91B72"/>
    <w:rsid w:val="00A91E4E"/>
    <w:rsid w:val="00A92282"/>
    <w:rsid w:val="00A92538"/>
    <w:rsid w:val="00A9295F"/>
    <w:rsid w:val="00A93072"/>
    <w:rsid w:val="00A93311"/>
    <w:rsid w:val="00A9347E"/>
    <w:rsid w:val="00A938BD"/>
    <w:rsid w:val="00A938C6"/>
    <w:rsid w:val="00A93953"/>
    <w:rsid w:val="00A93C00"/>
    <w:rsid w:val="00A93C43"/>
    <w:rsid w:val="00A93D0B"/>
    <w:rsid w:val="00A946B9"/>
    <w:rsid w:val="00A9555E"/>
    <w:rsid w:val="00A95825"/>
    <w:rsid w:val="00A959D8"/>
    <w:rsid w:val="00A95C58"/>
    <w:rsid w:val="00A95FD6"/>
    <w:rsid w:val="00A96906"/>
    <w:rsid w:val="00A96A50"/>
    <w:rsid w:val="00A96CFB"/>
    <w:rsid w:val="00A97617"/>
    <w:rsid w:val="00A976AB"/>
    <w:rsid w:val="00A97719"/>
    <w:rsid w:val="00A977CC"/>
    <w:rsid w:val="00A97FB3"/>
    <w:rsid w:val="00AA029C"/>
    <w:rsid w:val="00AA0385"/>
    <w:rsid w:val="00AA038C"/>
    <w:rsid w:val="00AA0843"/>
    <w:rsid w:val="00AA0ADC"/>
    <w:rsid w:val="00AA0BDC"/>
    <w:rsid w:val="00AA113D"/>
    <w:rsid w:val="00AA118C"/>
    <w:rsid w:val="00AA14EA"/>
    <w:rsid w:val="00AA1691"/>
    <w:rsid w:val="00AA18DA"/>
    <w:rsid w:val="00AA1C03"/>
    <w:rsid w:val="00AA2265"/>
    <w:rsid w:val="00AA290F"/>
    <w:rsid w:val="00AA2CC2"/>
    <w:rsid w:val="00AA2E02"/>
    <w:rsid w:val="00AA3065"/>
    <w:rsid w:val="00AA32D6"/>
    <w:rsid w:val="00AA36C7"/>
    <w:rsid w:val="00AA3D59"/>
    <w:rsid w:val="00AA3EFF"/>
    <w:rsid w:val="00AA41FF"/>
    <w:rsid w:val="00AA4776"/>
    <w:rsid w:val="00AA4B88"/>
    <w:rsid w:val="00AA54F5"/>
    <w:rsid w:val="00AA56BE"/>
    <w:rsid w:val="00AA5C16"/>
    <w:rsid w:val="00AA5D60"/>
    <w:rsid w:val="00AA5F41"/>
    <w:rsid w:val="00AA63CD"/>
    <w:rsid w:val="00AA6588"/>
    <w:rsid w:val="00AA6691"/>
    <w:rsid w:val="00AA6BD5"/>
    <w:rsid w:val="00AA6BD8"/>
    <w:rsid w:val="00AA6C7D"/>
    <w:rsid w:val="00AA6ED9"/>
    <w:rsid w:val="00AA7439"/>
    <w:rsid w:val="00AA7E7B"/>
    <w:rsid w:val="00AA7F11"/>
    <w:rsid w:val="00AA7FD6"/>
    <w:rsid w:val="00AB001E"/>
    <w:rsid w:val="00AB0052"/>
    <w:rsid w:val="00AB02E9"/>
    <w:rsid w:val="00AB03D3"/>
    <w:rsid w:val="00AB03EE"/>
    <w:rsid w:val="00AB042A"/>
    <w:rsid w:val="00AB0B36"/>
    <w:rsid w:val="00AB19EF"/>
    <w:rsid w:val="00AB20FA"/>
    <w:rsid w:val="00AB2122"/>
    <w:rsid w:val="00AB2D34"/>
    <w:rsid w:val="00AB2E6E"/>
    <w:rsid w:val="00AB30EB"/>
    <w:rsid w:val="00AB3430"/>
    <w:rsid w:val="00AB358D"/>
    <w:rsid w:val="00AB36A9"/>
    <w:rsid w:val="00AB37B9"/>
    <w:rsid w:val="00AB3A80"/>
    <w:rsid w:val="00AB4562"/>
    <w:rsid w:val="00AB4A03"/>
    <w:rsid w:val="00AB4AD1"/>
    <w:rsid w:val="00AB4B73"/>
    <w:rsid w:val="00AB4CF4"/>
    <w:rsid w:val="00AB502C"/>
    <w:rsid w:val="00AB5479"/>
    <w:rsid w:val="00AB58C3"/>
    <w:rsid w:val="00AB5B45"/>
    <w:rsid w:val="00AB5E07"/>
    <w:rsid w:val="00AB5E7A"/>
    <w:rsid w:val="00AB6907"/>
    <w:rsid w:val="00AB6C16"/>
    <w:rsid w:val="00AB6C64"/>
    <w:rsid w:val="00AB6DC0"/>
    <w:rsid w:val="00AB71E2"/>
    <w:rsid w:val="00AB74E2"/>
    <w:rsid w:val="00AB79D0"/>
    <w:rsid w:val="00AB7A63"/>
    <w:rsid w:val="00AB7CFA"/>
    <w:rsid w:val="00AB7E22"/>
    <w:rsid w:val="00AC05EF"/>
    <w:rsid w:val="00AC06B3"/>
    <w:rsid w:val="00AC076F"/>
    <w:rsid w:val="00AC0930"/>
    <w:rsid w:val="00AC0D3E"/>
    <w:rsid w:val="00AC169B"/>
    <w:rsid w:val="00AC16AC"/>
    <w:rsid w:val="00AC18D5"/>
    <w:rsid w:val="00AC205F"/>
    <w:rsid w:val="00AC29E5"/>
    <w:rsid w:val="00AC2E45"/>
    <w:rsid w:val="00AC2F36"/>
    <w:rsid w:val="00AC3236"/>
    <w:rsid w:val="00AC350C"/>
    <w:rsid w:val="00AC39DE"/>
    <w:rsid w:val="00AC3AAF"/>
    <w:rsid w:val="00AC3E57"/>
    <w:rsid w:val="00AC48FC"/>
    <w:rsid w:val="00AC49FB"/>
    <w:rsid w:val="00AC4A14"/>
    <w:rsid w:val="00AC4AB8"/>
    <w:rsid w:val="00AC4FC2"/>
    <w:rsid w:val="00AC5010"/>
    <w:rsid w:val="00AC50AE"/>
    <w:rsid w:val="00AC51A9"/>
    <w:rsid w:val="00AC536F"/>
    <w:rsid w:val="00AC5693"/>
    <w:rsid w:val="00AC5A64"/>
    <w:rsid w:val="00AC5B48"/>
    <w:rsid w:val="00AC5F9C"/>
    <w:rsid w:val="00AC6C4A"/>
    <w:rsid w:val="00AC6FE5"/>
    <w:rsid w:val="00AC7143"/>
    <w:rsid w:val="00AC7171"/>
    <w:rsid w:val="00AC721C"/>
    <w:rsid w:val="00AC7543"/>
    <w:rsid w:val="00AC7C3C"/>
    <w:rsid w:val="00AC7F2D"/>
    <w:rsid w:val="00AC7F41"/>
    <w:rsid w:val="00AD0B21"/>
    <w:rsid w:val="00AD0CE9"/>
    <w:rsid w:val="00AD1450"/>
    <w:rsid w:val="00AD1719"/>
    <w:rsid w:val="00AD1759"/>
    <w:rsid w:val="00AD18E4"/>
    <w:rsid w:val="00AD1C36"/>
    <w:rsid w:val="00AD206D"/>
    <w:rsid w:val="00AD2106"/>
    <w:rsid w:val="00AD2476"/>
    <w:rsid w:val="00AD3040"/>
    <w:rsid w:val="00AD35E8"/>
    <w:rsid w:val="00AD3AA1"/>
    <w:rsid w:val="00AD3CEC"/>
    <w:rsid w:val="00AD3DF3"/>
    <w:rsid w:val="00AD3E98"/>
    <w:rsid w:val="00AD4104"/>
    <w:rsid w:val="00AD41B5"/>
    <w:rsid w:val="00AD46E1"/>
    <w:rsid w:val="00AD4BE6"/>
    <w:rsid w:val="00AD4D0F"/>
    <w:rsid w:val="00AD57DC"/>
    <w:rsid w:val="00AD5815"/>
    <w:rsid w:val="00AD5876"/>
    <w:rsid w:val="00AD588C"/>
    <w:rsid w:val="00AD634E"/>
    <w:rsid w:val="00AD6502"/>
    <w:rsid w:val="00AD68FB"/>
    <w:rsid w:val="00AD7091"/>
    <w:rsid w:val="00AE0695"/>
    <w:rsid w:val="00AE101C"/>
    <w:rsid w:val="00AE14C6"/>
    <w:rsid w:val="00AE14D2"/>
    <w:rsid w:val="00AE1634"/>
    <w:rsid w:val="00AE1C90"/>
    <w:rsid w:val="00AE1E8A"/>
    <w:rsid w:val="00AE27B8"/>
    <w:rsid w:val="00AE2FD0"/>
    <w:rsid w:val="00AE3255"/>
    <w:rsid w:val="00AE3326"/>
    <w:rsid w:val="00AE34E0"/>
    <w:rsid w:val="00AE3E7E"/>
    <w:rsid w:val="00AE40CA"/>
    <w:rsid w:val="00AE41F9"/>
    <w:rsid w:val="00AE4219"/>
    <w:rsid w:val="00AE43D5"/>
    <w:rsid w:val="00AE4629"/>
    <w:rsid w:val="00AE478C"/>
    <w:rsid w:val="00AE4952"/>
    <w:rsid w:val="00AE4CAE"/>
    <w:rsid w:val="00AE4DFE"/>
    <w:rsid w:val="00AE50A2"/>
    <w:rsid w:val="00AE50C0"/>
    <w:rsid w:val="00AE50CE"/>
    <w:rsid w:val="00AE5176"/>
    <w:rsid w:val="00AE52E6"/>
    <w:rsid w:val="00AE5FB8"/>
    <w:rsid w:val="00AE62DF"/>
    <w:rsid w:val="00AE6902"/>
    <w:rsid w:val="00AE6B2B"/>
    <w:rsid w:val="00AE6B4C"/>
    <w:rsid w:val="00AE7123"/>
    <w:rsid w:val="00AE75A9"/>
    <w:rsid w:val="00AE7606"/>
    <w:rsid w:val="00AE7A51"/>
    <w:rsid w:val="00AE7A5C"/>
    <w:rsid w:val="00AF014D"/>
    <w:rsid w:val="00AF01A7"/>
    <w:rsid w:val="00AF021D"/>
    <w:rsid w:val="00AF06CC"/>
    <w:rsid w:val="00AF0889"/>
    <w:rsid w:val="00AF10D8"/>
    <w:rsid w:val="00AF1315"/>
    <w:rsid w:val="00AF1484"/>
    <w:rsid w:val="00AF156E"/>
    <w:rsid w:val="00AF19BF"/>
    <w:rsid w:val="00AF2176"/>
    <w:rsid w:val="00AF2DC3"/>
    <w:rsid w:val="00AF2E13"/>
    <w:rsid w:val="00AF30DD"/>
    <w:rsid w:val="00AF3117"/>
    <w:rsid w:val="00AF3296"/>
    <w:rsid w:val="00AF3C8D"/>
    <w:rsid w:val="00AF42C1"/>
    <w:rsid w:val="00AF4D52"/>
    <w:rsid w:val="00AF5208"/>
    <w:rsid w:val="00AF54E8"/>
    <w:rsid w:val="00AF62DB"/>
    <w:rsid w:val="00AF6B67"/>
    <w:rsid w:val="00AF7437"/>
    <w:rsid w:val="00AF74D7"/>
    <w:rsid w:val="00AF7993"/>
    <w:rsid w:val="00AF7F9C"/>
    <w:rsid w:val="00B00000"/>
    <w:rsid w:val="00B0001F"/>
    <w:rsid w:val="00B01233"/>
    <w:rsid w:val="00B0133C"/>
    <w:rsid w:val="00B0144C"/>
    <w:rsid w:val="00B01686"/>
    <w:rsid w:val="00B01D67"/>
    <w:rsid w:val="00B0201C"/>
    <w:rsid w:val="00B0216B"/>
    <w:rsid w:val="00B02337"/>
    <w:rsid w:val="00B02564"/>
    <w:rsid w:val="00B0271C"/>
    <w:rsid w:val="00B0280D"/>
    <w:rsid w:val="00B0287F"/>
    <w:rsid w:val="00B02894"/>
    <w:rsid w:val="00B02E04"/>
    <w:rsid w:val="00B031FF"/>
    <w:rsid w:val="00B033E5"/>
    <w:rsid w:val="00B03A63"/>
    <w:rsid w:val="00B03D63"/>
    <w:rsid w:val="00B03F62"/>
    <w:rsid w:val="00B040BA"/>
    <w:rsid w:val="00B04331"/>
    <w:rsid w:val="00B04844"/>
    <w:rsid w:val="00B04FFC"/>
    <w:rsid w:val="00B0500B"/>
    <w:rsid w:val="00B050EA"/>
    <w:rsid w:val="00B0511A"/>
    <w:rsid w:val="00B0542B"/>
    <w:rsid w:val="00B05786"/>
    <w:rsid w:val="00B057B2"/>
    <w:rsid w:val="00B05971"/>
    <w:rsid w:val="00B066FE"/>
    <w:rsid w:val="00B06938"/>
    <w:rsid w:val="00B0699B"/>
    <w:rsid w:val="00B06A61"/>
    <w:rsid w:val="00B06A63"/>
    <w:rsid w:val="00B0749B"/>
    <w:rsid w:val="00B07BB9"/>
    <w:rsid w:val="00B07BE0"/>
    <w:rsid w:val="00B1125A"/>
    <w:rsid w:val="00B1130B"/>
    <w:rsid w:val="00B11634"/>
    <w:rsid w:val="00B11F1D"/>
    <w:rsid w:val="00B124C0"/>
    <w:rsid w:val="00B124F8"/>
    <w:rsid w:val="00B125BE"/>
    <w:rsid w:val="00B1267A"/>
    <w:rsid w:val="00B129C0"/>
    <w:rsid w:val="00B12C4C"/>
    <w:rsid w:val="00B134C0"/>
    <w:rsid w:val="00B136E5"/>
    <w:rsid w:val="00B13BE8"/>
    <w:rsid w:val="00B14162"/>
    <w:rsid w:val="00B14591"/>
    <w:rsid w:val="00B14FFF"/>
    <w:rsid w:val="00B15692"/>
    <w:rsid w:val="00B15802"/>
    <w:rsid w:val="00B15FD1"/>
    <w:rsid w:val="00B15FE4"/>
    <w:rsid w:val="00B15FEB"/>
    <w:rsid w:val="00B1611E"/>
    <w:rsid w:val="00B1736E"/>
    <w:rsid w:val="00B17D6C"/>
    <w:rsid w:val="00B201A4"/>
    <w:rsid w:val="00B201D1"/>
    <w:rsid w:val="00B2042F"/>
    <w:rsid w:val="00B205CF"/>
    <w:rsid w:val="00B20E9B"/>
    <w:rsid w:val="00B21183"/>
    <w:rsid w:val="00B21333"/>
    <w:rsid w:val="00B213A6"/>
    <w:rsid w:val="00B2206E"/>
    <w:rsid w:val="00B2241F"/>
    <w:rsid w:val="00B2242C"/>
    <w:rsid w:val="00B22AB5"/>
    <w:rsid w:val="00B22D68"/>
    <w:rsid w:val="00B2300D"/>
    <w:rsid w:val="00B232B5"/>
    <w:rsid w:val="00B235B0"/>
    <w:rsid w:val="00B23BB4"/>
    <w:rsid w:val="00B23E41"/>
    <w:rsid w:val="00B23FB8"/>
    <w:rsid w:val="00B24826"/>
    <w:rsid w:val="00B24AB1"/>
    <w:rsid w:val="00B24C25"/>
    <w:rsid w:val="00B24D4B"/>
    <w:rsid w:val="00B24DF6"/>
    <w:rsid w:val="00B25248"/>
    <w:rsid w:val="00B261B0"/>
    <w:rsid w:val="00B26680"/>
    <w:rsid w:val="00B26A7F"/>
    <w:rsid w:val="00B26EF0"/>
    <w:rsid w:val="00B26F36"/>
    <w:rsid w:val="00B27508"/>
    <w:rsid w:val="00B276FC"/>
    <w:rsid w:val="00B27EA8"/>
    <w:rsid w:val="00B3001D"/>
    <w:rsid w:val="00B301D3"/>
    <w:rsid w:val="00B3020B"/>
    <w:rsid w:val="00B304C6"/>
    <w:rsid w:val="00B30FBC"/>
    <w:rsid w:val="00B31027"/>
    <w:rsid w:val="00B3142A"/>
    <w:rsid w:val="00B3143C"/>
    <w:rsid w:val="00B31864"/>
    <w:rsid w:val="00B31F0D"/>
    <w:rsid w:val="00B32024"/>
    <w:rsid w:val="00B32102"/>
    <w:rsid w:val="00B32260"/>
    <w:rsid w:val="00B32264"/>
    <w:rsid w:val="00B328F5"/>
    <w:rsid w:val="00B32CC9"/>
    <w:rsid w:val="00B3324A"/>
    <w:rsid w:val="00B3386C"/>
    <w:rsid w:val="00B34533"/>
    <w:rsid w:val="00B34900"/>
    <w:rsid w:val="00B34AB4"/>
    <w:rsid w:val="00B34FE2"/>
    <w:rsid w:val="00B35156"/>
    <w:rsid w:val="00B35166"/>
    <w:rsid w:val="00B353F2"/>
    <w:rsid w:val="00B355AB"/>
    <w:rsid w:val="00B357D8"/>
    <w:rsid w:val="00B35F42"/>
    <w:rsid w:val="00B360E2"/>
    <w:rsid w:val="00B360F4"/>
    <w:rsid w:val="00B36196"/>
    <w:rsid w:val="00B365D4"/>
    <w:rsid w:val="00B365FE"/>
    <w:rsid w:val="00B3666B"/>
    <w:rsid w:val="00B36785"/>
    <w:rsid w:val="00B367DB"/>
    <w:rsid w:val="00B36A00"/>
    <w:rsid w:val="00B36A51"/>
    <w:rsid w:val="00B36C1E"/>
    <w:rsid w:val="00B36CB8"/>
    <w:rsid w:val="00B36F43"/>
    <w:rsid w:val="00B36F48"/>
    <w:rsid w:val="00B37438"/>
    <w:rsid w:val="00B375F9"/>
    <w:rsid w:val="00B37699"/>
    <w:rsid w:val="00B37A77"/>
    <w:rsid w:val="00B37BFC"/>
    <w:rsid w:val="00B37E0D"/>
    <w:rsid w:val="00B37F48"/>
    <w:rsid w:val="00B40098"/>
    <w:rsid w:val="00B40240"/>
    <w:rsid w:val="00B40358"/>
    <w:rsid w:val="00B40C66"/>
    <w:rsid w:val="00B40DDD"/>
    <w:rsid w:val="00B41446"/>
    <w:rsid w:val="00B41614"/>
    <w:rsid w:val="00B4161D"/>
    <w:rsid w:val="00B420C8"/>
    <w:rsid w:val="00B42779"/>
    <w:rsid w:val="00B42851"/>
    <w:rsid w:val="00B42E35"/>
    <w:rsid w:val="00B42E78"/>
    <w:rsid w:val="00B42F80"/>
    <w:rsid w:val="00B4316C"/>
    <w:rsid w:val="00B435CB"/>
    <w:rsid w:val="00B437A5"/>
    <w:rsid w:val="00B43901"/>
    <w:rsid w:val="00B439E6"/>
    <w:rsid w:val="00B43AD5"/>
    <w:rsid w:val="00B442D8"/>
    <w:rsid w:val="00B44414"/>
    <w:rsid w:val="00B44482"/>
    <w:rsid w:val="00B444A9"/>
    <w:rsid w:val="00B447EC"/>
    <w:rsid w:val="00B4510A"/>
    <w:rsid w:val="00B45970"/>
    <w:rsid w:val="00B45B22"/>
    <w:rsid w:val="00B45B6E"/>
    <w:rsid w:val="00B45DDE"/>
    <w:rsid w:val="00B45DE9"/>
    <w:rsid w:val="00B46372"/>
    <w:rsid w:val="00B466D4"/>
    <w:rsid w:val="00B4687D"/>
    <w:rsid w:val="00B46B08"/>
    <w:rsid w:val="00B46EC8"/>
    <w:rsid w:val="00B47575"/>
    <w:rsid w:val="00B47E02"/>
    <w:rsid w:val="00B503B2"/>
    <w:rsid w:val="00B505C8"/>
    <w:rsid w:val="00B5075E"/>
    <w:rsid w:val="00B507F4"/>
    <w:rsid w:val="00B50ABF"/>
    <w:rsid w:val="00B50B73"/>
    <w:rsid w:val="00B50DB8"/>
    <w:rsid w:val="00B50DDE"/>
    <w:rsid w:val="00B51672"/>
    <w:rsid w:val="00B5179F"/>
    <w:rsid w:val="00B51952"/>
    <w:rsid w:val="00B519A9"/>
    <w:rsid w:val="00B51B5F"/>
    <w:rsid w:val="00B51C0C"/>
    <w:rsid w:val="00B51FC6"/>
    <w:rsid w:val="00B5238E"/>
    <w:rsid w:val="00B52906"/>
    <w:rsid w:val="00B5323C"/>
    <w:rsid w:val="00B53654"/>
    <w:rsid w:val="00B53792"/>
    <w:rsid w:val="00B53905"/>
    <w:rsid w:val="00B53E0B"/>
    <w:rsid w:val="00B53E46"/>
    <w:rsid w:val="00B546E3"/>
    <w:rsid w:val="00B547A2"/>
    <w:rsid w:val="00B54B5B"/>
    <w:rsid w:val="00B54F07"/>
    <w:rsid w:val="00B55145"/>
    <w:rsid w:val="00B5562E"/>
    <w:rsid w:val="00B5570D"/>
    <w:rsid w:val="00B55A1B"/>
    <w:rsid w:val="00B55B72"/>
    <w:rsid w:val="00B55BA9"/>
    <w:rsid w:val="00B55CA5"/>
    <w:rsid w:val="00B55D65"/>
    <w:rsid w:val="00B5650F"/>
    <w:rsid w:val="00B57000"/>
    <w:rsid w:val="00B577FF"/>
    <w:rsid w:val="00B579B2"/>
    <w:rsid w:val="00B57BAC"/>
    <w:rsid w:val="00B60418"/>
    <w:rsid w:val="00B605A7"/>
    <w:rsid w:val="00B60919"/>
    <w:rsid w:val="00B60939"/>
    <w:rsid w:val="00B60A36"/>
    <w:rsid w:val="00B60AFD"/>
    <w:rsid w:val="00B61A38"/>
    <w:rsid w:val="00B61F44"/>
    <w:rsid w:val="00B61FB8"/>
    <w:rsid w:val="00B62037"/>
    <w:rsid w:val="00B62253"/>
    <w:rsid w:val="00B62308"/>
    <w:rsid w:val="00B623AE"/>
    <w:rsid w:val="00B62715"/>
    <w:rsid w:val="00B6302D"/>
    <w:rsid w:val="00B63189"/>
    <w:rsid w:val="00B634D7"/>
    <w:rsid w:val="00B63663"/>
    <w:rsid w:val="00B63828"/>
    <w:rsid w:val="00B638EA"/>
    <w:rsid w:val="00B63DE1"/>
    <w:rsid w:val="00B64015"/>
    <w:rsid w:val="00B64020"/>
    <w:rsid w:val="00B64908"/>
    <w:rsid w:val="00B65611"/>
    <w:rsid w:val="00B6597C"/>
    <w:rsid w:val="00B659DB"/>
    <w:rsid w:val="00B65B20"/>
    <w:rsid w:val="00B6608E"/>
    <w:rsid w:val="00B664F9"/>
    <w:rsid w:val="00B6684B"/>
    <w:rsid w:val="00B66C9D"/>
    <w:rsid w:val="00B66CEE"/>
    <w:rsid w:val="00B673E6"/>
    <w:rsid w:val="00B67886"/>
    <w:rsid w:val="00B67C64"/>
    <w:rsid w:val="00B67D91"/>
    <w:rsid w:val="00B703BF"/>
    <w:rsid w:val="00B70563"/>
    <w:rsid w:val="00B705CE"/>
    <w:rsid w:val="00B70AFA"/>
    <w:rsid w:val="00B70E8E"/>
    <w:rsid w:val="00B713CE"/>
    <w:rsid w:val="00B71895"/>
    <w:rsid w:val="00B72458"/>
    <w:rsid w:val="00B726BB"/>
    <w:rsid w:val="00B72701"/>
    <w:rsid w:val="00B72A5D"/>
    <w:rsid w:val="00B735E7"/>
    <w:rsid w:val="00B74040"/>
    <w:rsid w:val="00B74A41"/>
    <w:rsid w:val="00B75827"/>
    <w:rsid w:val="00B75AD5"/>
    <w:rsid w:val="00B763AE"/>
    <w:rsid w:val="00B76543"/>
    <w:rsid w:val="00B7688F"/>
    <w:rsid w:val="00B7691B"/>
    <w:rsid w:val="00B76A33"/>
    <w:rsid w:val="00B76C92"/>
    <w:rsid w:val="00B76CFD"/>
    <w:rsid w:val="00B76D97"/>
    <w:rsid w:val="00B7723F"/>
    <w:rsid w:val="00B77417"/>
    <w:rsid w:val="00B776CF"/>
    <w:rsid w:val="00B77996"/>
    <w:rsid w:val="00B77E69"/>
    <w:rsid w:val="00B801A9"/>
    <w:rsid w:val="00B80592"/>
    <w:rsid w:val="00B80B2C"/>
    <w:rsid w:val="00B80B76"/>
    <w:rsid w:val="00B8103B"/>
    <w:rsid w:val="00B817EA"/>
    <w:rsid w:val="00B818A4"/>
    <w:rsid w:val="00B81BA5"/>
    <w:rsid w:val="00B81E18"/>
    <w:rsid w:val="00B81F0C"/>
    <w:rsid w:val="00B824A7"/>
    <w:rsid w:val="00B82B2A"/>
    <w:rsid w:val="00B82C51"/>
    <w:rsid w:val="00B83773"/>
    <w:rsid w:val="00B83CDA"/>
    <w:rsid w:val="00B83E66"/>
    <w:rsid w:val="00B83F13"/>
    <w:rsid w:val="00B84117"/>
    <w:rsid w:val="00B843F8"/>
    <w:rsid w:val="00B84487"/>
    <w:rsid w:val="00B844B8"/>
    <w:rsid w:val="00B8481B"/>
    <w:rsid w:val="00B84A70"/>
    <w:rsid w:val="00B850F0"/>
    <w:rsid w:val="00B854DA"/>
    <w:rsid w:val="00B854F5"/>
    <w:rsid w:val="00B858F0"/>
    <w:rsid w:val="00B85A2F"/>
    <w:rsid w:val="00B85A98"/>
    <w:rsid w:val="00B85AA2"/>
    <w:rsid w:val="00B86260"/>
    <w:rsid w:val="00B8649C"/>
    <w:rsid w:val="00B8695D"/>
    <w:rsid w:val="00B86CA5"/>
    <w:rsid w:val="00B86E76"/>
    <w:rsid w:val="00B86F62"/>
    <w:rsid w:val="00B87204"/>
    <w:rsid w:val="00B874E3"/>
    <w:rsid w:val="00B879BF"/>
    <w:rsid w:val="00B87CEB"/>
    <w:rsid w:val="00B87F0A"/>
    <w:rsid w:val="00B900CF"/>
    <w:rsid w:val="00B90699"/>
    <w:rsid w:val="00B9081F"/>
    <w:rsid w:val="00B90B70"/>
    <w:rsid w:val="00B90D50"/>
    <w:rsid w:val="00B90E1D"/>
    <w:rsid w:val="00B91348"/>
    <w:rsid w:val="00B91351"/>
    <w:rsid w:val="00B915D0"/>
    <w:rsid w:val="00B92116"/>
    <w:rsid w:val="00B924C5"/>
    <w:rsid w:val="00B9298F"/>
    <w:rsid w:val="00B92CE2"/>
    <w:rsid w:val="00B92D0B"/>
    <w:rsid w:val="00B92DD7"/>
    <w:rsid w:val="00B93806"/>
    <w:rsid w:val="00B9396A"/>
    <w:rsid w:val="00B9479E"/>
    <w:rsid w:val="00B94827"/>
    <w:rsid w:val="00B94945"/>
    <w:rsid w:val="00B94DD6"/>
    <w:rsid w:val="00B94ED2"/>
    <w:rsid w:val="00B9517A"/>
    <w:rsid w:val="00B95225"/>
    <w:rsid w:val="00B95822"/>
    <w:rsid w:val="00B96378"/>
    <w:rsid w:val="00B9679F"/>
    <w:rsid w:val="00B96C13"/>
    <w:rsid w:val="00B97069"/>
    <w:rsid w:val="00B970BB"/>
    <w:rsid w:val="00B97957"/>
    <w:rsid w:val="00B97CB8"/>
    <w:rsid w:val="00BA004C"/>
    <w:rsid w:val="00BA0DF2"/>
    <w:rsid w:val="00BA10AE"/>
    <w:rsid w:val="00BA12CA"/>
    <w:rsid w:val="00BA1709"/>
    <w:rsid w:val="00BA23CF"/>
    <w:rsid w:val="00BA2628"/>
    <w:rsid w:val="00BA28BA"/>
    <w:rsid w:val="00BA322D"/>
    <w:rsid w:val="00BA360A"/>
    <w:rsid w:val="00BA39C4"/>
    <w:rsid w:val="00BA3CD9"/>
    <w:rsid w:val="00BA3D01"/>
    <w:rsid w:val="00BA3D37"/>
    <w:rsid w:val="00BA3DC0"/>
    <w:rsid w:val="00BA3E86"/>
    <w:rsid w:val="00BA3F5B"/>
    <w:rsid w:val="00BA4E9C"/>
    <w:rsid w:val="00BA4F43"/>
    <w:rsid w:val="00BA5134"/>
    <w:rsid w:val="00BA537D"/>
    <w:rsid w:val="00BA55E0"/>
    <w:rsid w:val="00BA5A0F"/>
    <w:rsid w:val="00BA6236"/>
    <w:rsid w:val="00BA63FA"/>
    <w:rsid w:val="00BA68B8"/>
    <w:rsid w:val="00BA68DA"/>
    <w:rsid w:val="00BA6932"/>
    <w:rsid w:val="00BA73D1"/>
    <w:rsid w:val="00BA7A61"/>
    <w:rsid w:val="00BA7B40"/>
    <w:rsid w:val="00BB00B3"/>
    <w:rsid w:val="00BB0219"/>
    <w:rsid w:val="00BB06EA"/>
    <w:rsid w:val="00BB070A"/>
    <w:rsid w:val="00BB0883"/>
    <w:rsid w:val="00BB08A5"/>
    <w:rsid w:val="00BB0A50"/>
    <w:rsid w:val="00BB0B59"/>
    <w:rsid w:val="00BB0BDD"/>
    <w:rsid w:val="00BB112E"/>
    <w:rsid w:val="00BB129C"/>
    <w:rsid w:val="00BB1370"/>
    <w:rsid w:val="00BB176C"/>
    <w:rsid w:val="00BB1B33"/>
    <w:rsid w:val="00BB1E60"/>
    <w:rsid w:val="00BB2122"/>
    <w:rsid w:val="00BB22D3"/>
    <w:rsid w:val="00BB22EB"/>
    <w:rsid w:val="00BB22F8"/>
    <w:rsid w:val="00BB25DD"/>
    <w:rsid w:val="00BB29AF"/>
    <w:rsid w:val="00BB2A73"/>
    <w:rsid w:val="00BB3063"/>
    <w:rsid w:val="00BB31BA"/>
    <w:rsid w:val="00BB370C"/>
    <w:rsid w:val="00BB3711"/>
    <w:rsid w:val="00BB3771"/>
    <w:rsid w:val="00BB394D"/>
    <w:rsid w:val="00BB3A45"/>
    <w:rsid w:val="00BB3AE0"/>
    <w:rsid w:val="00BB43FE"/>
    <w:rsid w:val="00BB44D4"/>
    <w:rsid w:val="00BB479D"/>
    <w:rsid w:val="00BB4ACC"/>
    <w:rsid w:val="00BB5226"/>
    <w:rsid w:val="00BB5510"/>
    <w:rsid w:val="00BB5E40"/>
    <w:rsid w:val="00BB66A2"/>
    <w:rsid w:val="00BB6917"/>
    <w:rsid w:val="00BB6AC2"/>
    <w:rsid w:val="00BB6D12"/>
    <w:rsid w:val="00BB703E"/>
    <w:rsid w:val="00BB732D"/>
    <w:rsid w:val="00BB7405"/>
    <w:rsid w:val="00BB7C40"/>
    <w:rsid w:val="00BC0054"/>
    <w:rsid w:val="00BC08C2"/>
    <w:rsid w:val="00BC11E6"/>
    <w:rsid w:val="00BC211E"/>
    <w:rsid w:val="00BC2A04"/>
    <w:rsid w:val="00BC2BA2"/>
    <w:rsid w:val="00BC30F5"/>
    <w:rsid w:val="00BC3631"/>
    <w:rsid w:val="00BC37F6"/>
    <w:rsid w:val="00BC38F9"/>
    <w:rsid w:val="00BC3CBA"/>
    <w:rsid w:val="00BC3D17"/>
    <w:rsid w:val="00BC4316"/>
    <w:rsid w:val="00BC48C0"/>
    <w:rsid w:val="00BC4F9F"/>
    <w:rsid w:val="00BC55F2"/>
    <w:rsid w:val="00BC582B"/>
    <w:rsid w:val="00BC591F"/>
    <w:rsid w:val="00BC5977"/>
    <w:rsid w:val="00BC5AA5"/>
    <w:rsid w:val="00BC5AD1"/>
    <w:rsid w:val="00BC5CDD"/>
    <w:rsid w:val="00BC79B7"/>
    <w:rsid w:val="00BC7AE2"/>
    <w:rsid w:val="00BC7D11"/>
    <w:rsid w:val="00BC7D6D"/>
    <w:rsid w:val="00BD0714"/>
    <w:rsid w:val="00BD0AB0"/>
    <w:rsid w:val="00BD0C36"/>
    <w:rsid w:val="00BD0F84"/>
    <w:rsid w:val="00BD12BC"/>
    <w:rsid w:val="00BD1DC9"/>
    <w:rsid w:val="00BD20C1"/>
    <w:rsid w:val="00BD20EF"/>
    <w:rsid w:val="00BD2108"/>
    <w:rsid w:val="00BD281A"/>
    <w:rsid w:val="00BD2E75"/>
    <w:rsid w:val="00BD36E5"/>
    <w:rsid w:val="00BD3C66"/>
    <w:rsid w:val="00BD46C3"/>
    <w:rsid w:val="00BD478E"/>
    <w:rsid w:val="00BD4999"/>
    <w:rsid w:val="00BD544C"/>
    <w:rsid w:val="00BD550D"/>
    <w:rsid w:val="00BD55FF"/>
    <w:rsid w:val="00BD56CE"/>
    <w:rsid w:val="00BD57DD"/>
    <w:rsid w:val="00BD57EF"/>
    <w:rsid w:val="00BD5C81"/>
    <w:rsid w:val="00BD5D67"/>
    <w:rsid w:val="00BD5EAD"/>
    <w:rsid w:val="00BD6129"/>
    <w:rsid w:val="00BD68A3"/>
    <w:rsid w:val="00BD6938"/>
    <w:rsid w:val="00BD6BE7"/>
    <w:rsid w:val="00BD6C65"/>
    <w:rsid w:val="00BD6CF3"/>
    <w:rsid w:val="00BD7C02"/>
    <w:rsid w:val="00BD7E68"/>
    <w:rsid w:val="00BE06C0"/>
    <w:rsid w:val="00BE0A03"/>
    <w:rsid w:val="00BE0ECA"/>
    <w:rsid w:val="00BE1A07"/>
    <w:rsid w:val="00BE1E7C"/>
    <w:rsid w:val="00BE2180"/>
    <w:rsid w:val="00BE21F2"/>
    <w:rsid w:val="00BE26F6"/>
    <w:rsid w:val="00BE2F9E"/>
    <w:rsid w:val="00BE319E"/>
    <w:rsid w:val="00BE3223"/>
    <w:rsid w:val="00BE33EB"/>
    <w:rsid w:val="00BE354D"/>
    <w:rsid w:val="00BE4275"/>
    <w:rsid w:val="00BE4731"/>
    <w:rsid w:val="00BE47CC"/>
    <w:rsid w:val="00BE4A85"/>
    <w:rsid w:val="00BE51DC"/>
    <w:rsid w:val="00BE5310"/>
    <w:rsid w:val="00BE54F6"/>
    <w:rsid w:val="00BE5CAD"/>
    <w:rsid w:val="00BE61D9"/>
    <w:rsid w:val="00BE674C"/>
    <w:rsid w:val="00BE6772"/>
    <w:rsid w:val="00BE679B"/>
    <w:rsid w:val="00BE67CC"/>
    <w:rsid w:val="00BE6962"/>
    <w:rsid w:val="00BE6A51"/>
    <w:rsid w:val="00BE788B"/>
    <w:rsid w:val="00BE7CE6"/>
    <w:rsid w:val="00BF0183"/>
    <w:rsid w:val="00BF056D"/>
    <w:rsid w:val="00BF06AE"/>
    <w:rsid w:val="00BF0778"/>
    <w:rsid w:val="00BF0ED8"/>
    <w:rsid w:val="00BF0F95"/>
    <w:rsid w:val="00BF1173"/>
    <w:rsid w:val="00BF11BC"/>
    <w:rsid w:val="00BF131F"/>
    <w:rsid w:val="00BF19A4"/>
    <w:rsid w:val="00BF236A"/>
    <w:rsid w:val="00BF23BB"/>
    <w:rsid w:val="00BF2433"/>
    <w:rsid w:val="00BF25FB"/>
    <w:rsid w:val="00BF27A1"/>
    <w:rsid w:val="00BF2985"/>
    <w:rsid w:val="00BF2C32"/>
    <w:rsid w:val="00BF2F87"/>
    <w:rsid w:val="00BF3357"/>
    <w:rsid w:val="00BF3456"/>
    <w:rsid w:val="00BF355F"/>
    <w:rsid w:val="00BF3674"/>
    <w:rsid w:val="00BF3713"/>
    <w:rsid w:val="00BF37E9"/>
    <w:rsid w:val="00BF383D"/>
    <w:rsid w:val="00BF3A5C"/>
    <w:rsid w:val="00BF3E00"/>
    <w:rsid w:val="00BF3EDB"/>
    <w:rsid w:val="00BF411D"/>
    <w:rsid w:val="00BF4450"/>
    <w:rsid w:val="00BF463C"/>
    <w:rsid w:val="00BF473E"/>
    <w:rsid w:val="00BF4F0F"/>
    <w:rsid w:val="00BF514F"/>
    <w:rsid w:val="00BF569B"/>
    <w:rsid w:val="00BF5B60"/>
    <w:rsid w:val="00BF5CD5"/>
    <w:rsid w:val="00BF60DF"/>
    <w:rsid w:val="00BF61C9"/>
    <w:rsid w:val="00BF6669"/>
    <w:rsid w:val="00BF6BBB"/>
    <w:rsid w:val="00BF6C94"/>
    <w:rsid w:val="00BF6DB1"/>
    <w:rsid w:val="00BF6E95"/>
    <w:rsid w:val="00BF76FE"/>
    <w:rsid w:val="00BF7AA3"/>
    <w:rsid w:val="00BF7EC9"/>
    <w:rsid w:val="00C00397"/>
    <w:rsid w:val="00C00424"/>
    <w:rsid w:val="00C0051B"/>
    <w:rsid w:val="00C005F6"/>
    <w:rsid w:val="00C006DD"/>
    <w:rsid w:val="00C007E5"/>
    <w:rsid w:val="00C00AD7"/>
    <w:rsid w:val="00C00CE5"/>
    <w:rsid w:val="00C00F7F"/>
    <w:rsid w:val="00C0151A"/>
    <w:rsid w:val="00C01905"/>
    <w:rsid w:val="00C01DCA"/>
    <w:rsid w:val="00C02AA0"/>
    <w:rsid w:val="00C02FEF"/>
    <w:rsid w:val="00C0357D"/>
    <w:rsid w:val="00C03717"/>
    <w:rsid w:val="00C03B82"/>
    <w:rsid w:val="00C03E2C"/>
    <w:rsid w:val="00C03F8B"/>
    <w:rsid w:val="00C0537C"/>
    <w:rsid w:val="00C05536"/>
    <w:rsid w:val="00C058BD"/>
    <w:rsid w:val="00C05B0E"/>
    <w:rsid w:val="00C05FFE"/>
    <w:rsid w:val="00C0605C"/>
    <w:rsid w:val="00C066E4"/>
    <w:rsid w:val="00C068DF"/>
    <w:rsid w:val="00C06C5C"/>
    <w:rsid w:val="00C071B0"/>
    <w:rsid w:val="00C07AD3"/>
    <w:rsid w:val="00C1001A"/>
    <w:rsid w:val="00C1005D"/>
    <w:rsid w:val="00C100FF"/>
    <w:rsid w:val="00C10BD9"/>
    <w:rsid w:val="00C1110F"/>
    <w:rsid w:val="00C116FF"/>
    <w:rsid w:val="00C11738"/>
    <w:rsid w:val="00C1179F"/>
    <w:rsid w:val="00C11909"/>
    <w:rsid w:val="00C11BE2"/>
    <w:rsid w:val="00C12129"/>
    <w:rsid w:val="00C124F9"/>
    <w:rsid w:val="00C126E6"/>
    <w:rsid w:val="00C12B7C"/>
    <w:rsid w:val="00C12C14"/>
    <w:rsid w:val="00C12C24"/>
    <w:rsid w:val="00C12C27"/>
    <w:rsid w:val="00C12C4A"/>
    <w:rsid w:val="00C12FBC"/>
    <w:rsid w:val="00C12FD0"/>
    <w:rsid w:val="00C13298"/>
    <w:rsid w:val="00C13316"/>
    <w:rsid w:val="00C13487"/>
    <w:rsid w:val="00C134B1"/>
    <w:rsid w:val="00C1384A"/>
    <w:rsid w:val="00C14A15"/>
    <w:rsid w:val="00C14BCF"/>
    <w:rsid w:val="00C14FE6"/>
    <w:rsid w:val="00C150E4"/>
    <w:rsid w:val="00C15564"/>
    <w:rsid w:val="00C155D1"/>
    <w:rsid w:val="00C15B3A"/>
    <w:rsid w:val="00C15DFC"/>
    <w:rsid w:val="00C15F04"/>
    <w:rsid w:val="00C16220"/>
    <w:rsid w:val="00C16753"/>
    <w:rsid w:val="00C179A6"/>
    <w:rsid w:val="00C179B3"/>
    <w:rsid w:val="00C17B1E"/>
    <w:rsid w:val="00C17CFA"/>
    <w:rsid w:val="00C17E3F"/>
    <w:rsid w:val="00C17FC4"/>
    <w:rsid w:val="00C200AA"/>
    <w:rsid w:val="00C20112"/>
    <w:rsid w:val="00C2040A"/>
    <w:rsid w:val="00C2062E"/>
    <w:rsid w:val="00C2105F"/>
    <w:rsid w:val="00C21664"/>
    <w:rsid w:val="00C21D88"/>
    <w:rsid w:val="00C221E6"/>
    <w:rsid w:val="00C22E4E"/>
    <w:rsid w:val="00C237ED"/>
    <w:rsid w:val="00C23F99"/>
    <w:rsid w:val="00C24632"/>
    <w:rsid w:val="00C24D19"/>
    <w:rsid w:val="00C25068"/>
    <w:rsid w:val="00C25070"/>
    <w:rsid w:val="00C25418"/>
    <w:rsid w:val="00C25B8F"/>
    <w:rsid w:val="00C25CFA"/>
    <w:rsid w:val="00C25D9C"/>
    <w:rsid w:val="00C26732"/>
    <w:rsid w:val="00C26FD8"/>
    <w:rsid w:val="00C273F7"/>
    <w:rsid w:val="00C2778B"/>
    <w:rsid w:val="00C277F7"/>
    <w:rsid w:val="00C27942"/>
    <w:rsid w:val="00C27BED"/>
    <w:rsid w:val="00C27C29"/>
    <w:rsid w:val="00C27E76"/>
    <w:rsid w:val="00C3029E"/>
    <w:rsid w:val="00C3036E"/>
    <w:rsid w:val="00C30BE6"/>
    <w:rsid w:val="00C3108C"/>
    <w:rsid w:val="00C310A1"/>
    <w:rsid w:val="00C3127B"/>
    <w:rsid w:val="00C31649"/>
    <w:rsid w:val="00C317E3"/>
    <w:rsid w:val="00C319A5"/>
    <w:rsid w:val="00C31BB2"/>
    <w:rsid w:val="00C31E0C"/>
    <w:rsid w:val="00C32E76"/>
    <w:rsid w:val="00C32E95"/>
    <w:rsid w:val="00C32E9C"/>
    <w:rsid w:val="00C3348A"/>
    <w:rsid w:val="00C33D67"/>
    <w:rsid w:val="00C33E65"/>
    <w:rsid w:val="00C33FAC"/>
    <w:rsid w:val="00C3434C"/>
    <w:rsid w:val="00C34FCE"/>
    <w:rsid w:val="00C35284"/>
    <w:rsid w:val="00C355CB"/>
    <w:rsid w:val="00C356C0"/>
    <w:rsid w:val="00C358DF"/>
    <w:rsid w:val="00C35A50"/>
    <w:rsid w:val="00C35C1B"/>
    <w:rsid w:val="00C365EA"/>
    <w:rsid w:val="00C368E9"/>
    <w:rsid w:val="00C36916"/>
    <w:rsid w:val="00C36ECD"/>
    <w:rsid w:val="00C370E4"/>
    <w:rsid w:val="00C37678"/>
    <w:rsid w:val="00C37759"/>
    <w:rsid w:val="00C40385"/>
    <w:rsid w:val="00C40F15"/>
    <w:rsid w:val="00C41047"/>
    <w:rsid w:val="00C41058"/>
    <w:rsid w:val="00C410B8"/>
    <w:rsid w:val="00C41330"/>
    <w:rsid w:val="00C413BF"/>
    <w:rsid w:val="00C41768"/>
    <w:rsid w:val="00C41A89"/>
    <w:rsid w:val="00C41DBF"/>
    <w:rsid w:val="00C42037"/>
    <w:rsid w:val="00C42FEB"/>
    <w:rsid w:val="00C43081"/>
    <w:rsid w:val="00C43214"/>
    <w:rsid w:val="00C434DD"/>
    <w:rsid w:val="00C435A7"/>
    <w:rsid w:val="00C4416F"/>
    <w:rsid w:val="00C44178"/>
    <w:rsid w:val="00C442F2"/>
    <w:rsid w:val="00C444D3"/>
    <w:rsid w:val="00C44B65"/>
    <w:rsid w:val="00C45225"/>
    <w:rsid w:val="00C452F1"/>
    <w:rsid w:val="00C453CF"/>
    <w:rsid w:val="00C456AF"/>
    <w:rsid w:val="00C456E4"/>
    <w:rsid w:val="00C45DBB"/>
    <w:rsid w:val="00C461E5"/>
    <w:rsid w:val="00C467FA"/>
    <w:rsid w:val="00C468FF"/>
    <w:rsid w:val="00C475AA"/>
    <w:rsid w:val="00C475D9"/>
    <w:rsid w:val="00C4791A"/>
    <w:rsid w:val="00C47E3D"/>
    <w:rsid w:val="00C503B4"/>
    <w:rsid w:val="00C505F0"/>
    <w:rsid w:val="00C50600"/>
    <w:rsid w:val="00C50812"/>
    <w:rsid w:val="00C50A86"/>
    <w:rsid w:val="00C50EAC"/>
    <w:rsid w:val="00C512EC"/>
    <w:rsid w:val="00C513B9"/>
    <w:rsid w:val="00C51623"/>
    <w:rsid w:val="00C51647"/>
    <w:rsid w:val="00C5171F"/>
    <w:rsid w:val="00C517B0"/>
    <w:rsid w:val="00C51837"/>
    <w:rsid w:val="00C51A0D"/>
    <w:rsid w:val="00C51BEC"/>
    <w:rsid w:val="00C51C00"/>
    <w:rsid w:val="00C51C7C"/>
    <w:rsid w:val="00C52157"/>
    <w:rsid w:val="00C52500"/>
    <w:rsid w:val="00C5361D"/>
    <w:rsid w:val="00C53A78"/>
    <w:rsid w:val="00C53C98"/>
    <w:rsid w:val="00C53DE7"/>
    <w:rsid w:val="00C5456C"/>
    <w:rsid w:val="00C54FB7"/>
    <w:rsid w:val="00C55641"/>
    <w:rsid w:val="00C55764"/>
    <w:rsid w:val="00C558EF"/>
    <w:rsid w:val="00C55E6C"/>
    <w:rsid w:val="00C55EF4"/>
    <w:rsid w:val="00C56177"/>
    <w:rsid w:val="00C561D2"/>
    <w:rsid w:val="00C56A89"/>
    <w:rsid w:val="00C56B4C"/>
    <w:rsid w:val="00C56FCF"/>
    <w:rsid w:val="00C571D9"/>
    <w:rsid w:val="00C575D2"/>
    <w:rsid w:val="00C5788C"/>
    <w:rsid w:val="00C57A37"/>
    <w:rsid w:val="00C57B6C"/>
    <w:rsid w:val="00C60994"/>
    <w:rsid w:val="00C609DD"/>
    <w:rsid w:val="00C609E1"/>
    <w:rsid w:val="00C60A16"/>
    <w:rsid w:val="00C62559"/>
    <w:rsid w:val="00C62729"/>
    <w:rsid w:val="00C628A6"/>
    <w:rsid w:val="00C62B7C"/>
    <w:rsid w:val="00C62C85"/>
    <w:rsid w:val="00C62E51"/>
    <w:rsid w:val="00C6333A"/>
    <w:rsid w:val="00C6349A"/>
    <w:rsid w:val="00C63515"/>
    <w:rsid w:val="00C63A5F"/>
    <w:rsid w:val="00C63BE2"/>
    <w:rsid w:val="00C63FDA"/>
    <w:rsid w:val="00C64344"/>
    <w:rsid w:val="00C64D86"/>
    <w:rsid w:val="00C65108"/>
    <w:rsid w:val="00C65576"/>
    <w:rsid w:val="00C65A69"/>
    <w:rsid w:val="00C66165"/>
    <w:rsid w:val="00C66297"/>
    <w:rsid w:val="00C66EE9"/>
    <w:rsid w:val="00C672AD"/>
    <w:rsid w:val="00C6749D"/>
    <w:rsid w:val="00C6767D"/>
    <w:rsid w:val="00C678ED"/>
    <w:rsid w:val="00C7060A"/>
    <w:rsid w:val="00C70A58"/>
    <w:rsid w:val="00C70C4E"/>
    <w:rsid w:val="00C70E4B"/>
    <w:rsid w:val="00C70FE5"/>
    <w:rsid w:val="00C7151A"/>
    <w:rsid w:val="00C717E3"/>
    <w:rsid w:val="00C71857"/>
    <w:rsid w:val="00C719D2"/>
    <w:rsid w:val="00C71C48"/>
    <w:rsid w:val="00C71F60"/>
    <w:rsid w:val="00C71F88"/>
    <w:rsid w:val="00C72241"/>
    <w:rsid w:val="00C72D28"/>
    <w:rsid w:val="00C73608"/>
    <w:rsid w:val="00C736A4"/>
    <w:rsid w:val="00C73E72"/>
    <w:rsid w:val="00C74325"/>
    <w:rsid w:val="00C749CA"/>
    <w:rsid w:val="00C74E28"/>
    <w:rsid w:val="00C74E32"/>
    <w:rsid w:val="00C74EFF"/>
    <w:rsid w:val="00C750C8"/>
    <w:rsid w:val="00C7531F"/>
    <w:rsid w:val="00C7560F"/>
    <w:rsid w:val="00C7581B"/>
    <w:rsid w:val="00C75D10"/>
    <w:rsid w:val="00C75D7E"/>
    <w:rsid w:val="00C76280"/>
    <w:rsid w:val="00C7629F"/>
    <w:rsid w:val="00C766D4"/>
    <w:rsid w:val="00C768FF"/>
    <w:rsid w:val="00C76FAA"/>
    <w:rsid w:val="00C76FD5"/>
    <w:rsid w:val="00C778B4"/>
    <w:rsid w:val="00C77966"/>
    <w:rsid w:val="00C77C26"/>
    <w:rsid w:val="00C8014C"/>
    <w:rsid w:val="00C80A0E"/>
    <w:rsid w:val="00C80AF0"/>
    <w:rsid w:val="00C80FEB"/>
    <w:rsid w:val="00C812A2"/>
    <w:rsid w:val="00C812B2"/>
    <w:rsid w:val="00C814B8"/>
    <w:rsid w:val="00C81ACC"/>
    <w:rsid w:val="00C8213F"/>
    <w:rsid w:val="00C824C3"/>
    <w:rsid w:val="00C825E7"/>
    <w:rsid w:val="00C82796"/>
    <w:rsid w:val="00C8290A"/>
    <w:rsid w:val="00C8292C"/>
    <w:rsid w:val="00C82C56"/>
    <w:rsid w:val="00C830B4"/>
    <w:rsid w:val="00C83372"/>
    <w:rsid w:val="00C83848"/>
    <w:rsid w:val="00C83B9A"/>
    <w:rsid w:val="00C84823"/>
    <w:rsid w:val="00C84EEE"/>
    <w:rsid w:val="00C85154"/>
    <w:rsid w:val="00C857F7"/>
    <w:rsid w:val="00C85AEC"/>
    <w:rsid w:val="00C85B3F"/>
    <w:rsid w:val="00C85BC3"/>
    <w:rsid w:val="00C85C00"/>
    <w:rsid w:val="00C86451"/>
    <w:rsid w:val="00C86698"/>
    <w:rsid w:val="00C866A8"/>
    <w:rsid w:val="00C868CF"/>
    <w:rsid w:val="00C86928"/>
    <w:rsid w:val="00C86AF8"/>
    <w:rsid w:val="00C86D28"/>
    <w:rsid w:val="00C8791A"/>
    <w:rsid w:val="00C8797A"/>
    <w:rsid w:val="00C87A09"/>
    <w:rsid w:val="00C87D32"/>
    <w:rsid w:val="00C900B8"/>
    <w:rsid w:val="00C904FD"/>
    <w:rsid w:val="00C9051A"/>
    <w:rsid w:val="00C90A88"/>
    <w:rsid w:val="00C90B15"/>
    <w:rsid w:val="00C90C71"/>
    <w:rsid w:val="00C90FAF"/>
    <w:rsid w:val="00C9125F"/>
    <w:rsid w:val="00C9126A"/>
    <w:rsid w:val="00C918ED"/>
    <w:rsid w:val="00C91922"/>
    <w:rsid w:val="00C91BF6"/>
    <w:rsid w:val="00C91FD1"/>
    <w:rsid w:val="00C91FE4"/>
    <w:rsid w:val="00C929CD"/>
    <w:rsid w:val="00C92AD7"/>
    <w:rsid w:val="00C92E3F"/>
    <w:rsid w:val="00C92FF9"/>
    <w:rsid w:val="00C931CF"/>
    <w:rsid w:val="00C934EB"/>
    <w:rsid w:val="00C937CC"/>
    <w:rsid w:val="00C938CF"/>
    <w:rsid w:val="00C939EC"/>
    <w:rsid w:val="00C93A5B"/>
    <w:rsid w:val="00C94053"/>
    <w:rsid w:val="00C94815"/>
    <w:rsid w:val="00C94F21"/>
    <w:rsid w:val="00C94F4A"/>
    <w:rsid w:val="00C9533C"/>
    <w:rsid w:val="00C954AC"/>
    <w:rsid w:val="00C95792"/>
    <w:rsid w:val="00C95866"/>
    <w:rsid w:val="00C9586C"/>
    <w:rsid w:val="00C9624D"/>
    <w:rsid w:val="00C9668F"/>
    <w:rsid w:val="00C969DA"/>
    <w:rsid w:val="00C96A60"/>
    <w:rsid w:val="00C971AB"/>
    <w:rsid w:val="00C977BD"/>
    <w:rsid w:val="00C9782F"/>
    <w:rsid w:val="00C97C10"/>
    <w:rsid w:val="00C97F91"/>
    <w:rsid w:val="00CA002D"/>
    <w:rsid w:val="00CA011E"/>
    <w:rsid w:val="00CA07AB"/>
    <w:rsid w:val="00CA0C5D"/>
    <w:rsid w:val="00CA0D66"/>
    <w:rsid w:val="00CA1284"/>
    <w:rsid w:val="00CA142C"/>
    <w:rsid w:val="00CA19A4"/>
    <w:rsid w:val="00CA1E76"/>
    <w:rsid w:val="00CA2118"/>
    <w:rsid w:val="00CA2157"/>
    <w:rsid w:val="00CA2454"/>
    <w:rsid w:val="00CA26A6"/>
    <w:rsid w:val="00CA26D7"/>
    <w:rsid w:val="00CA28BA"/>
    <w:rsid w:val="00CA2901"/>
    <w:rsid w:val="00CA2C77"/>
    <w:rsid w:val="00CA309F"/>
    <w:rsid w:val="00CA32C6"/>
    <w:rsid w:val="00CA3FB7"/>
    <w:rsid w:val="00CA443C"/>
    <w:rsid w:val="00CA444F"/>
    <w:rsid w:val="00CA4A5C"/>
    <w:rsid w:val="00CA4D83"/>
    <w:rsid w:val="00CA521F"/>
    <w:rsid w:val="00CA5245"/>
    <w:rsid w:val="00CA5869"/>
    <w:rsid w:val="00CA652F"/>
    <w:rsid w:val="00CA668E"/>
    <w:rsid w:val="00CA68A2"/>
    <w:rsid w:val="00CA6F8C"/>
    <w:rsid w:val="00CA71F4"/>
    <w:rsid w:val="00CA750C"/>
    <w:rsid w:val="00CA77C4"/>
    <w:rsid w:val="00CA7B09"/>
    <w:rsid w:val="00CA7B82"/>
    <w:rsid w:val="00CB05FA"/>
    <w:rsid w:val="00CB08D0"/>
    <w:rsid w:val="00CB0904"/>
    <w:rsid w:val="00CB0A27"/>
    <w:rsid w:val="00CB0BBC"/>
    <w:rsid w:val="00CB0CF8"/>
    <w:rsid w:val="00CB0D20"/>
    <w:rsid w:val="00CB12A5"/>
    <w:rsid w:val="00CB1A4A"/>
    <w:rsid w:val="00CB1CAC"/>
    <w:rsid w:val="00CB1DB0"/>
    <w:rsid w:val="00CB20BE"/>
    <w:rsid w:val="00CB2269"/>
    <w:rsid w:val="00CB25FE"/>
    <w:rsid w:val="00CB2F2A"/>
    <w:rsid w:val="00CB36EC"/>
    <w:rsid w:val="00CB3740"/>
    <w:rsid w:val="00CB3B5D"/>
    <w:rsid w:val="00CB3C99"/>
    <w:rsid w:val="00CB3DA1"/>
    <w:rsid w:val="00CB4AA8"/>
    <w:rsid w:val="00CB4D37"/>
    <w:rsid w:val="00CB5562"/>
    <w:rsid w:val="00CB58B0"/>
    <w:rsid w:val="00CB5937"/>
    <w:rsid w:val="00CB5B1A"/>
    <w:rsid w:val="00CB5B61"/>
    <w:rsid w:val="00CB5E88"/>
    <w:rsid w:val="00CB5FA9"/>
    <w:rsid w:val="00CB62E8"/>
    <w:rsid w:val="00CB6B22"/>
    <w:rsid w:val="00CB6DFF"/>
    <w:rsid w:val="00CB6E42"/>
    <w:rsid w:val="00CB6E49"/>
    <w:rsid w:val="00CB784C"/>
    <w:rsid w:val="00CB7D3C"/>
    <w:rsid w:val="00CB7E3F"/>
    <w:rsid w:val="00CB7F5F"/>
    <w:rsid w:val="00CC0070"/>
    <w:rsid w:val="00CC023A"/>
    <w:rsid w:val="00CC042A"/>
    <w:rsid w:val="00CC0439"/>
    <w:rsid w:val="00CC057D"/>
    <w:rsid w:val="00CC0699"/>
    <w:rsid w:val="00CC0A40"/>
    <w:rsid w:val="00CC0C00"/>
    <w:rsid w:val="00CC0D78"/>
    <w:rsid w:val="00CC0EDC"/>
    <w:rsid w:val="00CC1B39"/>
    <w:rsid w:val="00CC1C25"/>
    <w:rsid w:val="00CC21FC"/>
    <w:rsid w:val="00CC226F"/>
    <w:rsid w:val="00CC22D2"/>
    <w:rsid w:val="00CC2386"/>
    <w:rsid w:val="00CC2512"/>
    <w:rsid w:val="00CC2570"/>
    <w:rsid w:val="00CC2731"/>
    <w:rsid w:val="00CC35B4"/>
    <w:rsid w:val="00CC35EA"/>
    <w:rsid w:val="00CC3678"/>
    <w:rsid w:val="00CC3848"/>
    <w:rsid w:val="00CC3CFE"/>
    <w:rsid w:val="00CC3E2F"/>
    <w:rsid w:val="00CC4431"/>
    <w:rsid w:val="00CC4F87"/>
    <w:rsid w:val="00CC5392"/>
    <w:rsid w:val="00CC53C1"/>
    <w:rsid w:val="00CC55E0"/>
    <w:rsid w:val="00CC568A"/>
    <w:rsid w:val="00CC5ABE"/>
    <w:rsid w:val="00CC6F7F"/>
    <w:rsid w:val="00CC715C"/>
    <w:rsid w:val="00CC7184"/>
    <w:rsid w:val="00CC73DD"/>
    <w:rsid w:val="00CC7850"/>
    <w:rsid w:val="00CC7D16"/>
    <w:rsid w:val="00CC7E4F"/>
    <w:rsid w:val="00CD08A0"/>
    <w:rsid w:val="00CD0951"/>
    <w:rsid w:val="00CD0BDE"/>
    <w:rsid w:val="00CD0CFB"/>
    <w:rsid w:val="00CD0F62"/>
    <w:rsid w:val="00CD113C"/>
    <w:rsid w:val="00CD11FF"/>
    <w:rsid w:val="00CD1DED"/>
    <w:rsid w:val="00CD224F"/>
    <w:rsid w:val="00CD23E6"/>
    <w:rsid w:val="00CD26B2"/>
    <w:rsid w:val="00CD2D22"/>
    <w:rsid w:val="00CD35B0"/>
    <w:rsid w:val="00CD3ACB"/>
    <w:rsid w:val="00CD3DB1"/>
    <w:rsid w:val="00CD3E0A"/>
    <w:rsid w:val="00CD3E54"/>
    <w:rsid w:val="00CD3F77"/>
    <w:rsid w:val="00CD433C"/>
    <w:rsid w:val="00CD4EEA"/>
    <w:rsid w:val="00CD53D9"/>
    <w:rsid w:val="00CD56C6"/>
    <w:rsid w:val="00CD593C"/>
    <w:rsid w:val="00CD6783"/>
    <w:rsid w:val="00CD6A9A"/>
    <w:rsid w:val="00CD6ADC"/>
    <w:rsid w:val="00CD7193"/>
    <w:rsid w:val="00CD72CF"/>
    <w:rsid w:val="00CD7734"/>
    <w:rsid w:val="00CE03AC"/>
    <w:rsid w:val="00CE03D6"/>
    <w:rsid w:val="00CE05FD"/>
    <w:rsid w:val="00CE06FE"/>
    <w:rsid w:val="00CE0AA2"/>
    <w:rsid w:val="00CE135C"/>
    <w:rsid w:val="00CE1543"/>
    <w:rsid w:val="00CE1906"/>
    <w:rsid w:val="00CE20B6"/>
    <w:rsid w:val="00CE20C2"/>
    <w:rsid w:val="00CE2342"/>
    <w:rsid w:val="00CE2476"/>
    <w:rsid w:val="00CE2741"/>
    <w:rsid w:val="00CE28B9"/>
    <w:rsid w:val="00CE38C8"/>
    <w:rsid w:val="00CE3A37"/>
    <w:rsid w:val="00CE3AA2"/>
    <w:rsid w:val="00CE3DA8"/>
    <w:rsid w:val="00CE46AC"/>
    <w:rsid w:val="00CE499F"/>
    <w:rsid w:val="00CE4B6C"/>
    <w:rsid w:val="00CE4B91"/>
    <w:rsid w:val="00CE4C78"/>
    <w:rsid w:val="00CE51C5"/>
    <w:rsid w:val="00CE5C63"/>
    <w:rsid w:val="00CE6274"/>
    <w:rsid w:val="00CE6674"/>
    <w:rsid w:val="00CE6FF5"/>
    <w:rsid w:val="00CE779D"/>
    <w:rsid w:val="00CE77B6"/>
    <w:rsid w:val="00CE7B8B"/>
    <w:rsid w:val="00CF0293"/>
    <w:rsid w:val="00CF0D85"/>
    <w:rsid w:val="00CF0F39"/>
    <w:rsid w:val="00CF144C"/>
    <w:rsid w:val="00CF1AF5"/>
    <w:rsid w:val="00CF1B8B"/>
    <w:rsid w:val="00CF2137"/>
    <w:rsid w:val="00CF213B"/>
    <w:rsid w:val="00CF22F9"/>
    <w:rsid w:val="00CF25B8"/>
    <w:rsid w:val="00CF2691"/>
    <w:rsid w:val="00CF2776"/>
    <w:rsid w:val="00CF2A77"/>
    <w:rsid w:val="00CF2B8D"/>
    <w:rsid w:val="00CF2EA2"/>
    <w:rsid w:val="00CF307F"/>
    <w:rsid w:val="00CF34C2"/>
    <w:rsid w:val="00CF34EC"/>
    <w:rsid w:val="00CF3695"/>
    <w:rsid w:val="00CF3D54"/>
    <w:rsid w:val="00CF3E55"/>
    <w:rsid w:val="00CF3E86"/>
    <w:rsid w:val="00CF431D"/>
    <w:rsid w:val="00CF456B"/>
    <w:rsid w:val="00CF46AE"/>
    <w:rsid w:val="00CF4EED"/>
    <w:rsid w:val="00CF5114"/>
    <w:rsid w:val="00CF570E"/>
    <w:rsid w:val="00CF5723"/>
    <w:rsid w:val="00CF5848"/>
    <w:rsid w:val="00CF5A22"/>
    <w:rsid w:val="00CF5BE6"/>
    <w:rsid w:val="00CF5DCD"/>
    <w:rsid w:val="00CF622A"/>
    <w:rsid w:val="00CF6530"/>
    <w:rsid w:val="00CF7045"/>
    <w:rsid w:val="00CF7348"/>
    <w:rsid w:val="00CF7E0B"/>
    <w:rsid w:val="00D003E5"/>
    <w:rsid w:val="00D00945"/>
    <w:rsid w:val="00D00EC3"/>
    <w:rsid w:val="00D00F53"/>
    <w:rsid w:val="00D01054"/>
    <w:rsid w:val="00D012D7"/>
    <w:rsid w:val="00D0145A"/>
    <w:rsid w:val="00D01A5B"/>
    <w:rsid w:val="00D01F58"/>
    <w:rsid w:val="00D0204F"/>
    <w:rsid w:val="00D02052"/>
    <w:rsid w:val="00D020C6"/>
    <w:rsid w:val="00D02409"/>
    <w:rsid w:val="00D024EF"/>
    <w:rsid w:val="00D0262E"/>
    <w:rsid w:val="00D02ECF"/>
    <w:rsid w:val="00D03434"/>
    <w:rsid w:val="00D037D8"/>
    <w:rsid w:val="00D038FE"/>
    <w:rsid w:val="00D03D9D"/>
    <w:rsid w:val="00D03FC0"/>
    <w:rsid w:val="00D05645"/>
    <w:rsid w:val="00D05CE9"/>
    <w:rsid w:val="00D05D0B"/>
    <w:rsid w:val="00D05E3D"/>
    <w:rsid w:val="00D0602E"/>
    <w:rsid w:val="00D06139"/>
    <w:rsid w:val="00D068E7"/>
    <w:rsid w:val="00D06E1D"/>
    <w:rsid w:val="00D079E5"/>
    <w:rsid w:val="00D10AB5"/>
    <w:rsid w:val="00D10AB9"/>
    <w:rsid w:val="00D11010"/>
    <w:rsid w:val="00D110BD"/>
    <w:rsid w:val="00D11456"/>
    <w:rsid w:val="00D114B0"/>
    <w:rsid w:val="00D1153D"/>
    <w:rsid w:val="00D116EF"/>
    <w:rsid w:val="00D11AD6"/>
    <w:rsid w:val="00D1200E"/>
    <w:rsid w:val="00D12A62"/>
    <w:rsid w:val="00D12C22"/>
    <w:rsid w:val="00D12E74"/>
    <w:rsid w:val="00D1304B"/>
    <w:rsid w:val="00D13244"/>
    <w:rsid w:val="00D13485"/>
    <w:rsid w:val="00D13675"/>
    <w:rsid w:val="00D13B39"/>
    <w:rsid w:val="00D13B3E"/>
    <w:rsid w:val="00D141E1"/>
    <w:rsid w:val="00D14650"/>
    <w:rsid w:val="00D14BA1"/>
    <w:rsid w:val="00D14BB9"/>
    <w:rsid w:val="00D14D03"/>
    <w:rsid w:val="00D14D33"/>
    <w:rsid w:val="00D150AC"/>
    <w:rsid w:val="00D152F1"/>
    <w:rsid w:val="00D15314"/>
    <w:rsid w:val="00D1532F"/>
    <w:rsid w:val="00D15788"/>
    <w:rsid w:val="00D164F6"/>
    <w:rsid w:val="00D169EE"/>
    <w:rsid w:val="00D17BDD"/>
    <w:rsid w:val="00D17D58"/>
    <w:rsid w:val="00D17D6C"/>
    <w:rsid w:val="00D17F38"/>
    <w:rsid w:val="00D201E4"/>
    <w:rsid w:val="00D20D7E"/>
    <w:rsid w:val="00D20DA9"/>
    <w:rsid w:val="00D20DF8"/>
    <w:rsid w:val="00D20E64"/>
    <w:rsid w:val="00D2119F"/>
    <w:rsid w:val="00D212BA"/>
    <w:rsid w:val="00D2155B"/>
    <w:rsid w:val="00D21879"/>
    <w:rsid w:val="00D21A42"/>
    <w:rsid w:val="00D21A68"/>
    <w:rsid w:val="00D21A7B"/>
    <w:rsid w:val="00D2237A"/>
    <w:rsid w:val="00D229EE"/>
    <w:rsid w:val="00D23294"/>
    <w:rsid w:val="00D2355A"/>
    <w:rsid w:val="00D23D11"/>
    <w:rsid w:val="00D244B6"/>
    <w:rsid w:val="00D24639"/>
    <w:rsid w:val="00D24965"/>
    <w:rsid w:val="00D25004"/>
    <w:rsid w:val="00D25B35"/>
    <w:rsid w:val="00D25DA7"/>
    <w:rsid w:val="00D2600D"/>
    <w:rsid w:val="00D2680A"/>
    <w:rsid w:val="00D269F6"/>
    <w:rsid w:val="00D26CC4"/>
    <w:rsid w:val="00D26D23"/>
    <w:rsid w:val="00D26FD2"/>
    <w:rsid w:val="00D2712A"/>
    <w:rsid w:val="00D2754D"/>
    <w:rsid w:val="00D279A6"/>
    <w:rsid w:val="00D27AFD"/>
    <w:rsid w:val="00D27B27"/>
    <w:rsid w:val="00D27FC5"/>
    <w:rsid w:val="00D305DF"/>
    <w:rsid w:val="00D308C9"/>
    <w:rsid w:val="00D309AD"/>
    <w:rsid w:val="00D30CBA"/>
    <w:rsid w:val="00D30F80"/>
    <w:rsid w:val="00D3193A"/>
    <w:rsid w:val="00D31FD0"/>
    <w:rsid w:val="00D32129"/>
    <w:rsid w:val="00D32173"/>
    <w:rsid w:val="00D3227C"/>
    <w:rsid w:val="00D325A6"/>
    <w:rsid w:val="00D32964"/>
    <w:rsid w:val="00D3307D"/>
    <w:rsid w:val="00D33368"/>
    <w:rsid w:val="00D338D2"/>
    <w:rsid w:val="00D3399A"/>
    <w:rsid w:val="00D33B44"/>
    <w:rsid w:val="00D33BE9"/>
    <w:rsid w:val="00D33C8C"/>
    <w:rsid w:val="00D33F93"/>
    <w:rsid w:val="00D34161"/>
    <w:rsid w:val="00D3515E"/>
    <w:rsid w:val="00D351E2"/>
    <w:rsid w:val="00D3558E"/>
    <w:rsid w:val="00D357FF"/>
    <w:rsid w:val="00D35845"/>
    <w:rsid w:val="00D35871"/>
    <w:rsid w:val="00D35EF9"/>
    <w:rsid w:val="00D3617D"/>
    <w:rsid w:val="00D36225"/>
    <w:rsid w:val="00D36245"/>
    <w:rsid w:val="00D362C0"/>
    <w:rsid w:val="00D36307"/>
    <w:rsid w:val="00D363BE"/>
    <w:rsid w:val="00D365BC"/>
    <w:rsid w:val="00D36A1B"/>
    <w:rsid w:val="00D36B0C"/>
    <w:rsid w:val="00D36FCD"/>
    <w:rsid w:val="00D3716D"/>
    <w:rsid w:val="00D376BF"/>
    <w:rsid w:val="00D37980"/>
    <w:rsid w:val="00D37A17"/>
    <w:rsid w:val="00D37ABA"/>
    <w:rsid w:val="00D40021"/>
    <w:rsid w:val="00D40234"/>
    <w:rsid w:val="00D402FE"/>
    <w:rsid w:val="00D404E1"/>
    <w:rsid w:val="00D418B0"/>
    <w:rsid w:val="00D41B46"/>
    <w:rsid w:val="00D41CFD"/>
    <w:rsid w:val="00D42027"/>
    <w:rsid w:val="00D42219"/>
    <w:rsid w:val="00D424C7"/>
    <w:rsid w:val="00D425D5"/>
    <w:rsid w:val="00D4275B"/>
    <w:rsid w:val="00D42CC9"/>
    <w:rsid w:val="00D42F5A"/>
    <w:rsid w:val="00D435BE"/>
    <w:rsid w:val="00D43A6B"/>
    <w:rsid w:val="00D43ACB"/>
    <w:rsid w:val="00D43B2A"/>
    <w:rsid w:val="00D43CA8"/>
    <w:rsid w:val="00D43D55"/>
    <w:rsid w:val="00D43D83"/>
    <w:rsid w:val="00D44291"/>
    <w:rsid w:val="00D4481D"/>
    <w:rsid w:val="00D44FFC"/>
    <w:rsid w:val="00D4545F"/>
    <w:rsid w:val="00D455E6"/>
    <w:rsid w:val="00D45AC4"/>
    <w:rsid w:val="00D45E85"/>
    <w:rsid w:val="00D4612A"/>
    <w:rsid w:val="00D4667C"/>
    <w:rsid w:val="00D46855"/>
    <w:rsid w:val="00D46B6D"/>
    <w:rsid w:val="00D46C90"/>
    <w:rsid w:val="00D46EE7"/>
    <w:rsid w:val="00D4709F"/>
    <w:rsid w:val="00D4714C"/>
    <w:rsid w:val="00D471BB"/>
    <w:rsid w:val="00D47575"/>
    <w:rsid w:val="00D47AAA"/>
    <w:rsid w:val="00D47D04"/>
    <w:rsid w:val="00D47E30"/>
    <w:rsid w:val="00D50568"/>
    <w:rsid w:val="00D505F0"/>
    <w:rsid w:val="00D50758"/>
    <w:rsid w:val="00D50F61"/>
    <w:rsid w:val="00D515AE"/>
    <w:rsid w:val="00D5198A"/>
    <w:rsid w:val="00D51E3F"/>
    <w:rsid w:val="00D5243B"/>
    <w:rsid w:val="00D529A2"/>
    <w:rsid w:val="00D52AC9"/>
    <w:rsid w:val="00D52D47"/>
    <w:rsid w:val="00D52EC2"/>
    <w:rsid w:val="00D531E3"/>
    <w:rsid w:val="00D533EC"/>
    <w:rsid w:val="00D53A2B"/>
    <w:rsid w:val="00D53A67"/>
    <w:rsid w:val="00D53C43"/>
    <w:rsid w:val="00D5411C"/>
    <w:rsid w:val="00D541D7"/>
    <w:rsid w:val="00D543B8"/>
    <w:rsid w:val="00D55199"/>
    <w:rsid w:val="00D5542A"/>
    <w:rsid w:val="00D55A6A"/>
    <w:rsid w:val="00D55AE0"/>
    <w:rsid w:val="00D55AEA"/>
    <w:rsid w:val="00D55B1B"/>
    <w:rsid w:val="00D55EF1"/>
    <w:rsid w:val="00D56A95"/>
    <w:rsid w:val="00D56AE3"/>
    <w:rsid w:val="00D56E1B"/>
    <w:rsid w:val="00D576CF"/>
    <w:rsid w:val="00D57D51"/>
    <w:rsid w:val="00D602B7"/>
    <w:rsid w:val="00D60ACA"/>
    <w:rsid w:val="00D60B0B"/>
    <w:rsid w:val="00D60B99"/>
    <w:rsid w:val="00D6134D"/>
    <w:rsid w:val="00D616F6"/>
    <w:rsid w:val="00D61896"/>
    <w:rsid w:val="00D61966"/>
    <w:rsid w:val="00D61D00"/>
    <w:rsid w:val="00D62797"/>
    <w:rsid w:val="00D628A4"/>
    <w:rsid w:val="00D62994"/>
    <w:rsid w:val="00D62D06"/>
    <w:rsid w:val="00D63B25"/>
    <w:rsid w:val="00D64006"/>
    <w:rsid w:val="00D6425A"/>
    <w:rsid w:val="00D64BC1"/>
    <w:rsid w:val="00D651BF"/>
    <w:rsid w:val="00D65266"/>
    <w:rsid w:val="00D6595A"/>
    <w:rsid w:val="00D66676"/>
    <w:rsid w:val="00D66907"/>
    <w:rsid w:val="00D66BD0"/>
    <w:rsid w:val="00D6735F"/>
    <w:rsid w:val="00D679C0"/>
    <w:rsid w:val="00D67AAF"/>
    <w:rsid w:val="00D67CDB"/>
    <w:rsid w:val="00D70323"/>
    <w:rsid w:val="00D70449"/>
    <w:rsid w:val="00D70C5C"/>
    <w:rsid w:val="00D70DAB"/>
    <w:rsid w:val="00D70E52"/>
    <w:rsid w:val="00D70ECD"/>
    <w:rsid w:val="00D70F16"/>
    <w:rsid w:val="00D70FA7"/>
    <w:rsid w:val="00D71D84"/>
    <w:rsid w:val="00D7229C"/>
    <w:rsid w:val="00D725FB"/>
    <w:rsid w:val="00D728C7"/>
    <w:rsid w:val="00D72C97"/>
    <w:rsid w:val="00D72F57"/>
    <w:rsid w:val="00D73901"/>
    <w:rsid w:val="00D7402A"/>
    <w:rsid w:val="00D7428D"/>
    <w:rsid w:val="00D74311"/>
    <w:rsid w:val="00D7459B"/>
    <w:rsid w:val="00D74889"/>
    <w:rsid w:val="00D74B21"/>
    <w:rsid w:val="00D7596A"/>
    <w:rsid w:val="00D75E22"/>
    <w:rsid w:val="00D76A44"/>
    <w:rsid w:val="00D76ABC"/>
    <w:rsid w:val="00D76B9B"/>
    <w:rsid w:val="00D77394"/>
    <w:rsid w:val="00D77AE1"/>
    <w:rsid w:val="00D802B5"/>
    <w:rsid w:val="00D80930"/>
    <w:rsid w:val="00D80E81"/>
    <w:rsid w:val="00D81010"/>
    <w:rsid w:val="00D81108"/>
    <w:rsid w:val="00D8119C"/>
    <w:rsid w:val="00D812CB"/>
    <w:rsid w:val="00D8158A"/>
    <w:rsid w:val="00D815D8"/>
    <w:rsid w:val="00D815EF"/>
    <w:rsid w:val="00D81A95"/>
    <w:rsid w:val="00D81B43"/>
    <w:rsid w:val="00D81C14"/>
    <w:rsid w:val="00D81DD8"/>
    <w:rsid w:val="00D81F26"/>
    <w:rsid w:val="00D8211F"/>
    <w:rsid w:val="00D823E4"/>
    <w:rsid w:val="00D825B0"/>
    <w:rsid w:val="00D8290C"/>
    <w:rsid w:val="00D8351A"/>
    <w:rsid w:val="00D83545"/>
    <w:rsid w:val="00D83627"/>
    <w:rsid w:val="00D83747"/>
    <w:rsid w:val="00D83922"/>
    <w:rsid w:val="00D83A7D"/>
    <w:rsid w:val="00D84319"/>
    <w:rsid w:val="00D849DC"/>
    <w:rsid w:val="00D84ACB"/>
    <w:rsid w:val="00D84CDA"/>
    <w:rsid w:val="00D85425"/>
    <w:rsid w:val="00D8547A"/>
    <w:rsid w:val="00D85546"/>
    <w:rsid w:val="00D85F26"/>
    <w:rsid w:val="00D8614A"/>
    <w:rsid w:val="00D86231"/>
    <w:rsid w:val="00D86277"/>
    <w:rsid w:val="00D86799"/>
    <w:rsid w:val="00D86AAC"/>
    <w:rsid w:val="00D86B61"/>
    <w:rsid w:val="00D86E6A"/>
    <w:rsid w:val="00D86F5C"/>
    <w:rsid w:val="00D87435"/>
    <w:rsid w:val="00D8780F"/>
    <w:rsid w:val="00D87BD4"/>
    <w:rsid w:val="00D87CCF"/>
    <w:rsid w:val="00D87E22"/>
    <w:rsid w:val="00D87E93"/>
    <w:rsid w:val="00D87F4C"/>
    <w:rsid w:val="00D9020B"/>
    <w:rsid w:val="00D90276"/>
    <w:rsid w:val="00D9063C"/>
    <w:rsid w:val="00D91923"/>
    <w:rsid w:val="00D91948"/>
    <w:rsid w:val="00D91FFB"/>
    <w:rsid w:val="00D9233D"/>
    <w:rsid w:val="00D92449"/>
    <w:rsid w:val="00D929DA"/>
    <w:rsid w:val="00D9316B"/>
    <w:rsid w:val="00D9369B"/>
    <w:rsid w:val="00D93753"/>
    <w:rsid w:val="00D939DF"/>
    <w:rsid w:val="00D94A33"/>
    <w:rsid w:val="00D95562"/>
    <w:rsid w:val="00D95859"/>
    <w:rsid w:val="00D95C06"/>
    <w:rsid w:val="00D95C4D"/>
    <w:rsid w:val="00D95C97"/>
    <w:rsid w:val="00D964BA"/>
    <w:rsid w:val="00D96A67"/>
    <w:rsid w:val="00D97AEF"/>
    <w:rsid w:val="00D97EBD"/>
    <w:rsid w:val="00D97F95"/>
    <w:rsid w:val="00DA0167"/>
    <w:rsid w:val="00DA01E8"/>
    <w:rsid w:val="00DA050D"/>
    <w:rsid w:val="00DA067D"/>
    <w:rsid w:val="00DA073F"/>
    <w:rsid w:val="00DA09FB"/>
    <w:rsid w:val="00DA0B02"/>
    <w:rsid w:val="00DA0F2C"/>
    <w:rsid w:val="00DA122B"/>
    <w:rsid w:val="00DA1308"/>
    <w:rsid w:val="00DA134F"/>
    <w:rsid w:val="00DA13B5"/>
    <w:rsid w:val="00DA1E3A"/>
    <w:rsid w:val="00DA22AC"/>
    <w:rsid w:val="00DA26F9"/>
    <w:rsid w:val="00DA27FF"/>
    <w:rsid w:val="00DA28E2"/>
    <w:rsid w:val="00DA2A79"/>
    <w:rsid w:val="00DA2A81"/>
    <w:rsid w:val="00DA3167"/>
    <w:rsid w:val="00DA33F8"/>
    <w:rsid w:val="00DA41D3"/>
    <w:rsid w:val="00DA4BC2"/>
    <w:rsid w:val="00DA4DC3"/>
    <w:rsid w:val="00DA4E2D"/>
    <w:rsid w:val="00DA501D"/>
    <w:rsid w:val="00DA51EB"/>
    <w:rsid w:val="00DA5778"/>
    <w:rsid w:val="00DA5DC4"/>
    <w:rsid w:val="00DA683E"/>
    <w:rsid w:val="00DA6A41"/>
    <w:rsid w:val="00DA71BA"/>
    <w:rsid w:val="00DA738E"/>
    <w:rsid w:val="00DA7661"/>
    <w:rsid w:val="00DA77A5"/>
    <w:rsid w:val="00DA7E0F"/>
    <w:rsid w:val="00DA7FB1"/>
    <w:rsid w:val="00DB0070"/>
    <w:rsid w:val="00DB01D8"/>
    <w:rsid w:val="00DB0244"/>
    <w:rsid w:val="00DB0398"/>
    <w:rsid w:val="00DB069C"/>
    <w:rsid w:val="00DB0C65"/>
    <w:rsid w:val="00DB0F70"/>
    <w:rsid w:val="00DB1095"/>
    <w:rsid w:val="00DB1265"/>
    <w:rsid w:val="00DB14B4"/>
    <w:rsid w:val="00DB2800"/>
    <w:rsid w:val="00DB282C"/>
    <w:rsid w:val="00DB2AE3"/>
    <w:rsid w:val="00DB31A1"/>
    <w:rsid w:val="00DB39B8"/>
    <w:rsid w:val="00DB3C42"/>
    <w:rsid w:val="00DB3C82"/>
    <w:rsid w:val="00DB3DBF"/>
    <w:rsid w:val="00DB420E"/>
    <w:rsid w:val="00DB423B"/>
    <w:rsid w:val="00DB484F"/>
    <w:rsid w:val="00DB486E"/>
    <w:rsid w:val="00DB5609"/>
    <w:rsid w:val="00DB562E"/>
    <w:rsid w:val="00DB5694"/>
    <w:rsid w:val="00DB5779"/>
    <w:rsid w:val="00DB5C23"/>
    <w:rsid w:val="00DB6013"/>
    <w:rsid w:val="00DB6144"/>
    <w:rsid w:val="00DB653D"/>
    <w:rsid w:val="00DB6637"/>
    <w:rsid w:val="00DB6682"/>
    <w:rsid w:val="00DB6C1D"/>
    <w:rsid w:val="00DB6E5A"/>
    <w:rsid w:val="00DB753E"/>
    <w:rsid w:val="00DB7DF4"/>
    <w:rsid w:val="00DC04F6"/>
    <w:rsid w:val="00DC0690"/>
    <w:rsid w:val="00DC070F"/>
    <w:rsid w:val="00DC0F69"/>
    <w:rsid w:val="00DC11F9"/>
    <w:rsid w:val="00DC1472"/>
    <w:rsid w:val="00DC170E"/>
    <w:rsid w:val="00DC1A19"/>
    <w:rsid w:val="00DC1A9E"/>
    <w:rsid w:val="00DC1D65"/>
    <w:rsid w:val="00DC1DF4"/>
    <w:rsid w:val="00DC233B"/>
    <w:rsid w:val="00DC23DC"/>
    <w:rsid w:val="00DC25D6"/>
    <w:rsid w:val="00DC2727"/>
    <w:rsid w:val="00DC2A58"/>
    <w:rsid w:val="00DC2ED9"/>
    <w:rsid w:val="00DC3A49"/>
    <w:rsid w:val="00DC3C09"/>
    <w:rsid w:val="00DC3C57"/>
    <w:rsid w:val="00DC43BA"/>
    <w:rsid w:val="00DC4534"/>
    <w:rsid w:val="00DC47C6"/>
    <w:rsid w:val="00DC5068"/>
    <w:rsid w:val="00DC50B8"/>
    <w:rsid w:val="00DC53A0"/>
    <w:rsid w:val="00DC5501"/>
    <w:rsid w:val="00DC5D82"/>
    <w:rsid w:val="00DC5FA5"/>
    <w:rsid w:val="00DC6D25"/>
    <w:rsid w:val="00DC7154"/>
    <w:rsid w:val="00DC715C"/>
    <w:rsid w:val="00DC718B"/>
    <w:rsid w:val="00DC75FF"/>
    <w:rsid w:val="00DC7AFC"/>
    <w:rsid w:val="00DC7E89"/>
    <w:rsid w:val="00DC7E8A"/>
    <w:rsid w:val="00DD095C"/>
    <w:rsid w:val="00DD0F72"/>
    <w:rsid w:val="00DD0F78"/>
    <w:rsid w:val="00DD104F"/>
    <w:rsid w:val="00DD12A5"/>
    <w:rsid w:val="00DD1435"/>
    <w:rsid w:val="00DD1893"/>
    <w:rsid w:val="00DD18BD"/>
    <w:rsid w:val="00DD1DE1"/>
    <w:rsid w:val="00DD211D"/>
    <w:rsid w:val="00DD212D"/>
    <w:rsid w:val="00DD24D1"/>
    <w:rsid w:val="00DD25AC"/>
    <w:rsid w:val="00DD26F9"/>
    <w:rsid w:val="00DD273C"/>
    <w:rsid w:val="00DD2DB4"/>
    <w:rsid w:val="00DD37CE"/>
    <w:rsid w:val="00DD3D37"/>
    <w:rsid w:val="00DD3D5D"/>
    <w:rsid w:val="00DD3F28"/>
    <w:rsid w:val="00DD44FC"/>
    <w:rsid w:val="00DD4537"/>
    <w:rsid w:val="00DD4590"/>
    <w:rsid w:val="00DD4661"/>
    <w:rsid w:val="00DD4E15"/>
    <w:rsid w:val="00DD4E26"/>
    <w:rsid w:val="00DD5BD6"/>
    <w:rsid w:val="00DD687A"/>
    <w:rsid w:val="00DD72AD"/>
    <w:rsid w:val="00DE015C"/>
    <w:rsid w:val="00DE0188"/>
    <w:rsid w:val="00DE01C8"/>
    <w:rsid w:val="00DE04EE"/>
    <w:rsid w:val="00DE08C5"/>
    <w:rsid w:val="00DE09A7"/>
    <w:rsid w:val="00DE10D7"/>
    <w:rsid w:val="00DE1571"/>
    <w:rsid w:val="00DE183B"/>
    <w:rsid w:val="00DE1975"/>
    <w:rsid w:val="00DE1C21"/>
    <w:rsid w:val="00DE2304"/>
    <w:rsid w:val="00DE23E0"/>
    <w:rsid w:val="00DE2D17"/>
    <w:rsid w:val="00DE2D59"/>
    <w:rsid w:val="00DE2E56"/>
    <w:rsid w:val="00DE3138"/>
    <w:rsid w:val="00DE331E"/>
    <w:rsid w:val="00DE3742"/>
    <w:rsid w:val="00DE3756"/>
    <w:rsid w:val="00DE37F8"/>
    <w:rsid w:val="00DE3D97"/>
    <w:rsid w:val="00DE4975"/>
    <w:rsid w:val="00DE4A89"/>
    <w:rsid w:val="00DE4FCB"/>
    <w:rsid w:val="00DE53F8"/>
    <w:rsid w:val="00DE5929"/>
    <w:rsid w:val="00DE5981"/>
    <w:rsid w:val="00DE59D3"/>
    <w:rsid w:val="00DE5C99"/>
    <w:rsid w:val="00DE5D07"/>
    <w:rsid w:val="00DE5D22"/>
    <w:rsid w:val="00DE5DEB"/>
    <w:rsid w:val="00DE6065"/>
    <w:rsid w:val="00DE61B9"/>
    <w:rsid w:val="00DE6270"/>
    <w:rsid w:val="00DE630D"/>
    <w:rsid w:val="00DE6310"/>
    <w:rsid w:val="00DE6E8A"/>
    <w:rsid w:val="00DE71E9"/>
    <w:rsid w:val="00DE721D"/>
    <w:rsid w:val="00DE72A7"/>
    <w:rsid w:val="00DE7628"/>
    <w:rsid w:val="00DE7832"/>
    <w:rsid w:val="00DE7E73"/>
    <w:rsid w:val="00DF0379"/>
    <w:rsid w:val="00DF0E70"/>
    <w:rsid w:val="00DF1268"/>
    <w:rsid w:val="00DF12B0"/>
    <w:rsid w:val="00DF1797"/>
    <w:rsid w:val="00DF183A"/>
    <w:rsid w:val="00DF18FC"/>
    <w:rsid w:val="00DF2367"/>
    <w:rsid w:val="00DF266F"/>
    <w:rsid w:val="00DF27C5"/>
    <w:rsid w:val="00DF2858"/>
    <w:rsid w:val="00DF39E3"/>
    <w:rsid w:val="00DF3A15"/>
    <w:rsid w:val="00DF3E13"/>
    <w:rsid w:val="00DF45BE"/>
    <w:rsid w:val="00DF47D6"/>
    <w:rsid w:val="00DF540F"/>
    <w:rsid w:val="00DF5512"/>
    <w:rsid w:val="00DF5CA6"/>
    <w:rsid w:val="00DF5D2B"/>
    <w:rsid w:val="00DF5D9E"/>
    <w:rsid w:val="00DF6076"/>
    <w:rsid w:val="00DF6686"/>
    <w:rsid w:val="00DF6AB9"/>
    <w:rsid w:val="00DF7116"/>
    <w:rsid w:val="00DF7ABC"/>
    <w:rsid w:val="00DF7F91"/>
    <w:rsid w:val="00E00203"/>
    <w:rsid w:val="00E0058F"/>
    <w:rsid w:val="00E005A8"/>
    <w:rsid w:val="00E00648"/>
    <w:rsid w:val="00E00E8E"/>
    <w:rsid w:val="00E00FB7"/>
    <w:rsid w:val="00E01080"/>
    <w:rsid w:val="00E017C9"/>
    <w:rsid w:val="00E0185E"/>
    <w:rsid w:val="00E01F43"/>
    <w:rsid w:val="00E02213"/>
    <w:rsid w:val="00E02520"/>
    <w:rsid w:val="00E03022"/>
    <w:rsid w:val="00E030CE"/>
    <w:rsid w:val="00E03B29"/>
    <w:rsid w:val="00E03CB7"/>
    <w:rsid w:val="00E0448E"/>
    <w:rsid w:val="00E05630"/>
    <w:rsid w:val="00E05B07"/>
    <w:rsid w:val="00E05B1E"/>
    <w:rsid w:val="00E060E5"/>
    <w:rsid w:val="00E065BD"/>
    <w:rsid w:val="00E067A8"/>
    <w:rsid w:val="00E06DBB"/>
    <w:rsid w:val="00E06DE1"/>
    <w:rsid w:val="00E07AC6"/>
    <w:rsid w:val="00E10149"/>
    <w:rsid w:val="00E1025C"/>
    <w:rsid w:val="00E10FF8"/>
    <w:rsid w:val="00E11340"/>
    <w:rsid w:val="00E11D7E"/>
    <w:rsid w:val="00E11E06"/>
    <w:rsid w:val="00E122A1"/>
    <w:rsid w:val="00E12417"/>
    <w:rsid w:val="00E1278A"/>
    <w:rsid w:val="00E12F9C"/>
    <w:rsid w:val="00E13177"/>
    <w:rsid w:val="00E131AA"/>
    <w:rsid w:val="00E138E4"/>
    <w:rsid w:val="00E13E04"/>
    <w:rsid w:val="00E141C8"/>
    <w:rsid w:val="00E142E8"/>
    <w:rsid w:val="00E145EA"/>
    <w:rsid w:val="00E1461E"/>
    <w:rsid w:val="00E150A6"/>
    <w:rsid w:val="00E152A8"/>
    <w:rsid w:val="00E153F3"/>
    <w:rsid w:val="00E156D4"/>
    <w:rsid w:val="00E15D19"/>
    <w:rsid w:val="00E160B4"/>
    <w:rsid w:val="00E1624F"/>
    <w:rsid w:val="00E16372"/>
    <w:rsid w:val="00E164CC"/>
    <w:rsid w:val="00E16EEF"/>
    <w:rsid w:val="00E173DB"/>
    <w:rsid w:val="00E17489"/>
    <w:rsid w:val="00E175D3"/>
    <w:rsid w:val="00E176DC"/>
    <w:rsid w:val="00E179FD"/>
    <w:rsid w:val="00E17B5C"/>
    <w:rsid w:val="00E200DD"/>
    <w:rsid w:val="00E20246"/>
    <w:rsid w:val="00E205B2"/>
    <w:rsid w:val="00E20882"/>
    <w:rsid w:val="00E20E4D"/>
    <w:rsid w:val="00E20ED6"/>
    <w:rsid w:val="00E21001"/>
    <w:rsid w:val="00E21358"/>
    <w:rsid w:val="00E21534"/>
    <w:rsid w:val="00E21779"/>
    <w:rsid w:val="00E2190A"/>
    <w:rsid w:val="00E219E1"/>
    <w:rsid w:val="00E21A0C"/>
    <w:rsid w:val="00E22307"/>
    <w:rsid w:val="00E2249B"/>
    <w:rsid w:val="00E22A0D"/>
    <w:rsid w:val="00E22EA6"/>
    <w:rsid w:val="00E22F13"/>
    <w:rsid w:val="00E22FB6"/>
    <w:rsid w:val="00E23317"/>
    <w:rsid w:val="00E24183"/>
    <w:rsid w:val="00E244F6"/>
    <w:rsid w:val="00E24515"/>
    <w:rsid w:val="00E246E4"/>
    <w:rsid w:val="00E2490D"/>
    <w:rsid w:val="00E25022"/>
    <w:rsid w:val="00E25045"/>
    <w:rsid w:val="00E251BC"/>
    <w:rsid w:val="00E254DC"/>
    <w:rsid w:val="00E25752"/>
    <w:rsid w:val="00E25B8F"/>
    <w:rsid w:val="00E26676"/>
    <w:rsid w:val="00E26B2D"/>
    <w:rsid w:val="00E270B0"/>
    <w:rsid w:val="00E271C0"/>
    <w:rsid w:val="00E2766F"/>
    <w:rsid w:val="00E2771E"/>
    <w:rsid w:val="00E27B63"/>
    <w:rsid w:val="00E304E0"/>
    <w:rsid w:val="00E30717"/>
    <w:rsid w:val="00E30F04"/>
    <w:rsid w:val="00E3106C"/>
    <w:rsid w:val="00E311EF"/>
    <w:rsid w:val="00E312D7"/>
    <w:rsid w:val="00E31670"/>
    <w:rsid w:val="00E31A87"/>
    <w:rsid w:val="00E3200F"/>
    <w:rsid w:val="00E32122"/>
    <w:rsid w:val="00E32180"/>
    <w:rsid w:val="00E321D0"/>
    <w:rsid w:val="00E32205"/>
    <w:rsid w:val="00E322A3"/>
    <w:rsid w:val="00E325DF"/>
    <w:rsid w:val="00E34211"/>
    <w:rsid w:val="00E344E6"/>
    <w:rsid w:val="00E34647"/>
    <w:rsid w:val="00E34948"/>
    <w:rsid w:val="00E34B0C"/>
    <w:rsid w:val="00E34D18"/>
    <w:rsid w:val="00E35105"/>
    <w:rsid w:val="00E35307"/>
    <w:rsid w:val="00E3561B"/>
    <w:rsid w:val="00E35EAB"/>
    <w:rsid w:val="00E362DF"/>
    <w:rsid w:val="00E363A3"/>
    <w:rsid w:val="00E36507"/>
    <w:rsid w:val="00E36680"/>
    <w:rsid w:val="00E36ECF"/>
    <w:rsid w:val="00E37277"/>
    <w:rsid w:val="00E37569"/>
    <w:rsid w:val="00E37603"/>
    <w:rsid w:val="00E379A9"/>
    <w:rsid w:val="00E37D34"/>
    <w:rsid w:val="00E401B2"/>
    <w:rsid w:val="00E40505"/>
    <w:rsid w:val="00E40760"/>
    <w:rsid w:val="00E4093C"/>
    <w:rsid w:val="00E40A0E"/>
    <w:rsid w:val="00E410B8"/>
    <w:rsid w:val="00E414CF"/>
    <w:rsid w:val="00E41902"/>
    <w:rsid w:val="00E41A86"/>
    <w:rsid w:val="00E41DC5"/>
    <w:rsid w:val="00E41E30"/>
    <w:rsid w:val="00E42161"/>
    <w:rsid w:val="00E427E7"/>
    <w:rsid w:val="00E42946"/>
    <w:rsid w:val="00E42C0D"/>
    <w:rsid w:val="00E42F73"/>
    <w:rsid w:val="00E43001"/>
    <w:rsid w:val="00E4361E"/>
    <w:rsid w:val="00E43D70"/>
    <w:rsid w:val="00E43F08"/>
    <w:rsid w:val="00E441F4"/>
    <w:rsid w:val="00E44583"/>
    <w:rsid w:val="00E4483E"/>
    <w:rsid w:val="00E44CD4"/>
    <w:rsid w:val="00E44EAA"/>
    <w:rsid w:val="00E44F8A"/>
    <w:rsid w:val="00E4514A"/>
    <w:rsid w:val="00E45313"/>
    <w:rsid w:val="00E45320"/>
    <w:rsid w:val="00E4533D"/>
    <w:rsid w:val="00E45827"/>
    <w:rsid w:val="00E461E4"/>
    <w:rsid w:val="00E4636D"/>
    <w:rsid w:val="00E466F3"/>
    <w:rsid w:val="00E4710E"/>
    <w:rsid w:val="00E47287"/>
    <w:rsid w:val="00E476DF"/>
    <w:rsid w:val="00E47750"/>
    <w:rsid w:val="00E47B2C"/>
    <w:rsid w:val="00E508CE"/>
    <w:rsid w:val="00E50F3F"/>
    <w:rsid w:val="00E51560"/>
    <w:rsid w:val="00E53623"/>
    <w:rsid w:val="00E53FC8"/>
    <w:rsid w:val="00E5424B"/>
    <w:rsid w:val="00E54347"/>
    <w:rsid w:val="00E54CED"/>
    <w:rsid w:val="00E54D5C"/>
    <w:rsid w:val="00E54EE8"/>
    <w:rsid w:val="00E550F8"/>
    <w:rsid w:val="00E55424"/>
    <w:rsid w:val="00E55675"/>
    <w:rsid w:val="00E55915"/>
    <w:rsid w:val="00E55A7B"/>
    <w:rsid w:val="00E55BB5"/>
    <w:rsid w:val="00E55E72"/>
    <w:rsid w:val="00E56ED1"/>
    <w:rsid w:val="00E578E3"/>
    <w:rsid w:val="00E57A02"/>
    <w:rsid w:val="00E57F1E"/>
    <w:rsid w:val="00E60337"/>
    <w:rsid w:val="00E6033C"/>
    <w:rsid w:val="00E60444"/>
    <w:rsid w:val="00E60A00"/>
    <w:rsid w:val="00E60B80"/>
    <w:rsid w:val="00E60D6B"/>
    <w:rsid w:val="00E61112"/>
    <w:rsid w:val="00E62280"/>
    <w:rsid w:val="00E62667"/>
    <w:rsid w:val="00E6271B"/>
    <w:rsid w:val="00E62AC1"/>
    <w:rsid w:val="00E62D6E"/>
    <w:rsid w:val="00E634BE"/>
    <w:rsid w:val="00E63527"/>
    <w:rsid w:val="00E63645"/>
    <w:rsid w:val="00E64374"/>
    <w:rsid w:val="00E644EB"/>
    <w:rsid w:val="00E64788"/>
    <w:rsid w:val="00E64BA1"/>
    <w:rsid w:val="00E64F1C"/>
    <w:rsid w:val="00E650DA"/>
    <w:rsid w:val="00E65E79"/>
    <w:rsid w:val="00E66316"/>
    <w:rsid w:val="00E667EC"/>
    <w:rsid w:val="00E66BA2"/>
    <w:rsid w:val="00E67098"/>
    <w:rsid w:val="00E671DE"/>
    <w:rsid w:val="00E67416"/>
    <w:rsid w:val="00E67A47"/>
    <w:rsid w:val="00E67BE6"/>
    <w:rsid w:val="00E67C08"/>
    <w:rsid w:val="00E704A6"/>
    <w:rsid w:val="00E70684"/>
    <w:rsid w:val="00E70904"/>
    <w:rsid w:val="00E71377"/>
    <w:rsid w:val="00E718B6"/>
    <w:rsid w:val="00E719E5"/>
    <w:rsid w:val="00E71DC6"/>
    <w:rsid w:val="00E71DCE"/>
    <w:rsid w:val="00E723BA"/>
    <w:rsid w:val="00E72D58"/>
    <w:rsid w:val="00E72D9F"/>
    <w:rsid w:val="00E7355E"/>
    <w:rsid w:val="00E73581"/>
    <w:rsid w:val="00E73C87"/>
    <w:rsid w:val="00E7407B"/>
    <w:rsid w:val="00E740FB"/>
    <w:rsid w:val="00E744D0"/>
    <w:rsid w:val="00E74A36"/>
    <w:rsid w:val="00E74DD2"/>
    <w:rsid w:val="00E754AA"/>
    <w:rsid w:val="00E755C3"/>
    <w:rsid w:val="00E761B4"/>
    <w:rsid w:val="00E76225"/>
    <w:rsid w:val="00E766F6"/>
    <w:rsid w:val="00E76A4A"/>
    <w:rsid w:val="00E76C23"/>
    <w:rsid w:val="00E76CDE"/>
    <w:rsid w:val="00E7752A"/>
    <w:rsid w:val="00E77621"/>
    <w:rsid w:val="00E77844"/>
    <w:rsid w:val="00E77874"/>
    <w:rsid w:val="00E77BD4"/>
    <w:rsid w:val="00E77E44"/>
    <w:rsid w:val="00E8069B"/>
    <w:rsid w:val="00E812B6"/>
    <w:rsid w:val="00E8200E"/>
    <w:rsid w:val="00E821B6"/>
    <w:rsid w:val="00E8243E"/>
    <w:rsid w:val="00E82C7E"/>
    <w:rsid w:val="00E833F7"/>
    <w:rsid w:val="00E837BD"/>
    <w:rsid w:val="00E83914"/>
    <w:rsid w:val="00E83BDF"/>
    <w:rsid w:val="00E841F1"/>
    <w:rsid w:val="00E841F8"/>
    <w:rsid w:val="00E84A12"/>
    <w:rsid w:val="00E84D82"/>
    <w:rsid w:val="00E84E31"/>
    <w:rsid w:val="00E85422"/>
    <w:rsid w:val="00E8552A"/>
    <w:rsid w:val="00E85C3C"/>
    <w:rsid w:val="00E85D7D"/>
    <w:rsid w:val="00E864D7"/>
    <w:rsid w:val="00E86675"/>
    <w:rsid w:val="00E86C7F"/>
    <w:rsid w:val="00E86CEC"/>
    <w:rsid w:val="00E8713F"/>
    <w:rsid w:val="00E875A6"/>
    <w:rsid w:val="00E878CC"/>
    <w:rsid w:val="00E87A1D"/>
    <w:rsid w:val="00E87BAD"/>
    <w:rsid w:val="00E87CC4"/>
    <w:rsid w:val="00E87E55"/>
    <w:rsid w:val="00E90013"/>
    <w:rsid w:val="00E9040D"/>
    <w:rsid w:val="00E90920"/>
    <w:rsid w:val="00E9094A"/>
    <w:rsid w:val="00E90BE6"/>
    <w:rsid w:val="00E90F9A"/>
    <w:rsid w:val="00E914F9"/>
    <w:rsid w:val="00E91517"/>
    <w:rsid w:val="00E91D35"/>
    <w:rsid w:val="00E91DD8"/>
    <w:rsid w:val="00E91F72"/>
    <w:rsid w:val="00E92507"/>
    <w:rsid w:val="00E926A5"/>
    <w:rsid w:val="00E92ADE"/>
    <w:rsid w:val="00E933CD"/>
    <w:rsid w:val="00E939CE"/>
    <w:rsid w:val="00E93AEF"/>
    <w:rsid w:val="00E93DCC"/>
    <w:rsid w:val="00E93E4F"/>
    <w:rsid w:val="00E93FD0"/>
    <w:rsid w:val="00E94040"/>
    <w:rsid w:val="00E942C4"/>
    <w:rsid w:val="00E94415"/>
    <w:rsid w:val="00E954FA"/>
    <w:rsid w:val="00E957B5"/>
    <w:rsid w:val="00E95EE6"/>
    <w:rsid w:val="00E961CF"/>
    <w:rsid w:val="00E962A9"/>
    <w:rsid w:val="00E963D0"/>
    <w:rsid w:val="00E96E33"/>
    <w:rsid w:val="00E96FA0"/>
    <w:rsid w:val="00E974AC"/>
    <w:rsid w:val="00E97B50"/>
    <w:rsid w:val="00E97F18"/>
    <w:rsid w:val="00EA023E"/>
    <w:rsid w:val="00EA024E"/>
    <w:rsid w:val="00EA0286"/>
    <w:rsid w:val="00EA1592"/>
    <w:rsid w:val="00EA17C3"/>
    <w:rsid w:val="00EA1A54"/>
    <w:rsid w:val="00EA2311"/>
    <w:rsid w:val="00EA25EF"/>
    <w:rsid w:val="00EA2CAA"/>
    <w:rsid w:val="00EA345B"/>
    <w:rsid w:val="00EA3864"/>
    <w:rsid w:val="00EA3A9C"/>
    <w:rsid w:val="00EA3AE9"/>
    <w:rsid w:val="00EA3E36"/>
    <w:rsid w:val="00EA4006"/>
    <w:rsid w:val="00EA48DB"/>
    <w:rsid w:val="00EA4ACD"/>
    <w:rsid w:val="00EA5650"/>
    <w:rsid w:val="00EA5EEF"/>
    <w:rsid w:val="00EA6601"/>
    <w:rsid w:val="00EA66FF"/>
    <w:rsid w:val="00EA6800"/>
    <w:rsid w:val="00EA7403"/>
    <w:rsid w:val="00EA7F1C"/>
    <w:rsid w:val="00EB0059"/>
    <w:rsid w:val="00EB0B2A"/>
    <w:rsid w:val="00EB0F84"/>
    <w:rsid w:val="00EB14E0"/>
    <w:rsid w:val="00EB15B6"/>
    <w:rsid w:val="00EB17B7"/>
    <w:rsid w:val="00EB1EA9"/>
    <w:rsid w:val="00EB2206"/>
    <w:rsid w:val="00EB2E3A"/>
    <w:rsid w:val="00EB3023"/>
    <w:rsid w:val="00EB3085"/>
    <w:rsid w:val="00EB3229"/>
    <w:rsid w:val="00EB35A6"/>
    <w:rsid w:val="00EB3700"/>
    <w:rsid w:val="00EB3D06"/>
    <w:rsid w:val="00EB42B8"/>
    <w:rsid w:val="00EB4525"/>
    <w:rsid w:val="00EB470A"/>
    <w:rsid w:val="00EB4916"/>
    <w:rsid w:val="00EB4AFD"/>
    <w:rsid w:val="00EB4E26"/>
    <w:rsid w:val="00EB4FC9"/>
    <w:rsid w:val="00EB5034"/>
    <w:rsid w:val="00EB5498"/>
    <w:rsid w:val="00EB5A3A"/>
    <w:rsid w:val="00EB5D42"/>
    <w:rsid w:val="00EB5D44"/>
    <w:rsid w:val="00EB5DDE"/>
    <w:rsid w:val="00EB5DE8"/>
    <w:rsid w:val="00EB6512"/>
    <w:rsid w:val="00EB68A8"/>
    <w:rsid w:val="00EB6999"/>
    <w:rsid w:val="00EB6D24"/>
    <w:rsid w:val="00EB6D6C"/>
    <w:rsid w:val="00EB6DD2"/>
    <w:rsid w:val="00EB6EC0"/>
    <w:rsid w:val="00EB6F06"/>
    <w:rsid w:val="00EB7495"/>
    <w:rsid w:val="00EB76EF"/>
    <w:rsid w:val="00EB78E7"/>
    <w:rsid w:val="00EC0006"/>
    <w:rsid w:val="00EC00C9"/>
    <w:rsid w:val="00EC0109"/>
    <w:rsid w:val="00EC0DD9"/>
    <w:rsid w:val="00EC0E00"/>
    <w:rsid w:val="00EC1260"/>
    <w:rsid w:val="00EC13C1"/>
    <w:rsid w:val="00EC1980"/>
    <w:rsid w:val="00EC2014"/>
    <w:rsid w:val="00EC2489"/>
    <w:rsid w:val="00EC2649"/>
    <w:rsid w:val="00EC2B81"/>
    <w:rsid w:val="00EC2EA6"/>
    <w:rsid w:val="00EC30B3"/>
    <w:rsid w:val="00EC31ED"/>
    <w:rsid w:val="00EC332A"/>
    <w:rsid w:val="00EC37BD"/>
    <w:rsid w:val="00EC4048"/>
    <w:rsid w:val="00EC4150"/>
    <w:rsid w:val="00EC4238"/>
    <w:rsid w:val="00EC44D2"/>
    <w:rsid w:val="00EC4817"/>
    <w:rsid w:val="00EC4843"/>
    <w:rsid w:val="00EC4DC6"/>
    <w:rsid w:val="00EC5410"/>
    <w:rsid w:val="00EC542C"/>
    <w:rsid w:val="00EC5610"/>
    <w:rsid w:val="00EC5836"/>
    <w:rsid w:val="00EC60BD"/>
    <w:rsid w:val="00EC611A"/>
    <w:rsid w:val="00EC613B"/>
    <w:rsid w:val="00EC62D4"/>
    <w:rsid w:val="00EC6693"/>
    <w:rsid w:val="00EC6699"/>
    <w:rsid w:val="00EC684B"/>
    <w:rsid w:val="00EC688C"/>
    <w:rsid w:val="00EC6ADB"/>
    <w:rsid w:val="00EC71C3"/>
    <w:rsid w:val="00EC7464"/>
    <w:rsid w:val="00EC7480"/>
    <w:rsid w:val="00EC74D4"/>
    <w:rsid w:val="00EC7637"/>
    <w:rsid w:val="00EC7942"/>
    <w:rsid w:val="00EC7CFD"/>
    <w:rsid w:val="00ED03E6"/>
    <w:rsid w:val="00ED0661"/>
    <w:rsid w:val="00ED0791"/>
    <w:rsid w:val="00ED0B6D"/>
    <w:rsid w:val="00ED0B92"/>
    <w:rsid w:val="00ED0F53"/>
    <w:rsid w:val="00ED0FFF"/>
    <w:rsid w:val="00ED123F"/>
    <w:rsid w:val="00ED126B"/>
    <w:rsid w:val="00ED1805"/>
    <w:rsid w:val="00ED1BB3"/>
    <w:rsid w:val="00ED1C18"/>
    <w:rsid w:val="00ED1CB1"/>
    <w:rsid w:val="00ED223F"/>
    <w:rsid w:val="00ED299F"/>
    <w:rsid w:val="00ED2A9F"/>
    <w:rsid w:val="00ED32BA"/>
    <w:rsid w:val="00ED3409"/>
    <w:rsid w:val="00ED3486"/>
    <w:rsid w:val="00ED3EDC"/>
    <w:rsid w:val="00ED3F59"/>
    <w:rsid w:val="00ED41EB"/>
    <w:rsid w:val="00ED45BE"/>
    <w:rsid w:val="00ED4C3E"/>
    <w:rsid w:val="00ED520B"/>
    <w:rsid w:val="00ED5716"/>
    <w:rsid w:val="00ED57EA"/>
    <w:rsid w:val="00ED589F"/>
    <w:rsid w:val="00ED5ACC"/>
    <w:rsid w:val="00ED5BD4"/>
    <w:rsid w:val="00ED5CBB"/>
    <w:rsid w:val="00ED5D1D"/>
    <w:rsid w:val="00ED5DBE"/>
    <w:rsid w:val="00ED60F8"/>
    <w:rsid w:val="00ED6575"/>
    <w:rsid w:val="00ED6FC8"/>
    <w:rsid w:val="00ED7492"/>
    <w:rsid w:val="00ED7BBA"/>
    <w:rsid w:val="00ED7FC9"/>
    <w:rsid w:val="00EE01A2"/>
    <w:rsid w:val="00EE0535"/>
    <w:rsid w:val="00EE0566"/>
    <w:rsid w:val="00EE07D3"/>
    <w:rsid w:val="00EE086E"/>
    <w:rsid w:val="00EE0DB4"/>
    <w:rsid w:val="00EE1040"/>
    <w:rsid w:val="00EE1352"/>
    <w:rsid w:val="00EE182B"/>
    <w:rsid w:val="00EE1996"/>
    <w:rsid w:val="00EE1A24"/>
    <w:rsid w:val="00EE1C01"/>
    <w:rsid w:val="00EE22AF"/>
    <w:rsid w:val="00EE25A6"/>
    <w:rsid w:val="00EE2629"/>
    <w:rsid w:val="00EE2817"/>
    <w:rsid w:val="00EE2EEB"/>
    <w:rsid w:val="00EE2F87"/>
    <w:rsid w:val="00EE32CC"/>
    <w:rsid w:val="00EE341C"/>
    <w:rsid w:val="00EE3BEE"/>
    <w:rsid w:val="00EE3E91"/>
    <w:rsid w:val="00EE3FC3"/>
    <w:rsid w:val="00EE4398"/>
    <w:rsid w:val="00EE4BDA"/>
    <w:rsid w:val="00EE5090"/>
    <w:rsid w:val="00EE565E"/>
    <w:rsid w:val="00EE571F"/>
    <w:rsid w:val="00EE5D91"/>
    <w:rsid w:val="00EE5F35"/>
    <w:rsid w:val="00EE6238"/>
    <w:rsid w:val="00EE640F"/>
    <w:rsid w:val="00EE65EF"/>
    <w:rsid w:val="00EE700D"/>
    <w:rsid w:val="00EE7309"/>
    <w:rsid w:val="00EE7722"/>
    <w:rsid w:val="00EE7794"/>
    <w:rsid w:val="00EE79D2"/>
    <w:rsid w:val="00EE7EFF"/>
    <w:rsid w:val="00EF003C"/>
    <w:rsid w:val="00EF0090"/>
    <w:rsid w:val="00EF0171"/>
    <w:rsid w:val="00EF03A3"/>
    <w:rsid w:val="00EF0466"/>
    <w:rsid w:val="00EF0FA0"/>
    <w:rsid w:val="00EF1982"/>
    <w:rsid w:val="00EF1B25"/>
    <w:rsid w:val="00EF1BA0"/>
    <w:rsid w:val="00EF1DA0"/>
    <w:rsid w:val="00EF2CF4"/>
    <w:rsid w:val="00EF2EF4"/>
    <w:rsid w:val="00EF3551"/>
    <w:rsid w:val="00EF3943"/>
    <w:rsid w:val="00EF3A5E"/>
    <w:rsid w:val="00EF3A81"/>
    <w:rsid w:val="00EF3B27"/>
    <w:rsid w:val="00EF3C98"/>
    <w:rsid w:val="00EF4747"/>
    <w:rsid w:val="00EF4B1B"/>
    <w:rsid w:val="00EF4BBF"/>
    <w:rsid w:val="00EF4BF8"/>
    <w:rsid w:val="00EF4E42"/>
    <w:rsid w:val="00EF50A8"/>
    <w:rsid w:val="00EF56E6"/>
    <w:rsid w:val="00EF63C5"/>
    <w:rsid w:val="00EF6AAE"/>
    <w:rsid w:val="00EF6C18"/>
    <w:rsid w:val="00EF7350"/>
    <w:rsid w:val="00EF744F"/>
    <w:rsid w:val="00EF76B1"/>
    <w:rsid w:val="00EF7E13"/>
    <w:rsid w:val="00F00616"/>
    <w:rsid w:val="00F00883"/>
    <w:rsid w:val="00F00992"/>
    <w:rsid w:val="00F01075"/>
    <w:rsid w:val="00F01B05"/>
    <w:rsid w:val="00F01BB9"/>
    <w:rsid w:val="00F02011"/>
    <w:rsid w:val="00F02253"/>
    <w:rsid w:val="00F029D3"/>
    <w:rsid w:val="00F02AC5"/>
    <w:rsid w:val="00F02F37"/>
    <w:rsid w:val="00F0320F"/>
    <w:rsid w:val="00F033AF"/>
    <w:rsid w:val="00F03C2E"/>
    <w:rsid w:val="00F0414C"/>
    <w:rsid w:val="00F04A66"/>
    <w:rsid w:val="00F04A75"/>
    <w:rsid w:val="00F04B4B"/>
    <w:rsid w:val="00F04E09"/>
    <w:rsid w:val="00F0516C"/>
    <w:rsid w:val="00F054D3"/>
    <w:rsid w:val="00F0557F"/>
    <w:rsid w:val="00F056EA"/>
    <w:rsid w:val="00F05C4E"/>
    <w:rsid w:val="00F05F75"/>
    <w:rsid w:val="00F062E8"/>
    <w:rsid w:val="00F067A2"/>
    <w:rsid w:val="00F06CC2"/>
    <w:rsid w:val="00F074AF"/>
    <w:rsid w:val="00F0798D"/>
    <w:rsid w:val="00F07B9E"/>
    <w:rsid w:val="00F07E35"/>
    <w:rsid w:val="00F10E9F"/>
    <w:rsid w:val="00F1116F"/>
    <w:rsid w:val="00F11421"/>
    <w:rsid w:val="00F1178D"/>
    <w:rsid w:val="00F11DCC"/>
    <w:rsid w:val="00F11EC2"/>
    <w:rsid w:val="00F123D2"/>
    <w:rsid w:val="00F1263A"/>
    <w:rsid w:val="00F12D0A"/>
    <w:rsid w:val="00F12FF2"/>
    <w:rsid w:val="00F1308B"/>
    <w:rsid w:val="00F1323B"/>
    <w:rsid w:val="00F1375A"/>
    <w:rsid w:val="00F13760"/>
    <w:rsid w:val="00F13DB5"/>
    <w:rsid w:val="00F14047"/>
    <w:rsid w:val="00F145C4"/>
    <w:rsid w:val="00F1482B"/>
    <w:rsid w:val="00F1491F"/>
    <w:rsid w:val="00F151CB"/>
    <w:rsid w:val="00F15B77"/>
    <w:rsid w:val="00F1644E"/>
    <w:rsid w:val="00F168BE"/>
    <w:rsid w:val="00F16B92"/>
    <w:rsid w:val="00F16E65"/>
    <w:rsid w:val="00F171CA"/>
    <w:rsid w:val="00F175E8"/>
    <w:rsid w:val="00F177DB"/>
    <w:rsid w:val="00F17994"/>
    <w:rsid w:val="00F17C2A"/>
    <w:rsid w:val="00F2036A"/>
    <w:rsid w:val="00F20502"/>
    <w:rsid w:val="00F20886"/>
    <w:rsid w:val="00F20FCD"/>
    <w:rsid w:val="00F21723"/>
    <w:rsid w:val="00F2194D"/>
    <w:rsid w:val="00F21C3A"/>
    <w:rsid w:val="00F221D9"/>
    <w:rsid w:val="00F22249"/>
    <w:rsid w:val="00F22277"/>
    <w:rsid w:val="00F22403"/>
    <w:rsid w:val="00F22CAF"/>
    <w:rsid w:val="00F22D7D"/>
    <w:rsid w:val="00F2335A"/>
    <w:rsid w:val="00F2377B"/>
    <w:rsid w:val="00F23D3F"/>
    <w:rsid w:val="00F23DE2"/>
    <w:rsid w:val="00F24837"/>
    <w:rsid w:val="00F24DAB"/>
    <w:rsid w:val="00F2575F"/>
    <w:rsid w:val="00F25E5F"/>
    <w:rsid w:val="00F25FC3"/>
    <w:rsid w:val="00F262BA"/>
    <w:rsid w:val="00F269A5"/>
    <w:rsid w:val="00F26B80"/>
    <w:rsid w:val="00F26D3A"/>
    <w:rsid w:val="00F27565"/>
    <w:rsid w:val="00F27D0D"/>
    <w:rsid w:val="00F30470"/>
    <w:rsid w:val="00F310D4"/>
    <w:rsid w:val="00F31303"/>
    <w:rsid w:val="00F31584"/>
    <w:rsid w:val="00F31955"/>
    <w:rsid w:val="00F319E3"/>
    <w:rsid w:val="00F31CCA"/>
    <w:rsid w:val="00F31D5A"/>
    <w:rsid w:val="00F31DD7"/>
    <w:rsid w:val="00F32397"/>
    <w:rsid w:val="00F3256B"/>
    <w:rsid w:val="00F32864"/>
    <w:rsid w:val="00F33037"/>
    <w:rsid w:val="00F33188"/>
    <w:rsid w:val="00F331F0"/>
    <w:rsid w:val="00F33517"/>
    <w:rsid w:val="00F33975"/>
    <w:rsid w:val="00F33A17"/>
    <w:rsid w:val="00F33DE9"/>
    <w:rsid w:val="00F35683"/>
    <w:rsid w:val="00F35765"/>
    <w:rsid w:val="00F35A1C"/>
    <w:rsid w:val="00F35A2B"/>
    <w:rsid w:val="00F35E6D"/>
    <w:rsid w:val="00F3619A"/>
    <w:rsid w:val="00F3714B"/>
    <w:rsid w:val="00F373A3"/>
    <w:rsid w:val="00F3756A"/>
    <w:rsid w:val="00F37890"/>
    <w:rsid w:val="00F379CD"/>
    <w:rsid w:val="00F37B03"/>
    <w:rsid w:val="00F37B5B"/>
    <w:rsid w:val="00F37C25"/>
    <w:rsid w:val="00F37D74"/>
    <w:rsid w:val="00F4014E"/>
    <w:rsid w:val="00F405C1"/>
    <w:rsid w:val="00F4076C"/>
    <w:rsid w:val="00F409B6"/>
    <w:rsid w:val="00F40AAA"/>
    <w:rsid w:val="00F40B43"/>
    <w:rsid w:val="00F40BA7"/>
    <w:rsid w:val="00F40F34"/>
    <w:rsid w:val="00F40F9D"/>
    <w:rsid w:val="00F40FEC"/>
    <w:rsid w:val="00F41301"/>
    <w:rsid w:val="00F41ACD"/>
    <w:rsid w:val="00F423A4"/>
    <w:rsid w:val="00F42676"/>
    <w:rsid w:val="00F42D62"/>
    <w:rsid w:val="00F42FBA"/>
    <w:rsid w:val="00F430DC"/>
    <w:rsid w:val="00F43245"/>
    <w:rsid w:val="00F43A8C"/>
    <w:rsid w:val="00F43B0F"/>
    <w:rsid w:val="00F440BC"/>
    <w:rsid w:val="00F44D82"/>
    <w:rsid w:val="00F44EC8"/>
    <w:rsid w:val="00F4560D"/>
    <w:rsid w:val="00F45D83"/>
    <w:rsid w:val="00F45F95"/>
    <w:rsid w:val="00F46048"/>
    <w:rsid w:val="00F46525"/>
    <w:rsid w:val="00F46982"/>
    <w:rsid w:val="00F46CB6"/>
    <w:rsid w:val="00F46E41"/>
    <w:rsid w:val="00F4756D"/>
    <w:rsid w:val="00F47ADA"/>
    <w:rsid w:val="00F47DE8"/>
    <w:rsid w:val="00F50122"/>
    <w:rsid w:val="00F506D8"/>
    <w:rsid w:val="00F5077E"/>
    <w:rsid w:val="00F50908"/>
    <w:rsid w:val="00F50A78"/>
    <w:rsid w:val="00F50D01"/>
    <w:rsid w:val="00F51172"/>
    <w:rsid w:val="00F51C91"/>
    <w:rsid w:val="00F524FE"/>
    <w:rsid w:val="00F52AD5"/>
    <w:rsid w:val="00F52D0E"/>
    <w:rsid w:val="00F53224"/>
    <w:rsid w:val="00F53EF1"/>
    <w:rsid w:val="00F542C1"/>
    <w:rsid w:val="00F54456"/>
    <w:rsid w:val="00F54512"/>
    <w:rsid w:val="00F551DE"/>
    <w:rsid w:val="00F55306"/>
    <w:rsid w:val="00F555C8"/>
    <w:rsid w:val="00F55E73"/>
    <w:rsid w:val="00F55EDA"/>
    <w:rsid w:val="00F55FE6"/>
    <w:rsid w:val="00F566AC"/>
    <w:rsid w:val="00F56C80"/>
    <w:rsid w:val="00F571F9"/>
    <w:rsid w:val="00F57C82"/>
    <w:rsid w:val="00F60092"/>
    <w:rsid w:val="00F6020C"/>
    <w:rsid w:val="00F60AC3"/>
    <w:rsid w:val="00F61B19"/>
    <w:rsid w:val="00F61C18"/>
    <w:rsid w:val="00F620E2"/>
    <w:rsid w:val="00F6324B"/>
    <w:rsid w:val="00F63425"/>
    <w:rsid w:val="00F637FE"/>
    <w:rsid w:val="00F63911"/>
    <w:rsid w:val="00F63BE4"/>
    <w:rsid w:val="00F644C7"/>
    <w:rsid w:val="00F64564"/>
    <w:rsid w:val="00F65A9C"/>
    <w:rsid w:val="00F65F4B"/>
    <w:rsid w:val="00F66546"/>
    <w:rsid w:val="00F66653"/>
    <w:rsid w:val="00F6682D"/>
    <w:rsid w:val="00F6686C"/>
    <w:rsid w:val="00F669BB"/>
    <w:rsid w:val="00F66CBF"/>
    <w:rsid w:val="00F66DE4"/>
    <w:rsid w:val="00F66EE0"/>
    <w:rsid w:val="00F66FA0"/>
    <w:rsid w:val="00F677DF"/>
    <w:rsid w:val="00F67849"/>
    <w:rsid w:val="00F678D1"/>
    <w:rsid w:val="00F67A69"/>
    <w:rsid w:val="00F67BF2"/>
    <w:rsid w:val="00F70441"/>
    <w:rsid w:val="00F70AB4"/>
    <w:rsid w:val="00F70BFF"/>
    <w:rsid w:val="00F70C9D"/>
    <w:rsid w:val="00F71814"/>
    <w:rsid w:val="00F71A4E"/>
    <w:rsid w:val="00F71E06"/>
    <w:rsid w:val="00F721D7"/>
    <w:rsid w:val="00F72397"/>
    <w:rsid w:val="00F72AE0"/>
    <w:rsid w:val="00F72B81"/>
    <w:rsid w:val="00F72BBC"/>
    <w:rsid w:val="00F738EB"/>
    <w:rsid w:val="00F739F7"/>
    <w:rsid w:val="00F73C30"/>
    <w:rsid w:val="00F741B3"/>
    <w:rsid w:val="00F74301"/>
    <w:rsid w:val="00F74A23"/>
    <w:rsid w:val="00F74CD9"/>
    <w:rsid w:val="00F74CF5"/>
    <w:rsid w:val="00F74D08"/>
    <w:rsid w:val="00F75886"/>
    <w:rsid w:val="00F75C0D"/>
    <w:rsid w:val="00F76B08"/>
    <w:rsid w:val="00F76B26"/>
    <w:rsid w:val="00F76EAA"/>
    <w:rsid w:val="00F77173"/>
    <w:rsid w:val="00F77426"/>
    <w:rsid w:val="00F775DA"/>
    <w:rsid w:val="00F77D29"/>
    <w:rsid w:val="00F80142"/>
    <w:rsid w:val="00F80864"/>
    <w:rsid w:val="00F8095A"/>
    <w:rsid w:val="00F80A7B"/>
    <w:rsid w:val="00F80BD2"/>
    <w:rsid w:val="00F80E5D"/>
    <w:rsid w:val="00F80F9B"/>
    <w:rsid w:val="00F81240"/>
    <w:rsid w:val="00F81A1B"/>
    <w:rsid w:val="00F81AB6"/>
    <w:rsid w:val="00F81C98"/>
    <w:rsid w:val="00F81E78"/>
    <w:rsid w:val="00F82360"/>
    <w:rsid w:val="00F8288A"/>
    <w:rsid w:val="00F82C51"/>
    <w:rsid w:val="00F831B6"/>
    <w:rsid w:val="00F8360F"/>
    <w:rsid w:val="00F83799"/>
    <w:rsid w:val="00F8382F"/>
    <w:rsid w:val="00F8391D"/>
    <w:rsid w:val="00F8421F"/>
    <w:rsid w:val="00F845D5"/>
    <w:rsid w:val="00F850D1"/>
    <w:rsid w:val="00F851CE"/>
    <w:rsid w:val="00F851DE"/>
    <w:rsid w:val="00F8567F"/>
    <w:rsid w:val="00F857A8"/>
    <w:rsid w:val="00F85C15"/>
    <w:rsid w:val="00F86360"/>
    <w:rsid w:val="00F8641C"/>
    <w:rsid w:val="00F8645E"/>
    <w:rsid w:val="00F864C3"/>
    <w:rsid w:val="00F8674F"/>
    <w:rsid w:val="00F87328"/>
    <w:rsid w:val="00F87574"/>
    <w:rsid w:val="00F87C3B"/>
    <w:rsid w:val="00F900ED"/>
    <w:rsid w:val="00F9013E"/>
    <w:rsid w:val="00F901EF"/>
    <w:rsid w:val="00F91219"/>
    <w:rsid w:val="00F91C89"/>
    <w:rsid w:val="00F91DE6"/>
    <w:rsid w:val="00F92444"/>
    <w:rsid w:val="00F92C14"/>
    <w:rsid w:val="00F92C5D"/>
    <w:rsid w:val="00F92CF6"/>
    <w:rsid w:val="00F93834"/>
    <w:rsid w:val="00F9393E"/>
    <w:rsid w:val="00F93F4C"/>
    <w:rsid w:val="00F9429A"/>
    <w:rsid w:val="00F9455F"/>
    <w:rsid w:val="00F94A55"/>
    <w:rsid w:val="00F94AEC"/>
    <w:rsid w:val="00F94CCB"/>
    <w:rsid w:val="00F95A29"/>
    <w:rsid w:val="00F95C0F"/>
    <w:rsid w:val="00F960FE"/>
    <w:rsid w:val="00F961A5"/>
    <w:rsid w:val="00F96235"/>
    <w:rsid w:val="00F966A8"/>
    <w:rsid w:val="00F969B7"/>
    <w:rsid w:val="00F96D98"/>
    <w:rsid w:val="00F96FD0"/>
    <w:rsid w:val="00F97401"/>
    <w:rsid w:val="00F97782"/>
    <w:rsid w:val="00F97A78"/>
    <w:rsid w:val="00F97D31"/>
    <w:rsid w:val="00FA0129"/>
    <w:rsid w:val="00FA06CF"/>
    <w:rsid w:val="00FA0B20"/>
    <w:rsid w:val="00FA0C9C"/>
    <w:rsid w:val="00FA1031"/>
    <w:rsid w:val="00FA1239"/>
    <w:rsid w:val="00FA13C9"/>
    <w:rsid w:val="00FA1898"/>
    <w:rsid w:val="00FA1A48"/>
    <w:rsid w:val="00FA1C71"/>
    <w:rsid w:val="00FA24E7"/>
    <w:rsid w:val="00FA3A73"/>
    <w:rsid w:val="00FA3CB6"/>
    <w:rsid w:val="00FA3D02"/>
    <w:rsid w:val="00FA42A9"/>
    <w:rsid w:val="00FA5197"/>
    <w:rsid w:val="00FA5244"/>
    <w:rsid w:val="00FA553D"/>
    <w:rsid w:val="00FA565E"/>
    <w:rsid w:val="00FA5A16"/>
    <w:rsid w:val="00FA5EE6"/>
    <w:rsid w:val="00FA60D3"/>
    <w:rsid w:val="00FA613D"/>
    <w:rsid w:val="00FA6DA1"/>
    <w:rsid w:val="00FA7956"/>
    <w:rsid w:val="00FA7A9A"/>
    <w:rsid w:val="00FB081D"/>
    <w:rsid w:val="00FB087A"/>
    <w:rsid w:val="00FB0F80"/>
    <w:rsid w:val="00FB0F97"/>
    <w:rsid w:val="00FB185E"/>
    <w:rsid w:val="00FB2674"/>
    <w:rsid w:val="00FB2FAB"/>
    <w:rsid w:val="00FB2FCB"/>
    <w:rsid w:val="00FB309A"/>
    <w:rsid w:val="00FB34D1"/>
    <w:rsid w:val="00FB3CED"/>
    <w:rsid w:val="00FB3CFB"/>
    <w:rsid w:val="00FB4681"/>
    <w:rsid w:val="00FB52F1"/>
    <w:rsid w:val="00FB5330"/>
    <w:rsid w:val="00FB57EE"/>
    <w:rsid w:val="00FB5BCD"/>
    <w:rsid w:val="00FB6105"/>
    <w:rsid w:val="00FB6BFB"/>
    <w:rsid w:val="00FB71E3"/>
    <w:rsid w:val="00FB7765"/>
    <w:rsid w:val="00FB7C55"/>
    <w:rsid w:val="00FB7D65"/>
    <w:rsid w:val="00FC0499"/>
    <w:rsid w:val="00FC0D29"/>
    <w:rsid w:val="00FC1029"/>
    <w:rsid w:val="00FC1074"/>
    <w:rsid w:val="00FC1884"/>
    <w:rsid w:val="00FC197C"/>
    <w:rsid w:val="00FC1D26"/>
    <w:rsid w:val="00FC2251"/>
    <w:rsid w:val="00FC2754"/>
    <w:rsid w:val="00FC27EC"/>
    <w:rsid w:val="00FC2D0D"/>
    <w:rsid w:val="00FC30A6"/>
    <w:rsid w:val="00FC35E7"/>
    <w:rsid w:val="00FC371D"/>
    <w:rsid w:val="00FC3848"/>
    <w:rsid w:val="00FC38FD"/>
    <w:rsid w:val="00FC3EBD"/>
    <w:rsid w:val="00FC4D0C"/>
    <w:rsid w:val="00FC5111"/>
    <w:rsid w:val="00FC5F0B"/>
    <w:rsid w:val="00FC6126"/>
    <w:rsid w:val="00FC6453"/>
    <w:rsid w:val="00FC679C"/>
    <w:rsid w:val="00FC680A"/>
    <w:rsid w:val="00FC6D36"/>
    <w:rsid w:val="00FC7203"/>
    <w:rsid w:val="00FD0203"/>
    <w:rsid w:val="00FD0501"/>
    <w:rsid w:val="00FD0877"/>
    <w:rsid w:val="00FD1279"/>
    <w:rsid w:val="00FD127A"/>
    <w:rsid w:val="00FD1312"/>
    <w:rsid w:val="00FD1847"/>
    <w:rsid w:val="00FD2100"/>
    <w:rsid w:val="00FD2134"/>
    <w:rsid w:val="00FD2D82"/>
    <w:rsid w:val="00FD2E88"/>
    <w:rsid w:val="00FD31FD"/>
    <w:rsid w:val="00FD3276"/>
    <w:rsid w:val="00FD346B"/>
    <w:rsid w:val="00FD3C8A"/>
    <w:rsid w:val="00FD41D4"/>
    <w:rsid w:val="00FD436C"/>
    <w:rsid w:val="00FD446D"/>
    <w:rsid w:val="00FD4862"/>
    <w:rsid w:val="00FD4D94"/>
    <w:rsid w:val="00FD4F0A"/>
    <w:rsid w:val="00FD4F2C"/>
    <w:rsid w:val="00FD5132"/>
    <w:rsid w:val="00FD54F1"/>
    <w:rsid w:val="00FD5632"/>
    <w:rsid w:val="00FD57E3"/>
    <w:rsid w:val="00FD6394"/>
    <w:rsid w:val="00FD7025"/>
    <w:rsid w:val="00FD7863"/>
    <w:rsid w:val="00FE08CB"/>
    <w:rsid w:val="00FE0A99"/>
    <w:rsid w:val="00FE0E6C"/>
    <w:rsid w:val="00FE11FD"/>
    <w:rsid w:val="00FE1229"/>
    <w:rsid w:val="00FE1337"/>
    <w:rsid w:val="00FE1542"/>
    <w:rsid w:val="00FE15C1"/>
    <w:rsid w:val="00FE1CDC"/>
    <w:rsid w:val="00FE24F4"/>
    <w:rsid w:val="00FE2FA8"/>
    <w:rsid w:val="00FE3CF6"/>
    <w:rsid w:val="00FE4019"/>
    <w:rsid w:val="00FE4269"/>
    <w:rsid w:val="00FE4556"/>
    <w:rsid w:val="00FE4638"/>
    <w:rsid w:val="00FE46C1"/>
    <w:rsid w:val="00FE4C50"/>
    <w:rsid w:val="00FE650E"/>
    <w:rsid w:val="00FE687A"/>
    <w:rsid w:val="00FE6998"/>
    <w:rsid w:val="00FE6A21"/>
    <w:rsid w:val="00FE6B3A"/>
    <w:rsid w:val="00FE70C3"/>
    <w:rsid w:val="00FE7419"/>
    <w:rsid w:val="00FE77F5"/>
    <w:rsid w:val="00FE7890"/>
    <w:rsid w:val="00FE7920"/>
    <w:rsid w:val="00FE7D0F"/>
    <w:rsid w:val="00FE7EAB"/>
    <w:rsid w:val="00FF01DE"/>
    <w:rsid w:val="00FF034C"/>
    <w:rsid w:val="00FF1225"/>
    <w:rsid w:val="00FF173E"/>
    <w:rsid w:val="00FF227F"/>
    <w:rsid w:val="00FF2626"/>
    <w:rsid w:val="00FF28ED"/>
    <w:rsid w:val="00FF2AD9"/>
    <w:rsid w:val="00FF2CD0"/>
    <w:rsid w:val="00FF359F"/>
    <w:rsid w:val="00FF3A6C"/>
    <w:rsid w:val="00FF3DCF"/>
    <w:rsid w:val="00FF4270"/>
    <w:rsid w:val="00FF432D"/>
    <w:rsid w:val="00FF492C"/>
    <w:rsid w:val="00FF4A21"/>
    <w:rsid w:val="00FF4BA7"/>
    <w:rsid w:val="00FF51BA"/>
    <w:rsid w:val="00FF5AA3"/>
    <w:rsid w:val="00FF5AD8"/>
    <w:rsid w:val="00FF5C56"/>
    <w:rsid w:val="00FF5D46"/>
    <w:rsid w:val="00FF62DE"/>
    <w:rsid w:val="00FF6642"/>
    <w:rsid w:val="00FF6C75"/>
    <w:rsid w:val="00FF6F76"/>
    <w:rsid w:val="00FF6FB9"/>
    <w:rsid w:val="00FF7117"/>
    <w:rsid w:val="00FF7F39"/>
  </w:rsids>
  <m:mathPr>
    <m:mathFont m:val="Cambria Math"/>
    <m:brkBin m:val="before"/>
    <m:brkBinSub m:val="--"/>
    <m:smallFrac m:val="0"/>
    <m:dispDef/>
    <m:lMargin m:val="0"/>
    <m:rMargin m:val="0"/>
    <m:defJc m:val="centerGroup"/>
    <m:wrapIndent m:val="1440"/>
    <m:intLim m:val="subSup"/>
    <m:naryLim m:val="undOvr"/>
  </m:mathPr>
  <w:themeFontLang w:val="en-AU"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5409"/>
    <o:shapelayout v:ext="edit">
      <o:idmap v:ext="edit" data="1"/>
    </o:shapelayout>
  </w:shapeDefaults>
  <w:decimalSymbol w:val="."/>
  <w:listSeparator w:val=","/>
  <w14:docId w14:val="21829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iPriority="99" w:unhideWhenUsed="1" w:qFormat="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2129"/>
    <w:pPr>
      <w:jc w:val="both"/>
    </w:pPr>
    <w:rPr>
      <w:rFonts w:ascii="Calibri" w:hAnsi="Calibri" w:cs="Arial"/>
      <w:sz w:val="24"/>
      <w:szCs w:val="24"/>
    </w:rPr>
  </w:style>
  <w:style w:type="paragraph" w:styleId="Heading1">
    <w:name w:val="heading 1"/>
    <w:basedOn w:val="Normal"/>
    <w:next w:val="Normal"/>
    <w:link w:val="Heading1Char"/>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link w:val="Heading3Char"/>
    <w:rsid w:val="001F7361"/>
    <w:pPr>
      <w:outlineLvl w:val="2"/>
    </w:pPr>
    <w:rPr>
      <w:u w:val="single"/>
    </w:rPr>
  </w:style>
  <w:style w:type="paragraph" w:styleId="Heading4">
    <w:name w:val="heading 4"/>
    <w:basedOn w:val="Normal"/>
    <w:next w:val="Normal"/>
    <w:link w:val="Heading4Char"/>
    <w:rsid w:val="00124A51"/>
    <w:pPr>
      <w:keepNext/>
      <w:spacing w:before="240" w:after="60"/>
      <w:outlineLvl w:val="3"/>
    </w:pPr>
    <w:rPr>
      <w:b/>
      <w:bCs/>
      <w:i/>
      <w:sz w:val="26"/>
      <w:szCs w:val="28"/>
    </w:rPr>
  </w:style>
  <w:style w:type="paragraph" w:styleId="Heading5">
    <w:name w:val="heading 5"/>
    <w:basedOn w:val="Normal"/>
    <w:next w:val="Normal"/>
    <w:link w:val="Heading5Char"/>
    <w:rsid w:val="00124A51"/>
    <w:pPr>
      <w:spacing w:before="240" w:after="60"/>
      <w:outlineLvl w:val="4"/>
    </w:pPr>
    <w:rPr>
      <w:b/>
      <w:bCs/>
      <w:iCs/>
      <w:sz w:val="26"/>
      <w:szCs w:val="26"/>
    </w:rPr>
  </w:style>
  <w:style w:type="paragraph" w:styleId="Heading6">
    <w:name w:val="heading 6"/>
    <w:basedOn w:val="Normal"/>
    <w:next w:val="Normal"/>
    <w:link w:val="Heading6Char"/>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uiPriority w:val="7"/>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Char1 Char,Caption Char Char Char,Caption Table...,Caption Table,Caption Char1 + 8 pt,Not B....,...,Caption Char1,IB Caption,Medical Caption,Caption Char Char Char Char Char,Caption Char Char,Caption Char Char Char Char1,Figure caption"/>
    <w:basedOn w:val="Normal"/>
    <w:next w:val="Normal"/>
    <w:link w:val="CaptionChar"/>
    <w:uiPriority w:val="35"/>
    <w:unhideWhenUsed/>
    <w:qFormat/>
    <w:rsid w:val="00124A51"/>
    <w:pPr>
      <w:spacing w:after="200"/>
    </w:pPr>
    <w:rPr>
      <w:b/>
      <w:bCs/>
      <w:color w:val="4F81BD" w:themeColor="accent1"/>
      <w:sz w:val="18"/>
      <w:szCs w:val="18"/>
    </w:rPr>
  </w:style>
  <w:style w:type="character" w:customStyle="1" w:styleId="CaptionChar">
    <w:name w:val="Caption Char"/>
    <w:aliases w:val="Caption Char1 Char Char,Caption Char Char Char Char,Caption Table... Char,Caption Table Char,Caption Char1 + 8 pt Char,Not B.... Char,... Char,Caption Char1 Char1,IB Caption Char,Medical Caption Char,Caption Char Char Char Char Char Char"/>
    <w:link w:val="Caption"/>
    <w:uiPriority w:val="35"/>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Figure_name,Numbered Indented Text,Bullet- First level,List NUmber,Listenabsatz1,lp1,Style 2"/>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Figure_name Char,Numbered Indented Text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uiPriority w:val="99"/>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PBAC table,Header Table,NICE instructions,Source table_,new style,MSD Table Grid"/>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uiPriority w:val="2"/>
    <w:qFormat/>
    <w:rsid w:val="00A518F3"/>
    <w:pPr>
      <w:jc w:val="left"/>
    </w:pPr>
    <w:rPr>
      <w:rFonts w:ascii="Arial Narrow" w:hAnsi="Arial Narrow" w:cs="Times New Roman"/>
      <w:snapToGrid w:val="0"/>
      <w:sz w:val="20"/>
    </w:rPr>
  </w:style>
  <w:style w:type="character" w:customStyle="1" w:styleId="TabletextChar">
    <w:name w:val="Table text Char"/>
    <w:link w:val="Tabletext"/>
    <w:uiPriority w:val="2"/>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ED0B92"/>
    <w:pPr>
      <w:tabs>
        <w:tab w:val="left" w:pos="713"/>
        <w:tab w:val="left" w:pos="880"/>
        <w:tab w:val="right" w:leader="dot" w:pos="9016"/>
      </w:tabs>
      <w:spacing w:before="40"/>
      <w:jc w:val="left"/>
    </w:pPr>
    <w:rPr>
      <w:iCs/>
      <w:sz w:val="20"/>
    </w:rPr>
  </w:style>
  <w:style w:type="paragraph" w:styleId="TOC1">
    <w:name w:val="toc 1"/>
    <w:basedOn w:val="Normal"/>
    <w:next w:val="Normal"/>
    <w:autoRedefine/>
    <w:uiPriority w:val="39"/>
    <w:rsid w:val="004867A8"/>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qFormat/>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qFormat/>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iPriority w:val="99"/>
    <w:unhideWhenUsed/>
    <w:rsid w:val="00EE1996"/>
    <w:p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character" w:customStyle="1" w:styleId="SmallBold">
    <w:name w:val="Small Bold"/>
    <w:basedOn w:val="DefaultParagraphFont"/>
    <w:uiPriority w:val="4"/>
    <w:qFormat/>
    <w:rsid w:val="00D21879"/>
    <w:rPr>
      <w:rFonts w:ascii="Calibri" w:hAnsi="Calibri"/>
      <w:b/>
      <w:sz w:val="20"/>
      <w:lang w:val="en-AU"/>
    </w:rPr>
  </w:style>
  <w:style w:type="paragraph" w:customStyle="1" w:styleId="TableCentre">
    <w:name w:val="Table Centre"/>
    <w:basedOn w:val="Normal"/>
    <w:uiPriority w:val="99"/>
    <w:qFormat/>
    <w:rsid w:val="00D21879"/>
    <w:pPr>
      <w:jc w:val="center"/>
    </w:pPr>
    <w:rPr>
      <w:rFonts w:eastAsiaTheme="majorEastAsia" w:cstheme="majorBidi"/>
      <w:sz w:val="20"/>
      <w:szCs w:val="22"/>
      <w:lang w:eastAsia="en-US" w:bidi="en-US"/>
    </w:rPr>
  </w:style>
  <w:style w:type="paragraph" w:customStyle="1" w:styleId="TableLeft">
    <w:name w:val="Table Left"/>
    <w:basedOn w:val="Normal"/>
    <w:link w:val="TableLeftChar"/>
    <w:uiPriority w:val="99"/>
    <w:qFormat/>
    <w:rsid w:val="00D21879"/>
    <w:pPr>
      <w:jc w:val="left"/>
    </w:pPr>
    <w:rPr>
      <w:rFonts w:cs="Times New Roman"/>
      <w:sz w:val="20"/>
      <w:szCs w:val="22"/>
      <w:lang w:eastAsia="en-US"/>
    </w:rPr>
  </w:style>
  <w:style w:type="character" w:customStyle="1" w:styleId="TableLeftChar">
    <w:name w:val="Table Left Char"/>
    <w:basedOn w:val="DefaultParagraphFont"/>
    <w:link w:val="TableLeft"/>
    <w:uiPriority w:val="99"/>
    <w:locked/>
    <w:rsid w:val="00D21879"/>
    <w:rPr>
      <w:rFonts w:ascii="Calibri" w:hAnsi="Calibri"/>
      <w:szCs w:val="22"/>
      <w:lang w:eastAsia="en-US"/>
    </w:rPr>
  </w:style>
  <w:style w:type="table" w:customStyle="1" w:styleId="TableGridLight11">
    <w:name w:val="Table Grid Light11"/>
    <w:basedOn w:val="TableNormal"/>
    <w:uiPriority w:val="40"/>
    <w:rsid w:val="00C8292C"/>
    <w:rPr>
      <w:rFonts w:asciiTheme="minorHAnsi" w:eastAsiaTheme="minorHAnsi" w:hAnsiTheme="minorHAnsi" w:cstheme="minorBidi"/>
      <w:sz w:val="22"/>
      <w:szCs w:val="22"/>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tblPr/>
      <w:tcPr>
        <w:shd w:val="clear" w:color="auto" w:fill="F2F2F2" w:themeFill="background1" w:themeFillShade="F2"/>
      </w:tcPr>
    </w:tblStylePr>
  </w:style>
  <w:style w:type="paragraph" w:customStyle="1" w:styleId="TableNotes">
    <w:name w:val="TableNotes"/>
    <w:basedOn w:val="Normal"/>
    <w:link w:val="TableNotesChar"/>
    <w:qFormat/>
    <w:rsid w:val="00A331BE"/>
    <w:rPr>
      <w:rFonts w:asciiTheme="minorHAnsi" w:hAnsiTheme="minorHAnsi" w:cs="Times New Roman"/>
      <w:sz w:val="16"/>
      <w:lang w:eastAsia="en-GB"/>
    </w:rPr>
  </w:style>
  <w:style w:type="character" w:customStyle="1" w:styleId="TableNotesChar">
    <w:name w:val="TableNotes Char"/>
    <w:basedOn w:val="DefaultParagraphFont"/>
    <w:link w:val="TableNotes"/>
    <w:rsid w:val="00A331BE"/>
    <w:rPr>
      <w:rFonts w:asciiTheme="minorHAnsi" w:hAnsiTheme="minorHAnsi"/>
      <w:sz w:val="16"/>
      <w:szCs w:val="24"/>
      <w:lang w:eastAsia="en-GB"/>
    </w:rPr>
  </w:style>
  <w:style w:type="character" w:customStyle="1" w:styleId="normaltextrun">
    <w:name w:val="normaltextrun"/>
    <w:basedOn w:val="DefaultParagraphFont"/>
    <w:rsid w:val="00E20882"/>
  </w:style>
  <w:style w:type="character" w:customStyle="1" w:styleId="eop">
    <w:name w:val="eop"/>
    <w:basedOn w:val="DefaultParagraphFont"/>
    <w:rsid w:val="00E20882"/>
  </w:style>
  <w:style w:type="paragraph" w:customStyle="1" w:styleId="TableText1">
    <w:name w:val="TableText"/>
    <w:basedOn w:val="Normal"/>
    <w:link w:val="TableTextChar1"/>
    <w:qFormat/>
    <w:rsid w:val="006E1BBC"/>
    <w:pPr>
      <w:widowControl w:val="0"/>
      <w:spacing w:before="60" w:after="60"/>
    </w:pPr>
    <w:rPr>
      <w:rFonts w:asciiTheme="minorHAnsi" w:hAnsiTheme="minorHAnsi" w:cs="Times New Roman"/>
      <w:color w:val="000000"/>
      <w:sz w:val="18"/>
      <w:szCs w:val="21"/>
    </w:rPr>
  </w:style>
  <w:style w:type="character" w:customStyle="1" w:styleId="TableTextChar1">
    <w:name w:val="TableText Char"/>
    <w:basedOn w:val="DefaultParagraphFont"/>
    <w:link w:val="TableText1"/>
    <w:rsid w:val="006E1BBC"/>
    <w:rPr>
      <w:rFonts w:asciiTheme="minorHAnsi" w:hAnsiTheme="minorHAnsi"/>
      <w:color w:val="000000"/>
      <w:sz w:val="18"/>
      <w:szCs w:val="21"/>
    </w:rPr>
  </w:style>
  <w:style w:type="paragraph" w:customStyle="1" w:styleId="TableNotesLast">
    <w:name w:val="TableNotesLast"/>
    <w:basedOn w:val="TableNotes"/>
    <w:qFormat/>
    <w:rsid w:val="008210EC"/>
    <w:pPr>
      <w:numPr>
        <w:numId w:val="7"/>
      </w:numPr>
      <w:spacing w:after="120"/>
      <w:ind w:left="357" w:hanging="357"/>
    </w:pPr>
  </w:style>
  <w:style w:type="table" w:customStyle="1" w:styleId="TableGridLight1">
    <w:name w:val="Table Grid Light1"/>
    <w:basedOn w:val="TableNormal"/>
    <w:uiPriority w:val="40"/>
    <w:rsid w:val="00B0287F"/>
    <w:rPr>
      <w:rFonts w:asciiTheme="minorHAnsi" w:eastAsiaTheme="minorHAnsi" w:hAnsiTheme="minorHAnsi" w:cstheme="minorBidi"/>
      <w:sz w:val="22"/>
      <w:szCs w:val="22"/>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tblPr/>
      <w:tcPr>
        <w:shd w:val="clear" w:color="auto" w:fill="F2F2F2" w:themeFill="background1" w:themeFillShade="F2"/>
      </w:tcPr>
    </w:tblStylePr>
  </w:style>
  <w:style w:type="paragraph" w:customStyle="1" w:styleId="Normalbeforebullet">
    <w:name w:val="Normal before bullet"/>
    <w:basedOn w:val="Normal"/>
    <w:qFormat/>
    <w:rsid w:val="006965BC"/>
    <w:pPr>
      <w:widowControl w:val="0"/>
      <w:spacing w:before="120" w:after="240" w:line="360" w:lineRule="auto"/>
    </w:pPr>
    <w:rPr>
      <w:rFonts w:asciiTheme="minorHAnsi" w:hAnsiTheme="minorHAnsi" w:cs="Times New Roman"/>
      <w:sz w:val="22"/>
      <w:lang w:eastAsia="en-GB"/>
    </w:rPr>
  </w:style>
  <w:style w:type="paragraph" w:customStyle="1" w:styleId="OrderedList">
    <w:name w:val="OrderedList"/>
    <w:basedOn w:val="Normal"/>
    <w:qFormat/>
    <w:rsid w:val="00892433"/>
    <w:pPr>
      <w:numPr>
        <w:numId w:val="8"/>
      </w:numPr>
      <w:spacing w:after="120" w:line="360" w:lineRule="auto"/>
      <w:ind w:left="357" w:hanging="357"/>
    </w:pPr>
    <w:rPr>
      <w:rFonts w:asciiTheme="minorHAnsi" w:hAnsiTheme="minorHAnsi" w:cs="Times New Roman"/>
      <w:sz w:val="22"/>
      <w:lang w:eastAsia="en-GB"/>
    </w:rPr>
  </w:style>
  <w:style w:type="paragraph" w:customStyle="1" w:styleId="TableTextLeft">
    <w:name w:val="Table Text Left"/>
    <w:basedOn w:val="Normal"/>
    <w:link w:val="TableTextLeftChar"/>
    <w:qFormat/>
    <w:rsid w:val="00F721D7"/>
    <w:pPr>
      <w:keepNext/>
      <w:spacing w:before="50" w:after="50" w:line="360" w:lineRule="auto"/>
    </w:pPr>
    <w:rPr>
      <w:rFonts w:asciiTheme="minorHAnsi" w:hAnsiTheme="minorHAnsi" w:cs="Times New Roman"/>
      <w:sz w:val="20"/>
      <w:lang w:val="en-US" w:eastAsia="en-GB"/>
    </w:rPr>
  </w:style>
  <w:style w:type="character" w:customStyle="1" w:styleId="TableTextLeftChar">
    <w:name w:val="Table Text Left Char"/>
    <w:basedOn w:val="DefaultParagraphFont"/>
    <w:link w:val="TableTextLeft"/>
    <w:rsid w:val="00F721D7"/>
    <w:rPr>
      <w:rFonts w:asciiTheme="minorHAnsi" w:hAnsiTheme="minorHAnsi"/>
      <w:szCs w:val="24"/>
      <w:lang w:val="en-US" w:eastAsia="en-GB"/>
    </w:rPr>
  </w:style>
  <w:style w:type="table" w:customStyle="1" w:styleId="TableGridLight12">
    <w:name w:val="Table Grid Light12"/>
    <w:basedOn w:val="TableNormal"/>
    <w:uiPriority w:val="40"/>
    <w:rsid w:val="00A62FA6"/>
    <w:rPr>
      <w:rFonts w:asciiTheme="minorHAnsi" w:eastAsiaTheme="minorHAnsi" w:hAnsiTheme="minorHAnsi" w:cstheme="minorBidi"/>
      <w:sz w:val="22"/>
      <w:szCs w:val="22"/>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tblPr/>
      <w:tcPr>
        <w:shd w:val="clear" w:color="auto" w:fill="F2F2F2" w:themeFill="background1" w:themeFillShade="F2"/>
      </w:tcPr>
    </w:tblStylePr>
  </w:style>
  <w:style w:type="table" w:customStyle="1" w:styleId="TableGridLight13">
    <w:name w:val="Table Grid Light13"/>
    <w:basedOn w:val="TableNormal"/>
    <w:uiPriority w:val="40"/>
    <w:rsid w:val="00663108"/>
    <w:rPr>
      <w:rFonts w:asciiTheme="minorHAnsi" w:eastAsiaTheme="minorHAnsi" w:hAnsiTheme="minorHAnsi" w:cstheme="minorBidi"/>
      <w:sz w:val="22"/>
      <w:szCs w:val="22"/>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tblPr/>
      <w:tcPr>
        <w:shd w:val="clear" w:color="auto" w:fill="F2F2F2" w:themeFill="background1" w:themeFillShade="F2"/>
      </w:tcPr>
    </w:tblStylePr>
  </w:style>
  <w:style w:type="paragraph" w:customStyle="1" w:styleId="ListNumberedlvl2">
    <w:name w:val="List Numbered lvl 2"/>
    <w:basedOn w:val="Normal"/>
    <w:qFormat/>
    <w:rsid w:val="00E2490D"/>
    <w:pPr>
      <w:numPr>
        <w:ilvl w:val="1"/>
        <w:numId w:val="9"/>
      </w:numPr>
      <w:spacing w:line="360" w:lineRule="auto"/>
    </w:pPr>
    <w:rPr>
      <w:rFonts w:asciiTheme="minorHAnsi" w:hAnsiTheme="minorHAnsi" w:cs="Times New Roman"/>
      <w:sz w:val="22"/>
      <w:lang w:eastAsia="en-GB"/>
    </w:rPr>
  </w:style>
  <w:style w:type="paragraph" w:customStyle="1" w:styleId="ListNumberedlvl3">
    <w:name w:val="List Numbered lvl 3"/>
    <w:basedOn w:val="Normal"/>
    <w:qFormat/>
    <w:rsid w:val="00E2490D"/>
    <w:pPr>
      <w:numPr>
        <w:ilvl w:val="2"/>
        <w:numId w:val="9"/>
      </w:numPr>
      <w:spacing w:line="360" w:lineRule="auto"/>
    </w:pPr>
    <w:rPr>
      <w:rFonts w:asciiTheme="minorHAnsi" w:hAnsiTheme="minorHAnsi" w:cs="Times New Roman"/>
      <w:sz w:val="22"/>
      <w:lang w:eastAsia="en-GB"/>
    </w:rPr>
  </w:style>
  <w:style w:type="paragraph" w:customStyle="1" w:styleId="ListNumberedlvl4">
    <w:name w:val="List Numbered lvl 4"/>
    <w:basedOn w:val="Normal"/>
    <w:qFormat/>
    <w:rsid w:val="00E2490D"/>
    <w:pPr>
      <w:numPr>
        <w:ilvl w:val="3"/>
        <w:numId w:val="9"/>
      </w:numPr>
      <w:spacing w:line="360" w:lineRule="auto"/>
    </w:pPr>
    <w:rPr>
      <w:rFonts w:asciiTheme="minorHAnsi" w:hAnsiTheme="minorHAnsi" w:cs="Times New Roman"/>
      <w:sz w:val="22"/>
      <w:lang w:eastAsia="en-GB"/>
    </w:rPr>
  </w:style>
  <w:style w:type="paragraph" w:customStyle="1" w:styleId="ListNumberedlvl5">
    <w:name w:val="List Numbered lvl 5"/>
    <w:basedOn w:val="Normal"/>
    <w:qFormat/>
    <w:rsid w:val="00E2490D"/>
    <w:pPr>
      <w:numPr>
        <w:ilvl w:val="4"/>
        <w:numId w:val="9"/>
      </w:numPr>
      <w:spacing w:line="360" w:lineRule="auto"/>
    </w:pPr>
    <w:rPr>
      <w:rFonts w:asciiTheme="minorHAnsi" w:hAnsiTheme="minorHAnsi" w:cs="Times New Roman"/>
      <w:sz w:val="22"/>
      <w:lang w:eastAsia="en-GB"/>
    </w:rPr>
  </w:style>
  <w:style w:type="paragraph" w:customStyle="1" w:styleId="ListNumberedlvl6">
    <w:name w:val="List Numbered lvl 6"/>
    <w:basedOn w:val="Normal"/>
    <w:qFormat/>
    <w:rsid w:val="00E2490D"/>
    <w:pPr>
      <w:numPr>
        <w:ilvl w:val="5"/>
        <w:numId w:val="9"/>
      </w:numPr>
      <w:spacing w:line="360" w:lineRule="auto"/>
    </w:pPr>
    <w:rPr>
      <w:rFonts w:asciiTheme="minorHAnsi" w:hAnsiTheme="minorHAnsi" w:cs="Times New Roman"/>
      <w:sz w:val="22"/>
      <w:lang w:eastAsia="en-GB"/>
    </w:rPr>
  </w:style>
  <w:style w:type="paragraph" w:customStyle="1" w:styleId="ListNumberedlvl7">
    <w:name w:val="List Numbered lvl 7"/>
    <w:basedOn w:val="Normal"/>
    <w:qFormat/>
    <w:rsid w:val="00E2490D"/>
    <w:pPr>
      <w:numPr>
        <w:ilvl w:val="6"/>
        <w:numId w:val="9"/>
      </w:numPr>
      <w:spacing w:line="360" w:lineRule="auto"/>
      <w:ind w:left="357" w:hanging="357"/>
    </w:pPr>
    <w:rPr>
      <w:rFonts w:asciiTheme="minorHAnsi" w:hAnsiTheme="minorHAnsi" w:cs="Times New Roman"/>
      <w:sz w:val="22"/>
      <w:lang w:eastAsia="en-GB"/>
    </w:rPr>
  </w:style>
  <w:style w:type="paragraph" w:customStyle="1" w:styleId="ListNumberedlvl8">
    <w:name w:val="List Numbered lvl 8"/>
    <w:basedOn w:val="Normal"/>
    <w:qFormat/>
    <w:rsid w:val="00E2490D"/>
    <w:pPr>
      <w:numPr>
        <w:ilvl w:val="7"/>
        <w:numId w:val="9"/>
      </w:numPr>
      <w:spacing w:line="360" w:lineRule="auto"/>
    </w:pPr>
    <w:rPr>
      <w:rFonts w:asciiTheme="minorHAnsi" w:hAnsiTheme="minorHAnsi" w:cs="Times New Roman"/>
      <w:sz w:val="22"/>
      <w:lang w:eastAsia="en-GB"/>
    </w:rPr>
  </w:style>
  <w:style w:type="paragraph" w:customStyle="1" w:styleId="ListNumberedlvl9">
    <w:name w:val="List Numbered lvl 9"/>
    <w:basedOn w:val="Normal"/>
    <w:qFormat/>
    <w:rsid w:val="00E2490D"/>
    <w:pPr>
      <w:numPr>
        <w:ilvl w:val="8"/>
        <w:numId w:val="9"/>
      </w:numPr>
      <w:spacing w:line="360" w:lineRule="auto"/>
    </w:pPr>
    <w:rPr>
      <w:rFonts w:asciiTheme="minorHAnsi" w:hAnsiTheme="minorHAnsi" w:cs="Times New Roman"/>
      <w:sz w:val="22"/>
      <w:lang w:eastAsia="en-GB"/>
    </w:rPr>
  </w:style>
  <w:style w:type="character" w:customStyle="1" w:styleId="TablenotesChar0">
    <w:name w:val="Table notes Char"/>
    <w:basedOn w:val="DefaultParagraphFont"/>
    <w:link w:val="Tablenotes1"/>
    <w:locked/>
    <w:rsid w:val="00ED5CBB"/>
    <w:rPr>
      <w:rFonts w:ascii="Trebuchet MS" w:hAnsi="Trebuchet MS"/>
      <w:sz w:val="16"/>
    </w:rPr>
  </w:style>
  <w:style w:type="paragraph" w:customStyle="1" w:styleId="Tablenotes1">
    <w:name w:val="Table notes"/>
    <w:basedOn w:val="Normal"/>
    <w:link w:val="TablenotesChar0"/>
    <w:qFormat/>
    <w:rsid w:val="00ED5CBB"/>
    <w:pPr>
      <w:spacing w:after="240"/>
      <w:contextualSpacing/>
      <w:jc w:val="left"/>
    </w:pPr>
    <w:rPr>
      <w:rFonts w:ascii="Trebuchet MS" w:hAnsi="Trebuchet MS" w:cs="Times New Roman"/>
      <w:sz w:val="16"/>
      <w:szCs w:val="20"/>
    </w:rPr>
  </w:style>
  <w:style w:type="paragraph" w:customStyle="1" w:styleId="Bullet">
    <w:name w:val="Bullet"/>
    <w:basedOn w:val="Normal"/>
    <w:qFormat/>
    <w:rsid w:val="00447874"/>
    <w:pPr>
      <w:numPr>
        <w:numId w:val="10"/>
      </w:numPr>
      <w:spacing w:after="120" w:line="360" w:lineRule="auto"/>
      <w:ind w:left="357" w:hanging="357"/>
    </w:pPr>
    <w:rPr>
      <w:rFonts w:asciiTheme="minorHAnsi" w:hAnsiTheme="minorHAnsi" w:cs="Times New Roman"/>
      <w:sz w:val="22"/>
      <w:lang w:eastAsia="en-GB"/>
    </w:rPr>
  </w:style>
  <w:style w:type="paragraph" w:customStyle="1" w:styleId="TableFigureNote">
    <w:name w:val="Table/Figure Note"/>
    <w:basedOn w:val="Normal"/>
    <w:qFormat/>
    <w:rsid w:val="004A0B52"/>
    <w:pPr>
      <w:spacing w:before="40" w:line="220" w:lineRule="exact"/>
    </w:pPr>
    <w:rPr>
      <w:rFonts w:asciiTheme="minorHAnsi" w:hAnsiTheme="minorHAnsi" w:cs="Times New Roman"/>
      <w:sz w:val="18"/>
      <w:lang w:val="en-US" w:eastAsia="en-GB"/>
    </w:rPr>
  </w:style>
  <w:style w:type="paragraph" w:customStyle="1" w:styleId="EndNoteBibliography">
    <w:name w:val="EndNote Bibliography"/>
    <w:basedOn w:val="Normal"/>
    <w:link w:val="EndNoteBibliographyChar"/>
    <w:rsid w:val="006A5BCC"/>
    <w:rPr>
      <w:rFonts w:cs="Calibri"/>
      <w:noProof/>
      <w:lang w:val="en-US" w:eastAsia="en-GB"/>
    </w:rPr>
  </w:style>
  <w:style w:type="character" w:customStyle="1" w:styleId="EndNoteBibliographyChar">
    <w:name w:val="EndNote Bibliography Char"/>
    <w:basedOn w:val="DefaultParagraphFont"/>
    <w:link w:val="EndNoteBibliography"/>
    <w:rsid w:val="006A5BCC"/>
    <w:rPr>
      <w:rFonts w:ascii="Calibri" w:hAnsi="Calibri" w:cs="Calibri"/>
      <w:noProof/>
      <w:sz w:val="24"/>
      <w:szCs w:val="24"/>
      <w:lang w:val="en-US" w:eastAsia="en-GB"/>
    </w:rPr>
  </w:style>
  <w:style w:type="paragraph" w:customStyle="1" w:styleId="Default">
    <w:name w:val="Default"/>
    <w:rsid w:val="00EC4DC6"/>
    <w:pPr>
      <w:autoSpaceDE w:val="0"/>
      <w:autoSpaceDN w:val="0"/>
      <w:adjustRightInd w:val="0"/>
    </w:pPr>
    <w:rPr>
      <w:rFonts w:ascii="Calibri" w:hAnsi="Calibri" w:cs="Calibri"/>
      <w:color w:val="000000"/>
      <w:sz w:val="24"/>
      <w:szCs w:val="24"/>
    </w:rPr>
  </w:style>
  <w:style w:type="character" w:customStyle="1" w:styleId="Heading1Char">
    <w:name w:val="Heading 1 Char"/>
    <w:basedOn w:val="DefaultParagraphFont"/>
    <w:link w:val="Heading1"/>
    <w:uiPriority w:val="1"/>
    <w:rsid w:val="00EC4048"/>
    <w:rPr>
      <w:rFonts w:ascii="Calibri" w:hAnsi="Calibri" w:cs="Arial"/>
      <w:b/>
      <w:caps/>
      <w:sz w:val="32"/>
      <w:szCs w:val="24"/>
    </w:rPr>
  </w:style>
  <w:style w:type="character" w:customStyle="1" w:styleId="Heading3Char">
    <w:name w:val="Heading 3 Char"/>
    <w:basedOn w:val="DefaultParagraphFont"/>
    <w:link w:val="Heading3"/>
    <w:rsid w:val="00EC4048"/>
    <w:rPr>
      <w:rFonts w:ascii="Calibri" w:hAnsi="Calibri" w:cs="Arial"/>
      <w:sz w:val="24"/>
      <w:szCs w:val="24"/>
      <w:u w:val="single"/>
    </w:rPr>
  </w:style>
  <w:style w:type="character" w:customStyle="1" w:styleId="Heading4Char">
    <w:name w:val="Heading 4 Char"/>
    <w:basedOn w:val="DefaultParagraphFont"/>
    <w:link w:val="Heading4"/>
    <w:rsid w:val="00EC4048"/>
    <w:rPr>
      <w:rFonts w:ascii="Calibri" w:hAnsi="Calibri" w:cs="Arial"/>
      <w:b/>
      <w:bCs/>
      <w:i/>
      <w:sz w:val="26"/>
      <w:szCs w:val="28"/>
    </w:rPr>
  </w:style>
  <w:style w:type="character" w:customStyle="1" w:styleId="Heading5Char">
    <w:name w:val="Heading 5 Char"/>
    <w:basedOn w:val="DefaultParagraphFont"/>
    <w:link w:val="Heading5"/>
    <w:rsid w:val="00EC4048"/>
    <w:rPr>
      <w:rFonts w:ascii="Calibri" w:hAnsi="Calibri" w:cs="Arial"/>
      <w:b/>
      <w:bCs/>
      <w:iCs/>
      <w:sz w:val="26"/>
      <w:szCs w:val="26"/>
    </w:rPr>
  </w:style>
  <w:style w:type="character" w:customStyle="1" w:styleId="Heading6Char">
    <w:name w:val="Heading 6 Char"/>
    <w:basedOn w:val="DefaultParagraphFont"/>
    <w:link w:val="Heading6"/>
    <w:rsid w:val="00EC4048"/>
    <w:rPr>
      <w:rFonts w:ascii="Calibri" w:hAnsi="Calibri" w:cs="Arial"/>
      <w:b/>
      <w:bCs/>
      <w:i/>
      <w:sz w:val="24"/>
      <w:szCs w:val="24"/>
    </w:rPr>
  </w:style>
  <w:style w:type="paragraph" w:styleId="FootnoteText">
    <w:name w:val="footnote text"/>
    <w:basedOn w:val="Normal"/>
    <w:link w:val="FootnoteTextChar"/>
    <w:uiPriority w:val="99"/>
    <w:unhideWhenUsed/>
    <w:rsid w:val="00EC4048"/>
    <w:pPr>
      <w:spacing w:line="360" w:lineRule="auto"/>
    </w:pPr>
    <w:rPr>
      <w:rFonts w:asciiTheme="minorHAnsi" w:hAnsiTheme="minorHAnsi" w:cs="Times New Roman"/>
      <w:sz w:val="20"/>
      <w:szCs w:val="20"/>
      <w:lang w:eastAsia="en-GB"/>
    </w:rPr>
  </w:style>
  <w:style w:type="character" w:customStyle="1" w:styleId="FootnoteTextChar">
    <w:name w:val="Footnote Text Char"/>
    <w:basedOn w:val="DefaultParagraphFont"/>
    <w:link w:val="FootnoteText"/>
    <w:uiPriority w:val="99"/>
    <w:rsid w:val="00EC4048"/>
    <w:rPr>
      <w:rFonts w:asciiTheme="minorHAnsi" w:hAnsiTheme="minorHAnsi"/>
      <w:lang w:eastAsia="en-GB"/>
    </w:rPr>
  </w:style>
  <w:style w:type="table" w:styleId="TableGridLight">
    <w:name w:val="Grid Table Light"/>
    <w:basedOn w:val="TableNormal"/>
    <w:uiPriority w:val="40"/>
    <w:rsid w:val="00D71D8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V50InstructionsChar">
    <w:name w:val="V5.0 Instructions Char"/>
    <w:basedOn w:val="DefaultParagraphFont"/>
    <w:link w:val="V50Instructions"/>
    <w:locked/>
    <w:rsid w:val="00D71D84"/>
    <w:rPr>
      <w:rFonts w:asciiTheme="minorHAnsi" w:eastAsiaTheme="minorHAnsi" w:hAnsiTheme="minorHAnsi" w:cstheme="minorBidi"/>
      <w:color w:val="4BACC6" w:themeColor="accent5"/>
      <w:sz w:val="24"/>
      <w:szCs w:val="22"/>
      <w:lang w:eastAsia="en-US"/>
    </w:rPr>
  </w:style>
  <w:style w:type="paragraph" w:customStyle="1" w:styleId="V50Instructions">
    <w:name w:val="V5.0 Instructions"/>
    <w:basedOn w:val="Normal"/>
    <w:link w:val="V50InstructionsChar"/>
    <w:qFormat/>
    <w:rsid w:val="00D71D84"/>
    <w:pPr>
      <w:spacing w:before="120" w:after="160"/>
      <w:jc w:val="left"/>
    </w:pPr>
    <w:rPr>
      <w:rFonts w:asciiTheme="minorHAnsi" w:eastAsiaTheme="minorHAnsi" w:hAnsiTheme="minorHAnsi" w:cstheme="minorBidi"/>
      <w:color w:val="4BACC6" w:themeColor="accent5"/>
      <w:szCs w:val="22"/>
      <w:lang w:eastAsia="en-US"/>
    </w:rPr>
  </w:style>
  <w:style w:type="character" w:customStyle="1" w:styleId="UnresolvedMention1">
    <w:name w:val="Unresolved Mention1"/>
    <w:basedOn w:val="DefaultParagraphFont"/>
    <w:uiPriority w:val="99"/>
    <w:semiHidden/>
    <w:unhideWhenUsed/>
    <w:rsid w:val="00D71D84"/>
    <w:rPr>
      <w:color w:val="605E5C"/>
      <w:shd w:val="clear" w:color="auto" w:fill="E1DFDD"/>
    </w:rPr>
  </w:style>
  <w:style w:type="paragraph" w:customStyle="1" w:styleId="TableHeading0">
    <w:name w:val="Table Heading"/>
    <w:basedOn w:val="Normal"/>
    <w:qFormat/>
    <w:rsid w:val="00D71D84"/>
    <w:pPr>
      <w:keepNext/>
      <w:spacing w:after="60"/>
      <w:jc w:val="left"/>
    </w:pPr>
    <w:rPr>
      <w:rFonts w:ascii="Arial Narrow" w:eastAsiaTheme="minorHAnsi" w:hAnsi="Arial Narrow" w:cstheme="minorBidi"/>
      <w:b/>
      <w:sz w:val="20"/>
      <w:szCs w:val="22"/>
      <w:lang w:eastAsia="en-US"/>
    </w:rPr>
  </w:style>
  <w:style w:type="table" w:customStyle="1" w:styleId="TableGridLight14">
    <w:name w:val="Table Grid Light14"/>
    <w:basedOn w:val="TableNormal"/>
    <w:uiPriority w:val="40"/>
    <w:rsid w:val="00D71D84"/>
    <w:rPr>
      <w:rFonts w:asciiTheme="minorHAnsi" w:eastAsiaTheme="minorHAnsi" w:hAnsiTheme="minorHAnsi" w:cstheme="minorBidi"/>
      <w:sz w:val="22"/>
      <w:szCs w:val="22"/>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tblPr/>
      <w:tcPr>
        <w:shd w:val="clear" w:color="auto" w:fill="F2F2F2" w:themeFill="background1" w:themeFillShade="F2"/>
      </w:tcPr>
    </w:tblStylePr>
  </w:style>
  <w:style w:type="table" w:customStyle="1" w:styleId="TableGridLight15">
    <w:name w:val="Table Grid Light15"/>
    <w:basedOn w:val="TableNormal"/>
    <w:uiPriority w:val="40"/>
    <w:rsid w:val="00D71D84"/>
    <w:rPr>
      <w:rFonts w:asciiTheme="minorHAnsi" w:eastAsiaTheme="minorHAnsi" w:hAnsiTheme="minorHAnsi" w:cstheme="minorBidi"/>
      <w:sz w:val="22"/>
      <w:szCs w:val="22"/>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tblPr/>
      <w:tcPr>
        <w:shd w:val="clear" w:color="auto" w:fill="F2F2F2" w:themeFill="background1" w:themeFillShade="F2"/>
      </w:tcPr>
    </w:tblStylePr>
  </w:style>
  <w:style w:type="paragraph" w:customStyle="1" w:styleId="ListBulletlvl3">
    <w:name w:val="List Bullet lvl 3"/>
    <w:basedOn w:val="ListBullet"/>
    <w:qFormat/>
    <w:rsid w:val="00D71D84"/>
    <w:pPr>
      <w:numPr>
        <w:ilvl w:val="2"/>
        <w:numId w:val="11"/>
      </w:numPr>
      <w:spacing w:after="120" w:line="360" w:lineRule="auto"/>
      <w:contextualSpacing w:val="0"/>
    </w:pPr>
    <w:rPr>
      <w:rFonts w:cs="Times New Roman"/>
      <w:sz w:val="22"/>
      <w:lang w:eastAsia="en-GB"/>
    </w:rPr>
  </w:style>
  <w:style w:type="paragraph" w:customStyle="1" w:styleId="ListBulletlvl4">
    <w:name w:val="List Bullet lvl 4"/>
    <w:basedOn w:val="ListBullet"/>
    <w:qFormat/>
    <w:rsid w:val="00D71D84"/>
    <w:pPr>
      <w:numPr>
        <w:ilvl w:val="3"/>
        <w:numId w:val="11"/>
      </w:numPr>
      <w:spacing w:after="120" w:line="360" w:lineRule="auto"/>
      <w:contextualSpacing w:val="0"/>
    </w:pPr>
    <w:rPr>
      <w:rFonts w:cs="Times New Roman"/>
      <w:sz w:val="22"/>
      <w:lang w:eastAsia="en-GB"/>
    </w:rPr>
  </w:style>
  <w:style w:type="paragraph" w:customStyle="1" w:styleId="ListBulletlvl5">
    <w:name w:val="List Bullet lvl 5"/>
    <w:basedOn w:val="ListBullet"/>
    <w:qFormat/>
    <w:rsid w:val="00D71D84"/>
    <w:pPr>
      <w:numPr>
        <w:ilvl w:val="4"/>
        <w:numId w:val="11"/>
      </w:numPr>
      <w:spacing w:after="120" w:line="360" w:lineRule="auto"/>
      <w:contextualSpacing w:val="0"/>
    </w:pPr>
    <w:rPr>
      <w:rFonts w:cs="Times New Roman"/>
      <w:sz w:val="22"/>
      <w:lang w:eastAsia="en-GB"/>
    </w:rPr>
  </w:style>
  <w:style w:type="paragraph" w:customStyle="1" w:styleId="ListBulletlvl6">
    <w:name w:val="List Bullet lvl 6"/>
    <w:basedOn w:val="ListBullet"/>
    <w:qFormat/>
    <w:rsid w:val="00D71D84"/>
    <w:pPr>
      <w:numPr>
        <w:ilvl w:val="5"/>
        <w:numId w:val="11"/>
      </w:numPr>
      <w:spacing w:after="120" w:line="360" w:lineRule="auto"/>
      <w:contextualSpacing w:val="0"/>
    </w:pPr>
    <w:rPr>
      <w:rFonts w:cs="Times New Roman"/>
      <w:sz w:val="22"/>
      <w:lang w:eastAsia="en-GB"/>
    </w:rPr>
  </w:style>
  <w:style w:type="paragraph" w:customStyle="1" w:styleId="ListBulletlvl7">
    <w:name w:val="List Bullet lvl 7"/>
    <w:basedOn w:val="ListBullet"/>
    <w:qFormat/>
    <w:rsid w:val="00D71D84"/>
    <w:pPr>
      <w:numPr>
        <w:ilvl w:val="6"/>
        <w:numId w:val="11"/>
      </w:numPr>
      <w:spacing w:after="120" w:line="360" w:lineRule="auto"/>
      <w:contextualSpacing w:val="0"/>
    </w:pPr>
    <w:rPr>
      <w:rFonts w:cs="Times New Roman"/>
      <w:sz w:val="22"/>
      <w:lang w:eastAsia="en-GB"/>
    </w:rPr>
  </w:style>
  <w:style w:type="paragraph" w:customStyle="1" w:styleId="ListBulletlvl8">
    <w:name w:val="List Bullet lvl 8"/>
    <w:basedOn w:val="ListBullet"/>
    <w:qFormat/>
    <w:rsid w:val="00D71D84"/>
    <w:pPr>
      <w:numPr>
        <w:ilvl w:val="7"/>
        <w:numId w:val="11"/>
      </w:numPr>
      <w:spacing w:after="120" w:line="360" w:lineRule="auto"/>
      <w:contextualSpacing w:val="0"/>
    </w:pPr>
    <w:rPr>
      <w:rFonts w:cs="Times New Roman"/>
      <w:sz w:val="22"/>
      <w:lang w:eastAsia="en-GB"/>
    </w:rPr>
  </w:style>
  <w:style w:type="paragraph" w:customStyle="1" w:styleId="ListBulletlvl9">
    <w:name w:val="List Bullet lvl 9"/>
    <w:basedOn w:val="ListBullet"/>
    <w:qFormat/>
    <w:rsid w:val="00D71D84"/>
    <w:pPr>
      <w:numPr>
        <w:ilvl w:val="8"/>
        <w:numId w:val="11"/>
      </w:numPr>
      <w:spacing w:after="120" w:line="360" w:lineRule="auto"/>
      <w:contextualSpacing w:val="0"/>
    </w:pPr>
    <w:rPr>
      <w:rFonts w:cs="Times New Roman"/>
      <w:sz w:val="22"/>
      <w:lang w:eastAsia="en-GB"/>
    </w:rPr>
  </w:style>
  <w:style w:type="table" w:customStyle="1" w:styleId="MSDTableGrid1">
    <w:name w:val="MSD Table Grid1"/>
    <w:basedOn w:val="TableNormal"/>
    <w:next w:val="TableGrid"/>
    <w:uiPriority w:val="59"/>
    <w:rsid w:val="009B655B"/>
    <w:rPr>
      <w:rFonts w:asciiTheme="minorHAnsi" w:eastAsiaTheme="minorHAnsi" w:hAnsiTheme="minorHAnsi" w:cstheme="minorBidi"/>
      <w:sz w:val="22"/>
      <w:szCs w:val="22"/>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paragraph" w:styleId="EndnoteText">
    <w:name w:val="endnote text"/>
    <w:basedOn w:val="Normal"/>
    <w:link w:val="EndnoteTextChar"/>
    <w:semiHidden/>
    <w:unhideWhenUsed/>
    <w:rsid w:val="001F1F50"/>
    <w:rPr>
      <w:sz w:val="20"/>
      <w:szCs w:val="20"/>
    </w:rPr>
  </w:style>
  <w:style w:type="character" w:customStyle="1" w:styleId="EndnoteTextChar">
    <w:name w:val="Endnote Text Char"/>
    <w:basedOn w:val="DefaultParagraphFont"/>
    <w:link w:val="EndnoteText"/>
    <w:semiHidden/>
    <w:rsid w:val="001F1F50"/>
    <w:rPr>
      <w:rFonts w:ascii="Calibri" w:hAnsi="Calibri" w:cs="Arial"/>
    </w:rPr>
  </w:style>
  <w:style w:type="character" w:styleId="EndnoteReference">
    <w:name w:val="endnote reference"/>
    <w:basedOn w:val="DefaultParagraphFont"/>
    <w:semiHidden/>
    <w:unhideWhenUsed/>
    <w:rsid w:val="001F1F50"/>
    <w:rPr>
      <w:vertAlign w:val="superscript"/>
    </w:rPr>
  </w:style>
  <w:style w:type="character" w:styleId="FootnoteReference">
    <w:name w:val="footnote reference"/>
    <w:basedOn w:val="DefaultParagraphFont"/>
    <w:semiHidden/>
    <w:unhideWhenUsed/>
    <w:rsid w:val="00FB185E"/>
    <w:rPr>
      <w:vertAlign w:val="superscript"/>
    </w:rPr>
  </w:style>
  <w:style w:type="character" w:customStyle="1" w:styleId="3BodytextChar">
    <w:name w:val="3. Body text Char"/>
    <w:basedOn w:val="DefaultParagraphFont"/>
    <w:link w:val="3Bodytext"/>
    <w:locked/>
    <w:rsid w:val="00F64564"/>
    <w:rPr>
      <w:rFonts w:asciiTheme="minorHAnsi" w:hAnsiTheme="minorHAnsi" w:cstheme="minorBidi"/>
      <w:snapToGrid w:val="0"/>
      <w:szCs w:val="22"/>
    </w:rPr>
  </w:style>
  <w:style w:type="paragraph" w:customStyle="1" w:styleId="3Bodytext">
    <w:name w:val="3. Body text"/>
    <w:basedOn w:val="ListParagraph"/>
    <w:link w:val="3BodytextChar"/>
    <w:qFormat/>
    <w:rsid w:val="00F64564"/>
    <w:pPr>
      <w:numPr>
        <w:numId w:val="0"/>
      </w:numPr>
      <w:ind w:left="720" w:hanging="720"/>
      <w:jc w:val="left"/>
    </w:pPr>
    <w:rPr>
      <w:rFonts w:cstheme="minorBidi"/>
      <w:sz w:val="20"/>
      <w:szCs w:val="22"/>
    </w:rPr>
  </w:style>
  <w:style w:type="character" w:customStyle="1" w:styleId="TabletextleftChar0">
    <w:name w:val="Table text left Char"/>
    <w:basedOn w:val="DefaultParagraphFont"/>
    <w:link w:val="Tabletextleft0"/>
    <w:locked/>
    <w:rsid w:val="00F64564"/>
    <w:rPr>
      <w:rFonts w:asciiTheme="minorHAnsi" w:hAnsiTheme="minorHAnsi" w:cs="Calibri"/>
      <w:sz w:val="18"/>
    </w:rPr>
  </w:style>
  <w:style w:type="paragraph" w:customStyle="1" w:styleId="Tabletextleft0">
    <w:name w:val="Table text left"/>
    <w:basedOn w:val="Normal"/>
    <w:link w:val="TabletextleftChar0"/>
    <w:qFormat/>
    <w:rsid w:val="00F64564"/>
    <w:pPr>
      <w:spacing w:before="20" w:after="20"/>
      <w:jc w:val="left"/>
    </w:pPr>
    <w:rPr>
      <w:rFonts w:asciiTheme="minorHAnsi" w:hAnsiTheme="minorHAnsi" w:cs="Calibri"/>
      <w:sz w:val="18"/>
      <w:szCs w:val="20"/>
    </w:rPr>
  </w:style>
  <w:style w:type="paragraph" w:customStyle="1" w:styleId="TableHeadingleft">
    <w:name w:val="Table Heading left"/>
    <w:basedOn w:val="Normal"/>
    <w:next w:val="Tabletextleft0"/>
    <w:qFormat/>
    <w:rsid w:val="00F64564"/>
    <w:pPr>
      <w:keepNext/>
      <w:spacing w:before="40" w:after="40"/>
      <w:jc w:val="left"/>
    </w:pPr>
    <w:rPr>
      <w:rFonts w:asciiTheme="minorHAnsi" w:eastAsiaTheme="minorHAnsi" w:hAnsiTheme="minorHAnsi" w:cs="Tahoma"/>
      <w:b/>
      <w:sz w:val="18"/>
      <w:szCs w:val="18"/>
      <w:lang w:val="de-DE" w:eastAsia="en-US"/>
    </w:rPr>
  </w:style>
  <w:style w:type="paragraph" w:customStyle="1" w:styleId="PBACTableSource">
    <w:name w:val="PBAC Table Source"/>
    <w:basedOn w:val="TableFooter"/>
    <w:autoRedefine/>
    <w:qFormat/>
    <w:rsid w:val="002120A1"/>
    <w:pPr>
      <w:suppressLineNumbers/>
    </w:pPr>
    <w:rPr>
      <w:rFonts w:eastAsiaTheme="minorHAnsi" w:cs="Tahoma"/>
      <w:iCs/>
      <w:color w:val="000000"/>
      <w:szCs w:val="18"/>
      <w:lang w:eastAsia="en-GB"/>
    </w:rPr>
  </w:style>
  <w:style w:type="paragraph" w:styleId="PlainText">
    <w:name w:val="Plain Text"/>
    <w:basedOn w:val="Normal"/>
    <w:link w:val="PlainTextChar"/>
    <w:uiPriority w:val="99"/>
    <w:semiHidden/>
    <w:unhideWhenUsed/>
    <w:rsid w:val="00E60337"/>
    <w:pPr>
      <w:jc w:val="left"/>
    </w:pPr>
    <w:rPr>
      <w:rFonts w:eastAsiaTheme="minorHAnsi" w:cstheme="minorBidi"/>
      <w:sz w:val="22"/>
      <w:szCs w:val="21"/>
      <w:lang w:eastAsia="en-US"/>
    </w:rPr>
  </w:style>
  <w:style w:type="character" w:customStyle="1" w:styleId="PlainTextChar">
    <w:name w:val="Plain Text Char"/>
    <w:basedOn w:val="DefaultParagraphFont"/>
    <w:link w:val="PlainText"/>
    <w:uiPriority w:val="99"/>
    <w:semiHidden/>
    <w:rsid w:val="00E60337"/>
    <w:rPr>
      <w:rFonts w:ascii="Calibri" w:eastAsiaTheme="minorHAnsi" w:hAnsi="Calibri" w:cstheme="minorBidi"/>
      <w:sz w:val="22"/>
      <w:szCs w:val="21"/>
      <w:lang w:eastAsia="en-US"/>
    </w:rPr>
  </w:style>
  <w:style w:type="paragraph" w:customStyle="1" w:styleId="3-SubsectionHeading">
    <w:name w:val="3-Subsection Heading"/>
    <w:basedOn w:val="Heading2"/>
    <w:next w:val="Normal"/>
    <w:link w:val="3-SubsectionHeadingChar"/>
    <w:qFormat/>
    <w:rsid w:val="00A05E89"/>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A05E89"/>
    <w:rPr>
      <w:rFonts w:asciiTheme="minorHAnsi" w:eastAsiaTheme="majorEastAsia" w:hAnsiTheme="minorHAnsi" w:cstheme="majorBidi"/>
      <w:b/>
      <w:i/>
      <w:snapToGrid/>
      <w:spacing w:val="5"/>
      <w:kern w:val="28"/>
      <w:sz w:val="28"/>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2205">
      <w:bodyDiv w:val="1"/>
      <w:marLeft w:val="0"/>
      <w:marRight w:val="0"/>
      <w:marTop w:val="0"/>
      <w:marBottom w:val="0"/>
      <w:divBdr>
        <w:top w:val="none" w:sz="0" w:space="0" w:color="auto"/>
        <w:left w:val="none" w:sz="0" w:space="0" w:color="auto"/>
        <w:bottom w:val="none" w:sz="0" w:space="0" w:color="auto"/>
        <w:right w:val="none" w:sz="0" w:space="0" w:color="auto"/>
      </w:divBdr>
    </w:div>
    <w:div w:id="16082071">
      <w:bodyDiv w:val="1"/>
      <w:marLeft w:val="0"/>
      <w:marRight w:val="0"/>
      <w:marTop w:val="0"/>
      <w:marBottom w:val="0"/>
      <w:divBdr>
        <w:top w:val="none" w:sz="0" w:space="0" w:color="auto"/>
        <w:left w:val="none" w:sz="0" w:space="0" w:color="auto"/>
        <w:bottom w:val="none" w:sz="0" w:space="0" w:color="auto"/>
        <w:right w:val="none" w:sz="0" w:space="0" w:color="auto"/>
      </w:divBdr>
    </w:div>
    <w:div w:id="22218880">
      <w:bodyDiv w:val="1"/>
      <w:marLeft w:val="0"/>
      <w:marRight w:val="0"/>
      <w:marTop w:val="0"/>
      <w:marBottom w:val="0"/>
      <w:divBdr>
        <w:top w:val="none" w:sz="0" w:space="0" w:color="auto"/>
        <w:left w:val="none" w:sz="0" w:space="0" w:color="auto"/>
        <w:bottom w:val="none" w:sz="0" w:space="0" w:color="auto"/>
        <w:right w:val="none" w:sz="0" w:space="0" w:color="auto"/>
      </w:divBdr>
      <w:divsChild>
        <w:div w:id="2059668977">
          <w:marLeft w:val="360"/>
          <w:marRight w:val="0"/>
          <w:marTop w:val="200"/>
          <w:marBottom w:val="0"/>
          <w:divBdr>
            <w:top w:val="none" w:sz="0" w:space="0" w:color="auto"/>
            <w:left w:val="none" w:sz="0" w:space="0" w:color="auto"/>
            <w:bottom w:val="none" w:sz="0" w:space="0" w:color="auto"/>
            <w:right w:val="none" w:sz="0" w:space="0" w:color="auto"/>
          </w:divBdr>
        </w:div>
        <w:div w:id="1285036076">
          <w:marLeft w:val="360"/>
          <w:marRight w:val="0"/>
          <w:marTop w:val="200"/>
          <w:marBottom w:val="0"/>
          <w:divBdr>
            <w:top w:val="none" w:sz="0" w:space="0" w:color="auto"/>
            <w:left w:val="none" w:sz="0" w:space="0" w:color="auto"/>
            <w:bottom w:val="none" w:sz="0" w:space="0" w:color="auto"/>
            <w:right w:val="none" w:sz="0" w:space="0" w:color="auto"/>
          </w:divBdr>
        </w:div>
        <w:div w:id="1441802618">
          <w:marLeft w:val="360"/>
          <w:marRight w:val="0"/>
          <w:marTop w:val="200"/>
          <w:marBottom w:val="0"/>
          <w:divBdr>
            <w:top w:val="none" w:sz="0" w:space="0" w:color="auto"/>
            <w:left w:val="none" w:sz="0" w:space="0" w:color="auto"/>
            <w:bottom w:val="none" w:sz="0" w:space="0" w:color="auto"/>
            <w:right w:val="none" w:sz="0" w:space="0" w:color="auto"/>
          </w:divBdr>
        </w:div>
        <w:div w:id="1863282282">
          <w:marLeft w:val="360"/>
          <w:marRight w:val="0"/>
          <w:marTop w:val="200"/>
          <w:marBottom w:val="0"/>
          <w:divBdr>
            <w:top w:val="none" w:sz="0" w:space="0" w:color="auto"/>
            <w:left w:val="none" w:sz="0" w:space="0" w:color="auto"/>
            <w:bottom w:val="none" w:sz="0" w:space="0" w:color="auto"/>
            <w:right w:val="none" w:sz="0" w:space="0" w:color="auto"/>
          </w:divBdr>
        </w:div>
        <w:div w:id="1054233806">
          <w:marLeft w:val="360"/>
          <w:marRight w:val="0"/>
          <w:marTop w:val="200"/>
          <w:marBottom w:val="0"/>
          <w:divBdr>
            <w:top w:val="none" w:sz="0" w:space="0" w:color="auto"/>
            <w:left w:val="none" w:sz="0" w:space="0" w:color="auto"/>
            <w:bottom w:val="none" w:sz="0" w:space="0" w:color="auto"/>
            <w:right w:val="none" w:sz="0" w:space="0" w:color="auto"/>
          </w:divBdr>
        </w:div>
      </w:divsChild>
    </w:div>
    <w:div w:id="73212619">
      <w:bodyDiv w:val="1"/>
      <w:marLeft w:val="0"/>
      <w:marRight w:val="0"/>
      <w:marTop w:val="0"/>
      <w:marBottom w:val="0"/>
      <w:divBdr>
        <w:top w:val="none" w:sz="0" w:space="0" w:color="auto"/>
        <w:left w:val="none" w:sz="0" w:space="0" w:color="auto"/>
        <w:bottom w:val="none" w:sz="0" w:space="0" w:color="auto"/>
        <w:right w:val="none" w:sz="0" w:space="0" w:color="auto"/>
      </w:divBdr>
    </w:div>
    <w:div w:id="86269645">
      <w:bodyDiv w:val="1"/>
      <w:marLeft w:val="0"/>
      <w:marRight w:val="0"/>
      <w:marTop w:val="0"/>
      <w:marBottom w:val="0"/>
      <w:divBdr>
        <w:top w:val="none" w:sz="0" w:space="0" w:color="auto"/>
        <w:left w:val="none" w:sz="0" w:space="0" w:color="auto"/>
        <w:bottom w:val="none" w:sz="0" w:space="0" w:color="auto"/>
        <w:right w:val="none" w:sz="0" w:space="0" w:color="auto"/>
      </w:divBdr>
      <w:divsChild>
        <w:div w:id="2032338804">
          <w:marLeft w:val="360"/>
          <w:marRight w:val="0"/>
          <w:marTop w:val="200"/>
          <w:marBottom w:val="0"/>
          <w:divBdr>
            <w:top w:val="none" w:sz="0" w:space="0" w:color="auto"/>
            <w:left w:val="none" w:sz="0" w:space="0" w:color="auto"/>
            <w:bottom w:val="none" w:sz="0" w:space="0" w:color="auto"/>
            <w:right w:val="none" w:sz="0" w:space="0" w:color="auto"/>
          </w:divBdr>
        </w:div>
      </w:divsChild>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04691807">
      <w:bodyDiv w:val="1"/>
      <w:marLeft w:val="0"/>
      <w:marRight w:val="0"/>
      <w:marTop w:val="0"/>
      <w:marBottom w:val="0"/>
      <w:divBdr>
        <w:top w:val="none" w:sz="0" w:space="0" w:color="auto"/>
        <w:left w:val="none" w:sz="0" w:space="0" w:color="auto"/>
        <w:bottom w:val="none" w:sz="0" w:space="0" w:color="auto"/>
        <w:right w:val="none" w:sz="0" w:space="0" w:color="auto"/>
      </w:divBdr>
      <w:divsChild>
        <w:div w:id="1111634009">
          <w:marLeft w:val="360"/>
          <w:marRight w:val="0"/>
          <w:marTop w:val="200"/>
          <w:marBottom w:val="0"/>
          <w:divBdr>
            <w:top w:val="none" w:sz="0" w:space="0" w:color="auto"/>
            <w:left w:val="none" w:sz="0" w:space="0" w:color="auto"/>
            <w:bottom w:val="none" w:sz="0" w:space="0" w:color="auto"/>
            <w:right w:val="none" w:sz="0" w:space="0" w:color="auto"/>
          </w:divBdr>
        </w:div>
        <w:div w:id="180819038">
          <w:marLeft w:val="1080"/>
          <w:marRight w:val="0"/>
          <w:marTop w:val="100"/>
          <w:marBottom w:val="0"/>
          <w:divBdr>
            <w:top w:val="none" w:sz="0" w:space="0" w:color="auto"/>
            <w:left w:val="none" w:sz="0" w:space="0" w:color="auto"/>
            <w:bottom w:val="none" w:sz="0" w:space="0" w:color="auto"/>
            <w:right w:val="none" w:sz="0" w:space="0" w:color="auto"/>
          </w:divBdr>
        </w:div>
        <w:div w:id="1744330525">
          <w:marLeft w:val="1080"/>
          <w:marRight w:val="0"/>
          <w:marTop w:val="100"/>
          <w:marBottom w:val="0"/>
          <w:divBdr>
            <w:top w:val="none" w:sz="0" w:space="0" w:color="auto"/>
            <w:left w:val="none" w:sz="0" w:space="0" w:color="auto"/>
            <w:bottom w:val="none" w:sz="0" w:space="0" w:color="auto"/>
            <w:right w:val="none" w:sz="0" w:space="0" w:color="auto"/>
          </w:divBdr>
        </w:div>
      </w:divsChild>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40192916">
      <w:bodyDiv w:val="1"/>
      <w:marLeft w:val="0"/>
      <w:marRight w:val="0"/>
      <w:marTop w:val="0"/>
      <w:marBottom w:val="0"/>
      <w:divBdr>
        <w:top w:val="none" w:sz="0" w:space="0" w:color="auto"/>
        <w:left w:val="none" w:sz="0" w:space="0" w:color="auto"/>
        <w:bottom w:val="none" w:sz="0" w:space="0" w:color="auto"/>
        <w:right w:val="none" w:sz="0" w:space="0" w:color="auto"/>
      </w:divBdr>
    </w:div>
    <w:div w:id="148135596">
      <w:bodyDiv w:val="1"/>
      <w:marLeft w:val="0"/>
      <w:marRight w:val="0"/>
      <w:marTop w:val="0"/>
      <w:marBottom w:val="0"/>
      <w:divBdr>
        <w:top w:val="none" w:sz="0" w:space="0" w:color="auto"/>
        <w:left w:val="none" w:sz="0" w:space="0" w:color="auto"/>
        <w:bottom w:val="none" w:sz="0" w:space="0" w:color="auto"/>
        <w:right w:val="none" w:sz="0" w:space="0" w:color="auto"/>
      </w:divBdr>
      <w:divsChild>
        <w:div w:id="1630626089">
          <w:marLeft w:val="1080"/>
          <w:marRight w:val="0"/>
          <w:marTop w:val="100"/>
          <w:marBottom w:val="0"/>
          <w:divBdr>
            <w:top w:val="none" w:sz="0" w:space="0" w:color="auto"/>
            <w:left w:val="none" w:sz="0" w:space="0" w:color="auto"/>
            <w:bottom w:val="none" w:sz="0" w:space="0" w:color="auto"/>
            <w:right w:val="none" w:sz="0" w:space="0" w:color="auto"/>
          </w:divBdr>
        </w:div>
      </w:divsChild>
    </w:div>
    <w:div w:id="192698026">
      <w:bodyDiv w:val="1"/>
      <w:marLeft w:val="0"/>
      <w:marRight w:val="0"/>
      <w:marTop w:val="0"/>
      <w:marBottom w:val="0"/>
      <w:divBdr>
        <w:top w:val="none" w:sz="0" w:space="0" w:color="auto"/>
        <w:left w:val="none" w:sz="0" w:space="0" w:color="auto"/>
        <w:bottom w:val="none" w:sz="0" w:space="0" w:color="auto"/>
        <w:right w:val="none" w:sz="0" w:space="0" w:color="auto"/>
      </w:divBdr>
    </w:div>
    <w:div w:id="214245608">
      <w:bodyDiv w:val="1"/>
      <w:marLeft w:val="0"/>
      <w:marRight w:val="0"/>
      <w:marTop w:val="0"/>
      <w:marBottom w:val="0"/>
      <w:divBdr>
        <w:top w:val="none" w:sz="0" w:space="0" w:color="auto"/>
        <w:left w:val="none" w:sz="0" w:space="0" w:color="auto"/>
        <w:bottom w:val="none" w:sz="0" w:space="0" w:color="auto"/>
        <w:right w:val="none" w:sz="0" w:space="0" w:color="auto"/>
      </w:divBdr>
      <w:divsChild>
        <w:div w:id="1265923641">
          <w:marLeft w:val="1080"/>
          <w:marRight w:val="0"/>
          <w:marTop w:val="100"/>
          <w:marBottom w:val="0"/>
          <w:divBdr>
            <w:top w:val="none" w:sz="0" w:space="0" w:color="auto"/>
            <w:left w:val="none" w:sz="0" w:space="0" w:color="auto"/>
            <w:bottom w:val="none" w:sz="0" w:space="0" w:color="auto"/>
            <w:right w:val="none" w:sz="0" w:space="0" w:color="auto"/>
          </w:divBdr>
        </w:div>
      </w:divsChild>
    </w:div>
    <w:div w:id="245500351">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29797947">
      <w:bodyDiv w:val="1"/>
      <w:marLeft w:val="0"/>
      <w:marRight w:val="0"/>
      <w:marTop w:val="0"/>
      <w:marBottom w:val="0"/>
      <w:divBdr>
        <w:top w:val="none" w:sz="0" w:space="0" w:color="auto"/>
        <w:left w:val="none" w:sz="0" w:space="0" w:color="auto"/>
        <w:bottom w:val="none" w:sz="0" w:space="0" w:color="auto"/>
        <w:right w:val="none" w:sz="0" w:space="0" w:color="auto"/>
      </w:divBdr>
    </w:div>
    <w:div w:id="354775486">
      <w:bodyDiv w:val="1"/>
      <w:marLeft w:val="0"/>
      <w:marRight w:val="0"/>
      <w:marTop w:val="0"/>
      <w:marBottom w:val="0"/>
      <w:divBdr>
        <w:top w:val="none" w:sz="0" w:space="0" w:color="auto"/>
        <w:left w:val="none" w:sz="0" w:space="0" w:color="auto"/>
        <w:bottom w:val="none" w:sz="0" w:space="0" w:color="auto"/>
        <w:right w:val="none" w:sz="0" w:space="0" w:color="auto"/>
      </w:divBdr>
      <w:divsChild>
        <w:div w:id="1568372021">
          <w:marLeft w:val="360"/>
          <w:marRight w:val="0"/>
          <w:marTop w:val="200"/>
          <w:marBottom w:val="0"/>
          <w:divBdr>
            <w:top w:val="none" w:sz="0" w:space="0" w:color="auto"/>
            <w:left w:val="none" w:sz="0" w:space="0" w:color="auto"/>
            <w:bottom w:val="none" w:sz="0" w:space="0" w:color="auto"/>
            <w:right w:val="none" w:sz="0" w:space="0" w:color="auto"/>
          </w:divBdr>
        </w:div>
      </w:divsChild>
    </w:div>
    <w:div w:id="434908760">
      <w:bodyDiv w:val="1"/>
      <w:marLeft w:val="0"/>
      <w:marRight w:val="0"/>
      <w:marTop w:val="0"/>
      <w:marBottom w:val="0"/>
      <w:divBdr>
        <w:top w:val="none" w:sz="0" w:space="0" w:color="auto"/>
        <w:left w:val="none" w:sz="0" w:space="0" w:color="auto"/>
        <w:bottom w:val="none" w:sz="0" w:space="0" w:color="auto"/>
        <w:right w:val="none" w:sz="0" w:space="0" w:color="auto"/>
      </w:divBdr>
    </w:div>
    <w:div w:id="457190294">
      <w:bodyDiv w:val="1"/>
      <w:marLeft w:val="0"/>
      <w:marRight w:val="0"/>
      <w:marTop w:val="0"/>
      <w:marBottom w:val="0"/>
      <w:divBdr>
        <w:top w:val="none" w:sz="0" w:space="0" w:color="auto"/>
        <w:left w:val="none" w:sz="0" w:space="0" w:color="auto"/>
        <w:bottom w:val="none" w:sz="0" w:space="0" w:color="auto"/>
        <w:right w:val="none" w:sz="0" w:space="0" w:color="auto"/>
      </w:divBdr>
      <w:divsChild>
        <w:div w:id="1548372981">
          <w:marLeft w:val="1080"/>
          <w:marRight w:val="0"/>
          <w:marTop w:val="100"/>
          <w:marBottom w:val="0"/>
          <w:divBdr>
            <w:top w:val="none" w:sz="0" w:space="0" w:color="auto"/>
            <w:left w:val="none" w:sz="0" w:space="0" w:color="auto"/>
            <w:bottom w:val="none" w:sz="0" w:space="0" w:color="auto"/>
            <w:right w:val="none" w:sz="0" w:space="0" w:color="auto"/>
          </w:divBdr>
        </w:div>
      </w:divsChild>
    </w:div>
    <w:div w:id="486630952">
      <w:bodyDiv w:val="1"/>
      <w:marLeft w:val="0"/>
      <w:marRight w:val="0"/>
      <w:marTop w:val="0"/>
      <w:marBottom w:val="0"/>
      <w:divBdr>
        <w:top w:val="none" w:sz="0" w:space="0" w:color="auto"/>
        <w:left w:val="none" w:sz="0" w:space="0" w:color="auto"/>
        <w:bottom w:val="none" w:sz="0" w:space="0" w:color="auto"/>
        <w:right w:val="none" w:sz="0" w:space="0" w:color="auto"/>
      </w:divBdr>
      <w:divsChild>
        <w:div w:id="1406686960">
          <w:marLeft w:val="360"/>
          <w:marRight w:val="0"/>
          <w:marTop w:val="200"/>
          <w:marBottom w:val="0"/>
          <w:divBdr>
            <w:top w:val="none" w:sz="0" w:space="0" w:color="auto"/>
            <w:left w:val="none" w:sz="0" w:space="0" w:color="auto"/>
            <w:bottom w:val="none" w:sz="0" w:space="0" w:color="auto"/>
            <w:right w:val="none" w:sz="0" w:space="0" w:color="auto"/>
          </w:divBdr>
        </w:div>
        <w:div w:id="1573471381">
          <w:marLeft w:val="360"/>
          <w:marRight w:val="0"/>
          <w:marTop w:val="200"/>
          <w:marBottom w:val="0"/>
          <w:divBdr>
            <w:top w:val="none" w:sz="0" w:space="0" w:color="auto"/>
            <w:left w:val="none" w:sz="0" w:space="0" w:color="auto"/>
            <w:bottom w:val="none" w:sz="0" w:space="0" w:color="auto"/>
            <w:right w:val="none" w:sz="0" w:space="0" w:color="auto"/>
          </w:divBdr>
        </w:div>
      </w:divsChild>
    </w:div>
    <w:div w:id="499541926">
      <w:bodyDiv w:val="1"/>
      <w:marLeft w:val="0"/>
      <w:marRight w:val="0"/>
      <w:marTop w:val="0"/>
      <w:marBottom w:val="0"/>
      <w:divBdr>
        <w:top w:val="none" w:sz="0" w:space="0" w:color="auto"/>
        <w:left w:val="none" w:sz="0" w:space="0" w:color="auto"/>
        <w:bottom w:val="none" w:sz="0" w:space="0" w:color="auto"/>
        <w:right w:val="none" w:sz="0" w:space="0" w:color="auto"/>
      </w:divBdr>
    </w:div>
    <w:div w:id="528681995">
      <w:bodyDiv w:val="1"/>
      <w:marLeft w:val="0"/>
      <w:marRight w:val="0"/>
      <w:marTop w:val="0"/>
      <w:marBottom w:val="0"/>
      <w:divBdr>
        <w:top w:val="none" w:sz="0" w:space="0" w:color="auto"/>
        <w:left w:val="none" w:sz="0" w:space="0" w:color="auto"/>
        <w:bottom w:val="none" w:sz="0" w:space="0" w:color="auto"/>
        <w:right w:val="none" w:sz="0" w:space="0" w:color="auto"/>
      </w:divBdr>
    </w:div>
    <w:div w:id="640187549">
      <w:bodyDiv w:val="1"/>
      <w:marLeft w:val="0"/>
      <w:marRight w:val="0"/>
      <w:marTop w:val="0"/>
      <w:marBottom w:val="0"/>
      <w:divBdr>
        <w:top w:val="none" w:sz="0" w:space="0" w:color="auto"/>
        <w:left w:val="none" w:sz="0" w:space="0" w:color="auto"/>
        <w:bottom w:val="none" w:sz="0" w:space="0" w:color="auto"/>
        <w:right w:val="none" w:sz="0" w:space="0" w:color="auto"/>
      </w:divBdr>
    </w:div>
    <w:div w:id="651258798">
      <w:bodyDiv w:val="1"/>
      <w:marLeft w:val="0"/>
      <w:marRight w:val="0"/>
      <w:marTop w:val="0"/>
      <w:marBottom w:val="0"/>
      <w:divBdr>
        <w:top w:val="none" w:sz="0" w:space="0" w:color="auto"/>
        <w:left w:val="none" w:sz="0" w:space="0" w:color="auto"/>
        <w:bottom w:val="none" w:sz="0" w:space="0" w:color="auto"/>
        <w:right w:val="none" w:sz="0" w:space="0" w:color="auto"/>
      </w:divBdr>
    </w:div>
    <w:div w:id="652683270">
      <w:bodyDiv w:val="1"/>
      <w:marLeft w:val="0"/>
      <w:marRight w:val="0"/>
      <w:marTop w:val="0"/>
      <w:marBottom w:val="0"/>
      <w:divBdr>
        <w:top w:val="none" w:sz="0" w:space="0" w:color="auto"/>
        <w:left w:val="none" w:sz="0" w:space="0" w:color="auto"/>
        <w:bottom w:val="none" w:sz="0" w:space="0" w:color="auto"/>
        <w:right w:val="none" w:sz="0" w:space="0" w:color="auto"/>
      </w:divBdr>
      <w:divsChild>
        <w:div w:id="658341752">
          <w:marLeft w:val="360"/>
          <w:marRight w:val="0"/>
          <w:marTop w:val="200"/>
          <w:marBottom w:val="0"/>
          <w:divBdr>
            <w:top w:val="none" w:sz="0" w:space="0" w:color="auto"/>
            <w:left w:val="none" w:sz="0" w:space="0" w:color="auto"/>
            <w:bottom w:val="none" w:sz="0" w:space="0" w:color="auto"/>
            <w:right w:val="none" w:sz="0" w:space="0" w:color="auto"/>
          </w:divBdr>
        </w:div>
        <w:div w:id="665473897">
          <w:marLeft w:val="1080"/>
          <w:marRight w:val="0"/>
          <w:marTop w:val="100"/>
          <w:marBottom w:val="0"/>
          <w:divBdr>
            <w:top w:val="none" w:sz="0" w:space="0" w:color="auto"/>
            <w:left w:val="none" w:sz="0" w:space="0" w:color="auto"/>
            <w:bottom w:val="none" w:sz="0" w:space="0" w:color="auto"/>
            <w:right w:val="none" w:sz="0" w:space="0" w:color="auto"/>
          </w:divBdr>
        </w:div>
        <w:div w:id="647132446">
          <w:marLeft w:val="1080"/>
          <w:marRight w:val="0"/>
          <w:marTop w:val="100"/>
          <w:marBottom w:val="0"/>
          <w:divBdr>
            <w:top w:val="none" w:sz="0" w:space="0" w:color="auto"/>
            <w:left w:val="none" w:sz="0" w:space="0" w:color="auto"/>
            <w:bottom w:val="none" w:sz="0" w:space="0" w:color="auto"/>
            <w:right w:val="none" w:sz="0" w:space="0" w:color="auto"/>
          </w:divBdr>
        </w:div>
      </w:divsChild>
    </w:div>
    <w:div w:id="789665068">
      <w:bodyDiv w:val="1"/>
      <w:marLeft w:val="0"/>
      <w:marRight w:val="0"/>
      <w:marTop w:val="0"/>
      <w:marBottom w:val="0"/>
      <w:divBdr>
        <w:top w:val="none" w:sz="0" w:space="0" w:color="auto"/>
        <w:left w:val="none" w:sz="0" w:space="0" w:color="auto"/>
        <w:bottom w:val="none" w:sz="0" w:space="0" w:color="auto"/>
        <w:right w:val="none" w:sz="0" w:space="0" w:color="auto"/>
      </w:divBdr>
      <w:divsChild>
        <w:div w:id="337345302">
          <w:marLeft w:val="360"/>
          <w:marRight w:val="0"/>
          <w:marTop w:val="200"/>
          <w:marBottom w:val="0"/>
          <w:divBdr>
            <w:top w:val="none" w:sz="0" w:space="0" w:color="auto"/>
            <w:left w:val="none" w:sz="0" w:space="0" w:color="auto"/>
            <w:bottom w:val="none" w:sz="0" w:space="0" w:color="auto"/>
            <w:right w:val="none" w:sz="0" w:space="0" w:color="auto"/>
          </w:divBdr>
        </w:div>
      </w:divsChild>
    </w:div>
    <w:div w:id="818379813">
      <w:bodyDiv w:val="1"/>
      <w:marLeft w:val="0"/>
      <w:marRight w:val="0"/>
      <w:marTop w:val="0"/>
      <w:marBottom w:val="0"/>
      <w:divBdr>
        <w:top w:val="none" w:sz="0" w:space="0" w:color="auto"/>
        <w:left w:val="none" w:sz="0" w:space="0" w:color="auto"/>
        <w:bottom w:val="none" w:sz="0" w:space="0" w:color="auto"/>
        <w:right w:val="none" w:sz="0" w:space="0" w:color="auto"/>
      </w:divBdr>
    </w:div>
    <w:div w:id="974409294">
      <w:bodyDiv w:val="1"/>
      <w:marLeft w:val="0"/>
      <w:marRight w:val="0"/>
      <w:marTop w:val="0"/>
      <w:marBottom w:val="0"/>
      <w:divBdr>
        <w:top w:val="none" w:sz="0" w:space="0" w:color="auto"/>
        <w:left w:val="none" w:sz="0" w:space="0" w:color="auto"/>
        <w:bottom w:val="none" w:sz="0" w:space="0" w:color="auto"/>
        <w:right w:val="none" w:sz="0" w:space="0" w:color="auto"/>
      </w:divBdr>
    </w:div>
    <w:div w:id="1016342878">
      <w:bodyDiv w:val="1"/>
      <w:marLeft w:val="0"/>
      <w:marRight w:val="0"/>
      <w:marTop w:val="0"/>
      <w:marBottom w:val="0"/>
      <w:divBdr>
        <w:top w:val="none" w:sz="0" w:space="0" w:color="auto"/>
        <w:left w:val="none" w:sz="0" w:space="0" w:color="auto"/>
        <w:bottom w:val="none" w:sz="0" w:space="0" w:color="auto"/>
        <w:right w:val="none" w:sz="0" w:space="0" w:color="auto"/>
      </w:divBdr>
    </w:div>
    <w:div w:id="1035891538">
      <w:bodyDiv w:val="1"/>
      <w:marLeft w:val="0"/>
      <w:marRight w:val="0"/>
      <w:marTop w:val="0"/>
      <w:marBottom w:val="0"/>
      <w:divBdr>
        <w:top w:val="none" w:sz="0" w:space="0" w:color="auto"/>
        <w:left w:val="none" w:sz="0" w:space="0" w:color="auto"/>
        <w:bottom w:val="none" w:sz="0" w:space="0" w:color="auto"/>
        <w:right w:val="none" w:sz="0" w:space="0" w:color="auto"/>
      </w:divBdr>
    </w:div>
    <w:div w:id="1062757877">
      <w:bodyDiv w:val="1"/>
      <w:marLeft w:val="0"/>
      <w:marRight w:val="0"/>
      <w:marTop w:val="0"/>
      <w:marBottom w:val="0"/>
      <w:divBdr>
        <w:top w:val="none" w:sz="0" w:space="0" w:color="auto"/>
        <w:left w:val="none" w:sz="0" w:space="0" w:color="auto"/>
        <w:bottom w:val="none" w:sz="0" w:space="0" w:color="auto"/>
        <w:right w:val="none" w:sz="0" w:space="0" w:color="auto"/>
      </w:divBdr>
    </w:div>
    <w:div w:id="1063411759">
      <w:bodyDiv w:val="1"/>
      <w:marLeft w:val="0"/>
      <w:marRight w:val="0"/>
      <w:marTop w:val="0"/>
      <w:marBottom w:val="0"/>
      <w:divBdr>
        <w:top w:val="none" w:sz="0" w:space="0" w:color="auto"/>
        <w:left w:val="none" w:sz="0" w:space="0" w:color="auto"/>
        <w:bottom w:val="none" w:sz="0" w:space="0" w:color="auto"/>
        <w:right w:val="none" w:sz="0" w:space="0" w:color="auto"/>
      </w:divBdr>
      <w:divsChild>
        <w:div w:id="238103496">
          <w:marLeft w:val="360"/>
          <w:marRight w:val="0"/>
          <w:marTop w:val="200"/>
          <w:marBottom w:val="0"/>
          <w:divBdr>
            <w:top w:val="none" w:sz="0" w:space="0" w:color="auto"/>
            <w:left w:val="none" w:sz="0" w:space="0" w:color="auto"/>
            <w:bottom w:val="none" w:sz="0" w:space="0" w:color="auto"/>
            <w:right w:val="none" w:sz="0" w:space="0" w:color="auto"/>
          </w:divBdr>
        </w:div>
      </w:divsChild>
    </w:div>
    <w:div w:id="1091969111">
      <w:bodyDiv w:val="1"/>
      <w:marLeft w:val="0"/>
      <w:marRight w:val="0"/>
      <w:marTop w:val="0"/>
      <w:marBottom w:val="0"/>
      <w:divBdr>
        <w:top w:val="none" w:sz="0" w:space="0" w:color="auto"/>
        <w:left w:val="none" w:sz="0" w:space="0" w:color="auto"/>
        <w:bottom w:val="none" w:sz="0" w:space="0" w:color="auto"/>
        <w:right w:val="none" w:sz="0" w:space="0" w:color="auto"/>
      </w:divBdr>
    </w:div>
    <w:div w:id="1111585611">
      <w:bodyDiv w:val="1"/>
      <w:marLeft w:val="0"/>
      <w:marRight w:val="0"/>
      <w:marTop w:val="0"/>
      <w:marBottom w:val="0"/>
      <w:divBdr>
        <w:top w:val="none" w:sz="0" w:space="0" w:color="auto"/>
        <w:left w:val="none" w:sz="0" w:space="0" w:color="auto"/>
        <w:bottom w:val="none" w:sz="0" w:space="0" w:color="auto"/>
        <w:right w:val="none" w:sz="0" w:space="0" w:color="auto"/>
      </w:divBdr>
    </w:div>
    <w:div w:id="1135954870">
      <w:bodyDiv w:val="1"/>
      <w:marLeft w:val="0"/>
      <w:marRight w:val="0"/>
      <w:marTop w:val="0"/>
      <w:marBottom w:val="0"/>
      <w:divBdr>
        <w:top w:val="none" w:sz="0" w:space="0" w:color="auto"/>
        <w:left w:val="none" w:sz="0" w:space="0" w:color="auto"/>
        <w:bottom w:val="none" w:sz="0" w:space="0" w:color="auto"/>
        <w:right w:val="none" w:sz="0" w:space="0" w:color="auto"/>
      </w:divBdr>
      <w:divsChild>
        <w:div w:id="1530096282">
          <w:marLeft w:val="360"/>
          <w:marRight w:val="0"/>
          <w:marTop w:val="200"/>
          <w:marBottom w:val="0"/>
          <w:divBdr>
            <w:top w:val="none" w:sz="0" w:space="0" w:color="auto"/>
            <w:left w:val="none" w:sz="0" w:space="0" w:color="auto"/>
            <w:bottom w:val="none" w:sz="0" w:space="0" w:color="auto"/>
            <w:right w:val="none" w:sz="0" w:space="0" w:color="auto"/>
          </w:divBdr>
        </w:div>
        <w:div w:id="910888350">
          <w:marLeft w:val="1080"/>
          <w:marRight w:val="0"/>
          <w:marTop w:val="100"/>
          <w:marBottom w:val="0"/>
          <w:divBdr>
            <w:top w:val="none" w:sz="0" w:space="0" w:color="auto"/>
            <w:left w:val="none" w:sz="0" w:space="0" w:color="auto"/>
            <w:bottom w:val="none" w:sz="0" w:space="0" w:color="auto"/>
            <w:right w:val="none" w:sz="0" w:space="0" w:color="auto"/>
          </w:divBdr>
        </w:div>
        <w:div w:id="1617953467">
          <w:marLeft w:val="1080"/>
          <w:marRight w:val="0"/>
          <w:marTop w:val="100"/>
          <w:marBottom w:val="0"/>
          <w:divBdr>
            <w:top w:val="none" w:sz="0" w:space="0" w:color="auto"/>
            <w:left w:val="none" w:sz="0" w:space="0" w:color="auto"/>
            <w:bottom w:val="none" w:sz="0" w:space="0" w:color="auto"/>
            <w:right w:val="none" w:sz="0" w:space="0" w:color="auto"/>
          </w:divBdr>
        </w:div>
      </w:divsChild>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069605">
      <w:bodyDiv w:val="1"/>
      <w:marLeft w:val="0"/>
      <w:marRight w:val="0"/>
      <w:marTop w:val="0"/>
      <w:marBottom w:val="0"/>
      <w:divBdr>
        <w:top w:val="none" w:sz="0" w:space="0" w:color="auto"/>
        <w:left w:val="none" w:sz="0" w:space="0" w:color="auto"/>
        <w:bottom w:val="none" w:sz="0" w:space="0" w:color="auto"/>
        <w:right w:val="none" w:sz="0" w:space="0" w:color="auto"/>
      </w:divBdr>
    </w:div>
    <w:div w:id="1267420506">
      <w:bodyDiv w:val="1"/>
      <w:marLeft w:val="0"/>
      <w:marRight w:val="0"/>
      <w:marTop w:val="0"/>
      <w:marBottom w:val="0"/>
      <w:divBdr>
        <w:top w:val="none" w:sz="0" w:space="0" w:color="auto"/>
        <w:left w:val="none" w:sz="0" w:space="0" w:color="auto"/>
        <w:bottom w:val="none" w:sz="0" w:space="0" w:color="auto"/>
        <w:right w:val="none" w:sz="0" w:space="0" w:color="auto"/>
      </w:divBdr>
    </w:div>
    <w:div w:id="1288701785">
      <w:bodyDiv w:val="1"/>
      <w:marLeft w:val="0"/>
      <w:marRight w:val="0"/>
      <w:marTop w:val="0"/>
      <w:marBottom w:val="0"/>
      <w:divBdr>
        <w:top w:val="none" w:sz="0" w:space="0" w:color="auto"/>
        <w:left w:val="none" w:sz="0" w:space="0" w:color="auto"/>
        <w:bottom w:val="none" w:sz="0" w:space="0" w:color="auto"/>
        <w:right w:val="none" w:sz="0" w:space="0" w:color="auto"/>
      </w:divBdr>
    </w:div>
    <w:div w:id="1357121285">
      <w:bodyDiv w:val="1"/>
      <w:marLeft w:val="0"/>
      <w:marRight w:val="0"/>
      <w:marTop w:val="0"/>
      <w:marBottom w:val="0"/>
      <w:divBdr>
        <w:top w:val="none" w:sz="0" w:space="0" w:color="auto"/>
        <w:left w:val="none" w:sz="0" w:space="0" w:color="auto"/>
        <w:bottom w:val="none" w:sz="0" w:space="0" w:color="auto"/>
        <w:right w:val="none" w:sz="0" w:space="0" w:color="auto"/>
      </w:divBdr>
      <w:divsChild>
        <w:div w:id="1037198876">
          <w:marLeft w:val="360"/>
          <w:marRight w:val="0"/>
          <w:marTop w:val="200"/>
          <w:marBottom w:val="0"/>
          <w:divBdr>
            <w:top w:val="none" w:sz="0" w:space="0" w:color="auto"/>
            <w:left w:val="none" w:sz="0" w:space="0" w:color="auto"/>
            <w:bottom w:val="none" w:sz="0" w:space="0" w:color="auto"/>
            <w:right w:val="none" w:sz="0" w:space="0" w:color="auto"/>
          </w:divBdr>
        </w:div>
        <w:div w:id="381291727">
          <w:marLeft w:val="360"/>
          <w:marRight w:val="0"/>
          <w:marTop w:val="200"/>
          <w:marBottom w:val="0"/>
          <w:divBdr>
            <w:top w:val="none" w:sz="0" w:space="0" w:color="auto"/>
            <w:left w:val="none" w:sz="0" w:space="0" w:color="auto"/>
            <w:bottom w:val="none" w:sz="0" w:space="0" w:color="auto"/>
            <w:right w:val="none" w:sz="0" w:space="0" w:color="auto"/>
          </w:divBdr>
        </w:div>
        <w:div w:id="1695575180">
          <w:marLeft w:val="360"/>
          <w:marRight w:val="0"/>
          <w:marTop w:val="200"/>
          <w:marBottom w:val="0"/>
          <w:divBdr>
            <w:top w:val="none" w:sz="0" w:space="0" w:color="auto"/>
            <w:left w:val="none" w:sz="0" w:space="0" w:color="auto"/>
            <w:bottom w:val="none" w:sz="0" w:space="0" w:color="auto"/>
            <w:right w:val="none" w:sz="0" w:space="0" w:color="auto"/>
          </w:divBdr>
        </w:div>
      </w:divsChild>
    </w:div>
    <w:div w:id="1483081199">
      <w:bodyDiv w:val="1"/>
      <w:marLeft w:val="0"/>
      <w:marRight w:val="0"/>
      <w:marTop w:val="0"/>
      <w:marBottom w:val="0"/>
      <w:divBdr>
        <w:top w:val="none" w:sz="0" w:space="0" w:color="auto"/>
        <w:left w:val="none" w:sz="0" w:space="0" w:color="auto"/>
        <w:bottom w:val="none" w:sz="0" w:space="0" w:color="auto"/>
        <w:right w:val="none" w:sz="0" w:space="0" w:color="auto"/>
      </w:divBdr>
    </w:div>
    <w:div w:id="1518930415">
      <w:bodyDiv w:val="1"/>
      <w:marLeft w:val="0"/>
      <w:marRight w:val="0"/>
      <w:marTop w:val="0"/>
      <w:marBottom w:val="0"/>
      <w:divBdr>
        <w:top w:val="none" w:sz="0" w:space="0" w:color="auto"/>
        <w:left w:val="none" w:sz="0" w:space="0" w:color="auto"/>
        <w:bottom w:val="none" w:sz="0" w:space="0" w:color="auto"/>
        <w:right w:val="none" w:sz="0" w:space="0" w:color="auto"/>
      </w:divBdr>
    </w:div>
    <w:div w:id="1545412425">
      <w:bodyDiv w:val="1"/>
      <w:marLeft w:val="0"/>
      <w:marRight w:val="0"/>
      <w:marTop w:val="0"/>
      <w:marBottom w:val="0"/>
      <w:divBdr>
        <w:top w:val="none" w:sz="0" w:space="0" w:color="auto"/>
        <w:left w:val="none" w:sz="0" w:space="0" w:color="auto"/>
        <w:bottom w:val="none" w:sz="0" w:space="0" w:color="auto"/>
        <w:right w:val="none" w:sz="0" w:space="0" w:color="auto"/>
      </w:divBdr>
      <w:divsChild>
        <w:div w:id="492962475">
          <w:marLeft w:val="360"/>
          <w:marRight w:val="0"/>
          <w:marTop w:val="200"/>
          <w:marBottom w:val="0"/>
          <w:divBdr>
            <w:top w:val="none" w:sz="0" w:space="0" w:color="auto"/>
            <w:left w:val="none" w:sz="0" w:space="0" w:color="auto"/>
            <w:bottom w:val="none" w:sz="0" w:space="0" w:color="auto"/>
            <w:right w:val="none" w:sz="0" w:space="0" w:color="auto"/>
          </w:divBdr>
        </w:div>
      </w:divsChild>
    </w:div>
    <w:div w:id="1569726321">
      <w:bodyDiv w:val="1"/>
      <w:marLeft w:val="0"/>
      <w:marRight w:val="0"/>
      <w:marTop w:val="0"/>
      <w:marBottom w:val="0"/>
      <w:divBdr>
        <w:top w:val="none" w:sz="0" w:space="0" w:color="auto"/>
        <w:left w:val="none" w:sz="0" w:space="0" w:color="auto"/>
        <w:bottom w:val="none" w:sz="0" w:space="0" w:color="auto"/>
        <w:right w:val="none" w:sz="0" w:space="0" w:color="auto"/>
      </w:divBdr>
    </w:div>
    <w:div w:id="1608193331">
      <w:bodyDiv w:val="1"/>
      <w:marLeft w:val="0"/>
      <w:marRight w:val="0"/>
      <w:marTop w:val="0"/>
      <w:marBottom w:val="0"/>
      <w:divBdr>
        <w:top w:val="none" w:sz="0" w:space="0" w:color="auto"/>
        <w:left w:val="none" w:sz="0" w:space="0" w:color="auto"/>
        <w:bottom w:val="none" w:sz="0" w:space="0" w:color="auto"/>
        <w:right w:val="none" w:sz="0" w:space="0" w:color="auto"/>
      </w:divBdr>
      <w:divsChild>
        <w:div w:id="218057467">
          <w:marLeft w:val="360"/>
          <w:marRight w:val="0"/>
          <w:marTop w:val="200"/>
          <w:marBottom w:val="0"/>
          <w:divBdr>
            <w:top w:val="none" w:sz="0" w:space="0" w:color="auto"/>
            <w:left w:val="none" w:sz="0" w:space="0" w:color="auto"/>
            <w:bottom w:val="none" w:sz="0" w:space="0" w:color="auto"/>
            <w:right w:val="none" w:sz="0" w:space="0" w:color="auto"/>
          </w:divBdr>
        </w:div>
        <w:div w:id="1818380757">
          <w:marLeft w:val="360"/>
          <w:marRight w:val="0"/>
          <w:marTop w:val="200"/>
          <w:marBottom w:val="0"/>
          <w:divBdr>
            <w:top w:val="none" w:sz="0" w:space="0" w:color="auto"/>
            <w:left w:val="none" w:sz="0" w:space="0" w:color="auto"/>
            <w:bottom w:val="none" w:sz="0" w:space="0" w:color="auto"/>
            <w:right w:val="none" w:sz="0" w:space="0" w:color="auto"/>
          </w:divBdr>
        </w:div>
        <w:div w:id="915555880">
          <w:marLeft w:val="360"/>
          <w:marRight w:val="0"/>
          <w:marTop w:val="200"/>
          <w:marBottom w:val="0"/>
          <w:divBdr>
            <w:top w:val="none" w:sz="0" w:space="0" w:color="auto"/>
            <w:left w:val="none" w:sz="0" w:space="0" w:color="auto"/>
            <w:bottom w:val="none" w:sz="0" w:space="0" w:color="auto"/>
            <w:right w:val="none" w:sz="0" w:space="0" w:color="auto"/>
          </w:divBdr>
        </w:div>
        <w:div w:id="739788768">
          <w:marLeft w:val="360"/>
          <w:marRight w:val="0"/>
          <w:marTop w:val="200"/>
          <w:marBottom w:val="0"/>
          <w:divBdr>
            <w:top w:val="none" w:sz="0" w:space="0" w:color="auto"/>
            <w:left w:val="none" w:sz="0" w:space="0" w:color="auto"/>
            <w:bottom w:val="none" w:sz="0" w:space="0" w:color="auto"/>
            <w:right w:val="none" w:sz="0" w:space="0" w:color="auto"/>
          </w:divBdr>
        </w:div>
        <w:div w:id="961695379">
          <w:marLeft w:val="360"/>
          <w:marRight w:val="0"/>
          <w:marTop w:val="200"/>
          <w:marBottom w:val="0"/>
          <w:divBdr>
            <w:top w:val="none" w:sz="0" w:space="0" w:color="auto"/>
            <w:left w:val="none" w:sz="0" w:space="0" w:color="auto"/>
            <w:bottom w:val="none" w:sz="0" w:space="0" w:color="auto"/>
            <w:right w:val="none" w:sz="0" w:space="0" w:color="auto"/>
          </w:divBdr>
        </w:div>
        <w:div w:id="2073190966">
          <w:marLeft w:val="360"/>
          <w:marRight w:val="0"/>
          <w:marTop w:val="200"/>
          <w:marBottom w:val="0"/>
          <w:divBdr>
            <w:top w:val="none" w:sz="0" w:space="0" w:color="auto"/>
            <w:left w:val="none" w:sz="0" w:space="0" w:color="auto"/>
            <w:bottom w:val="none" w:sz="0" w:space="0" w:color="auto"/>
            <w:right w:val="none" w:sz="0" w:space="0" w:color="auto"/>
          </w:divBdr>
        </w:div>
      </w:divsChild>
    </w:div>
    <w:div w:id="1839341907">
      <w:bodyDiv w:val="1"/>
      <w:marLeft w:val="0"/>
      <w:marRight w:val="0"/>
      <w:marTop w:val="0"/>
      <w:marBottom w:val="0"/>
      <w:divBdr>
        <w:top w:val="none" w:sz="0" w:space="0" w:color="auto"/>
        <w:left w:val="none" w:sz="0" w:space="0" w:color="auto"/>
        <w:bottom w:val="none" w:sz="0" w:space="0" w:color="auto"/>
        <w:right w:val="none" w:sz="0" w:space="0" w:color="auto"/>
      </w:divBdr>
      <w:divsChild>
        <w:div w:id="617491629">
          <w:marLeft w:val="360"/>
          <w:marRight w:val="0"/>
          <w:marTop w:val="200"/>
          <w:marBottom w:val="0"/>
          <w:divBdr>
            <w:top w:val="none" w:sz="0" w:space="0" w:color="auto"/>
            <w:left w:val="none" w:sz="0" w:space="0" w:color="auto"/>
            <w:bottom w:val="none" w:sz="0" w:space="0" w:color="auto"/>
            <w:right w:val="none" w:sz="0" w:space="0" w:color="auto"/>
          </w:divBdr>
        </w:div>
        <w:div w:id="1235046127">
          <w:marLeft w:val="360"/>
          <w:marRight w:val="0"/>
          <w:marTop w:val="200"/>
          <w:marBottom w:val="0"/>
          <w:divBdr>
            <w:top w:val="none" w:sz="0" w:space="0" w:color="auto"/>
            <w:left w:val="none" w:sz="0" w:space="0" w:color="auto"/>
            <w:bottom w:val="none" w:sz="0" w:space="0" w:color="auto"/>
            <w:right w:val="none" w:sz="0" w:space="0" w:color="auto"/>
          </w:divBdr>
        </w:div>
        <w:div w:id="1575969612">
          <w:marLeft w:val="360"/>
          <w:marRight w:val="0"/>
          <w:marTop w:val="200"/>
          <w:marBottom w:val="0"/>
          <w:divBdr>
            <w:top w:val="none" w:sz="0" w:space="0" w:color="auto"/>
            <w:left w:val="none" w:sz="0" w:space="0" w:color="auto"/>
            <w:bottom w:val="none" w:sz="0" w:space="0" w:color="auto"/>
            <w:right w:val="none" w:sz="0" w:space="0" w:color="auto"/>
          </w:divBdr>
        </w:div>
        <w:div w:id="2064982688">
          <w:marLeft w:val="360"/>
          <w:marRight w:val="0"/>
          <w:marTop w:val="200"/>
          <w:marBottom w:val="0"/>
          <w:divBdr>
            <w:top w:val="none" w:sz="0" w:space="0" w:color="auto"/>
            <w:left w:val="none" w:sz="0" w:space="0" w:color="auto"/>
            <w:bottom w:val="none" w:sz="0" w:space="0" w:color="auto"/>
            <w:right w:val="none" w:sz="0" w:space="0" w:color="auto"/>
          </w:divBdr>
        </w:div>
      </w:divsChild>
    </w:div>
    <w:div w:id="1871601978">
      <w:bodyDiv w:val="1"/>
      <w:marLeft w:val="0"/>
      <w:marRight w:val="0"/>
      <w:marTop w:val="0"/>
      <w:marBottom w:val="0"/>
      <w:divBdr>
        <w:top w:val="none" w:sz="0" w:space="0" w:color="auto"/>
        <w:left w:val="none" w:sz="0" w:space="0" w:color="auto"/>
        <w:bottom w:val="none" w:sz="0" w:space="0" w:color="auto"/>
        <w:right w:val="none" w:sz="0" w:space="0" w:color="auto"/>
      </w:divBdr>
    </w:div>
    <w:div w:id="1939411308">
      <w:bodyDiv w:val="1"/>
      <w:marLeft w:val="0"/>
      <w:marRight w:val="0"/>
      <w:marTop w:val="0"/>
      <w:marBottom w:val="0"/>
      <w:divBdr>
        <w:top w:val="none" w:sz="0" w:space="0" w:color="auto"/>
        <w:left w:val="none" w:sz="0" w:space="0" w:color="auto"/>
        <w:bottom w:val="none" w:sz="0" w:space="0" w:color="auto"/>
        <w:right w:val="none" w:sz="0" w:space="0" w:color="auto"/>
      </w:divBdr>
      <w:divsChild>
        <w:div w:id="2015304459">
          <w:marLeft w:val="360"/>
          <w:marRight w:val="0"/>
          <w:marTop w:val="200"/>
          <w:marBottom w:val="0"/>
          <w:divBdr>
            <w:top w:val="none" w:sz="0" w:space="0" w:color="auto"/>
            <w:left w:val="none" w:sz="0" w:space="0" w:color="auto"/>
            <w:bottom w:val="none" w:sz="0" w:space="0" w:color="auto"/>
            <w:right w:val="none" w:sz="0" w:space="0" w:color="auto"/>
          </w:divBdr>
        </w:div>
      </w:divsChild>
    </w:div>
    <w:div w:id="1952930408">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1958247194">
      <w:bodyDiv w:val="1"/>
      <w:marLeft w:val="0"/>
      <w:marRight w:val="0"/>
      <w:marTop w:val="0"/>
      <w:marBottom w:val="0"/>
      <w:divBdr>
        <w:top w:val="none" w:sz="0" w:space="0" w:color="auto"/>
        <w:left w:val="none" w:sz="0" w:space="0" w:color="auto"/>
        <w:bottom w:val="none" w:sz="0" w:space="0" w:color="auto"/>
        <w:right w:val="none" w:sz="0" w:space="0" w:color="auto"/>
      </w:divBdr>
      <w:divsChild>
        <w:div w:id="1613129945">
          <w:marLeft w:val="360"/>
          <w:marRight w:val="0"/>
          <w:marTop w:val="200"/>
          <w:marBottom w:val="0"/>
          <w:divBdr>
            <w:top w:val="none" w:sz="0" w:space="0" w:color="auto"/>
            <w:left w:val="none" w:sz="0" w:space="0" w:color="auto"/>
            <w:bottom w:val="none" w:sz="0" w:space="0" w:color="auto"/>
            <w:right w:val="none" w:sz="0" w:space="0" w:color="auto"/>
          </w:divBdr>
        </w:div>
      </w:divsChild>
    </w:div>
    <w:div w:id="1995990781">
      <w:bodyDiv w:val="1"/>
      <w:marLeft w:val="0"/>
      <w:marRight w:val="0"/>
      <w:marTop w:val="0"/>
      <w:marBottom w:val="0"/>
      <w:divBdr>
        <w:top w:val="none" w:sz="0" w:space="0" w:color="auto"/>
        <w:left w:val="none" w:sz="0" w:space="0" w:color="auto"/>
        <w:bottom w:val="none" w:sz="0" w:space="0" w:color="auto"/>
        <w:right w:val="none" w:sz="0" w:space="0" w:color="auto"/>
      </w:divBdr>
      <w:divsChild>
        <w:div w:id="879630076">
          <w:marLeft w:val="360"/>
          <w:marRight w:val="0"/>
          <w:marTop w:val="200"/>
          <w:marBottom w:val="0"/>
          <w:divBdr>
            <w:top w:val="none" w:sz="0" w:space="0" w:color="auto"/>
            <w:left w:val="none" w:sz="0" w:space="0" w:color="auto"/>
            <w:bottom w:val="none" w:sz="0" w:space="0" w:color="auto"/>
            <w:right w:val="none" w:sz="0" w:space="0" w:color="auto"/>
          </w:divBdr>
        </w:div>
        <w:div w:id="902791046">
          <w:marLeft w:val="360"/>
          <w:marRight w:val="0"/>
          <w:marTop w:val="200"/>
          <w:marBottom w:val="0"/>
          <w:divBdr>
            <w:top w:val="none" w:sz="0" w:space="0" w:color="auto"/>
            <w:left w:val="none" w:sz="0" w:space="0" w:color="auto"/>
            <w:bottom w:val="none" w:sz="0" w:space="0" w:color="auto"/>
            <w:right w:val="none" w:sz="0" w:space="0" w:color="auto"/>
          </w:divBdr>
        </w:div>
      </w:divsChild>
    </w:div>
    <w:div w:id="2016296523">
      <w:bodyDiv w:val="1"/>
      <w:marLeft w:val="0"/>
      <w:marRight w:val="0"/>
      <w:marTop w:val="0"/>
      <w:marBottom w:val="0"/>
      <w:divBdr>
        <w:top w:val="none" w:sz="0" w:space="0" w:color="auto"/>
        <w:left w:val="none" w:sz="0" w:space="0" w:color="auto"/>
        <w:bottom w:val="none" w:sz="0" w:space="0" w:color="auto"/>
        <w:right w:val="none" w:sz="0" w:space="0" w:color="auto"/>
      </w:divBdr>
    </w:div>
    <w:div w:id="2049405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DD499-B898-4864-9CC1-CD3578E72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19686</Words>
  <Characters>103132</Characters>
  <Application>Microsoft Office Word</Application>
  <DocSecurity>0</DocSecurity>
  <Lines>859</Lines>
  <Paragraphs>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2022-03-31T05:18:00Z</dcterms:created>
  <dcterms:modified xsi:type="dcterms:W3CDTF">2022-06-25T05:34:00Z</dcterms:modified>
</cp:coreProperties>
</file>