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812E2" w14:textId="18736548" w:rsidR="00975450" w:rsidRPr="00D849E1" w:rsidRDefault="009C05AC" w:rsidP="00D849E1">
      <w:pPr>
        <w:pStyle w:val="1MainTitle"/>
        <w:jc w:val="left"/>
      </w:pPr>
      <w:r>
        <w:t>5.2</w:t>
      </w:r>
      <w:r w:rsidR="0051166F">
        <w:t>4</w:t>
      </w:r>
      <w:r w:rsidR="00872E8F">
        <w:tab/>
      </w:r>
      <w:r>
        <w:t>CABAZITAXEL</w:t>
      </w:r>
      <w:r w:rsidR="70971A32">
        <w:t>,</w:t>
      </w:r>
      <w:r w:rsidR="00872E8F">
        <w:br/>
      </w:r>
      <w:r w:rsidR="00FD0448">
        <w:t xml:space="preserve">Solution concentrate for I.V. infusion </w:t>
      </w:r>
      <w:r>
        <w:t>60 mg</w:t>
      </w:r>
      <w:r w:rsidR="003B71AC">
        <w:t xml:space="preserve"> in </w:t>
      </w:r>
      <w:r>
        <w:t>3 mL</w:t>
      </w:r>
      <w:r w:rsidR="70971A32">
        <w:t>,</w:t>
      </w:r>
      <w:r w:rsidR="00872E8F">
        <w:br/>
      </w:r>
      <w:r w:rsidR="00EE44BE">
        <w:t>Cabazitaxel Accord</w:t>
      </w:r>
      <w:r w:rsidR="70971A32">
        <w:t>®,</w:t>
      </w:r>
      <w:r w:rsidR="00872E8F">
        <w:br/>
      </w:r>
      <w:r w:rsidR="00EE44BE">
        <w:t>Accord Healthcare Pty</w:t>
      </w:r>
      <w:r w:rsidR="00F145C2">
        <w:t>.</w:t>
      </w:r>
      <w:r w:rsidR="00EE44BE">
        <w:t xml:space="preserve"> Ltd</w:t>
      </w:r>
      <w:r w:rsidR="00F145C2">
        <w:t>.</w:t>
      </w:r>
    </w:p>
    <w:p w14:paraId="5F4D54C1" w14:textId="0A3B7088"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2BFDAD71" w14:textId="5BA09EB7" w:rsidR="006C6C10" w:rsidRDefault="006C6C10" w:rsidP="79E941EA">
      <w:pPr>
        <w:pStyle w:val="3Bodytext"/>
        <w:rPr>
          <w:rFonts w:cstheme="minorHAnsi"/>
          <w:szCs w:val="24"/>
        </w:rPr>
      </w:pPr>
      <w:bookmarkStart w:id="0" w:name="_Hlk93684304"/>
      <w:r w:rsidRPr="00EF4580">
        <w:rPr>
          <w:rFonts w:cstheme="minorHAnsi"/>
          <w:szCs w:val="24"/>
        </w:rPr>
        <w:t xml:space="preserve">The </w:t>
      </w:r>
      <w:r w:rsidR="00C96EC0" w:rsidRPr="00E47327">
        <w:rPr>
          <w:rFonts w:cstheme="minorHAnsi"/>
          <w:szCs w:val="24"/>
        </w:rPr>
        <w:t xml:space="preserve">Committee Secretariat </w:t>
      </w:r>
      <w:r w:rsidRPr="00E47327">
        <w:rPr>
          <w:rFonts w:cstheme="minorHAnsi"/>
          <w:szCs w:val="24"/>
        </w:rPr>
        <w:t xml:space="preserve">submission </w:t>
      </w:r>
      <w:r w:rsidR="00EE44BE">
        <w:rPr>
          <w:rFonts w:cstheme="minorHAnsi"/>
          <w:szCs w:val="24"/>
        </w:rPr>
        <w:t>sought a Section 100 Efficient Funding of Chemotherapy</w:t>
      </w:r>
      <w:r w:rsidR="00C20386">
        <w:rPr>
          <w:rFonts w:cstheme="minorHAnsi"/>
          <w:szCs w:val="24"/>
        </w:rPr>
        <w:t xml:space="preserve"> (EFC)</w:t>
      </w:r>
      <w:r w:rsidR="00EE44BE">
        <w:rPr>
          <w:rFonts w:cstheme="minorHAnsi"/>
          <w:szCs w:val="24"/>
        </w:rPr>
        <w:t xml:space="preserve"> Program</w:t>
      </w:r>
      <w:r w:rsidR="00C20386">
        <w:rPr>
          <w:rFonts w:cstheme="minorHAnsi"/>
          <w:szCs w:val="24"/>
        </w:rPr>
        <w:t xml:space="preserve">, </w:t>
      </w:r>
      <w:r w:rsidR="00C20386" w:rsidRPr="006F13C3">
        <w:t>Authority Required (STREAMLINED)</w:t>
      </w:r>
      <w:r w:rsidR="00EE44BE">
        <w:rPr>
          <w:rFonts w:cstheme="minorHAnsi"/>
          <w:szCs w:val="24"/>
        </w:rPr>
        <w:t xml:space="preserve"> listing of a new </w:t>
      </w:r>
      <w:r w:rsidR="00C20386">
        <w:rPr>
          <w:rFonts w:cstheme="minorHAnsi"/>
          <w:szCs w:val="24"/>
        </w:rPr>
        <w:t xml:space="preserve">vial size containing 60 mg </w:t>
      </w:r>
      <w:r w:rsidR="002736B4">
        <w:rPr>
          <w:rFonts w:cstheme="minorHAnsi"/>
          <w:szCs w:val="24"/>
        </w:rPr>
        <w:t xml:space="preserve">in 3 mL </w:t>
      </w:r>
      <w:r w:rsidR="00C20386">
        <w:rPr>
          <w:rFonts w:cstheme="minorHAnsi"/>
          <w:szCs w:val="24"/>
        </w:rPr>
        <w:t>cabazitaxel, Cabazitaxel Accord®</w:t>
      </w:r>
      <w:r w:rsidR="00D849E1">
        <w:rPr>
          <w:rFonts w:cstheme="minorHAnsi"/>
          <w:szCs w:val="24"/>
        </w:rPr>
        <w:t>,</w:t>
      </w:r>
      <w:r w:rsidR="00EE44BE">
        <w:rPr>
          <w:rFonts w:cstheme="minorHAnsi"/>
          <w:szCs w:val="24"/>
        </w:rPr>
        <w:t xml:space="preserve"> under the same </w:t>
      </w:r>
      <w:r w:rsidR="00C20386">
        <w:rPr>
          <w:rFonts w:cstheme="minorHAnsi"/>
          <w:szCs w:val="24"/>
        </w:rPr>
        <w:t xml:space="preserve">circumstances </w:t>
      </w:r>
      <w:r w:rsidR="00E47327">
        <w:rPr>
          <w:rFonts w:cstheme="minorHAnsi"/>
          <w:szCs w:val="24"/>
        </w:rPr>
        <w:t>as the currently listed brands of cabazitaxel</w:t>
      </w:r>
      <w:r w:rsidR="00E3576C">
        <w:rPr>
          <w:rFonts w:cstheme="minorHAnsi"/>
          <w:szCs w:val="24"/>
        </w:rPr>
        <w:t xml:space="preserve"> for treatment of </w:t>
      </w:r>
      <w:r w:rsidR="00E3576C">
        <w:rPr>
          <w:color w:val="000000" w:themeColor="text1"/>
        </w:rPr>
        <w:t>c</w:t>
      </w:r>
      <w:r w:rsidR="00E3576C" w:rsidRPr="003B71AC">
        <w:rPr>
          <w:color w:val="000000" w:themeColor="text1"/>
        </w:rPr>
        <w:t>astration resistant metastatic carcinoma of the prostate</w:t>
      </w:r>
      <w:r w:rsidR="00E47327">
        <w:rPr>
          <w:rFonts w:cstheme="minorHAnsi"/>
          <w:szCs w:val="24"/>
        </w:rPr>
        <w:t>.</w:t>
      </w:r>
    </w:p>
    <w:bookmarkEnd w:id="0"/>
    <w:p w14:paraId="3D1D4320" w14:textId="77777777" w:rsidR="007E490F" w:rsidRPr="00FD6D8E" w:rsidRDefault="007E490F" w:rsidP="001F2311">
      <w:pPr>
        <w:pStyle w:val="2-SectionHeading"/>
        <w:numPr>
          <w:ilvl w:val="0"/>
          <w:numId w:val="2"/>
        </w:numPr>
      </w:pPr>
      <w:r w:rsidRPr="009E2E8E">
        <w:t>Background</w:t>
      </w:r>
      <w:r>
        <w:t xml:space="preserve"> </w:t>
      </w:r>
    </w:p>
    <w:p w14:paraId="1F7327FB" w14:textId="77777777" w:rsidR="00C20386" w:rsidRDefault="00C20386" w:rsidP="00C20386">
      <w:pPr>
        <w:pStyle w:val="4-SubsectionHeading"/>
      </w:pPr>
      <w:bookmarkStart w:id="1" w:name="_Hlk93318668"/>
      <w:r>
        <w:t>Registration</w:t>
      </w:r>
      <w:r w:rsidRPr="009324A6">
        <w:t xml:space="preserve"> status</w:t>
      </w:r>
    </w:p>
    <w:p w14:paraId="1FD17BA9" w14:textId="20BFCBF1" w:rsidR="00C20386" w:rsidRDefault="00C20386" w:rsidP="00C20386">
      <w:pPr>
        <w:pStyle w:val="3Bodytext"/>
      </w:pPr>
      <w:bookmarkStart w:id="2" w:name="_Hlk93684779"/>
      <w:r w:rsidRPr="00A74955">
        <w:t xml:space="preserve">Cabazitaxel Accord was </w:t>
      </w:r>
      <w:r w:rsidR="000D3987">
        <w:t>Therapeutic Goods Administration (</w:t>
      </w:r>
      <w:r w:rsidRPr="00A74955">
        <w:t>TGA</w:t>
      </w:r>
      <w:r w:rsidR="000D3987">
        <w:t>)</w:t>
      </w:r>
      <w:r w:rsidRPr="00A74955">
        <w:t xml:space="preserve"> registered on 3</w:t>
      </w:r>
      <w:r w:rsidR="000D3987">
        <w:t> </w:t>
      </w:r>
      <w:r w:rsidRPr="00A74955">
        <w:t xml:space="preserve">August 2021 </w:t>
      </w:r>
      <w:r>
        <w:t>for</w:t>
      </w:r>
      <w:r w:rsidR="00AD49A4">
        <w:t xml:space="preserve"> use in combination with prednisone or prednisolone for</w:t>
      </w:r>
      <w:r>
        <w:t xml:space="preserve"> the treatment of patients with metastatic castration resistant prostate cancer previously treated with a docetaxel containing regimen.</w:t>
      </w:r>
    </w:p>
    <w:bookmarkEnd w:id="2"/>
    <w:p w14:paraId="4281D411" w14:textId="1CE58D86" w:rsidR="00C20386" w:rsidRDefault="00C20386" w:rsidP="00C20386">
      <w:pPr>
        <w:pStyle w:val="3Bodytext"/>
      </w:pPr>
      <w:r w:rsidRPr="00A74955">
        <w:t>Cabazitaxel Accord</w:t>
      </w:r>
      <w:r>
        <w:t xml:space="preserve"> </w:t>
      </w:r>
      <w:bookmarkStart w:id="3" w:name="_Hlk93684863"/>
      <w:r>
        <w:t xml:space="preserve">has the same indications as the currently listed brands of </w:t>
      </w:r>
      <w:proofErr w:type="spellStart"/>
      <w:r>
        <w:t>cabazitaxel</w:t>
      </w:r>
      <w:proofErr w:type="spellEnd"/>
      <w:r>
        <w:t xml:space="preserve"> including </w:t>
      </w:r>
      <w:proofErr w:type="spellStart"/>
      <w:r w:rsidR="006B147C">
        <w:t>Jevtana</w:t>
      </w:r>
      <w:proofErr w:type="spellEnd"/>
      <w:r w:rsidR="006B147C">
        <w:rPr>
          <w:rFonts w:cstheme="minorHAnsi"/>
        </w:rPr>
        <w:t>®</w:t>
      </w:r>
      <w:r w:rsidR="006B147C">
        <w:t xml:space="preserve">, </w:t>
      </w:r>
      <w:proofErr w:type="spellStart"/>
      <w:r w:rsidR="006B147C">
        <w:t>Cabazitaxel</w:t>
      </w:r>
      <w:proofErr w:type="spellEnd"/>
      <w:r w:rsidR="006B147C">
        <w:t xml:space="preserve"> Ever Pharma</w:t>
      </w:r>
      <w:r w:rsidR="006B147C">
        <w:rPr>
          <w:rFonts w:cstheme="minorHAnsi"/>
        </w:rPr>
        <w:t>®</w:t>
      </w:r>
      <w:r w:rsidR="006B147C">
        <w:t xml:space="preserve"> and Cabazitaxel Juno</w:t>
      </w:r>
      <w:r w:rsidR="006B147C">
        <w:rPr>
          <w:rFonts w:cstheme="minorHAnsi"/>
        </w:rPr>
        <w:t>®</w:t>
      </w:r>
      <w:r w:rsidR="006B147C">
        <w:t>.</w:t>
      </w:r>
      <w:r w:rsidDel="003B71AC">
        <w:rPr>
          <w:rStyle w:val="CommentReference"/>
          <w:rFonts w:ascii="Calibri" w:eastAsia="Times New Roman" w:hAnsi="Calibri" w:cs="Times New Roman"/>
        </w:rPr>
        <w:t xml:space="preserve"> </w:t>
      </w:r>
      <w:bookmarkEnd w:id="3"/>
    </w:p>
    <w:p w14:paraId="6E0B4B52" w14:textId="6D7C1601" w:rsidR="00C20386" w:rsidRDefault="00C20386" w:rsidP="00845F42">
      <w:pPr>
        <w:pStyle w:val="4-SubsectionHeading"/>
      </w:pPr>
      <w:r>
        <w:t>Current</w:t>
      </w:r>
      <w:r w:rsidRPr="009324A6">
        <w:t xml:space="preserve"> status</w:t>
      </w:r>
    </w:p>
    <w:bookmarkEnd w:id="1"/>
    <w:p w14:paraId="04EB9DBB" w14:textId="58BF659C" w:rsidR="00711AD5" w:rsidRDefault="00C06634" w:rsidP="009E5854">
      <w:pPr>
        <w:pStyle w:val="3Bodytext"/>
      </w:pPr>
      <w:r>
        <w:t>The concentration and dilution instructions for Cabazitaxel Accord</w:t>
      </w:r>
      <w:r w:rsidR="00845F42">
        <w:t xml:space="preserve"> (solution concentrate for I.V. infusion 60 mg in 3 mL)</w:t>
      </w:r>
      <w:r>
        <w:t xml:space="preserve"> are different to those for </w:t>
      </w:r>
      <w:proofErr w:type="spellStart"/>
      <w:r>
        <w:t>Jevtana</w:t>
      </w:r>
      <w:proofErr w:type="spellEnd"/>
      <w:r w:rsidR="002736B4">
        <w:t xml:space="preserve"> and </w:t>
      </w:r>
      <w:proofErr w:type="spellStart"/>
      <w:r w:rsidR="002736B4">
        <w:t>Cabazitaxel</w:t>
      </w:r>
      <w:proofErr w:type="spellEnd"/>
      <w:r w:rsidR="002736B4">
        <w:t xml:space="preserve"> Juno</w:t>
      </w:r>
      <w:r w:rsidR="00845F42">
        <w:t xml:space="preserve"> (</w:t>
      </w:r>
      <w:r w:rsidR="009E5854" w:rsidRPr="009E5854">
        <w:rPr>
          <w:color w:val="000000" w:themeColor="text1"/>
        </w:rPr>
        <w:t>Concentrated injection 60 mg in 1.5 mL, with diluent</w:t>
      </w:r>
      <w:r w:rsidR="00845F42">
        <w:t>)</w:t>
      </w:r>
      <w:r w:rsidR="002736B4">
        <w:t xml:space="preserve"> and to those for Cabazitaxel Ever Pharma (solution concentrate for I.V. infusion 60 mg in 6 mL)</w:t>
      </w:r>
      <w:r>
        <w:t xml:space="preserve">. </w:t>
      </w:r>
    </w:p>
    <w:p w14:paraId="191017D9" w14:textId="1E38B023" w:rsidR="001F2311" w:rsidRPr="001F2311" w:rsidRDefault="001F2311" w:rsidP="009E5854">
      <w:pPr>
        <w:pStyle w:val="3Bodytext"/>
        <w:rPr>
          <w:color w:val="FF0000"/>
        </w:rPr>
      </w:pPr>
      <w:r w:rsidRPr="001F2311">
        <w:t xml:space="preserve">EFC medicines are governed by the </w:t>
      </w:r>
      <w:r w:rsidRPr="00073B5C">
        <w:rPr>
          <w:i/>
        </w:rPr>
        <w:t>National Health (Efficient Funding of Chemotherapy) Special Arrangement 2011</w:t>
      </w:r>
      <w:r w:rsidRPr="001F2311">
        <w:t xml:space="preserve"> and subsection 33(</w:t>
      </w:r>
      <w:r w:rsidR="009E5854">
        <w:t>1</w:t>
      </w:r>
      <w:r w:rsidRPr="001F2311">
        <w:t xml:space="preserve">) allows </w:t>
      </w:r>
      <w:r w:rsidR="009E5854" w:rsidRPr="009E5854">
        <w:rPr>
          <w:color w:val="000000" w:themeColor="text1"/>
        </w:rPr>
        <w:t xml:space="preserve">the supplier of the infusion </w:t>
      </w:r>
      <w:r w:rsidR="009E5854">
        <w:rPr>
          <w:color w:val="000000" w:themeColor="text1"/>
        </w:rPr>
        <w:t>to</w:t>
      </w:r>
      <w:r w:rsidR="009E5854" w:rsidRPr="009E5854">
        <w:rPr>
          <w:color w:val="000000" w:themeColor="text1"/>
        </w:rPr>
        <w:t xml:space="preserve"> use pharmaceutical benefits with the same chemotherapy drug but a different form to make the infusion</w:t>
      </w:r>
      <w:r w:rsidR="009E5854">
        <w:rPr>
          <w:color w:val="000000" w:themeColor="text1"/>
        </w:rPr>
        <w:t>, meaning different forms may be substituted</w:t>
      </w:r>
      <w:r w:rsidRPr="001F2311">
        <w:t xml:space="preserve">.  </w:t>
      </w:r>
    </w:p>
    <w:p w14:paraId="0094486E" w14:textId="287C555A" w:rsidR="007E490F" w:rsidRDefault="007E490F" w:rsidP="007E490F">
      <w:pPr>
        <w:pStyle w:val="4-SubsectionHeading"/>
      </w:pPr>
      <w:r w:rsidRPr="0012749D">
        <w:t xml:space="preserve">Previous PBAC consideration </w:t>
      </w:r>
    </w:p>
    <w:p w14:paraId="5B605E94" w14:textId="30F99D35" w:rsidR="00845F42" w:rsidRPr="00845F42" w:rsidRDefault="007D600D" w:rsidP="006C1513">
      <w:pPr>
        <w:pStyle w:val="3Bodytext"/>
        <w:rPr>
          <w:iCs/>
        </w:rPr>
      </w:pPr>
      <w:proofErr w:type="spellStart"/>
      <w:r w:rsidRPr="006306D9">
        <w:rPr>
          <w:rFonts w:cstheme="minorHAnsi"/>
          <w:iCs/>
          <w:szCs w:val="24"/>
        </w:rPr>
        <w:t>Jevtana</w:t>
      </w:r>
      <w:proofErr w:type="spellEnd"/>
      <w:r w:rsidRPr="006306D9">
        <w:rPr>
          <w:rFonts w:cstheme="minorHAnsi"/>
          <w:iCs/>
          <w:szCs w:val="24"/>
        </w:rPr>
        <w:t xml:space="preserve"> was </w:t>
      </w:r>
      <w:r w:rsidR="006306D9" w:rsidRPr="006306D9">
        <w:rPr>
          <w:rFonts w:cstheme="minorHAnsi"/>
          <w:iCs/>
          <w:szCs w:val="24"/>
        </w:rPr>
        <w:t>recommended</w:t>
      </w:r>
      <w:r w:rsidR="00735A48">
        <w:rPr>
          <w:rFonts w:cstheme="minorHAnsi"/>
          <w:iCs/>
          <w:szCs w:val="24"/>
        </w:rPr>
        <w:t xml:space="preserve"> as</w:t>
      </w:r>
      <w:r w:rsidR="00845F42">
        <w:rPr>
          <w:rFonts w:cstheme="minorHAnsi"/>
          <w:iCs/>
          <w:szCs w:val="24"/>
        </w:rPr>
        <w:t xml:space="preserve"> a Section 100 (EFC) listing as an Authority Required (Private Hospital/Clinic) and an Authority Required (STREAMLINED) (Public Hospital) listing in March 2012.</w:t>
      </w:r>
    </w:p>
    <w:p w14:paraId="56C938A2" w14:textId="54648B91" w:rsidR="007E490F" w:rsidRPr="003466CD" w:rsidRDefault="00845F42" w:rsidP="00845F42">
      <w:pPr>
        <w:pStyle w:val="3Bodytext"/>
        <w:rPr>
          <w:iCs/>
        </w:rPr>
      </w:pPr>
      <w:r>
        <w:rPr>
          <w:rFonts w:cstheme="minorHAnsi"/>
          <w:iCs/>
          <w:szCs w:val="24"/>
        </w:rPr>
        <w:lastRenderedPageBreak/>
        <w:t xml:space="preserve">In March 2021 the </w:t>
      </w:r>
      <w:r w:rsidR="000D3987">
        <w:rPr>
          <w:rFonts w:cstheme="minorHAnsi"/>
          <w:iCs/>
          <w:szCs w:val="24"/>
        </w:rPr>
        <w:t>Pharmaceutical Benefits Advisory Committee (</w:t>
      </w:r>
      <w:r>
        <w:rPr>
          <w:rFonts w:cstheme="minorHAnsi"/>
          <w:iCs/>
          <w:szCs w:val="24"/>
        </w:rPr>
        <w:t>PBAC</w:t>
      </w:r>
      <w:r w:rsidR="000D3987">
        <w:rPr>
          <w:rFonts w:cstheme="minorHAnsi"/>
          <w:iCs/>
          <w:szCs w:val="24"/>
        </w:rPr>
        <w:t>)</w:t>
      </w:r>
      <w:r>
        <w:rPr>
          <w:rFonts w:cstheme="minorHAnsi"/>
          <w:iCs/>
          <w:szCs w:val="24"/>
        </w:rPr>
        <w:t xml:space="preserve"> recommended listing Cabazitaxel Ever Pharma </w:t>
      </w:r>
      <w:r w:rsidR="00073B5C">
        <w:rPr>
          <w:rFonts w:cstheme="minorHAnsi"/>
          <w:iCs/>
          <w:szCs w:val="24"/>
        </w:rPr>
        <w:t xml:space="preserve">under </w:t>
      </w:r>
      <w:r>
        <w:rPr>
          <w:rFonts w:cstheme="minorHAnsi"/>
          <w:iCs/>
          <w:szCs w:val="24"/>
        </w:rPr>
        <w:t xml:space="preserve">the same </w:t>
      </w:r>
      <w:r w:rsidR="00073B5C">
        <w:rPr>
          <w:rFonts w:cstheme="minorHAnsi"/>
          <w:iCs/>
          <w:szCs w:val="24"/>
        </w:rPr>
        <w:t xml:space="preserve">circumstances </w:t>
      </w:r>
      <w:r>
        <w:rPr>
          <w:rFonts w:cstheme="minorHAnsi"/>
          <w:iCs/>
          <w:szCs w:val="24"/>
        </w:rPr>
        <w:t xml:space="preserve">as </w:t>
      </w:r>
      <w:proofErr w:type="spellStart"/>
      <w:r>
        <w:rPr>
          <w:rFonts w:cstheme="minorHAnsi"/>
          <w:iCs/>
          <w:szCs w:val="24"/>
        </w:rPr>
        <w:t>Jevtana</w:t>
      </w:r>
      <w:proofErr w:type="spellEnd"/>
      <w:r>
        <w:rPr>
          <w:rFonts w:cstheme="minorHAnsi"/>
          <w:iCs/>
          <w:szCs w:val="24"/>
        </w:rPr>
        <w:t>.</w:t>
      </w:r>
    </w:p>
    <w:p w14:paraId="7423279B" w14:textId="369E4F9F" w:rsidR="003466CD" w:rsidRPr="003466CD" w:rsidRDefault="003466CD" w:rsidP="003466CD">
      <w:pPr>
        <w:pStyle w:val="3Bodytext"/>
        <w:numPr>
          <w:ilvl w:val="0"/>
          <w:numId w:val="0"/>
        </w:numPr>
        <w:ind w:left="720"/>
        <w:rPr>
          <w:i/>
          <w:iCs/>
        </w:rPr>
      </w:pPr>
      <w:bookmarkStart w:id="4" w:name="_Hlk76375324"/>
      <w:r w:rsidRPr="003466CD">
        <w:rPr>
          <w:i/>
          <w:iCs/>
        </w:rPr>
        <w:t>For more detail on PBAC’s view, see section 6 PBAC outcome.</w:t>
      </w:r>
      <w:bookmarkEnd w:id="4"/>
    </w:p>
    <w:p w14:paraId="1B8790B6" w14:textId="77777777" w:rsidR="00964A9F" w:rsidRDefault="00964A9F" w:rsidP="00964A9F">
      <w:pPr>
        <w:pStyle w:val="2-SectionHeading"/>
      </w:pPr>
      <w:r w:rsidRPr="009D507A">
        <w:t xml:space="preserve">Requested listing </w:t>
      </w:r>
    </w:p>
    <w:p w14:paraId="754FF25B" w14:textId="4786E70F" w:rsidR="00964A9F" w:rsidRPr="00E0207E" w:rsidRDefault="00964A9F" w:rsidP="00964A9F">
      <w:pPr>
        <w:pStyle w:val="3Bodytext"/>
      </w:pPr>
      <w:r w:rsidRPr="00E0207E">
        <w:t>The submission requested the following</w:t>
      </w:r>
      <w:r w:rsidR="006C1513">
        <w:t>:</w:t>
      </w:r>
      <w:r w:rsidRPr="00E0207E">
        <w:t xml:space="preserve"> </w:t>
      </w:r>
    </w:p>
    <w:p w14:paraId="17118911" w14:textId="1D5B01D1" w:rsidR="00964A9F" w:rsidRPr="001A1BA2" w:rsidRDefault="00964A9F" w:rsidP="00203EAF">
      <w:pPr>
        <w:keepNext/>
        <w:spacing w:after="120"/>
        <w:rPr>
          <w:rFonts w:asciiTheme="minorHAnsi" w:hAnsiTheme="minorHAnsi" w:cstheme="minorHAnsi"/>
          <w:iCs/>
        </w:rPr>
      </w:pPr>
      <w:r w:rsidRPr="001A1BA2">
        <w:rPr>
          <w:rFonts w:asciiTheme="minorHAnsi" w:hAnsiTheme="minorHAnsi" w:cstheme="minorHAnsi"/>
          <w:iCs/>
        </w:rPr>
        <w:lastRenderedPageBreak/>
        <w:t>Add new medicinal product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842"/>
        <w:gridCol w:w="1134"/>
        <w:gridCol w:w="992"/>
        <w:gridCol w:w="850"/>
        <w:gridCol w:w="2127"/>
      </w:tblGrid>
      <w:tr w:rsidR="00964A9F" w:rsidRPr="00507253" w14:paraId="20AF8C6F" w14:textId="77777777" w:rsidTr="00621B52">
        <w:trPr>
          <w:cantSplit/>
          <w:trHeight w:val="471"/>
        </w:trPr>
        <w:tc>
          <w:tcPr>
            <w:tcW w:w="3823" w:type="dxa"/>
            <w:gridSpan w:val="2"/>
          </w:tcPr>
          <w:p w14:paraId="09D7ADD9" w14:textId="77777777" w:rsidR="00964A9F" w:rsidRPr="00F145C2" w:rsidRDefault="00964A9F" w:rsidP="00203EAF">
            <w:pPr>
              <w:keepNext/>
              <w:ind w:left="-108"/>
              <w:rPr>
                <w:rFonts w:ascii="Arial Narrow" w:hAnsi="Arial Narrow" w:cs="Arial"/>
                <w:b/>
                <w:sz w:val="20"/>
                <w:szCs w:val="20"/>
              </w:rPr>
            </w:pPr>
            <w:r w:rsidRPr="00F145C2">
              <w:rPr>
                <w:rFonts w:ascii="Arial Narrow" w:hAnsi="Arial Narrow" w:cs="Arial"/>
                <w:b/>
                <w:sz w:val="20"/>
                <w:szCs w:val="20"/>
              </w:rPr>
              <w:t>Name, Restriction,</w:t>
            </w:r>
          </w:p>
          <w:p w14:paraId="32352457" w14:textId="77777777" w:rsidR="00964A9F" w:rsidRPr="00F145C2" w:rsidRDefault="00964A9F" w:rsidP="00203EAF">
            <w:pPr>
              <w:keepNext/>
              <w:ind w:left="-108"/>
              <w:rPr>
                <w:rFonts w:ascii="Arial Narrow" w:hAnsi="Arial Narrow" w:cs="Arial"/>
                <w:b/>
                <w:sz w:val="20"/>
                <w:szCs w:val="20"/>
              </w:rPr>
            </w:pPr>
            <w:r w:rsidRPr="00F145C2">
              <w:rPr>
                <w:rFonts w:ascii="Arial Narrow" w:hAnsi="Arial Narrow" w:cs="Arial"/>
                <w:b/>
                <w:sz w:val="20"/>
                <w:szCs w:val="20"/>
              </w:rPr>
              <w:t>Manner of administration and form</w:t>
            </w:r>
          </w:p>
        </w:tc>
        <w:tc>
          <w:tcPr>
            <w:tcW w:w="1134" w:type="dxa"/>
          </w:tcPr>
          <w:p w14:paraId="3BBFF486" w14:textId="77777777" w:rsidR="00964A9F" w:rsidRPr="00F145C2" w:rsidRDefault="00964A9F" w:rsidP="00203EAF">
            <w:pPr>
              <w:keepNext/>
              <w:ind w:left="-108"/>
              <w:jc w:val="center"/>
              <w:rPr>
                <w:rFonts w:ascii="Arial Narrow" w:hAnsi="Arial Narrow" w:cs="Arial"/>
                <w:b/>
                <w:sz w:val="20"/>
                <w:szCs w:val="20"/>
              </w:rPr>
            </w:pPr>
            <w:r w:rsidRPr="00F145C2">
              <w:rPr>
                <w:rFonts w:ascii="Arial Narrow" w:hAnsi="Arial Narrow" w:cs="Arial"/>
                <w:b/>
                <w:sz w:val="20"/>
                <w:szCs w:val="20"/>
              </w:rPr>
              <w:t>PBS item code</w:t>
            </w:r>
          </w:p>
        </w:tc>
        <w:tc>
          <w:tcPr>
            <w:tcW w:w="992" w:type="dxa"/>
          </w:tcPr>
          <w:p w14:paraId="4E148721" w14:textId="77777777" w:rsidR="00964A9F" w:rsidRPr="00F145C2" w:rsidRDefault="00964A9F" w:rsidP="00203EAF">
            <w:pPr>
              <w:keepNext/>
              <w:ind w:left="-108"/>
              <w:jc w:val="center"/>
              <w:rPr>
                <w:rFonts w:ascii="Arial Narrow" w:hAnsi="Arial Narrow" w:cs="Arial"/>
                <w:b/>
                <w:sz w:val="20"/>
                <w:szCs w:val="20"/>
              </w:rPr>
            </w:pPr>
            <w:r w:rsidRPr="00F145C2">
              <w:rPr>
                <w:rFonts w:ascii="Arial Narrow" w:hAnsi="Arial Narrow" w:cs="Arial"/>
                <w:b/>
                <w:sz w:val="20"/>
                <w:szCs w:val="20"/>
              </w:rPr>
              <w:t>Max.</w:t>
            </w:r>
          </w:p>
          <w:p w14:paraId="0490DDA6" w14:textId="77777777" w:rsidR="00964A9F" w:rsidRPr="00F145C2" w:rsidRDefault="00964A9F" w:rsidP="00203EAF">
            <w:pPr>
              <w:keepNext/>
              <w:ind w:left="-108"/>
              <w:jc w:val="center"/>
              <w:rPr>
                <w:rFonts w:ascii="Arial Narrow" w:hAnsi="Arial Narrow" w:cs="Arial"/>
                <w:b/>
                <w:sz w:val="20"/>
                <w:szCs w:val="20"/>
              </w:rPr>
            </w:pPr>
            <w:r w:rsidRPr="00F145C2">
              <w:rPr>
                <w:rFonts w:ascii="Arial Narrow" w:hAnsi="Arial Narrow" w:cs="Arial"/>
                <w:b/>
                <w:sz w:val="20"/>
                <w:szCs w:val="20"/>
              </w:rPr>
              <w:t>Amount</w:t>
            </w:r>
          </w:p>
        </w:tc>
        <w:tc>
          <w:tcPr>
            <w:tcW w:w="850" w:type="dxa"/>
          </w:tcPr>
          <w:p w14:paraId="4493E8EB" w14:textId="77777777" w:rsidR="00964A9F" w:rsidRPr="00F145C2" w:rsidRDefault="00964A9F" w:rsidP="00203EAF">
            <w:pPr>
              <w:keepNext/>
              <w:ind w:left="-108"/>
              <w:jc w:val="center"/>
              <w:rPr>
                <w:rFonts w:ascii="Arial Narrow" w:hAnsi="Arial Narrow" w:cs="Arial"/>
                <w:b/>
                <w:sz w:val="20"/>
                <w:szCs w:val="20"/>
              </w:rPr>
            </w:pPr>
            <w:proofErr w:type="gramStart"/>
            <w:r w:rsidRPr="00F145C2">
              <w:rPr>
                <w:rFonts w:ascii="Arial Narrow" w:hAnsi="Arial Narrow" w:cs="Arial"/>
                <w:b/>
                <w:sz w:val="20"/>
                <w:szCs w:val="20"/>
              </w:rPr>
              <w:t>№.of</w:t>
            </w:r>
            <w:proofErr w:type="gramEnd"/>
          </w:p>
          <w:p w14:paraId="795B6160" w14:textId="77777777" w:rsidR="00964A9F" w:rsidRPr="00F145C2" w:rsidRDefault="00964A9F" w:rsidP="00203EAF">
            <w:pPr>
              <w:keepNext/>
              <w:ind w:left="-108"/>
              <w:jc w:val="center"/>
              <w:rPr>
                <w:rFonts w:ascii="Arial Narrow" w:hAnsi="Arial Narrow" w:cs="Arial"/>
                <w:b/>
                <w:sz w:val="20"/>
                <w:szCs w:val="20"/>
              </w:rPr>
            </w:pPr>
            <w:proofErr w:type="spellStart"/>
            <w:r w:rsidRPr="00F145C2">
              <w:rPr>
                <w:rFonts w:ascii="Arial Narrow" w:hAnsi="Arial Narrow" w:cs="Arial"/>
                <w:b/>
                <w:sz w:val="20"/>
                <w:szCs w:val="20"/>
              </w:rPr>
              <w:t>Rpts</w:t>
            </w:r>
            <w:proofErr w:type="spellEnd"/>
          </w:p>
        </w:tc>
        <w:tc>
          <w:tcPr>
            <w:tcW w:w="2127" w:type="dxa"/>
          </w:tcPr>
          <w:p w14:paraId="41B39031" w14:textId="77777777" w:rsidR="00964A9F" w:rsidRPr="00F145C2" w:rsidRDefault="00964A9F" w:rsidP="00203EAF">
            <w:pPr>
              <w:keepNext/>
              <w:rPr>
                <w:rFonts w:ascii="Arial Narrow" w:hAnsi="Arial Narrow" w:cs="Arial"/>
                <w:b/>
                <w:sz w:val="20"/>
                <w:szCs w:val="20"/>
                <w:lang w:val="fr-FR"/>
              </w:rPr>
            </w:pPr>
            <w:r w:rsidRPr="00F145C2">
              <w:rPr>
                <w:rFonts w:ascii="Arial Narrow" w:hAnsi="Arial Narrow" w:cs="Arial"/>
                <w:b/>
                <w:sz w:val="20"/>
                <w:szCs w:val="20"/>
              </w:rPr>
              <w:t>Manufacturer</w:t>
            </w:r>
          </w:p>
        </w:tc>
      </w:tr>
      <w:tr w:rsidR="00964A9F" w:rsidRPr="00507253" w14:paraId="6DF4D70A" w14:textId="77777777" w:rsidTr="00621B52">
        <w:trPr>
          <w:cantSplit/>
          <w:trHeight w:val="577"/>
        </w:trPr>
        <w:tc>
          <w:tcPr>
            <w:tcW w:w="3823" w:type="dxa"/>
            <w:gridSpan w:val="2"/>
          </w:tcPr>
          <w:p w14:paraId="09AB2FA1" w14:textId="3283B14D" w:rsidR="00964A9F" w:rsidRPr="00F145C2" w:rsidRDefault="004D4CA4" w:rsidP="00203EAF">
            <w:pPr>
              <w:keepNext/>
              <w:ind w:left="-108"/>
              <w:rPr>
                <w:rFonts w:ascii="Arial Narrow" w:hAnsi="Arial Narrow" w:cs="Arial"/>
                <w:sz w:val="20"/>
                <w:szCs w:val="20"/>
              </w:rPr>
            </w:pPr>
            <w:r w:rsidRPr="00F145C2">
              <w:rPr>
                <w:rFonts w:ascii="Arial Narrow" w:hAnsi="Arial Narrow" w:cs="Arial"/>
                <w:sz w:val="20"/>
                <w:szCs w:val="20"/>
              </w:rPr>
              <w:t>CABAZITAXEL</w:t>
            </w:r>
          </w:p>
          <w:p w14:paraId="074EFAE6" w14:textId="1DFC2F6A" w:rsidR="00964A9F" w:rsidRPr="00F145C2" w:rsidRDefault="004D4CA4" w:rsidP="00203EAF">
            <w:pPr>
              <w:keepNext/>
              <w:ind w:left="-108"/>
              <w:rPr>
                <w:rFonts w:ascii="Arial Narrow" w:hAnsi="Arial Narrow" w:cs="Arial"/>
                <w:sz w:val="20"/>
                <w:szCs w:val="20"/>
              </w:rPr>
            </w:pPr>
            <w:r w:rsidRPr="00F145C2">
              <w:rPr>
                <w:rFonts w:ascii="Arial Narrow" w:hAnsi="Arial Narrow" w:cs="Arial Narrow"/>
                <w:sz w:val="20"/>
                <w:szCs w:val="20"/>
              </w:rPr>
              <w:t>Injection</w:t>
            </w:r>
          </w:p>
        </w:tc>
        <w:tc>
          <w:tcPr>
            <w:tcW w:w="1134" w:type="dxa"/>
          </w:tcPr>
          <w:p w14:paraId="38F98DE5" w14:textId="77777777" w:rsidR="00964A9F" w:rsidRPr="00F145C2" w:rsidRDefault="004D4CA4" w:rsidP="00203EAF">
            <w:pPr>
              <w:keepNext/>
              <w:ind w:left="-108"/>
              <w:jc w:val="center"/>
              <w:rPr>
                <w:rFonts w:ascii="Arial Narrow" w:hAnsi="Arial Narrow" w:cs="Arial"/>
                <w:sz w:val="20"/>
                <w:szCs w:val="20"/>
              </w:rPr>
            </w:pPr>
            <w:r w:rsidRPr="00F145C2">
              <w:rPr>
                <w:rFonts w:ascii="Arial Narrow" w:hAnsi="Arial Narrow" w:cs="Arial"/>
                <w:sz w:val="20"/>
                <w:szCs w:val="20"/>
              </w:rPr>
              <w:t>4376H</w:t>
            </w:r>
          </w:p>
          <w:p w14:paraId="7E090C6F" w14:textId="2E0866A5" w:rsidR="004D4CA4" w:rsidRPr="00F145C2" w:rsidRDefault="004D4CA4" w:rsidP="00203EAF">
            <w:pPr>
              <w:keepNext/>
              <w:ind w:left="-108"/>
              <w:jc w:val="center"/>
              <w:rPr>
                <w:rFonts w:ascii="Arial Narrow" w:hAnsi="Arial Narrow" w:cs="Arial"/>
                <w:sz w:val="20"/>
                <w:szCs w:val="20"/>
              </w:rPr>
            </w:pPr>
            <w:r w:rsidRPr="00F145C2">
              <w:rPr>
                <w:rFonts w:ascii="Arial Narrow" w:hAnsi="Arial Narrow" w:cs="Arial"/>
                <w:sz w:val="20"/>
                <w:szCs w:val="20"/>
              </w:rPr>
              <w:t>7236W</w:t>
            </w:r>
          </w:p>
        </w:tc>
        <w:tc>
          <w:tcPr>
            <w:tcW w:w="992" w:type="dxa"/>
          </w:tcPr>
          <w:p w14:paraId="3C2EE760" w14:textId="17630D49" w:rsidR="00964A9F" w:rsidRPr="00F145C2" w:rsidRDefault="004D4CA4" w:rsidP="00203EAF">
            <w:pPr>
              <w:keepNext/>
              <w:ind w:left="-108"/>
              <w:jc w:val="center"/>
              <w:rPr>
                <w:rFonts w:ascii="Arial Narrow" w:hAnsi="Arial Narrow" w:cs="Arial"/>
                <w:iCs/>
                <w:sz w:val="20"/>
                <w:szCs w:val="20"/>
              </w:rPr>
            </w:pPr>
            <w:r w:rsidRPr="00F145C2">
              <w:rPr>
                <w:rFonts w:ascii="Arial Narrow" w:hAnsi="Arial Narrow" w:cs="Arial"/>
                <w:iCs/>
                <w:sz w:val="20"/>
                <w:szCs w:val="20"/>
              </w:rPr>
              <w:t>55 mg</w:t>
            </w:r>
          </w:p>
        </w:tc>
        <w:tc>
          <w:tcPr>
            <w:tcW w:w="850" w:type="dxa"/>
          </w:tcPr>
          <w:p w14:paraId="6E6F1AD3" w14:textId="1A7D057C" w:rsidR="00964A9F" w:rsidRPr="00F145C2" w:rsidRDefault="004D4CA4" w:rsidP="00203EAF">
            <w:pPr>
              <w:keepNext/>
              <w:ind w:left="-108"/>
              <w:jc w:val="center"/>
              <w:rPr>
                <w:rFonts w:ascii="Arial Narrow" w:hAnsi="Arial Narrow" w:cs="Arial"/>
                <w:iCs/>
                <w:sz w:val="20"/>
                <w:szCs w:val="20"/>
              </w:rPr>
            </w:pPr>
            <w:r w:rsidRPr="00F145C2">
              <w:rPr>
                <w:rFonts w:ascii="Arial Narrow" w:hAnsi="Arial Narrow" w:cs="Arial"/>
                <w:iCs/>
                <w:sz w:val="20"/>
                <w:szCs w:val="20"/>
              </w:rPr>
              <w:t>5</w:t>
            </w:r>
          </w:p>
          <w:p w14:paraId="3764FF66" w14:textId="77777777" w:rsidR="00964A9F" w:rsidRPr="00F145C2" w:rsidRDefault="00964A9F" w:rsidP="00203EAF">
            <w:pPr>
              <w:keepNext/>
              <w:ind w:left="-108"/>
              <w:jc w:val="center"/>
              <w:rPr>
                <w:rFonts w:ascii="Arial Narrow" w:hAnsi="Arial Narrow" w:cs="Arial"/>
                <w:sz w:val="20"/>
                <w:szCs w:val="20"/>
              </w:rPr>
            </w:pPr>
          </w:p>
        </w:tc>
        <w:tc>
          <w:tcPr>
            <w:tcW w:w="2127" w:type="dxa"/>
          </w:tcPr>
          <w:p w14:paraId="38A6B184" w14:textId="0067FF4D" w:rsidR="00964A9F" w:rsidRPr="00F145C2" w:rsidRDefault="00E02DC0" w:rsidP="00203EAF">
            <w:pPr>
              <w:keepNext/>
              <w:rPr>
                <w:rFonts w:ascii="Arial Narrow" w:hAnsi="Arial Narrow" w:cs="Arial"/>
                <w:i/>
                <w:iCs/>
                <w:sz w:val="20"/>
                <w:szCs w:val="20"/>
              </w:rPr>
            </w:pPr>
            <w:r w:rsidRPr="00F145C2">
              <w:rPr>
                <w:rFonts w:ascii="Arial Narrow" w:hAnsi="Arial Narrow"/>
                <w:i/>
                <w:iCs/>
                <w:sz w:val="20"/>
                <w:szCs w:val="20"/>
              </w:rPr>
              <w:t>Accord Healthcare Pty Ltd</w:t>
            </w:r>
          </w:p>
        </w:tc>
      </w:tr>
      <w:tr w:rsidR="00964A9F" w:rsidRPr="00507253" w14:paraId="12B3CA00" w14:textId="77777777" w:rsidTr="00621B52">
        <w:trPr>
          <w:cantSplit/>
          <w:trHeight w:val="225"/>
        </w:trPr>
        <w:tc>
          <w:tcPr>
            <w:tcW w:w="8926" w:type="dxa"/>
            <w:gridSpan w:val="6"/>
          </w:tcPr>
          <w:p w14:paraId="64EA7C6A" w14:textId="77777777" w:rsidR="00964A9F" w:rsidRPr="00F145C2" w:rsidRDefault="00964A9F" w:rsidP="00203EAF">
            <w:pPr>
              <w:keepNext/>
              <w:rPr>
                <w:rFonts w:ascii="Arial Narrow" w:hAnsi="Arial Narrow"/>
                <w:b/>
                <w:sz w:val="20"/>
                <w:szCs w:val="20"/>
              </w:rPr>
            </w:pPr>
            <w:r w:rsidRPr="00F145C2">
              <w:rPr>
                <w:rFonts w:ascii="Arial Narrow" w:hAnsi="Arial Narrow"/>
                <w:b/>
                <w:sz w:val="20"/>
                <w:szCs w:val="20"/>
              </w:rPr>
              <w:t>Available brands</w:t>
            </w:r>
          </w:p>
        </w:tc>
      </w:tr>
      <w:tr w:rsidR="00964A9F" w:rsidRPr="00507253" w14:paraId="04BC401F" w14:textId="77777777" w:rsidTr="00621B52">
        <w:trPr>
          <w:cantSplit/>
          <w:trHeight w:val="360"/>
        </w:trPr>
        <w:tc>
          <w:tcPr>
            <w:tcW w:w="8926" w:type="dxa"/>
            <w:gridSpan w:val="6"/>
          </w:tcPr>
          <w:p w14:paraId="710D388F" w14:textId="52D6C4A9" w:rsidR="004D4CA4" w:rsidRPr="00F145C2" w:rsidRDefault="004D4CA4" w:rsidP="00203EAF">
            <w:pPr>
              <w:keepNext/>
              <w:rPr>
                <w:rFonts w:ascii="Arial Narrow" w:hAnsi="Arial Narrow" w:cs="Arial"/>
                <w:sz w:val="20"/>
                <w:szCs w:val="20"/>
              </w:rPr>
            </w:pPr>
            <w:r w:rsidRPr="00F145C2">
              <w:rPr>
                <w:rFonts w:ascii="Arial Narrow" w:hAnsi="Arial Narrow" w:cs="Arial"/>
                <w:sz w:val="20"/>
                <w:szCs w:val="20"/>
              </w:rPr>
              <w:t>Cabazitaxel Ever Pharma</w:t>
            </w:r>
          </w:p>
          <w:p w14:paraId="333B4B15" w14:textId="39159648" w:rsidR="00964A9F" w:rsidRPr="00F145C2" w:rsidRDefault="004D4CA4" w:rsidP="00203EAF">
            <w:pPr>
              <w:keepNext/>
              <w:rPr>
                <w:rFonts w:ascii="Arial Narrow" w:hAnsi="Arial Narrow" w:cs="Arial"/>
                <w:sz w:val="20"/>
                <w:szCs w:val="20"/>
              </w:rPr>
            </w:pPr>
            <w:r w:rsidRPr="00F145C2">
              <w:rPr>
                <w:rFonts w:ascii="Arial Narrow" w:hAnsi="Arial Narrow" w:cs="Arial"/>
                <w:sz w:val="20"/>
                <w:szCs w:val="20"/>
              </w:rPr>
              <w:t>(cabazitaxel 60 mg/6 mL injection, 6 mL vial)</w:t>
            </w:r>
          </w:p>
        </w:tc>
      </w:tr>
      <w:tr w:rsidR="00964A9F" w:rsidRPr="00507253" w14:paraId="641F1867" w14:textId="77777777" w:rsidTr="00621B52">
        <w:trPr>
          <w:cantSplit/>
          <w:trHeight w:val="360"/>
        </w:trPr>
        <w:tc>
          <w:tcPr>
            <w:tcW w:w="8926" w:type="dxa"/>
            <w:gridSpan w:val="6"/>
          </w:tcPr>
          <w:p w14:paraId="1F2AD6A4" w14:textId="434A4B40" w:rsidR="004D4CA4" w:rsidRPr="00F145C2" w:rsidRDefault="004D4CA4" w:rsidP="00203EAF">
            <w:pPr>
              <w:keepNext/>
              <w:rPr>
                <w:rFonts w:ascii="Arial Narrow" w:hAnsi="Arial Narrow" w:cs="Arial"/>
                <w:sz w:val="20"/>
                <w:szCs w:val="20"/>
              </w:rPr>
            </w:pPr>
            <w:r w:rsidRPr="00F145C2">
              <w:rPr>
                <w:rFonts w:ascii="Arial Narrow" w:hAnsi="Arial Narrow" w:cs="Arial"/>
                <w:sz w:val="20"/>
                <w:szCs w:val="20"/>
              </w:rPr>
              <w:t>Cabazitaxel Juno</w:t>
            </w:r>
          </w:p>
          <w:p w14:paraId="75554AAF" w14:textId="4E37B5D9" w:rsidR="00964A9F" w:rsidRPr="00F145C2" w:rsidRDefault="004D4CA4" w:rsidP="00203EAF">
            <w:pPr>
              <w:keepNext/>
              <w:rPr>
                <w:rFonts w:ascii="Arial Narrow" w:hAnsi="Arial Narrow" w:cs="Arial"/>
                <w:sz w:val="20"/>
                <w:szCs w:val="20"/>
              </w:rPr>
            </w:pPr>
            <w:r w:rsidRPr="00F145C2">
              <w:rPr>
                <w:rFonts w:ascii="Arial Narrow" w:hAnsi="Arial Narrow" w:cs="Arial"/>
                <w:sz w:val="20"/>
                <w:szCs w:val="20"/>
              </w:rPr>
              <w:t>(cabazitaxel 60 mg/1.5 mL injection, [1.5 mL vial] (&amp;) inert substance diluent [4.5 mL vial], 1 pack)</w:t>
            </w:r>
          </w:p>
        </w:tc>
      </w:tr>
      <w:tr w:rsidR="00964A9F" w:rsidRPr="00507253" w14:paraId="23E169C9" w14:textId="77777777" w:rsidTr="00621B52">
        <w:trPr>
          <w:cantSplit/>
          <w:trHeight w:val="360"/>
        </w:trPr>
        <w:tc>
          <w:tcPr>
            <w:tcW w:w="8926" w:type="dxa"/>
            <w:gridSpan w:val="6"/>
          </w:tcPr>
          <w:p w14:paraId="62301C7B" w14:textId="77777777" w:rsidR="00964A9F" w:rsidRPr="00F145C2" w:rsidRDefault="004D4CA4" w:rsidP="00203EAF">
            <w:pPr>
              <w:keepNext/>
              <w:rPr>
                <w:rFonts w:ascii="Arial Narrow" w:hAnsi="Arial Narrow" w:cs="Arial"/>
                <w:sz w:val="20"/>
                <w:szCs w:val="20"/>
              </w:rPr>
            </w:pPr>
            <w:proofErr w:type="spellStart"/>
            <w:r w:rsidRPr="00F145C2">
              <w:rPr>
                <w:rFonts w:ascii="Arial Narrow" w:hAnsi="Arial Narrow" w:cs="Arial"/>
                <w:sz w:val="20"/>
                <w:szCs w:val="20"/>
              </w:rPr>
              <w:t>Jevtana</w:t>
            </w:r>
            <w:proofErr w:type="spellEnd"/>
          </w:p>
          <w:p w14:paraId="17F818F0" w14:textId="308A289F" w:rsidR="004D4CA4" w:rsidRPr="00F145C2" w:rsidRDefault="004D4CA4" w:rsidP="00203EAF">
            <w:pPr>
              <w:keepNext/>
              <w:rPr>
                <w:rFonts w:ascii="Arial Narrow" w:hAnsi="Arial Narrow" w:cs="Arial"/>
                <w:sz w:val="20"/>
                <w:szCs w:val="20"/>
              </w:rPr>
            </w:pPr>
            <w:r w:rsidRPr="00F145C2">
              <w:rPr>
                <w:rFonts w:ascii="Arial Narrow" w:hAnsi="Arial Narrow" w:cs="Arial"/>
                <w:sz w:val="20"/>
                <w:szCs w:val="20"/>
              </w:rPr>
              <w:t>(cabazitaxel 60 mg/1.5 mL injection, [1.5 mL vial] (&amp;) inert substance diluent [4.5 mL vial], 1 pack)</w:t>
            </w:r>
          </w:p>
        </w:tc>
      </w:tr>
      <w:tr w:rsidR="004D4CA4" w:rsidRPr="00507253" w14:paraId="58E842CA" w14:textId="77777777" w:rsidTr="00621B52">
        <w:trPr>
          <w:cantSplit/>
          <w:trHeight w:val="360"/>
        </w:trPr>
        <w:tc>
          <w:tcPr>
            <w:tcW w:w="8926" w:type="dxa"/>
            <w:gridSpan w:val="6"/>
          </w:tcPr>
          <w:p w14:paraId="585F96EE" w14:textId="77777777" w:rsidR="004D4CA4" w:rsidRPr="00F145C2" w:rsidRDefault="004D4CA4" w:rsidP="00203EAF">
            <w:pPr>
              <w:keepNext/>
              <w:rPr>
                <w:rFonts w:ascii="Arial Narrow" w:hAnsi="Arial Narrow" w:cs="Arial"/>
                <w:i/>
                <w:iCs/>
                <w:sz w:val="20"/>
                <w:szCs w:val="20"/>
              </w:rPr>
            </w:pPr>
            <w:r w:rsidRPr="00F145C2">
              <w:rPr>
                <w:rFonts w:ascii="Arial Narrow" w:hAnsi="Arial Narrow" w:cs="Arial"/>
                <w:i/>
                <w:iCs/>
                <w:sz w:val="20"/>
                <w:szCs w:val="20"/>
              </w:rPr>
              <w:t>Cabazitaxel Accord</w:t>
            </w:r>
          </w:p>
          <w:p w14:paraId="4EA2DC3F" w14:textId="6CF0CD1C" w:rsidR="004D4CA4" w:rsidRPr="00F145C2" w:rsidRDefault="00FF2E24" w:rsidP="00203EAF">
            <w:pPr>
              <w:keepNext/>
              <w:rPr>
                <w:rFonts w:ascii="Arial Narrow" w:hAnsi="Arial Narrow" w:cs="Arial"/>
                <w:i/>
                <w:iCs/>
                <w:sz w:val="20"/>
                <w:szCs w:val="20"/>
              </w:rPr>
            </w:pPr>
            <w:r w:rsidRPr="00F145C2">
              <w:rPr>
                <w:rFonts w:ascii="Arial Narrow" w:hAnsi="Arial Narrow" w:cs="Arial"/>
                <w:i/>
                <w:iCs/>
                <w:sz w:val="20"/>
                <w:szCs w:val="20"/>
              </w:rPr>
              <w:t xml:space="preserve">(cabazitaxel </w:t>
            </w:r>
            <w:r w:rsidR="00E02DC0" w:rsidRPr="00F145C2">
              <w:rPr>
                <w:rFonts w:ascii="Arial Narrow" w:hAnsi="Arial Narrow" w:cs="Arial"/>
                <w:i/>
                <w:iCs/>
                <w:sz w:val="20"/>
                <w:szCs w:val="20"/>
              </w:rPr>
              <w:t>60 mg/3 mL injection</w:t>
            </w:r>
            <w:r w:rsidRPr="00F145C2">
              <w:rPr>
                <w:rFonts w:ascii="Arial Narrow" w:hAnsi="Arial Narrow" w:cs="Arial"/>
                <w:i/>
                <w:iCs/>
                <w:sz w:val="20"/>
                <w:szCs w:val="20"/>
              </w:rPr>
              <w:t>,</w:t>
            </w:r>
            <w:r w:rsidR="002F3AB3" w:rsidRPr="00F145C2">
              <w:rPr>
                <w:rFonts w:ascii="Arial Narrow" w:hAnsi="Arial Narrow" w:cs="Arial"/>
                <w:i/>
                <w:iCs/>
                <w:sz w:val="20"/>
                <w:szCs w:val="20"/>
              </w:rPr>
              <w:t xml:space="preserve"> 3 mL</w:t>
            </w:r>
            <w:r w:rsidR="00E02DC0" w:rsidRPr="00F145C2">
              <w:rPr>
                <w:rFonts w:ascii="Arial Narrow" w:hAnsi="Arial Narrow" w:cs="Arial"/>
                <w:i/>
                <w:iCs/>
                <w:sz w:val="20"/>
                <w:szCs w:val="20"/>
              </w:rPr>
              <w:t xml:space="preserve"> vial</w:t>
            </w:r>
            <w:r w:rsidR="00610232">
              <w:rPr>
                <w:rFonts w:ascii="Arial Narrow" w:hAnsi="Arial Narrow" w:cs="Arial"/>
                <w:i/>
                <w:iCs/>
                <w:sz w:val="20"/>
                <w:szCs w:val="20"/>
              </w:rPr>
              <w:t>)</w:t>
            </w:r>
          </w:p>
        </w:tc>
      </w:tr>
      <w:tr w:rsidR="00621B52" w:rsidRPr="008972BB" w14:paraId="2F8B252C" w14:textId="77777777" w:rsidTr="00621B52">
        <w:trPr>
          <w:cantSplit/>
          <w:trHeight w:val="360"/>
        </w:trPr>
        <w:tc>
          <w:tcPr>
            <w:tcW w:w="8926" w:type="dxa"/>
            <w:gridSpan w:val="6"/>
            <w:tcBorders>
              <w:top w:val="single" w:sz="4" w:space="0" w:color="auto"/>
              <w:left w:val="single" w:sz="4" w:space="0" w:color="auto"/>
              <w:bottom w:val="single" w:sz="4" w:space="0" w:color="auto"/>
              <w:right w:val="single" w:sz="4" w:space="0" w:color="auto"/>
            </w:tcBorders>
          </w:tcPr>
          <w:p w14:paraId="1F4B871D" w14:textId="77777777" w:rsidR="00621B52" w:rsidRPr="00F145C2" w:rsidRDefault="00621B52" w:rsidP="00203EAF">
            <w:pPr>
              <w:keepNext/>
              <w:rPr>
                <w:rFonts w:ascii="Arial Narrow" w:hAnsi="Arial Narrow" w:cs="Arial"/>
                <w:i/>
                <w:iCs/>
                <w:sz w:val="20"/>
                <w:szCs w:val="20"/>
              </w:rPr>
            </w:pPr>
          </w:p>
        </w:tc>
      </w:tr>
      <w:tr w:rsidR="00621B52" w:rsidRPr="008972BB" w14:paraId="6092BC0B" w14:textId="77777777" w:rsidTr="00621B52">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8AF3CFA" w14:textId="0B4F4DB9" w:rsidR="00621B52" w:rsidRPr="00F145C2" w:rsidRDefault="00621B52" w:rsidP="00203EAF">
            <w:pPr>
              <w:keepNext/>
              <w:jc w:val="center"/>
              <w:rPr>
                <w:rFonts w:ascii="Arial Narrow" w:hAnsi="Arial Narrow" w:cs="Arial"/>
                <w:sz w:val="20"/>
                <w:szCs w:val="20"/>
              </w:rPr>
            </w:pPr>
          </w:p>
        </w:tc>
        <w:tc>
          <w:tcPr>
            <w:tcW w:w="7945" w:type="dxa"/>
            <w:gridSpan w:val="5"/>
            <w:tcBorders>
              <w:top w:val="single" w:sz="4" w:space="0" w:color="auto"/>
              <w:left w:val="single" w:sz="4" w:space="0" w:color="auto"/>
              <w:bottom w:val="single" w:sz="4" w:space="0" w:color="auto"/>
              <w:right w:val="single" w:sz="4" w:space="0" w:color="auto"/>
            </w:tcBorders>
          </w:tcPr>
          <w:p w14:paraId="75C34DF6" w14:textId="77777777" w:rsidR="00621B52" w:rsidRPr="00F145C2" w:rsidRDefault="00621B52" w:rsidP="00203EAF">
            <w:pPr>
              <w:keepNext/>
              <w:rPr>
                <w:rFonts w:ascii="Arial Narrow" w:hAnsi="Arial Narrow" w:cs="Arial"/>
                <w:sz w:val="20"/>
                <w:szCs w:val="20"/>
              </w:rPr>
            </w:pPr>
            <w:r w:rsidRPr="00F145C2">
              <w:rPr>
                <w:rFonts w:ascii="Arial Narrow" w:hAnsi="Arial Narrow" w:cs="Arial"/>
                <w:b/>
                <w:sz w:val="20"/>
                <w:szCs w:val="20"/>
              </w:rPr>
              <w:t xml:space="preserve">Category / Program:   </w:t>
            </w:r>
            <w:r w:rsidRPr="00F145C2">
              <w:rPr>
                <w:rFonts w:ascii="Arial Narrow" w:hAnsi="Arial Narrow" w:cs="Arial"/>
                <w:sz w:val="20"/>
                <w:szCs w:val="20"/>
              </w:rPr>
              <w:t xml:space="preserve">Section 100 – Efficient Funding of Chemotherapy Public/Private hospitals </w:t>
            </w:r>
          </w:p>
        </w:tc>
      </w:tr>
      <w:tr w:rsidR="00621B52" w:rsidRPr="008972BB" w14:paraId="01C2FE91" w14:textId="77777777" w:rsidTr="00621B52">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7844DE90" w14:textId="77777777" w:rsidR="00621B52" w:rsidRPr="00F145C2" w:rsidRDefault="00621B52" w:rsidP="00203EAF">
            <w:pPr>
              <w:keepNext/>
              <w:rPr>
                <w:rFonts w:ascii="Arial Narrow" w:hAnsi="Arial Narrow" w:cs="Arial"/>
                <w:sz w:val="20"/>
                <w:szCs w:val="20"/>
              </w:rPr>
            </w:pPr>
          </w:p>
        </w:tc>
        <w:tc>
          <w:tcPr>
            <w:tcW w:w="7945" w:type="dxa"/>
            <w:gridSpan w:val="5"/>
            <w:tcBorders>
              <w:top w:val="single" w:sz="4" w:space="0" w:color="auto"/>
              <w:left w:val="single" w:sz="4" w:space="0" w:color="auto"/>
              <w:bottom w:val="single" w:sz="4" w:space="0" w:color="auto"/>
              <w:right w:val="single" w:sz="4" w:space="0" w:color="auto"/>
            </w:tcBorders>
          </w:tcPr>
          <w:p w14:paraId="051B4216" w14:textId="77777777" w:rsidR="00621B52" w:rsidRPr="00F145C2" w:rsidRDefault="00621B52" w:rsidP="00203EAF">
            <w:pPr>
              <w:keepNext/>
              <w:rPr>
                <w:rFonts w:ascii="Arial Narrow" w:hAnsi="Arial Narrow" w:cs="Arial"/>
                <w:b/>
                <w:sz w:val="20"/>
                <w:szCs w:val="20"/>
              </w:rPr>
            </w:pPr>
            <w:r w:rsidRPr="00F145C2">
              <w:rPr>
                <w:rFonts w:ascii="Arial Narrow" w:hAnsi="Arial Narrow" w:cs="Arial"/>
                <w:b/>
                <w:sz w:val="20"/>
                <w:szCs w:val="20"/>
              </w:rPr>
              <w:t xml:space="preserve">Prescriber type:  </w:t>
            </w:r>
            <w:r w:rsidRPr="00F145C2">
              <w:rPr>
                <w:rFonts w:ascii="Arial Narrow" w:hAnsi="Arial Narrow" w:cs="Arial"/>
                <w:sz w:val="20"/>
                <w:szCs w:val="20"/>
              </w:rPr>
              <w:fldChar w:fldCharType="begin">
                <w:ffData>
                  <w:name w:val=""/>
                  <w:enabled/>
                  <w:calcOnExit w:val="0"/>
                  <w:checkBox>
                    <w:sizeAuto/>
                    <w:default w:val="1"/>
                  </w:checkBox>
                </w:ffData>
              </w:fldChar>
            </w:r>
            <w:r w:rsidRPr="00F145C2">
              <w:rPr>
                <w:rFonts w:ascii="Arial Narrow" w:hAnsi="Arial Narrow" w:cs="Arial"/>
                <w:sz w:val="20"/>
                <w:szCs w:val="20"/>
              </w:rPr>
              <w:instrText xml:space="preserve"> FORMCHECKBOX </w:instrText>
            </w:r>
            <w:r w:rsidR="008A6324">
              <w:rPr>
                <w:rFonts w:ascii="Arial Narrow" w:hAnsi="Arial Narrow" w:cs="Arial"/>
                <w:sz w:val="20"/>
                <w:szCs w:val="20"/>
              </w:rPr>
            </w:r>
            <w:r w:rsidR="008A6324">
              <w:rPr>
                <w:rFonts w:ascii="Arial Narrow" w:hAnsi="Arial Narrow" w:cs="Arial"/>
                <w:sz w:val="20"/>
                <w:szCs w:val="20"/>
              </w:rPr>
              <w:fldChar w:fldCharType="separate"/>
            </w:r>
            <w:r w:rsidRPr="00F145C2">
              <w:rPr>
                <w:rFonts w:ascii="Arial Narrow" w:hAnsi="Arial Narrow" w:cs="Arial"/>
                <w:sz w:val="20"/>
                <w:szCs w:val="20"/>
              </w:rPr>
              <w:fldChar w:fldCharType="end"/>
            </w:r>
            <w:r w:rsidRPr="00F145C2">
              <w:rPr>
                <w:rFonts w:ascii="Arial Narrow" w:hAnsi="Arial Narrow" w:cs="Arial"/>
                <w:sz w:val="20"/>
                <w:szCs w:val="20"/>
              </w:rPr>
              <w:t xml:space="preserve">Medical Practitioners    </w:t>
            </w:r>
          </w:p>
        </w:tc>
      </w:tr>
      <w:tr w:rsidR="00621B52" w:rsidRPr="008972BB" w14:paraId="500F3FBC" w14:textId="77777777" w:rsidTr="00621B52">
        <w:tblPrEx>
          <w:tblCellMar>
            <w:top w:w="15" w:type="dxa"/>
            <w:left w:w="15" w:type="dxa"/>
            <w:bottom w:w="15" w:type="dxa"/>
            <w:right w:w="15" w:type="dxa"/>
          </w:tblCellMar>
          <w:tblLook w:val="04A0" w:firstRow="1" w:lastRow="0" w:firstColumn="1" w:lastColumn="0" w:noHBand="0" w:noVBand="1"/>
        </w:tblPrEx>
        <w:trPr>
          <w:trHeight w:val="290"/>
        </w:trPr>
        <w:tc>
          <w:tcPr>
            <w:tcW w:w="981" w:type="dxa"/>
            <w:vMerge/>
            <w:tcBorders>
              <w:left w:val="single" w:sz="4" w:space="0" w:color="auto"/>
              <w:bottom w:val="single" w:sz="4" w:space="0" w:color="auto"/>
              <w:right w:val="single" w:sz="4" w:space="0" w:color="auto"/>
            </w:tcBorders>
          </w:tcPr>
          <w:p w14:paraId="30ACB979" w14:textId="77777777" w:rsidR="00621B52" w:rsidRPr="00F145C2" w:rsidRDefault="00621B52" w:rsidP="00203EAF">
            <w:pPr>
              <w:keepNext/>
              <w:rPr>
                <w:rFonts w:ascii="Arial Narrow" w:hAnsi="Arial Narrow" w:cs="Arial"/>
                <w:sz w:val="20"/>
                <w:szCs w:val="20"/>
              </w:rPr>
            </w:pPr>
          </w:p>
        </w:tc>
        <w:tc>
          <w:tcPr>
            <w:tcW w:w="7945" w:type="dxa"/>
            <w:gridSpan w:val="5"/>
            <w:tcBorders>
              <w:top w:val="single" w:sz="4" w:space="0" w:color="auto"/>
              <w:left w:val="single" w:sz="4" w:space="0" w:color="auto"/>
              <w:bottom w:val="single" w:sz="4" w:space="0" w:color="auto"/>
              <w:right w:val="single" w:sz="4" w:space="0" w:color="auto"/>
            </w:tcBorders>
          </w:tcPr>
          <w:p w14:paraId="6D5424A8" w14:textId="77777777" w:rsidR="00621B52" w:rsidRPr="00F145C2" w:rsidRDefault="00621B52" w:rsidP="00203EAF">
            <w:pPr>
              <w:keepNext/>
              <w:rPr>
                <w:rFonts w:ascii="Arial Narrow" w:hAnsi="Arial Narrow" w:cs="Arial"/>
                <w:b/>
                <w:sz w:val="20"/>
                <w:szCs w:val="20"/>
              </w:rPr>
            </w:pPr>
            <w:r w:rsidRPr="00F145C2">
              <w:rPr>
                <w:rFonts w:ascii="Arial Narrow" w:hAnsi="Arial Narrow" w:cs="Arial"/>
                <w:b/>
                <w:sz w:val="20"/>
                <w:szCs w:val="20"/>
              </w:rPr>
              <w:t xml:space="preserve">Restriction type: </w:t>
            </w:r>
            <w:r w:rsidRPr="00F145C2">
              <w:rPr>
                <w:rFonts w:ascii="Arial Narrow" w:eastAsia="Calibri" w:hAnsi="Arial Narrow" w:cs="Arial"/>
                <w:sz w:val="20"/>
                <w:szCs w:val="20"/>
              </w:rPr>
              <w:fldChar w:fldCharType="begin">
                <w:ffData>
                  <w:name w:val=""/>
                  <w:enabled/>
                  <w:calcOnExit w:val="0"/>
                  <w:checkBox>
                    <w:sizeAuto/>
                    <w:default w:val="1"/>
                  </w:checkBox>
                </w:ffData>
              </w:fldChar>
            </w:r>
            <w:r w:rsidRPr="00F145C2">
              <w:rPr>
                <w:rFonts w:ascii="Arial Narrow" w:eastAsia="Calibri" w:hAnsi="Arial Narrow" w:cs="Arial"/>
                <w:sz w:val="20"/>
                <w:szCs w:val="20"/>
              </w:rPr>
              <w:instrText xml:space="preserve"> FORMCHECKBOX </w:instrText>
            </w:r>
            <w:r w:rsidR="008A6324">
              <w:rPr>
                <w:rFonts w:ascii="Arial Narrow" w:eastAsia="Calibri" w:hAnsi="Arial Narrow" w:cs="Arial"/>
                <w:sz w:val="20"/>
                <w:szCs w:val="20"/>
              </w:rPr>
            </w:r>
            <w:r w:rsidR="008A6324">
              <w:rPr>
                <w:rFonts w:ascii="Arial Narrow" w:eastAsia="Calibri" w:hAnsi="Arial Narrow" w:cs="Arial"/>
                <w:sz w:val="20"/>
                <w:szCs w:val="20"/>
              </w:rPr>
              <w:fldChar w:fldCharType="separate"/>
            </w:r>
            <w:r w:rsidRPr="00F145C2">
              <w:rPr>
                <w:rFonts w:ascii="Arial Narrow" w:eastAsia="Calibri" w:hAnsi="Arial Narrow" w:cs="Arial"/>
                <w:sz w:val="20"/>
                <w:szCs w:val="20"/>
              </w:rPr>
              <w:fldChar w:fldCharType="end"/>
            </w:r>
            <w:r w:rsidRPr="00F145C2">
              <w:rPr>
                <w:rFonts w:ascii="Arial Narrow" w:eastAsia="Calibri" w:hAnsi="Arial Narrow" w:cs="Arial"/>
                <w:sz w:val="20"/>
                <w:szCs w:val="20"/>
              </w:rPr>
              <w:t xml:space="preserve">  Authority Required – Streamlined [4662]  </w:t>
            </w:r>
          </w:p>
        </w:tc>
      </w:tr>
      <w:tr w:rsidR="00621B52" w:rsidRPr="008972BB" w14:paraId="123487C3"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0CEF21" w14:textId="77777777" w:rsidR="00621B52" w:rsidRPr="00F145C2" w:rsidRDefault="00621B52" w:rsidP="00203EAF">
            <w:pPr>
              <w:keepNext/>
              <w:jc w:val="center"/>
              <w:rPr>
                <w:rFonts w:ascii="Arial Narrow" w:hAnsi="Arial Narrow"/>
                <w:color w:val="333333"/>
                <w:sz w:val="20"/>
                <w:szCs w:val="20"/>
              </w:rPr>
            </w:pPr>
          </w:p>
        </w:tc>
        <w:tc>
          <w:tcPr>
            <w:tcW w:w="7945" w:type="dxa"/>
            <w:gridSpan w:val="5"/>
            <w:vAlign w:val="center"/>
          </w:tcPr>
          <w:p w14:paraId="2F3EAB0B" w14:textId="77777777" w:rsidR="00621B52" w:rsidRPr="00F145C2" w:rsidRDefault="00621B52" w:rsidP="00203EAF">
            <w:pPr>
              <w:keepNext/>
              <w:rPr>
                <w:rFonts w:ascii="Arial Narrow" w:hAnsi="Arial Narrow"/>
                <w:bCs/>
                <w:color w:val="333333"/>
                <w:sz w:val="20"/>
                <w:szCs w:val="20"/>
              </w:rPr>
            </w:pPr>
            <w:proofErr w:type="spellStart"/>
            <w:r w:rsidRPr="00F145C2">
              <w:rPr>
                <w:rFonts w:ascii="Arial Narrow" w:hAnsi="Arial Narrow"/>
                <w:b/>
                <w:bCs/>
                <w:color w:val="333333"/>
                <w:sz w:val="20"/>
                <w:szCs w:val="20"/>
              </w:rPr>
              <w:t>Episodicity</w:t>
            </w:r>
            <w:proofErr w:type="spellEnd"/>
            <w:r w:rsidRPr="00F145C2">
              <w:rPr>
                <w:rFonts w:ascii="Arial Narrow" w:hAnsi="Arial Narrow"/>
                <w:b/>
                <w:bCs/>
                <w:color w:val="333333"/>
                <w:sz w:val="20"/>
                <w:szCs w:val="20"/>
              </w:rPr>
              <w:t>:</w:t>
            </w:r>
          </w:p>
        </w:tc>
      </w:tr>
      <w:tr w:rsidR="00621B52" w:rsidRPr="008972BB" w14:paraId="47DD0754"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48F140" w14:textId="77777777" w:rsidR="00621B52" w:rsidRPr="00F145C2" w:rsidRDefault="00621B52" w:rsidP="00203EAF">
            <w:pPr>
              <w:keepNext/>
              <w:jc w:val="center"/>
              <w:rPr>
                <w:rFonts w:ascii="Arial Narrow" w:hAnsi="Arial Narrow"/>
                <w:color w:val="333333"/>
                <w:sz w:val="20"/>
                <w:szCs w:val="20"/>
              </w:rPr>
            </w:pPr>
          </w:p>
        </w:tc>
        <w:tc>
          <w:tcPr>
            <w:tcW w:w="7945" w:type="dxa"/>
            <w:gridSpan w:val="5"/>
            <w:vAlign w:val="center"/>
          </w:tcPr>
          <w:p w14:paraId="7D5BDA92" w14:textId="77777777" w:rsidR="00621B52" w:rsidRPr="00F145C2" w:rsidRDefault="00621B52" w:rsidP="00203EAF">
            <w:pPr>
              <w:keepNext/>
              <w:rPr>
                <w:rFonts w:ascii="Arial Narrow" w:hAnsi="Arial Narrow"/>
                <w:b/>
                <w:bCs/>
                <w:color w:val="333333"/>
                <w:sz w:val="20"/>
                <w:szCs w:val="20"/>
              </w:rPr>
            </w:pPr>
            <w:r w:rsidRPr="00F145C2">
              <w:rPr>
                <w:rFonts w:ascii="Arial Narrow" w:hAnsi="Arial Narrow"/>
                <w:b/>
                <w:bCs/>
                <w:color w:val="333333"/>
                <w:sz w:val="20"/>
                <w:szCs w:val="20"/>
              </w:rPr>
              <w:t xml:space="preserve">Severity: </w:t>
            </w:r>
            <w:r w:rsidRPr="00F145C2">
              <w:rPr>
                <w:rFonts w:ascii="Arial Narrow" w:hAnsi="Arial Narrow"/>
                <w:color w:val="333333"/>
                <w:sz w:val="20"/>
                <w:szCs w:val="20"/>
              </w:rPr>
              <w:t>Castration resistant metastatic</w:t>
            </w:r>
          </w:p>
        </w:tc>
      </w:tr>
      <w:tr w:rsidR="00621B52" w:rsidRPr="008972BB" w14:paraId="2C3B3B93"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6EF7C3" w14:textId="77777777" w:rsidR="00621B52" w:rsidRPr="00F145C2" w:rsidRDefault="00621B52" w:rsidP="00203EAF">
            <w:pPr>
              <w:keepNext/>
              <w:jc w:val="center"/>
              <w:rPr>
                <w:rFonts w:ascii="Arial Narrow" w:hAnsi="Arial Narrow"/>
                <w:color w:val="333333"/>
                <w:sz w:val="20"/>
                <w:szCs w:val="20"/>
              </w:rPr>
            </w:pPr>
          </w:p>
        </w:tc>
        <w:tc>
          <w:tcPr>
            <w:tcW w:w="7945" w:type="dxa"/>
            <w:gridSpan w:val="5"/>
            <w:vAlign w:val="center"/>
          </w:tcPr>
          <w:p w14:paraId="0D23A9F1" w14:textId="77777777" w:rsidR="00621B52" w:rsidRPr="00F145C2" w:rsidRDefault="00621B52" w:rsidP="00203EAF">
            <w:pPr>
              <w:keepNext/>
              <w:rPr>
                <w:rFonts w:ascii="Arial Narrow" w:hAnsi="Arial Narrow"/>
                <w:b/>
                <w:bCs/>
                <w:color w:val="333333"/>
                <w:sz w:val="20"/>
                <w:szCs w:val="20"/>
              </w:rPr>
            </w:pPr>
            <w:r w:rsidRPr="00F145C2">
              <w:rPr>
                <w:rFonts w:ascii="Arial Narrow" w:hAnsi="Arial Narrow"/>
                <w:b/>
                <w:bCs/>
                <w:color w:val="333333"/>
                <w:sz w:val="20"/>
                <w:szCs w:val="20"/>
              </w:rPr>
              <w:t xml:space="preserve">Condition: </w:t>
            </w:r>
            <w:r w:rsidRPr="00F145C2">
              <w:rPr>
                <w:rFonts w:ascii="Arial Narrow" w:hAnsi="Arial Narrow"/>
                <w:color w:val="333333"/>
                <w:sz w:val="20"/>
                <w:szCs w:val="20"/>
              </w:rPr>
              <w:t>carcinoma of the prostate</w:t>
            </w:r>
          </w:p>
        </w:tc>
      </w:tr>
      <w:tr w:rsidR="00621B52" w:rsidRPr="008972BB" w14:paraId="455EF0D1"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76932A4" w14:textId="7C656468"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19C8BF48"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Indication:</w:t>
            </w:r>
            <w:r w:rsidRPr="00F145C2">
              <w:rPr>
                <w:rFonts w:ascii="Arial Narrow" w:hAnsi="Arial Narrow"/>
                <w:color w:val="333333"/>
                <w:sz w:val="20"/>
                <w:szCs w:val="20"/>
              </w:rPr>
              <w:t xml:space="preserve"> Castration resistant metastatic carcinoma of the prostate</w:t>
            </w:r>
          </w:p>
        </w:tc>
      </w:tr>
      <w:tr w:rsidR="00621B52" w:rsidRPr="008972BB" w14:paraId="566FDA90"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66495C96" w14:textId="58C9DE72"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2771DE74"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621B52" w:rsidRPr="008972BB" w14:paraId="2E46B96E"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1C2098A9" w14:textId="53678E35"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298D56C6" w14:textId="77777777" w:rsidR="00621B52" w:rsidRPr="00F145C2" w:rsidRDefault="00621B52" w:rsidP="00203EAF">
            <w:pPr>
              <w:keepNext/>
              <w:jc w:val="left"/>
              <w:rPr>
                <w:rFonts w:ascii="Arial Narrow" w:hAnsi="Arial Narrow"/>
                <w:color w:val="333333"/>
                <w:sz w:val="20"/>
                <w:szCs w:val="20"/>
              </w:rPr>
            </w:pPr>
            <w:r w:rsidRPr="00F145C2">
              <w:rPr>
                <w:rFonts w:ascii="Arial Narrow" w:hAnsi="Arial Narrow"/>
                <w:color w:val="333333"/>
                <w:sz w:val="20"/>
                <w:szCs w:val="20"/>
              </w:rPr>
              <w:t>The treatment must be in combination with prednisone or prednisolone</w:t>
            </w:r>
          </w:p>
        </w:tc>
      </w:tr>
      <w:tr w:rsidR="00621B52" w:rsidRPr="008972BB" w14:paraId="56BCBA77"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6A448015" w14:textId="77777777"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60F29EA3"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AND</w:t>
            </w:r>
          </w:p>
        </w:tc>
      </w:tr>
      <w:tr w:rsidR="00A62815" w:rsidRPr="008972BB" w14:paraId="4478B6D4"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28EB96" w14:textId="77777777" w:rsidR="00A62815" w:rsidRPr="00F145C2" w:rsidRDefault="00A62815" w:rsidP="00203EAF">
            <w:pPr>
              <w:keepNext/>
              <w:jc w:val="center"/>
              <w:rPr>
                <w:rFonts w:ascii="Arial Narrow" w:hAnsi="Arial Narrow"/>
                <w:color w:val="333333"/>
                <w:sz w:val="20"/>
                <w:szCs w:val="20"/>
              </w:rPr>
            </w:pPr>
          </w:p>
        </w:tc>
        <w:tc>
          <w:tcPr>
            <w:tcW w:w="7945" w:type="dxa"/>
            <w:gridSpan w:val="5"/>
            <w:vAlign w:val="center"/>
          </w:tcPr>
          <w:p w14:paraId="27E2D7AC" w14:textId="4458169A" w:rsidR="00A62815" w:rsidRPr="00F145C2" w:rsidRDefault="00A62815" w:rsidP="00203EAF">
            <w:pPr>
              <w:keepNext/>
              <w:rPr>
                <w:rFonts w:ascii="Arial Narrow" w:hAnsi="Arial Narrow"/>
                <w:b/>
                <w:bCs/>
                <w:color w:val="333333"/>
                <w:sz w:val="20"/>
                <w:szCs w:val="20"/>
              </w:rPr>
            </w:pPr>
            <w:r w:rsidRPr="00F145C2">
              <w:rPr>
                <w:rFonts w:ascii="Arial Narrow" w:hAnsi="Arial Narrow"/>
                <w:b/>
                <w:bCs/>
                <w:color w:val="333333"/>
                <w:sz w:val="20"/>
                <w:szCs w:val="20"/>
              </w:rPr>
              <w:t>Clinical criteria:</w:t>
            </w:r>
          </w:p>
        </w:tc>
      </w:tr>
      <w:tr w:rsidR="00A62815" w:rsidRPr="008972BB" w14:paraId="1A494FFC"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D87D78" w14:textId="46C77C71" w:rsidR="00A62815" w:rsidRPr="00F145C2" w:rsidRDefault="00A62815" w:rsidP="00203EAF">
            <w:pPr>
              <w:keepNext/>
              <w:jc w:val="center"/>
              <w:rPr>
                <w:rFonts w:ascii="Arial Narrow" w:hAnsi="Arial Narrow"/>
                <w:color w:val="333333"/>
                <w:sz w:val="20"/>
                <w:szCs w:val="20"/>
              </w:rPr>
            </w:pPr>
          </w:p>
        </w:tc>
        <w:tc>
          <w:tcPr>
            <w:tcW w:w="7945" w:type="dxa"/>
            <w:gridSpan w:val="5"/>
            <w:vAlign w:val="center"/>
          </w:tcPr>
          <w:p w14:paraId="50DCC08E" w14:textId="22B71E66" w:rsidR="00C514DE" w:rsidRPr="00F145C2" w:rsidRDefault="00C514DE" w:rsidP="00203EAF">
            <w:pPr>
              <w:keepNext/>
              <w:jc w:val="left"/>
              <w:rPr>
                <w:rFonts w:ascii="Arial Narrow" w:hAnsi="Arial Narrow"/>
                <w:strike/>
                <w:color w:val="333333"/>
                <w:sz w:val="20"/>
                <w:szCs w:val="20"/>
              </w:rPr>
            </w:pPr>
            <w:r w:rsidRPr="00F145C2">
              <w:rPr>
                <w:rFonts w:ascii="Arial Narrow" w:hAnsi="Arial Narrow"/>
                <w:strike/>
                <w:color w:val="333333"/>
                <w:sz w:val="20"/>
                <w:szCs w:val="20"/>
              </w:rPr>
              <w:t>Patient must have failed treatment with docetaxel due to resistance or intolerance</w:t>
            </w:r>
          </w:p>
          <w:p w14:paraId="065231B3" w14:textId="1F8062C1" w:rsidR="00A62815" w:rsidRPr="00F145C2" w:rsidRDefault="00A62815" w:rsidP="00203EAF">
            <w:pPr>
              <w:keepNext/>
              <w:rPr>
                <w:rFonts w:ascii="Arial Narrow" w:hAnsi="Arial Narrow"/>
                <w:i/>
                <w:iCs/>
                <w:color w:val="333333"/>
                <w:sz w:val="20"/>
                <w:szCs w:val="20"/>
              </w:rPr>
            </w:pPr>
            <w:r w:rsidRPr="00F145C2">
              <w:rPr>
                <w:rFonts w:ascii="Arial Narrow" w:hAnsi="Arial Narrow"/>
                <w:i/>
                <w:iCs/>
                <w:color w:val="333333"/>
                <w:sz w:val="20"/>
                <w:szCs w:val="20"/>
              </w:rPr>
              <w:t>The condition must be resistan</w:t>
            </w:r>
            <w:r w:rsidR="00513820">
              <w:rPr>
                <w:rFonts w:ascii="Arial Narrow" w:hAnsi="Arial Narrow"/>
                <w:i/>
                <w:iCs/>
                <w:color w:val="333333"/>
                <w:sz w:val="20"/>
                <w:szCs w:val="20"/>
              </w:rPr>
              <w:t>t</w:t>
            </w:r>
            <w:r w:rsidRPr="00F145C2">
              <w:rPr>
                <w:rFonts w:ascii="Arial Narrow" w:hAnsi="Arial Narrow"/>
                <w:i/>
                <w:iCs/>
                <w:color w:val="333333"/>
                <w:sz w:val="20"/>
                <w:szCs w:val="20"/>
              </w:rPr>
              <w:t xml:space="preserve"> to treatment with docetaxel</w:t>
            </w:r>
            <w:r w:rsidR="00C514DE" w:rsidRPr="00F145C2">
              <w:rPr>
                <w:rFonts w:ascii="Arial Narrow" w:hAnsi="Arial Narrow"/>
                <w:i/>
                <w:iCs/>
                <w:color w:val="333333"/>
                <w:sz w:val="20"/>
                <w:szCs w:val="20"/>
              </w:rPr>
              <w:t>, OR</w:t>
            </w:r>
          </w:p>
        </w:tc>
      </w:tr>
      <w:tr w:rsidR="00C514DE" w:rsidRPr="008972BB" w14:paraId="2A0CE23F"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B34CD7" w14:textId="6DFDD82F" w:rsidR="00C514DE" w:rsidRPr="00F145C2" w:rsidRDefault="00C514DE" w:rsidP="00203EAF">
            <w:pPr>
              <w:keepNext/>
              <w:jc w:val="center"/>
              <w:rPr>
                <w:rFonts w:ascii="Arial Narrow" w:hAnsi="Arial Narrow"/>
                <w:color w:val="333333"/>
                <w:sz w:val="20"/>
                <w:szCs w:val="20"/>
              </w:rPr>
            </w:pPr>
          </w:p>
        </w:tc>
        <w:tc>
          <w:tcPr>
            <w:tcW w:w="7945" w:type="dxa"/>
            <w:gridSpan w:val="5"/>
            <w:vAlign w:val="center"/>
          </w:tcPr>
          <w:p w14:paraId="6F97B523" w14:textId="5D7FD345" w:rsidR="00C514DE" w:rsidRPr="00F145C2" w:rsidRDefault="00C514DE" w:rsidP="00203EAF">
            <w:pPr>
              <w:keepNext/>
              <w:rPr>
                <w:rFonts w:ascii="Arial Narrow" w:hAnsi="Arial Narrow"/>
                <w:i/>
                <w:iCs/>
                <w:color w:val="333333"/>
                <w:sz w:val="20"/>
                <w:szCs w:val="20"/>
              </w:rPr>
            </w:pPr>
            <w:r w:rsidRPr="00F145C2">
              <w:rPr>
                <w:rFonts w:ascii="Arial Narrow" w:hAnsi="Arial Narrow"/>
                <w:i/>
                <w:iCs/>
                <w:color w:val="333333"/>
                <w:sz w:val="20"/>
                <w:szCs w:val="20"/>
              </w:rPr>
              <w:t>Patient must have a documented intolerance</w:t>
            </w:r>
            <w:r w:rsidR="00817A85" w:rsidRPr="00F145C2">
              <w:rPr>
                <w:rFonts w:ascii="Arial Narrow" w:hAnsi="Arial Narrow"/>
                <w:i/>
                <w:iCs/>
                <w:color w:val="333333"/>
                <w:sz w:val="20"/>
                <w:szCs w:val="20"/>
              </w:rPr>
              <w:t xml:space="preserve"> </w:t>
            </w:r>
            <w:r w:rsidRPr="00F145C2">
              <w:rPr>
                <w:rFonts w:ascii="Arial Narrow" w:hAnsi="Arial Narrow"/>
                <w:i/>
                <w:iCs/>
                <w:color w:val="333333"/>
                <w:sz w:val="20"/>
                <w:szCs w:val="20"/>
              </w:rPr>
              <w:t>necessitating permanent treatment withdrawal or a contraindication to docetax</w:t>
            </w:r>
            <w:r w:rsidR="00817A85" w:rsidRPr="00F145C2">
              <w:rPr>
                <w:rFonts w:ascii="Arial Narrow" w:hAnsi="Arial Narrow"/>
                <w:i/>
                <w:iCs/>
                <w:color w:val="333333"/>
                <w:sz w:val="20"/>
                <w:szCs w:val="20"/>
              </w:rPr>
              <w:t>e</w:t>
            </w:r>
            <w:r w:rsidRPr="00F145C2">
              <w:rPr>
                <w:rFonts w:ascii="Arial Narrow" w:hAnsi="Arial Narrow"/>
                <w:i/>
                <w:iCs/>
                <w:color w:val="333333"/>
                <w:sz w:val="20"/>
                <w:szCs w:val="20"/>
              </w:rPr>
              <w:t>l</w:t>
            </w:r>
          </w:p>
        </w:tc>
      </w:tr>
      <w:tr w:rsidR="00A62815" w:rsidRPr="008972BB" w14:paraId="337C3FF6"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098705DE" w14:textId="77777777" w:rsidR="00A62815" w:rsidRPr="00F145C2" w:rsidRDefault="00A62815" w:rsidP="00203EAF">
            <w:pPr>
              <w:keepNext/>
              <w:jc w:val="center"/>
              <w:rPr>
                <w:rFonts w:ascii="Arial Narrow" w:hAnsi="Arial Narrow"/>
                <w:color w:val="333333"/>
                <w:sz w:val="20"/>
                <w:szCs w:val="20"/>
              </w:rPr>
            </w:pPr>
          </w:p>
        </w:tc>
        <w:tc>
          <w:tcPr>
            <w:tcW w:w="7945" w:type="dxa"/>
            <w:gridSpan w:val="5"/>
            <w:vAlign w:val="center"/>
          </w:tcPr>
          <w:p w14:paraId="1BF8D125" w14:textId="5824A676" w:rsidR="00A62815" w:rsidRPr="00F145C2" w:rsidRDefault="00A62815" w:rsidP="00203EAF">
            <w:pPr>
              <w:keepNext/>
              <w:rPr>
                <w:rFonts w:ascii="Arial Narrow" w:hAnsi="Arial Narrow"/>
                <w:b/>
                <w:bCs/>
                <w:color w:val="333333"/>
                <w:sz w:val="20"/>
                <w:szCs w:val="20"/>
              </w:rPr>
            </w:pPr>
            <w:r w:rsidRPr="00F145C2">
              <w:rPr>
                <w:rFonts w:ascii="Arial Narrow" w:hAnsi="Arial Narrow"/>
                <w:b/>
                <w:bCs/>
                <w:color w:val="333333"/>
                <w:sz w:val="20"/>
                <w:szCs w:val="20"/>
              </w:rPr>
              <w:t>AND</w:t>
            </w:r>
          </w:p>
        </w:tc>
      </w:tr>
      <w:tr w:rsidR="00621B52" w:rsidRPr="008972BB" w14:paraId="07F5A12C"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14A4C9C" w14:textId="3E5B7ACF"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3A69CD4C"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621B52" w:rsidRPr="008972BB" w14:paraId="10A3AA57"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534D02D" w14:textId="56833B3A"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06233B39" w14:textId="77777777" w:rsidR="00621B52" w:rsidRPr="00F145C2" w:rsidRDefault="00621B52" w:rsidP="00203EAF">
            <w:pPr>
              <w:keepNext/>
              <w:rPr>
                <w:rFonts w:ascii="Arial Narrow" w:hAnsi="Arial Narrow"/>
                <w:color w:val="333333"/>
                <w:sz w:val="20"/>
                <w:szCs w:val="20"/>
              </w:rPr>
            </w:pPr>
            <w:r w:rsidRPr="00F145C2">
              <w:rPr>
                <w:rFonts w:ascii="Arial Narrow" w:hAnsi="Arial Narrow"/>
                <w:color w:val="333333"/>
                <w:sz w:val="20"/>
                <w:szCs w:val="20"/>
              </w:rPr>
              <w:t>The treatment must not be used in combination with abiraterone</w:t>
            </w:r>
          </w:p>
        </w:tc>
      </w:tr>
      <w:tr w:rsidR="00621B52" w:rsidRPr="008972BB" w14:paraId="7D156DE2"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CA7AA8" w14:textId="77777777"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7FD081ED"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AND</w:t>
            </w:r>
          </w:p>
        </w:tc>
      </w:tr>
      <w:tr w:rsidR="00621B52" w:rsidRPr="008972BB" w14:paraId="627135EE"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2582FE" w14:textId="03840CB8"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4C1F28E8"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621B52" w:rsidRPr="008972BB" w14:paraId="3F9E4CFD"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2EC9A6" w14:textId="7BE8B0DA"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19FAA525" w14:textId="77777777" w:rsidR="00621B52" w:rsidRPr="00F145C2" w:rsidRDefault="00621B52" w:rsidP="00203EAF">
            <w:pPr>
              <w:keepNext/>
              <w:rPr>
                <w:rFonts w:ascii="Arial Narrow" w:hAnsi="Arial Narrow"/>
                <w:color w:val="333333"/>
                <w:sz w:val="20"/>
                <w:szCs w:val="20"/>
              </w:rPr>
            </w:pPr>
            <w:r w:rsidRPr="00F145C2">
              <w:rPr>
                <w:rFonts w:ascii="Arial Narrow" w:hAnsi="Arial Narrow"/>
                <w:color w:val="333333"/>
                <w:sz w:val="20"/>
                <w:szCs w:val="20"/>
              </w:rPr>
              <w:t>Patient must have a WHO performance status of 2 or less</w:t>
            </w:r>
          </w:p>
        </w:tc>
      </w:tr>
      <w:tr w:rsidR="00621B52" w:rsidRPr="008972BB" w14:paraId="2C0E51DD"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6FC69DE" w14:textId="77777777"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0C7628F7"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AND</w:t>
            </w:r>
          </w:p>
        </w:tc>
      </w:tr>
      <w:tr w:rsidR="00621B52" w:rsidRPr="008972BB" w14:paraId="1DBEE220"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6765B9" w14:textId="28D59C60"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65B64D43" w14:textId="77777777" w:rsidR="00621B52" w:rsidRPr="00F145C2" w:rsidRDefault="00621B5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621B52" w:rsidRPr="008972BB" w14:paraId="564A2AE1" w14:textId="77777777" w:rsidTr="00621B52">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F5B6D9" w14:textId="25DCC80C" w:rsidR="00621B52" w:rsidRPr="00F145C2" w:rsidRDefault="00621B52" w:rsidP="00203EAF">
            <w:pPr>
              <w:keepNext/>
              <w:jc w:val="center"/>
              <w:rPr>
                <w:rFonts w:ascii="Arial Narrow" w:hAnsi="Arial Narrow"/>
                <w:color w:val="333333"/>
                <w:sz w:val="20"/>
                <w:szCs w:val="20"/>
              </w:rPr>
            </w:pPr>
          </w:p>
        </w:tc>
        <w:tc>
          <w:tcPr>
            <w:tcW w:w="7945" w:type="dxa"/>
            <w:gridSpan w:val="5"/>
            <w:vAlign w:val="center"/>
            <w:hideMark/>
          </w:tcPr>
          <w:p w14:paraId="737478C6" w14:textId="77777777" w:rsidR="00621B52" w:rsidRPr="00F145C2" w:rsidRDefault="00621B52" w:rsidP="00203EAF">
            <w:pPr>
              <w:keepNext/>
              <w:autoSpaceDE w:val="0"/>
              <w:autoSpaceDN w:val="0"/>
              <w:adjustRightInd w:val="0"/>
              <w:rPr>
                <w:rFonts w:ascii="Arial Narrow" w:hAnsi="Arial Narrow" w:cs="Arial Narrow"/>
                <w:iCs/>
                <w:sz w:val="20"/>
                <w:szCs w:val="20"/>
              </w:rPr>
            </w:pPr>
            <w:r w:rsidRPr="00F145C2">
              <w:rPr>
                <w:rFonts w:ascii="Arial Narrow" w:hAnsi="Arial Narrow" w:cs="Arial Narrow"/>
                <w:iCs/>
                <w:sz w:val="20"/>
                <w:szCs w:val="20"/>
              </w:rPr>
              <w:t>Patient must not receive PBS-subsidised cabazitaxel if progressive disease develops while on cabazitaxel</w:t>
            </w:r>
          </w:p>
        </w:tc>
      </w:tr>
    </w:tbl>
    <w:p w14:paraId="641E7670" w14:textId="77777777" w:rsidR="00513820" w:rsidRDefault="00513820" w:rsidP="00203EAF">
      <w:pPr>
        <w:pStyle w:val="3Bodytext"/>
        <w:keepNext/>
        <w:numPr>
          <w:ilvl w:val="0"/>
          <w:numId w:val="0"/>
        </w:numPr>
        <w:spacing w:after="0"/>
        <w:ind w:left="720"/>
        <w:rPr>
          <w:i/>
          <w:iCs/>
        </w:rPr>
      </w:pPr>
    </w:p>
    <w:p w14:paraId="3E482A97" w14:textId="4397BA82" w:rsidR="003466CD" w:rsidRDefault="003466CD" w:rsidP="00C23AB3">
      <w:pPr>
        <w:pStyle w:val="3Bodytext"/>
        <w:keepNext/>
        <w:numPr>
          <w:ilvl w:val="0"/>
          <w:numId w:val="0"/>
        </w:numPr>
        <w:ind w:left="720"/>
        <w:rPr>
          <w:i/>
          <w:iCs/>
        </w:rPr>
      </w:pPr>
      <w:r w:rsidRPr="003466CD">
        <w:rPr>
          <w:i/>
          <w:iCs/>
        </w:rPr>
        <w:t>For more detail on PBAC’s view, see section 6 PBAC outcome.</w:t>
      </w:r>
    </w:p>
    <w:p w14:paraId="2EDAECC3" w14:textId="1FB9CA7C" w:rsidR="00C23AB3" w:rsidRDefault="00C23AB3" w:rsidP="00C23AB3">
      <w:pPr>
        <w:pStyle w:val="3Bodytext"/>
        <w:keepNext/>
        <w:numPr>
          <w:ilvl w:val="0"/>
          <w:numId w:val="0"/>
        </w:numPr>
        <w:ind w:left="720"/>
        <w:rPr>
          <w:i/>
          <w:iCs/>
        </w:rPr>
      </w:pPr>
    </w:p>
    <w:p w14:paraId="3599C220" w14:textId="77777777" w:rsidR="00C23AB3" w:rsidRPr="003466CD" w:rsidRDefault="00C23AB3" w:rsidP="00C23AB3">
      <w:pPr>
        <w:pStyle w:val="3Bodytext"/>
        <w:keepNext/>
        <w:numPr>
          <w:ilvl w:val="0"/>
          <w:numId w:val="0"/>
        </w:numPr>
        <w:ind w:left="720"/>
        <w:rPr>
          <w:i/>
          <w:iCs/>
        </w:rPr>
      </w:pPr>
    </w:p>
    <w:p w14:paraId="29A96004" w14:textId="04DD7117" w:rsidR="00C27C1C" w:rsidRPr="00980B0E" w:rsidRDefault="00C27C1C" w:rsidP="001F2311">
      <w:pPr>
        <w:pStyle w:val="2-SectionHeading"/>
        <w:numPr>
          <w:ilvl w:val="0"/>
          <w:numId w:val="2"/>
        </w:numPr>
        <w:rPr>
          <w:color w:val="FF0000"/>
        </w:rPr>
      </w:pPr>
      <w:r w:rsidRPr="003C2FB5">
        <w:lastRenderedPageBreak/>
        <w:t>Comparator</w:t>
      </w:r>
      <w:r>
        <w:t xml:space="preserve"> </w:t>
      </w:r>
    </w:p>
    <w:p w14:paraId="77998F77" w14:textId="48127B60" w:rsidR="004D4CA4" w:rsidRPr="003466CD" w:rsidRDefault="004D4CA4" w:rsidP="00C27C1C">
      <w:pPr>
        <w:pStyle w:val="3Bodytext"/>
        <w:rPr>
          <w:i/>
        </w:rPr>
      </w:pPr>
      <w:r>
        <w:rPr>
          <w:iCs/>
        </w:rPr>
        <w:t xml:space="preserve">The sponsor nominated the following comparators for </w:t>
      </w:r>
      <w:proofErr w:type="spellStart"/>
      <w:r>
        <w:rPr>
          <w:iCs/>
        </w:rPr>
        <w:t>Cabazitaxel</w:t>
      </w:r>
      <w:proofErr w:type="spellEnd"/>
      <w:r>
        <w:rPr>
          <w:iCs/>
        </w:rPr>
        <w:t xml:space="preserve"> Accord: </w:t>
      </w:r>
      <w:proofErr w:type="spellStart"/>
      <w:r>
        <w:rPr>
          <w:iCs/>
        </w:rPr>
        <w:t>Jevtana</w:t>
      </w:r>
      <w:proofErr w:type="spellEnd"/>
      <w:r>
        <w:rPr>
          <w:iCs/>
        </w:rPr>
        <w:t xml:space="preserve">, </w:t>
      </w:r>
      <w:proofErr w:type="spellStart"/>
      <w:r>
        <w:rPr>
          <w:iCs/>
        </w:rPr>
        <w:t>Cabazitaxel</w:t>
      </w:r>
      <w:proofErr w:type="spellEnd"/>
      <w:r>
        <w:rPr>
          <w:iCs/>
        </w:rPr>
        <w:t xml:space="preserve"> Ever Pharma</w:t>
      </w:r>
      <w:r w:rsidR="002736B4">
        <w:rPr>
          <w:iCs/>
        </w:rPr>
        <w:t xml:space="preserve"> and</w:t>
      </w:r>
      <w:r>
        <w:rPr>
          <w:iCs/>
        </w:rPr>
        <w:t xml:space="preserve"> Cabazitaxel Juno</w:t>
      </w:r>
      <w:r w:rsidR="002F3AB3">
        <w:rPr>
          <w:iCs/>
        </w:rPr>
        <w:t xml:space="preserve">. </w:t>
      </w:r>
      <w:r w:rsidR="002F3AB3" w:rsidRPr="001A1BA2">
        <w:rPr>
          <w:iCs/>
        </w:rPr>
        <w:t>This was appropriate.</w:t>
      </w:r>
    </w:p>
    <w:p w14:paraId="0813E653" w14:textId="373B6B00" w:rsidR="003466CD" w:rsidRPr="003466CD" w:rsidRDefault="003466CD" w:rsidP="003466CD">
      <w:pPr>
        <w:pStyle w:val="3Bodytext"/>
        <w:numPr>
          <w:ilvl w:val="0"/>
          <w:numId w:val="0"/>
        </w:numPr>
        <w:ind w:left="720"/>
        <w:rPr>
          <w:i/>
          <w:iCs/>
        </w:rPr>
      </w:pPr>
      <w:r w:rsidRPr="003466CD">
        <w:rPr>
          <w:i/>
          <w:iCs/>
        </w:rPr>
        <w:t>For more detail on PBAC’s view, see section 6 PBAC outcome.</w:t>
      </w:r>
    </w:p>
    <w:p w14:paraId="313E55A0" w14:textId="22C0772A" w:rsidR="00C27C1C" w:rsidRPr="002F3AB3" w:rsidRDefault="00C27C1C" w:rsidP="00C27C1C">
      <w:pPr>
        <w:pStyle w:val="Heading1"/>
        <w:keepLines/>
        <w:numPr>
          <w:ilvl w:val="0"/>
          <w:numId w:val="2"/>
        </w:numPr>
        <w:spacing w:before="240"/>
        <w:ind w:left="709" w:hanging="709"/>
        <w:rPr>
          <w:sz w:val="32"/>
          <w:szCs w:val="32"/>
        </w:rPr>
      </w:pPr>
      <w:r w:rsidRPr="003C2FB5">
        <w:rPr>
          <w:sz w:val="32"/>
          <w:szCs w:val="32"/>
        </w:rPr>
        <w:t>Consideration of the evidence</w:t>
      </w:r>
    </w:p>
    <w:p w14:paraId="45094F26" w14:textId="57F27001" w:rsidR="00034D5C" w:rsidRDefault="00034D5C" w:rsidP="00C27C1C">
      <w:pPr>
        <w:pStyle w:val="4-SubsectionHeading"/>
        <w:rPr>
          <w:lang w:eastAsia="en-US"/>
        </w:rPr>
      </w:pPr>
      <w:r>
        <w:rPr>
          <w:lang w:eastAsia="en-US"/>
        </w:rPr>
        <w:t>Sponsor hearing</w:t>
      </w:r>
    </w:p>
    <w:p w14:paraId="0ABFA9D6" w14:textId="7F63DA17" w:rsidR="00034D5C" w:rsidRPr="00034D5C" w:rsidRDefault="00034D5C" w:rsidP="00034D5C">
      <w:pPr>
        <w:pStyle w:val="3Bodytext"/>
        <w:rPr>
          <w:lang w:eastAsia="en-US"/>
        </w:rPr>
      </w:pPr>
      <w:r>
        <w:rPr>
          <w:lang w:eastAsia="en-US"/>
        </w:rPr>
        <w:t>There was no hearing for this item.</w:t>
      </w:r>
    </w:p>
    <w:p w14:paraId="4659BCEF" w14:textId="22B3E27F" w:rsidR="00034D5C" w:rsidRDefault="00034D5C" w:rsidP="00C27C1C">
      <w:pPr>
        <w:pStyle w:val="4-SubsectionHeading"/>
        <w:rPr>
          <w:lang w:eastAsia="en-US"/>
        </w:rPr>
      </w:pPr>
      <w:r>
        <w:rPr>
          <w:lang w:eastAsia="en-US"/>
        </w:rPr>
        <w:t>Consumer comments</w:t>
      </w:r>
    </w:p>
    <w:p w14:paraId="6A04E5B8" w14:textId="1883866D" w:rsidR="00034D5C" w:rsidRPr="00034D5C" w:rsidRDefault="00034D5C" w:rsidP="00034D5C">
      <w:pPr>
        <w:pStyle w:val="3Bodytext"/>
        <w:rPr>
          <w:lang w:eastAsia="en-US"/>
        </w:rPr>
      </w:pPr>
      <w:r>
        <w:rPr>
          <w:lang w:eastAsia="en-US"/>
        </w:rPr>
        <w:t>The PBAC noted that no consumer comments were received for this item.</w:t>
      </w:r>
    </w:p>
    <w:p w14:paraId="2CDF3682" w14:textId="34B2B1BF" w:rsidR="00C27C1C" w:rsidRPr="008306F3" w:rsidRDefault="00C27C1C" w:rsidP="00C27C1C">
      <w:pPr>
        <w:pStyle w:val="4-SubsectionHeading"/>
        <w:rPr>
          <w:lang w:eastAsia="en-US"/>
        </w:rPr>
      </w:pPr>
      <w:r w:rsidRPr="003C2FB5">
        <w:rPr>
          <w:lang w:eastAsia="en-US"/>
        </w:rPr>
        <w:t>Clinical claim</w:t>
      </w:r>
    </w:p>
    <w:p w14:paraId="4B39D2CE" w14:textId="7249A18E" w:rsidR="002F6F0F" w:rsidRPr="00913762" w:rsidRDefault="00C27C1C" w:rsidP="00A344F6">
      <w:pPr>
        <w:pStyle w:val="3Bodytext"/>
      </w:pPr>
      <w:r w:rsidRPr="00A344F6">
        <w:t xml:space="preserve">The submission claimed non-inferior comparative effectiveness and non-inferior comparative safety of </w:t>
      </w:r>
      <w:r w:rsidR="00A344F6" w:rsidRPr="00A344F6">
        <w:t xml:space="preserve">Cabazitaxel Accord </w:t>
      </w:r>
      <w:r w:rsidRPr="00A344F6">
        <w:t xml:space="preserve">compared with </w:t>
      </w:r>
      <w:proofErr w:type="spellStart"/>
      <w:r w:rsidR="00A344F6" w:rsidRPr="00A344F6">
        <w:t>Jevtana</w:t>
      </w:r>
      <w:proofErr w:type="spellEnd"/>
      <w:r w:rsidR="00A344F6" w:rsidRPr="00A344F6">
        <w:t>.</w:t>
      </w:r>
      <w:r w:rsidRPr="00A344F6">
        <w:rPr>
          <w:i/>
        </w:rPr>
        <w:t xml:space="preserve"> </w:t>
      </w:r>
    </w:p>
    <w:p w14:paraId="0E3A3D9B" w14:textId="3486013E" w:rsidR="00913762" w:rsidRPr="00CE42B4" w:rsidRDefault="00913762" w:rsidP="00913762">
      <w:pPr>
        <w:widowControl w:val="0"/>
        <w:numPr>
          <w:ilvl w:val="1"/>
          <w:numId w:val="2"/>
        </w:numPr>
        <w:spacing w:after="120"/>
        <w:rPr>
          <w:rFonts w:asciiTheme="minorHAnsi" w:hAnsiTheme="minorHAnsi" w:cs="Arial"/>
          <w:snapToGrid w:val="0"/>
          <w:szCs w:val="20"/>
        </w:rPr>
      </w:pPr>
      <w:bookmarkStart w:id="5"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was reasonable.</w:t>
      </w:r>
    </w:p>
    <w:p w14:paraId="0DC7AD1D" w14:textId="024D0CA6" w:rsidR="00913762" w:rsidRPr="00913762" w:rsidRDefault="00913762" w:rsidP="00913762">
      <w:pPr>
        <w:widowControl w:val="0"/>
        <w:numPr>
          <w:ilvl w:val="1"/>
          <w:numId w:val="2"/>
        </w:numPr>
        <w:spacing w:after="120"/>
        <w:rPr>
          <w:rFonts w:asciiTheme="minorHAnsi" w:hAnsiTheme="minorHAnsi" w:cs="Arial"/>
          <w:snapToGrid w:val="0"/>
          <w:szCs w:val="20"/>
        </w:rPr>
      </w:pPr>
      <w:r w:rsidRPr="00CE42B4">
        <w:rPr>
          <w:rFonts w:asciiTheme="minorHAnsi" w:hAnsiTheme="minorHAnsi" w:cs="Arial"/>
          <w:snapToGrid w:val="0"/>
          <w:szCs w:val="20"/>
        </w:rPr>
        <w:t>The PBAC considered that the claim of non-inferior comparative safety was reasonable.</w:t>
      </w:r>
      <w:bookmarkEnd w:id="5"/>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03D2D6F0" w14:textId="4AEE568F" w:rsidR="00711AD5" w:rsidRDefault="00711AD5" w:rsidP="00186055">
      <w:pPr>
        <w:pStyle w:val="3-BodyText"/>
        <w:numPr>
          <w:ilvl w:val="1"/>
          <w:numId w:val="2"/>
        </w:numPr>
        <w:jc w:val="left"/>
      </w:pPr>
      <w:r>
        <w:t>The sponsor has requested the same</w:t>
      </w:r>
      <w:r w:rsidR="0082370C">
        <w:t xml:space="preserve"> approved ex-manufacturer price</w:t>
      </w:r>
      <w:r>
        <w:t xml:space="preserve"> </w:t>
      </w:r>
      <w:r w:rsidR="0082370C">
        <w:t>(</w:t>
      </w:r>
      <w:r w:rsidR="00E3576C">
        <w:t>AEMP</w:t>
      </w:r>
      <w:r w:rsidR="0082370C">
        <w:t>)</w:t>
      </w:r>
      <w:r w:rsidR="00E3576C">
        <w:t xml:space="preserve"> ($946.16)</w:t>
      </w:r>
      <w:r>
        <w:t xml:space="preserve"> for Cabazitaxel Accord as </w:t>
      </w:r>
      <w:r w:rsidR="009E5854">
        <w:t xml:space="preserve">Cabazitaxel Ever Pharma, </w:t>
      </w:r>
      <w:proofErr w:type="spellStart"/>
      <w:r w:rsidR="009E5854">
        <w:t>Cabazitaxel</w:t>
      </w:r>
      <w:proofErr w:type="spellEnd"/>
      <w:r w:rsidR="009E5854">
        <w:t xml:space="preserve"> Juno and </w:t>
      </w:r>
      <w:proofErr w:type="spellStart"/>
      <w:r w:rsidR="009E5854">
        <w:t>Jevtana</w:t>
      </w:r>
      <w:proofErr w:type="spellEnd"/>
      <w:r>
        <w:t>.</w:t>
      </w:r>
      <w:r w:rsidR="00DB0299">
        <w:t xml:space="preserve"> </w:t>
      </w:r>
      <w:r w:rsidR="00DB0299" w:rsidRPr="001A1BA2">
        <w:t>Cabazitaxel is scheduled to take a price disclosure reduction on 1 April 2022 with the AEMP reducing from $946.16 to $595.32.</w:t>
      </w:r>
    </w:p>
    <w:p w14:paraId="497D3075" w14:textId="7FC9F345" w:rsidR="000C1AFF" w:rsidRDefault="00E7626D" w:rsidP="00186055">
      <w:pPr>
        <w:pStyle w:val="3-BodyText"/>
        <w:numPr>
          <w:ilvl w:val="1"/>
          <w:numId w:val="2"/>
        </w:numPr>
        <w:jc w:val="left"/>
      </w:pPr>
      <w:r>
        <w:t xml:space="preserve">The sponsor requested the same price as the listed brands of cabazitaxel and there are no variations in dosing. </w:t>
      </w:r>
      <w:r w:rsidRPr="001A1BA2">
        <w:t>The DPMA as of January 2022 for cabazitaxel is $1</w:t>
      </w:r>
      <w:r w:rsidR="002736B4" w:rsidRPr="001A1BA2">
        <w:t>,</w:t>
      </w:r>
      <w:r w:rsidRPr="001A1BA2">
        <w:t>032.44 (Public Hospital</w:t>
      </w:r>
      <w:r w:rsidR="00845F42" w:rsidRPr="001A1BA2">
        <w:t xml:space="preserve">, </w:t>
      </w:r>
      <w:r w:rsidR="000D3987">
        <w:t>Pharmaceutical Benefits Scheme (</w:t>
      </w:r>
      <w:r w:rsidR="00845F42" w:rsidRPr="001A1BA2">
        <w:t>PBS</w:t>
      </w:r>
      <w:r w:rsidR="000D3987">
        <w:t>)</w:t>
      </w:r>
      <w:r w:rsidR="00845F42" w:rsidRPr="001A1BA2">
        <w:t xml:space="preserve"> code 4376H</w:t>
      </w:r>
      <w:r w:rsidRPr="001A1BA2">
        <w:t>) and $1</w:t>
      </w:r>
      <w:r w:rsidR="002736B4" w:rsidRPr="001A1BA2">
        <w:t>,</w:t>
      </w:r>
      <w:r w:rsidRPr="001A1BA2">
        <w:t>086.72 (Private Hospital</w:t>
      </w:r>
      <w:r w:rsidR="00845F42" w:rsidRPr="001A1BA2">
        <w:t>, PBS code 7236W</w:t>
      </w:r>
      <w:r w:rsidRPr="001A1BA2">
        <w:t>).</w:t>
      </w:r>
      <w:r w:rsidR="00DB0299" w:rsidRPr="001A1BA2">
        <w:t xml:space="preserve"> The DPMA from 1 April 2022, following the price disclosure reduction, will be $681.60 (Public Hospital, PBS code 4376H) and $730.96 (Private Hospital, PBS code 7236W).</w:t>
      </w:r>
    </w:p>
    <w:p w14:paraId="61F93EB9" w14:textId="4A1FBBAD" w:rsidR="009C480C" w:rsidRDefault="009C480C" w:rsidP="000C1AFF">
      <w:pPr>
        <w:pStyle w:val="3-BodyText"/>
        <w:numPr>
          <w:ilvl w:val="1"/>
          <w:numId w:val="2"/>
        </w:numPr>
      </w:pPr>
      <w:r>
        <w:t>The submission did not include any financial estimates.</w:t>
      </w:r>
    </w:p>
    <w:p w14:paraId="6D21A960" w14:textId="24DBAEBE" w:rsidR="00D70349" w:rsidRPr="007C079F" w:rsidRDefault="009C480C" w:rsidP="00016BEA">
      <w:pPr>
        <w:pStyle w:val="3-BodyText"/>
        <w:numPr>
          <w:ilvl w:val="1"/>
          <w:numId w:val="2"/>
        </w:numPr>
      </w:pPr>
      <w:bookmarkStart w:id="6" w:name="_Hlk93684427"/>
      <w:r>
        <w:t>The submission stated that listing Cabazitaxel Accord on the PBS will not lead to any adverse financial effect on the PBS.</w:t>
      </w:r>
      <w:r w:rsidR="00E3576C">
        <w:t xml:space="preserve"> </w:t>
      </w:r>
      <w:bookmarkEnd w:id="6"/>
      <w:r w:rsidR="00E3576C" w:rsidRPr="001A1BA2">
        <w:t>This claim is appropriate as the listing of Cabazitaxel Accord is not expected to have any financial impact.</w:t>
      </w:r>
      <w:r w:rsidR="00E3576C">
        <w:t xml:space="preserve"> </w:t>
      </w:r>
    </w:p>
    <w:p w14:paraId="19399525" w14:textId="77777777" w:rsidR="003466CD" w:rsidRPr="003466CD" w:rsidRDefault="003466CD" w:rsidP="003466CD">
      <w:pPr>
        <w:pStyle w:val="3Bodytext"/>
        <w:numPr>
          <w:ilvl w:val="0"/>
          <w:numId w:val="0"/>
        </w:numPr>
        <w:ind w:left="720"/>
        <w:rPr>
          <w:i/>
          <w:iCs/>
        </w:rPr>
      </w:pPr>
      <w:r w:rsidRPr="003466CD">
        <w:rPr>
          <w:i/>
          <w:iCs/>
        </w:rPr>
        <w:t>For more detail on PBAC’s view, see section 6 PBAC outcome.</w:t>
      </w:r>
    </w:p>
    <w:p w14:paraId="587191E5" w14:textId="110DFC8F" w:rsidR="00201FB8" w:rsidRPr="00C53B2B" w:rsidRDefault="00913762" w:rsidP="00913762">
      <w:pPr>
        <w:pStyle w:val="2-SectionHeading"/>
      </w:pPr>
      <w:r>
        <w:lastRenderedPageBreak/>
        <w:t>PBAC Outcome</w:t>
      </w:r>
    </w:p>
    <w:p w14:paraId="19879478" w14:textId="4B2C2542" w:rsidR="0053795D" w:rsidRPr="0053795D" w:rsidRDefault="00913762" w:rsidP="00E60314">
      <w:pPr>
        <w:pStyle w:val="3Bodytext"/>
        <w:rPr>
          <w:noProof/>
          <w:snapToGrid w:val="0"/>
          <w:lang w:val="en-US"/>
        </w:rPr>
      </w:pPr>
      <w:r w:rsidRPr="0053795D">
        <w:rPr>
          <w:noProof/>
          <w:snapToGrid w:val="0"/>
          <w:lang w:val="en-US"/>
        </w:rPr>
        <w:t>The</w:t>
      </w:r>
      <w:r w:rsidRPr="0053795D">
        <w:rPr>
          <w:rFonts w:cs="Arial"/>
          <w:snapToGrid w:val="0"/>
          <w:lang w:val="en-GB"/>
        </w:rPr>
        <w:t xml:space="preserve"> </w:t>
      </w:r>
      <w:r w:rsidR="0053795D">
        <w:t xml:space="preserve">PBAC recommended the </w:t>
      </w:r>
      <w:r w:rsidR="00513820">
        <w:t xml:space="preserve">Section 100 (Efficient Funding of Chemotherapy) </w:t>
      </w:r>
      <w:r w:rsidR="0053795D">
        <w:t xml:space="preserve">listing of </w:t>
      </w:r>
      <w:r w:rsidR="00513820">
        <w:t>a new form of cabazitaxel</w:t>
      </w:r>
      <w:r w:rsidR="009E5854">
        <w:t>, solution concentrate for I.V. infusion 60 mg in 3 mL</w:t>
      </w:r>
      <w:r w:rsidR="00513820">
        <w:t xml:space="preserve"> (</w:t>
      </w:r>
      <w:r w:rsidR="0053795D">
        <w:t>Cabazitaxel Accord</w:t>
      </w:r>
      <w:r w:rsidR="00513820">
        <w:t>®)</w:t>
      </w:r>
      <w:r w:rsidR="0053795D">
        <w:t xml:space="preserve"> under the same circumstances as the currently listed brands of cabazitaxel for treatment of castration resistant metastatic carcinoma of the prostate</w:t>
      </w:r>
      <w:r w:rsidR="00513820">
        <w:t>.</w:t>
      </w:r>
      <w:r w:rsidR="0053795D">
        <w:t xml:space="preserve"> </w:t>
      </w:r>
    </w:p>
    <w:p w14:paraId="7A51997D" w14:textId="259AA192" w:rsidR="006D4D02" w:rsidRPr="006D4D02" w:rsidRDefault="006D4D02" w:rsidP="006D4D02">
      <w:pPr>
        <w:pStyle w:val="3Bodytext"/>
        <w:rPr>
          <w:color w:val="FF0000"/>
        </w:rPr>
      </w:pPr>
      <w:r>
        <w:t xml:space="preserve">The PBAC noted </w:t>
      </w:r>
      <w:r w:rsidR="00771F85">
        <w:t xml:space="preserve">that </w:t>
      </w:r>
      <w:r w:rsidRPr="001F2311">
        <w:rPr>
          <w:color w:val="000000" w:themeColor="text1"/>
        </w:rPr>
        <w:t xml:space="preserve">EFC medicines are governed by the </w:t>
      </w:r>
      <w:r w:rsidRPr="00073B5C">
        <w:rPr>
          <w:i/>
          <w:color w:val="000000" w:themeColor="text1"/>
        </w:rPr>
        <w:t>National Health (Efficient Funding of Chemotherapy) Special Arrangement 2011</w:t>
      </w:r>
      <w:r w:rsidRPr="001F2311">
        <w:rPr>
          <w:color w:val="000000" w:themeColor="text1"/>
        </w:rPr>
        <w:t xml:space="preserve"> and subsection 33(</w:t>
      </w:r>
      <w:r w:rsidR="009E5854">
        <w:rPr>
          <w:color w:val="000000" w:themeColor="text1"/>
        </w:rPr>
        <w:t>1</w:t>
      </w:r>
      <w:r w:rsidRPr="001F2311">
        <w:rPr>
          <w:color w:val="000000" w:themeColor="text1"/>
        </w:rPr>
        <w:t xml:space="preserve">) allows </w:t>
      </w:r>
      <w:r w:rsidR="009E5854" w:rsidRPr="009E5854">
        <w:rPr>
          <w:color w:val="000000" w:themeColor="text1"/>
        </w:rPr>
        <w:t xml:space="preserve">the supplier of the infusion </w:t>
      </w:r>
      <w:r w:rsidR="009E5854">
        <w:rPr>
          <w:color w:val="000000" w:themeColor="text1"/>
        </w:rPr>
        <w:t>to</w:t>
      </w:r>
      <w:r w:rsidR="009E5854" w:rsidRPr="009E5854">
        <w:rPr>
          <w:color w:val="000000" w:themeColor="text1"/>
        </w:rPr>
        <w:t xml:space="preserve"> use pharmaceutical benefits with the same chemotherapy drug but a different form to make the infusion</w:t>
      </w:r>
      <w:r w:rsidR="009E5854">
        <w:rPr>
          <w:color w:val="000000" w:themeColor="text1"/>
        </w:rPr>
        <w:t>, meaning different forms may be substituted</w:t>
      </w:r>
      <w:r w:rsidRPr="001F2311">
        <w:rPr>
          <w:color w:val="000000" w:themeColor="text1"/>
        </w:rPr>
        <w:t xml:space="preserve">.  </w:t>
      </w:r>
    </w:p>
    <w:p w14:paraId="0011C974" w14:textId="1465D848" w:rsidR="00DF2365" w:rsidRPr="00CC1778" w:rsidRDefault="00DF2365" w:rsidP="00913762">
      <w:pPr>
        <w:pStyle w:val="3Bodytext"/>
        <w:rPr>
          <w:noProof/>
          <w:snapToGrid w:val="0"/>
          <w:lang w:val="en-US"/>
        </w:rPr>
      </w:pPr>
      <w:r>
        <w:t>The PBAC noted that the listing of Cabazitaxel Accord is not expected to have any financial impact on the PBS.</w:t>
      </w:r>
    </w:p>
    <w:p w14:paraId="5DA6EB9A" w14:textId="1106EFE8" w:rsidR="005709B4" w:rsidRPr="0048782B" w:rsidRDefault="005709B4" w:rsidP="0048782B">
      <w:pPr>
        <w:pStyle w:val="3Bodytext"/>
        <w:rPr>
          <w:noProof/>
          <w:snapToGrid w:val="0"/>
          <w:lang w:val="en-US"/>
        </w:rPr>
      </w:pPr>
      <w:r w:rsidRPr="0053795D">
        <w:rPr>
          <w:rFonts w:cs="Arial"/>
          <w:snapToGrid w:val="0"/>
          <w:lang w:val="en-GB"/>
        </w:rPr>
        <w:t xml:space="preserve">The PBAC </w:t>
      </w:r>
      <w:r w:rsidR="0038024F">
        <w:rPr>
          <w:rFonts w:cs="Arial"/>
          <w:snapToGrid w:val="0"/>
          <w:lang w:val="en-GB"/>
        </w:rPr>
        <w:t xml:space="preserve">recommended </w:t>
      </w:r>
      <w:r>
        <w:rPr>
          <w:rFonts w:cs="Arial"/>
          <w:snapToGrid w:val="0"/>
          <w:lang w:val="en-GB"/>
        </w:rPr>
        <w:t>updat</w:t>
      </w:r>
      <w:r w:rsidR="0038024F">
        <w:rPr>
          <w:rFonts w:cs="Arial"/>
          <w:snapToGrid w:val="0"/>
          <w:lang w:val="en-GB"/>
        </w:rPr>
        <w:t>ing</w:t>
      </w:r>
      <w:r>
        <w:rPr>
          <w:rFonts w:cs="Arial"/>
          <w:snapToGrid w:val="0"/>
          <w:lang w:val="en-GB"/>
        </w:rPr>
        <w:t xml:space="preserve"> the existing restriction for caba</w:t>
      </w:r>
      <w:r w:rsidR="002775B2">
        <w:rPr>
          <w:rFonts w:cs="Arial"/>
          <w:snapToGrid w:val="0"/>
          <w:lang w:val="en-GB"/>
        </w:rPr>
        <w:t>z</w:t>
      </w:r>
      <w:r>
        <w:rPr>
          <w:rFonts w:cs="Arial"/>
          <w:snapToGrid w:val="0"/>
          <w:lang w:val="en-GB"/>
        </w:rPr>
        <w:t>itaxel to improve clarity by r</w:t>
      </w:r>
      <w:proofErr w:type="spellStart"/>
      <w:r w:rsidRPr="005709B4">
        <w:rPr>
          <w:rFonts w:cstheme="minorHAnsi"/>
          <w:iCs/>
        </w:rPr>
        <w:t>eplac</w:t>
      </w:r>
      <w:r>
        <w:rPr>
          <w:rFonts w:cstheme="minorHAnsi"/>
          <w:iCs/>
        </w:rPr>
        <w:t>ing</w:t>
      </w:r>
      <w:proofErr w:type="spellEnd"/>
      <w:r>
        <w:rPr>
          <w:rFonts w:cstheme="minorHAnsi"/>
          <w:iCs/>
        </w:rPr>
        <w:t xml:space="preserve"> </w:t>
      </w:r>
      <w:r w:rsidRPr="005709B4">
        <w:rPr>
          <w:rFonts w:cstheme="minorHAnsi"/>
          <w:iCs/>
        </w:rPr>
        <w:t>‘</w:t>
      </w:r>
      <w:r w:rsidRPr="005709B4">
        <w:rPr>
          <w:snapToGrid w:val="0"/>
          <w:lang w:val="en-GB"/>
        </w:rPr>
        <w:t xml:space="preserve">Patient must have failed treatment with docetaxel due to resistance or intolerance’ </w:t>
      </w:r>
      <w:r w:rsidRPr="005709B4">
        <w:rPr>
          <w:rFonts w:cstheme="minorHAnsi"/>
          <w:snapToGrid w:val="0"/>
          <w:szCs w:val="24"/>
          <w:lang w:val="en-GB"/>
        </w:rPr>
        <w:t>with</w:t>
      </w:r>
      <w:r>
        <w:rPr>
          <w:rFonts w:cstheme="minorHAnsi"/>
          <w:snapToGrid w:val="0"/>
          <w:szCs w:val="24"/>
          <w:lang w:val="en-GB"/>
        </w:rPr>
        <w:t>:</w:t>
      </w:r>
    </w:p>
    <w:p w14:paraId="6853856D" w14:textId="77777777" w:rsidR="005709B4" w:rsidRPr="0038024F" w:rsidRDefault="005709B4" w:rsidP="0048782B">
      <w:pPr>
        <w:pStyle w:val="3Bodytext"/>
        <w:numPr>
          <w:ilvl w:val="0"/>
          <w:numId w:val="0"/>
        </w:numPr>
        <w:ind w:left="720"/>
        <w:rPr>
          <w:noProof/>
          <w:snapToGrid w:val="0"/>
          <w:lang w:val="en-US"/>
        </w:rPr>
      </w:pPr>
      <w:r w:rsidRPr="0038024F">
        <w:rPr>
          <w:rFonts w:cstheme="minorHAnsi"/>
          <w:snapToGrid w:val="0"/>
          <w:szCs w:val="24"/>
          <w:lang w:val="en-GB"/>
        </w:rPr>
        <w:t>‘</w:t>
      </w:r>
      <w:r w:rsidRPr="00AC79D9">
        <w:rPr>
          <w:rFonts w:cstheme="minorHAnsi"/>
          <w:szCs w:val="24"/>
        </w:rPr>
        <w:t xml:space="preserve">The condition must be resistant to treatment with docetaxel, OR </w:t>
      </w:r>
    </w:p>
    <w:p w14:paraId="620A5250" w14:textId="5C5791D3" w:rsidR="005709B4" w:rsidRPr="00AC79D9" w:rsidRDefault="005709B4" w:rsidP="005709B4">
      <w:pPr>
        <w:pStyle w:val="3Bodytext"/>
        <w:numPr>
          <w:ilvl w:val="0"/>
          <w:numId w:val="0"/>
        </w:numPr>
        <w:ind w:left="720"/>
        <w:rPr>
          <w:rFonts w:cstheme="minorHAnsi"/>
          <w:szCs w:val="24"/>
        </w:rPr>
      </w:pPr>
      <w:r w:rsidRPr="00AC79D9">
        <w:rPr>
          <w:rFonts w:cstheme="minorHAnsi"/>
          <w:szCs w:val="24"/>
        </w:rPr>
        <w:t>Patient must have a documented intolerance necessitating permanent treatment withdrawal or a contraindication to docetaxel’.</w:t>
      </w:r>
    </w:p>
    <w:p w14:paraId="7F403003" w14:textId="0A6CAB60" w:rsidR="002775B2" w:rsidRDefault="002775B2" w:rsidP="005709B4">
      <w:pPr>
        <w:pStyle w:val="3Bodytext"/>
        <w:rPr>
          <w:rFonts w:cs="Arial"/>
          <w:snapToGrid w:val="0"/>
          <w:lang w:val="en-GB"/>
        </w:rPr>
      </w:pPr>
      <w:r w:rsidRPr="0053795D">
        <w:rPr>
          <w:rFonts w:cs="Arial"/>
          <w:snapToGrid w:val="0"/>
          <w:lang w:val="en-GB"/>
        </w:rPr>
        <w:t xml:space="preserve">The PBAC </w:t>
      </w:r>
      <w:r>
        <w:rPr>
          <w:rFonts w:cs="Arial"/>
          <w:snapToGrid w:val="0"/>
          <w:lang w:val="en-GB"/>
        </w:rPr>
        <w:t>recommended updating the existing restriction for cabazitaxel to improve clarity by replacing ‘</w:t>
      </w:r>
      <w:r w:rsidRPr="002775B2">
        <w:rPr>
          <w:rFonts w:cs="Arial"/>
          <w:snapToGrid w:val="0"/>
          <w:lang w:val="en-GB"/>
        </w:rPr>
        <w:t>The treatment must not be used in combination with abiraterone</w:t>
      </w:r>
      <w:r>
        <w:rPr>
          <w:rFonts w:cs="Arial"/>
          <w:snapToGrid w:val="0"/>
          <w:lang w:val="en-GB"/>
        </w:rPr>
        <w:t>’ with:</w:t>
      </w:r>
    </w:p>
    <w:p w14:paraId="00D8B0C6" w14:textId="49102A54" w:rsidR="002775B2" w:rsidRDefault="002775B2" w:rsidP="002775B2">
      <w:pPr>
        <w:pStyle w:val="3Bodytext"/>
        <w:numPr>
          <w:ilvl w:val="0"/>
          <w:numId w:val="0"/>
        </w:numPr>
        <w:ind w:left="720"/>
        <w:rPr>
          <w:rFonts w:cs="Arial"/>
          <w:snapToGrid w:val="0"/>
          <w:lang w:val="en-GB"/>
        </w:rPr>
      </w:pPr>
      <w:r>
        <w:rPr>
          <w:rFonts w:cs="Arial"/>
          <w:snapToGrid w:val="0"/>
          <w:lang w:val="en-GB"/>
        </w:rPr>
        <w:t xml:space="preserve"> ‘</w:t>
      </w:r>
      <w:r w:rsidRPr="002775B2">
        <w:rPr>
          <w:rFonts w:cs="Arial"/>
          <w:snapToGrid w:val="0"/>
          <w:lang w:val="en-GB"/>
        </w:rPr>
        <w:t xml:space="preserve">The treatment must not be used in combination with </w:t>
      </w:r>
      <w:r w:rsidR="002D1B37">
        <w:rPr>
          <w:rFonts w:cs="Arial"/>
          <w:snapToGrid w:val="0"/>
          <w:lang w:val="en-GB"/>
        </w:rPr>
        <w:t>a novel hormonal drug’ with the administrative note ‘</w:t>
      </w:r>
      <w:bookmarkStart w:id="7" w:name="_Hlk99630084"/>
      <w:r w:rsidR="002D1B37">
        <w:rPr>
          <w:rFonts w:cs="Arial"/>
          <w:snapToGrid w:val="0"/>
          <w:lang w:val="en-GB"/>
        </w:rPr>
        <w:t>Where the term ‘novel hormonal drug’ appears in this restriction, it refers to: (</w:t>
      </w:r>
      <w:proofErr w:type="spellStart"/>
      <w:r w:rsidR="002D1B37">
        <w:rPr>
          <w:rFonts w:cs="Arial"/>
          <w:snapToGrid w:val="0"/>
          <w:lang w:val="en-GB"/>
        </w:rPr>
        <w:t>i</w:t>
      </w:r>
      <w:proofErr w:type="spellEnd"/>
      <w:r w:rsidR="002D1B37">
        <w:rPr>
          <w:rFonts w:cs="Arial"/>
          <w:snapToGrid w:val="0"/>
          <w:lang w:val="en-GB"/>
        </w:rPr>
        <w:t xml:space="preserve">) abiraterone, (ii) apalutamide, (iii) </w:t>
      </w:r>
      <w:proofErr w:type="spellStart"/>
      <w:r w:rsidR="002D1B37">
        <w:rPr>
          <w:rFonts w:cs="Arial"/>
          <w:snapToGrid w:val="0"/>
          <w:lang w:val="en-GB"/>
        </w:rPr>
        <w:t>darolutamide</w:t>
      </w:r>
      <w:proofErr w:type="spellEnd"/>
      <w:r w:rsidR="002D1B37">
        <w:rPr>
          <w:rFonts w:cs="Arial"/>
          <w:snapToGrid w:val="0"/>
          <w:lang w:val="en-GB"/>
        </w:rPr>
        <w:t>, (iv) enzalutamide’.</w:t>
      </w:r>
      <w:bookmarkEnd w:id="7"/>
    </w:p>
    <w:p w14:paraId="3BE91A09" w14:textId="60D5B048" w:rsidR="005709B4" w:rsidRPr="00CC1778" w:rsidRDefault="005709B4" w:rsidP="005709B4">
      <w:pPr>
        <w:pStyle w:val="3Bodytext"/>
        <w:rPr>
          <w:snapToGrid w:val="0"/>
        </w:rPr>
      </w:pPr>
      <w:r w:rsidRPr="00BA5F18">
        <w:t xml:space="preserve">The PBAC noted that its recommendation was on a cost-minimisation basis and advised that because </w:t>
      </w:r>
      <w:r w:rsidR="00771F85">
        <w:t>cabazitaxel</w:t>
      </w:r>
      <w:r w:rsidRPr="00BA5F18">
        <w:t xml:space="preserve"> is not expected to provide a substantial and clinically relevant improvement in efficacy, or reduction of toxicity, over </w:t>
      </w:r>
      <w:r w:rsidR="00B87745">
        <w:t xml:space="preserve">the currently listed </w:t>
      </w:r>
      <w:r w:rsidR="00771F85">
        <w:t>cabazitaxel</w:t>
      </w:r>
      <w:r>
        <w:t xml:space="preserve">, </w:t>
      </w:r>
      <w:r w:rsidRPr="00BA5F18">
        <w:t>or not expected to address a high and urgent unmet clinical need given the pr</w:t>
      </w:r>
      <w:r>
        <w:t>esence of an alternative therapy</w:t>
      </w:r>
      <w:r w:rsidRPr="00BA5F18">
        <w:t xml:space="preserve">, the criteria prescribed by the </w:t>
      </w:r>
      <w:r w:rsidRPr="00BA5F18">
        <w:rPr>
          <w:i/>
        </w:rPr>
        <w:t xml:space="preserve">National Health (Pharmaceuticals and Vaccines – Cost Recovery) Regulations 2009 </w:t>
      </w:r>
      <w:r w:rsidRPr="00BA5F18">
        <w:t>for Pricing Pathway A were not met.</w:t>
      </w:r>
    </w:p>
    <w:p w14:paraId="78989632" w14:textId="77777777" w:rsidR="005709B4" w:rsidRPr="00CC1778" w:rsidRDefault="005709B4" w:rsidP="00203EAF">
      <w:pPr>
        <w:pStyle w:val="3Bodytext"/>
        <w:spacing w:after="0"/>
        <w:rPr>
          <w:snapToGrid w:val="0"/>
        </w:rPr>
      </w:pPr>
      <w:r w:rsidRPr="00525B39">
        <w:rPr>
          <w:rFonts w:cs="Arial"/>
          <w:bCs/>
          <w:snapToGrid w:val="0"/>
          <w:lang w:val="en-GB"/>
        </w:rPr>
        <w:t>The PBAC noted that this submission is not eligible for an Independent Review</w:t>
      </w:r>
      <w:r>
        <w:rPr>
          <w:rFonts w:cs="Arial"/>
          <w:bCs/>
          <w:snapToGrid w:val="0"/>
          <w:lang w:val="en-GB"/>
        </w:rPr>
        <w:t xml:space="preserve"> because it received a positive recommendation</w:t>
      </w:r>
      <w:r w:rsidRPr="00525B39">
        <w:rPr>
          <w:rFonts w:cs="Arial"/>
          <w:bCs/>
          <w:snapToGrid w:val="0"/>
          <w:lang w:val="en-GB"/>
        </w:rPr>
        <w:t>.</w:t>
      </w:r>
    </w:p>
    <w:p w14:paraId="39D67F63" w14:textId="5C8A68AC" w:rsidR="00CC1778" w:rsidRPr="00203EAF" w:rsidRDefault="00CC1778" w:rsidP="00203EAF">
      <w:pPr>
        <w:spacing w:before="240"/>
        <w:rPr>
          <w:b/>
          <w:bCs/>
          <w:snapToGrid w:val="0"/>
          <w:lang w:val="en-GB"/>
        </w:rPr>
      </w:pPr>
      <w:r w:rsidRPr="00CC1778">
        <w:rPr>
          <w:b/>
          <w:bCs/>
          <w:snapToGrid w:val="0"/>
          <w:lang w:val="en-GB"/>
        </w:rPr>
        <w:lastRenderedPageBreak/>
        <w:t>Outcome:</w:t>
      </w:r>
      <w:r w:rsidR="00203EAF">
        <w:rPr>
          <w:b/>
          <w:bCs/>
          <w:snapToGrid w:val="0"/>
          <w:lang w:val="en-GB"/>
        </w:rPr>
        <w:br/>
      </w:r>
      <w:r w:rsidRPr="00CC1778">
        <w:rPr>
          <w:bCs/>
          <w:snapToGrid w:val="0"/>
          <w:lang w:val="en-GB"/>
        </w:rPr>
        <w:t xml:space="preserve">Recommended </w:t>
      </w:r>
    </w:p>
    <w:p w14:paraId="3DFEB324" w14:textId="7A62CF9F" w:rsidR="00535659" w:rsidRDefault="00535659" w:rsidP="008A6324">
      <w:pPr>
        <w:pStyle w:val="2-SectionHeading"/>
        <w:rPr>
          <w:lang w:val="en-GB"/>
        </w:rPr>
      </w:pPr>
      <w:r>
        <w:rPr>
          <w:lang w:val="en-GB"/>
        </w:rPr>
        <w:lastRenderedPageBreak/>
        <w:t>Recommended listing</w:t>
      </w:r>
    </w:p>
    <w:p w14:paraId="3BC4114E" w14:textId="58A98F9F" w:rsidR="00535659" w:rsidRDefault="00535659" w:rsidP="008A6324">
      <w:pPr>
        <w:pStyle w:val="3Bodytext"/>
        <w:keepNext/>
        <w:rPr>
          <w:snapToGrid w:val="0"/>
          <w:lang w:val="en-GB"/>
        </w:rPr>
      </w:pPr>
      <w:r>
        <w:rPr>
          <w:snapToGrid w:val="0"/>
          <w:lang w:val="en-GB"/>
        </w:rPr>
        <w:t>Add new item</w:t>
      </w:r>
      <w:r w:rsidR="00431B22">
        <w:rPr>
          <w:snapToGrid w:val="0"/>
          <w:lang w:val="en-GB"/>
        </w:rPr>
        <w:t xml:space="preserve"> and amend existing listing as follows</w:t>
      </w:r>
      <w:r>
        <w:rPr>
          <w:snapToGrid w:val="0"/>
          <w:lang w:val="en-GB"/>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842"/>
        <w:gridCol w:w="1134"/>
        <w:gridCol w:w="992"/>
        <w:gridCol w:w="850"/>
        <w:gridCol w:w="2127"/>
      </w:tblGrid>
      <w:tr w:rsidR="00431B22" w:rsidRPr="00507253" w14:paraId="0E50AB25" w14:textId="77777777" w:rsidTr="00904B3F">
        <w:trPr>
          <w:cantSplit/>
          <w:trHeight w:val="471"/>
        </w:trPr>
        <w:tc>
          <w:tcPr>
            <w:tcW w:w="3823" w:type="dxa"/>
            <w:gridSpan w:val="2"/>
          </w:tcPr>
          <w:p w14:paraId="67433552" w14:textId="77777777" w:rsidR="00431B22" w:rsidRPr="00F145C2" w:rsidRDefault="00431B22" w:rsidP="00203EAF">
            <w:pPr>
              <w:keepNext/>
              <w:ind w:left="-108"/>
              <w:rPr>
                <w:rFonts w:ascii="Arial Narrow" w:hAnsi="Arial Narrow" w:cs="Arial"/>
                <w:b/>
                <w:sz w:val="20"/>
                <w:szCs w:val="20"/>
              </w:rPr>
            </w:pPr>
            <w:r w:rsidRPr="00F145C2">
              <w:rPr>
                <w:rFonts w:ascii="Arial Narrow" w:hAnsi="Arial Narrow" w:cs="Arial"/>
                <w:b/>
                <w:sz w:val="20"/>
                <w:szCs w:val="20"/>
              </w:rPr>
              <w:t>Name, Restriction,</w:t>
            </w:r>
          </w:p>
          <w:p w14:paraId="18617604" w14:textId="77777777" w:rsidR="00431B22" w:rsidRPr="00F145C2" w:rsidRDefault="00431B22" w:rsidP="00203EAF">
            <w:pPr>
              <w:keepNext/>
              <w:ind w:left="-108"/>
              <w:rPr>
                <w:rFonts w:ascii="Arial Narrow" w:hAnsi="Arial Narrow" w:cs="Arial"/>
                <w:b/>
                <w:sz w:val="20"/>
                <w:szCs w:val="20"/>
              </w:rPr>
            </w:pPr>
            <w:r w:rsidRPr="00F145C2">
              <w:rPr>
                <w:rFonts w:ascii="Arial Narrow" w:hAnsi="Arial Narrow" w:cs="Arial"/>
                <w:b/>
                <w:sz w:val="20"/>
                <w:szCs w:val="20"/>
              </w:rPr>
              <w:t>Manner of administration and form</w:t>
            </w:r>
          </w:p>
        </w:tc>
        <w:tc>
          <w:tcPr>
            <w:tcW w:w="1134" w:type="dxa"/>
          </w:tcPr>
          <w:p w14:paraId="6DF92827" w14:textId="77777777" w:rsidR="00431B22" w:rsidRPr="00F145C2" w:rsidRDefault="00431B22" w:rsidP="00203EAF">
            <w:pPr>
              <w:keepNext/>
              <w:ind w:left="-108"/>
              <w:jc w:val="center"/>
              <w:rPr>
                <w:rFonts w:ascii="Arial Narrow" w:hAnsi="Arial Narrow" w:cs="Arial"/>
                <w:b/>
                <w:sz w:val="20"/>
                <w:szCs w:val="20"/>
              </w:rPr>
            </w:pPr>
            <w:r w:rsidRPr="00F145C2">
              <w:rPr>
                <w:rFonts w:ascii="Arial Narrow" w:hAnsi="Arial Narrow" w:cs="Arial"/>
                <w:b/>
                <w:sz w:val="20"/>
                <w:szCs w:val="20"/>
              </w:rPr>
              <w:t>PBS item code</w:t>
            </w:r>
          </w:p>
        </w:tc>
        <w:tc>
          <w:tcPr>
            <w:tcW w:w="992" w:type="dxa"/>
          </w:tcPr>
          <w:p w14:paraId="0A8662EC" w14:textId="77777777" w:rsidR="00431B22" w:rsidRPr="00F145C2" w:rsidRDefault="00431B22" w:rsidP="00203EAF">
            <w:pPr>
              <w:keepNext/>
              <w:ind w:left="-108"/>
              <w:jc w:val="center"/>
              <w:rPr>
                <w:rFonts w:ascii="Arial Narrow" w:hAnsi="Arial Narrow" w:cs="Arial"/>
                <w:b/>
                <w:sz w:val="20"/>
                <w:szCs w:val="20"/>
              </w:rPr>
            </w:pPr>
            <w:r w:rsidRPr="00F145C2">
              <w:rPr>
                <w:rFonts w:ascii="Arial Narrow" w:hAnsi="Arial Narrow" w:cs="Arial"/>
                <w:b/>
                <w:sz w:val="20"/>
                <w:szCs w:val="20"/>
              </w:rPr>
              <w:t>Max.</w:t>
            </w:r>
          </w:p>
          <w:p w14:paraId="608DA9DC" w14:textId="77777777" w:rsidR="00431B22" w:rsidRPr="00F145C2" w:rsidRDefault="00431B22" w:rsidP="00203EAF">
            <w:pPr>
              <w:keepNext/>
              <w:ind w:left="-108"/>
              <w:jc w:val="center"/>
              <w:rPr>
                <w:rFonts w:ascii="Arial Narrow" w:hAnsi="Arial Narrow" w:cs="Arial"/>
                <w:b/>
                <w:sz w:val="20"/>
                <w:szCs w:val="20"/>
              </w:rPr>
            </w:pPr>
            <w:r w:rsidRPr="00F145C2">
              <w:rPr>
                <w:rFonts w:ascii="Arial Narrow" w:hAnsi="Arial Narrow" w:cs="Arial"/>
                <w:b/>
                <w:sz w:val="20"/>
                <w:szCs w:val="20"/>
              </w:rPr>
              <w:t>Amount</w:t>
            </w:r>
          </w:p>
        </w:tc>
        <w:tc>
          <w:tcPr>
            <w:tcW w:w="850" w:type="dxa"/>
          </w:tcPr>
          <w:p w14:paraId="35BA4A9E" w14:textId="77777777" w:rsidR="00431B22" w:rsidRPr="00F145C2" w:rsidRDefault="00431B22" w:rsidP="00203EAF">
            <w:pPr>
              <w:keepNext/>
              <w:ind w:left="-108"/>
              <w:jc w:val="center"/>
              <w:rPr>
                <w:rFonts w:ascii="Arial Narrow" w:hAnsi="Arial Narrow" w:cs="Arial"/>
                <w:b/>
                <w:sz w:val="20"/>
                <w:szCs w:val="20"/>
              </w:rPr>
            </w:pPr>
            <w:proofErr w:type="gramStart"/>
            <w:r w:rsidRPr="00F145C2">
              <w:rPr>
                <w:rFonts w:ascii="Arial Narrow" w:hAnsi="Arial Narrow" w:cs="Arial"/>
                <w:b/>
                <w:sz w:val="20"/>
                <w:szCs w:val="20"/>
              </w:rPr>
              <w:t>№.of</w:t>
            </w:r>
            <w:proofErr w:type="gramEnd"/>
          </w:p>
          <w:p w14:paraId="46CD663E" w14:textId="77777777" w:rsidR="00431B22" w:rsidRPr="00F145C2" w:rsidRDefault="00431B22" w:rsidP="00203EAF">
            <w:pPr>
              <w:keepNext/>
              <w:ind w:left="-108"/>
              <w:jc w:val="center"/>
              <w:rPr>
                <w:rFonts w:ascii="Arial Narrow" w:hAnsi="Arial Narrow" w:cs="Arial"/>
                <w:b/>
                <w:sz w:val="20"/>
                <w:szCs w:val="20"/>
              </w:rPr>
            </w:pPr>
            <w:proofErr w:type="spellStart"/>
            <w:r w:rsidRPr="00F145C2">
              <w:rPr>
                <w:rFonts w:ascii="Arial Narrow" w:hAnsi="Arial Narrow" w:cs="Arial"/>
                <w:b/>
                <w:sz w:val="20"/>
                <w:szCs w:val="20"/>
              </w:rPr>
              <w:t>Rpts</w:t>
            </w:r>
            <w:proofErr w:type="spellEnd"/>
          </w:p>
        </w:tc>
        <w:tc>
          <w:tcPr>
            <w:tcW w:w="2127" w:type="dxa"/>
          </w:tcPr>
          <w:p w14:paraId="50D82001" w14:textId="77777777" w:rsidR="00431B22" w:rsidRPr="00F145C2" w:rsidRDefault="00431B22" w:rsidP="00203EAF">
            <w:pPr>
              <w:keepNext/>
              <w:rPr>
                <w:rFonts w:ascii="Arial Narrow" w:hAnsi="Arial Narrow" w:cs="Arial"/>
                <w:b/>
                <w:sz w:val="20"/>
                <w:szCs w:val="20"/>
                <w:lang w:val="fr-FR"/>
              </w:rPr>
            </w:pPr>
            <w:r w:rsidRPr="00F145C2">
              <w:rPr>
                <w:rFonts w:ascii="Arial Narrow" w:hAnsi="Arial Narrow" w:cs="Arial"/>
                <w:b/>
                <w:sz w:val="20"/>
                <w:szCs w:val="20"/>
              </w:rPr>
              <w:t>Manufacturer</w:t>
            </w:r>
          </w:p>
        </w:tc>
      </w:tr>
      <w:tr w:rsidR="00431B22" w:rsidRPr="00507253" w14:paraId="21D5C2B8" w14:textId="77777777" w:rsidTr="00904B3F">
        <w:trPr>
          <w:cantSplit/>
          <w:trHeight w:val="577"/>
        </w:trPr>
        <w:tc>
          <w:tcPr>
            <w:tcW w:w="3823" w:type="dxa"/>
            <w:gridSpan w:val="2"/>
          </w:tcPr>
          <w:p w14:paraId="47C269AE" w14:textId="77777777" w:rsidR="00431B22" w:rsidRPr="00F145C2" w:rsidRDefault="00431B22" w:rsidP="00203EAF">
            <w:pPr>
              <w:keepNext/>
              <w:ind w:left="-108"/>
              <w:rPr>
                <w:rFonts w:ascii="Arial Narrow" w:hAnsi="Arial Narrow" w:cs="Arial"/>
                <w:sz w:val="20"/>
                <w:szCs w:val="20"/>
              </w:rPr>
            </w:pPr>
            <w:r w:rsidRPr="00F145C2">
              <w:rPr>
                <w:rFonts w:ascii="Arial Narrow" w:hAnsi="Arial Narrow" w:cs="Arial"/>
                <w:sz w:val="20"/>
                <w:szCs w:val="20"/>
              </w:rPr>
              <w:t>CABAZITAXEL</w:t>
            </w:r>
          </w:p>
          <w:p w14:paraId="085D1DBE" w14:textId="77777777" w:rsidR="00431B22" w:rsidRPr="00F145C2" w:rsidRDefault="00431B22" w:rsidP="00203EAF">
            <w:pPr>
              <w:keepNext/>
              <w:ind w:left="-108"/>
              <w:rPr>
                <w:rFonts w:ascii="Arial Narrow" w:hAnsi="Arial Narrow" w:cs="Arial"/>
                <w:sz w:val="20"/>
                <w:szCs w:val="20"/>
              </w:rPr>
            </w:pPr>
            <w:r w:rsidRPr="00F145C2">
              <w:rPr>
                <w:rFonts w:ascii="Arial Narrow" w:hAnsi="Arial Narrow" w:cs="Arial Narrow"/>
                <w:sz w:val="20"/>
                <w:szCs w:val="20"/>
              </w:rPr>
              <w:t>Injection</w:t>
            </w:r>
          </w:p>
        </w:tc>
        <w:tc>
          <w:tcPr>
            <w:tcW w:w="1134" w:type="dxa"/>
          </w:tcPr>
          <w:p w14:paraId="774ABA37" w14:textId="77777777" w:rsidR="00431B22" w:rsidRPr="00F145C2" w:rsidRDefault="00431B22" w:rsidP="00203EAF">
            <w:pPr>
              <w:keepNext/>
              <w:ind w:left="-108"/>
              <w:jc w:val="center"/>
              <w:rPr>
                <w:rFonts w:ascii="Arial Narrow" w:hAnsi="Arial Narrow" w:cs="Arial"/>
                <w:sz w:val="20"/>
                <w:szCs w:val="20"/>
              </w:rPr>
            </w:pPr>
            <w:r w:rsidRPr="00F145C2">
              <w:rPr>
                <w:rFonts w:ascii="Arial Narrow" w:hAnsi="Arial Narrow" w:cs="Arial"/>
                <w:sz w:val="20"/>
                <w:szCs w:val="20"/>
              </w:rPr>
              <w:t>4376H</w:t>
            </w:r>
          </w:p>
          <w:p w14:paraId="08D6D907" w14:textId="77777777" w:rsidR="00431B22" w:rsidRPr="00F145C2" w:rsidRDefault="00431B22" w:rsidP="00203EAF">
            <w:pPr>
              <w:keepNext/>
              <w:ind w:left="-108"/>
              <w:jc w:val="center"/>
              <w:rPr>
                <w:rFonts w:ascii="Arial Narrow" w:hAnsi="Arial Narrow" w:cs="Arial"/>
                <w:sz w:val="20"/>
                <w:szCs w:val="20"/>
              </w:rPr>
            </w:pPr>
            <w:r w:rsidRPr="00F145C2">
              <w:rPr>
                <w:rFonts w:ascii="Arial Narrow" w:hAnsi="Arial Narrow" w:cs="Arial"/>
                <w:sz w:val="20"/>
                <w:szCs w:val="20"/>
              </w:rPr>
              <w:t>7236W</w:t>
            </w:r>
          </w:p>
        </w:tc>
        <w:tc>
          <w:tcPr>
            <w:tcW w:w="992" w:type="dxa"/>
          </w:tcPr>
          <w:p w14:paraId="35509D90" w14:textId="77777777" w:rsidR="00431B22" w:rsidRPr="00F145C2" w:rsidRDefault="00431B22" w:rsidP="00203EAF">
            <w:pPr>
              <w:keepNext/>
              <w:ind w:left="-108"/>
              <w:jc w:val="center"/>
              <w:rPr>
                <w:rFonts w:ascii="Arial Narrow" w:hAnsi="Arial Narrow" w:cs="Arial"/>
                <w:iCs/>
                <w:sz w:val="20"/>
                <w:szCs w:val="20"/>
              </w:rPr>
            </w:pPr>
            <w:r w:rsidRPr="00F145C2">
              <w:rPr>
                <w:rFonts w:ascii="Arial Narrow" w:hAnsi="Arial Narrow" w:cs="Arial"/>
                <w:iCs/>
                <w:sz w:val="20"/>
                <w:szCs w:val="20"/>
              </w:rPr>
              <w:t>55 mg</w:t>
            </w:r>
          </w:p>
        </w:tc>
        <w:tc>
          <w:tcPr>
            <w:tcW w:w="850" w:type="dxa"/>
          </w:tcPr>
          <w:p w14:paraId="70B963BE" w14:textId="77777777" w:rsidR="00431B22" w:rsidRPr="00F145C2" w:rsidRDefault="00431B22" w:rsidP="00203EAF">
            <w:pPr>
              <w:keepNext/>
              <w:ind w:left="-108"/>
              <w:jc w:val="center"/>
              <w:rPr>
                <w:rFonts w:ascii="Arial Narrow" w:hAnsi="Arial Narrow" w:cs="Arial"/>
                <w:iCs/>
                <w:sz w:val="20"/>
                <w:szCs w:val="20"/>
              </w:rPr>
            </w:pPr>
            <w:r w:rsidRPr="00F145C2">
              <w:rPr>
                <w:rFonts w:ascii="Arial Narrow" w:hAnsi="Arial Narrow" w:cs="Arial"/>
                <w:iCs/>
                <w:sz w:val="20"/>
                <w:szCs w:val="20"/>
              </w:rPr>
              <w:t>5</w:t>
            </w:r>
          </w:p>
          <w:p w14:paraId="13346657" w14:textId="77777777" w:rsidR="00431B22" w:rsidRPr="00F145C2" w:rsidRDefault="00431B22" w:rsidP="00203EAF">
            <w:pPr>
              <w:keepNext/>
              <w:ind w:left="-108"/>
              <w:jc w:val="center"/>
              <w:rPr>
                <w:rFonts w:ascii="Arial Narrow" w:hAnsi="Arial Narrow" w:cs="Arial"/>
                <w:sz w:val="20"/>
                <w:szCs w:val="20"/>
              </w:rPr>
            </w:pPr>
          </w:p>
        </w:tc>
        <w:tc>
          <w:tcPr>
            <w:tcW w:w="2127" w:type="dxa"/>
          </w:tcPr>
          <w:p w14:paraId="5C46C3E3" w14:textId="77777777" w:rsidR="00431B22" w:rsidRPr="00F145C2" w:rsidRDefault="00431B22" w:rsidP="00203EAF">
            <w:pPr>
              <w:keepNext/>
              <w:rPr>
                <w:rFonts w:ascii="Arial Narrow" w:hAnsi="Arial Narrow" w:cs="Arial"/>
                <w:i/>
                <w:iCs/>
                <w:sz w:val="20"/>
                <w:szCs w:val="20"/>
              </w:rPr>
            </w:pPr>
            <w:r w:rsidRPr="00F145C2">
              <w:rPr>
                <w:rFonts w:ascii="Arial Narrow" w:hAnsi="Arial Narrow"/>
                <w:i/>
                <w:iCs/>
                <w:sz w:val="20"/>
                <w:szCs w:val="20"/>
              </w:rPr>
              <w:t>Accord Healthcare Pty Ltd</w:t>
            </w:r>
          </w:p>
        </w:tc>
      </w:tr>
      <w:tr w:rsidR="00431B22" w:rsidRPr="00507253" w14:paraId="13E8878C" w14:textId="77777777" w:rsidTr="00904B3F">
        <w:trPr>
          <w:cantSplit/>
          <w:trHeight w:val="225"/>
        </w:trPr>
        <w:tc>
          <w:tcPr>
            <w:tcW w:w="8926" w:type="dxa"/>
            <w:gridSpan w:val="6"/>
          </w:tcPr>
          <w:p w14:paraId="209BCBDC" w14:textId="77777777" w:rsidR="00431B22" w:rsidRPr="00F145C2" w:rsidRDefault="00431B22" w:rsidP="00203EAF">
            <w:pPr>
              <w:keepNext/>
              <w:rPr>
                <w:rFonts w:ascii="Arial Narrow" w:hAnsi="Arial Narrow"/>
                <w:b/>
                <w:sz w:val="20"/>
                <w:szCs w:val="20"/>
              </w:rPr>
            </w:pPr>
            <w:r w:rsidRPr="00F145C2">
              <w:rPr>
                <w:rFonts w:ascii="Arial Narrow" w:hAnsi="Arial Narrow"/>
                <w:b/>
                <w:sz w:val="20"/>
                <w:szCs w:val="20"/>
              </w:rPr>
              <w:t>Available brands</w:t>
            </w:r>
          </w:p>
        </w:tc>
      </w:tr>
      <w:tr w:rsidR="00431B22" w:rsidRPr="00507253" w14:paraId="49DEDE78" w14:textId="77777777" w:rsidTr="00904B3F">
        <w:trPr>
          <w:cantSplit/>
          <w:trHeight w:val="360"/>
        </w:trPr>
        <w:tc>
          <w:tcPr>
            <w:tcW w:w="8926" w:type="dxa"/>
            <w:gridSpan w:val="6"/>
          </w:tcPr>
          <w:p w14:paraId="5AA4CA6B" w14:textId="77777777" w:rsidR="00431B22" w:rsidRPr="00F145C2" w:rsidRDefault="00431B22" w:rsidP="00203EAF">
            <w:pPr>
              <w:keepNext/>
              <w:rPr>
                <w:rFonts w:ascii="Arial Narrow" w:hAnsi="Arial Narrow" w:cs="Arial"/>
                <w:sz w:val="20"/>
                <w:szCs w:val="20"/>
              </w:rPr>
            </w:pPr>
            <w:r w:rsidRPr="00F145C2">
              <w:rPr>
                <w:rFonts w:ascii="Arial Narrow" w:hAnsi="Arial Narrow" w:cs="Arial"/>
                <w:sz w:val="20"/>
                <w:szCs w:val="20"/>
              </w:rPr>
              <w:t>Cabazitaxel Ever Pharma</w:t>
            </w:r>
          </w:p>
          <w:p w14:paraId="7EF64C6D" w14:textId="77777777" w:rsidR="00431B22" w:rsidRPr="00F145C2" w:rsidRDefault="00431B22" w:rsidP="00203EAF">
            <w:pPr>
              <w:keepNext/>
              <w:rPr>
                <w:rFonts w:ascii="Arial Narrow" w:hAnsi="Arial Narrow" w:cs="Arial"/>
                <w:sz w:val="20"/>
                <w:szCs w:val="20"/>
              </w:rPr>
            </w:pPr>
            <w:r w:rsidRPr="00F145C2">
              <w:rPr>
                <w:rFonts w:ascii="Arial Narrow" w:hAnsi="Arial Narrow" w:cs="Arial"/>
                <w:sz w:val="20"/>
                <w:szCs w:val="20"/>
              </w:rPr>
              <w:t>(cabazitaxel 60 mg/6 mL injection, 6 mL vial)</w:t>
            </w:r>
          </w:p>
        </w:tc>
      </w:tr>
      <w:tr w:rsidR="00431B22" w:rsidRPr="00507253" w14:paraId="77C4B22E" w14:textId="77777777" w:rsidTr="00904B3F">
        <w:trPr>
          <w:cantSplit/>
          <w:trHeight w:val="360"/>
        </w:trPr>
        <w:tc>
          <w:tcPr>
            <w:tcW w:w="8926" w:type="dxa"/>
            <w:gridSpan w:val="6"/>
          </w:tcPr>
          <w:p w14:paraId="06097897" w14:textId="77777777" w:rsidR="00431B22" w:rsidRPr="00F145C2" w:rsidRDefault="00431B22" w:rsidP="00203EAF">
            <w:pPr>
              <w:keepNext/>
              <w:rPr>
                <w:rFonts w:ascii="Arial Narrow" w:hAnsi="Arial Narrow" w:cs="Arial"/>
                <w:sz w:val="20"/>
                <w:szCs w:val="20"/>
              </w:rPr>
            </w:pPr>
            <w:r w:rsidRPr="00F145C2">
              <w:rPr>
                <w:rFonts w:ascii="Arial Narrow" w:hAnsi="Arial Narrow" w:cs="Arial"/>
                <w:sz w:val="20"/>
                <w:szCs w:val="20"/>
              </w:rPr>
              <w:t>Cabazitaxel Juno</w:t>
            </w:r>
          </w:p>
          <w:p w14:paraId="3463E7E9" w14:textId="77777777" w:rsidR="00431B22" w:rsidRPr="00F145C2" w:rsidRDefault="00431B22" w:rsidP="00203EAF">
            <w:pPr>
              <w:keepNext/>
              <w:rPr>
                <w:rFonts w:ascii="Arial Narrow" w:hAnsi="Arial Narrow" w:cs="Arial"/>
                <w:sz w:val="20"/>
                <w:szCs w:val="20"/>
              </w:rPr>
            </w:pPr>
            <w:r w:rsidRPr="00F145C2">
              <w:rPr>
                <w:rFonts w:ascii="Arial Narrow" w:hAnsi="Arial Narrow" w:cs="Arial"/>
                <w:sz w:val="20"/>
                <w:szCs w:val="20"/>
              </w:rPr>
              <w:t>(cabazitaxel 60 mg/1.5 mL injection, [1.5 mL vial] (&amp;) inert substance diluent [4.5 mL vial], 1 pack)</w:t>
            </w:r>
          </w:p>
        </w:tc>
      </w:tr>
      <w:tr w:rsidR="00431B22" w:rsidRPr="00507253" w14:paraId="40129010" w14:textId="77777777" w:rsidTr="00904B3F">
        <w:trPr>
          <w:cantSplit/>
          <w:trHeight w:val="360"/>
        </w:trPr>
        <w:tc>
          <w:tcPr>
            <w:tcW w:w="8926" w:type="dxa"/>
            <w:gridSpan w:val="6"/>
          </w:tcPr>
          <w:p w14:paraId="4FF47510" w14:textId="77777777" w:rsidR="00431B22" w:rsidRPr="00F145C2" w:rsidRDefault="00431B22" w:rsidP="00203EAF">
            <w:pPr>
              <w:keepNext/>
              <w:rPr>
                <w:rFonts w:ascii="Arial Narrow" w:hAnsi="Arial Narrow" w:cs="Arial"/>
                <w:sz w:val="20"/>
                <w:szCs w:val="20"/>
              </w:rPr>
            </w:pPr>
            <w:proofErr w:type="spellStart"/>
            <w:r w:rsidRPr="00F145C2">
              <w:rPr>
                <w:rFonts w:ascii="Arial Narrow" w:hAnsi="Arial Narrow" w:cs="Arial"/>
                <w:sz w:val="20"/>
                <w:szCs w:val="20"/>
              </w:rPr>
              <w:t>Jevtana</w:t>
            </w:r>
            <w:proofErr w:type="spellEnd"/>
          </w:p>
          <w:p w14:paraId="703BC572" w14:textId="77777777" w:rsidR="00431B22" w:rsidRPr="00F145C2" w:rsidRDefault="00431B22" w:rsidP="00203EAF">
            <w:pPr>
              <w:keepNext/>
              <w:rPr>
                <w:rFonts w:ascii="Arial Narrow" w:hAnsi="Arial Narrow" w:cs="Arial"/>
                <w:sz w:val="20"/>
                <w:szCs w:val="20"/>
              </w:rPr>
            </w:pPr>
            <w:r w:rsidRPr="00F145C2">
              <w:rPr>
                <w:rFonts w:ascii="Arial Narrow" w:hAnsi="Arial Narrow" w:cs="Arial"/>
                <w:sz w:val="20"/>
                <w:szCs w:val="20"/>
              </w:rPr>
              <w:t>(cabazitaxel 60 mg/1.5 mL injection, [1.5 mL vial] (&amp;) inert substance diluent [4.5 mL vial], 1 pack)</w:t>
            </w:r>
          </w:p>
        </w:tc>
      </w:tr>
      <w:tr w:rsidR="00431B22" w:rsidRPr="00507253" w14:paraId="60C2736F" w14:textId="77777777" w:rsidTr="00904B3F">
        <w:trPr>
          <w:cantSplit/>
          <w:trHeight w:val="360"/>
        </w:trPr>
        <w:tc>
          <w:tcPr>
            <w:tcW w:w="8926" w:type="dxa"/>
            <w:gridSpan w:val="6"/>
          </w:tcPr>
          <w:p w14:paraId="232D9426" w14:textId="77777777" w:rsidR="00431B22" w:rsidRPr="00F145C2" w:rsidRDefault="00431B22" w:rsidP="00203EAF">
            <w:pPr>
              <w:keepNext/>
              <w:rPr>
                <w:rFonts w:ascii="Arial Narrow" w:hAnsi="Arial Narrow" w:cs="Arial"/>
                <w:i/>
                <w:iCs/>
                <w:sz w:val="20"/>
                <w:szCs w:val="20"/>
              </w:rPr>
            </w:pPr>
            <w:r w:rsidRPr="00F145C2">
              <w:rPr>
                <w:rFonts w:ascii="Arial Narrow" w:hAnsi="Arial Narrow" w:cs="Arial"/>
                <w:i/>
                <w:iCs/>
                <w:sz w:val="20"/>
                <w:szCs w:val="20"/>
              </w:rPr>
              <w:t>Cabazitaxel Accord</w:t>
            </w:r>
          </w:p>
          <w:p w14:paraId="26994395" w14:textId="77777777" w:rsidR="00431B22" w:rsidRPr="00F145C2" w:rsidRDefault="00431B22" w:rsidP="00203EAF">
            <w:pPr>
              <w:keepNext/>
              <w:rPr>
                <w:rFonts w:ascii="Arial Narrow" w:hAnsi="Arial Narrow" w:cs="Arial"/>
                <w:i/>
                <w:iCs/>
                <w:sz w:val="20"/>
                <w:szCs w:val="20"/>
              </w:rPr>
            </w:pPr>
            <w:r w:rsidRPr="00F145C2">
              <w:rPr>
                <w:rFonts w:ascii="Arial Narrow" w:hAnsi="Arial Narrow" w:cs="Arial"/>
                <w:i/>
                <w:iCs/>
                <w:sz w:val="20"/>
                <w:szCs w:val="20"/>
              </w:rPr>
              <w:t>(cabazitaxel 60 mg/3 mL injection, 3 mL vial</w:t>
            </w:r>
            <w:r>
              <w:rPr>
                <w:rFonts w:ascii="Arial Narrow" w:hAnsi="Arial Narrow" w:cs="Arial"/>
                <w:i/>
                <w:iCs/>
                <w:sz w:val="20"/>
                <w:szCs w:val="20"/>
              </w:rPr>
              <w:t>)</w:t>
            </w:r>
          </w:p>
        </w:tc>
      </w:tr>
      <w:tr w:rsidR="00431B22" w:rsidRPr="008972BB" w14:paraId="2B65412E" w14:textId="77777777" w:rsidTr="00904B3F">
        <w:trPr>
          <w:cantSplit/>
          <w:trHeight w:val="360"/>
        </w:trPr>
        <w:tc>
          <w:tcPr>
            <w:tcW w:w="8926" w:type="dxa"/>
            <w:gridSpan w:val="6"/>
            <w:tcBorders>
              <w:top w:val="single" w:sz="4" w:space="0" w:color="auto"/>
              <w:left w:val="single" w:sz="4" w:space="0" w:color="auto"/>
              <w:bottom w:val="single" w:sz="4" w:space="0" w:color="auto"/>
              <w:right w:val="single" w:sz="4" w:space="0" w:color="auto"/>
            </w:tcBorders>
          </w:tcPr>
          <w:p w14:paraId="1ED34E08" w14:textId="77777777" w:rsidR="00431B22" w:rsidRPr="00F145C2" w:rsidRDefault="00431B22" w:rsidP="00203EAF">
            <w:pPr>
              <w:keepNext/>
              <w:rPr>
                <w:rFonts w:ascii="Arial Narrow" w:hAnsi="Arial Narrow" w:cs="Arial"/>
                <w:i/>
                <w:iCs/>
                <w:sz w:val="20"/>
                <w:szCs w:val="20"/>
              </w:rPr>
            </w:pPr>
          </w:p>
        </w:tc>
      </w:tr>
      <w:tr w:rsidR="00431B22" w:rsidRPr="008972BB" w14:paraId="68998DD1" w14:textId="77777777" w:rsidTr="00904B3F">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2E9DC8D3" w14:textId="77777777" w:rsidR="00431B22" w:rsidRPr="00F145C2" w:rsidRDefault="00431B22" w:rsidP="00203EAF">
            <w:pPr>
              <w:keepNext/>
              <w:rPr>
                <w:rFonts w:ascii="Arial Narrow" w:hAnsi="Arial Narrow" w:cs="Arial"/>
                <w:i/>
                <w:sz w:val="20"/>
                <w:szCs w:val="20"/>
              </w:rPr>
            </w:pPr>
          </w:p>
          <w:p w14:paraId="762E067D" w14:textId="5A95AFD6" w:rsidR="00431B22" w:rsidRPr="00F145C2" w:rsidRDefault="00431B22" w:rsidP="00203EAF">
            <w:pPr>
              <w:keepNext/>
              <w:jc w:val="center"/>
              <w:rPr>
                <w:rFonts w:ascii="Arial Narrow" w:hAnsi="Arial Narrow" w:cs="Arial"/>
                <w:sz w:val="20"/>
                <w:szCs w:val="20"/>
              </w:rPr>
            </w:pPr>
          </w:p>
        </w:tc>
        <w:tc>
          <w:tcPr>
            <w:tcW w:w="7945" w:type="dxa"/>
            <w:gridSpan w:val="5"/>
            <w:tcBorders>
              <w:top w:val="single" w:sz="4" w:space="0" w:color="auto"/>
              <w:left w:val="single" w:sz="4" w:space="0" w:color="auto"/>
              <w:bottom w:val="single" w:sz="4" w:space="0" w:color="auto"/>
              <w:right w:val="single" w:sz="4" w:space="0" w:color="auto"/>
            </w:tcBorders>
          </w:tcPr>
          <w:p w14:paraId="5EBBE052" w14:textId="77777777" w:rsidR="00431B22" w:rsidRPr="00F145C2" w:rsidRDefault="00431B22" w:rsidP="00203EAF">
            <w:pPr>
              <w:keepNext/>
              <w:rPr>
                <w:rFonts w:ascii="Arial Narrow" w:hAnsi="Arial Narrow" w:cs="Arial"/>
                <w:sz w:val="20"/>
                <w:szCs w:val="20"/>
              </w:rPr>
            </w:pPr>
            <w:r w:rsidRPr="00F145C2">
              <w:rPr>
                <w:rFonts w:ascii="Arial Narrow" w:hAnsi="Arial Narrow" w:cs="Arial"/>
                <w:b/>
                <w:sz w:val="20"/>
                <w:szCs w:val="20"/>
              </w:rPr>
              <w:t xml:space="preserve">Category / Program:   </w:t>
            </w:r>
            <w:r w:rsidRPr="00F145C2">
              <w:rPr>
                <w:rFonts w:ascii="Arial Narrow" w:hAnsi="Arial Narrow" w:cs="Arial"/>
                <w:sz w:val="20"/>
                <w:szCs w:val="20"/>
              </w:rPr>
              <w:t xml:space="preserve">Section 100 – Efficient Funding of Chemotherapy Public/Private hospitals </w:t>
            </w:r>
          </w:p>
        </w:tc>
      </w:tr>
      <w:tr w:rsidR="00431B22" w:rsidRPr="008972BB" w14:paraId="1A403153" w14:textId="77777777" w:rsidTr="00904B3F">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65E27792" w14:textId="77777777" w:rsidR="00431B22" w:rsidRPr="00F145C2" w:rsidRDefault="00431B22" w:rsidP="00203EAF">
            <w:pPr>
              <w:keepNext/>
              <w:rPr>
                <w:rFonts w:ascii="Arial Narrow" w:hAnsi="Arial Narrow" w:cs="Arial"/>
                <w:sz w:val="20"/>
                <w:szCs w:val="20"/>
              </w:rPr>
            </w:pPr>
          </w:p>
        </w:tc>
        <w:tc>
          <w:tcPr>
            <w:tcW w:w="7945" w:type="dxa"/>
            <w:gridSpan w:val="5"/>
            <w:tcBorders>
              <w:top w:val="single" w:sz="4" w:space="0" w:color="auto"/>
              <w:left w:val="single" w:sz="4" w:space="0" w:color="auto"/>
              <w:bottom w:val="single" w:sz="4" w:space="0" w:color="auto"/>
              <w:right w:val="single" w:sz="4" w:space="0" w:color="auto"/>
            </w:tcBorders>
          </w:tcPr>
          <w:p w14:paraId="3C12046A" w14:textId="77777777" w:rsidR="00431B22" w:rsidRPr="00F145C2" w:rsidRDefault="00431B22" w:rsidP="00203EAF">
            <w:pPr>
              <w:keepNext/>
              <w:rPr>
                <w:rFonts w:ascii="Arial Narrow" w:hAnsi="Arial Narrow" w:cs="Arial"/>
                <w:b/>
                <w:sz w:val="20"/>
                <w:szCs w:val="20"/>
              </w:rPr>
            </w:pPr>
            <w:r w:rsidRPr="00F145C2">
              <w:rPr>
                <w:rFonts w:ascii="Arial Narrow" w:hAnsi="Arial Narrow" w:cs="Arial"/>
                <w:b/>
                <w:sz w:val="20"/>
                <w:szCs w:val="20"/>
              </w:rPr>
              <w:t xml:space="preserve">Prescriber type:  </w:t>
            </w:r>
            <w:r w:rsidRPr="00F145C2">
              <w:rPr>
                <w:rFonts w:ascii="Arial Narrow" w:hAnsi="Arial Narrow" w:cs="Arial"/>
                <w:sz w:val="20"/>
                <w:szCs w:val="20"/>
              </w:rPr>
              <w:fldChar w:fldCharType="begin">
                <w:ffData>
                  <w:name w:val=""/>
                  <w:enabled/>
                  <w:calcOnExit w:val="0"/>
                  <w:checkBox>
                    <w:sizeAuto/>
                    <w:default w:val="1"/>
                  </w:checkBox>
                </w:ffData>
              </w:fldChar>
            </w:r>
            <w:r w:rsidRPr="00F145C2">
              <w:rPr>
                <w:rFonts w:ascii="Arial Narrow" w:hAnsi="Arial Narrow" w:cs="Arial"/>
                <w:sz w:val="20"/>
                <w:szCs w:val="20"/>
              </w:rPr>
              <w:instrText xml:space="preserve"> FORMCHECKBOX </w:instrText>
            </w:r>
            <w:r w:rsidR="008A6324">
              <w:rPr>
                <w:rFonts w:ascii="Arial Narrow" w:hAnsi="Arial Narrow" w:cs="Arial"/>
                <w:sz w:val="20"/>
                <w:szCs w:val="20"/>
              </w:rPr>
            </w:r>
            <w:r w:rsidR="008A6324">
              <w:rPr>
                <w:rFonts w:ascii="Arial Narrow" w:hAnsi="Arial Narrow" w:cs="Arial"/>
                <w:sz w:val="20"/>
                <w:szCs w:val="20"/>
              </w:rPr>
              <w:fldChar w:fldCharType="separate"/>
            </w:r>
            <w:r w:rsidRPr="00F145C2">
              <w:rPr>
                <w:rFonts w:ascii="Arial Narrow" w:hAnsi="Arial Narrow" w:cs="Arial"/>
                <w:sz w:val="20"/>
                <w:szCs w:val="20"/>
              </w:rPr>
              <w:fldChar w:fldCharType="end"/>
            </w:r>
            <w:r w:rsidRPr="00F145C2">
              <w:rPr>
                <w:rFonts w:ascii="Arial Narrow" w:hAnsi="Arial Narrow" w:cs="Arial"/>
                <w:sz w:val="20"/>
                <w:szCs w:val="20"/>
              </w:rPr>
              <w:t xml:space="preserve">Medical Practitioners    </w:t>
            </w:r>
          </w:p>
        </w:tc>
      </w:tr>
      <w:tr w:rsidR="00431B22" w:rsidRPr="008972BB" w14:paraId="2F6EC7FA" w14:textId="77777777" w:rsidTr="00904B3F">
        <w:tblPrEx>
          <w:tblCellMar>
            <w:top w:w="15" w:type="dxa"/>
            <w:left w:w="15" w:type="dxa"/>
            <w:bottom w:w="15" w:type="dxa"/>
            <w:right w:w="15" w:type="dxa"/>
          </w:tblCellMar>
          <w:tblLook w:val="04A0" w:firstRow="1" w:lastRow="0" w:firstColumn="1" w:lastColumn="0" w:noHBand="0" w:noVBand="1"/>
        </w:tblPrEx>
        <w:trPr>
          <w:trHeight w:val="290"/>
        </w:trPr>
        <w:tc>
          <w:tcPr>
            <w:tcW w:w="981" w:type="dxa"/>
            <w:vMerge/>
            <w:tcBorders>
              <w:left w:val="single" w:sz="4" w:space="0" w:color="auto"/>
              <w:bottom w:val="single" w:sz="4" w:space="0" w:color="auto"/>
              <w:right w:val="single" w:sz="4" w:space="0" w:color="auto"/>
            </w:tcBorders>
          </w:tcPr>
          <w:p w14:paraId="2BB0F653" w14:textId="77777777" w:rsidR="00431B22" w:rsidRPr="00F145C2" w:rsidRDefault="00431B22" w:rsidP="00203EAF">
            <w:pPr>
              <w:keepNext/>
              <w:rPr>
                <w:rFonts w:ascii="Arial Narrow" w:hAnsi="Arial Narrow" w:cs="Arial"/>
                <w:sz w:val="20"/>
                <w:szCs w:val="20"/>
              </w:rPr>
            </w:pPr>
          </w:p>
        </w:tc>
        <w:tc>
          <w:tcPr>
            <w:tcW w:w="7945" w:type="dxa"/>
            <w:gridSpan w:val="5"/>
            <w:tcBorders>
              <w:top w:val="single" w:sz="4" w:space="0" w:color="auto"/>
              <w:left w:val="single" w:sz="4" w:space="0" w:color="auto"/>
              <w:bottom w:val="single" w:sz="4" w:space="0" w:color="auto"/>
              <w:right w:val="single" w:sz="4" w:space="0" w:color="auto"/>
            </w:tcBorders>
          </w:tcPr>
          <w:p w14:paraId="3EE69855" w14:textId="77777777" w:rsidR="00431B22" w:rsidRPr="00F145C2" w:rsidRDefault="00431B22" w:rsidP="00203EAF">
            <w:pPr>
              <w:keepNext/>
              <w:rPr>
                <w:rFonts w:ascii="Arial Narrow" w:hAnsi="Arial Narrow" w:cs="Arial"/>
                <w:b/>
                <w:sz w:val="20"/>
                <w:szCs w:val="20"/>
              </w:rPr>
            </w:pPr>
            <w:r w:rsidRPr="00F145C2">
              <w:rPr>
                <w:rFonts w:ascii="Arial Narrow" w:hAnsi="Arial Narrow" w:cs="Arial"/>
                <w:b/>
                <w:sz w:val="20"/>
                <w:szCs w:val="20"/>
              </w:rPr>
              <w:t xml:space="preserve">Restriction type: </w:t>
            </w:r>
            <w:r w:rsidRPr="00F145C2">
              <w:rPr>
                <w:rFonts w:ascii="Arial Narrow" w:eastAsia="Calibri" w:hAnsi="Arial Narrow" w:cs="Arial"/>
                <w:sz w:val="20"/>
                <w:szCs w:val="20"/>
              </w:rPr>
              <w:fldChar w:fldCharType="begin">
                <w:ffData>
                  <w:name w:val=""/>
                  <w:enabled/>
                  <w:calcOnExit w:val="0"/>
                  <w:checkBox>
                    <w:sizeAuto/>
                    <w:default w:val="1"/>
                  </w:checkBox>
                </w:ffData>
              </w:fldChar>
            </w:r>
            <w:r w:rsidRPr="00F145C2">
              <w:rPr>
                <w:rFonts w:ascii="Arial Narrow" w:eastAsia="Calibri" w:hAnsi="Arial Narrow" w:cs="Arial"/>
                <w:sz w:val="20"/>
                <w:szCs w:val="20"/>
              </w:rPr>
              <w:instrText xml:space="preserve"> FORMCHECKBOX </w:instrText>
            </w:r>
            <w:r w:rsidR="008A6324">
              <w:rPr>
                <w:rFonts w:ascii="Arial Narrow" w:eastAsia="Calibri" w:hAnsi="Arial Narrow" w:cs="Arial"/>
                <w:sz w:val="20"/>
                <w:szCs w:val="20"/>
              </w:rPr>
            </w:r>
            <w:r w:rsidR="008A6324">
              <w:rPr>
                <w:rFonts w:ascii="Arial Narrow" w:eastAsia="Calibri" w:hAnsi="Arial Narrow" w:cs="Arial"/>
                <w:sz w:val="20"/>
                <w:szCs w:val="20"/>
              </w:rPr>
              <w:fldChar w:fldCharType="separate"/>
            </w:r>
            <w:r w:rsidRPr="00F145C2">
              <w:rPr>
                <w:rFonts w:ascii="Arial Narrow" w:eastAsia="Calibri" w:hAnsi="Arial Narrow" w:cs="Arial"/>
                <w:sz w:val="20"/>
                <w:szCs w:val="20"/>
              </w:rPr>
              <w:fldChar w:fldCharType="end"/>
            </w:r>
            <w:r w:rsidRPr="00F145C2">
              <w:rPr>
                <w:rFonts w:ascii="Arial Narrow" w:eastAsia="Calibri" w:hAnsi="Arial Narrow" w:cs="Arial"/>
                <w:sz w:val="20"/>
                <w:szCs w:val="20"/>
              </w:rPr>
              <w:t xml:space="preserve">  Authority Required – Streamlined [4662]  </w:t>
            </w:r>
          </w:p>
        </w:tc>
      </w:tr>
      <w:tr w:rsidR="00431B22" w:rsidRPr="008972BB" w14:paraId="2DAAD2F2"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FA8628"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70F9792E" w14:textId="77777777" w:rsidR="00431B22" w:rsidRPr="00F145C2" w:rsidRDefault="00431B22" w:rsidP="00203EAF">
            <w:pPr>
              <w:keepNext/>
              <w:rPr>
                <w:rFonts w:ascii="Arial Narrow" w:hAnsi="Arial Narrow"/>
                <w:bCs/>
                <w:color w:val="333333"/>
                <w:sz w:val="20"/>
                <w:szCs w:val="20"/>
              </w:rPr>
            </w:pPr>
            <w:proofErr w:type="spellStart"/>
            <w:r w:rsidRPr="00F145C2">
              <w:rPr>
                <w:rFonts w:ascii="Arial Narrow" w:hAnsi="Arial Narrow"/>
                <w:b/>
                <w:bCs/>
                <w:color w:val="333333"/>
                <w:sz w:val="20"/>
                <w:szCs w:val="20"/>
              </w:rPr>
              <w:t>Episodicity</w:t>
            </w:r>
            <w:proofErr w:type="spellEnd"/>
            <w:r w:rsidRPr="00F145C2">
              <w:rPr>
                <w:rFonts w:ascii="Arial Narrow" w:hAnsi="Arial Narrow"/>
                <w:b/>
                <w:bCs/>
                <w:color w:val="333333"/>
                <w:sz w:val="20"/>
                <w:szCs w:val="20"/>
              </w:rPr>
              <w:t>:</w:t>
            </w:r>
          </w:p>
        </w:tc>
      </w:tr>
      <w:tr w:rsidR="00431B22" w:rsidRPr="008972BB" w14:paraId="7273FE17"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D6B63DC"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6BE2AF82" w14:textId="77777777" w:rsidR="00431B22" w:rsidRPr="00F145C2" w:rsidRDefault="00431B22" w:rsidP="00203EAF">
            <w:pPr>
              <w:keepNext/>
              <w:rPr>
                <w:rFonts w:ascii="Arial Narrow" w:hAnsi="Arial Narrow"/>
                <w:b/>
                <w:bCs/>
                <w:color w:val="333333"/>
                <w:sz w:val="20"/>
                <w:szCs w:val="20"/>
              </w:rPr>
            </w:pPr>
            <w:r w:rsidRPr="00F145C2">
              <w:rPr>
                <w:rFonts w:ascii="Arial Narrow" w:hAnsi="Arial Narrow"/>
                <w:b/>
                <w:bCs/>
                <w:color w:val="333333"/>
                <w:sz w:val="20"/>
                <w:szCs w:val="20"/>
              </w:rPr>
              <w:t xml:space="preserve">Severity: </w:t>
            </w:r>
            <w:r w:rsidRPr="00F145C2">
              <w:rPr>
                <w:rFonts w:ascii="Arial Narrow" w:hAnsi="Arial Narrow"/>
                <w:color w:val="333333"/>
                <w:sz w:val="20"/>
                <w:szCs w:val="20"/>
              </w:rPr>
              <w:t>Castration resistant metastatic</w:t>
            </w:r>
          </w:p>
        </w:tc>
      </w:tr>
      <w:tr w:rsidR="00431B22" w:rsidRPr="008972BB" w14:paraId="69AE714E"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6E7BFE6"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63B9CB05" w14:textId="77777777" w:rsidR="00431B22" w:rsidRPr="00F145C2" w:rsidRDefault="00431B22" w:rsidP="00203EAF">
            <w:pPr>
              <w:keepNext/>
              <w:rPr>
                <w:rFonts w:ascii="Arial Narrow" w:hAnsi="Arial Narrow"/>
                <w:b/>
                <w:bCs/>
                <w:color w:val="333333"/>
                <w:sz w:val="20"/>
                <w:szCs w:val="20"/>
              </w:rPr>
            </w:pPr>
            <w:r w:rsidRPr="00F145C2">
              <w:rPr>
                <w:rFonts w:ascii="Arial Narrow" w:hAnsi="Arial Narrow"/>
                <w:b/>
                <w:bCs/>
                <w:color w:val="333333"/>
                <w:sz w:val="20"/>
                <w:szCs w:val="20"/>
              </w:rPr>
              <w:t xml:space="preserve">Condition: </w:t>
            </w:r>
            <w:r w:rsidRPr="00F145C2">
              <w:rPr>
                <w:rFonts w:ascii="Arial Narrow" w:hAnsi="Arial Narrow"/>
                <w:color w:val="333333"/>
                <w:sz w:val="20"/>
                <w:szCs w:val="20"/>
              </w:rPr>
              <w:t>carcinoma of the prostate</w:t>
            </w:r>
          </w:p>
        </w:tc>
      </w:tr>
      <w:tr w:rsidR="00431B22" w:rsidRPr="008972BB" w14:paraId="4B634997"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643DAC27" w14:textId="6E2926C4"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2D0246CF"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Indication:</w:t>
            </w:r>
            <w:r w:rsidRPr="00F145C2">
              <w:rPr>
                <w:rFonts w:ascii="Arial Narrow" w:hAnsi="Arial Narrow"/>
                <w:color w:val="333333"/>
                <w:sz w:val="20"/>
                <w:szCs w:val="20"/>
              </w:rPr>
              <w:t xml:space="preserve"> Castration resistant metastatic carcinoma of the prostate</w:t>
            </w:r>
          </w:p>
        </w:tc>
      </w:tr>
      <w:tr w:rsidR="00431B22" w:rsidRPr="008972BB" w14:paraId="42D52378"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3B0B1041" w14:textId="3BC12038"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327B64C2"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431B22" w:rsidRPr="008972BB" w14:paraId="1795271F"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05BE86E4" w14:textId="7AFDD749"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79499990" w14:textId="77777777" w:rsidR="00431B22" w:rsidRPr="00F145C2" w:rsidRDefault="00431B22" w:rsidP="00203EAF">
            <w:pPr>
              <w:keepNext/>
              <w:jc w:val="left"/>
              <w:rPr>
                <w:rFonts w:ascii="Arial Narrow" w:hAnsi="Arial Narrow"/>
                <w:color w:val="333333"/>
                <w:sz w:val="20"/>
                <w:szCs w:val="20"/>
              </w:rPr>
            </w:pPr>
            <w:r w:rsidRPr="00F145C2">
              <w:rPr>
                <w:rFonts w:ascii="Arial Narrow" w:hAnsi="Arial Narrow"/>
                <w:color w:val="333333"/>
                <w:sz w:val="20"/>
                <w:szCs w:val="20"/>
              </w:rPr>
              <w:t>The treatment must be in combination with prednisone or prednisolone</w:t>
            </w:r>
          </w:p>
        </w:tc>
      </w:tr>
      <w:tr w:rsidR="00431B22" w:rsidRPr="008972BB" w14:paraId="410E8E95"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500A82D6"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3E4A3CE2"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AND</w:t>
            </w:r>
          </w:p>
        </w:tc>
      </w:tr>
      <w:tr w:rsidR="00431B22" w:rsidRPr="008972BB" w14:paraId="52819419"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680B3DB"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7280CE91" w14:textId="77777777" w:rsidR="00431B22" w:rsidRPr="00F145C2" w:rsidRDefault="00431B22" w:rsidP="00203EAF">
            <w:pPr>
              <w:keepNext/>
              <w:rPr>
                <w:rFonts w:ascii="Arial Narrow" w:hAnsi="Arial Narrow"/>
                <w:b/>
                <w:bCs/>
                <w:color w:val="333333"/>
                <w:sz w:val="20"/>
                <w:szCs w:val="20"/>
              </w:rPr>
            </w:pPr>
            <w:r w:rsidRPr="00F145C2">
              <w:rPr>
                <w:rFonts w:ascii="Arial Narrow" w:hAnsi="Arial Narrow"/>
                <w:b/>
                <w:bCs/>
                <w:color w:val="333333"/>
                <w:sz w:val="20"/>
                <w:szCs w:val="20"/>
              </w:rPr>
              <w:t>Clinical criteria:</w:t>
            </w:r>
          </w:p>
        </w:tc>
      </w:tr>
      <w:tr w:rsidR="00431B22" w:rsidRPr="008972BB" w14:paraId="65A2EAA9"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501B7400" w14:textId="77390EA4"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1930BA6A" w14:textId="2A27021C" w:rsidR="0075655C" w:rsidRDefault="0075655C" w:rsidP="00203EAF">
            <w:pPr>
              <w:keepNext/>
              <w:rPr>
                <w:rFonts w:ascii="Arial Narrow" w:hAnsi="Arial Narrow"/>
                <w:i/>
                <w:iCs/>
                <w:color w:val="333333"/>
                <w:sz w:val="20"/>
                <w:szCs w:val="20"/>
              </w:rPr>
            </w:pPr>
            <w:r w:rsidRPr="00F145C2">
              <w:rPr>
                <w:rFonts w:ascii="Arial Narrow" w:hAnsi="Arial Narrow"/>
                <w:strike/>
                <w:color w:val="333333"/>
                <w:sz w:val="20"/>
                <w:szCs w:val="20"/>
              </w:rPr>
              <w:t>Patient must have failed treatment with docetaxel due to resistance</w:t>
            </w:r>
            <w:r>
              <w:rPr>
                <w:rFonts w:ascii="Arial Narrow" w:hAnsi="Arial Narrow"/>
                <w:strike/>
                <w:color w:val="333333"/>
                <w:sz w:val="20"/>
                <w:szCs w:val="20"/>
              </w:rPr>
              <w:t xml:space="preserve"> or intolerance</w:t>
            </w:r>
          </w:p>
          <w:p w14:paraId="0BB62480" w14:textId="51CCF33D" w:rsidR="00431B22" w:rsidRPr="00F145C2" w:rsidRDefault="00431B22" w:rsidP="00203EAF">
            <w:pPr>
              <w:keepNext/>
              <w:rPr>
                <w:rFonts w:ascii="Arial Narrow" w:hAnsi="Arial Narrow"/>
                <w:i/>
                <w:iCs/>
                <w:color w:val="333333"/>
                <w:sz w:val="20"/>
                <w:szCs w:val="20"/>
              </w:rPr>
            </w:pPr>
            <w:r w:rsidRPr="00F145C2">
              <w:rPr>
                <w:rFonts w:ascii="Arial Narrow" w:hAnsi="Arial Narrow"/>
                <w:i/>
                <w:iCs/>
                <w:color w:val="333333"/>
                <w:sz w:val="20"/>
                <w:szCs w:val="20"/>
              </w:rPr>
              <w:t>The condition must be resistan</w:t>
            </w:r>
            <w:r w:rsidR="00513820">
              <w:rPr>
                <w:rFonts w:ascii="Arial Narrow" w:hAnsi="Arial Narrow"/>
                <w:i/>
                <w:iCs/>
                <w:color w:val="333333"/>
                <w:sz w:val="20"/>
                <w:szCs w:val="20"/>
              </w:rPr>
              <w:t>t</w:t>
            </w:r>
            <w:r w:rsidRPr="00F145C2">
              <w:rPr>
                <w:rFonts w:ascii="Arial Narrow" w:hAnsi="Arial Narrow"/>
                <w:i/>
                <w:iCs/>
                <w:color w:val="333333"/>
                <w:sz w:val="20"/>
                <w:szCs w:val="20"/>
              </w:rPr>
              <w:t xml:space="preserve"> to treatment with docetaxel, OR</w:t>
            </w:r>
          </w:p>
        </w:tc>
      </w:tr>
      <w:tr w:rsidR="00431B22" w:rsidRPr="008972BB" w14:paraId="25920ADE"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6113D05" w14:textId="62F3A4FC"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4E5ECAAC" w14:textId="77777777" w:rsidR="00431B22" w:rsidRPr="00F145C2" w:rsidRDefault="00431B22" w:rsidP="00203EAF">
            <w:pPr>
              <w:keepNext/>
              <w:rPr>
                <w:rFonts w:ascii="Arial Narrow" w:hAnsi="Arial Narrow"/>
                <w:i/>
                <w:iCs/>
                <w:color w:val="333333"/>
                <w:sz w:val="20"/>
                <w:szCs w:val="20"/>
              </w:rPr>
            </w:pPr>
            <w:r w:rsidRPr="00F145C2">
              <w:rPr>
                <w:rFonts w:ascii="Arial Narrow" w:hAnsi="Arial Narrow"/>
                <w:i/>
                <w:iCs/>
                <w:color w:val="333333"/>
                <w:sz w:val="20"/>
                <w:szCs w:val="20"/>
              </w:rPr>
              <w:t>Patient must have a documented intolerance necessitating permanent treatment withdrawal or a contraindication to docetaxel</w:t>
            </w:r>
          </w:p>
        </w:tc>
      </w:tr>
      <w:tr w:rsidR="00431B22" w:rsidRPr="008972BB" w14:paraId="6A3CD669"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B7AD14"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tcPr>
          <w:p w14:paraId="1777CE95" w14:textId="77777777" w:rsidR="00431B22" w:rsidRPr="00F145C2" w:rsidRDefault="00431B22" w:rsidP="00203EAF">
            <w:pPr>
              <w:keepNext/>
              <w:rPr>
                <w:rFonts w:ascii="Arial Narrow" w:hAnsi="Arial Narrow"/>
                <w:b/>
                <w:bCs/>
                <w:color w:val="333333"/>
                <w:sz w:val="20"/>
                <w:szCs w:val="20"/>
              </w:rPr>
            </w:pPr>
            <w:r w:rsidRPr="00F145C2">
              <w:rPr>
                <w:rFonts w:ascii="Arial Narrow" w:hAnsi="Arial Narrow"/>
                <w:b/>
                <w:bCs/>
                <w:color w:val="333333"/>
                <w:sz w:val="20"/>
                <w:szCs w:val="20"/>
              </w:rPr>
              <w:t>AND</w:t>
            </w:r>
          </w:p>
        </w:tc>
      </w:tr>
      <w:tr w:rsidR="00431B22" w:rsidRPr="008972BB" w14:paraId="24A1942A"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FA6165" w14:textId="380D37AE"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32774512"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431B22" w:rsidRPr="008972BB" w14:paraId="7D918D8D"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5BDD3D1" w14:textId="6E1DE9C5"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3E73DA7C" w14:textId="322B30D8" w:rsidR="00431B22" w:rsidRPr="00F145C2" w:rsidRDefault="00431B22" w:rsidP="00203EAF">
            <w:pPr>
              <w:keepNext/>
              <w:rPr>
                <w:rFonts w:ascii="Arial Narrow" w:hAnsi="Arial Narrow"/>
                <w:color w:val="333333"/>
                <w:sz w:val="20"/>
                <w:szCs w:val="20"/>
              </w:rPr>
            </w:pPr>
            <w:r w:rsidRPr="00F145C2">
              <w:rPr>
                <w:rFonts w:ascii="Arial Narrow" w:hAnsi="Arial Narrow"/>
                <w:color w:val="333333"/>
                <w:sz w:val="20"/>
                <w:szCs w:val="20"/>
              </w:rPr>
              <w:t xml:space="preserve">The treatment must not be used in combination </w:t>
            </w:r>
            <w:r w:rsidRPr="002D1B37">
              <w:rPr>
                <w:rFonts w:ascii="Arial Narrow" w:hAnsi="Arial Narrow"/>
                <w:color w:val="333333"/>
                <w:sz w:val="20"/>
                <w:szCs w:val="20"/>
              </w:rPr>
              <w:t xml:space="preserve">with </w:t>
            </w:r>
            <w:r w:rsidR="002D1B37" w:rsidRPr="00831B13">
              <w:rPr>
                <w:rFonts w:ascii="Arial Narrow" w:hAnsi="Arial Narrow" w:cs="Arial"/>
                <w:snapToGrid w:val="0"/>
                <w:sz w:val="20"/>
                <w:szCs w:val="20"/>
                <w:lang w:val="en-GB"/>
              </w:rPr>
              <w:t>a novel hormonal drug</w:t>
            </w:r>
          </w:p>
        </w:tc>
      </w:tr>
      <w:tr w:rsidR="00431B22" w:rsidRPr="008972BB" w14:paraId="7BE6E3B7"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53F05780"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4659BE50"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AND</w:t>
            </w:r>
          </w:p>
        </w:tc>
      </w:tr>
      <w:tr w:rsidR="00431B22" w:rsidRPr="008972BB" w14:paraId="30CC666F"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3BAEFD2" w14:textId="0C9E296C"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158F2D60"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431B22" w:rsidRPr="008972BB" w14:paraId="77DE703A"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8290C2" w14:textId="2AA7DBA5"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27F8338D" w14:textId="77777777" w:rsidR="00431B22" w:rsidRPr="00F145C2" w:rsidRDefault="00431B22" w:rsidP="00203EAF">
            <w:pPr>
              <w:keepNext/>
              <w:rPr>
                <w:rFonts w:ascii="Arial Narrow" w:hAnsi="Arial Narrow"/>
                <w:color w:val="333333"/>
                <w:sz w:val="20"/>
                <w:szCs w:val="20"/>
              </w:rPr>
            </w:pPr>
            <w:r w:rsidRPr="00F145C2">
              <w:rPr>
                <w:rFonts w:ascii="Arial Narrow" w:hAnsi="Arial Narrow"/>
                <w:color w:val="333333"/>
                <w:sz w:val="20"/>
                <w:szCs w:val="20"/>
              </w:rPr>
              <w:t>Patient must have a WHO performance status of 2 or less</w:t>
            </w:r>
          </w:p>
        </w:tc>
      </w:tr>
      <w:tr w:rsidR="00431B22" w:rsidRPr="008972BB" w14:paraId="655FB5A7"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B845044" w14:textId="77777777"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0E080976"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AND</w:t>
            </w:r>
          </w:p>
        </w:tc>
      </w:tr>
      <w:tr w:rsidR="00431B22" w:rsidRPr="008972BB" w14:paraId="0F40170D"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3C8B3F1" w14:textId="04A20064"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65ABEA15" w14:textId="77777777" w:rsidR="00431B22" w:rsidRPr="00F145C2" w:rsidRDefault="00431B22" w:rsidP="00203EAF">
            <w:pPr>
              <w:keepNext/>
              <w:rPr>
                <w:rFonts w:ascii="Arial Narrow" w:hAnsi="Arial Narrow"/>
                <w:color w:val="333333"/>
                <w:sz w:val="20"/>
                <w:szCs w:val="20"/>
              </w:rPr>
            </w:pPr>
            <w:r w:rsidRPr="00F145C2">
              <w:rPr>
                <w:rFonts w:ascii="Arial Narrow" w:hAnsi="Arial Narrow"/>
                <w:b/>
                <w:bCs/>
                <w:color w:val="333333"/>
                <w:sz w:val="20"/>
                <w:szCs w:val="20"/>
              </w:rPr>
              <w:t>Clinical criteria:</w:t>
            </w:r>
          </w:p>
        </w:tc>
      </w:tr>
      <w:tr w:rsidR="00431B22" w:rsidRPr="008972BB" w14:paraId="2F553D58"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28C10505" w14:textId="55F5BFB0" w:rsidR="00431B22" w:rsidRPr="00F145C2" w:rsidRDefault="00431B22" w:rsidP="00203EAF">
            <w:pPr>
              <w:keepNext/>
              <w:jc w:val="center"/>
              <w:rPr>
                <w:rFonts w:ascii="Arial Narrow" w:hAnsi="Arial Narrow"/>
                <w:color w:val="333333"/>
                <w:sz w:val="20"/>
                <w:szCs w:val="20"/>
              </w:rPr>
            </w:pPr>
          </w:p>
        </w:tc>
        <w:tc>
          <w:tcPr>
            <w:tcW w:w="7945" w:type="dxa"/>
            <w:gridSpan w:val="5"/>
            <w:vAlign w:val="center"/>
            <w:hideMark/>
          </w:tcPr>
          <w:p w14:paraId="0FEA6C9B" w14:textId="77777777" w:rsidR="00431B22" w:rsidRPr="00F145C2" w:rsidRDefault="00431B22" w:rsidP="00203EAF">
            <w:pPr>
              <w:keepNext/>
              <w:autoSpaceDE w:val="0"/>
              <w:autoSpaceDN w:val="0"/>
              <w:adjustRightInd w:val="0"/>
              <w:rPr>
                <w:rFonts w:ascii="Arial Narrow" w:hAnsi="Arial Narrow" w:cs="Arial Narrow"/>
                <w:iCs/>
                <w:sz w:val="20"/>
                <w:szCs w:val="20"/>
              </w:rPr>
            </w:pPr>
            <w:r w:rsidRPr="00F145C2">
              <w:rPr>
                <w:rFonts w:ascii="Arial Narrow" w:hAnsi="Arial Narrow" w:cs="Arial Narrow"/>
                <w:iCs/>
                <w:sz w:val="20"/>
                <w:szCs w:val="20"/>
              </w:rPr>
              <w:t>Patient must not receive PBS-subsidised cabazitaxel if progressive disease develops while on cabazitaxel</w:t>
            </w:r>
          </w:p>
        </w:tc>
      </w:tr>
      <w:tr w:rsidR="002D1B37" w:rsidRPr="008972BB" w14:paraId="32231B95" w14:textId="77777777" w:rsidTr="00904B3F">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5A1B14" w14:textId="77777777" w:rsidR="002D1B37" w:rsidRPr="00F145C2" w:rsidRDefault="002D1B37" w:rsidP="00203EAF">
            <w:pPr>
              <w:keepNext/>
              <w:jc w:val="center"/>
              <w:rPr>
                <w:rFonts w:ascii="Arial Narrow" w:hAnsi="Arial Narrow"/>
                <w:color w:val="333333"/>
                <w:sz w:val="20"/>
                <w:szCs w:val="20"/>
              </w:rPr>
            </w:pPr>
          </w:p>
        </w:tc>
        <w:tc>
          <w:tcPr>
            <w:tcW w:w="7945" w:type="dxa"/>
            <w:gridSpan w:val="5"/>
            <w:vAlign w:val="center"/>
          </w:tcPr>
          <w:p w14:paraId="4BCDD2F7" w14:textId="2C1DF515" w:rsidR="002D1B37" w:rsidRPr="002D1B37" w:rsidRDefault="002D1B37" w:rsidP="00203EAF">
            <w:pPr>
              <w:keepNext/>
              <w:autoSpaceDE w:val="0"/>
              <w:autoSpaceDN w:val="0"/>
              <w:adjustRightInd w:val="0"/>
              <w:rPr>
                <w:rFonts w:ascii="Arial Narrow" w:hAnsi="Arial Narrow" w:cs="Arial Narrow"/>
                <w:iCs/>
                <w:sz w:val="20"/>
                <w:szCs w:val="20"/>
              </w:rPr>
            </w:pPr>
            <w:r>
              <w:rPr>
                <w:rFonts w:ascii="Arial Narrow" w:hAnsi="Arial Narrow" w:cs="Arial Narrow"/>
                <w:b/>
                <w:bCs/>
                <w:iCs/>
                <w:sz w:val="20"/>
                <w:szCs w:val="20"/>
                <w:u w:val="single"/>
              </w:rPr>
              <w:t>NOTE:</w:t>
            </w:r>
            <w:r>
              <w:rPr>
                <w:rFonts w:ascii="Arial Narrow" w:hAnsi="Arial Narrow" w:cs="Arial Narrow"/>
                <w:iCs/>
                <w:sz w:val="20"/>
                <w:szCs w:val="20"/>
              </w:rPr>
              <w:t xml:space="preserve"> </w:t>
            </w:r>
            <w:r w:rsidRPr="00831B13">
              <w:rPr>
                <w:rFonts w:ascii="Arial Narrow" w:hAnsi="Arial Narrow" w:cs="Arial"/>
                <w:snapToGrid w:val="0"/>
                <w:sz w:val="20"/>
                <w:szCs w:val="20"/>
                <w:lang w:val="en-GB"/>
              </w:rPr>
              <w:t>Where the term ‘novel hormonal drug’ appears in this restriction, it refers to: (</w:t>
            </w:r>
            <w:proofErr w:type="spellStart"/>
            <w:r w:rsidRPr="00831B13">
              <w:rPr>
                <w:rFonts w:ascii="Arial Narrow" w:hAnsi="Arial Narrow" w:cs="Arial"/>
                <w:snapToGrid w:val="0"/>
                <w:sz w:val="20"/>
                <w:szCs w:val="20"/>
                <w:lang w:val="en-GB"/>
              </w:rPr>
              <w:t>i</w:t>
            </w:r>
            <w:proofErr w:type="spellEnd"/>
            <w:r w:rsidRPr="00831B13">
              <w:rPr>
                <w:rFonts w:ascii="Arial Narrow" w:hAnsi="Arial Narrow" w:cs="Arial"/>
                <w:snapToGrid w:val="0"/>
                <w:sz w:val="20"/>
                <w:szCs w:val="20"/>
                <w:lang w:val="en-GB"/>
              </w:rPr>
              <w:t xml:space="preserve">) abiraterone, (ii) apalutamide, (iii) </w:t>
            </w:r>
            <w:proofErr w:type="spellStart"/>
            <w:r w:rsidRPr="00831B13">
              <w:rPr>
                <w:rFonts w:ascii="Arial Narrow" w:hAnsi="Arial Narrow" w:cs="Arial"/>
                <w:snapToGrid w:val="0"/>
                <w:sz w:val="20"/>
                <w:szCs w:val="20"/>
                <w:lang w:val="en-GB"/>
              </w:rPr>
              <w:t>darolutamide</w:t>
            </w:r>
            <w:proofErr w:type="spellEnd"/>
            <w:r w:rsidRPr="00831B13">
              <w:rPr>
                <w:rFonts w:ascii="Arial Narrow" w:hAnsi="Arial Narrow" w:cs="Arial"/>
                <w:snapToGrid w:val="0"/>
                <w:sz w:val="20"/>
                <w:szCs w:val="20"/>
                <w:lang w:val="en-GB"/>
              </w:rPr>
              <w:t>, (iv) enzalutamide.</w:t>
            </w:r>
          </w:p>
        </w:tc>
      </w:tr>
    </w:tbl>
    <w:p w14:paraId="6813A3F3" w14:textId="77777777" w:rsidR="00513820" w:rsidRDefault="00513820" w:rsidP="00203EAF">
      <w:pPr>
        <w:pStyle w:val="3Bodytext"/>
        <w:keepNext/>
        <w:numPr>
          <w:ilvl w:val="0"/>
          <w:numId w:val="0"/>
        </w:numPr>
        <w:spacing w:after="0"/>
        <w:ind w:left="720" w:hanging="720"/>
        <w:rPr>
          <w:i/>
          <w:iCs/>
          <w:snapToGrid w:val="0"/>
          <w:lang w:val="en-GB"/>
        </w:rPr>
      </w:pPr>
    </w:p>
    <w:p w14:paraId="7AD1804B" w14:textId="77777777" w:rsidR="008A6324" w:rsidRDefault="008A6324">
      <w:pPr>
        <w:jc w:val="left"/>
        <w:rPr>
          <w:rFonts w:asciiTheme="minorHAnsi" w:eastAsiaTheme="minorHAnsi" w:hAnsiTheme="minorHAnsi" w:cstheme="minorBidi"/>
          <w:i/>
          <w:iCs/>
          <w:snapToGrid w:val="0"/>
          <w:szCs w:val="22"/>
          <w:lang w:val="en-GB"/>
        </w:rPr>
      </w:pPr>
      <w:r>
        <w:rPr>
          <w:i/>
          <w:iCs/>
          <w:snapToGrid w:val="0"/>
          <w:lang w:val="en-GB"/>
        </w:rPr>
        <w:br w:type="page"/>
      </w:r>
    </w:p>
    <w:p w14:paraId="77110BBA" w14:textId="1CF8408F" w:rsidR="00535659" w:rsidRDefault="00431B22" w:rsidP="008A6324">
      <w:pPr>
        <w:pStyle w:val="3Bodytext"/>
        <w:keepNext/>
        <w:keepLines/>
        <w:numPr>
          <w:ilvl w:val="0"/>
          <w:numId w:val="0"/>
        </w:numPr>
        <w:ind w:left="720" w:hanging="720"/>
        <w:rPr>
          <w:i/>
          <w:iCs/>
          <w:snapToGrid w:val="0"/>
          <w:lang w:val="en-GB"/>
        </w:rPr>
      </w:pPr>
      <w:r>
        <w:rPr>
          <w:i/>
          <w:iCs/>
          <w:snapToGrid w:val="0"/>
          <w:lang w:val="en-GB"/>
        </w:rPr>
        <w:lastRenderedPageBreak/>
        <w:t>Flow-on changes:</w:t>
      </w:r>
    </w:p>
    <w:p w14:paraId="2C083DA7" w14:textId="390D332C" w:rsidR="00F226BC" w:rsidRDefault="00431B22" w:rsidP="008A6324">
      <w:pPr>
        <w:pStyle w:val="3Bodytext"/>
        <w:keepLines/>
        <w:rPr>
          <w:snapToGrid w:val="0"/>
          <w:lang w:val="en-GB"/>
        </w:rPr>
      </w:pPr>
      <w:r>
        <w:rPr>
          <w:snapToGrid w:val="0"/>
          <w:lang w:val="en-GB"/>
        </w:rPr>
        <w:t>Update clinical criteria for current cabazitaxel PBS-listed items (</w:t>
      </w:r>
      <w:proofErr w:type="spellStart"/>
      <w:r>
        <w:rPr>
          <w:snapToGrid w:val="0"/>
          <w:lang w:val="en-GB"/>
        </w:rPr>
        <w:t>Jevtana</w:t>
      </w:r>
      <w:proofErr w:type="spellEnd"/>
      <w:r>
        <w:rPr>
          <w:snapToGrid w:val="0"/>
          <w:lang w:val="en-GB"/>
        </w:rPr>
        <w:t xml:space="preserve">, </w:t>
      </w:r>
      <w:proofErr w:type="spellStart"/>
      <w:r>
        <w:rPr>
          <w:snapToGrid w:val="0"/>
          <w:lang w:val="en-GB"/>
        </w:rPr>
        <w:t>Cabazitaxel</w:t>
      </w:r>
      <w:proofErr w:type="spellEnd"/>
      <w:r>
        <w:rPr>
          <w:snapToGrid w:val="0"/>
          <w:lang w:val="en-GB"/>
        </w:rPr>
        <w:t xml:space="preserve"> Ever Pharma, Cabazitax</w:t>
      </w:r>
      <w:r w:rsidR="002860EA">
        <w:rPr>
          <w:snapToGrid w:val="0"/>
          <w:lang w:val="en-GB"/>
        </w:rPr>
        <w:t>el</w:t>
      </w:r>
      <w:r>
        <w:rPr>
          <w:snapToGrid w:val="0"/>
          <w:lang w:val="en-GB"/>
        </w:rPr>
        <w:t xml:space="preserve"> Juno)</w:t>
      </w:r>
      <w:r w:rsidR="00F226BC">
        <w:rPr>
          <w:snapToGrid w:val="0"/>
          <w:lang w:val="en-GB"/>
        </w:rPr>
        <w:t>:</w:t>
      </w:r>
    </w:p>
    <w:p w14:paraId="13C4C760" w14:textId="4A70FAEC" w:rsidR="00431B22" w:rsidRPr="00831B13" w:rsidRDefault="00431B22" w:rsidP="00F226BC">
      <w:pPr>
        <w:pStyle w:val="3Bodytext"/>
        <w:numPr>
          <w:ilvl w:val="0"/>
          <w:numId w:val="32"/>
        </w:numPr>
        <w:rPr>
          <w:snapToGrid w:val="0"/>
          <w:lang w:val="en-GB"/>
        </w:rPr>
      </w:pPr>
      <w:r>
        <w:rPr>
          <w:snapToGrid w:val="0"/>
          <w:lang w:val="en-GB"/>
        </w:rPr>
        <w:t xml:space="preserve">replace ‘Patient must have failed treatment with docetaxel due to resistance or intolerance’ </w:t>
      </w:r>
      <w:r w:rsidRPr="0038024F">
        <w:rPr>
          <w:rFonts w:cstheme="minorHAnsi"/>
          <w:snapToGrid w:val="0"/>
          <w:szCs w:val="24"/>
          <w:lang w:val="en-GB"/>
        </w:rPr>
        <w:t>with ‘</w:t>
      </w:r>
      <w:r w:rsidRPr="00AC79D9">
        <w:rPr>
          <w:rFonts w:cstheme="minorHAnsi"/>
          <w:i/>
          <w:iCs/>
          <w:szCs w:val="24"/>
        </w:rPr>
        <w:t>The condition must be resistan</w:t>
      </w:r>
      <w:r w:rsidR="00513820" w:rsidRPr="00AC79D9">
        <w:rPr>
          <w:rFonts w:cstheme="minorHAnsi"/>
          <w:i/>
          <w:iCs/>
          <w:szCs w:val="24"/>
        </w:rPr>
        <w:t>t</w:t>
      </w:r>
      <w:r w:rsidRPr="00AC79D9">
        <w:rPr>
          <w:rFonts w:cstheme="minorHAnsi"/>
          <w:i/>
          <w:iCs/>
          <w:szCs w:val="24"/>
        </w:rPr>
        <w:t xml:space="preserve"> to treatment with docetaxel, OR Patient must have a documented intolerance necessitating permanent treatment withdrawal or a contraindication to docetaxel’</w:t>
      </w:r>
    </w:p>
    <w:p w14:paraId="293AE1B9" w14:textId="15B7F0F2" w:rsidR="00F226BC" w:rsidRDefault="00F226BC" w:rsidP="00F226BC">
      <w:pPr>
        <w:pStyle w:val="3Bodytext"/>
        <w:numPr>
          <w:ilvl w:val="0"/>
          <w:numId w:val="32"/>
        </w:numPr>
        <w:rPr>
          <w:snapToGrid w:val="0"/>
          <w:lang w:val="en-GB"/>
        </w:rPr>
      </w:pPr>
      <w:r>
        <w:rPr>
          <w:snapToGrid w:val="0"/>
          <w:lang w:val="en-GB"/>
        </w:rPr>
        <w:t>replace ‘The treatment must not be used in combination with abiraterone’ with ‘The treatment must not be used in combination with a novel hormonal drug’</w:t>
      </w:r>
    </w:p>
    <w:p w14:paraId="4FC52D34" w14:textId="3C89F8E5" w:rsidR="00201FB8" w:rsidRDefault="00F226BC" w:rsidP="005F112F">
      <w:pPr>
        <w:pStyle w:val="3Bodytext"/>
        <w:numPr>
          <w:ilvl w:val="0"/>
          <w:numId w:val="32"/>
        </w:numPr>
        <w:rPr>
          <w:snapToGrid w:val="0"/>
          <w:lang w:val="en-GB"/>
        </w:rPr>
      </w:pPr>
      <w:r>
        <w:rPr>
          <w:snapToGrid w:val="0"/>
          <w:lang w:val="en-GB"/>
        </w:rPr>
        <w:t xml:space="preserve">add the following administrative note:  </w:t>
      </w:r>
      <w:r w:rsidRPr="00F226BC">
        <w:rPr>
          <w:snapToGrid w:val="0"/>
          <w:lang w:val="en-GB"/>
        </w:rPr>
        <w:t>Where the term ‘novel hormonal drug’ appears in this restriction, it refers to: (</w:t>
      </w:r>
      <w:proofErr w:type="spellStart"/>
      <w:r w:rsidRPr="00F226BC">
        <w:rPr>
          <w:snapToGrid w:val="0"/>
          <w:lang w:val="en-GB"/>
        </w:rPr>
        <w:t>i</w:t>
      </w:r>
      <w:proofErr w:type="spellEnd"/>
      <w:r w:rsidRPr="00F226BC">
        <w:rPr>
          <w:snapToGrid w:val="0"/>
          <w:lang w:val="en-GB"/>
        </w:rPr>
        <w:t xml:space="preserve">) abiraterone, (ii) apalutamide, (iii) </w:t>
      </w:r>
      <w:proofErr w:type="spellStart"/>
      <w:r w:rsidRPr="00F226BC">
        <w:rPr>
          <w:snapToGrid w:val="0"/>
          <w:lang w:val="en-GB"/>
        </w:rPr>
        <w:t>darolutamide</w:t>
      </w:r>
      <w:proofErr w:type="spellEnd"/>
      <w:r w:rsidRPr="00F226BC">
        <w:rPr>
          <w:snapToGrid w:val="0"/>
          <w:lang w:val="en-GB"/>
        </w:rPr>
        <w:t>, (iv) enzalutamide’.</w:t>
      </w:r>
    </w:p>
    <w:p w14:paraId="141E44E8" w14:textId="4C04A5F7" w:rsidR="005F112F" w:rsidRDefault="005F112F" w:rsidP="005F112F">
      <w:pPr>
        <w:pStyle w:val="3Bodytext"/>
        <w:numPr>
          <w:ilvl w:val="0"/>
          <w:numId w:val="0"/>
        </w:numPr>
        <w:rPr>
          <w:rFonts w:cs="Arial"/>
        </w:rPr>
      </w:pPr>
      <w:r w:rsidRPr="00BB6D30">
        <w:rPr>
          <w:rFonts w:cs="Arial"/>
          <w:b/>
          <w:bCs/>
          <w:i/>
        </w:rPr>
        <w:t>This restriction may be subject to further review. Should there be any changes made to the restriction the sponsor will be informed</w:t>
      </w:r>
      <w:r w:rsidRPr="007F262A">
        <w:rPr>
          <w:rFonts w:cs="Arial"/>
        </w:rPr>
        <w:t>.</w:t>
      </w:r>
    </w:p>
    <w:p w14:paraId="3C3ABC90" w14:textId="77777777" w:rsidR="00EF28D8" w:rsidRDefault="00EF28D8" w:rsidP="007F3043">
      <w:pPr>
        <w:pStyle w:val="2-SectionHeading"/>
        <w:rPr>
          <w:bCs/>
          <w:lang w:val="en-GB"/>
        </w:rPr>
      </w:pPr>
      <w:r w:rsidRPr="007F3043">
        <w:rPr>
          <w:lang w:val="en-GB"/>
        </w:rPr>
        <w:t>Context</w:t>
      </w:r>
      <w:r w:rsidRPr="00BB6824">
        <w:rPr>
          <w:bCs/>
          <w:lang w:val="en-GB"/>
        </w:rPr>
        <w:t xml:space="preserve"> for Decision</w:t>
      </w:r>
    </w:p>
    <w:p w14:paraId="3460B6DB" w14:textId="77777777" w:rsidR="00EF28D8" w:rsidRPr="007129F2" w:rsidRDefault="00EF28D8" w:rsidP="00EF28D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53C187" w14:textId="77777777" w:rsidR="00EF28D8" w:rsidRPr="00BB6824" w:rsidRDefault="00EF28D8" w:rsidP="007F3043">
      <w:pPr>
        <w:pStyle w:val="2-SectionHeading"/>
        <w:rPr>
          <w:bCs/>
          <w:lang w:val="en-GB"/>
        </w:rPr>
      </w:pPr>
      <w:r w:rsidRPr="007F3043">
        <w:rPr>
          <w:lang w:val="en-GB"/>
        </w:rPr>
        <w:t>Sponsor’s</w:t>
      </w:r>
      <w:r w:rsidRPr="00BB6824">
        <w:rPr>
          <w:bCs/>
          <w:lang w:val="en-GB"/>
        </w:rPr>
        <w:t xml:space="preserve"> Comment</w:t>
      </w:r>
    </w:p>
    <w:p w14:paraId="1E868D84" w14:textId="77777777" w:rsidR="00EF28D8" w:rsidRPr="001179AC" w:rsidRDefault="00EF28D8" w:rsidP="00EF28D8">
      <w:pPr>
        <w:spacing w:after="120"/>
        <w:ind w:firstLine="720"/>
        <w:rPr>
          <w:rFonts w:asciiTheme="minorHAnsi" w:hAnsiTheme="minorHAnsi"/>
          <w:bCs/>
        </w:rPr>
      </w:pPr>
      <w:r w:rsidRPr="00C07617">
        <w:rPr>
          <w:rFonts w:asciiTheme="minorHAnsi" w:hAnsiTheme="minorHAnsi"/>
          <w:bCs/>
        </w:rPr>
        <w:t>The sponsor had no comment.</w:t>
      </w:r>
    </w:p>
    <w:p w14:paraId="695FD982" w14:textId="77777777" w:rsidR="00EF28D8" w:rsidRPr="005F112F" w:rsidRDefault="00EF28D8" w:rsidP="005F112F">
      <w:pPr>
        <w:pStyle w:val="3Bodytext"/>
        <w:numPr>
          <w:ilvl w:val="0"/>
          <w:numId w:val="0"/>
        </w:numPr>
        <w:rPr>
          <w:snapToGrid w:val="0"/>
          <w:lang w:val="en-GB"/>
        </w:rPr>
      </w:pPr>
    </w:p>
    <w:sectPr w:rsidR="00EF28D8" w:rsidRPr="005F112F"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6818" w14:textId="77777777" w:rsidR="00D4780A" w:rsidRDefault="00D4780A">
      <w:r>
        <w:separator/>
      </w:r>
    </w:p>
    <w:p w14:paraId="02C03CBC" w14:textId="77777777" w:rsidR="00D4780A" w:rsidRDefault="00D4780A"/>
  </w:endnote>
  <w:endnote w:type="continuationSeparator" w:id="0">
    <w:p w14:paraId="63A918FB" w14:textId="77777777" w:rsidR="00D4780A" w:rsidRDefault="00D4780A">
      <w:r>
        <w:continuationSeparator/>
      </w:r>
    </w:p>
    <w:p w14:paraId="69304546" w14:textId="77777777" w:rsidR="00D4780A" w:rsidRDefault="00D4780A"/>
  </w:endnote>
  <w:endnote w:type="continuationNotice" w:id="1">
    <w:p w14:paraId="228BC01D" w14:textId="77777777" w:rsidR="00D4780A" w:rsidRDefault="00D47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4780A" w14:paraId="4075D3FE" w14:textId="77777777" w:rsidTr="005A3173">
      <w:trPr>
        <w:trHeight w:val="151"/>
      </w:trPr>
      <w:tc>
        <w:tcPr>
          <w:tcW w:w="2250" w:type="pct"/>
          <w:tcBorders>
            <w:top w:val="nil"/>
            <w:left w:val="nil"/>
            <w:bottom w:val="single" w:sz="4" w:space="0" w:color="4F81BD"/>
            <w:right w:val="nil"/>
          </w:tcBorders>
        </w:tcPr>
        <w:p w14:paraId="096D0DDE" w14:textId="77777777" w:rsidR="00D4780A" w:rsidRPr="005A3173" w:rsidRDefault="00D4780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D4780A" w:rsidRPr="005A3173" w:rsidRDefault="00D478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D4780A" w:rsidRPr="005A3173" w:rsidRDefault="00D4780A" w:rsidP="005A3173">
          <w:pPr>
            <w:pStyle w:val="Header"/>
            <w:spacing w:line="276" w:lineRule="auto"/>
            <w:rPr>
              <w:rFonts w:eastAsia="MS Gothic"/>
              <w:b/>
              <w:bCs/>
              <w:color w:val="4F81BD"/>
            </w:rPr>
          </w:pPr>
        </w:p>
      </w:tc>
    </w:tr>
    <w:tr w:rsidR="00D4780A" w14:paraId="32EF4DB8" w14:textId="77777777" w:rsidTr="005A3173">
      <w:trPr>
        <w:trHeight w:val="150"/>
      </w:trPr>
      <w:tc>
        <w:tcPr>
          <w:tcW w:w="2250" w:type="pct"/>
          <w:tcBorders>
            <w:top w:val="single" w:sz="4" w:space="0" w:color="4F81BD"/>
            <w:left w:val="nil"/>
            <w:bottom w:val="nil"/>
            <w:right w:val="nil"/>
          </w:tcBorders>
        </w:tcPr>
        <w:p w14:paraId="03528A4C" w14:textId="77777777" w:rsidR="00D4780A" w:rsidRPr="005A3173" w:rsidRDefault="00D4780A" w:rsidP="005A3173">
          <w:pPr>
            <w:pStyle w:val="Header"/>
            <w:spacing w:line="276" w:lineRule="auto"/>
            <w:rPr>
              <w:rFonts w:eastAsia="MS Gothic"/>
              <w:b/>
              <w:bCs/>
              <w:color w:val="4F81BD"/>
            </w:rPr>
          </w:pPr>
        </w:p>
      </w:tc>
      <w:tc>
        <w:tcPr>
          <w:tcW w:w="0" w:type="auto"/>
          <w:vMerge/>
          <w:vAlign w:val="center"/>
          <w:hideMark/>
        </w:tcPr>
        <w:p w14:paraId="109042FB" w14:textId="77777777" w:rsidR="00D4780A" w:rsidRPr="005A3173" w:rsidRDefault="00D4780A" w:rsidP="005A3173">
          <w:pPr>
            <w:rPr>
              <w:color w:val="365F91"/>
              <w:sz w:val="22"/>
              <w:szCs w:val="22"/>
            </w:rPr>
          </w:pPr>
        </w:p>
      </w:tc>
      <w:tc>
        <w:tcPr>
          <w:tcW w:w="2250" w:type="pct"/>
          <w:tcBorders>
            <w:top w:val="single" w:sz="4" w:space="0" w:color="4F81BD"/>
            <w:left w:val="nil"/>
            <w:bottom w:val="nil"/>
            <w:right w:val="nil"/>
          </w:tcBorders>
        </w:tcPr>
        <w:p w14:paraId="09664199" w14:textId="77777777" w:rsidR="00D4780A" w:rsidRPr="005A3173" w:rsidRDefault="00D4780A" w:rsidP="005A3173">
          <w:pPr>
            <w:pStyle w:val="Header"/>
            <w:spacing w:line="276" w:lineRule="auto"/>
            <w:rPr>
              <w:rFonts w:eastAsia="MS Gothic"/>
              <w:b/>
              <w:bCs/>
              <w:color w:val="4F81BD"/>
            </w:rPr>
          </w:pPr>
        </w:p>
      </w:tc>
    </w:tr>
  </w:tbl>
  <w:p w14:paraId="21855C18" w14:textId="77777777" w:rsidR="00D4780A" w:rsidRDefault="00D4780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D4780A" w:rsidRDefault="00D4780A">
    <w:pPr>
      <w:pStyle w:val="Footer"/>
    </w:pPr>
  </w:p>
  <w:p w14:paraId="48FFA445" w14:textId="77777777" w:rsidR="00D4780A" w:rsidRDefault="00D478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067024"/>
      <w:docPartObj>
        <w:docPartGallery w:val="Page Numbers (Bottom of Page)"/>
        <w:docPartUnique/>
      </w:docPartObj>
    </w:sdtPr>
    <w:sdtEndPr>
      <w:rPr>
        <w:b/>
        <w:bCs/>
        <w:noProof/>
      </w:rPr>
    </w:sdtEndPr>
    <w:sdtContent>
      <w:p w14:paraId="1BAB902D" w14:textId="77777777" w:rsidR="003466CD" w:rsidRDefault="003466CD">
        <w:pPr>
          <w:pStyle w:val="Footer"/>
          <w:jc w:val="center"/>
        </w:pPr>
      </w:p>
      <w:p w14:paraId="468041FA" w14:textId="6B9F1C02" w:rsidR="003466CD" w:rsidRPr="003466CD" w:rsidRDefault="003466CD">
        <w:pPr>
          <w:pStyle w:val="Footer"/>
          <w:jc w:val="center"/>
          <w:rPr>
            <w:b/>
            <w:bCs/>
          </w:rPr>
        </w:pPr>
        <w:r w:rsidRPr="003466CD">
          <w:rPr>
            <w:b/>
            <w:bCs/>
          </w:rPr>
          <w:fldChar w:fldCharType="begin"/>
        </w:r>
        <w:r w:rsidRPr="003466CD">
          <w:rPr>
            <w:b/>
            <w:bCs/>
          </w:rPr>
          <w:instrText xml:space="preserve"> PAGE   \* MERGEFORMAT </w:instrText>
        </w:r>
        <w:r w:rsidRPr="003466CD">
          <w:rPr>
            <w:b/>
            <w:bCs/>
          </w:rPr>
          <w:fldChar w:fldCharType="separate"/>
        </w:r>
        <w:r w:rsidR="00186055">
          <w:rPr>
            <w:b/>
            <w:bCs/>
            <w:noProof/>
          </w:rPr>
          <w:t>5</w:t>
        </w:r>
        <w:r w:rsidRPr="003466CD">
          <w:rPr>
            <w:b/>
            <w:bCs/>
            <w:noProof/>
          </w:rPr>
          <w:fldChar w:fldCharType="end"/>
        </w:r>
      </w:p>
    </w:sdtContent>
  </w:sdt>
  <w:p w14:paraId="355827FE" w14:textId="6E5EC303" w:rsidR="00D4780A" w:rsidRPr="00D429EC" w:rsidRDefault="00D4780A"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D4780A" w14:paraId="1B1A9BFB" w14:textId="77777777" w:rsidTr="005A3173">
      <w:trPr>
        <w:trHeight w:val="151"/>
      </w:trPr>
      <w:tc>
        <w:tcPr>
          <w:tcW w:w="2250" w:type="pct"/>
          <w:tcBorders>
            <w:top w:val="nil"/>
            <w:left w:val="nil"/>
            <w:bottom w:val="single" w:sz="4" w:space="0" w:color="4F81BD"/>
            <w:right w:val="nil"/>
          </w:tcBorders>
        </w:tcPr>
        <w:p w14:paraId="1AEC0F9B" w14:textId="77777777" w:rsidR="00D4780A" w:rsidRPr="005A3173" w:rsidRDefault="00D4780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D4780A" w:rsidRPr="005A3173" w:rsidRDefault="00D478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D4780A" w:rsidRPr="005A3173" w:rsidRDefault="00D4780A" w:rsidP="005A3173">
          <w:pPr>
            <w:pStyle w:val="Header"/>
            <w:spacing w:line="276" w:lineRule="auto"/>
            <w:rPr>
              <w:rFonts w:eastAsia="MS Gothic"/>
              <w:b/>
              <w:bCs/>
              <w:color w:val="4F81BD"/>
            </w:rPr>
          </w:pPr>
        </w:p>
      </w:tc>
    </w:tr>
    <w:tr w:rsidR="00D4780A" w14:paraId="0A17FD7B" w14:textId="77777777" w:rsidTr="005A3173">
      <w:trPr>
        <w:trHeight w:val="150"/>
      </w:trPr>
      <w:tc>
        <w:tcPr>
          <w:tcW w:w="2250" w:type="pct"/>
          <w:tcBorders>
            <w:top w:val="single" w:sz="4" w:space="0" w:color="4F81BD"/>
            <w:left w:val="nil"/>
            <w:bottom w:val="nil"/>
            <w:right w:val="nil"/>
          </w:tcBorders>
        </w:tcPr>
        <w:p w14:paraId="66DEA9D9" w14:textId="77777777" w:rsidR="00D4780A" w:rsidRPr="005A3173" w:rsidRDefault="00D4780A" w:rsidP="005A3173">
          <w:pPr>
            <w:pStyle w:val="Header"/>
            <w:spacing w:line="276" w:lineRule="auto"/>
            <w:rPr>
              <w:rFonts w:eastAsia="MS Gothic"/>
              <w:b/>
              <w:bCs/>
              <w:color w:val="4F81BD"/>
            </w:rPr>
          </w:pPr>
        </w:p>
      </w:tc>
      <w:tc>
        <w:tcPr>
          <w:tcW w:w="0" w:type="auto"/>
          <w:vMerge/>
          <w:vAlign w:val="center"/>
          <w:hideMark/>
        </w:tcPr>
        <w:p w14:paraId="0726D67B" w14:textId="77777777" w:rsidR="00D4780A" w:rsidRPr="005A3173" w:rsidRDefault="00D4780A" w:rsidP="005A3173">
          <w:pPr>
            <w:rPr>
              <w:color w:val="365F91"/>
              <w:sz w:val="22"/>
              <w:szCs w:val="22"/>
            </w:rPr>
          </w:pPr>
        </w:p>
      </w:tc>
      <w:tc>
        <w:tcPr>
          <w:tcW w:w="2250" w:type="pct"/>
          <w:tcBorders>
            <w:top w:val="single" w:sz="4" w:space="0" w:color="4F81BD"/>
            <w:left w:val="nil"/>
            <w:bottom w:val="nil"/>
            <w:right w:val="nil"/>
          </w:tcBorders>
        </w:tcPr>
        <w:p w14:paraId="77FEEEB1" w14:textId="77777777" w:rsidR="00D4780A" w:rsidRPr="005A3173" w:rsidRDefault="00D4780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4780A" w14:paraId="434C4AE3" w14:textId="77777777" w:rsidTr="005A3173">
      <w:trPr>
        <w:trHeight w:val="151"/>
      </w:trPr>
      <w:tc>
        <w:tcPr>
          <w:tcW w:w="2250" w:type="pct"/>
          <w:tcBorders>
            <w:top w:val="nil"/>
            <w:left w:val="nil"/>
            <w:bottom w:val="single" w:sz="4" w:space="0" w:color="4F81BD"/>
            <w:right w:val="nil"/>
          </w:tcBorders>
        </w:tcPr>
        <w:p w14:paraId="556410DA" w14:textId="77777777" w:rsidR="00D4780A" w:rsidRPr="005A3173" w:rsidRDefault="00D4780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D4780A" w:rsidRPr="005A3173" w:rsidRDefault="00D478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D4780A" w:rsidRPr="005A3173" w:rsidRDefault="00D4780A" w:rsidP="005A3173">
          <w:pPr>
            <w:pStyle w:val="Header"/>
            <w:spacing w:line="276" w:lineRule="auto"/>
            <w:rPr>
              <w:rFonts w:eastAsia="MS Gothic"/>
              <w:b/>
              <w:bCs/>
              <w:color w:val="4F81BD"/>
            </w:rPr>
          </w:pPr>
        </w:p>
      </w:tc>
    </w:tr>
    <w:tr w:rsidR="00D4780A" w14:paraId="2F5EEC4C" w14:textId="77777777" w:rsidTr="005A3173">
      <w:trPr>
        <w:trHeight w:val="150"/>
      </w:trPr>
      <w:tc>
        <w:tcPr>
          <w:tcW w:w="2250" w:type="pct"/>
          <w:tcBorders>
            <w:top w:val="single" w:sz="4" w:space="0" w:color="4F81BD"/>
            <w:left w:val="nil"/>
            <w:bottom w:val="nil"/>
            <w:right w:val="nil"/>
          </w:tcBorders>
        </w:tcPr>
        <w:p w14:paraId="60E1BA15" w14:textId="77777777" w:rsidR="00D4780A" w:rsidRPr="005A3173" w:rsidRDefault="00D4780A" w:rsidP="005A3173">
          <w:pPr>
            <w:pStyle w:val="Header"/>
            <w:spacing w:line="276" w:lineRule="auto"/>
            <w:rPr>
              <w:rFonts w:eastAsia="MS Gothic"/>
              <w:b/>
              <w:bCs/>
              <w:color w:val="4F81BD"/>
            </w:rPr>
          </w:pPr>
        </w:p>
      </w:tc>
      <w:tc>
        <w:tcPr>
          <w:tcW w:w="0" w:type="auto"/>
          <w:vMerge/>
          <w:vAlign w:val="center"/>
          <w:hideMark/>
        </w:tcPr>
        <w:p w14:paraId="4EACACBE" w14:textId="77777777" w:rsidR="00D4780A" w:rsidRPr="005A3173" w:rsidRDefault="00D4780A" w:rsidP="005A3173">
          <w:pPr>
            <w:rPr>
              <w:color w:val="365F91"/>
              <w:sz w:val="22"/>
              <w:szCs w:val="22"/>
            </w:rPr>
          </w:pPr>
        </w:p>
      </w:tc>
      <w:tc>
        <w:tcPr>
          <w:tcW w:w="2250" w:type="pct"/>
          <w:tcBorders>
            <w:top w:val="single" w:sz="4" w:space="0" w:color="4F81BD"/>
            <w:left w:val="nil"/>
            <w:bottom w:val="nil"/>
            <w:right w:val="nil"/>
          </w:tcBorders>
        </w:tcPr>
        <w:p w14:paraId="516BCB31" w14:textId="77777777" w:rsidR="00D4780A" w:rsidRPr="005A3173" w:rsidRDefault="00D4780A" w:rsidP="005A3173">
          <w:pPr>
            <w:pStyle w:val="Header"/>
            <w:spacing w:line="276" w:lineRule="auto"/>
            <w:rPr>
              <w:rFonts w:eastAsia="MS Gothic"/>
              <w:b/>
              <w:bCs/>
              <w:color w:val="4F81BD"/>
            </w:rPr>
          </w:pPr>
        </w:p>
      </w:tc>
    </w:tr>
  </w:tbl>
  <w:p w14:paraId="679BDCC0" w14:textId="77777777" w:rsidR="00D4780A" w:rsidRPr="007C0F57" w:rsidRDefault="00D4780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D4780A" w:rsidRPr="007C0F57" w:rsidRDefault="00D4780A" w:rsidP="007C0F57">
    <w:pPr>
      <w:pStyle w:val="Footer"/>
      <w:jc w:val="center"/>
      <w:rPr>
        <w:b/>
        <w:i/>
        <w:sz w:val="20"/>
        <w:szCs w:val="20"/>
      </w:rPr>
    </w:pPr>
    <w:r w:rsidRPr="007C0F57">
      <w:rPr>
        <w:b/>
        <w:i/>
        <w:sz w:val="20"/>
        <w:szCs w:val="20"/>
      </w:rPr>
      <w:t>Commercial-in-Confidence</w:t>
    </w:r>
  </w:p>
  <w:p w14:paraId="36E9E30B" w14:textId="77777777" w:rsidR="00D4780A" w:rsidRDefault="00D478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C6EE" w14:textId="77777777" w:rsidR="00D4780A" w:rsidRDefault="00D4780A">
      <w:r>
        <w:separator/>
      </w:r>
    </w:p>
    <w:p w14:paraId="19947A18" w14:textId="77777777" w:rsidR="00D4780A" w:rsidRDefault="00D4780A"/>
  </w:footnote>
  <w:footnote w:type="continuationSeparator" w:id="0">
    <w:p w14:paraId="18D328F6" w14:textId="77777777" w:rsidR="00D4780A" w:rsidRDefault="00D4780A">
      <w:r>
        <w:continuationSeparator/>
      </w:r>
    </w:p>
    <w:p w14:paraId="77D73443" w14:textId="77777777" w:rsidR="00D4780A" w:rsidRDefault="00D4780A"/>
  </w:footnote>
  <w:footnote w:type="continuationNotice" w:id="1">
    <w:p w14:paraId="24E1EA74" w14:textId="77777777" w:rsidR="00D4780A" w:rsidRDefault="00D47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4780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D4780A" w:rsidRPr="00A06225" w:rsidRDefault="00D4780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D4780A" w:rsidRPr="00A06225" w:rsidRDefault="00D4780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D4780A" w:rsidRPr="00A06225" w:rsidRDefault="00D4780A">
          <w:pPr>
            <w:pStyle w:val="Header"/>
            <w:spacing w:line="276" w:lineRule="auto"/>
            <w:rPr>
              <w:rFonts w:ascii="Cambria" w:eastAsia="MS Gothic" w:hAnsi="Cambria"/>
              <w:b/>
              <w:bCs/>
              <w:color w:val="4F81BD"/>
            </w:rPr>
          </w:pPr>
        </w:p>
      </w:tc>
    </w:tr>
    <w:tr w:rsidR="00D4780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D4780A" w:rsidRPr="00A06225" w:rsidRDefault="00D4780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D4780A" w:rsidRPr="00A06225" w:rsidRDefault="00D4780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D4780A" w:rsidRPr="00A06225" w:rsidRDefault="00D4780A">
          <w:pPr>
            <w:pStyle w:val="Header"/>
            <w:spacing w:line="276" w:lineRule="auto"/>
            <w:rPr>
              <w:rFonts w:ascii="Cambria" w:eastAsia="MS Gothic" w:hAnsi="Cambria"/>
              <w:b/>
              <w:bCs/>
              <w:color w:val="4F81BD"/>
            </w:rPr>
          </w:pPr>
        </w:p>
      </w:tc>
    </w:tr>
  </w:tbl>
  <w:p w14:paraId="7DCC695F" w14:textId="77777777" w:rsidR="00D4780A" w:rsidRDefault="00D4780A">
    <w:pPr>
      <w:pStyle w:val="Header"/>
    </w:pPr>
  </w:p>
  <w:p w14:paraId="25F34A60" w14:textId="77777777" w:rsidR="00D4780A" w:rsidRDefault="00D478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B9F5" w14:textId="5597121B" w:rsidR="00D4780A" w:rsidRDefault="00E744FB" w:rsidP="001A1BA2">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w:t>
    </w:r>
    <w:r w:rsidR="001A1BA2">
      <w:rPr>
        <w:rFonts w:asciiTheme="minorHAnsi" w:hAnsiTheme="minorHAnsi" w:cstheme="minorHAnsi"/>
        <w:i/>
        <w:iCs/>
        <w:sz w:val="24"/>
        <w:szCs w:val="24"/>
      </w:rPr>
      <w:t xml:space="preserve"> </w:t>
    </w:r>
    <w:r w:rsidR="003466CD">
      <w:rPr>
        <w:rFonts w:asciiTheme="minorHAnsi" w:hAnsiTheme="minorHAnsi" w:cstheme="minorHAnsi"/>
        <w:i/>
        <w:iCs/>
        <w:sz w:val="24"/>
        <w:szCs w:val="24"/>
      </w:rPr>
      <w:t>–</w:t>
    </w:r>
    <w:r w:rsidR="001A1BA2">
      <w:rPr>
        <w:rFonts w:asciiTheme="minorHAnsi" w:hAnsiTheme="minorHAnsi" w:cstheme="minorHAnsi"/>
        <w:i/>
        <w:iCs/>
        <w:sz w:val="24"/>
        <w:szCs w:val="24"/>
      </w:rPr>
      <w:t xml:space="preserve"> </w:t>
    </w:r>
    <w:r w:rsidR="003466CD">
      <w:rPr>
        <w:rFonts w:asciiTheme="minorHAnsi" w:hAnsiTheme="minorHAnsi" w:cstheme="minorHAnsi"/>
        <w:i/>
        <w:iCs/>
        <w:sz w:val="24"/>
        <w:szCs w:val="24"/>
      </w:rPr>
      <w:t>March 2022 PBAC Meeting</w:t>
    </w:r>
  </w:p>
  <w:p w14:paraId="54FF90E5" w14:textId="1F9E66E2" w:rsidR="003466CD" w:rsidRDefault="003466CD" w:rsidP="001A1BA2">
    <w:pPr>
      <w:pStyle w:val="NoSpacing"/>
      <w:jc w:val="center"/>
      <w:rPr>
        <w:rFonts w:asciiTheme="minorHAnsi" w:hAnsiTheme="minorHAnsi" w:cstheme="minorHAnsi"/>
        <w:i/>
        <w:iCs/>
        <w:sz w:val="24"/>
        <w:szCs w:val="24"/>
      </w:rPr>
    </w:pPr>
  </w:p>
  <w:p w14:paraId="4B6B4C66" w14:textId="77777777" w:rsidR="003466CD" w:rsidRPr="001A1BA2" w:rsidRDefault="003466CD" w:rsidP="001A1BA2">
    <w:pPr>
      <w:pStyle w:val="NoSpacing"/>
      <w:jc w:val="center"/>
      <w:rPr>
        <w:rFonts w:asciiTheme="minorHAnsi" w:hAnsiTheme="minorHAnsi" w:cstheme="minorHAnsi"/>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2FB0A17"/>
    <w:multiLevelType w:val="hybridMultilevel"/>
    <w:tmpl w:val="340AE002"/>
    <w:lvl w:ilvl="0" w:tplc="E2A0A1DE">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3A9280E"/>
    <w:multiLevelType w:val="hybridMultilevel"/>
    <w:tmpl w:val="B4826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A02900"/>
    <w:multiLevelType w:val="hybridMultilevel"/>
    <w:tmpl w:val="2476215C"/>
    <w:lvl w:ilvl="0" w:tplc="E2A0A1DE">
      <w:numFmt w:val="bullet"/>
      <w:lvlText w:val=""/>
      <w:lvlJc w:val="left"/>
      <w:pPr>
        <w:ind w:left="180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777B4"/>
    <w:multiLevelType w:val="hybridMultilevel"/>
    <w:tmpl w:val="2D5EBF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CB49D3"/>
    <w:multiLevelType w:val="hybridMultilevel"/>
    <w:tmpl w:val="E48C7B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23F63E2"/>
    <w:multiLevelType w:val="hybridMultilevel"/>
    <w:tmpl w:val="34BA1136"/>
    <w:lvl w:ilvl="0" w:tplc="B98A727A">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9052175"/>
    <w:multiLevelType w:val="hybridMultilevel"/>
    <w:tmpl w:val="5A1448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9D35E3"/>
    <w:multiLevelType w:val="hybridMultilevel"/>
    <w:tmpl w:val="298A011E"/>
    <w:lvl w:ilvl="0" w:tplc="B98A727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5F612D"/>
    <w:multiLevelType w:val="hybridMultilevel"/>
    <w:tmpl w:val="545CD178"/>
    <w:lvl w:ilvl="0" w:tplc="C054014E">
      <w:start w:val="55"/>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E9608B0C"/>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BBB7FF1"/>
    <w:multiLevelType w:val="hybridMultilevel"/>
    <w:tmpl w:val="BD7485BC"/>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27"/>
  </w:num>
  <w:num w:numId="3">
    <w:abstractNumId w:val="0"/>
  </w:num>
  <w:num w:numId="4">
    <w:abstractNumId w:val="20"/>
  </w:num>
  <w:num w:numId="5">
    <w:abstractNumId w:val="29"/>
  </w:num>
  <w:num w:numId="6">
    <w:abstractNumId w:val="25"/>
  </w:num>
  <w:num w:numId="7">
    <w:abstractNumId w:val="17"/>
  </w:num>
  <w:num w:numId="8">
    <w:abstractNumId w:val="15"/>
  </w:num>
  <w:num w:numId="9">
    <w:abstractNumId w:val="1"/>
  </w:num>
  <w:num w:numId="10">
    <w:abstractNumId w:val="27"/>
  </w:num>
  <w:num w:numId="11">
    <w:abstractNumId w:val="24"/>
  </w:num>
  <w:num w:numId="12">
    <w:abstractNumId w:val="26"/>
  </w:num>
  <w:num w:numId="13">
    <w:abstractNumId w:val="11"/>
  </w:num>
  <w:num w:numId="14">
    <w:abstractNumId w:val="8"/>
  </w:num>
  <w:num w:numId="15">
    <w:abstractNumId w:val="21"/>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9"/>
  </w:num>
  <w:num w:numId="20">
    <w:abstractNumId w:val="6"/>
  </w:num>
  <w:num w:numId="21">
    <w:abstractNumId w:val="5"/>
  </w:num>
  <w:num w:numId="22">
    <w:abstractNumId w:val="16"/>
  </w:num>
  <w:num w:numId="23">
    <w:abstractNumId w:val="4"/>
  </w:num>
  <w:num w:numId="24">
    <w:abstractNumId w:val="22"/>
  </w:num>
  <w:num w:numId="25">
    <w:abstractNumId w:val="14"/>
  </w:num>
  <w:num w:numId="26">
    <w:abstractNumId w:val="3"/>
  </w:num>
  <w:num w:numId="27">
    <w:abstractNumId w:val="7"/>
  </w:num>
  <w:num w:numId="28">
    <w:abstractNumId w:val="10"/>
  </w:num>
  <w:num w:numId="29">
    <w:abstractNumId w:val="9"/>
  </w:num>
  <w:num w:numId="30">
    <w:abstractNumId w:val="27"/>
  </w:num>
  <w:num w:numId="31">
    <w:abstractNumId w:val="18"/>
  </w:num>
  <w:num w:numId="32">
    <w:abstractNumId w:val="12"/>
  </w:num>
  <w:num w:numId="33">
    <w:abstractNumId w:val="27"/>
  </w:num>
  <w:num w:numId="34">
    <w:abstractNumId w:val="27"/>
  </w:num>
  <w:num w:numId="35">
    <w:abstractNumId w:val="27"/>
  </w:num>
  <w:num w:numId="36">
    <w:abstractNumId w:val="27"/>
  </w:num>
  <w:num w:numId="37">
    <w:abstractNumId w:val="27"/>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53F6"/>
    <w:rsid w:val="00016A41"/>
    <w:rsid w:val="00016BEA"/>
    <w:rsid w:val="000214D1"/>
    <w:rsid w:val="0002464A"/>
    <w:rsid w:val="00025A04"/>
    <w:rsid w:val="0002693D"/>
    <w:rsid w:val="0003050E"/>
    <w:rsid w:val="0003106B"/>
    <w:rsid w:val="00034905"/>
    <w:rsid w:val="00034D5C"/>
    <w:rsid w:val="00040A30"/>
    <w:rsid w:val="000421A1"/>
    <w:rsid w:val="0004240E"/>
    <w:rsid w:val="00044EC4"/>
    <w:rsid w:val="00045E26"/>
    <w:rsid w:val="00046903"/>
    <w:rsid w:val="000514B5"/>
    <w:rsid w:val="0005322E"/>
    <w:rsid w:val="00054E2B"/>
    <w:rsid w:val="00060E64"/>
    <w:rsid w:val="000621AB"/>
    <w:rsid w:val="00062E88"/>
    <w:rsid w:val="00066193"/>
    <w:rsid w:val="00066755"/>
    <w:rsid w:val="00070D7A"/>
    <w:rsid w:val="00071A5B"/>
    <w:rsid w:val="00072730"/>
    <w:rsid w:val="0007337F"/>
    <w:rsid w:val="00073B5C"/>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02F8"/>
    <w:rsid w:val="000A3AA2"/>
    <w:rsid w:val="000A44B2"/>
    <w:rsid w:val="000A52F6"/>
    <w:rsid w:val="000A58B8"/>
    <w:rsid w:val="000B44C3"/>
    <w:rsid w:val="000B558D"/>
    <w:rsid w:val="000B5A89"/>
    <w:rsid w:val="000B65F6"/>
    <w:rsid w:val="000B7767"/>
    <w:rsid w:val="000C1AFF"/>
    <w:rsid w:val="000C5F95"/>
    <w:rsid w:val="000C6996"/>
    <w:rsid w:val="000C7C46"/>
    <w:rsid w:val="000D09E9"/>
    <w:rsid w:val="000D113F"/>
    <w:rsid w:val="000D23BA"/>
    <w:rsid w:val="000D3987"/>
    <w:rsid w:val="000E19B7"/>
    <w:rsid w:val="000E20FC"/>
    <w:rsid w:val="000E3DFB"/>
    <w:rsid w:val="000E5EA1"/>
    <w:rsid w:val="000E681E"/>
    <w:rsid w:val="000E696B"/>
    <w:rsid w:val="000E7E52"/>
    <w:rsid w:val="000E7E90"/>
    <w:rsid w:val="000EE1C7"/>
    <w:rsid w:val="000F0003"/>
    <w:rsid w:val="000F3384"/>
    <w:rsid w:val="000F4E6A"/>
    <w:rsid w:val="000F7354"/>
    <w:rsid w:val="00101ABE"/>
    <w:rsid w:val="00102202"/>
    <w:rsid w:val="00102700"/>
    <w:rsid w:val="00102A78"/>
    <w:rsid w:val="00103118"/>
    <w:rsid w:val="00103F1B"/>
    <w:rsid w:val="00104227"/>
    <w:rsid w:val="001053D5"/>
    <w:rsid w:val="001105A5"/>
    <w:rsid w:val="001107BF"/>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11AE"/>
    <w:rsid w:val="001366C2"/>
    <w:rsid w:val="00136C17"/>
    <w:rsid w:val="00140B74"/>
    <w:rsid w:val="00140D94"/>
    <w:rsid w:val="00142395"/>
    <w:rsid w:val="00142714"/>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55"/>
    <w:rsid w:val="001860E5"/>
    <w:rsid w:val="0018643B"/>
    <w:rsid w:val="00196307"/>
    <w:rsid w:val="00197C70"/>
    <w:rsid w:val="00197F03"/>
    <w:rsid w:val="001A0D10"/>
    <w:rsid w:val="001A1BA2"/>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A0F"/>
    <w:rsid w:val="001C2E42"/>
    <w:rsid w:val="001D1F5F"/>
    <w:rsid w:val="001E06D2"/>
    <w:rsid w:val="001E17C4"/>
    <w:rsid w:val="001E2D65"/>
    <w:rsid w:val="001F005B"/>
    <w:rsid w:val="001F1850"/>
    <w:rsid w:val="001F1FBF"/>
    <w:rsid w:val="001F2311"/>
    <w:rsid w:val="001F2B80"/>
    <w:rsid w:val="001F2F1C"/>
    <w:rsid w:val="001F3189"/>
    <w:rsid w:val="00200BE7"/>
    <w:rsid w:val="00200BEA"/>
    <w:rsid w:val="00201FB8"/>
    <w:rsid w:val="00203EAF"/>
    <w:rsid w:val="00203FAC"/>
    <w:rsid w:val="00211E09"/>
    <w:rsid w:val="002133FB"/>
    <w:rsid w:val="00213CFB"/>
    <w:rsid w:val="0021553C"/>
    <w:rsid w:val="0021557B"/>
    <w:rsid w:val="00216B87"/>
    <w:rsid w:val="002174FD"/>
    <w:rsid w:val="00217BE1"/>
    <w:rsid w:val="002214B9"/>
    <w:rsid w:val="00222680"/>
    <w:rsid w:val="00223370"/>
    <w:rsid w:val="00227005"/>
    <w:rsid w:val="00227BC5"/>
    <w:rsid w:val="00230F63"/>
    <w:rsid w:val="00234252"/>
    <w:rsid w:val="0023466E"/>
    <w:rsid w:val="00237AC6"/>
    <w:rsid w:val="00242BFD"/>
    <w:rsid w:val="00244139"/>
    <w:rsid w:val="00244490"/>
    <w:rsid w:val="00244BEC"/>
    <w:rsid w:val="00245B9C"/>
    <w:rsid w:val="00252587"/>
    <w:rsid w:val="00253499"/>
    <w:rsid w:val="002551A4"/>
    <w:rsid w:val="00257664"/>
    <w:rsid w:val="00260165"/>
    <w:rsid w:val="00263554"/>
    <w:rsid w:val="00265151"/>
    <w:rsid w:val="00265C2C"/>
    <w:rsid w:val="00266509"/>
    <w:rsid w:val="00271BA1"/>
    <w:rsid w:val="002736B4"/>
    <w:rsid w:val="00273AC5"/>
    <w:rsid w:val="002762FA"/>
    <w:rsid w:val="00277505"/>
    <w:rsid w:val="002775B2"/>
    <w:rsid w:val="00277873"/>
    <w:rsid w:val="0028158C"/>
    <w:rsid w:val="002823B6"/>
    <w:rsid w:val="002860EA"/>
    <w:rsid w:val="00290C03"/>
    <w:rsid w:val="00292E3B"/>
    <w:rsid w:val="002933A8"/>
    <w:rsid w:val="00294274"/>
    <w:rsid w:val="002942F1"/>
    <w:rsid w:val="0029458F"/>
    <w:rsid w:val="00297A63"/>
    <w:rsid w:val="002A018F"/>
    <w:rsid w:val="002A0E04"/>
    <w:rsid w:val="002A104C"/>
    <w:rsid w:val="002A1EF7"/>
    <w:rsid w:val="002A2B7B"/>
    <w:rsid w:val="002A4728"/>
    <w:rsid w:val="002A494D"/>
    <w:rsid w:val="002A4960"/>
    <w:rsid w:val="002A636A"/>
    <w:rsid w:val="002A755F"/>
    <w:rsid w:val="002B0AE0"/>
    <w:rsid w:val="002B1AE6"/>
    <w:rsid w:val="002B1B85"/>
    <w:rsid w:val="002B1D51"/>
    <w:rsid w:val="002B2DE8"/>
    <w:rsid w:val="002B30F8"/>
    <w:rsid w:val="002B388A"/>
    <w:rsid w:val="002B3BFE"/>
    <w:rsid w:val="002B3C1A"/>
    <w:rsid w:val="002B5596"/>
    <w:rsid w:val="002B77D7"/>
    <w:rsid w:val="002C212F"/>
    <w:rsid w:val="002C2F35"/>
    <w:rsid w:val="002C6AA9"/>
    <w:rsid w:val="002C7485"/>
    <w:rsid w:val="002D1B37"/>
    <w:rsid w:val="002D2641"/>
    <w:rsid w:val="002D283A"/>
    <w:rsid w:val="002D4543"/>
    <w:rsid w:val="002E022A"/>
    <w:rsid w:val="002E3153"/>
    <w:rsid w:val="002E4A02"/>
    <w:rsid w:val="002E5292"/>
    <w:rsid w:val="002E72CA"/>
    <w:rsid w:val="002E75DD"/>
    <w:rsid w:val="002F1D07"/>
    <w:rsid w:val="002F3AB3"/>
    <w:rsid w:val="002F5C5B"/>
    <w:rsid w:val="002F600D"/>
    <w:rsid w:val="002F6F0F"/>
    <w:rsid w:val="002F7E47"/>
    <w:rsid w:val="00300AD6"/>
    <w:rsid w:val="00300B1B"/>
    <w:rsid w:val="003019D0"/>
    <w:rsid w:val="003019D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3FB7"/>
    <w:rsid w:val="003466CD"/>
    <w:rsid w:val="003476EE"/>
    <w:rsid w:val="003541DD"/>
    <w:rsid w:val="00356E5B"/>
    <w:rsid w:val="00360887"/>
    <w:rsid w:val="0036249F"/>
    <w:rsid w:val="00362CD7"/>
    <w:rsid w:val="00371246"/>
    <w:rsid w:val="003736C9"/>
    <w:rsid w:val="00375635"/>
    <w:rsid w:val="0038024F"/>
    <w:rsid w:val="00383B77"/>
    <w:rsid w:val="00384988"/>
    <w:rsid w:val="003872CF"/>
    <w:rsid w:val="003874CB"/>
    <w:rsid w:val="0039782C"/>
    <w:rsid w:val="003A13A6"/>
    <w:rsid w:val="003A2165"/>
    <w:rsid w:val="003A3AF3"/>
    <w:rsid w:val="003A5B4A"/>
    <w:rsid w:val="003A5D95"/>
    <w:rsid w:val="003A6510"/>
    <w:rsid w:val="003A74E2"/>
    <w:rsid w:val="003B0D3A"/>
    <w:rsid w:val="003B2302"/>
    <w:rsid w:val="003B23C5"/>
    <w:rsid w:val="003B2A75"/>
    <w:rsid w:val="003B49B2"/>
    <w:rsid w:val="003B6124"/>
    <w:rsid w:val="003B71AC"/>
    <w:rsid w:val="003B7960"/>
    <w:rsid w:val="003C0908"/>
    <w:rsid w:val="003C093A"/>
    <w:rsid w:val="003C1ECF"/>
    <w:rsid w:val="003C2FB5"/>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571"/>
    <w:rsid w:val="003F5C8C"/>
    <w:rsid w:val="003F63CE"/>
    <w:rsid w:val="003F775A"/>
    <w:rsid w:val="00400E55"/>
    <w:rsid w:val="0040128E"/>
    <w:rsid w:val="0040216B"/>
    <w:rsid w:val="0040590E"/>
    <w:rsid w:val="00407CC8"/>
    <w:rsid w:val="00414F0C"/>
    <w:rsid w:val="00420400"/>
    <w:rsid w:val="00423E78"/>
    <w:rsid w:val="004252EC"/>
    <w:rsid w:val="00430D39"/>
    <w:rsid w:val="00431B22"/>
    <w:rsid w:val="0044027E"/>
    <w:rsid w:val="00442C91"/>
    <w:rsid w:val="004465BD"/>
    <w:rsid w:val="00446938"/>
    <w:rsid w:val="004528FA"/>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8782B"/>
    <w:rsid w:val="004904B9"/>
    <w:rsid w:val="00491D2B"/>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0B4B"/>
    <w:rsid w:val="004C1BD7"/>
    <w:rsid w:val="004C239C"/>
    <w:rsid w:val="004C31FE"/>
    <w:rsid w:val="004C524C"/>
    <w:rsid w:val="004C5EDD"/>
    <w:rsid w:val="004C5FFA"/>
    <w:rsid w:val="004C691D"/>
    <w:rsid w:val="004C6C07"/>
    <w:rsid w:val="004C701D"/>
    <w:rsid w:val="004C7E15"/>
    <w:rsid w:val="004D2CD1"/>
    <w:rsid w:val="004D4CA4"/>
    <w:rsid w:val="004D4FF6"/>
    <w:rsid w:val="004D5ADD"/>
    <w:rsid w:val="004E692D"/>
    <w:rsid w:val="004E7230"/>
    <w:rsid w:val="004E7D87"/>
    <w:rsid w:val="004F2553"/>
    <w:rsid w:val="004F306A"/>
    <w:rsid w:val="00501554"/>
    <w:rsid w:val="00502AFE"/>
    <w:rsid w:val="00502E64"/>
    <w:rsid w:val="00503AD7"/>
    <w:rsid w:val="00503E89"/>
    <w:rsid w:val="00504E0C"/>
    <w:rsid w:val="00504E13"/>
    <w:rsid w:val="005109D4"/>
    <w:rsid w:val="00510F8B"/>
    <w:rsid w:val="0051166F"/>
    <w:rsid w:val="0051230A"/>
    <w:rsid w:val="00513820"/>
    <w:rsid w:val="00514CD7"/>
    <w:rsid w:val="005167EC"/>
    <w:rsid w:val="005170DA"/>
    <w:rsid w:val="00520D6A"/>
    <w:rsid w:val="00522DB6"/>
    <w:rsid w:val="005264A7"/>
    <w:rsid w:val="0052792D"/>
    <w:rsid w:val="005319B2"/>
    <w:rsid w:val="00532402"/>
    <w:rsid w:val="00532C74"/>
    <w:rsid w:val="00533239"/>
    <w:rsid w:val="00533BE3"/>
    <w:rsid w:val="00534E2E"/>
    <w:rsid w:val="00535133"/>
    <w:rsid w:val="00535659"/>
    <w:rsid w:val="0053795D"/>
    <w:rsid w:val="0054064C"/>
    <w:rsid w:val="00544552"/>
    <w:rsid w:val="00545130"/>
    <w:rsid w:val="00546B36"/>
    <w:rsid w:val="0055286A"/>
    <w:rsid w:val="00555745"/>
    <w:rsid w:val="00557D4F"/>
    <w:rsid w:val="0056122E"/>
    <w:rsid w:val="0056484E"/>
    <w:rsid w:val="00565999"/>
    <w:rsid w:val="00567D8A"/>
    <w:rsid w:val="00570231"/>
    <w:rsid w:val="005709B4"/>
    <w:rsid w:val="005764CD"/>
    <w:rsid w:val="00577C4D"/>
    <w:rsid w:val="00580532"/>
    <w:rsid w:val="00581932"/>
    <w:rsid w:val="005903BB"/>
    <w:rsid w:val="00593893"/>
    <w:rsid w:val="005963BB"/>
    <w:rsid w:val="005A0B3D"/>
    <w:rsid w:val="005A15D2"/>
    <w:rsid w:val="005A3173"/>
    <w:rsid w:val="005A3223"/>
    <w:rsid w:val="005A3DA3"/>
    <w:rsid w:val="005A52C4"/>
    <w:rsid w:val="005A63A1"/>
    <w:rsid w:val="005B0486"/>
    <w:rsid w:val="005B1473"/>
    <w:rsid w:val="005B36FA"/>
    <w:rsid w:val="005C4F73"/>
    <w:rsid w:val="005D03AB"/>
    <w:rsid w:val="005D401D"/>
    <w:rsid w:val="005D5017"/>
    <w:rsid w:val="005D5708"/>
    <w:rsid w:val="005D63FA"/>
    <w:rsid w:val="005D73C7"/>
    <w:rsid w:val="005E0C2D"/>
    <w:rsid w:val="005E0D82"/>
    <w:rsid w:val="005E0F59"/>
    <w:rsid w:val="005E1333"/>
    <w:rsid w:val="005E3136"/>
    <w:rsid w:val="005E507D"/>
    <w:rsid w:val="005F0AD0"/>
    <w:rsid w:val="005F112F"/>
    <w:rsid w:val="00601A91"/>
    <w:rsid w:val="00602BA3"/>
    <w:rsid w:val="00605B63"/>
    <w:rsid w:val="00605F9A"/>
    <w:rsid w:val="00606442"/>
    <w:rsid w:val="00606EED"/>
    <w:rsid w:val="00610232"/>
    <w:rsid w:val="00612A95"/>
    <w:rsid w:val="00612E34"/>
    <w:rsid w:val="00614159"/>
    <w:rsid w:val="006158A3"/>
    <w:rsid w:val="00616C5F"/>
    <w:rsid w:val="00616DAC"/>
    <w:rsid w:val="00617725"/>
    <w:rsid w:val="00617C00"/>
    <w:rsid w:val="00621B52"/>
    <w:rsid w:val="00623920"/>
    <w:rsid w:val="006263BF"/>
    <w:rsid w:val="0062748A"/>
    <w:rsid w:val="00630546"/>
    <w:rsid w:val="006306D9"/>
    <w:rsid w:val="00630A2C"/>
    <w:rsid w:val="00634A75"/>
    <w:rsid w:val="0063682E"/>
    <w:rsid w:val="00640088"/>
    <w:rsid w:val="00642672"/>
    <w:rsid w:val="00642DA8"/>
    <w:rsid w:val="006436CD"/>
    <w:rsid w:val="00651169"/>
    <w:rsid w:val="00653D69"/>
    <w:rsid w:val="006552E6"/>
    <w:rsid w:val="00655794"/>
    <w:rsid w:val="00656F2F"/>
    <w:rsid w:val="00657C63"/>
    <w:rsid w:val="00661CBC"/>
    <w:rsid w:val="00662B85"/>
    <w:rsid w:val="006670BE"/>
    <w:rsid w:val="00670A76"/>
    <w:rsid w:val="006711AA"/>
    <w:rsid w:val="00672B57"/>
    <w:rsid w:val="00673F1F"/>
    <w:rsid w:val="00675622"/>
    <w:rsid w:val="0067747D"/>
    <w:rsid w:val="006818D5"/>
    <w:rsid w:val="00681CA4"/>
    <w:rsid w:val="0068271C"/>
    <w:rsid w:val="0068657A"/>
    <w:rsid w:val="0069039D"/>
    <w:rsid w:val="006906DB"/>
    <w:rsid w:val="00691900"/>
    <w:rsid w:val="00691E6C"/>
    <w:rsid w:val="0069342D"/>
    <w:rsid w:val="00693DFB"/>
    <w:rsid w:val="00694FD5"/>
    <w:rsid w:val="0069501D"/>
    <w:rsid w:val="00696129"/>
    <w:rsid w:val="00697CF2"/>
    <w:rsid w:val="006A12A5"/>
    <w:rsid w:val="006A2515"/>
    <w:rsid w:val="006A5E20"/>
    <w:rsid w:val="006B0D94"/>
    <w:rsid w:val="006B147C"/>
    <w:rsid w:val="006B16B6"/>
    <w:rsid w:val="006B485D"/>
    <w:rsid w:val="006C0C45"/>
    <w:rsid w:val="006C1513"/>
    <w:rsid w:val="006C334C"/>
    <w:rsid w:val="006C6C10"/>
    <w:rsid w:val="006C708E"/>
    <w:rsid w:val="006D14E7"/>
    <w:rsid w:val="006D4444"/>
    <w:rsid w:val="006D4D02"/>
    <w:rsid w:val="006D6493"/>
    <w:rsid w:val="006D6EC7"/>
    <w:rsid w:val="006D7E45"/>
    <w:rsid w:val="006E1143"/>
    <w:rsid w:val="006E1BCD"/>
    <w:rsid w:val="006E2732"/>
    <w:rsid w:val="006E59CD"/>
    <w:rsid w:val="006F0A71"/>
    <w:rsid w:val="006F13C3"/>
    <w:rsid w:val="006F1C6B"/>
    <w:rsid w:val="006F40C2"/>
    <w:rsid w:val="006F5125"/>
    <w:rsid w:val="006F6755"/>
    <w:rsid w:val="006F733D"/>
    <w:rsid w:val="00700765"/>
    <w:rsid w:val="00702959"/>
    <w:rsid w:val="00702B6F"/>
    <w:rsid w:val="007030B4"/>
    <w:rsid w:val="00703B86"/>
    <w:rsid w:val="00704069"/>
    <w:rsid w:val="00706A2F"/>
    <w:rsid w:val="0070718E"/>
    <w:rsid w:val="00707E52"/>
    <w:rsid w:val="00710259"/>
    <w:rsid w:val="0071031F"/>
    <w:rsid w:val="00710737"/>
    <w:rsid w:val="00711AD5"/>
    <w:rsid w:val="0071340B"/>
    <w:rsid w:val="00713C50"/>
    <w:rsid w:val="0071436D"/>
    <w:rsid w:val="00715BBB"/>
    <w:rsid w:val="007174BB"/>
    <w:rsid w:val="0072025D"/>
    <w:rsid w:val="00723328"/>
    <w:rsid w:val="007237DE"/>
    <w:rsid w:val="0072502E"/>
    <w:rsid w:val="0073137C"/>
    <w:rsid w:val="007340B9"/>
    <w:rsid w:val="007353D3"/>
    <w:rsid w:val="00735A48"/>
    <w:rsid w:val="0074156B"/>
    <w:rsid w:val="00741619"/>
    <w:rsid w:val="00741C90"/>
    <w:rsid w:val="00742885"/>
    <w:rsid w:val="00747092"/>
    <w:rsid w:val="007526E6"/>
    <w:rsid w:val="00754DF9"/>
    <w:rsid w:val="007555E8"/>
    <w:rsid w:val="00755CC5"/>
    <w:rsid w:val="0075655C"/>
    <w:rsid w:val="00762862"/>
    <w:rsid w:val="0076420C"/>
    <w:rsid w:val="00771D07"/>
    <w:rsid w:val="00771F85"/>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247"/>
    <w:rsid w:val="00796667"/>
    <w:rsid w:val="00797068"/>
    <w:rsid w:val="007979BD"/>
    <w:rsid w:val="007A5C88"/>
    <w:rsid w:val="007A6A2F"/>
    <w:rsid w:val="007B024E"/>
    <w:rsid w:val="007B3BAF"/>
    <w:rsid w:val="007B3DDC"/>
    <w:rsid w:val="007B72A6"/>
    <w:rsid w:val="007C06D2"/>
    <w:rsid w:val="007C08E0"/>
    <w:rsid w:val="007C0F57"/>
    <w:rsid w:val="007C40B6"/>
    <w:rsid w:val="007C5975"/>
    <w:rsid w:val="007C729F"/>
    <w:rsid w:val="007D503D"/>
    <w:rsid w:val="007D59E7"/>
    <w:rsid w:val="007D5F2A"/>
    <w:rsid w:val="007D600D"/>
    <w:rsid w:val="007E07AC"/>
    <w:rsid w:val="007E1014"/>
    <w:rsid w:val="007E10EA"/>
    <w:rsid w:val="007E12F8"/>
    <w:rsid w:val="007E1D28"/>
    <w:rsid w:val="007E490F"/>
    <w:rsid w:val="007F0021"/>
    <w:rsid w:val="007F2641"/>
    <w:rsid w:val="007F3043"/>
    <w:rsid w:val="007F7C36"/>
    <w:rsid w:val="007F7F45"/>
    <w:rsid w:val="0080001F"/>
    <w:rsid w:val="00801958"/>
    <w:rsid w:val="0080530B"/>
    <w:rsid w:val="008055AF"/>
    <w:rsid w:val="008057CD"/>
    <w:rsid w:val="008066B8"/>
    <w:rsid w:val="00806796"/>
    <w:rsid w:val="00810167"/>
    <w:rsid w:val="008104D0"/>
    <w:rsid w:val="00811CC0"/>
    <w:rsid w:val="008151D6"/>
    <w:rsid w:val="00817A85"/>
    <w:rsid w:val="00820803"/>
    <w:rsid w:val="00821527"/>
    <w:rsid w:val="00822696"/>
    <w:rsid w:val="0082370C"/>
    <w:rsid w:val="00825A6C"/>
    <w:rsid w:val="0082617E"/>
    <w:rsid w:val="008268BB"/>
    <w:rsid w:val="00826F6D"/>
    <w:rsid w:val="008306F3"/>
    <w:rsid w:val="00830E40"/>
    <w:rsid w:val="00831B13"/>
    <w:rsid w:val="00832D9A"/>
    <w:rsid w:val="00835C62"/>
    <w:rsid w:val="008368A1"/>
    <w:rsid w:val="00840EF7"/>
    <w:rsid w:val="00844C0A"/>
    <w:rsid w:val="00845F42"/>
    <w:rsid w:val="00846056"/>
    <w:rsid w:val="0084681F"/>
    <w:rsid w:val="00847D08"/>
    <w:rsid w:val="00847EC0"/>
    <w:rsid w:val="00855FD6"/>
    <w:rsid w:val="00856DDD"/>
    <w:rsid w:val="00860233"/>
    <w:rsid w:val="00862BCF"/>
    <w:rsid w:val="00863E68"/>
    <w:rsid w:val="008647B5"/>
    <w:rsid w:val="00865354"/>
    <w:rsid w:val="00867D64"/>
    <w:rsid w:val="00872E8F"/>
    <w:rsid w:val="00875DCB"/>
    <w:rsid w:val="00876FBF"/>
    <w:rsid w:val="0087755A"/>
    <w:rsid w:val="00882085"/>
    <w:rsid w:val="00883188"/>
    <w:rsid w:val="00884A0C"/>
    <w:rsid w:val="00884D5C"/>
    <w:rsid w:val="00886ACA"/>
    <w:rsid w:val="00886B01"/>
    <w:rsid w:val="0089031E"/>
    <w:rsid w:val="0089109A"/>
    <w:rsid w:val="00893D5C"/>
    <w:rsid w:val="0089460B"/>
    <w:rsid w:val="00897D58"/>
    <w:rsid w:val="00897F22"/>
    <w:rsid w:val="008A0B39"/>
    <w:rsid w:val="008A17A3"/>
    <w:rsid w:val="008A1956"/>
    <w:rsid w:val="008A1E85"/>
    <w:rsid w:val="008A2419"/>
    <w:rsid w:val="008A3C59"/>
    <w:rsid w:val="008A4937"/>
    <w:rsid w:val="008A50F1"/>
    <w:rsid w:val="008A59D9"/>
    <w:rsid w:val="008A6324"/>
    <w:rsid w:val="008A643E"/>
    <w:rsid w:val="008A6819"/>
    <w:rsid w:val="008B007A"/>
    <w:rsid w:val="008B1E97"/>
    <w:rsid w:val="008B2EC0"/>
    <w:rsid w:val="008B6DCF"/>
    <w:rsid w:val="008C3188"/>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762"/>
    <w:rsid w:val="00913C99"/>
    <w:rsid w:val="00917D69"/>
    <w:rsid w:val="00920B6D"/>
    <w:rsid w:val="00926560"/>
    <w:rsid w:val="00926B15"/>
    <w:rsid w:val="00930291"/>
    <w:rsid w:val="00930937"/>
    <w:rsid w:val="009324A6"/>
    <w:rsid w:val="00932F37"/>
    <w:rsid w:val="00933B7D"/>
    <w:rsid w:val="00933E6C"/>
    <w:rsid w:val="00935A6E"/>
    <w:rsid w:val="0093641E"/>
    <w:rsid w:val="00937958"/>
    <w:rsid w:val="009406E5"/>
    <w:rsid w:val="00941602"/>
    <w:rsid w:val="00942160"/>
    <w:rsid w:val="00946921"/>
    <w:rsid w:val="00947343"/>
    <w:rsid w:val="0095146F"/>
    <w:rsid w:val="009534C7"/>
    <w:rsid w:val="00957944"/>
    <w:rsid w:val="009602C5"/>
    <w:rsid w:val="00962223"/>
    <w:rsid w:val="0096252B"/>
    <w:rsid w:val="009644D9"/>
    <w:rsid w:val="00964A9F"/>
    <w:rsid w:val="00966D0D"/>
    <w:rsid w:val="00967732"/>
    <w:rsid w:val="0096783C"/>
    <w:rsid w:val="00970023"/>
    <w:rsid w:val="009722B3"/>
    <w:rsid w:val="00973E24"/>
    <w:rsid w:val="00974C21"/>
    <w:rsid w:val="00975450"/>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3E64"/>
    <w:rsid w:val="0099465B"/>
    <w:rsid w:val="009951A1"/>
    <w:rsid w:val="00997A44"/>
    <w:rsid w:val="009A0CDD"/>
    <w:rsid w:val="009A3168"/>
    <w:rsid w:val="009A4BDF"/>
    <w:rsid w:val="009A5D04"/>
    <w:rsid w:val="009A61CA"/>
    <w:rsid w:val="009B0C64"/>
    <w:rsid w:val="009B0F67"/>
    <w:rsid w:val="009B208A"/>
    <w:rsid w:val="009B2756"/>
    <w:rsid w:val="009B3D56"/>
    <w:rsid w:val="009B3F8C"/>
    <w:rsid w:val="009B533B"/>
    <w:rsid w:val="009C05AC"/>
    <w:rsid w:val="009C480C"/>
    <w:rsid w:val="009C703C"/>
    <w:rsid w:val="009D0C29"/>
    <w:rsid w:val="009D206E"/>
    <w:rsid w:val="009D3CAA"/>
    <w:rsid w:val="009D507A"/>
    <w:rsid w:val="009D6532"/>
    <w:rsid w:val="009D71FD"/>
    <w:rsid w:val="009E06F0"/>
    <w:rsid w:val="009E0755"/>
    <w:rsid w:val="009E10AD"/>
    <w:rsid w:val="009E2588"/>
    <w:rsid w:val="009E2E8E"/>
    <w:rsid w:val="009E40E1"/>
    <w:rsid w:val="009E5854"/>
    <w:rsid w:val="009F0EFA"/>
    <w:rsid w:val="009F4E46"/>
    <w:rsid w:val="009F5B65"/>
    <w:rsid w:val="009F5F2E"/>
    <w:rsid w:val="009F7FB9"/>
    <w:rsid w:val="00A010F0"/>
    <w:rsid w:val="00A01432"/>
    <w:rsid w:val="00A06225"/>
    <w:rsid w:val="00A06F88"/>
    <w:rsid w:val="00A110D1"/>
    <w:rsid w:val="00A12587"/>
    <w:rsid w:val="00A128E6"/>
    <w:rsid w:val="00A144D3"/>
    <w:rsid w:val="00A21D7D"/>
    <w:rsid w:val="00A22AC3"/>
    <w:rsid w:val="00A2351E"/>
    <w:rsid w:val="00A23F3F"/>
    <w:rsid w:val="00A24067"/>
    <w:rsid w:val="00A24A4B"/>
    <w:rsid w:val="00A2744D"/>
    <w:rsid w:val="00A30D16"/>
    <w:rsid w:val="00A33EB7"/>
    <w:rsid w:val="00A344F6"/>
    <w:rsid w:val="00A34E6C"/>
    <w:rsid w:val="00A34FD0"/>
    <w:rsid w:val="00A36398"/>
    <w:rsid w:val="00A372EF"/>
    <w:rsid w:val="00A37C8D"/>
    <w:rsid w:val="00A4020E"/>
    <w:rsid w:val="00A408E8"/>
    <w:rsid w:val="00A40FB5"/>
    <w:rsid w:val="00A42826"/>
    <w:rsid w:val="00A429B3"/>
    <w:rsid w:val="00A44EC1"/>
    <w:rsid w:val="00A510E4"/>
    <w:rsid w:val="00A526F7"/>
    <w:rsid w:val="00A5273B"/>
    <w:rsid w:val="00A53A9D"/>
    <w:rsid w:val="00A55FEE"/>
    <w:rsid w:val="00A57422"/>
    <w:rsid w:val="00A62815"/>
    <w:rsid w:val="00A62C1A"/>
    <w:rsid w:val="00A63CA2"/>
    <w:rsid w:val="00A6426D"/>
    <w:rsid w:val="00A665C1"/>
    <w:rsid w:val="00A673A4"/>
    <w:rsid w:val="00A7001A"/>
    <w:rsid w:val="00A70622"/>
    <w:rsid w:val="00A70977"/>
    <w:rsid w:val="00A70D58"/>
    <w:rsid w:val="00A744F9"/>
    <w:rsid w:val="00A74955"/>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4684"/>
    <w:rsid w:val="00AB5856"/>
    <w:rsid w:val="00AC081D"/>
    <w:rsid w:val="00AC0C6F"/>
    <w:rsid w:val="00AC1266"/>
    <w:rsid w:val="00AC193C"/>
    <w:rsid w:val="00AC30C1"/>
    <w:rsid w:val="00AC4DE5"/>
    <w:rsid w:val="00AC5206"/>
    <w:rsid w:val="00AC79D9"/>
    <w:rsid w:val="00AD3106"/>
    <w:rsid w:val="00AD4322"/>
    <w:rsid w:val="00AD49A4"/>
    <w:rsid w:val="00AE11A5"/>
    <w:rsid w:val="00AE13E2"/>
    <w:rsid w:val="00AE2067"/>
    <w:rsid w:val="00AE22D3"/>
    <w:rsid w:val="00AE5A49"/>
    <w:rsid w:val="00AF11D8"/>
    <w:rsid w:val="00AF5867"/>
    <w:rsid w:val="00AF62DF"/>
    <w:rsid w:val="00AF68CC"/>
    <w:rsid w:val="00AF70D7"/>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7A23"/>
    <w:rsid w:val="00B37CF8"/>
    <w:rsid w:val="00B37FDD"/>
    <w:rsid w:val="00B42AF4"/>
    <w:rsid w:val="00B43E90"/>
    <w:rsid w:val="00B44308"/>
    <w:rsid w:val="00B45722"/>
    <w:rsid w:val="00B467DC"/>
    <w:rsid w:val="00B52303"/>
    <w:rsid w:val="00B5392A"/>
    <w:rsid w:val="00B539EF"/>
    <w:rsid w:val="00B56118"/>
    <w:rsid w:val="00B566E1"/>
    <w:rsid w:val="00B56AFB"/>
    <w:rsid w:val="00B602F6"/>
    <w:rsid w:val="00B64A96"/>
    <w:rsid w:val="00B6773F"/>
    <w:rsid w:val="00B70EB3"/>
    <w:rsid w:val="00B72906"/>
    <w:rsid w:val="00B74F48"/>
    <w:rsid w:val="00B7525E"/>
    <w:rsid w:val="00B75433"/>
    <w:rsid w:val="00B760FB"/>
    <w:rsid w:val="00B76765"/>
    <w:rsid w:val="00B767AB"/>
    <w:rsid w:val="00B801BA"/>
    <w:rsid w:val="00B812D6"/>
    <w:rsid w:val="00B84D5C"/>
    <w:rsid w:val="00B85AF6"/>
    <w:rsid w:val="00B87745"/>
    <w:rsid w:val="00B956ED"/>
    <w:rsid w:val="00BA18F9"/>
    <w:rsid w:val="00BA2DA8"/>
    <w:rsid w:val="00BA347C"/>
    <w:rsid w:val="00BA4C79"/>
    <w:rsid w:val="00BB298A"/>
    <w:rsid w:val="00BB3469"/>
    <w:rsid w:val="00BB5C49"/>
    <w:rsid w:val="00BB6240"/>
    <w:rsid w:val="00BB6285"/>
    <w:rsid w:val="00BB64B5"/>
    <w:rsid w:val="00BB69F5"/>
    <w:rsid w:val="00BB7EC3"/>
    <w:rsid w:val="00BC04B1"/>
    <w:rsid w:val="00BC470E"/>
    <w:rsid w:val="00BC4B9A"/>
    <w:rsid w:val="00BD02C3"/>
    <w:rsid w:val="00BD7483"/>
    <w:rsid w:val="00BD784C"/>
    <w:rsid w:val="00BE020A"/>
    <w:rsid w:val="00BE13DF"/>
    <w:rsid w:val="00BE1EF0"/>
    <w:rsid w:val="00BE25D7"/>
    <w:rsid w:val="00BF092C"/>
    <w:rsid w:val="00BF27A0"/>
    <w:rsid w:val="00BF4CB6"/>
    <w:rsid w:val="00BF6CBD"/>
    <w:rsid w:val="00BF7180"/>
    <w:rsid w:val="00C00DA7"/>
    <w:rsid w:val="00C034FB"/>
    <w:rsid w:val="00C04CDE"/>
    <w:rsid w:val="00C06634"/>
    <w:rsid w:val="00C068A6"/>
    <w:rsid w:val="00C12768"/>
    <w:rsid w:val="00C12D70"/>
    <w:rsid w:val="00C16724"/>
    <w:rsid w:val="00C20386"/>
    <w:rsid w:val="00C21B09"/>
    <w:rsid w:val="00C23AB3"/>
    <w:rsid w:val="00C25EFF"/>
    <w:rsid w:val="00C2673A"/>
    <w:rsid w:val="00C26797"/>
    <w:rsid w:val="00C278CD"/>
    <w:rsid w:val="00C27B58"/>
    <w:rsid w:val="00C27C1C"/>
    <w:rsid w:val="00C33186"/>
    <w:rsid w:val="00C35996"/>
    <w:rsid w:val="00C41F9C"/>
    <w:rsid w:val="00C42BCD"/>
    <w:rsid w:val="00C46C13"/>
    <w:rsid w:val="00C4747E"/>
    <w:rsid w:val="00C514DE"/>
    <w:rsid w:val="00C5151E"/>
    <w:rsid w:val="00C52256"/>
    <w:rsid w:val="00C5342C"/>
    <w:rsid w:val="00C53B2B"/>
    <w:rsid w:val="00C57465"/>
    <w:rsid w:val="00C60272"/>
    <w:rsid w:val="00C603D4"/>
    <w:rsid w:val="00C6256A"/>
    <w:rsid w:val="00C63FDA"/>
    <w:rsid w:val="00C64EBC"/>
    <w:rsid w:val="00C664D2"/>
    <w:rsid w:val="00C677E1"/>
    <w:rsid w:val="00C710E2"/>
    <w:rsid w:val="00C717D9"/>
    <w:rsid w:val="00C71C3F"/>
    <w:rsid w:val="00C7409E"/>
    <w:rsid w:val="00C74D6D"/>
    <w:rsid w:val="00C76E76"/>
    <w:rsid w:val="00C77891"/>
    <w:rsid w:val="00C77B74"/>
    <w:rsid w:val="00C82062"/>
    <w:rsid w:val="00C829A9"/>
    <w:rsid w:val="00C87B80"/>
    <w:rsid w:val="00C90330"/>
    <w:rsid w:val="00C91449"/>
    <w:rsid w:val="00C92D10"/>
    <w:rsid w:val="00C92F79"/>
    <w:rsid w:val="00C95200"/>
    <w:rsid w:val="00C96EC0"/>
    <w:rsid w:val="00CA48D9"/>
    <w:rsid w:val="00CB1193"/>
    <w:rsid w:val="00CB4767"/>
    <w:rsid w:val="00CB493D"/>
    <w:rsid w:val="00CC1778"/>
    <w:rsid w:val="00CC3B97"/>
    <w:rsid w:val="00CD6257"/>
    <w:rsid w:val="00CD7C0B"/>
    <w:rsid w:val="00CE10C4"/>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455A"/>
    <w:rsid w:val="00D14A70"/>
    <w:rsid w:val="00D207EA"/>
    <w:rsid w:val="00D22093"/>
    <w:rsid w:val="00D31150"/>
    <w:rsid w:val="00D3138B"/>
    <w:rsid w:val="00D31FCE"/>
    <w:rsid w:val="00D3280C"/>
    <w:rsid w:val="00D3406A"/>
    <w:rsid w:val="00D34D24"/>
    <w:rsid w:val="00D40822"/>
    <w:rsid w:val="00D40B11"/>
    <w:rsid w:val="00D42864"/>
    <w:rsid w:val="00D429EC"/>
    <w:rsid w:val="00D441F1"/>
    <w:rsid w:val="00D4572C"/>
    <w:rsid w:val="00D469B2"/>
    <w:rsid w:val="00D4780A"/>
    <w:rsid w:val="00D5012F"/>
    <w:rsid w:val="00D52B24"/>
    <w:rsid w:val="00D54B09"/>
    <w:rsid w:val="00D553C4"/>
    <w:rsid w:val="00D6243E"/>
    <w:rsid w:val="00D65658"/>
    <w:rsid w:val="00D67EB2"/>
    <w:rsid w:val="00D70349"/>
    <w:rsid w:val="00D72B6F"/>
    <w:rsid w:val="00D741EB"/>
    <w:rsid w:val="00D7679C"/>
    <w:rsid w:val="00D81299"/>
    <w:rsid w:val="00D820F3"/>
    <w:rsid w:val="00D83605"/>
    <w:rsid w:val="00D84934"/>
    <w:rsid w:val="00D849E1"/>
    <w:rsid w:val="00D861B6"/>
    <w:rsid w:val="00D866EB"/>
    <w:rsid w:val="00D87D1A"/>
    <w:rsid w:val="00D906DA"/>
    <w:rsid w:val="00D91271"/>
    <w:rsid w:val="00D919F5"/>
    <w:rsid w:val="00D945F6"/>
    <w:rsid w:val="00D94F03"/>
    <w:rsid w:val="00D95161"/>
    <w:rsid w:val="00D95C23"/>
    <w:rsid w:val="00DA0A82"/>
    <w:rsid w:val="00DA0D14"/>
    <w:rsid w:val="00DA1FC9"/>
    <w:rsid w:val="00DA2CB5"/>
    <w:rsid w:val="00DA383E"/>
    <w:rsid w:val="00DA4BAC"/>
    <w:rsid w:val="00DA722E"/>
    <w:rsid w:val="00DA792A"/>
    <w:rsid w:val="00DB0151"/>
    <w:rsid w:val="00DB0299"/>
    <w:rsid w:val="00DB04D7"/>
    <w:rsid w:val="00DB50E1"/>
    <w:rsid w:val="00DC0566"/>
    <w:rsid w:val="00DC05E1"/>
    <w:rsid w:val="00DC1499"/>
    <w:rsid w:val="00DC16CF"/>
    <w:rsid w:val="00DC2B93"/>
    <w:rsid w:val="00DC2C3E"/>
    <w:rsid w:val="00DC3137"/>
    <w:rsid w:val="00DC4880"/>
    <w:rsid w:val="00DC5E90"/>
    <w:rsid w:val="00DD0BE9"/>
    <w:rsid w:val="00DD26F9"/>
    <w:rsid w:val="00DD42AB"/>
    <w:rsid w:val="00DE06AF"/>
    <w:rsid w:val="00DE326A"/>
    <w:rsid w:val="00DE6D27"/>
    <w:rsid w:val="00DE76EA"/>
    <w:rsid w:val="00DF01F8"/>
    <w:rsid w:val="00DF021D"/>
    <w:rsid w:val="00DF14EE"/>
    <w:rsid w:val="00DF217D"/>
    <w:rsid w:val="00DF2365"/>
    <w:rsid w:val="00DF26A7"/>
    <w:rsid w:val="00DF3277"/>
    <w:rsid w:val="00DF6A31"/>
    <w:rsid w:val="00DF77A1"/>
    <w:rsid w:val="00DF7919"/>
    <w:rsid w:val="00E0207E"/>
    <w:rsid w:val="00E02AE6"/>
    <w:rsid w:val="00E02DC0"/>
    <w:rsid w:val="00E03912"/>
    <w:rsid w:val="00E04748"/>
    <w:rsid w:val="00E04F4F"/>
    <w:rsid w:val="00E07232"/>
    <w:rsid w:val="00E078D9"/>
    <w:rsid w:val="00E10293"/>
    <w:rsid w:val="00E103A0"/>
    <w:rsid w:val="00E1043F"/>
    <w:rsid w:val="00E11F44"/>
    <w:rsid w:val="00E13E60"/>
    <w:rsid w:val="00E15627"/>
    <w:rsid w:val="00E164B3"/>
    <w:rsid w:val="00E16910"/>
    <w:rsid w:val="00E239E2"/>
    <w:rsid w:val="00E24E09"/>
    <w:rsid w:val="00E27234"/>
    <w:rsid w:val="00E3495C"/>
    <w:rsid w:val="00E3576C"/>
    <w:rsid w:val="00E42BDB"/>
    <w:rsid w:val="00E42E2C"/>
    <w:rsid w:val="00E47327"/>
    <w:rsid w:val="00E52808"/>
    <w:rsid w:val="00E5726D"/>
    <w:rsid w:val="00E57EEB"/>
    <w:rsid w:val="00E62D94"/>
    <w:rsid w:val="00E62ECC"/>
    <w:rsid w:val="00E64F37"/>
    <w:rsid w:val="00E65091"/>
    <w:rsid w:val="00E65393"/>
    <w:rsid w:val="00E65E54"/>
    <w:rsid w:val="00E661C7"/>
    <w:rsid w:val="00E66298"/>
    <w:rsid w:val="00E732C4"/>
    <w:rsid w:val="00E744FB"/>
    <w:rsid w:val="00E74E41"/>
    <w:rsid w:val="00E7626D"/>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31A2"/>
    <w:rsid w:val="00EE4329"/>
    <w:rsid w:val="00EE44BE"/>
    <w:rsid w:val="00EE6203"/>
    <w:rsid w:val="00EF0069"/>
    <w:rsid w:val="00EF11C4"/>
    <w:rsid w:val="00EF28D8"/>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45C2"/>
    <w:rsid w:val="00F1559A"/>
    <w:rsid w:val="00F17ED6"/>
    <w:rsid w:val="00F20676"/>
    <w:rsid w:val="00F209E2"/>
    <w:rsid w:val="00F226BC"/>
    <w:rsid w:val="00F22944"/>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2A0C"/>
    <w:rsid w:val="00F43AA2"/>
    <w:rsid w:val="00F43AF2"/>
    <w:rsid w:val="00F45216"/>
    <w:rsid w:val="00F5007E"/>
    <w:rsid w:val="00F508F6"/>
    <w:rsid w:val="00F50EC4"/>
    <w:rsid w:val="00F52232"/>
    <w:rsid w:val="00F527B1"/>
    <w:rsid w:val="00F52DC2"/>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5B46"/>
    <w:rsid w:val="00FD0448"/>
    <w:rsid w:val="00FD1D4F"/>
    <w:rsid w:val="00FD24BF"/>
    <w:rsid w:val="00FD3B6E"/>
    <w:rsid w:val="00FD4140"/>
    <w:rsid w:val="00FD57EB"/>
    <w:rsid w:val="00FD6D8E"/>
    <w:rsid w:val="00FE0663"/>
    <w:rsid w:val="00FE0E94"/>
    <w:rsid w:val="00FE1FEA"/>
    <w:rsid w:val="00FE2E49"/>
    <w:rsid w:val="00FE369C"/>
    <w:rsid w:val="00FE3CD9"/>
    <w:rsid w:val="00FF00BD"/>
    <w:rsid w:val="00FF0B13"/>
    <w:rsid w:val="00FF1ED4"/>
    <w:rsid w:val="00FF2801"/>
    <w:rsid w:val="00FF2E2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acthead5">
    <w:name w:val="acthead5"/>
    <w:basedOn w:val="Normal"/>
    <w:rsid w:val="008A3C59"/>
    <w:pPr>
      <w:spacing w:before="100" w:beforeAutospacing="1" w:after="100" w:afterAutospacing="1"/>
      <w:jc w:val="left"/>
    </w:pPr>
    <w:rPr>
      <w:rFonts w:ascii="Times New Roman" w:hAnsi="Times New Roman"/>
    </w:rPr>
  </w:style>
  <w:style w:type="character" w:customStyle="1" w:styleId="charsectno">
    <w:name w:val="charsectno"/>
    <w:basedOn w:val="DefaultParagraphFont"/>
    <w:rsid w:val="008A3C59"/>
  </w:style>
  <w:style w:type="paragraph" w:customStyle="1" w:styleId="subsectionhead">
    <w:name w:val="subsectionhead"/>
    <w:basedOn w:val="Normal"/>
    <w:rsid w:val="008A3C59"/>
    <w:pPr>
      <w:spacing w:before="100" w:beforeAutospacing="1" w:after="100" w:afterAutospacing="1"/>
      <w:jc w:val="left"/>
    </w:pPr>
    <w:rPr>
      <w:rFonts w:ascii="Times New Roman" w:hAnsi="Times New Roman"/>
    </w:rPr>
  </w:style>
  <w:style w:type="paragraph" w:customStyle="1" w:styleId="subsection">
    <w:name w:val="subsection"/>
    <w:basedOn w:val="Normal"/>
    <w:rsid w:val="008A3C59"/>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7657704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788073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77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92E8-3371-400A-A99C-DCAB13DB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1684</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2022-04-01T05:06:00Z</dcterms:created>
  <dcterms:modified xsi:type="dcterms:W3CDTF">2022-06-22T06:19:00Z</dcterms:modified>
</cp:coreProperties>
</file>