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10766" w14:textId="79C51718" w:rsidR="00C80D63" w:rsidRDefault="00ED2446" w:rsidP="007A5C88">
      <w:pPr>
        <w:pStyle w:val="1MainTitle"/>
        <w:jc w:val="left"/>
      </w:pPr>
      <w:r>
        <w:t>5.2</w:t>
      </w:r>
      <w:r w:rsidR="00415119">
        <w:t>2</w:t>
      </w:r>
      <w:r w:rsidR="00872E8F">
        <w:tab/>
      </w:r>
      <w:r>
        <w:t>BEVACIZUMAB</w:t>
      </w:r>
      <w:r w:rsidR="70971A32">
        <w:t xml:space="preserve">, </w:t>
      </w:r>
      <w:r w:rsidR="00872E8F">
        <w:br/>
      </w:r>
      <w:r w:rsidR="007515C3">
        <w:t xml:space="preserve">Solution for I.V. infusion </w:t>
      </w:r>
      <w:r>
        <w:t>100 mg</w:t>
      </w:r>
      <w:r w:rsidR="00DC17D3">
        <w:t xml:space="preserve"> in </w:t>
      </w:r>
      <w:r>
        <w:t>4 mL</w:t>
      </w:r>
    </w:p>
    <w:p w14:paraId="5FAC7CB4" w14:textId="3F249A2D" w:rsidR="009009CF" w:rsidRPr="00090DCE" w:rsidRDefault="007515C3" w:rsidP="00090DCE">
      <w:pPr>
        <w:pStyle w:val="1MainTitle"/>
        <w:ind w:firstLine="0"/>
        <w:jc w:val="left"/>
        <w:outlineLvl w:val="9"/>
      </w:pPr>
      <w:r>
        <w:t xml:space="preserve">Solution for I.V. infusion </w:t>
      </w:r>
      <w:r w:rsidR="00ED2446">
        <w:t>400 mg</w:t>
      </w:r>
      <w:r w:rsidR="00DC17D3">
        <w:t xml:space="preserve"> in </w:t>
      </w:r>
      <w:r w:rsidR="00ED2446">
        <w:t>16 mL</w:t>
      </w:r>
      <w:r w:rsidR="70971A32">
        <w:t>,</w:t>
      </w:r>
      <w:r w:rsidR="00872E8F">
        <w:br/>
      </w:r>
      <w:proofErr w:type="spellStart"/>
      <w:r w:rsidR="70971A32">
        <w:t>B</w:t>
      </w:r>
      <w:r w:rsidR="00ED2446">
        <w:t>evaciptin</w:t>
      </w:r>
      <w:proofErr w:type="spellEnd"/>
      <w:r w:rsidR="70971A32">
        <w:t>®,</w:t>
      </w:r>
      <w:r w:rsidR="00872E8F">
        <w:br/>
      </w:r>
      <w:r w:rsidR="00ED2446">
        <w:t>Cipla Australia Pty Ltd</w:t>
      </w:r>
    </w:p>
    <w:p w14:paraId="5F4D54C1" w14:textId="02DD8530"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6F7D082B" w:rsidR="007E490F" w:rsidRPr="00DE2F4A" w:rsidRDefault="006C6C10" w:rsidP="00CC04AD">
      <w:pPr>
        <w:pStyle w:val="3Bodytext"/>
        <w:jc w:val="both"/>
        <w:rPr>
          <w:rFonts w:cstheme="minorHAnsi"/>
          <w:szCs w:val="24"/>
        </w:rPr>
      </w:pPr>
      <w:r w:rsidRPr="00DE2F4A">
        <w:rPr>
          <w:rFonts w:cstheme="minorHAnsi"/>
          <w:szCs w:val="24"/>
        </w:rPr>
        <w:t xml:space="preserve">The </w:t>
      </w:r>
      <w:r w:rsidR="00ED2446" w:rsidRPr="00DE2F4A">
        <w:rPr>
          <w:rFonts w:cstheme="minorHAnsi"/>
          <w:szCs w:val="24"/>
        </w:rPr>
        <w:t>Category 3</w:t>
      </w:r>
      <w:r w:rsidR="00C96EC0" w:rsidRPr="00DE2F4A">
        <w:rPr>
          <w:rFonts w:cstheme="minorHAnsi"/>
          <w:szCs w:val="24"/>
        </w:rPr>
        <w:t xml:space="preserve"> </w:t>
      </w:r>
      <w:r w:rsidRPr="00DE2F4A">
        <w:rPr>
          <w:rFonts w:cstheme="minorHAnsi"/>
          <w:szCs w:val="24"/>
        </w:rPr>
        <w:t xml:space="preserve">submission </w:t>
      </w:r>
      <w:r w:rsidR="0023466E" w:rsidRPr="00DE2F4A">
        <w:rPr>
          <w:rFonts w:cstheme="minorHAnsi"/>
          <w:szCs w:val="24"/>
        </w:rPr>
        <w:t>sought</w:t>
      </w:r>
      <w:r w:rsidRPr="00DE2F4A">
        <w:rPr>
          <w:rFonts w:cstheme="minorHAnsi"/>
          <w:szCs w:val="24"/>
        </w:rPr>
        <w:t xml:space="preserve"> </w:t>
      </w:r>
      <w:r w:rsidR="00700040">
        <w:t xml:space="preserve">a Section 100 Efficient Funding of Chemotherapy </w:t>
      </w:r>
      <w:r w:rsidR="009F1340">
        <w:t xml:space="preserve">(EFC) </w:t>
      </w:r>
      <w:r w:rsidR="00700040">
        <w:t xml:space="preserve">Program Unrestricted Benefit listing of </w:t>
      </w:r>
      <w:r w:rsidR="00E57981">
        <w:t xml:space="preserve">the </w:t>
      </w:r>
      <w:r w:rsidR="00700040">
        <w:t>bevacizumab biosimilar</w:t>
      </w:r>
      <w:r w:rsidR="00E57981">
        <w:t xml:space="preserve"> </w:t>
      </w:r>
      <w:proofErr w:type="spellStart"/>
      <w:r w:rsidR="00E57981">
        <w:t>Bevaciptin</w:t>
      </w:r>
      <w:proofErr w:type="spellEnd"/>
      <w:r w:rsidR="00D73E7D">
        <w:rPr>
          <w:rFonts w:cstheme="minorHAnsi"/>
        </w:rPr>
        <w:t>®</w:t>
      </w:r>
      <w:r w:rsidR="00700040">
        <w:t xml:space="preserve"> under the same conditions as the PBS-listed bevacizumab biosimilar</w:t>
      </w:r>
      <w:r w:rsidR="00E57981">
        <w:t xml:space="preserve"> </w:t>
      </w:r>
      <w:proofErr w:type="spellStart"/>
      <w:r w:rsidR="00E57981">
        <w:t>Mvasi</w:t>
      </w:r>
      <w:proofErr w:type="spellEnd"/>
      <w:r w:rsidR="00D73E7D">
        <w:rPr>
          <w:rFonts w:cstheme="minorHAnsi"/>
        </w:rPr>
        <w:t>®</w:t>
      </w:r>
      <w:r w:rsidR="00700040">
        <w:t>.</w:t>
      </w:r>
    </w:p>
    <w:p w14:paraId="3D1D4320" w14:textId="77777777" w:rsidR="007E490F" w:rsidRPr="00FD6D8E" w:rsidRDefault="007E490F" w:rsidP="00CC04AD">
      <w:pPr>
        <w:pStyle w:val="2-SectionHeading"/>
        <w:numPr>
          <w:ilvl w:val="0"/>
          <w:numId w:val="2"/>
        </w:numPr>
        <w:jc w:val="both"/>
      </w:pPr>
      <w:r w:rsidRPr="009E2E8E">
        <w:t>Background</w:t>
      </w:r>
      <w:r>
        <w:t xml:space="preserve"> </w:t>
      </w:r>
    </w:p>
    <w:p w14:paraId="33C2C319" w14:textId="66DF215F" w:rsidR="007E490F" w:rsidRDefault="007E490F" w:rsidP="00CC04AD">
      <w:pPr>
        <w:pStyle w:val="4-SubsectionHeading"/>
      </w:pPr>
      <w:r>
        <w:t>Registration</w:t>
      </w:r>
      <w:r w:rsidRPr="009324A6">
        <w:t xml:space="preserve"> status</w:t>
      </w:r>
    </w:p>
    <w:p w14:paraId="096F00C7" w14:textId="72880B99" w:rsidR="002D1444" w:rsidRPr="003F2525" w:rsidRDefault="002D1444" w:rsidP="00CC04AD">
      <w:pPr>
        <w:pStyle w:val="3Bodytext"/>
        <w:jc w:val="both"/>
      </w:pPr>
      <w:proofErr w:type="spellStart"/>
      <w:r w:rsidRPr="003F2525">
        <w:t>Bevaciptin</w:t>
      </w:r>
      <w:proofErr w:type="spellEnd"/>
      <w:r w:rsidR="007E490F" w:rsidRPr="003F2525">
        <w:t xml:space="preserve"> was</w:t>
      </w:r>
      <w:r w:rsidR="00CE6B21">
        <w:t xml:space="preserve"> Therapeutic Goods Administration</w:t>
      </w:r>
      <w:r w:rsidR="007E490F" w:rsidRPr="003F2525">
        <w:t xml:space="preserve"> </w:t>
      </w:r>
      <w:r w:rsidR="00CE6B21">
        <w:t>(</w:t>
      </w:r>
      <w:r w:rsidR="007E490F" w:rsidRPr="003F2525">
        <w:t>TGA</w:t>
      </w:r>
      <w:r w:rsidR="00CE6B21">
        <w:t>)</w:t>
      </w:r>
      <w:r w:rsidR="007E490F" w:rsidRPr="003F2525">
        <w:t xml:space="preserve"> registered on </w:t>
      </w:r>
      <w:r w:rsidRPr="003F2525">
        <w:t xml:space="preserve">2 November 2021 </w:t>
      </w:r>
      <w:r w:rsidR="003459DC" w:rsidRPr="003F2525">
        <w:t xml:space="preserve">and was determined to be </w:t>
      </w:r>
      <w:r w:rsidR="007331F9" w:rsidRPr="003F2525">
        <w:t>a biosimilar</w:t>
      </w:r>
      <w:r w:rsidR="003459DC" w:rsidRPr="003F2525">
        <w:t xml:space="preserve"> to the reference brand of bevacizumab, Avastin</w:t>
      </w:r>
      <w:r w:rsidR="003F2525" w:rsidRPr="003F2525">
        <w:rPr>
          <w:rFonts w:cstheme="minorHAnsi"/>
        </w:rPr>
        <w:t>®</w:t>
      </w:r>
      <w:r w:rsidR="003459DC" w:rsidRPr="003F2525">
        <w:t xml:space="preserve">. </w:t>
      </w:r>
      <w:proofErr w:type="spellStart"/>
      <w:r w:rsidR="003459DC" w:rsidRPr="003F2525">
        <w:t>Bevaciptin</w:t>
      </w:r>
      <w:proofErr w:type="spellEnd"/>
      <w:r w:rsidR="003459DC" w:rsidRPr="003F2525">
        <w:t xml:space="preserve"> has the same indications as Avastin and </w:t>
      </w:r>
      <w:proofErr w:type="spellStart"/>
      <w:r w:rsidR="003459DC" w:rsidRPr="003F2525">
        <w:t>Mvasi</w:t>
      </w:r>
      <w:proofErr w:type="spellEnd"/>
      <w:r w:rsidR="003459DC" w:rsidRPr="003F2525">
        <w:t>.</w:t>
      </w:r>
      <w:r w:rsidRPr="003F2525">
        <w:t xml:space="preserve"> </w:t>
      </w:r>
    </w:p>
    <w:p w14:paraId="0094486E" w14:textId="77777777" w:rsidR="007E490F" w:rsidRDefault="007E490F" w:rsidP="00CC04AD">
      <w:pPr>
        <w:pStyle w:val="4-SubsectionHeading"/>
      </w:pPr>
      <w:r w:rsidRPr="0012749D">
        <w:t xml:space="preserve">Previous PBAC consideration </w:t>
      </w:r>
    </w:p>
    <w:p w14:paraId="4D840E1C" w14:textId="05EE80CF" w:rsidR="004034D9" w:rsidRPr="004034D9" w:rsidRDefault="00244FCE" w:rsidP="00CC04AD">
      <w:pPr>
        <w:pStyle w:val="3Bodytext"/>
        <w:jc w:val="both"/>
        <w:rPr>
          <w:i/>
        </w:rPr>
      </w:pPr>
      <w:r>
        <w:rPr>
          <w:iCs/>
        </w:rPr>
        <w:t xml:space="preserve">The biosimilar bevacizumab product </w:t>
      </w:r>
      <w:proofErr w:type="spellStart"/>
      <w:r>
        <w:rPr>
          <w:iCs/>
        </w:rPr>
        <w:t>Mvasi</w:t>
      </w:r>
      <w:proofErr w:type="spellEnd"/>
      <w:r>
        <w:rPr>
          <w:iCs/>
        </w:rPr>
        <w:t xml:space="preserve"> was recommended for</w:t>
      </w:r>
      <w:r w:rsidR="00CE6B21">
        <w:rPr>
          <w:iCs/>
        </w:rPr>
        <w:t xml:space="preserve"> Pharmaceutical Benefits Scheme</w:t>
      </w:r>
      <w:r>
        <w:rPr>
          <w:iCs/>
        </w:rPr>
        <w:t xml:space="preserve"> </w:t>
      </w:r>
      <w:r w:rsidR="00CE6B21">
        <w:rPr>
          <w:iCs/>
        </w:rPr>
        <w:t>(</w:t>
      </w:r>
      <w:r>
        <w:rPr>
          <w:iCs/>
        </w:rPr>
        <w:t>PBS</w:t>
      </w:r>
      <w:r w:rsidR="00CE6B21">
        <w:rPr>
          <w:iCs/>
        </w:rPr>
        <w:t>)</w:t>
      </w:r>
      <w:r>
        <w:rPr>
          <w:iCs/>
        </w:rPr>
        <w:t xml:space="preserve"> listing in November 2020 and was listed in June 2021. </w:t>
      </w:r>
      <w:r w:rsidR="005175B4">
        <w:rPr>
          <w:iCs/>
        </w:rPr>
        <w:t xml:space="preserve">The two </w:t>
      </w:r>
      <w:r>
        <w:rPr>
          <w:iCs/>
        </w:rPr>
        <w:t>bevacizumab biosimilar product</w:t>
      </w:r>
      <w:r w:rsidR="005175B4">
        <w:rPr>
          <w:iCs/>
        </w:rPr>
        <w:t>s</w:t>
      </w:r>
      <w:r>
        <w:rPr>
          <w:iCs/>
        </w:rPr>
        <w:t xml:space="preserve">, </w:t>
      </w:r>
      <w:proofErr w:type="spellStart"/>
      <w:r>
        <w:rPr>
          <w:iCs/>
        </w:rPr>
        <w:t>Zirabev</w:t>
      </w:r>
      <w:proofErr w:type="spellEnd"/>
      <w:r>
        <w:rPr>
          <w:rFonts w:cstheme="minorHAnsi"/>
          <w:iCs/>
        </w:rPr>
        <w:t>®</w:t>
      </w:r>
      <w:r w:rsidR="005175B4">
        <w:rPr>
          <w:rFonts w:cstheme="minorHAnsi"/>
          <w:iCs/>
        </w:rPr>
        <w:t xml:space="preserve"> and </w:t>
      </w:r>
      <w:proofErr w:type="spellStart"/>
      <w:r w:rsidR="005175B4">
        <w:rPr>
          <w:rFonts w:cstheme="minorHAnsi"/>
          <w:iCs/>
        </w:rPr>
        <w:t>Abevmy</w:t>
      </w:r>
      <w:proofErr w:type="spellEnd"/>
      <w:r w:rsidR="005175B4">
        <w:rPr>
          <w:rFonts w:cstheme="minorHAnsi"/>
          <w:iCs/>
        </w:rPr>
        <w:t>®</w:t>
      </w:r>
      <w:r>
        <w:rPr>
          <w:iCs/>
        </w:rPr>
        <w:t xml:space="preserve">, </w:t>
      </w:r>
      <w:r w:rsidR="005175B4">
        <w:rPr>
          <w:iCs/>
        </w:rPr>
        <w:t xml:space="preserve">were </w:t>
      </w:r>
      <w:r>
        <w:rPr>
          <w:iCs/>
        </w:rPr>
        <w:t xml:space="preserve">recommended by the </w:t>
      </w:r>
      <w:r w:rsidR="00CE6B21">
        <w:rPr>
          <w:iCs/>
        </w:rPr>
        <w:t>Pharmaceutical Benefits Advisory Committee (</w:t>
      </w:r>
      <w:r>
        <w:rPr>
          <w:iCs/>
        </w:rPr>
        <w:t>PBAC</w:t>
      </w:r>
      <w:r w:rsidR="00CE6B21">
        <w:rPr>
          <w:iCs/>
        </w:rPr>
        <w:t>)</w:t>
      </w:r>
      <w:r>
        <w:rPr>
          <w:iCs/>
        </w:rPr>
        <w:t xml:space="preserve"> in July 2020</w:t>
      </w:r>
      <w:r w:rsidR="005175B4">
        <w:rPr>
          <w:iCs/>
        </w:rPr>
        <w:t xml:space="preserve"> and November 2021 respectively</w:t>
      </w:r>
      <w:r>
        <w:rPr>
          <w:iCs/>
        </w:rPr>
        <w:t xml:space="preserve">. </w:t>
      </w:r>
      <w:r w:rsidR="005175B4">
        <w:rPr>
          <w:iCs/>
        </w:rPr>
        <w:t>They are</w:t>
      </w:r>
      <w:r>
        <w:rPr>
          <w:iCs/>
        </w:rPr>
        <w:t xml:space="preserve"> not yet listed on the PBS.</w:t>
      </w:r>
    </w:p>
    <w:p w14:paraId="56C938A2" w14:textId="29AE5CF4" w:rsidR="007E490F" w:rsidRPr="008566B1" w:rsidRDefault="00E06EB1" w:rsidP="00CC04AD">
      <w:pPr>
        <w:pStyle w:val="3Bodytext"/>
        <w:jc w:val="both"/>
        <w:rPr>
          <w:i/>
        </w:rPr>
      </w:pPr>
      <w:proofErr w:type="spellStart"/>
      <w:r w:rsidRPr="00E06EB1">
        <w:t>Bevaciptin</w:t>
      </w:r>
      <w:proofErr w:type="spellEnd"/>
      <w:r w:rsidRPr="00E06EB1">
        <w:t xml:space="preserve"> </w:t>
      </w:r>
      <w:r w:rsidR="007E490F" w:rsidRPr="00E06EB1">
        <w:t>has not been considered by the PBAC.</w:t>
      </w:r>
    </w:p>
    <w:p w14:paraId="58A45888" w14:textId="77777777" w:rsidR="008D0748" w:rsidRPr="009F00D4" w:rsidRDefault="008D0748" w:rsidP="008D0748">
      <w:pPr>
        <w:pStyle w:val="4-SubsectionHeading"/>
      </w:pPr>
      <w:proofErr w:type="gramStart"/>
      <w:r>
        <w:t>Current status</w:t>
      </w:r>
      <w:proofErr w:type="gramEnd"/>
    </w:p>
    <w:p w14:paraId="33E54CF2" w14:textId="3C053326" w:rsidR="008D0748" w:rsidRDefault="008D0748" w:rsidP="00CC04AD">
      <w:pPr>
        <w:pStyle w:val="3Bodytext"/>
        <w:jc w:val="both"/>
      </w:pPr>
      <w:proofErr w:type="spellStart"/>
      <w:r>
        <w:t>Mvasi</w:t>
      </w:r>
      <w:proofErr w:type="spellEnd"/>
      <w:r>
        <w:t xml:space="preserve"> is the only brand of bevacizumab currently listed on the PBS</w:t>
      </w:r>
      <w:r>
        <w:rPr>
          <w:color w:val="000000" w:themeColor="text1"/>
        </w:rPr>
        <w:t>.</w:t>
      </w:r>
      <w:r w:rsidRPr="007D3A5D">
        <w:t xml:space="preserve"> </w:t>
      </w:r>
      <w:r w:rsidDel="00EC2557">
        <w:t xml:space="preserve">The originator brand Avastin was delisted at the request of its sponsor, Roche Products Pty Ltd, at the same time the biosimilar brand </w:t>
      </w:r>
      <w:proofErr w:type="spellStart"/>
      <w:r w:rsidDel="00EC2557">
        <w:t>Mvasi</w:t>
      </w:r>
      <w:proofErr w:type="spellEnd"/>
      <w:r w:rsidDel="00EC2557">
        <w:t xml:space="preserve"> was listed on 1</w:t>
      </w:r>
      <w:r>
        <w:t> </w:t>
      </w:r>
      <w:r w:rsidDel="00EC2557">
        <w:t>June</w:t>
      </w:r>
      <w:r>
        <w:t> </w:t>
      </w:r>
      <w:r w:rsidDel="00EC2557">
        <w:t>2021 as an unrestricted listing.</w:t>
      </w:r>
    </w:p>
    <w:p w14:paraId="2E87FD84" w14:textId="32C80619" w:rsidR="004C2110" w:rsidRPr="004C2110" w:rsidRDefault="004C2110" w:rsidP="00CC04AD">
      <w:pPr>
        <w:pStyle w:val="3Bodytext"/>
        <w:numPr>
          <w:ilvl w:val="0"/>
          <w:numId w:val="0"/>
        </w:numPr>
        <w:ind w:left="720"/>
        <w:jc w:val="both"/>
        <w:rPr>
          <w:i/>
          <w:iCs/>
        </w:rPr>
      </w:pPr>
      <w:r w:rsidRPr="004C2110">
        <w:rPr>
          <w:i/>
          <w:iCs/>
        </w:rPr>
        <w:t>For more detail on PBAC’s view, see section 6 PBAC outcome.</w:t>
      </w:r>
    </w:p>
    <w:p w14:paraId="1B8790B6" w14:textId="77777777" w:rsidR="00964A9F" w:rsidRDefault="00964A9F" w:rsidP="00CC04AD">
      <w:pPr>
        <w:pStyle w:val="2-SectionHeading"/>
        <w:jc w:val="both"/>
      </w:pPr>
      <w:r w:rsidRPr="009D507A">
        <w:t xml:space="preserve">Requested listing </w:t>
      </w:r>
    </w:p>
    <w:p w14:paraId="754FF25B" w14:textId="592F6DC3" w:rsidR="00964A9F" w:rsidRPr="00E0207E" w:rsidRDefault="00964A9F" w:rsidP="00CC04AD">
      <w:pPr>
        <w:pStyle w:val="3Bodytext"/>
        <w:jc w:val="both"/>
      </w:pPr>
      <w:r w:rsidRPr="00E0207E">
        <w:t xml:space="preserve">The submission requested </w:t>
      </w:r>
      <w:r w:rsidR="009D0602">
        <w:t xml:space="preserve">listing </w:t>
      </w:r>
      <w:proofErr w:type="spellStart"/>
      <w:r w:rsidR="009D0602">
        <w:t>Bevaciptin</w:t>
      </w:r>
      <w:proofErr w:type="spellEnd"/>
      <w:r w:rsidR="005175B4">
        <w:t xml:space="preserve"> solution for I.V. infusion 100 mg in 4 mL and solution for I.V. infusion 400 mg in 16 mL</w:t>
      </w:r>
      <w:r w:rsidR="009D0602">
        <w:t xml:space="preserve"> under the same circumstances as the existing unrestricted listing</w:t>
      </w:r>
      <w:r w:rsidR="008D0748">
        <w:t>s</w:t>
      </w:r>
      <w:r w:rsidR="009D0602">
        <w:t xml:space="preserve"> of </w:t>
      </w:r>
      <w:proofErr w:type="spellStart"/>
      <w:r w:rsidR="009D0602">
        <w:t>Mvasi</w:t>
      </w:r>
      <w:proofErr w:type="spellEnd"/>
      <w:r w:rsidR="009D0602">
        <w:t xml:space="preserve">. </w:t>
      </w:r>
    </w:p>
    <w:p w14:paraId="7A7AD6CC" w14:textId="6C36FB97" w:rsidR="0092345F" w:rsidRPr="004C2110" w:rsidRDefault="00B24C7B" w:rsidP="00CC04AD">
      <w:pPr>
        <w:pStyle w:val="3Bodytext"/>
        <w:jc w:val="both"/>
        <w:rPr>
          <w:color w:val="FF0000"/>
        </w:rPr>
      </w:pPr>
      <w:r w:rsidRPr="00DC7055">
        <w:lastRenderedPageBreak/>
        <w:t xml:space="preserve">The submission requested that </w:t>
      </w:r>
      <w:proofErr w:type="spellStart"/>
      <w:r w:rsidRPr="00DC7055">
        <w:t>Bevaciptin</w:t>
      </w:r>
      <w:proofErr w:type="spellEnd"/>
      <w:r w:rsidRPr="00DC7055">
        <w:t xml:space="preserve"> </w:t>
      </w:r>
      <w:r w:rsidR="00DC7055" w:rsidRPr="00DC7055">
        <w:t xml:space="preserve">and </w:t>
      </w:r>
      <w:proofErr w:type="spellStart"/>
      <w:r w:rsidRPr="00DC7055">
        <w:t>Mvasi</w:t>
      </w:r>
      <w:proofErr w:type="spellEnd"/>
      <w:r w:rsidR="00DC7055" w:rsidRPr="00DC7055">
        <w:t xml:space="preserve"> be treated as equivalent ('a'</w:t>
      </w:r>
      <w:r w:rsidR="00B34386">
        <w:noBreakHyphen/>
      </w:r>
      <w:r w:rsidR="00DC7055" w:rsidRPr="00DC7055">
        <w:t>flagged) to each other for the purpose of substitution.</w:t>
      </w:r>
      <w:r w:rsidR="00DC7055" w:rsidRPr="003E5E50">
        <w:t xml:space="preserve"> </w:t>
      </w:r>
      <w:r w:rsidR="00F821D6" w:rsidRPr="003E5E50">
        <w:t xml:space="preserve">As </w:t>
      </w:r>
      <w:r w:rsidR="0092345F" w:rsidRPr="003E5E50">
        <w:rPr>
          <w:color w:val="000000" w:themeColor="text1"/>
        </w:rPr>
        <w:t xml:space="preserve">EFC medicines are governed by the </w:t>
      </w:r>
      <w:r w:rsidR="0092345F" w:rsidRPr="00090DCE">
        <w:rPr>
          <w:i/>
          <w:iCs/>
          <w:color w:val="000000" w:themeColor="text1"/>
        </w:rPr>
        <w:t>National Health (Efficient Funding of Chemotherapy) Special Arrangement 2011</w:t>
      </w:r>
      <w:r w:rsidR="0092345F" w:rsidRPr="003E5E50">
        <w:rPr>
          <w:color w:val="000000" w:themeColor="text1"/>
        </w:rPr>
        <w:t xml:space="preserve"> and subsection 33(2) allows substitution of brands with the same chemotherapy drug, </w:t>
      </w:r>
      <w:proofErr w:type="spellStart"/>
      <w:r w:rsidR="0092345F" w:rsidRPr="003E5E50">
        <w:rPr>
          <w:color w:val="000000" w:themeColor="text1"/>
        </w:rPr>
        <w:t>Bevaciptin</w:t>
      </w:r>
      <w:proofErr w:type="spellEnd"/>
      <w:r w:rsidR="00DC7055" w:rsidRPr="003E5E50">
        <w:rPr>
          <w:color w:val="000000" w:themeColor="text1"/>
        </w:rPr>
        <w:t xml:space="preserve"> and </w:t>
      </w:r>
      <w:proofErr w:type="spellStart"/>
      <w:r w:rsidR="00DC7055" w:rsidRPr="003E5E50">
        <w:rPr>
          <w:color w:val="000000" w:themeColor="text1"/>
        </w:rPr>
        <w:t>Mvasi</w:t>
      </w:r>
      <w:proofErr w:type="spellEnd"/>
      <w:r w:rsidR="00DC7055" w:rsidRPr="003E5E50">
        <w:rPr>
          <w:color w:val="000000" w:themeColor="text1"/>
        </w:rPr>
        <w:t xml:space="preserve"> will be treated as equivalent to each other.</w:t>
      </w:r>
      <w:r w:rsidR="0092345F" w:rsidRPr="00DC7055">
        <w:rPr>
          <w:i/>
          <w:iCs/>
          <w:color w:val="000000" w:themeColor="text1"/>
        </w:rPr>
        <w:t xml:space="preserve"> </w:t>
      </w:r>
    </w:p>
    <w:p w14:paraId="329A08EE" w14:textId="66A5D540" w:rsidR="004C2110" w:rsidRPr="004C2110" w:rsidRDefault="004C2110" w:rsidP="00CC04AD">
      <w:pPr>
        <w:pStyle w:val="3Bodytext"/>
        <w:numPr>
          <w:ilvl w:val="0"/>
          <w:numId w:val="0"/>
        </w:numPr>
        <w:ind w:left="720"/>
        <w:jc w:val="both"/>
        <w:rPr>
          <w:rFonts w:cstheme="minorHAnsi"/>
          <w:i/>
          <w:iCs/>
          <w:szCs w:val="24"/>
        </w:rPr>
      </w:pPr>
      <w:r w:rsidRPr="004C2110">
        <w:rPr>
          <w:rFonts w:cstheme="minorHAnsi"/>
          <w:i/>
          <w:iCs/>
          <w:szCs w:val="24"/>
        </w:rPr>
        <w:t>For more detail on PBAC’s view, see section 6 PBAC outcome.</w:t>
      </w:r>
    </w:p>
    <w:p w14:paraId="29A96004" w14:textId="7DFB0E42" w:rsidR="00C27C1C" w:rsidRPr="00980B0E" w:rsidRDefault="00C27C1C" w:rsidP="00CC04AD">
      <w:pPr>
        <w:pStyle w:val="2-SectionHeading"/>
        <w:numPr>
          <w:ilvl w:val="0"/>
          <w:numId w:val="2"/>
        </w:numPr>
        <w:jc w:val="both"/>
        <w:rPr>
          <w:color w:val="FF0000"/>
        </w:rPr>
      </w:pPr>
      <w:r w:rsidRPr="003C2FB5">
        <w:t>Comparator</w:t>
      </w:r>
      <w:r>
        <w:t xml:space="preserve"> </w:t>
      </w:r>
    </w:p>
    <w:p w14:paraId="4C8DED47" w14:textId="5667DB24" w:rsidR="004C2110" w:rsidRDefault="00C27C1C" w:rsidP="00CC04AD">
      <w:pPr>
        <w:pStyle w:val="3Bodytext"/>
        <w:jc w:val="both"/>
        <w:rPr>
          <w:i/>
        </w:rPr>
      </w:pPr>
      <w:r w:rsidRPr="000B44C3">
        <w:t xml:space="preserve">The submission </w:t>
      </w:r>
      <w:r w:rsidRPr="009F389D">
        <w:t xml:space="preserve">nominated </w:t>
      </w:r>
      <w:r w:rsidR="00C2533C" w:rsidRPr="009F389D">
        <w:t>bevacizumab</w:t>
      </w:r>
      <w:r w:rsidR="0042428C">
        <w:t xml:space="preserve"> solution for I.V. infusion</w:t>
      </w:r>
      <w:r w:rsidR="00C2533C" w:rsidRPr="009F389D">
        <w:t xml:space="preserve"> 100 mg</w:t>
      </w:r>
      <w:r w:rsidR="0042428C">
        <w:t xml:space="preserve"> in </w:t>
      </w:r>
      <w:r w:rsidR="00C2533C" w:rsidRPr="009F389D">
        <w:t>4 mL and bevacizumab</w:t>
      </w:r>
      <w:r w:rsidR="0042428C">
        <w:t xml:space="preserve"> solution for I.V. infusion</w:t>
      </w:r>
      <w:r w:rsidR="00C2533C" w:rsidRPr="009F389D">
        <w:t xml:space="preserve"> 400 mg</w:t>
      </w:r>
      <w:r w:rsidR="0042428C">
        <w:t xml:space="preserve"> in </w:t>
      </w:r>
      <w:r w:rsidR="00C2533C" w:rsidRPr="009F389D">
        <w:t>16 mL (</w:t>
      </w:r>
      <w:r w:rsidR="009D0602">
        <w:t xml:space="preserve">Avastin and </w:t>
      </w:r>
      <w:proofErr w:type="spellStart"/>
      <w:r w:rsidR="00C2533C" w:rsidRPr="009F389D">
        <w:t>Mvasi</w:t>
      </w:r>
      <w:proofErr w:type="spellEnd"/>
      <w:r w:rsidR="00C2533C" w:rsidRPr="009F389D">
        <w:t>)</w:t>
      </w:r>
      <w:r w:rsidR="00EB7210" w:rsidRPr="009F389D">
        <w:rPr>
          <w:i/>
        </w:rPr>
        <w:t xml:space="preserve"> </w:t>
      </w:r>
      <w:r w:rsidRPr="009F389D">
        <w:t>as the main comparator</w:t>
      </w:r>
      <w:r w:rsidR="009D0602">
        <w:t>s</w:t>
      </w:r>
      <w:r w:rsidRPr="009F389D">
        <w:t>.</w:t>
      </w:r>
      <w:r w:rsidR="00EB7210" w:rsidRPr="009F389D">
        <w:t xml:space="preserve"> </w:t>
      </w:r>
      <w:r w:rsidR="00EB7210" w:rsidRPr="003E5E50">
        <w:rPr>
          <w:iCs/>
        </w:rPr>
        <w:t>This was appropriate</w:t>
      </w:r>
      <w:r w:rsidR="008D0748" w:rsidRPr="003E5E50">
        <w:rPr>
          <w:iCs/>
        </w:rPr>
        <w:t xml:space="preserve"> noting that</w:t>
      </w:r>
      <w:r w:rsidR="006C4EE9" w:rsidRPr="003E5E50">
        <w:rPr>
          <w:iCs/>
        </w:rPr>
        <w:t xml:space="preserve"> the</w:t>
      </w:r>
      <w:r w:rsidR="008D0748" w:rsidRPr="003E5E50">
        <w:rPr>
          <w:iCs/>
        </w:rPr>
        <w:t xml:space="preserve"> PBAC recommended listing </w:t>
      </w:r>
      <w:proofErr w:type="spellStart"/>
      <w:r w:rsidR="008D0748" w:rsidRPr="003E5E50">
        <w:rPr>
          <w:iCs/>
        </w:rPr>
        <w:t>Mvasi</w:t>
      </w:r>
      <w:proofErr w:type="spellEnd"/>
      <w:r w:rsidR="008D0748" w:rsidRPr="003E5E50">
        <w:rPr>
          <w:iCs/>
        </w:rPr>
        <w:t xml:space="preserve"> on a cost-minimisation basis to Avastin in November 2020.</w:t>
      </w:r>
    </w:p>
    <w:p w14:paraId="1184BA9A" w14:textId="7E54E815" w:rsidR="00C27C1C" w:rsidRDefault="00C27C1C" w:rsidP="00CC04AD">
      <w:pPr>
        <w:pStyle w:val="3Bodytext"/>
        <w:numPr>
          <w:ilvl w:val="0"/>
          <w:numId w:val="0"/>
        </w:numPr>
        <w:ind w:left="720"/>
        <w:jc w:val="both"/>
        <w:rPr>
          <w:i/>
        </w:rPr>
      </w:pPr>
      <w:r w:rsidRPr="009F389D">
        <w:rPr>
          <w:i/>
        </w:rPr>
        <w:t xml:space="preserve"> </w:t>
      </w:r>
      <w:r w:rsidR="004C2110" w:rsidRPr="004C2110">
        <w:rPr>
          <w:i/>
        </w:rPr>
        <w:t>For more detail on PBAC’s view, see section 6 PBAC outcome.</w:t>
      </w:r>
    </w:p>
    <w:p w14:paraId="313E55A0" w14:textId="408D7AB2" w:rsidR="00C27C1C" w:rsidRPr="0078077E" w:rsidRDefault="00C27C1C" w:rsidP="00CC04AD">
      <w:pPr>
        <w:pStyle w:val="2-SectionHeading"/>
        <w:jc w:val="both"/>
      </w:pPr>
      <w:r w:rsidRPr="003C2FB5">
        <w:t>Consideration of the evidence</w:t>
      </w:r>
    </w:p>
    <w:p w14:paraId="329D9CFF" w14:textId="760189F5" w:rsidR="00506D37" w:rsidRDefault="00506D37" w:rsidP="00CC04AD">
      <w:pPr>
        <w:pStyle w:val="4-SubsectionHeading"/>
        <w:keepNext w:val="0"/>
        <w:rPr>
          <w:lang w:eastAsia="en-US"/>
        </w:rPr>
      </w:pPr>
      <w:r>
        <w:rPr>
          <w:lang w:eastAsia="en-US"/>
        </w:rPr>
        <w:t>Sponsor hearing</w:t>
      </w:r>
    </w:p>
    <w:p w14:paraId="34166A99" w14:textId="64F18366" w:rsidR="00506D37" w:rsidRPr="00506D37" w:rsidRDefault="00506D37" w:rsidP="00CC04AD">
      <w:pPr>
        <w:pStyle w:val="3Bodytext"/>
        <w:jc w:val="both"/>
        <w:rPr>
          <w:lang w:eastAsia="en-US"/>
        </w:rPr>
      </w:pPr>
      <w:r>
        <w:rPr>
          <w:lang w:eastAsia="en-US"/>
        </w:rPr>
        <w:t>There was no hearing for this item.</w:t>
      </w:r>
    </w:p>
    <w:p w14:paraId="6ED2CBF6" w14:textId="3BD45B94" w:rsidR="00506D37" w:rsidRDefault="00506D37" w:rsidP="00CC04AD">
      <w:pPr>
        <w:pStyle w:val="4-SubsectionHeading"/>
        <w:keepNext w:val="0"/>
        <w:rPr>
          <w:lang w:eastAsia="en-US"/>
        </w:rPr>
      </w:pPr>
      <w:r>
        <w:rPr>
          <w:lang w:eastAsia="en-US"/>
        </w:rPr>
        <w:t>Consumer comments</w:t>
      </w:r>
    </w:p>
    <w:p w14:paraId="5CCA08F7" w14:textId="360A8915" w:rsidR="00506D37" w:rsidRPr="00506D37" w:rsidRDefault="00B546FA" w:rsidP="00CC04AD">
      <w:pPr>
        <w:pStyle w:val="3Bodytext"/>
        <w:jc w:val="both"/>
        <w:rPr>
          <w:lang w:eastAsia="en-US"/>
        </w:rPr>
      </w:pPr>
      <w:r>
        <w:rPr>
          <w:lang w:eastAsia="en-US"/>
        </w:rPr>
        <w:t>The PBAC noted that no consumer comments were received for this item.</w:t>
      </w:r>
    </w:p>
    <w:p w14:paraId="3F679FE9" w14:textId="204AC0CA" w:rsidR="00C27C1C" w:rsidRPr="00937958" w:rsidRDefault="00C27C1C" w:rsidP="00CC04AD">
      <w:pPr>
        <w:pStyle w:val="4-SubsectionHeading"/>
        <w:keepNext w:val="0"/>
        <w:rPr>
          <w:lang w:eastAsia="en-US"/>
        </w:rPr>
      </w:pPr>
      <w:r w:rsidRPr="003C2FB5">
        <w:rPr>
          <w:lang w:eastAsia="en-US"/>
        </w:rPr>
        <w:t xml:space="preserve">Clinical </w:t>
      </w:r>
      <w:r w:rsidR="003F2525">
        <w:rPr>
          <w:lang w:eastAsia="en-US"/>
        </w:rPr>
        <w:t xml:space="preserve">studies </w:t>
      </w:r>
    </w:p>
    <w:p w14:paraId="0F3A3B5A" w14:textId="2440DA92" w:rsidR="00A02B25" w:rsidRPr="00637CDD" w:rsidRDefault="0078077E" w:rsidP="00637CDD">
      <w:pPr>
        <w:pStyle w:val="3Bodytext"/>
        <w:jc w:val="both"/>
        <w:rPr>
          <w:i/>
        </w:rPr>
      </w:pPr>
      <w:bookmarkStart w:id="0" w:name="_Hlk86163265"/>
      <w:r>
        <w:rPr>
          <w:iCs/>
        </w:rPr>
        <w:t xml:space="preserve">The submission </w:t>
      </w:r>
      <w:r w:rsidR="00A00671">
        <w:rPr>
          <w:iCs/>
        </w:rPr>
        <w:t>presented the following clinical studies:</w:t>
      </w:r>
    </w:p>
    <w:p w14:paraId="2C0AE789" w14:textId="69F36AC1" w:rsidR="0078077E" w:rsidRPr="00FD7975" w:rsidRDefault="0078077E" w:rsidP="00637CDD">
      <w:pPr>
        <w:pStyle w:val="3Bodytext"/>
        <w:numPr>
          <w:ilvl w:val="0"/>
          <w:numId w:val="0"/>
        </w:numPr>
        <w:spacing w:after="0"/>
        <w:ind w:left="720" w:hanging="720"/>
        <w:rPr>
          <w:rFonts w:ascii="Arial Narrow" w:hAnsi="Arial Narrow"/>
          <w:b/>
          <w:bCs/>
          <w:iCs/>
          <w:sz w:val="20"/>
          <w:szCs w:val="20"/>
        </w:rPr>
      </w:pPr>
      <w:r w:rsidRPr="00FD7975">
        <w:rPr>
          <w:rFonts w:ascii="Arial Narrow" w:hAnsi="Arial Narrow"/>
          <w:b/>
          <w:bCs/>
          <w:iCs/>
          <w:sz w:val="20"/>
          <w:szCs w:val="20"/>
        </w:rPr>
        <w:t xml:space="preserve">Table </w:t>
      </w:r>
      <w:r w:rsidR="00B365D8" w:rsidRPr="00FD7975">
        <w:rPr>
          <w:rFonts w:ascii="Arial Narrow" w:hAnsi="Arial Narrow"/>
          <w:b/>
          <w:bCs/>
          <w:iCs/>
          <w:sz w:val="20"/>
          <w:szCs w:val="20"/>
        </w:rPr>
        <w:t>1</w:t>
      </w:r>
      <w:r w:rsidRPr="00FD7975">
        <w:rPr>
          <w:rFonts w:ascii="Arial Narrow" w:hAnsi="Arial Narrow"/>
          <w:b/>
          <w:bCs/>
          <w:iCs/>
          <w:sz w:val="20"/>
          <w:szCs w:val="20"/>
        </w:rPr>
        <w:t xml:space="preserve">. Clinical studies of </w:t>
      </w:r>
      <w:proofErr w:type="spellStart"/>
      <w:r w:rsidRPr="00FD7975">
        <w:rPr>
          <w:rFonts w:ascii="Arial Narrow" w:hAnsi="Arial Narrow"/>
          <w:b/>
          <w:bCs/>
          <w:iCs/>
          <w:sz w:val="20"/>
          <w:szCs w:val="20"/>
        </w:rPr>
        <w:t>Bevaciptin</w:t>
      </w:r>
      <w:proofErr w:type="spellEnd"/>
      <w:r w:rsidRPr="00FD7975">
        <w:rPr>
          <w:rFonts w:ascii="Arial Narrow" w:hAnsi="Arial Narrow"/>
          <w:b/>
          <w:bCs/>
          <w:iCs/>
          <w:sz w:val="20"/>
          <w:szCs w:val="20"/>
        </w:rPr>
        <w:t xml:space="preserve"> (bevacizumab biosimilar)</w:t>
      </w:r>
    </w:p>
    <w:tbl>
      <w:tblPr>
        <w:tblStyle w:val="TableGrid"/>
        <w:tblW w:w="0" w:type="auto"/>
        <w:tblInd w:w="-5" w:type="dxa"/>
        <w:tblLook w:val="04A0" w:firstRow="1" w:lastRow="0" w:firstColumn="1" w:lastColumn="0" w:noHBand="0" w:noVBand="1"/>
        <w:tblCaption w:val="Table 1. Clinical studies of Bevaciptin (bevacizumab biosimilar)"/>
      </w:tblPr>
      <w:tblGrid>
        <w:gridCol w:w="1560"/>
        <w:gridCol w:w="2126"/>
        <w:gridCol w:w="1843"/>
        <w:gridCol w:w="1886"/>
        <w:gridCol w:w="1606"/>
      </w:tblGrid>
      <w:tr w:rsidR="0078077E" w:rsidRPr="00FD7975" w14:paraId="3BBFCF99" w14:textId="77777777" w:rsidTr="00EF68B3">
        <w:tc>
          <w:tcPr>
            <w:tcW w:w="1560" w:type="dxa"/>
          </w:tcPr>
          <w:p w14:paraId="39612E0A" w14:textId="77777777" w:rsidR="0078077E" w:rsidRPr="00FD7975" w:rsidRDefault="0078077E" w:rsidP="005175B4">
            <w:pPr>
              <w:pStyle w:val="3Bodytext"/>
              <w:numPr>
                <w:ilvl w:val="0"/>
                <w:numId w:val="0"/>
              </w:numPr>
              <w:jc w:val="center"/>
              <w:rPr>
                <w:rFonts w:ascii="Arial Narrow" w:hAnsi="Arial Narrow"/>
                <w:b/>
                <w:bCs/>
                <w:iCs/>
                <w:sz w:val="20"/>
                <w:szCs w:val="20"/>
              </w:rPr>
            </w:pPr>
            <w:r w:rsidRPr="00FD7975">
              <w:rPr>
                <w:rFonts w:ascii="Arial Narrow" w:hAnsi="Arial Narrow"/>
                <w:b/>
                <w:bCs/>
                <w:iCs/>
                <w:sz w:val="20"/>
                <w:szCs w:val="20"/>
              </w:rPr>
              <w:t>Study</w:t>
            </w:r>
          </w:p>
        </w:tc>
        <w:tc>
          <w:tcPr>
            <w:tcW w:w="2126" w:type="dxa"/>
          </w:tcPr>
          <w:p w14:paraId="6030031B" w14:textId="77777777" w:rsidR="0078077E" w:rsidRPr="00FD7975" w:rsidRDefault="0078077E" w:rsidP="005175B4">
            <w:pPr>
              <w:pStyle w:val="3Bodytext"/>
              <w:numPr>
                <w:ilvl w:val="0"/>
                <w:numId w:val="0"/>
              </w:numPr>
              <w:jc w:val="center"/>
              <w:rPr>
                <w:rFonts w:ascii="Arial Narrow" w:hAnsi="Arial Narrow"/>
                <w:b/>
                <w:bCs/>
                <w:iCs/>
                <w:sz w:val="20"/>
                <w:szCs w:val="20"/>
              </w:rPr>
            </w:pPr>
            <w:r w:rsidRPr="00FD7975">
              <w:rPr>
                <w:rFonts w:ascii="Arial Narrow" w:hAnsi="Arial Narrow"/>
                <w:b/>
                <w:bCs/>
                <w:iCs/>
                <w:sz w:val="20"/>
                <w:szCs w:val="20"/>
              </w:rPr>
              <w:t>Objective(s)</w:t>
            </w:r>
          </w:p>
        </w:tc>
        <w:tc>
          <w:tcPr>
            <w:tcW w:w="1843" w:type="dxa"/>
          </w:tcPr>
          <w:p w14:paraId="2CF41BF8" w14:textId="77777777" w:rsidR="0078077E" w:rsidRPr="00FD7975" w:rsidRDefault="0078077E" w:rsidP="005175B4">
            <w:pPr>
              <w:pStyle w:val="3Bodytext"/>
              <w:numPr>
                <w:ilvl w:val="0"/>
                <w:numId w:val="0"/>
              </w:numPr>
              <w:jc w:val="center"/>
              <w:rPr>
                <w:rFonts w:ascii="Arial Narrow" w:hAnsi="Arial Narrow"/>
                <w:b/>
                <w:bCs/>
                <w:iCs/>
                <w:sz w:val="20"/>
                <w:szCs w:val="20"/>
              </w:rPr>
            </w:pPr>
            <w:r w:rsidRPr="00FD7975">
              <w:rPr>
                <w:rFonts w:ascii="Arial Narrow" w:hAnsi="Arial Narrow"/>
                <w:b/>
                <w:bCs/>
                <w:iCs/>
                <w:sz w:val="20"/>
                <w:szCs w:val="20"/>
              </w:rPr>
              <w:t>Design</w:t>
            </w:r>
          </w:p>
        </w:tc>
        <w:tc>
          <w:tcPr>
            <w:tcW w:w="1886" w:type="dxa"/>
          </w:tcPr>
          <w:p w14:paraId="2BE1C7EB" w14:textId="77777777" w:rsidR="0078077E" w:rsidRPr="00FD7975" w:rsidRDefault="0078077E" w:rsidP="005175B4">
            <w:pPr>
              <w:pStyle w:val="3Bodytext"/>
              <w:numPr>
                <w:ilvl w:val="0"/>
                <w:numId w:val="0"/>
              </w:numPr>
              <w:jc w:val="center"/>
              <w:rPr>
                <w:rFonts w:ascii="Arial Narrow" w:hAnsi="Arial Narrow"/>
                <w:b/>
                <w:bCs/>
                <w:iCs/>
                <w:sz w:val="20"/>
                <w:szCs w:val="20"/>
              </w:rPr>
            </w:pPr>
            <w:r w:rsidRPr="00FD7975">
              <w:rPr>
                <w:rFonts w:ascii="Arial Narrow" w:hAnsi="Arial Narrow"/>
                <w:b/>
                <w:bCs/>
                <w:iCs/>
                <w:sz w:val="20"/>
                <w:szCs w:val="20"/>
              </w:rPr>
              <w:t>Treatments</w:t>
            </w:r>
          </w:p>
        </w:tc>
        <w:tc>
          <w:tcPr>
            <w:tcW w:w="1606" w:type="dxa"/>
          </w:tcPr>
          <w:p w14:paraId="0FBF5F83" w14:textId="77777777" w:rsidR="0078077E" w:rsidRPr="00FD7975" w:rsidRDefault="0078077E" w:rsidP="005175B4">
            <w:pPr>
              <w:pStyle w:val="3Bodytext"/>
              <w:numPr>
                <w:ilvl w:val="0"/>
                <w:numId w:val="0"/>
              </w:numPr>
              <w:jc w:val="center"/>
              <w:rPr>
                <w:rFonts w:ascii="Arial Narrow" w:hAnsi="Arial Narrow"/>
                <w:b/>
                <w:bCs/>
                <w:iCs/>
                <w:sz w:val="20"/>
                <w:szCs w:val="20"/>
              </w:rPr>
            </w:pPr>
            <w:r w:rsidRPr="00FD7975">
              <w:rPr>
                <w:rFonts w:ascii="Arial Narrow" w:hAnsi="Arial Narrow"/>
                <w:b/>
                <w:bCs/>
                <w:iCs/>
                <w:sz w:val="20"/>
                <w:szCs w:val="20"/>
              </w:rPr>
              <w:t>Subjects</w:t>
            </w:r>
          </w:p>
        </w:tc>
      </w:tr>
      <w:tr w:rsidR="0078077E" w:rsidRPr="00FD7975" w14:paraId="56581CC3" w14:textId="77777777" w:rsidTr="00EF68B3">
        <w:tc>
          <w:tcPr>
            <w:tcW w:w="1560" w:type="dxa"/>
          </w:tcPr>
          <w:p w14:paraId="488C0476" w14:textId="77777777" w:rsidR="0078077E" w:rsidRPr="00FD7975" w:rsidRDefault="0078077E" w:rsidP="005175B4">
            <w:pPr>
              <w:pStyle w:val="Table"/>
              <w:rPr>
                <w:szCs w:val="20"/>
              </w:rPr>
            </w:pPr>
            <w:r w:rsidRPr="00FD7975">
              <w:rPr>
                <w:szCs w:val="20"/>
              </w:rPr>
              <w:t>MB02-A-02-17</w:t>
            </w:r>
          </w:p>
        </w:tc>
        <w:tc>
          <w:tcPr>
            <w:tcW w:w="2126" w:type="dxa"/>
          </w:tcPr>
          <w:p w14:paraId="3E940194"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 xml:space="preserve">The primary objective was to investigate and compare the PK profiles of bevacizumab biosimilar (MB02 - BEVACIPTIN), US-Avastin and EU-Avastin to establish bioequivalence. The study also compared other PK parameters and the safety profiles and immunogenicity of </w:t>
            </w:r>
            <w:proofErr w:type="spellStart"/>
            <w:r w:rsidRPr="00FD7975">
              <w:rPr>
                <w:rFonts w:ascii="Arial Narrow" w:hAnsi="Arial Narrow"/>
                <w:sz w:val="20"/>
                <w:szCs w:val="20"/>
              </w:rPr>
              <w:t>Bevaciptin</w:t>
            </w:r>
            <w:proofErr w:type="spellEnd"/>
            <w:r w:rsidRPr="00FD7975">
              <w:rPr>
                <w:rFonts w:ascii="Arial Narrow" w:hAnsi="Arial Narrow"/>
                <w:sz w:val="20"/>
                <w:szCs w:val="20"/>
              </w:rPr>
              <w:t>, US and EU-Avastin</w:t>
            </w:r>
          </w:p>
        </w:tc>
        <w:tc>
          <w:tcPr>
            <w:tcW w:w="1843" w:type="dxa"/>
          </w:tcPr>
          <w:p w14:paraId="4F0D5505" w14:textId="77777777" w:rsidR="0078077E" w:rsidRPr="00FD7975" w:rsidRDefault="0078077E" w:rsidP="005175B4">
            <w:pPr>
              <w:pStyle w:val="Table"/>
              <w:rPr>
                <w:szCs w:val="20"/>
              </w:rPr>
            </w:pPr>
            <w:r w:rsidRPr="00FD7975">
              <w:rPr>
                <w:szCs w:val="20"/>
              </w:rPr>
              <w:t>Phase I</w:t>
            </w:r>
          </w:p>
          <w:p w14:paraId="4D837AE1" w14:textId="77777777" w:rsidR="0078077E" w:rsidRPr="00FD7975" w:rsidRDefault="0078077E" w:rsidP="005175B4">
            <w:pPr>
              <w:pStyle w:val="Table"/>
              <w:rPr>
                <w:szCs w:val="20"/>
              </w:rPr>
            </w:pPr>
          </w:p>
          <w:p w14:paraId="480DF051"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Multicentre (UK), Double blind, randomised, parallel arm, comparator</w:t>
            </w:r>
          </w:p>
        </w:tc>
        <w:tc>
          <w:tcPr>
            <w:tcW w:w="1886" w:type="dxa"/>
          </w:tcPr>
          <w:p w14:paraId="59C92073" w14:textId="77777777" w:rsidR="0078077E" w:rsidRPr="00FD7975" w:rsidRDefault="0078077E" w:rsidP="005175B4">
            <w:pPr>
              <w:pStyle w:val="Table"/>
              <w:rPr>
                <w:szCs w:val="20"/>
              </w:rPr>
            </w:pPr>
            <w:r w:rsidRPr="00FD7975">
              <w:rPr>
                <w:szCs w:val="20"/>
              </w:rPr>
              <w:t>Single dose of 3 mg/kg</w:t>
            </w:r>
          </w:p>
          <w:p w14:paraId="13EED17E"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 xml:space="preserve">MB02, US-Avastin or EU-Avastin administered by </w:t>
            </w:r>
            <w:proofErr w:type="spellStart"/>
            <w:r w:rsidRPr="00FD7975">
              <w:rPr>
                <w:rFonts w:ascii="Arial Narrow" w:hAnsi="Arial Narrow"/>
                <w:sz w:val="20"/>
                <w:szCs w:val="20"/>
              </w:rPr>
              <w:t>i.v.</w:t>
            </w:r>
            <w:proofErr w:type="spellEnd"/>
            <w:r w:rsidRPr="00FD7975">
              <w:rPr>
                <w:rFonts w:ascii="Arial Narrow" w:hAnsi="Arial Narrow"/>
                <w:sz w:val="20"/>
                <w:szCs w:val="20"/>
              </w:rPr>
              <w:t xml:space="preserve"> infusion</w:t>
            </w:r>
          </w:p>
        </w:tc>
        <w:tc>
          <w:tcPr>
            <w:tcW w:w="1606" w:type="dxa"/>
          </w:tcPr>
          <w:p w14:paraId="4BE78FF6" w14:textId="77777777" w:rsidR="0078077E" w:rsidRPr="00FD7975" w:rsidRDefault="0078077E" w:rsidP="005175B4">
            <w:pPr>
              <w:pStyle w:val="Table"/>
              <w:rPr>
                <w:szCs w:val="20"/>
              </w:rPr>
            </w:pPr>
            <w:r w:rsidRPr="00FD7975">
              <w:rPr>
                <w:szCs w:val="20"/>
              </w:rPr>
              <w:t>Healthy male subjects</w:t>
            </w:r>
          </w:p>
          <w:p w14:paraId="0D8AAB42" w14:textId="77777777" w:rsidR="0078077E" w:rsidRPr="00FD7975" w:rsidRDefault="0078077E" w:rsidP="005175B4">
            <w:pPr>
              <w:pStyle w:val="Table"/>
              <w:rPr>
                <w:szCs w:val="20"/>
              </w:rPr>
            </w:pPr>
          </w:p>
          <w:p w14:paraId="1BD8C31E" w14:textId="77777777" w:rsidR="0078077E" w:rsidRPr="00FD7975" w:rsidRDefault="0078077E" w:rsidP="005175B4">
            <w:pPr>
              <w:pStyle w:val="Table"/>
              <w:rPr>
                <w:szCs w:val="20"/>
              </w:rPr>
            </w:pPr>
            <w:r w:rsidRPr="00FD7975">
              <w:rPr>
                <w:szCs w:val="20"/>
              </w:rPr>
              <w:t>Randomised: 114 subjects</w:t>
            </w:r>
          </w:p>
          <w:p w14:paraId="65C21BF4" w14:textId="77777777" w:rsidR="0078077E" w:rsidRPr="00FD7975" w:rsidRDefault="0078077E" w:rsidP="005175B4">
            <w:pPr>
              <w:pStyle w:val="Table"/>
              <w:rPr>
                <w:szCs w:val="20"/>
              </w:rPr>
            </w:pPr>
            <w:r w:rsidRPr="00FD7975">
              <w:rPr>
                <w:szCs w:val="20"/>
              </w:rPr>
              <w:t xml:space="preserve">MB02: 38 </w:t>
            </w:r>
          </w:p>
          <w:p w14:paraId="62B75979" w14:textId="77777777" w:rsidR="0078077E" w:rsidRPr="00FD7975" w:rsidRDefault="0078077E" w:rsidP="005175B4">
            <w:pPr>
              <w:pStyle w:val="Table"/>
              <w:rPr>
                <w:szCs w:val="20"/>
              </w:rPr>
            </w:pPr>
            <w:r w:rsidRPr="00FD7975">
              <w:rPr>
                <w:szCs w:val="20"/>
              </w:rPr>
              <w:t xml:space="preserve">US-Avastin: 38 </w:t>
            </w:r>
          </w:p>
          <w:p w14:paraId="2EF05E22"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EU-Avastin: 38</w:t>
            </w:r>
          </w:p>
        </w:tc>
      </w:tr>
      <w:tr w:rsidR="0078077E" w:rsidRPr="00FD7975" w14:paraId="6B47C2CA" w14:textId="77777777" w:rsidTr="00EF68B3">
        <w:tc>
          <w:tcPr>
            <w:tcW w:w="1560" w:type="dxa"/>
          </w:tcPr>
          <w:p w14:paraId="0D543996"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MB02-A-05-18</w:t>
            </w:r>
          </w:p>
        </w:tc>
        <w:tc>
          <w:tcPr>
            <w:tcW w:w="2126" w:type="dxa"/>
          </w:tcPr>
          <w:p w14:paraId="7331F3AD"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As above</w:t>
            </w:r>
          </w:p>
        </w:tc>
        <w:tc>
          <w:tcPr>
            <w:tcW w:w="1843" w:type="dxa"/>
          </w:tcPr>
          <w:p w14:paraId="5E5E18ED" w14:textId="77777777" w:rsidR="0078077E" w:rsidRPr="00FD7975" w:rsidRDefault="0078077E" w:rsidP="005175B4">
            <w:pPr>
              <w:pStyle w:val="Table"/>
              <w:rPr>
                <w:szCs w:val="20"/>
              </w:rPr>
            </w:pPr>
            <w:r w:rsidRPr="00FD7975">
              <w:rPr>
                <w:szCs w:val="20"/>
              </w:rPr>
              <w:t>Phase I</w:t>
            </w:r>
          </w:p>
          <w:p w14:paraId="5AEF1749" w14:textId="77777777" w:rsidR="0078077E" w:rsidRPr="00FD7975" w:rsidRDefault="0078077E" w:rsidP="005175B4">
            <w:pPr>
              <w:pStyle w:val="Table"/>
              <w:rPr>
                <w:szCs w:val="20"/>
              </w:rPr>
            </w:pPr>
          </w:p>
          <w:p w14:paraId="215D2789"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 xml:space="preserve">Single centre (Germany), Double blind, randomised, </w:t>
            </w:r>
            <w:r w:rsidRPr="00FD7975">
              <w:rPr>
                <w:rFonts w:ascii="Arial Narrow" w:hAnsi="Arial Narrow"/>
                <w:sz w:val="20"/>
                <w:szCs w:val="20"/>
              </w:rPr>
              <w:lastRenderedPageBreak/>
              <w:t>parallel arm, comparator</w:t>
            </w:r>
          </w:p>
        </w:tc>
        <w:tc>
          <w:tcPr>
            <w:tcW w:w="1886" w:type="dxa"/>
          </w:tcPr>
          <w:p w14:paraId="0DC26859"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lastRenderedPageBreak/>
              <w:t>As above</w:t>
            </w:r>
          </w:p>
        </w:tc>
        <w:tc>
          <w:tcPr>
            <w:tcW w:w="1606" w:type="dxa"/>
          </w:tcPr>
          <w:p w14:paraId="7629CCEF" w14:textId="77777777" w:rsidR="0078077E" w:rsidRPr="00FD7975" w:rsidRDefault="0078077E" w:rsidP="005175B4">
            <w:pPr>
              <w:pStyle w:val="Table"/>
              <w:rPr>
                <w:szCs w:val="20"/>
              </w:rPr>
            </w:pPr>
            <w:r w:rsidRPr="00FD7975">
              <w:rPr>
                <w:szCs w:val="20"/>
              </w:rPr>
              <w:t>Healthy male subjects</w:t>
            </w:r>
          </w:p>
          <w:p w14:paraId="3CA7EC47" w14:textId="77777777" w:rsidR="0078077E" w:rsidRPr="00FD7975" w:rsidRDefault="0078077E" w:rsidP="005175B4">
            <w:pPr>
              <w:pStyle w:val="Table"/>
              <w:rPr>
                <w:szCs w:val="20"/>
              </w:rPr>
            </w:pPr>
          </w:p>
          <w:p w14:paraId="11203896" w14:textId="77777777" w:rsidR="0078077E" w:rsidRPr="00FD7975" w:rsidRDefault="0078077E" w:rsidP="005175B4">
            <w:pPr>
              <w:pStyle w:val="Table"/>
              <w:rPr>
                <w:szCs w:val="20"/>
              </w:rPr>
            </w:pPr>
            <w:r w:rsidRPr="00FD7975">
              <w:rPr>
                <w:szCs w:val="20"/>
              </w:rPr>
              <w:t xml:space="preserve">Randomised: 115 subjects </w:t>
            </w:r>
          </w:p>
          <w:p w14:paraId="1C278F56" w14:textId="77777777" w:rsidR="0078077E" w:rsidRPr="00FD7975" w:rsidRDefault="0078077E" w:rsidP="005175B4">
            <w:pPr>
              <w:pStyle w:val="Table"/>
              <w:rPr>
                <w:szCs w:val="20"/>
              </w:rPr>
            </w:pPr>
            <w:r w:rsidRPr="00FD7975">
              <w:rPr>
                <w:szCs w:val="20"/>
              </w:rPr>
              <w:lastRenderedPageBreak/>
              <w:t xml:space="preserve">MB02: 38 </w:t>
            </w:r>
          </w:p>
          <w:p w14:paraId="34B29C9A" w14:textId="77777777" w:rsidR="0078077E" w:rsidRPr="00FD7975" w:rsidRDefault="0078077E" w:rsidP="005175B4">
            <w:pPr>
              <w:pStyle w:val="Table"/>
              <w:rPr>
                <w:szCs w:val="20"/>
              </w:rPr>
            </w:pPr>
            <w:r w:rsidRPr="00FD7975">
              <w:rPr>
                <w:szCs w:val="20"/>
              </w:rPr>
              <w:t xml:space="preserve">US-Avastin: 38 </w:t>
            </w:r>
          </w:p>
          <w:p w14:paraId="432E88ED"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EU-Avastin: 38</w:t>
            </w:r>
          </w:p>
        </w:tc>
      </w:tr>
      <w:tr w:rsidR="0078077E" w:rsidRPr="00FD7975" w14:paraId="0BA7E133" w14:textId="77777777" w:rsidTr="00EF68B3">
        <w:tc>
          <w:tcPr>
            <w:tcW w:w="1560" w:type="dxa"/>
          </w:tcPr>
          <w:p w14:paraId="3B089F4B"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lastRenderedPageBreak/>
              <w:t>MB02-A-04-18</w:t>
            </w:r>
          </w:p>
        </w:tc>
        <w:tc>
          <w:tcPr>
            <w:tcW w:w="2126" w:type="dxa"/>
          </w:tcPr>
          <w:p w14:paraId="54D3C6E7"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The primary objective was to demonstrate PK similarity by the Area under the concentration time curve extrapolated to infinity (</w:t>
            </w:r>
            <w:proofErr w:type="gramStart"/>
            <w:r w:rsidRPr="00FD7975">
              <w:rPr>
                <w:rFonts w:ascii="Arial Narrow" w:hAnsi="Arial Narrow"/>
                <w:sz w:val="20"/>
                <w:szCs w:val="20"/>
              </w:rPr>
              <w:t>AUC(</w:t>
            </w:r>
            <w:proofErr w:type="gramEnd"/>
            <w:r w:rsidRPr="00FD7975">
              <w:rPr>
                <w:rFonts w:ascii="Arial Narrow" w:hAnsi="Arial Narrow"/>
                <w:sz w:val="20"/>
                <w:szCs w:val="20"/>
              </w:rPr>
              <w:t>0-∞)) between the 2 study arms, bevacizumab biosimilar MB02 (</w:t>
            </w:r>
            <w:proofErr w:type="spellStart"/>
            <w:r w:rsidRPr="00FD7975">
              <w:rPr>
                <w:rFonts w:ascii="Arial Narrow" w:hAnsi="Arial Narrow"/>
                <w:sz w:val="20"/>
                <w:szCs w:val="20"/>
              </w:rPr>
              <w:t>Bevaciptin</w:t>
            </w:r>
            <w:proofErr w:type="spellEnd"/>
            <w:r w:rsidRPr="00FD7975">
              <w:rPr>
                <w:rFonts w:ascii="Arial Narrow" w:hAnsi="Arial Narrow"/>
                <w:sz w:val="20"/>
                <w:szCs w:val="20"/>
              </w:rPr>
              <w:t>) and EU-Avastin. This study also compared other PK parameters and the safety profiles and immunogenicity of MB02 and EU-Avastin</w:t>
            </w:r>
          </w:p>
        </w:tc>
        <w:tc>
          <w:tcPr>
            <w:tcW w:w="1843" w:type="dxa"/>
          </w:tcPr>
          <w:p w14:paraId="5B8270C5" w14:textId="77777777" w:rsidR="0078077E" w:rsidRPr="00FD7975" w:rsidRDefault="0078077E" w:rsidP="005175B4">
            <w:pPr>
              <w:pStyle w:val="Table"/>
              <w:rPr>
                <w:szCs w:val="20"/>
              </w:rPr>
            </w:pPr>
            <w:r w:rsidRPr="00FD7975">
              <w:rPr>
                <w:szCs w:val="20"/>
              </w:rPr>
              <w:t>Phase I</w:t>
            </w:r>
          </w:p>
          <w:p w14:paraId="362D2223" w14:textId="77777777" w:rsidR="0078077E" w:rsidRPr="00FD7975" w:rsidRDefault="0078077E" w:rsidP="005175B4">
            <w:pPr>
              <w:pStyle w:val="Table"/>
              <w:rPr>
                <w:szCs w:val="20"/>
              </w:rPr>
            </w:pPr>
          </w:p>
          <w:p w14:paraId="7C837A1E"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Single centre (Japan), Double blind, randomised, parallel arm, comparator</w:t>
            </w:r>
          </w:p>
        </w:tc>
        <w:tc>
          <w:tcPr>
            <w:tcW w:w="1886" w:type="dxa"/>
          </w:tcPr>
          <w:p w14:paraId="5AF0D632"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 xml:space="preserve">Single dose of 3 mg/kg MB02 or EU-Avastin administered by </w:t>
            </w:r>
            <w:proofErr w:type="spellStart"/>
            <w:r w:rsidRPr="00FD7975">
              <w:rPr>
                <w:rFonts w:ascii="Arial Narrow" w:hAnsi="Arial Narrow"/>
                <w:sz w:val="20"/>
                <w:szCs w:val="20"/>
              </w:rPr>
              <w:t>i.v.</w:t>
            </w:r>
            <w:proofErr w:type="spellEnd"/>
            <w:r w:rsidRPr="00FD7975">
              <w:rPr>
                <w:rFonts w:ascii="Arial Narrow" w:hAnsi="Arial Narrow"/>
                <w:sz w:val="20"/>
                <w:szCs w:val="20"/>
              </w:rPr>
              <w:t xml:space="preserve"> infusion</w:t>
            </w:r>
          </w:p>
        </w:tc>
        <w:tc>
          <w:tcPr>
            <w:tcW w:w="1606" w:type="dxa"/>
          </w:tcPr>
          <w:p w14:paraId="64561B65" w14:textId="77777777" w:rsidR="0078077E" w:rsidRPr="00FD7975" w:rsidRDefault="0078077E" w:rsidP="005175B4">
            <w:pPr>
              <w:pStyle w:val="Table"/>
              <w:rPr>
                <w:szCs w:val="20"/>
              </w:rPr>
            </w:pPr>
            <w:r w:rsidRPr="00FD7975">
              <w:rPr>
                <w:szCs w:val="20"/>
              </w:rPr>
              <w:t>Healthy male subjects</w:t>
            </w:r>
          </w:p>
          <w:p w14:paraId="5665ECB9" w14:textId="77777777" w:rsidR="0078077E" w:rsidRPr="00FD7975" w:rsidRDefault="0078077E" w:rsidP="005175B4">
            <w:pPr>
              <w:pStyle w:val="Table"/>
              <w:rPr>
                <w:szCs w:val="20"/>
              </w:rPr>
            </w:pPr>
          </w:p>
          <w:p w14:paraId="1F3758CA" w14:textId="77777777" w:rsidR="0078077E" w:rsidRPr="00FD7975" w:rsidRDefault="0078077E" w:rsidP="005175B4">
            <w:pPr>
              <w:pStyle w:val="Table"/>
              <w:rPr>
                <w:szCs w:val="20"/>
              </w:rPr>
            </w:pPr>
            <w:r w:rsidRPr="00FD7975">
              <w:rPr>
                <w:szCs w:val="20"/>
              </w:rPr>
              <w:t xml:space="preserve">Randomised: 48 subjects </w:t>
            </w:r>
          </w:p>
          <w:p w14:paraId="29560038" w14:textId="77777777" w:rsidR="0078077E" w:rsidRPr="00FD7975" w:rsidRDefault="0078077E" w:rsidP="005175B4">
            <w:pPr>
              <w:pStyle w:val="Table"/>
              <w:rPr>
                <w:szCs w:val="20"/>
              </w:rPr>
            </w:pPr>
            <w:r w:rsidRPr="00FD7975">
              <w:rPr>
                <w:szCs w:val="20"/>
              </w:rPr>
              <w:t xml:space="preserve">MB02: 24 </w:t>
            </w:r>
          </w:p>
          <w:p w14:paraId="63533F15"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EU-Avastin: 24</w:t>
            </w:r>
          </w:p>
        </w:tc>
      </w:tr>
      <w:tr w:rsidR="0078077E" w:rsidRPr="00FD7975" w14:paraId="5B36757C" w14:textId="77777777" w:rsidTr="00EF68B3">
        <w:tc>
          <w:tcPr>
            <w:tcW w:w="1560" w:type="dxa"/>
          </w:tcPr>
          <w:p w14:paraId="42770977"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BEVZ92-A-01-13</w:t>
            </w:r>
          </w:p>
        </w:tc>
        <w:tc>
          <w:tcPr>
            <w:tcW w:w="2126" w:type="dxa"/>
          </w:tcPr>
          <w:p w14:paraId="6BB2ECF3"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The primary objective was to compare the PK profile of bevacizumab biosimilar BEVZ92* (</w:t>
            </w:r>
            <w:proofErr w:type="spellStart"/>
            <w:r w:rsidRPr="00FD7975">
              <w:rPr>
                <w:rFonts w:ascii="Arial Narrow" w:hAnsi="Arial Narrow"/>
                <w:sz w:val="20"/>
                <w:szCs w:val="20"/>
              </w:rPr>
              <w:t>Bevaciptin</w:t>
            </w:r>
            <w:proofErr w:type="spellEnd"/>
            <w:r w:rsidRPr="00FD7975">
              <w:rPr>
                <w:rFonts w:ascii="Arial Narrow" w:hAnsi="Arial Narrow"/>
                <w:sz w:val="20"/>
                <w:szCs w:val="20"/>
              </w:rPr>
              <w:t>) and EU-Avastin, both administered in combination with fluorouracil, leucovorin and oxaliplatin (FOLFOX) or fluorouracil, leucovorin and irinotecan (FOLFIRI). Additional PK parameters, safety profiles, immunogenicity, ORR, and PFS were also examined</w:t>
            </w:r>
          </w:p>
        </w:tc>
        <w:tc>
          <w:tcPr>
            <w:tcW w:w="1843" w:type="dxa"/>
          </w:tcPr>
          <w:p w14:paraId="4A39147F" w14:textId="77777777" w:rsidR="0078077E" w:rsidRPr="00FD7975" w:rsidRDefault="0078077E" w:rsidP="005175B4">
            <w:pPr>
              <w:pStyle w:val="Table"/>
              <w:rPr>
                <w:szCs w:val="20"/>
              </w:rPr>
            </w:pPr>
            <w:r w:rsidRPr="00FD7975">
              <w:rPr>
                <w:szCs w:val="20"/>
              </w:rPr>
              <w:t>Phase I</w:t>
            </w:r>
          </w:p>
          <w:p w14:paraId="0AD42D79" w14:textId="77777777" w:rsidR="0078077E" w:rsidRPr="00FD7975" w:rsidRDefault="0078077E" w:rsidP="005175B4">
            <w:pPr>
              <w:pStyle w:val="Table"/>
              <w:rPr>
                <w:szCs w:val="20"/>
              </w:rPr>
            </w:pPr>
          </w:p>
          <w:p w14:paraId="08E12C90"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Open label, randomised, parallel arm, comparator</w:t>
            </w:r>
          </w:p>
        </w:tc>
        <w:tc>
          <w:tcPr>
            <w:tcW w:w="1886" w:type="dxa"/>
          </w:tcPr>
          <w:p w14:paraId="41774D3B" w14:textId="77777777" w:rsidR="0078077E" w:rsidRPr="00FD7975" w:rsidRDefault="0078077E" w:rsidP="005175B4">
            <w:pPr>
              <w:pStyle w:val="Table"/>
              <w:rPr>
                <w:szCs w:val="20"/>
              </w:rPr>
            </w:pPr>
            <w:r w:rsidRPr="00FD7975">
              <w:rPr>
                <w:szCs w:val="20"/>
              </w:rPr>
              <w:t xml:space="preserve">5 mg/kg BEVZ92 or EU-Avastin administered in combination with FOLFOX or FOLFIRI by </w:t>
            </w:r>
            <w:proofErr w:type="spellStart"/>
            <w:r w:rsidRPr="00FD7975">
              <w:rPr>
                <w:szCs w:val="20"/>
              </w:rPr>
              <w:t>i.v.</w:t>
            </w:r>
            <w:proofErr w:type="spellEnd"/>
            <w:r w:rsidRPr="00FD7975">
              <w:rPr>
                <w:szCs w:val="20"/>
              </w:rPr>
              <w:t xml:space="preserve"> infusion once every two weeks</w:t>
            </w:r>
          </w:p>
          <w:p w14:paraId="18DA9DC3" w14:textId="77777777" w:rsidR="0078077E" w:rsidRPr="00FD7975" w:rsidRDefault="0078077E" w:rsidP="005175B4">
            <w:pPr>
              <w:pStyle w:val="Table"/>
              <w:rPr>
                <w:szCs w:val="20"/>
              </w:rPr>
            </w:pPr>
          </w:p>
          <w:p w14:paraId="15E306B4" w14:textId="77777777" w:rsidR="0078077E" w:rsidRPr="00FD7975" w:rsidRDefault="0078077E" w:rsidP="005175B4">
            <w:pPr>
              <w:pStyle w:val="Table"/>
              <w:rPr>
                <w:szCs w:val="20"/>
              </w:rPr>
            </w:pPr>
            <w:r w:rsidRPr="00FD7975">
              <w:rPr>
                <w:szCs w:val="20"/>
              </w:rPr>
              <w:t xml:space="preserve">Treatment was administered until disease progression, unacceptable </w:t>
            </w:r>
            <w:proofErr w:type="gramStart"/>
            <w:r w:rsidRPr="00FD7975">
              <w:rPr>
                <w:szCs w:val="20"/>
              </w:rPr>
              <w:t>toxicity</w:t>
            </w:r>
            <w:proofErr w:type="gramEnd"/>
            <w:r w:rsidRPr="00FD7975">
              <w:rPr>
                <w:szCs w:val="20"/>
              </w:rPr>
              <w:t xml:space="preserve"> or withdrawal of consent</w:t>
            </w:r>
          </w:p>
          <w:p w14:paraId="4184D818" w14:textId="77777777" w:rsidR="0078077E" w:rsidRPr="00FD7975" w:rsidRDefault="0078077E" w:rsidP="005175B4">
            <w:pPr>
              <w:pStyle w:val="Table"/>
              <w:rPr>
                <w:szCs w:val="20"/>
              </w:rPr>
            </w:pPr>
          </w:p>
          <w:p w14:paraId="2062ED1C" w14:textId="77777777" w:rsidR="0078077E" w:rsidRPr="00FD7975" w:rsidRDefault="0078077E" w:rsidP="005175B4">
            <w:pPr>
              <w:pStyle w:val="Table"/>
              <w:rPr>
                <w:szCs w:val="20"/>
              </w:rPr>
            </w:pPr>
            <w:r w:rsidRPr="00FD7975">
              <w:rPr>
                <w:szCs w:val="20"/>
              </w:rPr>
              <w:t xml:space="preserve">Maximum duration </w:t>
            </w:r>
          </w:p>
          <w:p w14:paraId="0E2EFD3A" w14:textId="77777777" w:rsidR="0078077E" w:rsidRPr="00FD7975" w:rsidRDefault="0078077E" w:rsidP="005175B4">
            <w:pPr>
              <w:pStyle w:val="Table"/>
              <w:rPr>
                <w:szCs w:val="20"/>
              </w:rPr>
            </w:pPr>
            <w:r w:rsidRPr="00FD7975">
              <w:rPr>
                <w:szCs w:val="20"/>
              </w:rPr>
              <w:t>BEVZ92 arm = 88 weeks (44 cycles)</w:t>
            </w:r>
          </w:p>
          <w:p w14:paraId="3BB55A6F"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Avastin arm= 122 weeks (61 cycles)</w:t>
            </w:r>
          </w:p>
        </w:tc>
        <w:tc>
          <w:tcPr>
            <w:tcW w:w="1606" w:type="dxa"/>
          </w:tcPr>
          <w:p w14:paraId="375B2F4A" w14:textId="77777777" w:rsidR="0078077E" w:rsidRPr="00FD7975" w:rsidRDefault="0078077E" w:rsidP="005175B4">
            <w:pPr>
              <w:pStyle w:val="Table"/>
              <w:rPr>
                <w:szCs w:val="20"/>
              </w:rPr>
            </w:pPr>
            <w:r w:rsidRPr="00FD7975">
              <w:rPr>
                <w:szCs w:val="20"/>
              </w:rPr>
              <w:t>Subjects with metastatic CRC</w:t>
            </w:r>
          </w:p>
          <w:p w14:paraId="4031F0FD" w14:textId="77777777" w:rsidR="0078077E" w:rsidRPr="00FD7975" w:rsidRDefault="0078077E" w:rsidP="005175B4">
            <w:pPr>
              <w:pStyle w:val="Table"/>
              <w:rPr>
                <w:szCs w:val="20"/>
              </w:rPr>
            </w:pPr>
          </w:p>
          <w:p w14:paraId="56F70236" w14:textId="77777777" w:rsidR="0078077E" w:rsidRPr="00FD7975" w:rsidRDefault="0078077E" w:rsidP="005175B4">
            <w:pPr>
              <w:pStyle w:val="Table"/>
              <w:rPr>
                <w:szCs w:val="20"/>
              </w:rPr>
            </w:pPr>
            <w:r w:rsidRPr="00FD7975">
              <w:rPr>
                <w:szCs w:val="20"/>
              </w:rPr>
              <w:t xml:space="preserve">Randomised: 142 subjects </w:t>
            </w:r>
          </w:p>
          <w:p w14:paraId="5D1CA576" w14:textId="77777777" w:rsidR="0078077E" w:rsidRPr="00FD7975" w:rsidRDefault="0078077E" w:rsidP="005175B4">
            <w:pPr>
              <w:pStyle w:val="Table"/>
              <w:rPr>
                <w:szCs w:val="20"/>
              </w:rPr>
            </w:pPr>
            <w:r w:rsidRPr="00FD7975">
              <w:rPr>
                <w:szCs w:val="20"/>
              </w:rPr>
              <w:t xml:space="preserve">BEVZ92: 71 </w:t>
            </w:r>
          </w:p>
          <w:p w14:paraId="2F048386"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EU-Avastin: 71</w:t>
            </w:r>
          </w:p>
        </w:tc>
      </w:tr>
      <w:tr w:rsidR="0078077E" w:rsidRPr="00FD7975" w14:paraId="6EABC337" w14:textId="77777777" w:rsidTr="00EF68B3">
        <w:tc>
          <w:tcPr>
            <w:tcW w:w="1560" w:type="dxa"/>
          </w:tcPr>
          <w:p w14:paraId="5345ECAA"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MB02-C-02-17</w:t>
            </w:r>
          </w:p>
        </w:tc>
        <w:tc>
          <w:tcPr>
            <w:tcW w:w="2126" w:type="dxa"/>
          </w:tcPr>
          <w:p w14:paraId="3C950EB3"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The primary objective was to compare ORR of bevacizumab biosimilar (MB02) (</w:t>
            </w:r>
            <w:proofErr w:type="spellStart"/>
            <w:r w:rsidRPr="00FD7975">
              <w:rPr>
                <w:rFonts w:ascii="Arial Narrow" w:hAnsi="Arial Narrow"/>
                <w:sz w:val="20"/>
                <w:szCs w:val="20"/>
              </w:rPr>
              <w:t>Bevaciptin</w:t>
            </w:r>
            <w:proofErr w:type="spellEnd"/>
            <w:r w:rsidRPr="00FD7975">
              <w:rPr>
                <w:rFonts w:ascii="Arial Narrow" w:hAnsi="Arial Narrow"/>
                <w:sz w:val="20"/>
                <w:szCs w:val="20"/>
              </w:rPr>
              <w:t>) and EU-Avastin in patients with NSCLC receiving concomitant carboplatin and paclitaxel. The study also evaluated safety profile, immunogenicity, and other efficacy parameters (PFS and OS) of MB02 (</w:t>
            </w:r>
            <w:proofErr w:type="spellStart"/>
            <w:r w:rsidRPr="00FD7975">
              <w:rPr>
                <w:rFonts w:ascii="Arial Narrow" w:hAnsi="Arial Narrow"/>
                <w:sz w:val="20"/>
                <w:szCs w:val="20"/>
              </w:rPr>
              <w:t>Bevaciptin</w:t>
            </w:r>
            <w:proofErr w:type="spellEnd"/>
            <w:r w:rsidRPr="00FD7975">
              <w:rPr>
                <w:rFonts w:ascii="Arial Narrow" w:hAnsi="Arial Narrow"/>
                <w:sz w:val="20"/>
                <w:szCs w:val="20"/>
              </w:rPr>
              <w:t>) compared to EU-Avastin</w:t>
            </w:r>
          </w:p>
        </w:tc>
        <w:tc>
          <w:tcPr>
            <w:tcW w:w="1843" w:type="dxa"/>
          </w:tcPr>
          <w:p w14:paraId="3D61B3CE" w14:textId="77777777" w:rsidR="0078077E" w:rsidRPr="00FD7975" w:rsidRDefault="0078077E" w:rsidP="005175B4">
            <w:pPr>
              <w:pStyle w:val="Table"/>
              <w:rPr>
                <w:szCs w:val="20"/>
              </w:rPr>
            </w:pPr>
            <w:r w:rsidRPr="00FD7975">
              <w:rPr>
                <w:szCs w:val="20"/>
              </w:rPr>
              <w:t>Phase III</w:t>
            </w:r>
          </w:p>
          <w:p w14:paraId="683BCA50" w14:textId="77777777" w:rsidR="0078077E" w:rsidRPr="00FD7975" w:rsidRDefault="0078077E" w:rsidP="005175B4">
            <w:pPr>
              <w:pStyle w:val="Table"/>
              <w:rPr>
                <w:szCs w:val="20"/>
              </w:rPr>
            </w:pPr>
          </w:p>
          <w:p w14:paraId="58CD4F27"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Double blind, randomised, comparator</w:t>
            </w:r>
          </w:p>
        </w:tc>
        <w:tc>
          <w:tcPr>
            <w:tcW w:w="1886" w:type="dxa"/>
          </w:tcPr>
          <w:p w14:paraId="5762812E" w14:textId="77777777" w:rsidR="0078077E" w:rsidRPr="00FD7975" w:rsidRDefault="0078077E" w:rsidP="005175B4">
            <w:pPr>
              <w:pStyle w:val="Table"/>
              <w:rPr>
                <w:szCs w:val="20"/>
                <w:u w:val="single"/>
              </w:rPr>
            </w:pPr>
            <w:r w:rsidRPr="00FD7975">
              <w:rPr>
                <w:szCs w:val="20"/>
                <w:u w:val="single"/>
              </w:rPr>
              <w:t>Treatment cycle 1-6</w:t>
            </w:r>
          </w:p>
          <w:p w14:paraId="79029EC5" w14:textId="77777777" w:rsidR="0078077E" w:rsidRPr="00FD7975" w:rsidRDefault="0078077E" w:rsidP="005175B4">
            <w:pPr>
              <w:pStyle w:val="Table"/>
              <w:rPr>
                <w:szCs w:val="20"/>
              </w:rPr>
            </w:pPr>
            <w:r w:rsidRPr="00FD7975">
              <w:rPr>
                <w:szCs w:val="20"/>
              </w:rPr>
              <w:t xml:space="preserve">15 mg/kg MB02 or EU-Avastin administered by </w:t>
            </w:r>
            <w:proofErr w:type="spellStart"/>
            <w:r w:rsidRPr="00FD7975">
              <w:rPr>
                <w:szCs w:val="20"/>
              </w:rPr>
              <w:t>i.v.</w:t>
            </w:r>
            <w:proofErr w:type="spellEnd"/>
            <w:r w:rsidRPr="00FD7975">
              <w:rPr>
                <w:szCs w:val="20"/>
              </w:rPr>
              <w:t xml:space="preserve"> infusion with concomitant paclitaxel (200 mg/m2) and carboplatin (to achieve an area under the plasma concentration time curve of 6 mg/mL ×·min [AUC6]). All treatments administered on Day 1 </w:t>
            </w:r>
            <w:r w:rsidRPr="00FD7975">
              <w:rPr>
                <w:szCs w:val="20"/>
              </w:rPr>
              <w:lastRenderedPageBreak/>
              <w:t>of a 21-day treatment cycle</w:t>
            </w:r>
          </w:p>
          <w:p w14:paraId="7491DC55" w14:textId="77777777" w:rsidR="0078077E" w:rsidRPr="00FD7975" w:rsidRDefault="0078077E" w:rsidP="005175B4">
            <w:pPr>
              <w:pStyle w:val="Table"/>
              <w:rPr>
                <w:szCs w:val="20"/>
              </w:rPr>
            </w:pPr>
          </w:p>
          <w:p w14:paraId="1ABE90F5" w14:textId="77777777" w:rsidR="0078077E" w:rsidRPr="00FD7975" w:rsidRDefault="0078077E" w:rsidP="005175B4">
            <w:pPr>
              <w:pStyle w:val="Table"/>
              <w:rPr>
                <w:szCs w:val="20"/>
                <w:u w:val="single"/>
              </w:rPr>
            </w:pPr>
            <w:r w:rsidRPr="00FD7975">
              <w:rPr>
                <w:szCs w:val="20"/>
                <w:u w:val="single"/>
              </w:rPr>
              <w:t>Treatment cycle &gt;7</w:t>
            </w:r>
          </w:p>
          <w:p w14:paraId="1BCBC605" w14:textId="77777777" w:rsidR="0078077E" w:rsidRPr="00FD7975" w:rsidRDefault="0078077E" w:rsidP="005175B4">
            <w:pPr>
              <w:pStyle w:val="Table"/>
              <w:rPr>
                <w:szCs w:val="20"/>
              </w:rPr>
            </w:pPr>
            <w:r w:rsidRPr="00FD7975">
              <w:rPr>
                <w:szCs w:val="20"/>
              </w:rPr>
              <w:t xml:space="preserve">15 mg/kg MB02 or EU-Avastin administered by </w:t>
            </w:r>
            <w:proofErr w:type="spellStart"/>
            <w:r w:rsidRPr="00FD7975">
              <w:rPr>
                <w:szCs w:val="20"/>
              </w:rPr>
              <w:t>i.v.</w:t>
            </w:r>
            <w:proofErr w:type="spellEnd"/>
            <w:r w:rsidRPr="00FD7975">
              <w:rPr>
                <w:szCs w:val="20"/>
              </w:rPr>
              <w:t xml:space="preserve"> infusion as monotherapy on Day 1 of 21-day cycle</w:t>
            </w:r>
          </w:p>
          <w:p w14:paraId="73787E70" w14:textId="77777777" w:rsidR="0078077E" w:rsidRPr="00FD7975" w:rsidRDefault="0078077E" w:rsidP="005175B4">
            <w:pPr>
              <w:pStyle w:val="Table"/>
              <w:rPr>
                <w:szCs w:val="20"/>
              </w:rPr>
            </w:pPr>
          </w:p>
          <w:p w14:paraId="7097799C" w14:textId="77777777" w:rsidR="0078077E" w:rsidRPr="00FD7975" w:rsidRDefault="0078077E" w:rsidP="005175B4">
            <w:pPr>
              <w:pStyle w:val="Table"/>
              <w:rPr>
                <w:szCs w:val="20"/>
              </w:rPr>
            </w:pPr>
            <w:r w:rsidRPr="00FD7975">
              <w:rPr>
                <w:szCs w:val="20"/>
              </w:rPr>
              <w:t xml:space="preserve">Treatment was administered until disease progression, unacceptable </w:t>
            </w:r>
            <w:proofErr w:type="gramStart"/>
            <w:r w:rsidRPr="00FD7975">
              <w:rPr>
                <w:szCs w:val="20"/>
              </w:rPr>
              <w:t>toxicity</w:t>
            </w:r>
            <w:proofErr w:type="gramEnd"/>
            <w:r w:rsidRPr="00FD7975">
              <w:rPr>
                <w:szCs w:val="20"/>
              </w:rPr>
              <w:t xml:space="preserve"> or withdrawal of consent</w:t>
            </w:r>
          </w:p>
          <w:p w14:paraId="7E21374D" w14:textId="77777777" w:rsidR="0078077E" w:rsidRPr="00FD7975" w:rsidRDefault="0078077E" w:rsidP="005175B4">
            <w:pPr>
              <w:pStyle w:val="Table"/>
              <w:rPr>
                <w:szCs w:val="20"/>
              </w:rPr>
            </w:pPr>
          </w:p>
          <w:p w14:paraId="5B5378E3"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52 weeks maximum duration</w:t>
            </w:r>
          </w:p>
        </w:tc>
        <w:tc>
          <w:tcPr>
            <w:tcW w:w="1606" w:type="dxa"/>
          </w:tcPr>
          <w:p w14:paraId="2C51764E" w14:textId="77777777" w:rsidR="0078077E" w:rsidRPr="00FD7975" w:rsidRDefault="0078077E" w:rsidP="005175B4">
            <w:pPr>
              <w:pStyle w:val="Table"/>
              <w:rPr>
                <w:szCs w:val="20"/>
              </w:rPr>
            </w:pPr>
            <w:r w:rsidRPr="00FD7975">
              <w:rPr>
                <w:szCs w:val="20"/>
              </w:rPr>
              <w:lastRenderedPageBreak/>
              <w:t>Subjects with Stage IIIB/IV non-squamous NSCLC</w:t>
            </w:r>
          </w:p>
          <w:p w14:paraId="4C346002" w14:textId="77777777" w:rsidR="0078077E" w:rsidRPr="00FD7975" w:rsidRDefault="0078077E" w:rsidP="005175B4">
            <w:pPr>
              <w:pStyle w:val="Table"/>
              <w:rPr>
                <w:szCs w:val="20"/>
              </w:rPr>
            </w:pPr>
          </w:p>
          <w:p w14:paraId="1054061F" w14:textId="77777777" w:rsidR="0078077E" w:rsidRPr="00FD7975" w:rsidRDefault="0078077E" w:rsidP="005175B4">
            <w:pPr>
              <w:pStyle w:val="Table"/>
              <w:rPr>
                <w:szCs w:val="20"/>
              </w:rPr>
            </w:pPr>
            <w:r w:rsidRPr="00FD7975">
              <w:rPr>
                <w:szCs w:val="20"/>
              </w:rPr>
              <w:t xml:space="preserve">Randomised: 627 subjects </w:t>
            </w:r>
          </w:p>
          <w:p w14:paraId="027B7B21" w14:textId="77777777" w:rsidR="0078077E" w:rsidRPr="00FD7975" w:rsidRDefault="0078077E" w:rsidP="005175B4">
            <w:pPr>
              <w:pStyle w:val="Table"/>
              <w:rPr>
                <w:szCs w:val="20"/>
              </w:rPr>
            </w:pPr>
            <w:r w:rsidRPr="00FD7975">
              <w:rPr>
                <w:szCs w:val="20"/>
              </w:rPr>
              <w:t xml:space="preserve">BEVZ92: 315 </w:t>
            </w:r>
          </w:p>
          <w:p w14:paraId="562F4660" w14:textId="77777777" w:rsidR="0078077E" w:rsidRPr="00FD7975" w:rsidRDefault="0078077E" w:rsidP="005175B4">
            <w:pPr>
              <w:pStyle w:val="3Bodytext"/>
              <w:numPr>
                <w:ilvl w:val="0"/>
                <w:numId w:val="0"/>
              </w:numPr>
              <w:rPr>
                <w:rFonts w:ascii="Arial Narrow" w:hAnsi="Arial Narrow"/>
                <w:sz w:val="20"/>
                <w:szCs w:val="20"/>
              </w:rPr>
            </w:pPr>
            <w:r w:rsidRPr="00FD7975">
              <w:rPr>
                <w:rFonts w:ascii="Arial Narrow" w:hAnsi="Arial Narrow"/>
                <w:sz w:val="20"/>
                <w:szCs w:val="20"/>
              </w:rPr>
              <w:t>EU-Avastin: 312</w:t>
            </w:r>
          </w:p>
        </w:tc>
      </w:tr>
    </w:tbl>
    <w:p w14:paraId="4E6D0CDD" w14:textId="77777777" w:rsidR="0078077E" w:rsidRDefault="0078077E" w:rsidP="00EF68B3">
      <w:pPr>
        <w:pStyle w:val="3Bodytext"/>
        <w:numPr>
          <w:ilvl w:val="0"/>
          <w:numId w:val="0"/>
        </w:numPr>
        <w:spacing w:after="0"/>
        <w:ind w:left="720" w:hanging="720"/>
        <w:rPr>
          <w:rFonts w:ascii="Arial Narrow" w:hAnsi="Arial Narrow"/>
          <w:iCs/>
          <w:sz w:val="18"/>
          <w:szCs w:val="18"/>
        </w:rPr>
      </w:pPr>
      <w:r>
        <w:rPr>
          <w:rFonts w:ascii="Arial Narrow" w:hAnsi="Arial Narrow"/>
          <w:iCs/>
          <w:sz w:val="18"/>
          <w:szCs w:val="18"/>
        </w:rPr>
        <w:t xml:space="preserve">Source: </w:t>
      </w:r>
      <w:proofErr w:type="spellStart"/>
      <w:r>
        <w:rPr>
          <w:rFonts w:ascii="Arial Narrow" w:hAnsi="Arial Narrow"/>
          <w:iCs/>
          <w:sz w:val="18"/>
          <w:szCs w:val="18"/>
        </w:rPr>
        <w:t>Bevaciptin</w:t>
      </w:r>
      <w:proofErr w:type="spellEnd"/>
      <w:r>
        <w:rPr>
          <w:rFonts w:ascii="Arial Narrow" w:hAnsi="Arial Narrow"/>
          <w:iCs/>
          <w:sz w:val="18"/>
          <w:szCs w:val="18"/>
        </w:rPr>
        <w:t xml:space="preserve"> (bevacizumab) Category 3 submission, page 10</w:t>
      </w:r>
    </w:p>
    <w:p w14:paraId="48936C1A" w14:textId="77777777" w:rsidR="0078077E" w:rsidRPr="00C77529" w:rsidRDefault="0078077E" w:rsidP="00EF68B3">
      <w:pPr>
        <w:pStyle w:val="3Bodytext"/>
        <w:numPr>
          <w:ilvl w:val="0"/>
          <w:numId w:val="0"/>
        </w:numPr>
        <w:spacing w:after="0"/>
        <w:rPr>
          <w:rFonts w:ascii="Arial Narrow" w:hAnsi="Arial Narrow"/>
          <w:iCs/>
          <w:sz w:val="18"/>
          <w:szCs w:val="18"/>
        </w:rPr>
      </w:pPr>
      <w:r w:rsidRPr="00C77529">
        <w:rPr>
          <w:rFonts w:ascii="Arial Narrow" w:hAnsi="Arial Narrow"/>
          <w:iCs/>
          <w:sz w:val="18"/>
          <w:szCs w:val="18"/>
        </w:rPr>
        <w:t xml:space="preserve">Abbreviations: CRC: Colorectal cancer; EU: European Union; </w:t>
      </w:r>
      <w:proofErr w:type="spellStart"/>
      <w:r w:rsidRPr="00C77529">
        <w:rPr>
          <w:rFonts w:ascii="Arial Narrow" w:hAnsi="Arial Narrow"/>
          <w:iCs/>
          <w:sz w:val="18"/>
          <w:szCs w:val="18"/>
        </w:rPr>
        <w:t>i.v.</w:t>
      </w:r>
      <w:proofErr w:type="spellEnd"/>
      <w:r w:rsidRPr="00C77529">
        <w:rPr>
          <w:rFonts w:ascii="Arial Narrow" w:hAnsi="Arial Narrow"/>
          <w:iCs/>
          <w:sz w:val="18"/>
          <w:szCs w:val="18"/>
        </w:rPr>
        <w:t>: intravenous: MAA; Marketing authorization application: N/A; Not applicable: NSCLC; Non-small cell lung cancer: ORR; Objective response rate: OS; Overall survival: PFS; Progression-free survival: PK: pharmacokinetics; UK; United Kingdom: US: United States</w:t>
      </w:r>
    </w:p>
    <w:p w14:paraId="5AA6F7E9" w14:textId="2AB1F87D" w:rsidR="0078077E" w:rsidRPr="00B90721" w:rsidRDefault="0078077E" w:rsidP="00F63F04">
      <w:pPr>
        <w:pStyle w:val="3Bodytext"/>
        <w:numPr>
          <w:ilvl w:val="0"/>
          <w:numId w:val="0"/>
        </w:numPr>
        <w:rPr>
          <w:rFonts w:ascii="Arial Narrow" w:hAnsi="Arial Narrow"/>
          <w:iCs/>
          <w:sz w:val="18"/>
          <w:szCs w:val="18"/>
        </w:rPr>
      </w:pPr>
      <w:r w:rsidRPr="00C77529">
        <w:rPr>
          <w:rFonts w:ascii="Arial Narrow" w:hAnsi="Arial Narrow"/>
          <w:iCs/>
          <w:sz w:val="18"/>
          <w:szCs w:val="18"/>
        </w:rPr>
        <w:t>* The drug product in study BEVZ92-A-01-13 was made at a different manufacturing site to the to-be-marketed product. However, it is included here as a relevant reference to the safety data.</w:t>
      </w:r>
    </w:p>
    <w:bookmarkEnd w:id="0"/>
    <w:p w14:paraId="43429B06" w14:textId="2F19C69A" w:rsidR="00BB298A" w:rsidRPr="003E5E50" w:rsidRDefault="00BB298A" w:rsidP="00EF68B3">
      <w:pPr>
        <w:pStyle w:val="3-BodyText"/>
        <w:numPr>
          <w:ilvl w:val="1"/>
          <w:numId w:val="2"/>
        </w:numPr>
        <w:spacing w:after="0"/>
        <w:rPr>
          <w:iCs/>
        </w:rPr>
      </w:pPr>
      <w:r w:rsidRPr="003E5E50">
        <w:rPr>
          <w:iCs/>
          <w:lang w:eastAsia="en-US"/>
        </w:rPr>
        <w:t xml:space="preserve">As a Category </w:t>
      </w:r>
      <w:r w:rsidR="0078077E" w:rsidRPr="003E5E50">
        <w:rPr>
          <w:iCs/>
          <w:lang w:eastAsia="en-US"/>
        </w:rPr>
        <w:t>3</w:t>
      </w:r>
      <w:r w:rsidRPr="003E5E50">
        <w:rPr>
          <w:iCs/>
          <w:lang w:eastAsia="en-US"/>
        </w:rPr>
        <w:t xml:space="preserve"> submission, no evaluation of the clinical evidence was undertaken</w:t>
      </w:r>
      <w:r w:rsidRPr="003E5E50">
        <w:rPr>
          <w:iCs/>
        </w:rPr>
        <w:t>.</w:t>
      </w:r>
    </w:p>
    <w:p w14:paraId="2CDF3682" w14:textId="55A330AC" w:rsidR="00C27C1C" w:rsidRPr="008306F3" w:rsidRDefault="00C27C1C" w:rsidP="00EF68B3">
      <w:pPr>
        <w:pStyle w:val="4-SubsectionHeading"/>
        <w:spacing w:after="60"/>
        <w:rPr>
          <w:lang w:eastAsia="en-US"/>
        </w:rPr>
      </w:pPr>
      <w:r w:rsidRPr="003C2FB5">
        <w:rPr>
          <w:lang w:eastAsia="en-US"/>
        </w:rPr>
        <w:t>Clinical claim</w:t>
      </w:r>
    </w:p>
    <w:p w14:paraId="0436CFE0" w14:textId="15C0D619" w:rsidR="00C27C1C" w:rsidRPr="00104C0F" w:rsidRDefault="00C27C1C" w:rsidP="00EF68B3">
      <w:pPr>
        <w:pStyle w:val="3Bodytext"/>
        <w:spacing w:after="80"/>
        <w:jc w:val="both"/>
      </w:pPr>
      <w:r w:rsidRPr="0078077E">
        <w:t xml:space="preserve">The submission claimed </w:t>
      </w:r>
      <w:r w:rsidR="00B365D8">
        <w:t xml:space="preserve">that there are five clinical studies supporting the claim of </w:t>
      </w:r>
      <w:proofErr w:type="spellStart"/>
      <w:r w:rsidR="00B365D8">
        <w:t>biosimilarity</w:t>
      </w:r>
      <w:proofErr w:type="spellEnd"/>
      <w:r w:rsidR="00B365D8">
        <w:t xml:space="preserve"> of </w:t>
      </w:r>
      <w:proofErr w:type="spellStart"/>
      <w:r w:rsidR="00B365D8">
        <w:t>Bevaciptin</w:t>
      </w:r>
      <w:proofErr w:type="spellEnd"/>
      <w:r w:rsidR="00B365D8">
        <w:t xml:space="preserve"> to the innovator product Avastin (see Table 1).</w:t>
      </w:r>
    </w:p>
    <w:p w14:paraId="4A2323CF" w14:textId="55A3F707" w:rsidR="00104C0F" w:rsidRPr="00CE42B4" w:rsidRDefault="00104C0F" w:rsidP="00EF68B3">
      <w:pPr>
        <w:widowControl w:val="0"/>
        <w:numPr>
          <w:ilvl w:val="1"/>
          <w:numId w:val="2"/>
        </w:numPr>
        <w:spacing w:after="60"/>
        <w:rPr>
          <w:rFonts w:asciiTheme="minorHAnsi" w:hAnsiTheme="minorHAnsi" w:cs="Arial"/>
          <w:snapToGrid w:val="0"/>
          <w:szCs w:val="20"/>
        </w:rPr>
      </w:pPr>
      <w:bookmarkStart w:id="1"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p w14:paraId="63302C5F" w14:textId="7396BB6C" w:rsidR="00104C0F" w:rsidRPr="00104C0F" w:rsidRDefault="00104C0F" w:rsidP="00EF68B3">
      <w:pPr>
        <w:widowControl w:val="0"/>
        <w:numPr>
          <w:ilvl w:val="1"/>
          <w:numId w:val="2"/>
        </w:numPr>
        <w:spacing w:after="60"/>
        <w:rPr>
          <w:rFonts w:asciiTheme="minorHAnsi" w:hAnsiTheme="minorHAnsi" w:cs="Arial"/>
          <w:snapToGrid w:val="0"/>
          <w:szCs w:val="20"/>
        </w:rPr>
      </w:pPr>
      <w:r w:rsidRPr="00CE42B4">
        <w:rPr>
          <w:rFonts w:asciiTheme="minorHAnsi" w:hAnsiTheme="minorHAnsi" w:cs="Arial"/>
          <w:snapToGrid w:val="0"/>
          <w:szCs w:val="20"/>
        </w:rPr>
        <w:t>The PBAC considered that the claim of non-inferior comparative safety was</w:t>
      </w:r>
      <w:r w:rsidR="00EF68B3">
        <w:rPr>
          <w:rFonts w:asciiTheme="minorHAnsi" w:hAnsiTheme="minorHAnsi" w:cs="Arial"/>
          <w:snapToGrid w:val="0"/>
          <w:szCs w:val="20"/>
        </w:rPr>
        <w:t xml:space="preserve"> </w:t>
      </w:r>
      <w:r w:rsidRPr="00CE42B4">
        <w:rPr>
          <w:rFonts w:asciiTheme="minorHAnsi" w:hAnsiTheme="minorHAnsi" w:cs="Arial"/>
          <w:snapToGrid w:val="0"/>
          <w:szCs w:val="20"/>
        </w:rPr>
        <w:t>reasonable.</w:t>
      </w:r>
      <w:bookmarkEnd w:id="1"/>
    </w:p>
    <w:p w14:paraId="45D181E4" w14:textId="77777777" w:rsidR="00C27C1C" w:rsidRDefault="00C27C1C" w:rsidP="00CC04AD">
      <w:pPr>
        <w:pStyle w:val="4-SubsectionHeading"/>
        <w:rPr>
          <w:lang w:eastAsia="en-US"/>
        </w:rPr>
      </w:pPr>
      <w:r w:rsidRPr="003C2FB5">
        <w:rPr>
          <w:lang w:eastAsia="en-US"/>
        </w:rPr>
        <w:t>Economic analysis</w:t>
      </w:r>
      <w:r>
        <w:rPr>
          <w:lang w:eastAsia="en-US"/>
        </w:rPr>
        <w:t xml:space="preserve"> </w:t>
      </w:r>
    </w:p>
    <w:p w14:paraId="4E5FCA53" w14:textId="6350A243" w:rsidR="00486519" w:rsidRDefault="00486519" w:rsidP="00CC04AD">
      <w:pPr>
        <w:pStyle w:val="3Bodytext"/>
        <w:jc w:val="both"/>
        <w:rPr>
          <w:rFonts w:cstheme="minorHAnsi"/>
          <w:szCs w:val="24"/>
        </w:rPr>
      </w:pPr>
      <w:r>
        <w:rPr>
          <w:rFonts w:cstheme="minorHAnsi"/>
          <w:szCs w:val="24"/>
        </w:rPr>
        <w:t>An economic analysis was not provided in this submission.</w:t>
      </w:r>
    </w:p>
    <w:p w14:paraId="276DD09D" w14:textId="0A664BF8" w:rsidR="001E62D2" w:rsidRDefault="001E62D2" w:rsidP="00CC04AD">
      <w:pPr>
        <w:pStyle w:val="3Bodytext"/>
        <w:jc w:val="both"/>
        <w:rPr>
          <w:rFonts w:cstheme="minorHAnsi"/>
          <w:szCs w:val="24"/>
        </w:rPr>
      </w:pPr>
      <w:r>
        <w:rPr>
          <w:rFonts w:cstheme="minorHAnsi"/>
          <w:szCs w:val="24"/>
        </w:rPr>
        <w:t xml:space="preserve">The requested price was based on the </w:t>
      </w:r>
      <w:r w:rsidR="00910FEE">
        <w:rPr>
          <w:rFonts w:cstheme="minorHAnsi"/>
          <w:szCs w:val="24"/>
        </w:rPr>
        <w:t>approved ex-manufacturer price (</w:t>
      </w:r>
      <w:r>
        <w:rPr>
          <w:rFonts w:cstheme="minorHAnsi"/>
          <w:szCs w:val="24"/>
        </w:rPr>
        <w:t>AEMP</w:t>
      </w:r>
      <w:r w:rsidR="00910FEE">
        <w:rPr>
          <w:rFonts w:cstheme="minorHAnsi"/>
          <w:szCs w:val="24"/>
        </w:rPr>
        <w:t>)</w:t>
      </w:r>
      <w:r>
        <w:rPr>
          <w:rFonts w:cstheme="minorHAnsi"/>
          <w:szCs w:val="24"/>
        </w:rPr>
        <w:t xml:space="preserve"> of bevacizumab (</w:t>
      </w:r>
      <w:proofErr w:type="spellStart"/>
      <w:r>
        <w:rPr>
          <w:rFonts w:cstheme="minorHAnsi"/>
          <w:szCs w:val="24"/>
        </w:rPr>
        <w:t>Mvasi</w:t>
      </w:r>
      <w:proofErr w:type="spellEnd"/>
      <w:r>
        <w:rPr>
          <w:rFonts w:cstheme="minorHAnsi"/>
          <w:szCs w:val="24"/>
        </w:rPr>
        <w:t>) solution for I.V. infusion 100 mg in 4 mL and solution for I.V. infusion 400 mg in 16 </w:t>
      </w:r>
      <w:proofErr w:type="gramStart"/>
      <w:r>
        <w:rPr>
          <w:rFonts w:cstheme="minorHAnsi"/>
          <w:szCs w:val="24"/>
        </w:rPr>
        <w:t>mL</w:t>
      </w:r>
      <w:r w:rsidR="00B8068A">
        <w:rPr>
          <w:rFonts w:cstheme="minorHAnsi"/>
          <w:szCs w:val="24"/>
        </w:rPr>
        <w:t>;</w:t>
      </w:r>
      <w:proofErr w:type="gramEnd"/>
      <w:r>
        <w:rPr>
          <w:rFonts w:cstheme="minorHAnsi"/>
          <w:szCs w:val="24"/>
        </w:rPr>
        <w:t xml:space="preserve"> $122.00 and $488.00 respectively</w:t>
      </w:r>
      <w:r w:rsidR="00E72CE1">
        <w:rPr>
          <w:rFonts w:cstheme="minorHAnsi"/>
          <w:szCs w:val="24"/>
        </w:rPr>
        <w:t>.</w:t>
      </w:r>
    </w:p>
    <w:p w14:paraId="7D63FC4B" w14:textId="0172900E" w:rsidR="001E62D2" w:rsidRDefault="001E62D2" w:rsidP="00CC04AD">
      <w:pPr>
        <w:pStyle w:val="3Bodytext"/>
        <w:jc w:val="both"/>
        <w:rPr>
          <w:rFonts w:cstheme="minorHAnsi"/>
          <w:szCs w:val="24"/>
        </w:rPr>
      </w:pPr>
      <w:r>
        <w:rPr>
          <w:rFonts w:cstheme="minorHAnsi"/>
          <w:szCs w:val="24"/>
        </w:rPr>
        <w:t xml:space="preserve">The DPMA of bevacizumab as of </w:t>
      </w:r>
      <w:r w:rsidR="00755BE0">
        <w:rPr>
          <w:rFonts w:cstheme="minorHAnsi"/>
          <w:szCs w:val="24"/>
        </w:rPr>
        <w:t xml:space="preserve">February </w:t>
      </w:r>
      <w:r>
        <w:rPr>
          <w:rFonts w:cstheme="minorHAnsi"/>
          <w:szCs w:val="24"/>
        </w:rPr>
        <w:t xml:space="preserve">2022 </w:t>
      </w:r>
      <w:r w:rsidR="005972AC">
        <w:rPr>
          <w:rFonts w:cstheme="minorHAnsi"/>
          <w:szCs w:val="24"/>
        </w:rPr>
        <w:t>wa</w:t>
      </w:r>
      <w:r>
        <w:rPr>
          <w:rFonts w:cstheme="minorHAnsi"/>
          <w:szCs w:val="24"/>
        </w:rPr>
        <w:t>s:</w:t>
      </w:r>
    </w:p>
    <w:p w14:paraId="675B451A" w14:textId="6045FC24" w:rsidR="001E62D2" w:rsidRDefault="005F0D38" w:rsidP="00CC04AD">
      <w:pPr>
        <w:pStyle w:val="3Bodytext"/>
        <w:numPr>
          <w:ilvl w:val="0"/>
          <w:numId w:val="23"/>
        </w:numPr>
        <w:jc w:val="both"/>
        <w:rPr>
          <w:rFonts w:cstheme="minorHAnsi"/>
          <w:szCs w:val="24"/>
        </w:rPr>
      </w:pPr>
      <w:r>
        <w:rPr>
          <w:rFonts w:cstheme="minorHAnsi"/>
          <w:szCs w:val="24"/>
        </w:rPr>
        <w:t xml:space="preserve">$2,282.28 for </w:t>
      </w:r>
      <w:r w:rsidR="001E62D2">
        <w:rPr>
          <w:rFonts w:cstheme="minorHAnsi"/>
          <w:szCs w:val="24"/>
        </w:rPr>
        <w:t xml:space="preserve">PBS code 12479T </w:t>
      </w:r>
      <w:r>
        <w:rPr>
          <w:rFonts w:cstheme="minorHAnsi"/>
          <w:szCs w:val="24"/>
        </w:rPr>
        <w:t xml:space="preserve">(private hospital use of </w:t>
      </w:r>
      <w:r w:rsidR="001E62D2">
        <w:rPr>
          <w:rFonts w:cstheme="minorHAnsi"/>
          <w:szCs w:val="24"/>
        </w:rPr>
        <w:t>bevacizumab solution for I.V. infusion 100 mg in 4 mL and solution for I.V. infusion 400 mg in 16 mL</w:t>
      </w:r>
      <w:r>
        <w:rPr>
          <w:rFonts w:cstheme="minorHAnsi"/>
          <w:szCs w:val="24"/>
        </w:rPr>
        <w:t>); and</w:t>
      </w:r>
      <w:r w:rsidR="001E62D2">
        <w:rPr>
          <w:rFonts w:cstheme="minorHAnsi"/>
          <w:szCs w:val="24"/>
        </w:rPr>
        <w:t xml:space="preserve"> </w:t>
      </w:r>
    </w:p>
    <w:p w14:paraId="104AC4E9" w14:textId="1D08B47C" w:rsidR="001E62D2" w:rsidRPr="00486519" w:rsidRDefault="005F0D38" w:rsidP="00CC04AD">
      <w:pPr>
        <w:pStyle w:val="3Bodytext"/>
        <w:numPr>
          <w:ilvl w:val="0"/>
          <w:numId w:val="23"/>
        </w:numPr>
        <w:jc w:val="both"/>
        <w:rPr>
          <w:rFonts w:cstheme="minorHAnsi"/>
          <w:szCs w:val="24"/>
        </w:rPr>
      </w:pPr>
      <w:r>
        <w:rPr>
          <w:rFonts w:cstheme="minorHAnsi"/>
          <w:szCs w:val="24"/>
        </w:rPr>
        <w:t xml:space="preserve">$2,354.05 for </w:t>
      </w:r>
      <w:r w:rsidR="001E62D2">
        <w:rPr>
          <w:rFonts w:cstheme="minorHAnsi"/>
          <w:szCs w:val="24"/>
        </w:rPr>
        <w:t xml:space="preserve">PBS code 12508H </w:t>
      </w:r>
      <w:r>
        <w:rPr>
          <w:rFonts w:cstheme="minorHAnsi"/>
          <w:szCs w:val="24"/>
        </w:rPr>
        <w:t xml:space="preserve">(public hospital use of </w:t>
      </w:r>
      <w:r w:rsidR="001E62D2">
        <w:rPr>
          <w:rFonts w:cstheme="minorHAnsi"/>
          <w:szCs w:val="24"/>
        </w:rPr>
        <w:t>bevacizumab solution for I.V. infusion 100 mg in 4 mL and solution for I.V. infusion 400 mg in 16 mL</w:t>
      </w:r>
      <w:r>
        <w:rPr>
          <w:rFonts w:cstheme="minorHAnsi"/>
          <w:szCs w:val="24"/>
        </w:rPr>
        <w:t>).</w:t>
      </w:r>
    </w:p>
    <w:p w14:paraId="3EDCDC77" w14:textId="650B46F8" w:rsidR="009D0602" w:rsidRPr="003E5E50" w:rsidRDefault="002F338B" w:rsidP="00CC04AD">
      <w:pPr>
        <w:pStyle w:val="3Bodytext"/>
        <w:jc w:val="both"/>
        <w:rPr>
          <w:rFonts w:cstheme="minorHAnsi"/>
          <w:szCs w:val="24"/>
        </w:rPr>
      </w:pPr>
      <w:r>
        <w:rPr>
          <w:rFonts w:cs="Calibri"/>
        </w:rPr>
        <w:lastRenderedPageBreak/>
        <w:t xml:space="preserve">Equi-effective doses were not presented in this submission. </w:t>
      </w:r>
      <w:r w:rsidRPr="003E5E50">
        <w:rPr>
          <w:rFonts w:cs="Calibri"/>
        </w:rPr>
        <w:t xml:space="preserve">Based on the Product Information for </w:t>
      </w:r>
      <w:proofErr w:type="spellStart"/>
      <w:r w:rsidRPr="003E5E50">
        <w:rPr>
          <w:rFonts w:cs="Calibri"/>
        </w:rPr>
        <w:t>Bevaciptin</w:t>
      </w:r>
      <w:proofErr w:type="spellEnd"/>
      <w:r w:rsidRPr="003E5E50">
        <w:rPr>
          <w:rFonts w:cs="Calibri"/>
        </w:rPr>
        <w:t xml:space="preserve"> and </w:t>
      </w:r>
      <w:proofErr w:type="spellStart"/>
      <w:r w:rsidRPr="003E5E50">
        <w:rPr>
          <w:rFonts w:cs="Calibri"/>
        </w:rPr>
        <w:t>Mvasi</w:t>
      </w:r>
      <w:proofErr w:type="spellEnd"/>
      <w:r w:rsidRPr="003E5E50">
        <w:rPr>
          <w:rFonts w:cs="Calibri"/>
        </w:rPr>
        <w:t xml:space="preserve">, the equi-effective doses of </w:t>
      </w:r>
      <w:proofErr w:type="spellStart"/>
      <w:r w:rsidRPr="003E5E50">
        <w:rPr>
          <w:rFonts w:cs="Calibri"/>
        </w:rPr>
        <w:t>Bevaciptin</w:t>
      </w:r>
      <w:proofErr w:type="spellEnd"/>
      <w:r w:rsidRPr="003E5E50">
        <w:rPr>
          <w:rFonts w:cs="Calibri"/>
        </w:rPr>
        <w:t xml:space="preserve"> and </w:t>
      </w:r>
      <w:proofErr w:type="spellStart"/>
      <w:r w:rsidRPr="003E5E50">
        <w:rPr>
          <w:rFonts w:cs="Calibri"/>
        </w:rPr>
        <w:t>Mvasi</w:t>
      </w:r>
      <w:proofErr w:type="spellEnd"/>
      <w:r w:rsidRPr="003E5E50">
        <w:rPr>
          <w:rFonts w:cs="Calibri"/>
        </w:rPr>
        <w:t xml:space="preserve"> should be: </w:t>
      </w:r>
      <w:r w:rsidR="00415119" w:rsidRPr="003E5E50">
        <w:rPr>
          <w:rFonts w:cs="Calibri"/>
        </w:rPr>
        <w:t xml:space="preserve">100 mg of </w:t>
      </w:r>
      <w:proofErr w:type="spellStart"/>
      <w:r w:rsidR="00415119" w:rsidRPr="003E5E50">
        <w:rPr>
          <w:rFonts w:cs="Calibri"/>
        </w:rPr>
        <w:t>Bevaciptin</w:t>
      </w:r>
      <w:proofErr w:type="spellEnd"/>
      <w:r w:rsidR="00415119" w:rsidRPr="003E5E50">
        <w:rPr>
          <w:rFonts w:cs="Calibri"/>
        </w:rPr>
        <w:t xml:space="preserve"> = 100 mg of </w:t>
      </w:r>
      <w:proofErr w:type="spellStart"/>
      <w:r w:rsidR="00415119" w:rsidRPr="003E5E50">
        <w:rPr>
          <w:rFonts w:cs="Calibri"/>
        </w:rPr>
        <w:t>Mvasi</w:t>
      </w:r>
      <w:proofErr w:type="spellEnd"/>
      <w:r w:rsidR="00415119" w:rsidRPr="003E5E50">
        <w:rPr>
          <w:rFonts w:cs="Calibri"/>
        </w:rPr>
        <w:t xml:space="preserve">, and 400 mg of </w:t>
      </w:r>
      <w:proofErr w:type="spellStart"/>
      <w:r w:rsidR="00415119" w:rsidRPr="003E5E50">
        <w:rPr>
          <w:rFonts w:cs="Calibri"/>
        </w:rPr>
        <w:t>Bevaciptin</w:t>
      </w:r>
      <w:proofErr w:type="spellEnd"/>
      <w:r w:rsidR="00415119" w:rsidRPr="003E5E50">
        <w:rPr>
          <w:rFonts w:cs="Calibri"/>
        </w:rPr>
        <w:t xml:space="preserve"> = 400 mg of </w:t>
      </w:r>
      <w:proofErr w:type="spellStart"/>
      <w:r w:rsidR="00415119" w:rsidRPr="003E5E50">
        <w:rPr>
          <w:rFonts w:cs="Calibri"/>
        </w:rPr>
        <w:t>Mvasi</w:t>
      </w:r>
      <w:proofErr w:type="spellEnd"/>
      <w:r w:rsidR="00415119" w:rsidRPr="003E5E50">
        <w:rPr>
          <w:rFonts w:cs="Calibri"/>
        </w:rPr>
        <w:t>.</w:t>
      </w:r>
    </w:p>
    <w:p w14:paraId="5EB16602" w14:textId="77777777" w:rsidR="00D70349" w:rsidRDefault="00D70349" w:rsidP="00CC04AD">
      <w:pPr>
        <w:pStyle w:val="4-SubsectionHeading"/>
        <w:rPr>
          <w:lang w:eastAsia="en-US"/>
        </w:rPr>
      </w:pPr>
      <w:r w:rsidRPr="009D507A">
        <w:rPr>
          <w:lang w:eastAsia="en-US"/>
        </w:rPr>
        <w:t>Estimated PBS utilisation and financial implications</w:t>
      </w:r>
    </w:p>
    <w:p w14:paraId="0CC71F6B" w14:textId="1DBDF80B" w:rsidR="00C80D63" w:rsidRPr="00087A60" w:rsidRDefault="00A00A32" w:rsidP="00CC04AD">
      <w:pPr>
        <w:pStyle w:val="3Bodytext"/>
        <w:jc w:val="both"/>
        <w:rPr>
          <w:i/>
          <w:iCs/>
        </w:rPr>
      </w:pPr>
      <w:r>
        <w:t xml:space="preserve">The submission stated that as </w:t>
      </w:r>
      <w:proofErr w:type="spellStart"/>
      <w:r>
        <w:t>Bevaciptin</w:t>
      </w:r>
      <w:proofErr w:type="spellEnd"/>
      <w:r>
        <w:t xml:space="preserve"> would replace bevacizumab treatments currently listed on the PBS at </w:t>
      </w:r>
      <w:r w:rsidR="00E32C6F">
        <w:t xml:space="preserve">an </w:t>
      </w:r>
      <w:r>
        <w:t>equivalent cost, the financial impact of the listing would be cost neutral to the PBS.</w:t>
      </w:r>
      <w:r w:rsidR="00C80D63">
        <w:t xml:space="preserve"> </w:t>
      </w:r>
      <w:r w:rsidR="00C80D63" w:rsidRPr="003E5E50">
        <w:t xml:space="preserve">Listing </w:t>
      </w:r>
      <w:proofErr w:type="spellStart"/>
      <w:r w:rsidR="00C80D63" w:rsidRPr="003E5E50">
        <w:t>Bevaciptin</w:t>
      </w:r>
      <w:proofErr w:type="spellEnd"/>
      <w:r w:rsidR="00C80D63" w:rsidRPr="003E5E50">
        <w:t xml:space="preserve"> on the PBS is not expected to increase the overall use of bevacizumab on the PBS as it is expected that </w:t>
      </w:r>
      <w:proofErr w:type="spellStart"/>
      <w:r w:rsidR="00C80D63" w:rsidRPr="003E5E50">
        <w:t>Bevaciptin</w:t>
      </w:r>
      <w:proofErr w:type="spellEnd"/>
      <w:r w:rsidR="00C80D63" w:rsidRPr="003E5E50">
        <w:t xml:space="preserve"> would substitute for </w:t>
      </w:r>
      <w:proofErr w:type="spellStart"/>
      <w:r w:rsidR="00C80D63" w:rsidRPr="003E5E50">
        <w:t>Mvasi</w:t>
      </w:r>
      <w:proofErr w:type="spellEnd"/>
      <w:r w:rsidR="00C80D63" w:rsidRPr="003E5E50">
        <w:t>.</w:t>
      </w:r>
    </w:p>
    <w:p w14:paraId="5878D32C" w14:textId="0856596E" w:rsidR="00204AB7" w:rsidRDefault="007626E0" w:rsidP="00CC04AD">
      <w:pPr>
        <w:pStyle w:val="3Bodytext"/>
        <w:jc w:val="both"/>
      </w:pPr>
      <w:r>
        <w:t>The market was assumed to be relatively static in terms of change in bevacizumab usage. The submission found that the market had been increasing by 3.47% per year since 2016 which formed the basis for</w:t>
      </w:r>
      <w:r w:rsidR="00E32C6F">
        <w:t xml:space="preserve"> the</w:t>
      </w:r>
      <w:r>
        <w:t xml:space="preserve"> estimated trajectory of the market.</w:t>
      </w:r>
    </w:p>
    <w:p w14:paraId="46915691" w14:textId="47B75432" w:rsidR="00A60C23" w:rsidRPr="003E5E50" w:rsidRDefault="00A60C23" w:rsidP="00CC04AD">
      <w:pPr>
        <w:pStyle w:val="3Bodytext"/>
        <w:jc w:val="both"/>
      </w:pPr>
      <w:r>
        <w:t>The sponsor used their own general commercial experience to estimate</w:t>
      </w:r>
      <w:r w:rsidR="00E32C6F">
        <w:t xml:space="preserve"> the</w:t>
      </w:r>
      <w:r>
        <w:t xml:space="preserve"> rate of displacement with </w:t>
      </w:r>
      <w:proofErr w:type="spellStart"/>
      <w:r>
        <w:t>Bevaciptin</w:t>
      </w:r>
      <w:proofErr w:type="spellEnd"/>
      <w:r>
        <w:t xml:space="preserve"> over six years (Table </w:t>
      </w:r>
      <w:r w:rsidR="00A65076">
        <w:t>2</w:t>
      </w:r>
      <w:r>
        <w:t>).</w:t>
      </w:r>
      <w:r w:rsidR="00755BE0">
        <w:t xml:space="preserve"> </w:t>
      </w:r>
      <w:r w:rsidR="00755BE0" w:rsidRPr="003E5E50">
        <w:t xml:space="preserve">As bevacizumab products are all at an equivalent cost, an increased uptake of </w:t>
      </w:r>
      <w:proofErr w:type="spellStart"/>
      <w:r w:rsidR="00755BE0" w:rsidRPr="003E5E50">
        <w:t>Bevaciptin</w:t>
      </w:r>
      <w:proofErr w:type="spellEnd"/>
      <w:r w:rsidR="00755BE0" w:rsidRPr="003E5E50">
        <w:t xml:space="preserve"> will not affect the expected cost neutrality. </w:t>
      </w:r>
    </w:p>
    <w:p w14:paraId="52AB9EE7" w14:textId="1CFBD511" w:rsidR="00AD7E34" w:rsidRPr="003E5E50" w:rsidRDefault="00AD7E34" w:rsidP="00CC04AD">
      <w:pPr>
        <w:pStyle w:val="3Bodytext"/>
        <w:jc w:val="both"/>
      </w:pPr>
      <w:r w:rsidRPr="003E5E50">
        <w:rPr>
          <w:rFonts w:eastAsiaTheme="minorEastAsia"/>
        </w:rPr>
        <w:t>As a Category 3 submission, neither the economic analysis nor the financial estimates analysis has been independently evaluated.</w:t>
      </w:r>
    </w:p>
    <w:p w14:paraId="2843C18B" w14:textId="4B2AFBE3" w:rsidR="00A60C23" w:rsidRPr="00090DCE" w:rsidRDefault="00A60C23" w:rsidP="00090DCE">
      <w:pPr>
        <w:pStyle w:val="3Bodytext"/>
        <w:numPr>
          <w:ilvl w:val="0"/>
          <w:numId w:val="0"/>
        </w:numPr>
        <w:spacing w:after="0"/>
        <w:rPr>
          <w:rFonts w:ascii="Arial Narrow" w:hAnsi="Arial Narrow"/>
          <w:b/>
          <w:bCs/>
          <w:sz w:val="20"/>
          <w:szCs w:val="20"/>
        </w:rPr>
      </w:pPr>
      <w:r w:rsidRPr="00090DCE">
        <w:rPr>
          <w:rFonts w:ascii="Arial Narrow" w:hAnsi="Arial Narrow"/>
          <w:b/>
          <w:bCs/>
          <w:sz w:val="20"/>
          <w:szCs w:val="20"/>
        </w:rPr>
        <w:t xml:space="preserve">Table </w:t>
      </w:r>
      <w:r w:rsidR="00A65076" w:rsidRPr="00090DCE">
        <w:rPr>
          <w:rFonts w:ascii="Arial Narrow" w:hAnsi="Arial Narrow"/>
          <w:b/>
          <w:bCs/>
          <w:sz w:val="20"/>
          <w:szCs w:val="20"/>
        </w:rPr>
        <w:t>2</w:t>
      </w:r>
      <w:r w:rsidRPr="00090DCE">
        <w:rPr>
          <w:rFonts w:ascii="Arial Narrow" w:hAnsi="Arial Narrow"/>
          <w:b/>
          <w:bCs/>
          <w:sz w:val="20"/>
          <w:szCs w:val="20"/>
        </w:rPr>
        <w:t xml:space="preserve">. Estimated rate of displacement with </w:t>
      </w:r>
      <w:proofErr w:type="spellStart"/>
      <w:r w:rsidRPr="00090DCE">
        <w:rPr>
          <w:rFonts w:ascii="Arial Narrow" w:hAnsi="Arial Narrow"/>
          <w:b/>
          <w:bCs/>
          <w:sz w:val="20"/>
          <w:szCs w:val="20"/>
        </w:rPr>
        <w:t>Bevaciptin</w:t>
      </w:r>
      <w:proofErr w:type="spellEnd"/>
      <w:r w:rsidRPr="00090DCE">
        <w:rPr>
          <w:rFonts w:ascii="Arial Narrow" w:hAnsi="Arial Narrow"/>
          <w:b/>
          <w:bCs/>
          <w:sz w:val="20"/>
          <w:szCs w:val="20"/>
        </w:rPr>
        <w:t xml:space="preserve"> over six years</w:t>
      </w:r>
    </w:p>
    <w:tbl>
      <w:tblPr>
        <w:tblStyle w:val="TableGrid"/>
        <w:tblW w:w="0" w:type="auto"/>
        <w:tblLook w:val="04A0" w:firstRow="1" w:lastRow="0" w:firstColumn="1" w:lastColumn="0" w:noHBand="0" w:noVBand="1"/>
        <w:tblCaption w:val="Table 2. Estimated rate of displacement with Bevaciptin over six years"/>
      </w:tblPr>
      <w:tblGrid>
        <w:gridCol w:w="2369"/>
        <w:gridCol w:w="1087"/>
        <w:gridCol w:w="1087"/>
        <w:gridCol w:w="1087"/>
        <w:gridCol w:w="1087"/>
        <w:gridCol w:w="1087"/>
        <w:gridCol w:w="1087"/>
      </w:tblGrid>
      <w:tr w:rsidR="00E33C4D" w:rsidRPr="0029362D" w14:paraId="682FA6AB" w14:textId="77777777" w:rsidTr="005D5D62">
        <w:trPr>
          <w:trHeight w:val="301"/>
        </w:trPr>
        <w:tc>
          <w:tcPr>
            <w:tcW w:w="2369" w:type="dxa"/>
          </w:tcPr>
          <w:p w14:paraId="5724E272" w14:textId="77777777" w:rsidR="00E33C4D" w:rsidRPr="00090DCE" w:rsidRDefault="00E33C4D" w:rsidP="00E33C4D">
            <w:pPr>
              <w:pStyle w:val="TableText0"/>
              <w:rPr>
                <w:szCs w:val="20"/>
              </w:rPr>
            </w:pPr>
          </w:p>
        </w:tc>
        <w:tc>
          <w:tcPr>
            <w:tcW w:w="1087" w:type="dxa"/>
          </w:tcPr>
          <w:p w14:paraId="3D101C36" w14:textId="0A073E86" w:rsidR="00E33C4D" w:rsidRPr="00090DCE" w:rsidRDefault="00E33C4D" w:rsidP="00E33C4D">
            <w:pPr>
              <w:pStyle w:val="TableText0"/>
              <w:jc w:val="center"/>
              <w:rPr>
                <w:szCs w:val="20"/>
              </w:rPr>
            </w:pPr>
            <w:r w:rsidRPr="00090DCE">
              <w:rPr>
                <w:b/>
                <w:szCs w:val="20"/>
              </w:rPr>
              <w:t>2022</w:t>
            </w:r>
          </w:p>
        </w:tc>
        <w:tc>
          <w:tcPr>
            <w:tcW w:w="1087" w:type="dxa"/>
          </w:tcPr>
          <w:p w14:paraId="2E171391" w14:textId="52F643F7" w:rsidR="00E33C4D" w:rsidRPr="00090DCE" w:rsidRDefault="00E33C4D" w:rsidP="00E33C4D">
            <w:pPr>
              <w:pStyle w:val="TableText0"/>
              <w:jc w:val="center"/>
              <w:rPr>
                <w:szCs w:val="20"/>
              </w:rPr>
            </w:pPr>
            <w:r w:rsidRPr="00090DCE">
              <w:rPr>
                <w:b/>
                <w:szCs w:val="20"/>
              </w:rPr>
              <w:t>2023</w:t>
            </w:r>
          </w:p>
        </w:tc>
        <w:tc>
          <w:tcPr>
            <w:tcW w:w="1087" w:type="dxa"/>
          </w:tcPr>
          <w:p w14:paraId="4656743F" w14:textId="4C9A37CA" w:rsidR="00E33C4D" w:rsidRPr="00090DCE" w:rsidRDefault="00E33C4D" w:rsidP="00E33C4D">
            <w:pPr>
              <w:pStyle w:val="TableText0"/>
              <w:jc w:val="center"/>
              <w:rPr>
                <w:szCs w:val="20"/>
              </w:rPr>
            </w:pPr>
            <w:r w:rsidRPr="00090DCE">
              <w:rPr>
                <w:b/>
                <w:szCs w:val="20"/>
              </w:rPr>
              <w:t>2024</w:t>
            </w:r>
          </w:p>
        </w:tc>
        <w:tc>
          <w:tcPr>
            <w:tcW w:w="1087" w:type="dxa"/>
          </w:tcPr>
          <w:p w14:paraId="7DB6752B" w14:textId="535B3126" w:rsidR="00E33C4D" w:rsidRPr="00090DCE" w:rsidRDefault="00E33C4D" w:rsidP="00E33C4D">
            <w:pPr>
              <w:pStyle w:val="TableText0"/>
              <w:jc w:val="center"/>
              <w:rPr>
                <w:szCs w:val="20"/>
              </w:rPr>
            </w:pPr>
            <w:r w:rsidRPr="00090DCE">
              <w:rPr>
                <w:b/>
                <w:szCs w:val="20"/>
              </w:rPr>
              <w:t>2025</w:t>
            </w:r>
          </w:p>
        </w:tc>
        <w:tc>
          <w:tcPr>
            <w:tcW w:w="1087" w:type="dxa"/>
          </w:tcPr>
          <w:p w14:paraId="5BB9DC1E" w14:textId="6C7966CE" w:rsidR="00E33C4D" w:rsidRPr="00090DCE" w:rsidRDefault="00E33C4D" w:rsidP="00E33C4D">
            <w:pPr>
              <w:pStyle w:val="TableText0"/>
              <w:jc w:val="center"/>
              <w:rPr>
                <w:szCs w:val="20"/>
              </w:rPr>
            </w:pPr>
            <w:r w:rsidRPr="00090DCE">
              <w:rPr>
                <w:b/>
                <w:szCs w:val="20"/>
              </w:rPr>
              <w:t>2026</w:t>
            </w:r>
          </w:p>
        </w:tc>
        <w:tc>
          <w:tcPr>
            <w:tcW w:w="1087" w:type="dxa"/>
          </w:tcPr>
          <w:p w14:paraId="043E6184" w14:textId="0869CB2D" w:rsidR="00E33C4D" w:rsidRPr="00090DCE" w:rsidRDefault="00E33C4D" w:rsidP="00E33C4D">
            <w:pPr>
              <w:pStyle w:val="TableText0"/>
              <w:jc w:val="center"/>
              <w:rPr>
                <w:szCs w:val="20"/>
              </w:rPr>
            </w:pPr>
            <w:r w:rsidRPr="00090DCE">
              <w:rPr>
                <w:b/>
                <w:szCs w:val="20"/>
              </w:rPr>
              <w:t>2027</w:t>
            </w:r>
          </w:p>
        </w:tc>
      </w:tr>
      <w:tr w:rsidR="00E33C4D" w:rsidRPr="0029362D" w14:paraId="243D735F" w14:textId="470CA2A0" w:rsidTr="005D5D62">
        <w:trPr>
          <w:trHeight w:val="301"/>
        </w:trPr>
        <w:tc>
          <w:tcPr>
            <w:tcW w:w="2369" w:type="dxa"/>
          </w:tcPr>
          <w:p w14:paraId="216DE17A" w14:textId="30EF89FF" w:rsidR="00E33C4D" w:rsidRPr="00090DCE" w:rsidRDefault="00E33C4D" w:rsidP="00E33C4D">
            <w:pPr>
              <w:pStyle w:val="TableText0"/>
              <w:rPr>
                <w:szCs w:val="20"/>
              </w:rPr>
            </w:pPr>
            <w:r w:rsidRPr="00090DCE">
              <w:rPr>
                <w:szCs w:val="20"/>
              </w:rPr>
              <w:t>Rate of displacement of bevacizumab units</w:t>
            </w:r>
          </w:p>
        </w:tc>
        <w:tc>
          <w:tcPr>
            <w:tcW w:w="1087" w:type="dxa"/>
          </w:tcPr>
          <w:p w14:paraId="0F6FC7EF" w14:textId="0866A77C" w:rsidR="00E33C4D" w:rsidRPr="00090DCE" w:rsidRDefault="00E33C4D" w:rsidP="00E33C4D">
            <w:pPr>
              <w:pStyle w:val="TableText0"/>
              <w:jc w:val="center"/>
              <w:rPr>
                <w:szCs w:val="20"/>
              </w:rPr>
            </w:pPr>
            <w:r w:rsidRPr="00090DCE">
              <w:rPr>
                <w:szCs w:val="20"/>
              </w:rPr>
              <w:t>10%</w:t>
            </w:r>
          </w:p>
        </w:tc>
        <w:tc>
          <w:tcPr>
            <w:tcW w:w="1087" w:type="dxa"/>
          </w:tcPr>
          <w:p w14:paraId="4E55E1A8" w14:textId="14C1B0FA" w:rsidR="00E33C4D" w:rsidRPr="00090DCE" w:rsidRDefault="00E33C4D" w:rsidP="00E33C4D">
            <w:pPr>
              <w:pStyle w:val="TableText0"/>
              <w:jc w:val="center"/>
              <w:rPr>
                <w:szCs w:val="20"/>
              </w:rPr>
            </w:pPr>
            <w:r w:rsidRPr="00090DCE">
              <w:rPr>
                <w:szCs w:val="20"/>
              </w:rPr>
              <w:t>12.5%</w:t>
            </w:r>
          </w:p>
        </w:tc>
        <w:tc>
          <w:tcPr>
            <w:tcW w:w="1087" w:type="dxa"/>
          </w:tcPr>
          <w:p w14:paraId="4FBECEF6" w14:textId="098AE78B" w:rsidR="00E33C4D" w:rsidRPr="00090DCE" w:rsidRDefault="00E33C4D" w:rsidP="00E33C4D">
            <w:pPr>
              <w:pStyle w:val="TableText0"/>
              <w:jc w:val="center"/>
              <w:rPr>
                <w:szCs w:val="20"/>
              </w:rPr>
            </w:pPr>
            <w:r w:rsidRPr="00090DCE">
              <w:rPr>
                <w:szCs w:val="20"/>
              </w:rPr>
              <w:t>12.5%</w:t>
            </w:r>
          </w:p>
        </w:tc>
        <w:tc>
          <w:tcPr>
            <w:tcW w:w="1087" w:type="dxa"/>
          </w:tcPr>
          <w:p w14:paraId="6616808B" w14:textId="552F7EAE" w:rsidR="00E33C4D" w:rsidRPr="00090DCE" w:rsidRDefault="00E33C4D" w:rsidP="00E33C4D">
            <w:pPr>
              <w:pStyle w:val="TableText0"/>
              <w:jc w:val="center"/>
              <w:rPr>
                <w:szCs w:val="20"/>
              </w:rPr>
            </w:pPr>
            <w:r w:rsidRPr="00090DCE">
              <w:rPr>
                <w:szCs w:val="20"/>
              </w:rPr>
              <w:t>15%</w:t>
            </w:r>
          </w:p>
        </w:tc>
        <w:tc>
          <w:tcPr>
            <w:tcW w:w="1087" w:type="dxa"/>
          </w:tcPr>
          <w:p w14:paraId="084E31C9" w14:textId="32A2978D" w:rsidR="00E33C4D" w:rsidRPr="00090DCE" w:rsidRDefault="00E33C4D" w:rsidP="00E33C4D">
            <w:pPr>
              <w:pStyle w:val="TableText0"/>
              <w:jc w:val="center"/>
              <w:rPr>
                <w:szCs w:val="20"/>
              </w:rPr>
            </w:pPr>
            <w:r w:rsidRPr="00090DCE">
              <w:rPr>
                <w:szCs w:val="20"/>
              </w:rPr>
              <w:t>15%</w:t>
            </w:r>
          </w:p>
        </w:tc>
        <w:tc>
          <w:tcPr>
            <w:tcW w:w="1087" w:type="dxa"/>
          </w:tcPr>
          <w:p w14:paraId="3AD8A4F7" w14:textId="764B6FCA" w:rsidR="00E33C4D" w:rsidRPr="00090DCE" w:rsidRDefault="00E33C4D" w:rsidP="00E33C4D">
            <w:pPr>
              <w:pStyle w:val="TableText0"/>
              <w:jc w:val="center"/>
              <w:rPr>
                <w:szCs w:val="20"/>
              </w:rPr>
            </w:pPr>
            <w:r w:rsidRPr="00090DCE">
              <w:rPr>
                <w:szCs w:val="20"/>
              </w:rPr>
              <w:t>15%</w:t>
            </w:r>
          </w:p>
        </w:tc>
      </w:tr>
    </w:tbl>
    <w:p w14:paraId="5E446D52" w14:textId="1C3E46CF" w:rsidR="00A60C23" w:rsidRPr="00A60C23" w:rsidRDefault="00A60C23">
      <w:pPr>
        <w:pStyle w:val="3Bodytext"/>
        <w:numPr>
          <w:ilvl w:val="0"/>
          <w:numId w:val="0"/>
        </w:numPr>
        <w:rPr>
          <w:rFonts w:ascii="Arial Narrow" w:hAnsi="Arial Narrow"/>
          <w:sz w:val="18"/>
          <w:szCs w:val="18"/>
        </w:rPr>
      </w:pPr>
      <w:r>
        <w:rPr>
          <w:rFonts w:ascii="Arial Narrow" w:hAnsi="Arial Narrow"/>
          <w:sz w:val="18"/>
          <w:szCs w:val="18"/>
        </w:rPr>
        <w:t xml:space="preserve">Source: </w:t>
      </w:r>
      <w:proofErr w:type="spellStart"/>
      <w:r>
        <w:rPr>
          <w:rFonts w:ascii="Arial Narrow" w:hAnsi="Arial Narrow"/>
          <w:sz w:val="18"/>
          <w:szCs w:val="18"/>
        </w:rPr>
        <w:t>Bevaciptin</w:t>
      </w:r>
      <w:proofErr w:type="spellEnd"/>
      <w:r>
        <w:rPr>
          <w:rFonts w:ascii="Arial Narrow" w:hAnsi="Arial Narrow"/>
          <w:sz w:val="18"/>
          <w:szCs w:val="18"/>
        </w:rPr>
        <w:t xml:space="preserve"> (Bevacizumab) Category 3 Submission</w:t>
      </w:r>
      <w:r w:rsidR="002A4BD3">
        <w:rPr>
          <w:rFonts w:ascii="Arial Narrow" w:hAnsi="Arial Narrow"/>
          <w:sz w:val="18"/>
          <w:szCs w:val="18"/>
        </w:rPr>
        <w:t>, page 23</w:t>
      </w:r>
    </w:p>
    <w:p w14:paraId="4DF030BF" w14:textId="1505CA65" w:rsidR="004C2110" w:rsidRPr="004C2110" w:rsidRDefault="004C2110" w:rsidP="004C2110">
      <w:pPr>
        <w:pStyle w:val="3Bodytext"/>
        <w:numPr>
          <w:ilvl w:val="0"/>
          <w:numId w:val="0"/>
        </w:numPr>
        <w:ind w:left="720"/>
        <w:jc w:val="both"/>
        <w:rPr>
          <w:i/>
          <w:iCs/>
        </w:rPr>
      </w:pPr>
      <w:r w:rsidRPr="004C2110">
        <w:rPr>
          <w:i/>
          <w:iCs/>
        </w:rPr>
        <w:t>For more detail on PBAC’s view, see section 6 PBAC outcome.</w:t>
      </w:r>
    </w:p>
    <w:p w14:paraId="1B8911DC" w14:textId="77777777" w:rsidR="00761BD9" w:rsidRDefault="00104C0F" w:rsidP="00CC04AD">
      <w:pPr>
        <w:pStyle w:val="2-SectionHeading"/>
        <w:jc w:val="both"/>
      </w:pPr>
      <w:r>
        <w:t>PBAC Outcome</w:t>
      </w:r>
    </w:p>
    <w:p w14:paraId="6D9C1B98" w14:textId="7FFF9A10" w:rsidR="00B73E78" w:rsidRDefault="00AA264D" w:rsidP="00B73E78">
      <w:pPr>
        <w:pStyle w:val="3Bodytext"/>
        <w:jc w:val="both"/>
      </w:pPr>
      <w:r w:rsidRPr="00AA264D">
        <w:t>The PBAC recommended the Section 100 (Efficient Funding of Chemotherapy) listing of bevacizumab (</w:t>
      </w:r>
      <w:proofErr w:type="spellStart"/>
      <w:r w:rsidRPr="00904B3F">
        <w:t>Bevaciptin</w:t>
      </w:r>
      <w:proofErr w:type="spellEnd"/>
      <w:r w:rsidRPr="00904B3F">
        <w:t xml:space="preserve">) in the form of solution for I.V. infusion </w:t>
      </w:r>
      <w:r w:rsidR="00BE286D" w:rsidRPr="00904B3F">
        <w:t>100</w:t>
      </w:r>
      <w:r w:rsidR="00BE286D">
        <w:t> </w:t>
      </w:r>
      <w:r w:rsidRPr="00904B3F">
        <w:t xml:space="preserve">mg in </w:t>
      </w:r>
      <w:r w:rsidR="00BE286D" w:rsidRPr="00904B3F">
        <w:t>4</w:t>
      </w:r>
      <w:r w:rsidR="00BE286D">
        <w:t> </w:t>
      </w:r>
      <w:r w:rsidRPr="00904B3F">
        <w:t xml:space="preserve">mL and solution for I.V infusion </w:t>
      </w:r>
      <w:r w:rsidR="00BE286D" w:rsidRPr="00904B3F">
        <w:t>400</w:t>
      </w:r>
      <w:r w:rsidR="00BE286D">
        <w:t> </w:t>
      </w:r>
      <w:r w:rsidRPr="00904B3F">
        <w:t xml:space="preserve">mg in </w:t>
      </w:r>
      <w:r w:rsidR="00BE286D" w:rsidRPr="00904B3F">
        <w:t>16</w:t>
      </w:r>
      <w:r w:rsidR="00BE286D">
        <w:t> </w:t>
      </w:r>
      <w:r w:rsidRPr="00904B3F">
        <w:t xml:space="preserve">mL, as an additional biosimilar brand under the same conditions as </w:t>
      </w:r>
      <w:proofErr w:type="spellStart"/>
      <w:r w:rsidRPr="00904B3F">
        <w:t>Mvasi</w:t>
      </w:r>
      <w:proofErr w:type="spellEnd"/>
      <w:r w:rsidRPr="00904B3F">
        <w:t xml:space="preserve">. The PBAC’s recommendation for listing was based on, among other matters, its assessment that the cost-effectiveness of </w:t>
      </w:r>
      <w:proofErr w:type="spellStart"/>
      <w:r w:rsidRPr="00904B3F">
        <w:t>Bevaciptin</w:t>
      </w:r>
      <w:proofErr w:type="spellEnd"/>
      <w:r w:rsidRPr="00904B3F">
        <w:t xml:space="preserve"> would be acceptable if it were cost-minimised to </w:t>
      </w:r>
      <w:proofErr w:type="spellStart"/>
      <w:r w:rsidRPr="00904B3F">
        <w:t>Mvasi</w:t>
      </w:r>
      <w:proofErr w:type="spellEnd"/>
      <w:r>
        <w:t>.</w:t>
      </w:r>
    </w:p>
    <w:p w14:paraId="6747B70D" w14:textId="1316D2A7" w:rsidR="005F0D38" w:rsidRDefault="005F0D38" w:rsidP="00B73E78">
      <w:pPr>
        <w:pStyle w:val="3Bodytext"/>
        <w:jc w:val="both"/>
      </w:pPr>
      <w:r>
        <w:t xml:space="preserve">The PBAC accepted the </w:t>
      </w:r>
      <w:r w:rsidRPr="003349A9">
        <w:t>TGA</w:t>
      </w:r>
      <w:r>
        <w:t xml:space="preserve"> determination that </w:t>
      </w:r>
      <w:proofErr w:type="spellStart"/>
      <w:r>
        <w:t>Bevaciptin</w:t>
      </w:r>
      <w:proofErr w:type="spellEnd"/>
      <w:r>
        <w:t xml:space="preserve"> is biosimilar to Avastin.</w:t>
      </w:r>
    </w:p>
    <w:p w14:paraId="069A7A08" w14:textId="31C5D192" w:rsidR="00787D37" w:rsidRPr="00761BD9" w:rsidRDefault="00787D37" w:rsidP="00CC04AD">
      <w:pPr>
        <w:pStyle w:val="3Bodytext"/>
        <w:jc w:val="both"/>
      </w:pPr>
      <w:r w:rsidRPr="005F0D38">
        <w:rPr>
          <w:rFonts w:cs="Arial"/>
          <w:snapToGrid w:val="0"/>
          <w:lang w:val="en-GB"/>
        </w:rPr>
        <w:t xml:space="preserve">The PBAC recommended listing </w:t>
      </w:r>
      <w:proofErr w:type="spellStart"/>
      <w:r w:rsidRPr="005F0D38">
        <w:rPr>
          <w:rFonts w:cs="Arial"/>
          <w:snapToGrid w:val="0"/>
          <w:lang w:val="en-GB"/>
        </w:rPr>
        <w:t>Bevaciptin</w:t>
      </w:r>
      <w:proofErr w:type="spellEnd"/>
      <w:r w:rsidRPr="005F0D38">
        <w:rPr>
          <w:rFonts w:cs="Arial"/>
          <w:snapToGrid w:val="0"/>
          <w:lang w:val="en-GB"/>
        </w:rPr>
        <w:t xml:space="preserve"> </w:t>
      </w:r>
      <w:r w:rsidR="001C2AA3">
        <w:t>under the same conditions as the PBS</w:t>
      </w:r>
      <w:r w:rsidR="005F0D38">
        <w:noBreakHyphen/>
      </w:r>
      <w:r w:rsidR="001C2AA3">
        <w:t xml:space="preserve">listed bevacizumab biosimilar </w:t>
      </w:r>
      <w:proofErr w:type="spellStart"/>
      <w:r w:rsidR="001C2AA3">
        <w:t>Mvasi</w:t>
      </w:r>
      <w:proofErr w:type="spellEnd"/>
      <w:r w:rsidR="001C2AA3" w:rsidRPr="005F0D38">
        <w:rPr>
          <w:rFonts w:cstheme="minorHAnsi"/>
        </w:rPr>
        <w:t xml:space="preserve"> on the basis that </w:t>
      </w:r>
      <w:r w:rsidR="005F0D38" w:rsidRPr="005F0D38">
        <w:rPr>
          <w:rFonts w:cstheme="minorHAnsi"/>
        </w:rPr>
        <w:t>both brands are</w:t>
      </w:r>
      <w:r w:rsidR="001C2AA3" w:rsidRPr="005F0D38">
        <w:rPr>
          <w:rFonts w:cstheme="minorHAnsi"/>
        </w:rPr>
        <w:t xml:space="preserve"> biosimilar to the reference brand of bevacizumab, Avastin.</w:t>
      </w:r>
    </w:p>
    <w:p w14:paraId="3DD76FED" w14:textId="77777777" w:rsidR="000B0681" w:rsidRDefault="00761BD9" w:rsidP="00CC04AD">
      <w:pPr>
        <w:pStyle w:val="3Bodytext"/>
        <w:jc w:val="both"/>
      </w:pPr>
      <w:bookmarkStart w:id="2" w:name="_Hlk97549342"/>
      <w:r>
        <w:t xml:space="preserve">The PBAC considered </w:t>
      </w:r>
      <w:r w:rsidR="000B0681">
        <w:t xml:space="preserve">the equi-effective doses of </w:t>
      </w:r>
      <w:proofErr w:type="spellStart"/>
      <w:r w:rsidR="000B0681">
        <w:t>Bevaciptin</w:t>
      </w:r>
      <w:proofErr w:type="spellEnd"/>
      <w:r w:rsidR="000B0681">
        <w:t xml:space="preserve"> and </w:t>
      </w:r>
      <w:proofErr w:type="spellStart"/>
      <w:r w:rsidR="000B0681">
        <w:t>Mvasi</w:t>
      </w:r>
      <w:proofErr w:type="spellEnd"/>
      <w:r w:rsidR="000B0681">
        <w:t xml:space="preserve"> to be: 100 mg of </w:t>
      </w:r>
      <w:proofErr w:type="spellStart"/>
      <w:r w:rsidR="000B0681">
        <w:t>Bevaciptin</w:t>
      </w:r>
      <w:proofErr w:type="spellEnd"/>
      <w:r w:rsidR="000B0681">
        <w:t xml:space="preserve"> = 100 mg of </w:t>
      </w:r>
      <w:proofErr w:type="spellStart"/>
      <w:r w:rsidR="000B0681">
        <w:t>Mvasi</w:t>
      </w:r>
      <w:proofErr w:type="spellEnd"/>
      <w:r w:rsidR="000B0681">
        <w:t xml:space="preserve"> and 400 mg of </w:t>
      </w:r>
      <w:proofErr w:type="spellStart"/>
      <w:r w:rsidR="000B0681">
        <w:t>Bevaciptin</w:t>
      </w:r>
      <w:proofErr w:type="spellEnd"/>
      <w:r w:rsidR="000B0681">
        <w:t xml:space="preserve"> = 400 mg of </w:t>
      </w:r>
      <w:proofErr w:type="spellStart"/>
      <w:r w:rsidR="000B0681">
        <w:t>Mvasi</w:t>
      </w:r>
      <w:proofErr w:type="spellEnd"/>
      <w:r w:rsidR="000B0681">
        <w:t>.</w:t>
      </w:r>
    </w:p>
    <w:bookmarkEnd w:id="2"/>
    <w:p w14:paraId="3CB288AD" w14:textId="6475F239" w:rsidR="001C2AA3" w:rsidRDefault="001C2AA3" w:rsidP="00CC04AD">
      <w:pPr>
        <w:pStyle w:val="3Bodytext"/>
        <w:jc w:val="both"/>
      </w:pPr>
      <w:r>
        <w:lastRenderedPageBreak/>
        <w:t>The PBAC noted that</w:t>
      </w:r>
      <w:r w:rsidRPr="003E5E50">
        <w:t xml:space="preserve"> </w:t>
      </w:r>
      <w:r w:rsidRPr="003E5E50">
        <w:rPr>
          <w:color w:val="000000" w:themeColor="text1"/>
        </w:rPr>
        <w:t xml:space="preserve">EFC medicines are governed by the </w:t>
      </w:r>
      <w:r w:rsidRPr="00090DCE">
        <w:rPr>
          <w:i/>
          <w:iCs/>
          <w:color w:val="000000" w:themeColor="text1"/>
        </w:rPr>
        <w:t>National Health (Efficient Funding of Chemotherapy) Special Arrangement 2011</w:t>
      </w:r>
      <w:r w:rsidR="00AA264D">
        <w:rPr>
          <w:color w:val="000000" w:themeColor="text1"/>
        </w:rPr>
        <w:t>,</w:t>
      </w:r>
      <w:r w:rsidRPr="003E5E50">
        <w:rPr>
          <w:color w:val="000000" w:themeColor="text1"/>
        </w:rPr>
        <w:t xml:space="preserve"> and </w:t>
      </w:r>
      <w:r w:rsidR="00AA264D">
        <w:rPr>
          <w:color w:val="000000" w:themeColor="text1"/>
        </w:rPr>
        <w:t xml:space="preserve">that </w:t>
      </w:r>
      <w:r w:rsidRPr="003E5E50">
        <w:rPr>
          <w:color w:val="000000" w:themeColor="text1"/>
        </w:rPr>
        <w:t>subsection 33(2) allows substitution of brands</w:t>
      </w:r>
      <w:r w:rsidR="00AA264D">
        <w:rPr>
          <w:color w:val="000000" w:themeColor="text1"/>
        </w:rPr>
        <w:t xml:space="preserve"> under the same item code.</w:t>
      </w:r>
      <w:r w:rsidRPr="003E5E50">
        <w:rPr>
          <w:color w:val="000000" w:themeColor="text1"/>
        </w:rPr>
        <w:t xml:space="preserve"> </w:t>
      </w:r>
      <w:r w:rsidR="00AA264D">
        <w:rPr>
          <w:color w:val="000000" w:themeColor="text1"/>
        </w:rPr>
        <w:t xml:space="preserve">Therefore, the </w:t>
      </w:r>
      <w:proofErr w:type="spellStart"/>
      <w:r w:rsidRPr="003E5E50">
        <w:rPr>
          <w:color w:val="000000" w:themeColor="text1"/>
        </w:rPr>
        <w:t>Bevaciptin</w:t>
      </w:r>
      <w:proofErr w:type="spellEnd"/>
      <w:r w:rsidRPr="003E5E50">
        <w:rPr>
          <w:color w:val="000000" w:themeColor="text1"/>
        </w:rPr>
        <w:t xml:space="preserve"> and </w:t>
      </w:r>
      <w:proofErr w:type="spellStart"/>
      <w:r w:rsidRPr="003E5E50">
        <w:rPr>
          <w:color w:val="000000" w:themeColor="text1"/>
        </w:rPr>
        <w:t>Mvasi</w:t>
      </w:r>
      <w:proofErr w:type="spellEnd"/>
      <w:r w:rsidR="00AA264D">
        <w:rPr>
          <w:color w:val="000000" w:themeColor="text1"/>
        </w:rPr>
        <w:t xml:space="preserve"> brands of bevacizumab</w:t>
      </w:r>
      <w:r w:rsidRPr="003E5E50">
        <w:rPr>
          <w:color w:val="000000" w:themeColor="text1"/>
        </w:rPr>
        <w:t xml:space="preserve"> </w:t>
      </w:r>
      <w:r w:rsidR="00AA264D">
        <w:rPr>
          <w:color w:val="000000" w:themeColor="text1"/>
        </w:rPr>
        <w:t>should</w:t>
      </w:r>
      <w:r w:rsidR="00AA264D" w:rsidRPr="003E5E50">
        <w:rPr>
          <w:color w:val="000000" w:themeColor="text1"/>
        </w:rPr>
        <w:t xml:space="preserve"> </w:t>
      </w:r>
      <w:r w:rsidRPr="003E5E50">
        <w:rPr>
          <w:color w:val="000000" w:themeColor="text1"/>
        </w:rPr>
        <w:t>be treated as equivalent to each other.</w:t>
      </w:r>
    </w:p>
    <w:p w14:paraId="7A8541E3" w14:textId="108CF51E" w:rsidR="001C2AA3" w:rsidRDefault="001C2AA3" w:rsidP="00CC04AD">
      <w:pPr>
        <w:pStyle w:val="3Bodytext"/>
        <w:jc w:val="both"/>
      </w:pPr>
      <w:r>
        <w:t xml:space="preserve">The PBAC noted that the listing of </w:t>
      </w:r>
      <w:proofErr w:type="spellStart"/>
      <w:r>
        <w:t>Bevaciptin</w:t>
      </w:r>
      <w:proofErr w:type="spellEnd"/>
      <w:r>
        <w:t xml:space="preserve"> on the PBS </w:t>
      </w:r>
      <w:r w:rsidR="008B716D">
        <w:t>is expected to</w:t>
      </w:r>
      <w:r>
        <w:t xml:space="preserve"> be cost neutral and its listing is not expected to increase the overall use of bevacizumab on the PBS.</w:t>
      </w:r>
    </w:p>
    <w:p w14:paraId="2FACCEC8" w14:textId="58EA89A6" w:rsidR="00575A1B" w:rsidRPr="00575A1B" w:rsidRDefault="00575A1B" w:rsidP="00CC04AD">
      <w:pPr>
        <w:pStyle w:val="3Bodytext"/>
        <w:jc w:val="both"/>
        <w:rPr>
          <w:b/>
          <w:bCs/>
          <w:lang w:val="en-GB"/>
        </w:rPr>
      </w:pPr>
      <w:r w:rsidRPr="00D121C5">
        <w:rPr>
          <w:lang w:val="en-GB"/>
        </w:rPr>
        <w:t xml:space="preserve">The PBAC noted that its recommendation was on a cost-minimisation basis and advised that, because </w:t>
      </w:r>
      <w:proofErr w:type="spellStart"/>
      <w:r>
        <w:rPr>
          <w:lang w:val="en-GB"/>
        </w:rPr>
        <w:t>Bevaciptin</w:t>
      </w:r>
      <w:proofErr w:type="spellEnd"/>
      <w:r>
        <w:rPr>
          <w:lang w:val="en-GB"/>
        </w:rPr>
        <w:t xml:space="preserve"> </w:t>
      </w:r>
      <w:r w:rsidRPr="00D121C5">
        <w:rPr>
          <w:lang w:val="en-GB"/>
        </w:rPr>
        <w:t>is not expected to provide a substantial</w:t>
      </w:r>
      <w:r w:rsidRPr="00D121C5">
        <w:rPr>
          <w:bCs/>
          <w:lang w:val="en-GB"/>
        </w:rPr>
        <w:t xml:space="preserve"> and</w:t>
      </w:r>
      <w:r w:rsidRPr="00531A05">
        <w:rPr>
          <w:bCs/>
          <w:lang w:val="en-GB"/>
        </w:rPr>
        <w:t xml:space="preserve"> clinically relevant improvement in efficacy, or reduction of toxicity, over </w:t>
      </w:r>
      <w:proofErr w:type="spellStart"/>
      <w:r>
        <w:rPr>
          <w:bCs/>
          <w:lang w:val="en-GB"/>
        </w:rPr>
        <w:t>Mvasi</w:t>
      </w:r>
      <w:proofErr w:type="spellEnd"/>
      <w:r>
        <w:rPr>
          <w:bCs/>
          <w:lang w:val="en-GB"/>
        </w:rPr>
        <w:t xml:space="preserve">, </w:t>
      </w:r>
      <w:r w:rsidRPr="00531A05">
        <w:rPr>
          <w:bCs/>
          <w:lang w:val="en-GB"/>
        </w:rPr>
        <w:t xml:space="preserve">or not expected to address a high and urgent unmet clinical need given the presence of an alternative therapy, the criteria prescribed by the </w:t>
      </w:r>
      <w:r w:rsidRPr="007A5703">
        <w:rPr>
          <w:bCs/>
          <w:i/>
          <w:lang w:val="en-GB"/>
        </w:rPr>
        <w:t>National Health (Pharmaceuticals and Vaccines – Cost Recovery) Regulations 2009</w:t>
      </w:r>
      <w:r w:rsidRPr="00531A05">
        <w:rPr>
          <w:bCs/>
          <w:lang w:val="en-GB"/>
        </w:rPr>
        <w:t xml:space="preserve"> for Pricing Pathway A were not met.</w:t>
      </w:r>
    </w:p>
    <w:p w14:paraId="38AF94B9" w14:textId="2F2F72F6" w:rsidR="00575A1B" w:rsidRPr="00531A05" w:rsidRDefault="00575A1B" w:rsidP="00CC04AD">
      <w:pPr>
        <w:pStyle w:val="3Bodytext"/>
        <w:jc w:val="both"/>
        <w:rPr>
          <w:b/>
          <w:bCs/>
          <w:lang w:val="en-GB"/>
        </w:rPr>
      </w:pPr>
      <w:r w:rsidRPr="00525B39">
        <w:rPr>
          <w:rFonts w:cs="Arial"/>
          <w:bCs/>
          <w:snapToGrid w:val="0"/>
          <w:lang w:val="en-GB"/>
        </w:rPr>
        <w:t>The PBAC noted that this submission is not eligible for an Independent Review</w:t>
      </w:r>
      <w:r>
        <w:rPr>
          <w:rFonts w:cs="Arial"/>
          <w:bCs/>
          <w:snapToGrid w:val="0"/>
          <w:lang w:val="en-GB"/>
        </w:rPr>
        <w:t xml:space="preserve"> as it received a positive recommendation</w:t>
      </w:r>
      <w:r w:rsidRPr="00525B39">
        <w:rPr>
          <w:rFonts w:cs="Arial"/>
          <w:bCs/>
          <w:snapToGrid w:val="0"/>
          <w:lang w:val="en-GB"/>
        </w:rPr>
        <w:t>.</w:t>
      </w:r>
    </w:p>
    <w:p w14:paraId="752D20C8" w14:textId="77777777" w:rsidR="00575A1B" w:rsidRPr="00575A1B" w:rsidRDefault="00575A1B" w:rsidP="00575A1B">
      <w:pPr>
        <w:pStyle w:val="3-BodyText"/>
        <w:numPr>
          <w:ilvl w:val="0"/>
          <w:numId w:val="0"/>
        </w:numPr>
        <w:ind w:left="360" w:hanging="360"/>
        <w:rPr>
          <w:b/>
          <w:bCs/>
          <w:snapToGrid w:val="0"/>
          <w:lang w:val="en-GB"/>
        </w:rPr>
      </w:pPr>
      <w:r w:rsidRPr="00575A1B">
        <w:rPr>
          <w:b/>
          <w:bCs/>
          <w:snapToGrid w:val="0"/>
          <w:lang w:val="en-GB"/>
        </w:rPr>
        <w:t>Outcome:</w:t>
      </w:r>
    </w:p>
    <w:p w14:paraId="5F4F9DE1" w14:textId="55576D04" w:rsidR="00575A1B" w:rsidRPr="00525B39" w:rsidRDefault="00575A1B" w:rsidP="00575A1B">
      <w:pPr>
        <w:pStyle w:val="3-BodyText"/>
        <w:numPr>
          <w:ilvl w:val="0"/>
          <w:numId w:val="0"/>
        </w:numPr>
        <w:ind w:left="360" w:hanging="360"/>
        <w:rPr>
          <w:snapToGrid w:val="0"/>
          <w:lang w:val="en-GB"/>
        </w:rPr>
      </w:pPr>
      <w:r w:rsidRPr="00525B39">
        <w:rPr>
          <w:snapToGrid w:val="0"/>
          <w:lang w:val="en-GB"/>
        </w:rPr>
        <w:t>Recommended</w:t>
      </w:r>
    </w:p>
    <w:p w14:paraId="2AD484A7" w14:textId="77777777" w:rsidR="00E1274C" w:rsidRDefault="00E1274C" w:rsidP="00E1274C">
      <w:pPr>
        <w:pStyle w:val="2-SectionHeading"/>
      </w:pPr>
      <w:r>
        <w:t>Recommended listing</w:t>
      </w:r>
    </w:p>
    <w:p w14:paraId="0EF37DD5" w14:textId="77777777" w:rsidR="00E1274C" w:rsidRDefault="00E1274C" w:rsidP="00CC04AD">
      <w:pPr>
        <w:pStyle w:val="3Bodytext"/>
      </w:pPr>
      <w:r>
        <w:t>Add new item:</w:t>
      </w:r>
    </w:p>
    <w:tbl>
      <w:tblPr>
        <w:tblStyle w:val="TableGrid"/>
        <w:tblW w:w="9072" w:type="dxa"/>
        <w:tblInd w:w="-5" w:type="dxa"/>
        <w:tblLook w:val="04A0" w:firstRow="1" w:lastRow="0" w:firstColumn="1" w:lastColumn="0" w:noHBand="0" w:noVBand="1"/>
      </w:tblPr>
      <w:tblGrid>
        <w:gridCol w:w="4678"/>
        <w:gridCol w:w="4394"/>
      </w:tblGrid>
      <w:tr w:rsidR="00E1274C" w14:paraId="40730473" w14:textId="77777777" w:rsidTr="00637CDD">
        <w:tc>
          <w:tcPr>
            <w:tcW w:w="4678" w:type="dxa"/>
          </w:tcPr>
          <w:p w14:paraId="550F2D7F" w14:textId="3CA34084" w:rsidR="00E1274C" w:rsidRPr="00090DCE" w:rsidRDefault="00E1274C" w:rsidP="007F3B80">
            <w:pPr>
              <w:pStyle w:val="3-BodyText"/>
              <w:keepNext/>
              <w:numPr>
                <w:ilvl w:val="0"/>
                <w:numId w:val="0"/>
              </w:numPr>
              <w:ind w:left="360" w:hanging="360"/>
              <w:jc w:val="left"/>
              <w:rPr>
                <w:rFonts w:ascii="Arial Narrow" w:hAnsi="Arial Narrow"/>
                <w:b/>
                <w:bCs/>
                <w:sz w:val="20"/>
                <w:szCs w:val="20"/>
              </w:rPr>
            </w:pPr>
            <w:r w:rsidRPr="00090DCE">
              <w:rPr>
                <w:rFonts w:ascii="Arial Narrow" w:hAnsi="Arial Narrow"/>
                <w:b/>
                <w:bCs/>
                <w:sz w:val="20"/>
                <w:szCs w:val="20"/>
              </w:rPr>
              <w:t>Name and form of drug</w:t>
            </w:r>
          </w:p>
        </w:tc>
        <w:tc>
          <w:tcPr>
            <w:tcW w:w="4394" w:type="dxa"/>
          </w:tcPr>
          <w:p w14:paraId="42513535" w14:textId="517804EE" w:rsidR="00E1274C" w:rsidRPr="00090DCE" w:rsidRDefault="00E1274C" w:rsidP="007F3B80">
            <w:pPr>
              <w:pStyle w:val="3-BodyText"/>
              <w:keepNext/>
              <w:numPr>
                <w:ilvl w:val="0"/>
                <w:numId w:val="0"/>
              </w:numPr>
              <w:ind w:left="360" w:hanging="360"/>
              <w:jc w:val="left"/>
              <w:rPr>
                <w:rFonts w:ascii="Arial Narrow" w:hAnsi="Arial Narrow"/>
                <w:b/>
                <w:bCs/>
                <w:sz w:val="20"/>
                <w:szCs w:val="20"/>
              </w:rPr>
            </w:pPr>
            <w:r w:rsidRPr="00090DCE">
              <w:rPr>
                <w:rFonts w:ascii="Arial Narrow" w:hAnsi="Arial Narrow"/>
                <w:b/>
                <w:bCs/>
                <w:sz w:val="20"/>
                <w:szCs w:val="20"/>
              </w:rPr>
              <w:t>Proprietary Name, Manufacturer</w:t>
            </w:r>
          </w:p>
        </w:tc>
      </w:tr>
      <w:tr w:rsidR="00E1274C" w14:paraId="413F4363" w14:textId="77777777" w:rsidTr="00637CDD">
        <w:tc>
          <w:tcPr>
            <w:tcW w:w="4678" w:type="dxa"/>
          </w:tcPr>
          <w:p w14:paraId="245DC825" w14:textId="77777777" w:rsidR="00E1274C" w:rsidRPr="00090DCE" w:rsidRDefault="00E1274C" w:rsidP="007F3B80">
            <w:pPr>
              <w:pStyle w:val="3-BodyText"/>
              <w:keepNext/>
              <w:numPr>
                <w:ilvl w:val="0"/>
                <w:numId w:val="0"/>
              </w:numPr>
              <w:spacing w:after="0"/>
              <w:ind w:left="360" w:hanging="360"/>
              <w:rPr>
                <w:rFonts w:ascii="Arial Narrow" w:hAnsi="Arial Narrow"/>
                <w:sz w:val="20"/>
                <w:szCs w:val="20"/>
              </w:rPr>
            </w:pPr>
            <w:r w:rsidRPr="00090DCE">
              <w:rPr>
                <w:rFonts w:ascii="Arial Narrow" w:hAnsi="Arial Narrow"/>
                <w:sz w:val="20"/>
                <w:szCs w:val="20"/>
              </w:rPr>
              <w:t>BEVACIZUMAB</w:t>
            </w:r>
          </w:p>
          <w:p w14:paraId="0730E9C1" w14:textId="77777777" w:rsidR="00E1274C" w:rsidRPr="00090DCE" w:rsidRDefault="00E1274C" w:rsidP="007F3B80">
            <w:pPr>
              <w:pStyle w:val="3-BodyText"/>
              <w:keepNext/>
              <w:numPr>
                <w:ilvl w:val="0"/>
                <w:numId w:val="0"/>
              </w:numPr>
              <w:spacing w:after="0"/>
              <w:ind w:left="360" w:hanging="360"/>
              <w:rPr>
                <w:rFonts w:ascii="Arial Narrow" w:hAnsi="Arial Narrow"/>
                <w:sz w:val="20"/>
                <w:szCs w:val="20"/>
              </w:rPr>
            </w:pPr>
            <w:r w:rsidRPr="00090DCE">
              <w:rPr>
                <w:rFonts w:ascii="Arial Narrow" w:hAnsi="Arial Narrow"/>
                <w:sz w:val="20"/>
                <w:szCs w:val="20"/>
              </w:rPr>
              <w:t>bevacizumab solution for I.V. infusion 100 mg in 4 mL</w:t>
            </w:r>
          </w:p>
          <w:p w14:paraId="177E9396" w14:textId="4557659B" w:rsidR="00E1274C" w:rsidRPr="00090DCE" w:rsidRDefault="00E1274C" w:rsidP="007F3B80">
            <w:pPr>
              <w:pStyle w:val="3-BodyText"/>
              <w:keepNext/>
              <w:numPr>
                <w:ilvl w:val="0"/>
                <w:numId w:val="0"/>
              </w:numPr>
              <w:spacing w:after="0"/>
              <w:ind w:left="360" w:hanging="360"/>
              <w:rPr>
                <w:rFonts w:ascii="Arial Narrow" w:hAnsi="Arial Narrow"/>
                <w:sz w:val="20"/>
                <w:szCs w:val="20"/>
              </w:rPr>
            </w:pPr>
            <w:r w:rsidRPr="00090DCE">
              <w:rPr>
                <w:rFonts w:ascii="Arial Narrow" w:hAnsi="Arial Narrow"/>
                <w:sz w:val="20"/>
                <w:szCs w:val="20"/>
              </w:rPr>
              <w:t xml:space="preserve">bevacizumab solution for I.V. infusion 400 mg in 16 mL </w:t>
            </w:r>
          </w:p>
        </w:tc>
        <w:tc>
          <w:tcPr>
            <w:tcW w:w="4394" w:type="dxa"/>
          </w:tcPr>
          <w:p w14:paraId="6C981237" w14:textId="77777777" w:rsidR="00E1274C" w:rsidRPr="00090DCE" w:rsidRDefault="00E1274C" w:rsidP="007F3B80">
            <w:pPr>
              <w:pStyle w:val="3-BodyText"/>
              <w:keepNext/>
              <w:numPr>
                <w:ilvl w:val="0"/>
                <w:numId w:val="0"/>
              </w:numPr>
              <w:spacing w:after="0"/>
              <w:ind w:left="360" w:hanging="360"/>
              <w:rPr>
                <w:rFonts w:ascii="Arial Narrow" w:hAnsi="Arial Narrow"/>
                <w:sz w:val="20"/>
                <w:szCs w:val="20"/>
              </w:rPr>
            </w:pPr>
            <w:proofErr w:type="spellStart"/>
            <w:r w:rsidRPr="00090DCE">
              <w:rPr>
                <w:rFonts w:ascii="Arial Narrow" w:hAnsi="Arial Narrow"/>
                <w:sz w:val="20"/>
                <w:szCs w:val="20"/>
              </w:rPr>
              <w:t>Bevaciptin</w:t>
            </w:r>
            <w:proofErr w:type="spellEnd"/>
          </w:p>
          <w:p w14:paraId="6DF092DE" w14:textId="19849562" w:rsidR="00E1274C" w:rsidRPr="00090DCE" w:rsidRDefault="00E1274C" w:rsidP="007F3B80">
            <w:pPr>
              <w:pStyle w:val="3-BodyText"/>
              <w:keepNext/>
              <w:numPr>
                <w:ilvl w:val="0"/>
                <w:numId w:val="0"/>
              </w:numPr>
              <w:spacing w:after="0"/>
              <w:ind w:left="360" w:hanging="360"/>
              <w:rPr>
                <w:rFonts w:ascii="Arial Narrow" w:hAnsi="Arial Narrow"/>
                <w:sz w:val="20"/>
                <w:szCs w:val="20"/>
              </w:rPr>
            </w:pPr>
            <w:r w:rsidRPr="00090DCE">
              <w:rPr>
                <w:rFonts w:ascii="Arial Narrow" w:hAnsi="Arial Narrow"/>
                <w:sz w:val="20"/>
                <w:szCs w:val="20"/>
              </w:rPr>
              <w:t>Cipla Australia Pty Ltd</w:t>
            </w:r>
          </w:p>
        </w:tc>
      </w:tr>
    </w:tbl>
    <w:p w14:paraId="7AC03C1A" w14:textId="77777777" w:rsidR="00CC04AD" w:rsidRDefault="00CC04AD" w:rsidP="007F3B80">
      <w:pPr>
        <w:keepNext/>
        <w:rPr>
          <w:rFonts w:ascii="Arial" w:hAnsi="Arial" w:cs="Arial"/>
          <w:sz w:val="22"/>
          <w:szCs w:val="22"/>
        </w:rPr>
      </w:pPr>
      <w:bookmarkStart w:id="3" w:name="_Hlk76377978"/>
    </w:p>
    <w:p w14:paraId="1C348797" w14:textId="0312725A" w:rsidR="00BE286D" w:rsidRDefault="00CC04AD" w:rsidP="007F3B80">
      <w:pPr>
        <w:keepNext/>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bookmarkEnd w:id="3"/>
    </w:p>
    <w:p w14:paraId="29663354" w14:textId="165087A8" w:rsidR="00BE286D" w:rsidRPr="00F63F04" w:rsidRDefault="00BE286D" w:rsidP="00F63F04">
      <w:pPr>
        <w:pStyle w:val="2-SectionHeading"/>
      </w:pPr>
      <w:bookmarkStart w:id="4" w:name="_Hlk102997792"/>
      <w:r w:rsidRPr="00F63F04">
        <w:t>Context for Decision</w:t>
      </w:r>
    </w:p>
    <w:p w14:paraId="50CBF6E8" w14:textId="77777777" w:rsidR="00BE286D" w:rsidRPr="00BE286D" w:rsidRDefault="00BE286D" w:rsidP="00F63F04">
      <w:pPr>
        <w:pStyle w:val="3Bodytext"/>
        <w:numPr>
          <w:ilvl w:val="0"/>
          <w:numId w:val="0"/>
        </w:numPr>
        <w:ind w:left="720"/>
        <w:jc w:val="both"/>
        <w:rPr>
          <w:lang w:val="en-GB"/>
        </w:rPr>
      </w:pPr>
      <w:r w:rsidRPr="00F63F04">
        <w:rPr>
          <w:rStyle w:val="3-BodyTextChar"/>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w:t>
      </w:r>
      <w:r w:rsidRPr="00BE286D">
        <w:rPr>
          <w:lang w:val="en-GB"/>
        </w:rPr>
        <w:t xml:space="preserve"> in which it should be made available through the PBS. The PBAC welcomes applications containing new information at any time.</w:t>
      </w:r>
    </w:p>
    <w:p w14:paraId="3BCBF082" w14:textId="0AB30D7A" w:rsidR="00BE286D" w:rsidRPr="00BE286D" w:rsidRDefault="00BE286D" w:rsidP="00F63F04">
      <w:pPr>
        <w:pStyle w:val="2-SectionHeading"/>
      </w:pPr>
      <w:r w:rsidRPr="00BE286D">
        <w:t>Sponsor’s Comment</w:t>
      </w:r>
    </w:p>
    <w:p w14:paraId="5BFE4889" w14:textId="75B9AA94" w:rsidR="00BE286D" w:rsidRPr="0070640A" w:rsidRDefault="00BE286D" w:rsidP="0070640A">
      <w:pPr>
        <w:pStyle w:val="3Bodytext"/>
        <w:numPr>
          <w:ilvl w:val="0"/>
          <w:numId w:val="0"/>
        </w:numPr>
        <w:ind w:left="720"/>
      </w:pPr>
      <w:r w:rsidRPr="00BE286D">
        <w:t>The sponsor had no comment.</w:t>
      </w:r>
      <w:bookmarkEnd w:id="4"/>
    </w:p>
    <w:sectPr w:rsidR="00BE286D" w:rsidRPr="0070640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5175B4" w:rsidRDefault="005175B4">
      <w:r>
        <w:separator/>
      </w:r>
    </w:p>
    <w:p w14:paraId="02C03CBC" w14:textId="77777777" w:rsidR="005175B4" w:rsidRDefault="005175B4"/>
  </w:endnote>
  <w:endnote w:type="continuationSeparator" w:id="0">
    <w:p w14:paraId="63A918FB" w14:textId="77777777" w:rsidR="005175B4" w:rsidRDefault="005175B4">
      <w:r>
        <w:continuationSeparator/>
      </w:r>
    </w:p>
    <w:p w14:paraId="69304546" w14:textId="77777777" w:rsidR="005175B4" w:rsidRDefault="005175B4"/>
  </w:endnote>
  <w:endnote w:type="continuationNotice" w:id="1">
    <w:p w14:paraId="228BC01D" w14:textId="77777777" w:rsidR="005175B4" w:rsidRDefault="0051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175B4" w14:paraId="4075D3FE" w14:textId="77777777" w:rsidTr="005A3173">
      <w:trPr>
        <w:trHeight w:val="151"/>
      </w:trPr>
      <w:tc>
        <w:tcPr>
          <w:tcW w:w="2250" w:type="pct"/>
          <w:tcBorders>
            <w:top w:val="nil"/>
            <w:left w:val="nil"/>
            <w:bottom w:val="single" w:sz="4" w:space="0" w:color="4F81BD"/>
            <w:right w:val="nil"/>
          </w:tcBorders>
        </w:tcPr>
        <w:p w14:paraId="096D0DDE" w14:textId="7DB75328" w:rsidR="005175B4" w:rsidRPr="005A3173" w:rsidRDefault="005175B4"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5175B4" w:rsidRPr="005A3173" w:rsidRDefault="005175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5175B4" w:rsidRPr="005A3173" w:rsidRDefault="005175B4" w:rsidP="005A3173">
          <w:pPr>
            <w:pStyle w:val="Header"/>
            <w:spacing w:line="276" w:lineRule="auto"/>
            <w:rPr>
              <w:rFonts w:eastAsia="MS Gothic"/>
              <w:b/>
              <w:bCs/>
              <w:color w:val="4F81BD"/>
            </w:rPr>
          </w:pPr>
        </w:p>
      </w:tc>
    </w:tr>
    <w:tr w:rsidR="005175B4" w14:paraId="32EF4DB8" w14:textId="77777777" w:rsidTr="005A3173">
      <w:trPr>
        <w:trHeight w:val="150"/>
      </w:trPr>
      <w:tc>
        <w:tcPr>
          <w:tcW w:w="2250" w:type="pct"/>
          <w:tcBorders>
            <w:top w:val="single" w:sz="4" w:space="0" w:color="4F81BD"/>
            <w:left w:val="nil"/>
            <w:bottom w:val="nil"/>
            <w:right w:val="nil"/>
          </w:tcBorders>
        </w:tcPr>
        <w:p w14:paraId="03528A4C" w14:textId="77777777" w:rsidR="005175B4" w:rsidRPr="005A3173" w:rsidRDefault="005175B4" w:rsidP="005A3173">
          <w:pPr>
            <w:pStyle w:val="Header"/>
            <w:spacing w:line="276" w:lineRule="auto"/>
            <w:rPr>
              <w:rFonts w:eastAsia="MS Gothic"/>
              <w:b/>
              <w:bCs/>
              <w:color w:val="4F81BD"/>
            </w:rPr>
          </w:pPr>
        </w:p>
      </w:tc>
      <w:tc>
        <w:tcPr>
          <w:tcW w:w="0" w:type="auto"/>
          <w:vMerge/>
          <w:vAlign w:val="center"/>
          <w:hideMark/>
        </w:tcPr>
        <w:p w14:paraId="109042FB" w14:textId="77777777" w:rsidR="005175B4" w:rsidRPr="005A3173" w:rsidRDefault="005175B4" w:rsidP="005A3173">
          <w:pPr>
            <w:rPr>
              <w:color w:val="365F91"/>
              <w:sz w:val="22"/>
              <w:szCs w:val="22"/>
            </w:rPr>
          </w:pPr>
        </w:p>
      </w:tc>
      <w:tc>
        <w:tcPr>
          <w:tcW w:w="2250" w:type="pct"/>
          <w:tcBorders>
            <w:top w:val="single" w:sz="4" w:space="0" w:color="4F81BD"/>
            <w:left w:val="nil"/>
            <w:bottom w:val="nil"/>
            <w:right w:val="nil"/>
          </w:tcBorders>
        </w:tcPr>
        <w:p w14:paraId="09664199" w14:textId="77777777" w:rsidR="005175B4" w:rsidRPr="005A3173" w:rsidRDefault="005175B4" w:rsidP="005A3173">
          <w:pPr>
            <w:pStyle w:val="Header"/>
            <w:spacing w:line="276" w:lineRule="auto"/>
            <w:rPr>
              <w:rFonts w:eastAsia="MS Gothic"/>
              <w:b/>
              <w:bCs/>
              <w:color w:val="4F81BD"/>
            </w:rPr>
          </w:pPr>
        </w:p>
      </w:tc>
    </w:tr>
  </w:tbl>
  <w:p w14:paraId="21855C18" w14:textId="77777777" w:rsidR="005175B4" w:rsidRDefault="005175B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5175B4" w:rsidRDefault="005175B4">
    <w:pPr>
      <w:pStyle w:val="Footer"/>
    </w:pPr>
  </w:p>
  <w:p w14:paraId="48FFA445" w14:textId="77777777" w:rsidR="005175B4" w:rsidRDefault="005175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12E77" w14:textId="77777777" w:rsidR="003E5E50" w:rsidRDefault="003E5E50">
    <w:pPr>
      <w:pStyle w:val="Footer"/>
      <w:jc w:val="center"/>
      <w:rPr>
        <w:rFonts w:asciiTheme="minorHAnsi" w:hAnsiTheme="minorHAnsi" w:cstheme="minorHAnsi"/>
        <w:b/>
        <w:bCs/>
        <w:caps/>
      </w:rPr>
    </w:pPr>
  </w:p>
  <w:p w14:paraId="355827FE" w14:textId="271DDB2F" w:rsidR="005175B4" w:rsidRPr="00A02B25" w:rsidRDefault="003E5E50" w:rsidP="00A02B25">
    <w:pPr>
      <w:pStyle w:val="Footer"/>
      <w:jc w:val="center"/>
      <w:rPr>
        <w:rFonts w:asciiTheme="minorHAnsi" w:hAnsiTheme="minorHAnsi" w:cstheme="minorHAnsi"/>
        <w:b/>
        <w:bCs/>
        <w:caps/>
        <w:noProof/>
      </w:rPr>
    </w:pPr>
    <w:r w:rsidRPr="003E5E50">
      <w:rPr>
        <w:rFonts w:asciiTheme="minorHAnsi" w:hAnsiTheme="minorHAnsi" w:cstheme="minorHAnsi"/>
        <w:b/>
        <w:bCs/>
        <w:caps/>
      </w:rPr>
      <w:fldChar w:fldCharType="begin"/>
    </w:r>
    <w:r w:rsidRPr="003E5E50">
      <w:rPr>
        <w:rFonts w:asciiTheme="minorHAnsi" w:hAnsiTheme="minorHAnsi" w:cstheme="minorHAnsi"/>
        <w:b/>
        <w:bCs/>
        <w:caps/>
      </w:rPr>
      <w:instrText xml:space="preserve"> PAGE   \* MERGEFORMAT </w:instrText>
    </w:r>
    <w:r w:rsidRPr="003E5E50">
      <w:rPr>
        <w:rFonts w:asciiTheme="minorHAnsi" w:hAnsiTheme="minorHAnsi" w:cstheme="minorHAnsi"/>
        <w:b/>
        <w:bCs/>
        <w:caps/>
      </w:rPr>
      <w:fldChar w:fldCharType="separate"/>
    </w:r>
    <w:r w:rsidR="005F0D38">
      <w:rPr>
        <w:rFonts w:asciiTheme="minorHAnsi" w:hAnsiTheme="minorHAnsi" w:cstheme="minorHAnsi"/>
        <w:b/>
        <w:bCs/>
        <w:caps/>
        <w:noProof/>
      </w:rPr>
      <w:t>3</w:t>
    </w:r>
    <w:r w:rsidRPr="003E5E50">
      <w:rPr>
        <w:rFonts w:asciiTheme="minorHAnsi" w:hAnsiTheme="minorHAnsi" w:cstheme="minorHAnsi"/>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5175B4" w14:paraId="1B1A9BFB" w14:textId="77777777" w:rsidTr="005A3173">
      <w:trPr>
        <w:trHeight w:val="151"/>
      </w:trPr>
      <w:tc>
        <w:tcPr>
          <w:tcW w:w="2250" w:type="pct"/>
          <w:tcBorders>
            <w:top w:val="nil"/>
            <w:left w:val="nil"/>
            <w:bottom w:val="single" w:sz="4" w:space="0" w:color="4F81BD"/>
            <w:right w:val="nil"/>
          </w:tcBorders>
        </w:tcPr>
        <w:p w14:paraId="1AEC0F9B" w14:textId="2064256F" w:rsidR="005175B4" w:rsidRPr="005A3173" w:rsidRDefault="005175B4"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5175B4" w:rsidRPr="005A3173" w:rsidRDefault="005175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5175B4" w:rsidRPr="005A3173" w:rsidRDefault="005175B4" w:rsidP="005A3173">
          <w:pPr>
            <w:pStyle w:val="Header"/>
            <w:spacing w:line="276" w:lineRule="auto"/>
            <w:rPr>
              <w:rFonts w:eastAsia="MS Gothic"/>
              <w:b/>
              <w:bCs/>
              <w:color w:val="4F81BD"/>
            </w:rPr>
          </w:pPr>
        </w:p>
      </w:tc>
    </w:tr>
    <w:tr w:rsidR="005175B4" w14:paraId="0A17FD7B" w14:textId="77777777" w:rsidTr="005A3173">
      <w:trPr>
        <w:trHeight w:val="150"/>
      </w:trPr>
      <w:tc>
        <w:tcPr>
          <w:tcW w:w="2250" w:type="pct"/>
          <w:tcBorders>
            <w:top w:val="single" w:sz="4" w:space="0" w:color="4F81BD"/>
            <w:left w:val="nil"/>
            <w:bottom w:val="nil"/>
            <w:right w:val="nil"/>
          </w:tcBorders>
        </w:tcPr>
        <w:p w14:paraId="66DEA9D9" w14:textId="77777777" w:rsidR="005175B4" w:rsidRPr="005A3173" w:rsidRDefault="005175B4" w:rsidP="005A3173">
          <w:pPr>
            <w:pStyle w:val="Header"/>
            <w:spacing w:line="276" w:lineRule="auto"/>
            <w:rPr>
              <w:rFonts w:eastAsia="MS Gothic"/>
              <w:b/>
              <w:bCs/>
              <w:color w:val="4F81BD"/>
            </w:rPr>
          </w:pPr>
        </w:p>
      </w:tc>
      <w:tc>
        <w:tcPr>
          <w:tcW w:w="0" w:type="auto"/>
          <w:vMerge/>
          <w:vAlign w:val="center"/>
          <w:hideMark/>
        </w:tcPr>
        <w:p w14:paraId="0726D67B" w14:textId="77777777" w:rsidR="005175B4" w:rsidRPr="005A3173" w:rsidRDefault="005175B4" w:rsidP="005A3173">
          <w:pPr>
            <w:rPr>
              <w:color w:val="365F91"/>
              <w:sz w:val="22"/>
              <w:szCs w:val="22"/>
            </w:rPr>
          </w:pPr>
        </w:p>
      </w:tc>
      <w:tc>
        <w:tcPr>
          <w:tcW w:w="2250" w:type="pct"/>
          <w:tcBorders>
            <w:top w:val="single" w:sz="4" w:space="0" w:color="4F81BD"/>
            <w:left w:val="nil"/>
            <w:bottom w:val="nil"/>
            <w:right w:val="nil"/>
          </w:tcBorders>
        </w:tcPr>
        <w:p w14:paraId="77FEEEB1" w14:textId="77777777" w:rsidR="005175B4" w:rsidRPr="005A3173" w:rsidRDefault="005175B4"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175B4" w14:paraId="434C4AE3" w14:textId="77777777" w:rsidTr="005A3173">
      <w:trPr>
        <w:trHeight w:val="151"/>
      </w:trPr>
      <w:tc>
        <w:tcPr>
          <w:tcW w:w="2250" w:type="pct"/>
          <w:tcBorders>
            <w:top w:val="nil"/>
            <w:left w:val="nil"/>
            <w:bottom w:val="single" w:sz="4" w:space="0" w:color="4F81BD"/>
            <w:right w:val="nil"/>
          </w:tcBorders>
        </w:tcPr>
        <w:p w14:paraId="556410DA" w14:textId="77777777" w:rsidR="005175B4" w:rsidRPr="005A3173" w:rsidRDefault="005175B4"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5175B4" w:rsidRPr="005A3173" w:rsidRDefault="005175B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5175B4" w:rsidRPr="005A3173" w:rsidRDefault="005175B4" w:rsidP="005A3173">
          <w:pPr>
            <w:pStyle w:val="Header"/>
            <w:spacing w:line="276" w:lineRule="auto"/>
            <w:rPr>
              <w:rFonts w:eastAsia="MS Gothic"/>
              <w:b/>
              <w:bCs/>
              <w:color w:val="4F81BD"/>
            </w:rPr>
          </w:pPr>
        </w:p>
      </w:tc>
    </w:tr>
    <w:tr w:rsidR="005175B4" w14:paraId="2F5EEC4C" w14:textId="77777777" w:rsidTr="005A3173">
      <w:trPr>
        <w:trHeight w:val="150"/>
      </w:trPr>
      <w:tc>
        <w:tcPr>
          <w:tcW w:w="2250" w:type="pct"/>
          <w:tcBorders>
            <w:top w:val="single" w:sz="4" w:space="0" w:color="4F81BD"/>
            <w:left w:val="nil"/>
            <w:bottom w:val="nil"/>
            <w:right w:val="nil"/>
          </w:tcBorders>
        </w:tcPr>
        <w:p w14:paraId="60E1BA15" w14:textId="77777777" w:rsidR="005175B4" w:rsidRPr="005A3173" w:rsidRDefault="005175B4" w:rsidP="005A3173">
          <w:pPr>
            <w:pStyle w:val="Header"/>
            <w:spacing w:line="276" w:lineRule="auto"/>
            <w:rPr>
              <w:rFonts w:eastAsia="MS Gothic"/>
              <w:b/>
              <w:bCs/>
              <w:color w:val="4F81BD"/>
            </w:rPr>
          </w:pPr>
        </w:p>
      </w:tc>
      <w:tc>
        <w:tcPr>
          <w:tcW w:w="0" w:type="auto"/>
          <w:vMerge/>
          <w:vAlign w:val="center"/>
          <w:hideMark/>
        </w:tcPr>
        <w:p w14:paraId="4EACACBE" w14:textId="77777777" w:rsidR="005175B4" w:rsidRPr="005A3173" w:rsidRDefault="005175B4" w:rsidP="005A3173">
          <w:pPr>
            <w:rPr>
              <w:color w:val="365F91"/>
              <w:sz w:val="22"/>
              <w:szCs w:val="22"/>
            </w:rPr>
          </w:pPr>
        </w:p>
      </w:tc>
      <w:tc>
        <w:tcPr>
          <w:tcW w:w="2250" w:type="pct"/>
          <w:tcBorders>
            <w:top w:val="single" w:sz="4" w:space="0" w:color="4F81BD"/>
            <w:left w:val="nil"/>
            <w:bottom w:val="nil"/>
            <w:right w:val="nil"/>
          </w:tcBorders>
        </w:tcPr>
        <w:p w14:paraId="516BCB31" w14:textId="77777777" w:rsidR="005175B4" w:rsidRPr="005A3173" w:rsidRDefault="005175B4" w:rsidP="005A3173">
          <w:pPr>
            <w:pStyle w:val="Header"/>
            <w:spacing w:line="276" w:lineRule="auto"/>
            <w:rPr>
              <w:rFonts w:eastAsia="MS Gothic"/>
              <w:b/>
              <w:bCs/>
              <w:color w:val="4F81BD"/>
            </w:rPr>
          </w:pPr>
        </w:p>
      </w:tc>
    </w:tr>
  </w:tbl>
  <w:p w14:paraId="679BDCC0" w14:textId="77777777" w:rsidR="005175B4" w:rsidRPr="007C0F57" w:rsidRDefault="005175B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5175B4" w:rsidRPr="007C0F57" w:rsidRDefault="005175B4" w:rsidP="007C0F57">
    <w:pPr>
      <w:pStyle w:val="Footer"/>
      <w:jc w:val="center"/>
      <w:rPr>
        <w:b/>
        <w:i/>
        <w:sz w:val="20"/>
        <w:szCs w:val="20"/>
      </w:rPr>
    </w:pPr>
    <w:r w:rsidRPr="007C0F57">
      <w:rPr>
        <w:b/>
        <w:i/>
        <w:sz w:val="20"/>
        <w:szCs w:val="20"/>
      </w:rPr>
      <w:t>Commercial-in-Confidence</w:t>
    </w:r>
  </w:p>
  <w:p w14:paraId="36E9E30B" w14:textId="77777777" w:rsidR="005175B4" w:rsidRDefault="005175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5175B4" w:rsidRDefault="005175B4">
      <w:r>
        <w:separator/>
      </w:r>
    </w:p>
    <w:p w14:paraId="19947A18" w14:textId="77777777" w:rsidR="005175B4" w:rsidRDefault="005175B4"/>
  </w:footnote>
  <w:footnote w:type="continuationSeparator" w:id="0">
    <w:p w14:paraId="18D328F6" w14:textId="77777777" w:rsidR="005175B4" w:rsidRDefault="005175B4">
      <w:r>
        <w:continuationSeparator/>
      </w:r>
    </w:p>
    <w:p w14:paraId="77D73443" w14:textId="77777777" w:rsidR="005175B4" w:rsidRDefault="005175B4"/>
  </w:footnote>
  <w:footnote w:type="continuationNotice" w:id="1">
    <w:p w14:paraId="24E1EA74" w14:textId="77777777" w:rsidR="005175B4" w:rsidRDefault="00517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175B4" w:rsidRPr="008E0D90" w14:paraId="263B07EE" w14:textId="77777777" w:rsidTr="00A06225">
      <w:trPr>
        <w:trHeight w:val="151"/>
      </w:trPr>
      <w:tc>
        <w:tcPr>
          <w:tcW w:w="2389" w:type="pct"/>
          <w:tcBorders>
            <w:top w:val="nil"/>
            <w:left w:val="nil"/>
            <w:bottom w:val="single" w:sz="4" w:space="0" w:color="4F81BD"/>
            <w:right w:val="nil"/>
          </w:tcBorders>
        </w:tcPr>
        <w:p w14:paraId="4C63CCAF" w14:textId="165F7E18" w:rsidR="005175B4" w:rsidRPr="00A06225" w:rsidRDefault="005175B4">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5175B4" w:rsidRPr="00A06225" w:rsidRDefault="005175B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5175B4" w:rsidRPr="00A06225" w:rsidRDefault="005175B4">
          <w:pPr>
            <w:pStyle w:val="Header"/>
            <w:spacing w:line="276" w:lineRule="auto"/>
            <w:rPr>
              <w:rFonts w:ascii="Cambria" w:eastAsia="MS Gothic" w:hAnsi="Cambria"/>
              <w:b/>
              <w:bCs/>
              <w:color w:val="4F81BD"/>
            </w:rPr>
          </w:pPr>
        </w:p>
      </w:tc>
    </w:tr>
    <w:tr w:rsidR="005175B4"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5175B4" w:rsidRPr="00A06225" w:rsidRDefault="005175B4">
          <w:pPr>
            <w:pStyle w:val="Header"/>
            <w:spacing w:line="276" w:lineRule="auto"/>
            <w:rPr>
              <w:rFonts w:ascii="Cambria" w:eastAsia="MS Gothic" w:hAnsi="Cambria"/>
              <w:b/>
              <w:bCs/>
              <w:color w:val="4F81BD"/>
            </w:rPr>
          </w:pPr>
        </w:p>
      </w:tc>
      <w:tc>
        <w:tcPr>
          <w:tcW w:w="0" w:type="auto"/>
          <w:vMerge/>
          <w:vAlign w:val="center"/>
          <w:hideMark/>
        </w:tcPr>
        <w:p w14:paraId="00B70FF1" w14:textId="77777777" w:rsidR="005175B4" w:rsidRPr="00A06225" w:rsidRDefault="005175B4">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5175B4" w:rsidRPr="00A06225" w:rsidRDefault="005175B4">
          <w:pPr>
            <w:pStyle w:val="Header"/>
            <w:spacing w:line="276" w:lineRule="auto"/>
            <w:rPr>
              <w:rFonts w:ascii="Cambria" w:eastAsia="MS Gothic" w:hAnsi="Cambria"/>
              <w:b/>
              <w:bCs/>
              <w:color w:val="4F81BD"/>
            </w:rPr>
          </w:pPr>
        </w:p>
      </w:tc>
    </w:tr>
  </w:tbl>
  <w:p w14:paraId="7DCC695F" w14:textId="77777777" w:rsidR="005175B4" w:rsidRDefault="005175B4">
    <w:pPr>
      <w:pStyle w:val="Header"/>
    </w:pPr>
  </w:p>
  <w:p w14:paraId="25F34A60" w14:textId="77777777" w:rsidR="005175B4" w:rsidRDefault="005175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51F4703B" w:rsidR="005175B4" w:rsidRDefault="00BE286D" w:rsidP="003E5E50">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003E5E50">
      <w:rPr>
        <w:rFonts w:asciiTheme="minorHAnsi" w:hAnsiTheme="minorHAnsi" w:cstheme="minorHAnsi"/>
        <w:i/>
        <w:iCs/>
        <w:sz w:val="24"/>
        <w:szCs w:val="24"/>
      </w:rPr>
      <w:t xml:space="preserve"> – March 2022 PBAC Meeting</w:t>
    </w:r>
  </w:p>
  <w:p w14:paraId="2188A99B" w14:textId="77777777" w:rsidR="003E5E50" w:rsidRPr="003E5E50" w:rsidRDefault="003E5E50" w:rsidP="003E5E50">
    <w:pPr>
      <w:pStyle w:val="NoSpacing"/>
      <w:jc w:val="center"/>
      <w:rPr>
        <w:rFonts w:asciiTheme="minorHAnsi" w:hAnsiTheme="minorHAnsi" w:cstheme="minorHAnsi"/>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1EDC" w14:textId="77777777" w:rsidR="00BE286D" w:rsidRDefault="00BE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767145"/>
    <w:multiLevelType w:val="hybridMultilevel"/>
    <w:tmpl w:val="573C3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1314"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945511A"/>
    <w:multiLevelType w:val="hybridMultilevel"/>
    <w:tmpl w:val="7E2A9216"/>
    <w:lvl w:ilvl="0" w:tplc="ED8EF88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21"/>
  </w:num>
  <w:num w:numId="3">
    <w:abstractNumId w:val="0"/>
  </w:num>
  <w:num w:numId="4">
    <w:abstractNumId w:val="14"/>
  </w:num>
  <w:num w:numId="5">
    <w:abstractNumId w:val="23"/>
  </w:num>
  <w:num w:numId="6">
    <w:abstractNumId w:val="19"/>
  </w:num>
  <w:num w:numId="7">
    <w:abstractNumId w:val="11"/>
  </w:num>
  <w:num w:numId="8">
    <w:abstractNumId w:val="9"/>
  </w:num>
  <w:num w:numId="9">
    <w:abstractNumId w:val="1"/>
  </w:num>
  <w:num w:numId="10">
    <w:abstractNumId w:val="21"/>
  </w:num>
  <w:num w:numId="11">
    <w:abstractNumId w:val="17"/>
  </w:num>
  <w:num w:numId="12">
    <w:abstractNumId w:val="20"/>
  </w:num>
  <w:num w:numId="13">
    <w:abstractNumId w:val="6"/>
  </w:num>
  <w:num w:numId="14">
    <w:abstractNumId w:val="5"/>
  </w:num>
  <w:num w:numId="15">
    <w:abstractNumId w:val="15"/>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4"/>
  </w:num>
  <w:num w:numId="21">
    <w:abstractNumId w:val="3"/>
  </w:num>
  <w:num w:numId="22">
    <w:abstractNumId w:val="10"/>
  </w:num>
  <w:num w:numId="23">
    <w:abstractNumId w:val="7"/>
  </w:num>
  <w:num w:numId="24">
    <w:abstractNumId w:val="21"/>
  </w:num>
  <w:num w:numId="25">
    <w:abstractNumId w:val="12"/>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6A41"/>
    <w:rsid w:val="000214D1"/>
    <w:rsid w:val="0002464A"/>
    <w:rsid w:val="00025A04"/>
    <w:rsid w:val="0002693D"/>
    <w:rsid w:val="0003050E"/>
    <w:rsid w:val="0003106B"/>
    <w:rsid w:val="00034151"/>
    <w:rsid w:val="00034905"/>
    <w:rsid w:val="00040A30"/>
    <w:rsid w:val="000421A1"/>
    <w:rsid w:val="0004240E"/>
    <w:rsid w:val="00044EC4"/>
    <w:rsid w:val="00045E26"/>
    <w:rsid w:val="00046903"/>
    <w:rsid w:val="00046A01"/>
    <w:rsid w:val="000514B5"/>
    <w:rsid w:val="0005322E"/>
    <w:rsid w:val="00054E2B"/>
    <w:rsid w:val="00060E64"/>
    <w:rsid w:val="000621AB"/>
    <w:rsid w:val="00062E88"/>
    <w:rsid w:val="00066193"/>
    <w:rsid w:val="00066755"/>
    <w:rsid w:val="00071A5B"/>
    <w:rsid w:val="00072730"/>
    <w:rsid w:val="0007337F"/>
    <w:rsid w:val="00073F80"/>
    <w:rsid w:val="00074320"/>
    <w:rsid w:val="000763D5"/>
    <w:rsid w:val="00076C38"/>
    <w:rsid w:val="00077143"/>
    <w:rsid w:val="00077DF7"/>
    <w:rsid w:val="0008050C"/>
    <w:rsid w:val="00082169"/>
    <w:rsid w:val="000834BE"/>
    <w:rsid w:val="00083F01"/>
    <w:rsid w:val="00087A60"/>
    <w:rsid w:val="00087C4C"/>
    <w:rsid w:val="00090DCE"/>
    <w:rsid w:val="000918CB"/>
    <w:rsid w:val="00091B06"/>
    <w:rsid w:val="000951C4"/>
    <w:rsid w:val="00095ADA"/>
    <w:rsid w:val="000969AD"/>
    <w:rsid w:val="000975FB"/>
    <w:rsid w:val="000A02F8"/>
    <w:rsid w:val="000A3AA2"/>
    <w:rsid w:val="000A44B2"/>
    <w:rsid w:val="000A52F6"/>
    <w:rsid w:val="000A58B8"/>
    <w:rsid w:val="000B0681"/>
    <w:rsid w:val="000B44C3"/>
    <w:rsid w:val="000B558D"/>
    <w:rsid w:val="000B5A89"/>
    <w:rsid w:val="000B65F6"/>
    <w:rsid w:val="000B7767"/>
    <w:rsid w:val="000C0FE9"/>
    <w:rsid w:val="000C1AFF"/>
    <w:rsid w:val="000C5F95"/>
    <w:rsid w:val="000C6996"/>
    <w:rsid w:val="000C7C46"/>
    <w:rsid w:val="000D09E9"/>
    <w:rsid w:val="000D0CDC"/>
    <w:rsid w:val="000D113F"/>
    <w:rsid w:val="000D23BA"/>
    <w:rsid w:val="000E19B7"/>
    <w:rsid w:val="000E20FC"/>
    <w:rsid w:val="000E3DFB"/>
    <w:rsid w:val="000E5EA1"/>
    <w:rsid w:val="000E681E"/>
    <w:rsid w:val="000E696B"/>
    <w:rsid w:val="000E7E52"/>
    <w:rsid w:val="000E7E90"/>
    <w:rsid w:val="000EE1C7"/>
    <w:rsid w:val="000F0003"/>
    <w:rsid w:val="000F3384"/>
    <w:rsid w:val="000F4E6A"/>
    <w:rsid w:val="000F7354"/>
    <w:rsid w:val="00101ABE"/>
    <w:rsid w:val="00102202"/>
    <w:rsid w:val="00102700"/>
    <w:rsid w:val="00102A78"/>
    <w:rsid w:val="00103118"/>
    <w:rsid w:val="00103F1B"/>
    <w:rsid w:val="00104227"/>
    <w:rsid w:val="00104C0F"/>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66C2"/>
    <w:rsid w:val="00136C17"/>
    <w:rsid w:val="00140B74"/>
    <w:rsid w:val="00140D94"/>
    <w:rsid w:val="00142395"/>
    <w:rsid w:val="00142714"/>
    <w:rsid w:val="00143085"/>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52BC"/>
    <w:rsid w:val="00196307"/>
    <w:rsid w:val="00197C70"/>
    <w:rsid w:val="00197F03"/>
    <w:rsid w:val="001A036A"/>
    <w:rsid w:val="001A0D10"/>
    <w:rsid w:val="001A33EA"/>
    <w:rsid w:val="001A421E"/>
    <w:rsid w:val="001A4413"/>
    <w:rsid w:val="001A4C4F"/>
    <w:rsid w:val="001A5A2B"/>
    <w:rsid w:val="001A76FB"/>
    <w:rsid w:val="001B017F"/>
    <w:rsid w:val="001B0B79"/>
    <w:rsid w:val="001B2BBC"/>
    <w:rsid w:val="001B2BCD"/>
    <w:rsid w:val="001B3A40"/>
    <w:rsid w:val="001B3FFE"/>
    <w:rsid w:val="001B5129"/>
    <w:rsid w:val="001B71E5"/>
    <w:rsid w:val="001C0B4C"/>
    <w:rsid w:val="001C0EC4"/>
    <w:rsid w:val="001C1195"/>
    <w:rsid w:val="001C12AE"/>
    <w:rsid w:val="001C1E84"/>
    <w:rsid w:val="001C2A0F"/>
    <w:rsid w:val="001C2AA3"/>
    <w:rsid w:val="001C2E42"/>
    <w:rsid w:val="001C70B1"/>
    <w:rsid w:val="001C7A15"/>
    <w:rsid w:val="001D1F5F"/>
    <w:rsid w:val="001E06D2"/>
    <w:rsid w:val="001E17C4"/>
    <w:rsid w:val="001E2D65"/>
    <w:rsid w:val="001E62D2"/>
    <w:rsid w:val="001F005B"/>
    <w:rsid w:val="001F1850"/>
    <w:rsid w:val="001F1FBF"/>
    <w:rsid w:val="001F2311"/>
    <w:rsid w:val="001F2B80"/>
    <w:rsid w:val="001F2F1C"/>
    <w:rsid w:val="001F3189"/>
    <w:rsid w:val="00200069"/>
    <w:rsid w:val="0020070C"/>
    <w:rsid w:val="00200BEA"/>
    <w:rsid w:val="00201FB8"/>
    <w:rsid w:val="00203FAC"/>
    <w:rsid w:val="00204AB7"/>
    <w:rsid w:val="002133FB"/>
    <w:rsid w:val="00213CFB"/>
    <w:rsid w:val="0021553C"/>
    <w:rsid w:val="0021557B"/>
    <w:rsid w:val="00216B87"/>
    <w:rsid w:val="002174FD"/>
    <w:rsid w:val="00217BE1"/>
    <w:rsid w:val="002214B9"/>
    <w:rsid w:val="00222680"/>
    <w:rsid w:val="00223370"/>
    <w:rsid w:val="0022575C"/>
    <w:rsid w:val="00227BC5"/>
    <w:rsid w:val="00230F63"/>
    <w:rsid w:val="00234252"/>
    <w:rsid w:val="0023466E"/>
    <w:rsid w:val="00237AC6"/>
    <w:rsid w:val="00242BFD"/>
    <w:rsid w:val="00244139"/>
    <w:rsid w:val="00244490"/>
    <w:rsid w:val="00244BEC"/>
    <w:rsid w:val="00244FCE"/>
    <w:rsid w:val="00245B9C"/>
    <w:rsid w:val="00252587"/>
    <w:rsid w:val="00253499"/>
    <w:rsid w:val="00253589"/>
    <w:rsid w:val="002551A4"/>
    <w:rsid w:val="00257664"/>
    <w:rsid w:val="00260165"/>
    <w:rsid w:val="00265151"/>
    <w:rsid w:val="00265C2C"/>
    <w:rsid w:val="00266509"/>
    <w:rsid w:val="00267A42"/>
    <w:rsid w:val="00271BA1"/>
    <w:rsid w:val="00273AC5"/>
    <w:rsid w:val="002762FA"/>
    <w:rsid w:val="00277505"/>
    <w:rsid w:val="00277873"/>
    <w:rsid w:val="0028158C"/>
    <w:rsid w:val="002823B6"/>
    <w:rsid w:val="00290C03"/>
    <w:rsid w:val="00292E3B"/>
    <w:rsid w:val="002933A8"/>
    <w:rsid w:val="0029362D"/>
    <w:rsid w:val="00294274"/>
    <w:rsid w:val="0029458F"/>
    <w:rsid w:val="00297A63"/>
    <w:rsid w:val="002A018F"/>
    <w:rsid w:val="002A0E04"/>
    <w:rsid w:val="002A104C"/>
    <w:rsid w:val="002A1142"/>
    <w:rsid w:val="002A1EF7"/>
    <w:rsid w:val="002A2B7B"/>
    <w:rsid w:val="002A494D"/>
    <w:rsid w:val="002A4960"/>
    <w:rsid w:val="002A4BD3"/>
    <w:rsid w:val="002A636A"/>
    <w:rsid w:val="002A755F"/>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1444"/>
    <w:rsid w:val="002D2641"/>
    <w:rsid w:val="002D283A"/>
    <w:rsid w:val="002D4543"/>
    <w:rsid w:val="002E022A"/>
    <w:rsid w:val="002E3153"/>
    <w:rsid w:val="002E4A02"/>
    <w:rsid w:val="002E5292"/>
    <w:rsid w:val="002E72CA"/>
    <w:rsid w:val="002E75DD"/>
    <w:rsid w:val="002F1D07"/>
    <w:rsid w:val="002F338B"/>
    <w:rsid w:val="002F5C5B"/>
    <w:rsid w:val="002F600D"/>
    <w:rsid w:val="002F6F0F"/>
    <w:rsid w:val="002F7E47"/>
    <w:rsid w:val="00300AD6"/>
    <w:rsid w:val="00300B1B"/>
    <w:rsid w:val="003019D0"/>
    <w:rsid w:val="003019DE"/>
    <w:rsid w:val="003064AF"/>
    <w:rsid w:val="003078A8"/>
    <w:rsid w:val="00307DC6"/>
    <w:rsid w:val="0031052E"/>
    <w:rsid w:val="00310A8B"/>
    <w:rsid w:val="00310B68"/>
    <w:rsid w:val="0031488E"/>
    <w:rsid w:val="003160D2"/>
    <w:rsid w:val="003173FC"/>
    <w:rsid w:val="00317C6C"/>
    <w:rsid w:val="00320B80"/>
    <w:rsid w:val="00320CD3"/>
    <w:rsid w:val="003215FF"/>
    <w:rsid w:val="00322667"/>
    <w:rsid w:val="0032607C"/>
    <w:rsid w:val="00326E79"/>
    <w:rsid w:val="0032748A"/>
    <w:rsid w:val="003301B1"/>
    <w:rsid w:val="00331189"/>
    <w:rsid w:val="0033263D"/>
    <w:rsid w:val="00332D31"/>
    <w:rsid w:val="003349A9"/>
    <w:rsid w:val="00334E69"/>
    <w:rsid w:val="0033518A"/>
    <w:rsid w:val="00335535"/>
    <w:rsid w:val="003367EF"/>
    <w:rsid w:val="00341AE4"/>
    <w:rsid w:val="00343FB7"/>
    <w:rsid w:val="00344351"/>
    <w:rsid w:val="003459DC"/>
    <w:rsid w:val="00346FEF"/>
    <w:rsid w:val="003476EE"/>
    <w:rsid w:val="003541DD"/>
    <w:rsid w:val="00356E5B"/>
    <w:rsid w:val="00360887"/>
    <w:rsid w:val="0036249F"/>
    <w:rsid w:val="00371246"/>
    <w:rsid w:val="003736C9"/>
    <w:rsid w:val="0037380D"/>
    <w:rsid w:val="00383B77"/>
    <w:rsid w:val="00384988"/>
    <w:rsid w:val="003872CF"/>
    <w:rsid w:val="003874CB"/>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25A0"/>
    <w:rsid w:val="003D4594"/>
    <w:rsid w:val="003D4AC4"/>
    <w:rsid w:val="003D5433"/>
    <w:rsid w:val="003D63B7"/>
    <w:rsid w:val="003D6F3E"/>
    <w:rsid w:val="003D74C5"/>
    <w:rsid w:val="003E4374"/>
    <w:rsid w:val="003E468B"/>
    <w:rsid w:val="003E5E50"/>
    <w:rsid w:val="003E62BD"/>
    <w:rsid w:val="003E658D"/>
    <w:rsid w:val="003F044F"/>
    <w:rsid w:val="003F0C3A"/>
    <w:rsid w:val="003F15F0"/>
    <w:rsid w:val="003F2525"/>
    <w:rsid w:val="003F2AD9"/>
    <w:rsid w:val="003F3228"/>
    <w:rsid w:val="003F5C8C"/>
    <w:rsid w:val="003F63CE"/>
    <w:rsid w:val="003F775A"/>
    <w:rsid w:val="00400E55"/>
    <w:rsid w:val="0040128E"/>
    <w:rsid w:val="0040216B"/>
    <w:rsid w:val="004034D9"/>
    <w:rsid w:val="0040590E"/>
    <w:rsid w:val="00407CC8"/>
    <w:rsid w:val="00414F0C"/>
    <w:rsid w:val="00415119"/>
    <w:rsid w:val="00420400"/>
    <w:rsid w:val="004226DA"/>
    <w:rsid w:val="00423E78"/>
    <w:rsid w:val="0042428C"/>
    <w:rsid w:val="004252EC"/>
    <w:rsid w:val="00430D39"/>
    <w:rsid w:val="00442C91"/>
    <w:rsid w:val="004465BD"/>
    <w:rsid w:val="00446938"/>
    <w:rsid w:val="004528FA"/>
    <w:rsid w:val="00461A44"/>
    <w:rsid w:val="00462D26"/>
    <w:rsid w:val="0046368B"/>
    <w:rsid w:val="0046385A"/>
    <w:rsid w:val="00464039"/>
    <w:rsid w:val="00466ADA"/>
    <w:rsid w:val="004702BB"/>
    <w:rsid w:val="0047494B"/>
    <w:rsid w:val="00476245"/>
    <w:rsid w:val="004779E3"/>
    <w:rsid w:val="00477A9B"/>
    <w:rsid w:val="00482AE4"/>
    <w:rsid w:val="00483035"/>
    <w:rsid w:val="00485940"/>
    <w:rsid w:val="00486519"/>
    <w:rsid w:val="00486C95"/>
    <w:rsid w:val="004877C2"/>
    <w:rsid w:val="004904B9"/>
    <w:rsid w:val="00491ED8"/>
    <w:rsid w:val="004928E1"/>
    <w:rsid w:val="00492D8D"/>
    <w:rsid w:val="00496662"/>
    <w:rsid w:val="004A1431"/>
    <w:rsid w:val="004A2484"/>
    <w:rsid w:val="004A2BC0"/>
    <w:rsid w:val="004A5A85"/>
    <w:rsid w:val="004A6AB6"/>
    <w:rsid w:val="004A71D1"/>
    <w:rsid w:val="004A7C5B"/>
    <w:rsid w:val="004B1845"/>
    <w:rsid w:val="004B2348"/>
    <w:rsid w:val="004B2A03"/>
    <w:rsid w:val="004B2E01"/>
    <w:rsid w:val="004B2E98"/>
    <w:rsid w:val="004B4A58"/>
    <w:rsid w:val="004B5640"/>
    <w:rsid w:val="004B6084"/>
    <w:rsid w:val="004BCF29"/>
    <w:rsid w:val="004C0206"/>
    <w:rsid w:val="004C03D0"/>
    <w:rsid w:val="004C1BD7"/>
    <w:rsid w:val="004C2110"/>
    <w:rsid w:val="004C239C"/>
    <w:rsid w:val="004C31FE"/>
    <w:rsid w:val="004C4374"/>
    <w:rsid w:val="004C524C"/>
    <w:rsid w:val="004C5EDD"/>
    <w:rsid w:val="004C5FFA"/>
    <w:rsid w:val="004C691D"/>
    <w:rsid w:val="004C6C07"/>
    <w:rsid w:val="004C7E15"/>
    <w:rsid w:val="004D2CD1"/>
    <w:rsid w:val="004D4FF6"/>
    <w:rsid w:val="004D5ADD"/>
    <w:rsid w:val="004E3C4B"/>
    <w:rsid w:val="004E692D"/>
    <w:rsid w:val="004E7230"/>
    <w:rsid w:val="004E7D87"/>
    <w:rsid w:val="004F2553"/>
    <w:rsid w:val="004F306A"/>
    <w:rsid w:val="00501554"/>
    <w:rsid w:val="00502AFE"/>
    <w:rsid w:val="00502E64"/>
    <w:rsid w:val="00503AD7"/>
    <w:rsid w:val="00503E89"/>
    <w:rsid w:val="00504E0C"/>
    <w:rsid w:val="00504E13"/>
    <w:rsid w:val="00506D37"/>
    <w:rsid w:val="005109D4"/>
    <w:rsid w:val="00511006"/>
    <w:rsid w:val="0051230A"/>
    <w:rsid w:val="00514CD7"/>
    <w:rsid w:val="005167EC"/>
    <w:rsid w:val="005170DA"/>
    <w:rsid w:val="005175B4"/>
    <w:rsid w:val="005178D9"/>
    <w:rsid w:val="00520D6A"/>
    <w:rsid w:val="00521C7D"/>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122E"/>
    <w:rsid w:val="0056484E"/>
    <w:rsid w:val="00565999"/>
    <w:rsid w:val="00567D8A"/>
    <w:rsid w:val="00570231"/>
    <w:rsid w:val="00575A1B"/>
    <w:rsid w:val="005764CD"/>
    <w:rsid w:val="00577C4D"/>
    <w:rsid w:val="00580532"/>
    <w:rsid w:val="00581932"/>
    <w:rsid w:val="005839C1"/>
    <w:rsid w:val="005903BB"/>
    <w:rsid w:val="00593893"/>
    <w:rsid w:val="005963BB"/>
    <w:rsid w:val="005972AC"/>
    <w:rsid w:val="005A0DD4"/>
    <w:rsid w:val="005A15D2"/>
    <w:rsid w:val="005A3173"/>
    <w:rsid w:val="005A3223"/>
    <w:rsid w:val="005A3DA3"/>
    <w:rsid w:val="005A52C4"/>
    <w:rsid w:val="005A5911"/>
    <w:rsid w:val="005A63A1"/>
    <w:rsid w:val="005B0486"/>
    <w:rsid w:val="005B1473"/>
    <w:rsid w:val="005B36FA"/>
    <w:rsid w:val="005C30A5"/>
    <w:rsid w:val="005C4F73"/>
    <w:rsid w:val="005D03AB"/>
    <w:rsid w:val="005D401D"/>
    <w:rsid w:val="005D5017"/>
    <w:rsid w:val="005D5708"/>
    <w:rsid w:val="005D5D62"/>
    <w:rsid w:val="005D63FA"/>
    <w:rsid w:val="005D73C7"/>
    <w:rsid w:val="005E0C2D"/>
    <w:rsid w:val="005E0D82"/>
    <w:rsid w:val="005E0F59"/>
    <w:rsid w:val="005E1333"/>
    <w:rsid w:val="005E3136"/>
    <w:rsid w:val="005E507D"/>
    <w:rsid w:val="005F0AD0"/>
    <w:rsid w:val="005F0D38"/>
    <w:rsid w:val="00601A91"/>
    <w:rsid w:val="00602BA3"/>
    <w:rsid w:val="00605161"/>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37CDD"/>
    <w:rsid w:val="00640088"/>
    <w:rsid w:val="00642672"/>
    <w:rsid w:val="00642DA8"/>
    <w:rsid w:val="006436CD"/>
    <w:rsid w:val="00651169"/>
    <w:rsid w:val="00653D69"/>
    <w:rsid w:val="006552E6"/>
    <w:rsid w:val="00655794"/>
    <w:rsid w:val="00656F2F"/>
    <w:rsid w:val="00657C63"/>
    <w:rsid w:val="00661CBC"/>
    <w:rsid w:val="00662B85"/>
    <w:rsid w:val="006670BE"/>
    <w:rsid w:val="00670A76"/>
    <w:rsid w:val="006711AA"/>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DFD"/>
    <w:rsid w:val="006A5E20"/>
    <w:rsid w:val="006B0D94"/>
    <w:rsid w:val="006B16B6"/>
    <w:rsid w:val="006B485D"/>
    <w:rsid w:val="006C0C45"/>
    <w:rsid w:val="006C334C"/>
    <w:rsid w:val="006C4EE9"/>
    <w:rsid w:val="006C6C10"/>
    <w:rsid w:val="006C708E"/>
    <w:rsid w:val="006D14E7"/>
    <w:rsid w:val="006D4444"/>
    <w:rsid w:val="006D6493"/>
    <w:rsid w:val="006D6EC7"/>
    <w:rsid w:val="006D7E45"/>
    <w:rsid w:val="006E1143"/>
    <w:rsid w:val="006E1BCD"/>
    <w:rsid w:val="006E2732"/>
    <w:rsid w:val="006E59CD"/>
    <w:rsid w:val="006F0A71"/>
    <w:rsid w:val="006F1C6B"/>
    <w:rsid w:val="006F40C2"/>
    <w:rsid w:val="006F5125"/>
    <w:rsid w:val="006F733D"/>
    <w:rsid w:val="00700040"/>
    <w:rsid w:val="00700765"/>
    <w:rsid w:val="00701A53"/>
    <w:rsid w:val="00702959"/>
    <w:rsid w:val="00702B6F"/>
    <w:rsid w:val="007030B4"/>
    <w:rsid w:val="00703B86"/>
    <w:rsid w:val="00704069"/>
    <w:rsid w:val="0070640A"/>
    <w:rsid w:val="00706A2F"/>
    <w:rsid w:val="0070718E"/>
    <w:rsid w:val="00707E52"/>
    <w:rsid w:val="00710259"/>
    <w:rsid w:val="0071031F"/>
    <w:rsid w:val="00710737"/>
    <w:rsid w:val="0071340B"/>
    <w:rsid w:val="00713C50"/>
    <w:rsid w:val="0071436D"/>
    <w:rsid w:val="00715BBB"/>
    <w:rsid w:val="007174BB"/>
    <w:rsid w:val="0072025D"/>
    <w:rsid w:val="00720944"/>
    <w:rsid w:val="00723328"/>
    <w:rsid w:val="007237DE"/>
    <w:rsid w:val="0072502E"/>
    <w:rsid w:val="0073137C"/>
    <w:rsid w:val="0073274F"/>
    <w:rsid w:val="007331F9"/>
    <w:rsid w:val="007340B9"/>
    <w:rsid w:val="007353D3"/>
    <w:rsid w:val="0074156B"/>
    <w:rsid w:val="00741619"/>
    <w:rsid w:val="00742885"/>
    <w:rsid w:val="00747092"/>
    <w:rsid w:val="007515C3"/>
    <w:rsid w:val="007526E6"/>
    <w:rsid w:val="00754DF9"/>
    <w:rsid w:val="007555E8"/>
    <w:rsid w:val="00755BE0"/>
    <w:rsid w:val="00755CC5"/>
    <w:rsid w:val="00761BD9"/>
    <w:rsid w:val="007626E0"/>
    <w:rsid w:val="00762862"/>
    <w:rsid w:val="0076420C"/>
    <w:rsid w:val="0076626B"/>
    <w:rsid w:val="00771D07"/>
    <w:rsid w:val="00772649"/>
    <w:rsid w:val="00773BE3"/>
    <w:rsid w:val="007743DD"/>
    <w:rsid w:val="00774E2C"/>
    <w:rsid w:val="0077503C"/>
    <w:rsid w:val="0077518D"/>
    <w:rsid w:val="007753C2"/>
    <w:rsid w:val="00776068"/>
    <w:rsid w:val="0078077E"/>
    <w:rsid w:val="00780836"/>
    <w:rsid w:val="007838B8"/>
    <w:rsid w:val="00785779"/>
    <w:rsid w:val="00787D37"/>
    <w:rsid w:val="00787FD8"/>
    <w:rsid w:val="007915BA"/>
    <w:rsid w:val="00791844"/>
    <w:rsid w:val="007925DD"/>
    <w:rsid w:val="00793CE9"/>
    <w:rsid w:val="00796667"/>
    <w:rsid w:val="00797068"/>
    <w:rsid w:val="007979BD"/>
    <w:rsid w:val="007A5C88"/>
    <w:rsid w:val="007A6A2F"/>
    <w:rsid w:val="007B024E"/>
    <w:rsid w:val="007B3BAF"/>
    <w:rsid w:val="007B3DDC"/>
    <w:rsid w:val="007B72A6"/>
    <w:rsid w:val="007C06D2"/>
    <w:rsid w:val="007C08E0"/>
    <w:rsid w:val="007C0F57"/>
    <w:rsid w:val="007C40B6"/>
    <w:rsid w:val="007C5975"/>
    <w:rsid w:val="007C729F"/>
    <w:rsid w:val="007D503D"/>
    <w:rsid w:val="007D59E7"/>
    <w:rsid w:val="007D5F2A"/>
    <w:rsid w:val="007E07AC"/>
    <w:rsid w:val="007E1014"/>
    <w:rsid w:val="007E12F8"/>
    <w:rsid w:val="007E1D28"/>
    <w:rsid w:val="007E490F"/>
    <w:rsid w:val="007F0021"/>
    <w:rsid w:val="007F2641"/>
    <w:rsid w:val="007F3B80"/>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5FD6"/>
    <w:rsid w:val="008566B1"/>
    <w:rsid w:val="00856DDD"/>
    <w:rsid w:val="00860233"/>
    <w:rsid w:val="00863E68"/>
    <w:rsid w:val="008647B5"/>
    <w:rsid w:val="00867D64"/>
    <w:rsid w:val="00872E8F"/>
    <w:rsid w:val="00875805"/>
    <w:rsid w:val="00875DCB"/>
    <w:rsid w:val="00876FBF"/>
    <w:rsid w:val="0087755A"/>
    <w:rsid w:val="00881A28"/>
    <w:rsid w:val="00882085"/>
    <w:rsid w:val="00883188"/>
    <w:rsid w:val="00884A0C"/>
    <w:rsid w:val="00886ACA"/>
    <w:rsid w:val="00886B01"/>
    <w:rsid w:val="0089031E"/>
    <w:rsid w:val="0089109A"/>
    <w:rsid w:val="00893D5C"/>
    <w:rsid w:val="0089460B"/>
    <w:rsid w:val="00897D58"/>
    <w:rsid w:val="00897F22"/>
    <w:rsid w:val="008A0B39"/>
    <w:rsid w:val="008A0BC0"/>
    <w:rsid w:val="008A17A3"/>
    <w:rsid w:val="008A1956"/>
    <w:rsid w:val="008A1E85"/>
    <w:rsid w:val="008A2419"/>
    <w:rsid w:val="008A4937"/>
    <w:rsid w:val="008A50F1"/>
    <w:rsid w:val="008A59D9"/>
    <w:rsid w:val="008A643E"/>
    <w:rsid w:val="008A6819"/>
    <w:rsid w:val="008B007A"/>
    <w:rsid w:val="008B2002"/>
    <w:rsid w:val="008B2B98"/>
    <w:rsid w:val="008B2EC0"/>
    <w:rsid w:val="008B6DCF"/>
    <w:rsid w:val="008B716D"/>
    <w:rsid w:val="008D0748"/>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09CF"/>
    <w:rsid w:val="009023DC"/>
    <w:rsid w:val="009027C5"/>
    <w:rsid w:val="00904413"/>
    <w:rsid w:val="009067B7"/>
    <w:rsid w:val="0090775A"/>
    <w:rsid w:val="00907DFD"/>
    <w:rsid w:val="00910FEE"/>
    <w:rsid w:val="00911C51"/>
    <w:rsid w:val="00913C99"/>
    <w:rsid w:val="00917D69"/>
    <w:rsid w:val="00920B6D"/>
    <w:rsid w:val="0092345F"/>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44D9"/>
    <w:rsid w:val="00964A9F"/>
    <w:rsid w:val="009659B7"/>
    <w:rsid w:val="00966D0D"/>
    <w:rsid w:val="00967732"/>
    <w:rsid w:val="0096783C"/>
    <w:rsid w:val="00970023"/>
    <w:rsid w:val="009722B3"/>
    <w:rsid w:val="00973E24"/>
    <w:rsid w:val="00974C21"/>
    <w:rsid w:val="00975948"/>
    <w:rsid w:val="009772FD"/>
    <w:rsid w:val="00977BF3"/>
    <w:rsid w:val="009803E4"/>
    <w:rsid w:val="00980B0E"/>
    <w:rsid w:val="00982B39"/>
    <w:rsid w:val="00982DF4"/>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BDF"/>
    <w:rsid w:val="009A5D04"/>
    <w:rsid w:val="009A61CA"/>
    <w:rsid w:val="009B0C64"/>
    <w:rsid w:val="009B0F67"/>
    <w:rsid w:val="009B208A"/>
    <w:rsid w:val="009B2756"/>
    <w:rsid w:val="009B3D56"/>
    <w:rsid w:val="009B3F8C"/>
    <w:rsid w:val="009B533B"/>
    <w:rsid w:val="009C703C"/>
    <w:rsid w:val="009D0602"/>
    <w:rsid w:val="009D0C29"/>
    <w:rsid w:val="009D206E"/>
    <w:rsid w:val="009D3CAA"/>
    <w:rsid w:val="009D507A"/>
    <w:rsid w:val="009D6532"/>
    <w:rsid w:val="009D71FD"/>
    <w:rsid w:val="009E06F0"/>
    <w:rsid w:val="009E0755"/>
    <w:rsid w:val="009E10AD"/>
    <w:rsid w:val="009E2588"/>
    <w:rsid w:val="009E2E8E"/>
    <w:rsid w:val="009E40E1"/>
    <w:rsid w:val="009F0EFA"/>
    <w:rsid w:val="009F1340"/>
    <w:rsid w:val="009F389D"/>
    <w:rsid w:val="009F3AB6"/>
    <w:rsid w:val="009F4E46"/>
    <w:rsid w:val="009F5B65"/>
    <w:rsid w:val="009F5F2E"/>
    <w:rsid w:val="00A00671"/>
    <w:rsid w:val="00A00A32"/>
    <w:rsid w:val="00A01432"/>
    <w:rsid w:val="00A02B25"/>
    <w:rsid w:val="00A06225"/>
    <w:rsid w:val="00A110D1"/>
    <w:rsid w:val="00A12587"/>
    <w:rsid w:val="00A128E6"/>
    <w:rsid w:val="00A144D3"/>
    <w:rsid w:val="00A21D7D"/>
    <w:rsid w:val="00A22AC3"/>
    <w:rsid w:val="00A232CD"/>
    <w:rsid w:val="00A2351E"/>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9B3"/>
    <w:rsid w:val="00A44EC1"/>
    <w:rsid w:val="00A50672"/>
    <w:rsid w:val="00A510E4"/>
    <w:rsid w:val="00A526F7"/>
    <w:rsid w:val="00A5273B"/>
    <w:rsid w:val="00A53A9D"/>
    <w:rsid w:val="00A55FEE"/>
    <w:rsid w:val="00A57422"/>
    <w:rsid w:val="00A60C23"/>
    <w:rsid w:val="00A62C1A"/>
    <w:rsid w:val="00A637E3"/>
    <w:rsid w:val="00A63CA2"/>
    <w:rsid w:val="00A6426D"/>
    <w:rsid w:val="00A65076"/>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264D"/>
    <w:rsid w:val="00AA4D1C"/>
    <w:rsid w:val="00AA52FD"/>
    <w:rsid w:val="00AA7006"/>
    <w:rsid w:val="00AB4684"/>
    <w:rsid w:val="00AB5856"/>
    <w:rsid w:val="00AC081D"/>
    <w:rsid w:val="00AC0C6F"/>
    <w:rsid w:val="00AC1266"/>
    <w:rsid w:val="00AC1802"/>
    <w:rsid w:val="00AC193C"/>
    <w:rsid w:val="00AC30C1"/>
    <w:rsid w:val="00AC4DE5"/>
    <w:rsid w:val="00AC5206"/>
    <w:rsid w:val="00AD3106"/>
    <w:rsid w:val="00AD4322"/>
    <w:rsid w:val="00AD7E34"/>
    <w:rsid w:val="00AE11A5"/>
    <w:rsid w:val="00AE13E2"/>
    <w:rsid w:val="00AE22D3"/>
    <w:rsid w:val="00AE5A49"/>
    <w:rsid w:val="00AF11D8"/>
    <w:rsid w:val="00AF5867"/>
    <w:rsid w:val="00AF62DF"/>
    <w:rsid w:val="00AF68CC"/>
    <w:rsid w:val="00AF70D7"/>
    <w:rsid w:val="00B00CD0"/>
    <w:rsid w:val="00B00E7F"/>
    <w:rsid w:val="00B01FF4"/>
    <w:rsid w:val="00B02590"/>
    <w:rsid w:val="00B0326D"/>
    <w:rsid w:val="00B06037"/>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4C7B"/>
    <w:rsid w:val="00B25F75"/>
    <w:rsid w:val="00B26B3F"/>
    <w:rsid w:val="00B2778F"/>
    <w:rsid w:val="00B327E2"/>
    <w:rsid w:val="00B33635"/>
    <w:rsid w:val="00B34386"/>
    <w:rsid w:val="00B365D8"/>
    <w:rsid w:val="00B37A23"/>
    <w:rsid w:val="00B37CF8"/>
    <w:rsid w:val="00B42AF4"/>
    <w:rsid w:val="00B43E90"/>
    <w:rsid w:val="00B44308"/>
    <w:rsid w:val="00B45722"/>
    <w:rsid w:val="00B467DC"/>
    <w:rsid w:val="00B52303"/>
    <w:rsid w:val="00B5392A"/>
    <w:rsid w:val="00B539EF"/>
    <w:rsid w:val="00B546FA"/>
    <w:rsid w:val="00B56118"/>
    <w:rsid w:val="00B566E1"/>
    <w:rsid w:val="00B56AFB"/>
    <w:rsid w:val="00B602F6"/>
    <w:rsid w:val="00B64A96"/>
    <w:rsid w:val="00B6773F"/>
    <w:rsid w:val="00B70EB3"/>
    <w:rsid w:val="00B72906"/>
    <w:rsid w:val="00B73E78"/>
    <w:rsid w:val="00B74F48"/>
    <w:rsid w:val="00B7525E"/>
    <w:rsid w:val="00B75433"/>
    <w:rsid w:val="00B760FB"/>
    <w:rsid w:val="00B76765"/>
    <w:rsid w:val="00B767AB"/>
    <w:rsid w:val="00B801BA"/>
    <w:rsid w:val="00B8068A"/>
    <w:rsid w:val="00B812D6"/>
    <w:rsid w:val="00B84D5C"/>
    <w:rsid w:val="00B85AF6"/>
    <w:rsid w:val="00B90721"/>
    <w:rsid w:val="00B956ED"/>
    <w:rsid w:val="00BA2DA8"/>
    <w:rsid w:val="00BA347C"/>
    <w:rsid w:val="00BA4C79"/>
    <w:rsid w:val="00BB298A"/>
    <w:rsid w:val="00BB3469"/>
    <w:rsid w:val="00BB5C49"/>
    <w:rsid w:val="00BB6240"/>
    <w:rsid w:val="00BB6285"/>
    <w:rsid w:val="00BB69F5"/>
    <w:rsid w:val="00BB7EC3"/>
    <w:rsid w:val="00BC04B1"/>
    <w:rsid w:val="00BC470E"/>
    <w:rsid w:val="00BC4B9A"/>
    <w:rsid w:val="00BD02C3"/>
    <w:rsid w:val="00BD7483"/>
    <w:rsid w:val="00BD784C"/>
    <w:rsid w:val="00BE020A"/>
    <w:rsid w:val="00BE13DF"/>
    <w:rsid w:val="00BE1EF0"/>
    <w:rsid w:val="00BE25D7"/>
    <w:rsid w:val="00BE286D"/>
    <w:rsid w:val="00BF092C"/>
    <w:rsid w:val="00BF27A0"/>
    <w:rsid w:val="00BF4CB6"/>
    <w:rsid w:val="00BF6CBD"/>
    <w:rsid w:val="00C00DA7"/>
    <w:rsid w:val="00C034FB"/>
    <w:rsid w:val="00C04CDE"/>
    <w:rsid w:val="00C068A6"/>
    <w:rsid w:val="00C12768"/>
    <w:rsid w:val="00C12D70"/>
    <w:rsid w:val="00C16724"/>
    <w:rsid w:val="00C21B09"/>
    <w:rsid w:val="00C2533C"/>
    <w:rsid w:val="00C25EFF"/>
    <w:rsid w:val="00C2673A"/>
    <w:rsid w:val="00C278CD"/>
    <w:rsid w:val="00C27B58"/>
    <w:rsid w:val="00C27C1C"/>
    <w:rsid w:val="00C33186"/>
    <w:rsid w:val="00C35996"/>
    <w:rsid w:val="00C42BCD"/>
    <w:rsid w:val="00C46C13"/>
    <w:rsid w:val="00C4747E"/>
    <w:rsid w:val="00C5151E"/>
    <w:rsid w:val="00C52256"/>
    <w:rsid w:val="00C5342C"/>
    <w:rsid w:val="00C53B2B"/>
    <w:rsid w:val="00C57465"/>
    <w:rsid w:val="00C60272"/>
    <w:rsid w:val="00C603D4"/>
    <w:rsid w:val="00C6256A"/>
    <w:rsid w:val="00C63FDA"/>
    <w:rsid w:val="00C64EBC"/>
    <w:rsid w:val="00C664D2"/>
    <w:rsid w:val="00C677E1"/>
    <w:rsid w:val="00C710E2"/>
    <w:rsid w:val="00C71C3F"/>
    <w:rsid w:val="00C7409E"/>
    <w:rsid w:val="00C74D6D"/>
    <w:rsid w:val="00C76E76"/>
    <w:rsid w:val="00C77529"/>
    <w:rsid w:val="00C77891"/>
    <w:rsid w:val="00C77B74"/>
    <w:rsid w:val="00C80D63"/>
    <w:rsid w:val="00C82062"/>
    <w:rsid w:val="00C829A9"/>
    <w:rsid w:val="00C87B80"/>
    <w:rsid w:val="00C90330"/>
    <w:rsid w:val="00C91449"/>
    <w:rsid w:val="00C92D10"/>
    <w:rsid w:val="00C92F79"/>
    <w:rsid w:val="00C95200"/>
    <w:rsid w:val="00C96EC0"/>
    <w:rsid w:val="00CA48D9"/>
    <w:rsid w:val="00CB1193"/>
    <w:rsid w:val="00CB4767"/>
    <w:rsid w:val="00CB493D"/>
    <w:rsid w:val="00CB55DD"/>
    <w:rsid w:val="00CC04AD"/>
    <w:rsid w:val="00CC3B97"/>
    <w:rsid w:val="00CD6257"/>
    <w:rsid w:val="00CD7C0B"/>
    <w:rsid w:val="00CE10C4"/>
    <w:rsid w:val="00CE2343"/>
    <w:rsid w:val="00CE27B5"/>
    <w:rsid w:val="00CE2BDF"/>
    <w:rsid w:val="00CE6B21"/>
    <w:rsid w:val="00CE6D24"/>
    <w:rsid w:val="00CE6DAF"/>
    <w:rsid w:val="00CE78E5"/>
    <w:rsid w:val="00CF410A"/>
    <w:rsid w:val="00CF6C01"/>
    <w:rsid w:val="00CF7528"/>
    <w:rsid w:val="00CF7FDE"/>
    <w:rsid w:val="00D012AF"/>
    <w:rsid w:val="00D0321E"/>
    <w:rsid w:val="00D05457"/>
    <w:rsid w:val="00D069EB"/>
    <w:rsid w:val="00D07A8A"/>
    <w:rsid w:val="00D10E31"/>
    <w:rsid w:val="00D11199"/>
    <w:rsid w:val="00D1455A"/>
    <w:rsid w:val="00D14A70"/>
    <w:rsid w:val="00D207EA"/>
    <w:rsid w:val="00D22093"/>
    <w:rsid w:val="00D31150"/>
    <w:rsid w:val="00D3138B"/>
    <w:rsid w:val="00D31FCE"/>
    <w:rsid w:val="00D3280C"/>
    <w:rsid w:val="00D3406A"/>
    <w:rsid w:val="00D34D24"/>
    <w:rsid w:val="00D40B11"/>
    <w:rsid w:val="00D42864"/>
    <w:rsid w:val="00D429EC"/>
    <w:rsid w:val="00D441F1"/>
    <w:rsid w:val="00D4572C"/>
    <w:rsid w:val="00D469B2"/>
    <w:rsid w:val="00D47046"/>
    <w:rsid w:val="00D52B24"/>
    <w:rsid w:val="00D54B09"/>
    <w:rsid w:val="00D6243E"/>
    <w:rsid w:val="00D65658"/>
    <w:rsid w:val="00D67EB2"/>
    <w:rsid w:val="00D70349"/>
    <w:rsid w:val="00D70B6A"/>
    <w:rsid w:val="00D72B6F"/>
    <w:rsid w:val="00D73E7D"/>
    <w:rsid w:val="00D741EB"/>
    <w:rsid w:val="00D7679C"/>
    <w:rsid w:val="00D820F3"/>
    <w:rsid w:val="00D83605"/>
    <w:rsid w:val="00D84934"/>
    <w:rsid w:val="00D866EB"/>
    <w:rsid w:val="00D87D1A"/>
    <w:rsid w:val="00D906DA"/>
    <w:rsid w:val="00D91271"/>
    <w:rsid w:val="00D919F5"/>
    <w:rsid w:val="00D945F6"/>
    <w:rsid w:val="00D94F03"/>
    <w:rsid w:val="00D95161"/>
    <w:rsid w:val="00D95C23"/>
    <w:rsid w:val="00D96AAC"/>
    <w:rsid w:val="00DA0A82"/>
    <w:rsid w:val="00DA0D14"/>
    <w:rsid w:val="00DA1FC9"/>
    <w:rsid w:val="00DA2CB5"/>
    <w:rsid w:val="00DA383E"/>
    <w:rsid w:val="00DA4BAC"/>
    <w:rsid w:val="00DA722E"/>
    <w:rsid w:val="00DA792A"/>
    <w:rsid w:val="00DB0151"/>
    <w:rsid w:val="00DB04D7"/>
    <w:rsid w:val="00DB1782"/>
    <w:rsid w:val="00DB50E1"/>
    <w:rsid w:val="00DC0566"/>
    <w:rsid w:val="00DC05E1"/>
    <w:rsid w:val="00DC1499"/>
    <w:rsid w:val="00DC16CF"/>
    <w:rsid w:val="00DC17D3"/>
    <w:rsid w:val="00DC2C3E"/>
    <w:rsid w:val="00DC3137"/>
    <w:rsid w:val="00DC4880"/>
    <w:rsid w:val="00DC5E90"/>
    <w:rsid w:val="00DC7055"/>
    <w:rsid w:val="00DD0BE9"/>
    <w:rsid w:val="00DD26F9"/>
    <w:rsid w:val="00DD42AB"/>
    <w:rsid w:val="00DE06AF"/>
    <w:rsid w:val="00DE2F4A"/>
    <w:rsid w:val="00DE6D27"/>
    <w:rsid w:val="00DE76EA"/>
    <w:rsid w:val="00DF01F8"/>
    <w:rsid w:val="00DF021D"/>
    <w:rsid w:val="00DF14EE"/>
    <w:rsid w:val="00DF217D"/>
    <w:rsid w:val="00DF26A7"/>
    <w:rsid w:val="00DF3277"/>
    <w:rsid w:val="00DF6A31"/>
    <w:rsid w:val="00DF77A1"/>
    <w:rsid w:val="00DF7919"/>
    <w:rsid w:val="00E0207E"/>
    <w:rsid w:val="00E02594"/>
    <w:rsid w:val="00E02AE6"/>
    <w:rsid w:val="00E03912"/>
    <w:rsid w:val="00E04748"/>
    <w:rsid w:val="00E06EB1"/>
    <w:rsid w:val="00E078D9"/>
    <w:rsid w:val="00E10293"/>
    <w:rsid w:val="00E103A0"/>
    <w:rsid w:val="00E1043F"/>
    <w:rsid w:val="00E11F44"/>
    <w:rsid w:val="00E1274C"/>
    <w:rsid w:val="00E13E60"/>
    <w:rsid w:val="00E15627"/>
    <w:rsid w:val="00E164B3"/>
    <w:rsid w:val="00E16910"/>
    <w:rsid w:val="00E239E2"/>
    <w:rsid w:val="00E24E09"/>
    <w:rsid w:val="00E27234"/>
    <w:rsid w:val="00E32C6F"/>
    <w:rsid w:val="00E33C4D"/>
    <w:rsid w:val="00E3495C"/>
    <w:rsid w:val="00E42BDB"/>
    <w:rsid w:val="00E43CAB"/>
    <w:rsid w:val="00E440AF"/>
    <w:rsid w:val="00E5726D"/>
    <w:rsid w:val="00E57981"/>
    <w:rsid w:val="00E57EEB"/>
    <w:rsid w:val="00E613D9"/>
    <w:rsid w:val="00E62D94"/>
    <w:rsid w:val="00E62ECC"/>
    <w:rsid w:val="00E64F37"/>
    <w:rsid w:val="00E65091"/>
    <w:rsid w:val="00E65393"/>
    <w:rsid w:val="00E65E54"/>
    <w:rsid w:val="00E661C7"/>
    <w:rsid w:val="00E673E3"/>
    <w:rsid w:val="00E72CE1"/>
    <w:rsid w:val="00E732C4"/>
    <w:rsid w:val="00E74E41"/>
    <w:rsid w:val="00E76F2F"/>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446"/>
    <w:rsid w:val="00ED2593"/>
    <w:rsid w:val="00ED3709"/>
    <w:rsid w:val="00ED780F"/>
    <w:rsid w:val="00ED7D55"/>
    <w:rsid w:val="00ED7D9C"/>
    <w:rsid w:val="00EE00A7"/>
    <w:rsid w:val="00EE31A2"/>
    <w:rsid w:val="00EE4329"/>
    <w:rsid w:val="00EE6203"/>
    <w:rsid w:val="00EE6B1C"/>
    <w:rsid w:val="00EF0069"/>
    <w:rsid w:val="00EF44A0"/>
    <w:rsid w:val="00EF4580"/>
    <w:rsid w:val="00EF4FED"/>
    <w:rsid w:val="00EF5F45"/>
    <w:rsid w:val="00EF60C7"/>
    <w:rsid w:val="00EF6843"/>
    <w:rsid w:val="00EF68B3"/>
    <w:rsid w:val="00EF6941"/>
    <w:rsid w:val="00EF6FB3"/>
    <w:rsid w:val="00F0068B"/>
    <w:rsid w:val="00F007C6"/>
    <w:rsid w:val="00F0172E"/>
    <w:rsid w:val="00F02549"/>
    <w:rsid w:val="00F050BD"/>
    <w:rsid w:val="00F05657"/>
    <w:rsid w:val="00F05AB0"/>
    <w:rsid w:val="00F12C74"/>
    <w:rsid w:val="00F1559A"/>
    <w:rsid w:val="00F17ED6"/>
    <w:rsid w:val="00F20676"/>
    <w:rsid w:val="00F209E2"/>
    <w:rsid w:val="00F2117B"/>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416B"/>
    <w:rsid w:val="00F45216"/>
    <w:rsid w:val="00F5007E"/>
    <w:rsid w:val="00F508F6"/>
    <w:rsid w:val="00F50EC4"/>
    <w:rsid w:val="00F52232"/>
    <w:rsid w:val="00F527B1"/>
    <w:rsid w:val="00F52DC2"/>
    <w:rsid w:val="00F550CF"/>
    <w:rsid w:val="00F553D2"/>
    <w:rsid w:val="00F56A2D"/>
    <w:rsid w:val="00F57A6D"/>
    <w:rsid w:val="00F6044B"/>
    <w:rsid w:val="00F62F19"/>
    <w:rsid w:val="00F638CC"/>
    <w:rsid w:val="00F63F04"/>
    <w:rsid w:val="00F64C9E"/>
    <w:rsid w:val="00F64CC1"/>
    <w:rsid w:val="00F708B1"/>
    <w:rsid w:val="00F72317"/>
    <w:rsid w:val="00F73DC1"/>
    <w:rsid w:val="00F75BB8"/>
    <w:rsid w:val="00F77714"/>
    <w:rsid w:val="00F80475"/>
    <w:rsid w:val="00F80E6E"/>
    <w:rsid w:val="00F81390"/>
    <w:rsid w:val="00F81F7A"/>
    <w:rsid w:val="00F821D6"/>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6055"/>
    <w:rsid w:val="00FB0B39"/>
    <w:rsid w:val="00FB12AB"/>
    <w:rsid w:val="00FB322F"/>
    <w:rsid w:val="00FB442F"/>
    <w:rsid w:val="00FC118C"/>
    <w:rsid w:val="00FC1929"/>
    <w:rsid w:val="00FC5B46"/>
    <w:rsid w:val="00FD1D4F"/>
    <w:rsid w:val="00FD24BF"/>
    <w:rsid w:val="00FD3B6E"/>
    <w:rsid w:val="00FD4140"/>
    <w:rsid w:val="00FD57EB"/>
    <w:rsid w:val="00FD6D8E"/>
    <w:rsid w:val="00FD7975"/>
    <w:rsid w:val="00FE0663"/>
    <w:rsid w:val="00FE0E94"/>
    <w:rsid w:val="00FE369C"/>
    <w:rsid w:val="00FE3CD9"/>
    <w:rsid w:val="00FF00BD"/>
    <w:rsid w:val="00FF0B13"/>
    <w:rsid w:val="00FF1D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Caption Char Char,Caption Char,Lengende,figure,caption,Caption-FUSA,Caption Char Char Char Char,Caption Char Char Char Char Char Char,Caption Char1 Char Char,Caption Char1 Char Char Char Char,Char,12,Caption 12pt+,Caption 12pt,12+"/>
    <w:basedOn w:val="Normal"/>
    <w:next w:val="Normal"/>
    <w:link w:val="CaptionChar2"/>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customStyle="1" w:styleId="CaptionChar2">
    <w:name w:val="Caption Char2"/>
    <w:aliases w:val="Caption Char1 Char,Caption Char Char Char,Caption Char Char1,Lengende Char,figure Char,caption Char,Caption-FUSA Char,Caption Char Char Char Char Char,Caption Char Char Char Char Char Char Char,Caption Char1 Char Char Char,Char Char"/>
    <w:link w:val="Caption"/>
    <w:rsid w:val="004E3C4B"/>
    <w:rPr>
      <w:rFonts w:ascii="Calibri" w:hAnsi="Calibri"/>
      <w:i/>
      <w:iCs/>
      <w:color w:val="000000" w:themeColor="text1"/>
      <w:sz w:val="18"/>
      <w:szCs w:val="18"/>
    </w:rPr>
  </w:style>
  <w:style w:type="paragraph" w:customStyle="1" w:styleId="Figure">
    <w:name w:val="Figure"/>
    <w:rsid w:val="004E3C4B"/>
    <w:pPr>
      <w:keepLines/>
      <w:framePr w:w="7920" w:h="5040" w:wrap="around" w:hAnchor="margin" w:xAlign="center" w:yAlign="bottom" w:anchorLock="1"/>
      <w:overflowPunct w:val="0"/>
      <w:autoSpaceDE w:val="0"/>
      <w:autoSpaceDN w:val="0"/>
      <w:adjustRightInd w:val="0"/>
      <w:jc w:val="center"/>
      <w:textAlignment w:val="baseline"/>
    </w:pPr>
    <w:rPr>
      <w:noProof/>
      <w:lang w:val="en-GB" w:eastAsia="en-US"/>
    </w:rPr>
  </w:style>
  <w:style w:type="paragraph" w:customStyle="1" w:styleId="Table">
    <w:name w:val="Table"/>
    <w:basedOn w:val="Normal"/>
    <w:qFormat/>
    <w:rsid w:val="00C77529"/>
    <w:pPr>
      <w:jc w:val="left"/>
    </w:pPr>
    <w:rPr>
      <w:rFonts w:ascii="Arial Narrow" w:eastAsiaTheme="minorHAnsi" w:hAnsi="Arial Narrow" w:cstheme="minorBidi"/>
      <w:sz w:val="20"/>
      <w:szCs w:val="22"/>
      <w:lang w:eastAsia="en-US"/>
    </w:rPr>
  </w:style>
  <w:style w:type="paragraph" w:styleId="NormalWeb">
    <w:name w:val="Normal (Web)"/>
    <w:basedOn w:val="Normal"/>
    <w:uiPriority w:val="99"/>
    <w:semiHidden/>
    <w:unhideWhenUsed/>
    <w:rsid w:val="00034151"/>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793010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406850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A2AC-1AB2-44EB-B0AE-4DD698DA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1929</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2022-05-09T06:32:00Z</dcterms:created>
  <dcterms:modified xsi:type="dcterms:W3CDTF">2022-06-24T02:43:00Z</dcterms:modified>
</cp:coreProperties>
</file>