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864C5" w14:textId="309F8A80" w:rsidR="00433044" w:rsidRPr="00842260" w:rsidRDefault="00030485" w:rsidP="00636146">
      <w:pPr>
        <w:pStyle w:val="1-MainHeading"/>
        <w:spacing w:before="120"/>
        <w:ind w:left="1134" w:hanging="1134"/>
      </w:pPr>
      <w:bookmarkStart w:id="0" w:name="_Toc93483673"/>
      <w:r w:rsidRPr="00842260">
        <w:t>6</w:t>
      </w:r>
      <w:r w:rsidR="00433044" w:rsidRPr="00842260">
        <w:t>.</w:t>
      </w:r>
      <w:r w:rsidRPr="00842260">
        <w:t>01</w:t>
      </w:r>
      <w:r w:rsidR="00163F66" w:rsidRPr="00842260">
        <w:tab/>
      </w:r>
      <w:r w:rsidR="0013750C" w:rsidRPr="00842260">
        <w:t>ABEMACICLIB</w:t>
      </w:r>
      <w:r w:rsidR="00163F66" w:rsidRPr="00842260">
        <w:t>,</w:t>
      </w:r>
      <w:r w:rsidR="004E3CF8" w:rsidRPr="00842260">
        <w:t xml:space="preserve"> </w:t>
      </w:r>
      <w:r w:rsidR="004E3CF8" w:rsidRPr="00842260">
        <w:br/>
      </w:r>
      <w:r w:rsidR="0005712A" w:rsidRPr="00842260">
        <w:t xml:space="preserve">Tablet </w:t>
      </w:r>
      <w:r w:rsidR="00B439E2" w:rsidRPr="00842260">
        <w:t>50</w:t>
      </w:r>
      <w:r w:rsidR="00291CA8">
        <w:t> </w:t>
      </w:r>
      <w:r w:rsidR="00B439E2" w:rsidRPr="00842260">
        <w:t>mg,</w:t>
      </w:r>
      <w:bookmarkEnd w:id="0"/>
      <w:r w:rsidR="00B439E2" w:rsidRPr="00842260">
        <w:t xml:space="preserve"> </w:t>
      </w:r>
      <w:bookmarkStart w:id="1" w:name="_Toc93483674"/>
      <w:r w:rsidR="0005712A" w:rsidRPr="00842260">
        <w:t xml:space="preserve">Tablet </w:t>
      </w:r>
      <w:r w:rsidR="00B439E2" w:rsidRPr="00842260">
        <w:t>100</w:t>
      </w:r>
      <w:r w:rsidR="00291CA8">
        <w:t> </w:t>
      </w:r>
      <w:r w:rsidR="00B439E2" w:rsidRPr="00842260">
        <w:t>mg,</w:t>
      </w:r>
      <w:bookmarkStart w:id="2" w:name="_Toc93483675"/>
      <w:bookmarkEnd w:id="1"/>
      <w:r w:rsidR="00967FF2" w:rsidRPr="00842260">
        <w:t xml:space="preserve"> </w:t>
      </w:r>
      <w:r w:rsidR="0005712A" w:rsidRPr="00842260">
        <w:t xml:space="preserve">Tablet </w:t>
      </w:r>
      <w:r w:rsidR="0013750C" w:rsidRPr="00842260">
        <w:t>150</w:t>
      </w:r>
      <w:r w:rsidR="00291CA8">
        <w:t> </w:t>
      </w:r>
      <w:r w:rsidR="0013750C" w:rsidRPr="00842260">
        <w:t>mg</w:t>
      </w:r>
      <w:r w:rsidR="00482AF4" w:rsidRPr="00842260">
        <w:t>,</w:t>
      </w:r>
      <w:r w:rsidR="004E3CF8" w:rsidRPr="00842260">
        <w:t xml:space="preserve"> </w:t>
      </w:r>
      <w:r w:rsidR="004E3CF8" w:rsidRPr="00842260">
        <w:br/>
      </w:r>
      <w:proofErr w:type="spellStart"/>
      <w:r w:rsidR="0054693E" w:rsidRPr="00842260">
        <w:t>Verzenio</w:t>
      </w:r>
      <w:r w:rsidR="00343D8D" w:rsidRPr="00842260">
        <w:rPr>
          <w:vertAlign w:val="superscript"/>
        </w:rPr>
        <w:t>TM</w:t>
      </w:r>
      <w:proofErr w:type="spellEnd"/>
      <w:r w:rsidR="004A6040" w:rsidRPr="00842260">
        <w:t>,</w:t>
      </w:r>
      <w:r w:rsidR="004A6040" w:rsidRPr="00842260">
        <w:br/>
      </w:r>
      <w:r w:rsidR="0054693E" w:rsidRPr="00842260">
        <w:t>Eli Lilly Australia Pty Ltd</w:t>
      </w:r>
      <w:r w:rsidR="00B60939" w:rsidRPr="00842260">
        <w:t>.</w:t>
      </w:r>
      <w:bookmarkEnd w:id="2"/>
    </w:p>
    <w:p w14:paraId="11C00795" w14:textId="4A2C9C29" w:rsidR="00B50DB8" w:rsidRPr="00842260" w:rsidRDefault="00B50DB8" w:rsidP="004A6040">
      <w:pPr>
        <w:pStyle w:val="2-SectionHeading"/>
      </w:pPr>
      <w:bookmarkStart w:id="3" w:name="_Toc93502894"/>
      <w:r w:rsidRPr="00842260">
        <w:t xml:space="preserve">Purpose of </w:t>
      </w:r>
      <w:r w:rsidR="00CD7193" w:rsidRPr="00842260">
        <w:t>s</w:t>
      </w:r>
      <w:r w:rsidR="00BB3A45" w:rsidRPr="00842260">
        <w:t>ubmission</w:t>
      </w:r>
      <w:bookmarkEnd w:id="3"/>
    </w:p>
    <w:p w14:paraId="19414AA1" w14:textId="5B75FF79" w:rsidR="002C2775" w:rsidRPr="00842260" w:rsidRDefault="00640D9E" w:rsidP="004E18E9">
      <w:pPr>
        <w:pStyle w:val="3-BodyText"/>
      </w:pPr>
      <w:r w:rsidRPr="00842260">
        <w:t xml:space="preserve">The </w:t>
      </w:r>
      <w:r w:rsidR="001532F0" w:rsidRPr="00842260">
        <w:t xml:space="preserve">Category 2 </w:t>
      </w:r>
      <w:r w:rsidRPr="00842260">
        <w:t xml:space="preserve">submission requested an Authority Required listing of </w:t>
      </w:r>
      <w:proofErr w:type="spellStart"/>
      <w:r w:rsidRPr="00842260">
        <w:t>abemaciclib</w:t>
      </w:r>
      <w:proofErr w:type="spellEnd"/>
      <w:r w:rsidRPr="00842260">
        <w:t xml:space="preserve"> in combination with endocrine therapy</w:t>
      </w:r>
      <w:r w:rsidR="006077B1" w:rsidRPr="00842260">
        <w:t xml:space="preserve"> (ET)</w:t>
      </w:r>
      <w:r w:rsidRPr="00842260">
        <w:t xml:space="preserve"> for the treatment of patients with hormone receptor positive (HR+) and human epidermal growth factor receptor 2 negative (HER2-), lymph node positive, invasive, resected, early breast cancer at high risk of recurrence.</w:t>
      </w:r>
      <w:r w:rsidR="00F7060A" w:rsidRPr="00842260">
        <w:t xml:space="preserve"> </w:t>
      </w:r>
    </w:p>
    <w:p w14:paraId="4E9FBCB5" w14:textId="45F1F6BF" w:rsidR="00C2778B" w:rsidRPr="00842260" w:rsidRDefault="005750C5" w:rsidP="004E18E9">
      <w:pPr>
        <w:pStyle w:val="3-BodyText"/>
      </w:pPr>
      <w:r w:rsidRPr="00842260">
        <w:t xml:space="preserve">Listing was requested </w:t>
      </w:r>
      <w:proofErr w:type="gramStart"/>
      <w:r w:rsidRPr="00842260">
        <w:t>on the basis of</w:t>
      </w:r>
      <w:proofErr w:type="gramEnd"/>
      <w:r w:rsidRPr="00842260">
        <w:t xml:space="preserve"> a cost-effectiveness analysis versus </w:t>
      </w:r>
      <w:r w:rsidR="008A0D00" w:rsidRPr="00842260">
        <w:t>ET</w:t>
      </w:r>
      <w:r w:rsidR="00640D9E" w:rsidRPr="00842260">
        <w:t xml:space="preserve"> alone</w:t>
      </w:r>
      <w:r w:rsidRPr="00842260">
        <w:t xml:space="preserve">. </w:t>
      </w:r>
      <w:r w:rsidR="00A32B89" w:rsidRPr="00842260">
        <w:t xml:space="preserve">The key components of the submission are shown in </w:t>
      </w:r>
      <w:r w:rsidR="00A8546A" w:rsidRPr="00842260">
        <w:fldChar w:fldCharType="begin"/>
      </w:r>
      <w:r w:rsidR="00A8546A" w:rsidRPr="00842260">
        <w:instrText xml:space="preserve"> REF _Ref95894650 \h  \* MERGEFORMAT </w:instrText>
      </w:r>
      <w:r w:rsidR="00A8546A" w:rsidRPr="00842260">
        <w:fldChar w:fldCharType="separate"/>
      </w:r>
      <w:r w:rsidR="00053218" w:rsidRPr="00842260">
        <w:t xml:space="preserve">Table </w:t>
      </w:r>
      <w:r w:rsidR="00053218">
        <w:t>1</w:t>
      </w:r>
      <w:r w:rsidR="00A8546A" w:rsidRPr="00842260">
        <w:fldChar w:fldCharType="end"/>
      </w:r>
      <w:r w:rsidR="00A32B89" w:rsidRPr="00842260">
        <w:t>.</w:t>
      </w:r>
      <w:r w:rsidR="00D738FB" w:rsidRPr="00842260">
        <w:fldChar w:fldCharType="begin"/>
      </w:r>
      <w:r w:rsidR="00D738FB" w:rsidRPr="00842260">
        <w:instrText xml:space="preserve">  </w:instrText>
      </w:r>
      <w:r w:rsidR="00D738FB" w:rsidRPr="00842260">
        <w:fldChar w:fldCharType="end"/>
      </w:r>
    </w:p>
    <w:p w14:paraId="3718DE61" w14:textId="35761A6F" w:rsidR="008B1757" w:rsidRPr="00842260" w:rsidRDefault="00F144F2" w:rsidP="009C580C">
      <w:pPr>
        <w:pStyle w:val="TableFigureHeading"/>
        <w:keepLines/>
        <w:rPr>
          <w:rStyle w:val="CommentReference"/>
          <w:b/>
          <w:szCs w:val="24"/>
        </w:rPr>
      </w:pPr>
      <w:bookmarkStart w:id="4" w:name="_Ref95894650"/>
      <w:r w:rsidRPr="00842260">
        <w:t xml:space="preserve">Table </w:t>
      </w:r>
      <w:fldSimple w:instr=" SEQ Table \* ARABIC \s 1 ">
        <w:r w:rsidR="00053218">
          <w:rPr>
            <w:noProof/>
          </w:rPr>
          <w:t>1</w:t>
        </w:r>
      </w:fldSimple>
      <w:bookmarkEnd w:id="4"/>
      <w:r w:rsidR="008B1757" w:rsidRPr="00842260">
        <w:rPr>
          <w:rStyle w:val="CommentReference"/>
          <w:b/>
          <w:szCs w:val="24"/>
        </w:rPr>
        <w:t>:</w:t>
      </w:r>
      <w:r w:rsidR="00BC591F" w:rsidRPr="00842260">
        <w:rPr>
          <w:rStyle w:val="CommentReference"/>
          <w:b/>
          <w:szCs w:val="24"/>
        </w:rPr>
        <w:t xml:space="preserve"> </w:t>
      </w:r>
      <w:r w:rsidR="008B1757" w:rsidRPr="00842260">
        <w:rPr>
          <w:rStyle w:val="CommentReference"/>
          <w:b/>
          <w:szCs w:val="24"/>
        </w:rPr>
        <w:t>Key components of the clinical issue addressed by the submission</w:t>
      </w:r>
      <w:r w:rsidR="007170DA" w:rsidRPr="0084226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8B1757" w:rsidRPr="00842260" w14:paraId="569F5103" w14:textId="77777777" w:rsidTr="000C578F">
        <w:trPr>
          <w:cantSplit/>
          <w:tblHeader/>
        </w:trPr>
        <w:tc>
          <w:tcPr>
            <w:tcW w:w="784" w:type="pct"/>
            <w:shd w:val="clear" w:color="auto" w:fill="auto"/>
          </w:tcPr>
          <w:p w14:paraId="501803FB" w14:textId="77777777" w:rsidR="008B1757" w:rsidRPr="00842260" w:rsidRDefault="008B1757" w:rsidP="009C580C">
            <w:pPr>
              <w:pStyle w:val="In-tableHeading"/>
              <w:keepLines/>
              <w:rPr>
                <w:szCs w:val="20"/>
                <w:lang w:val="en-AU"/>
              </w:rPr>
            </w:pPr>
            <w:r w:rsidRPr="00842260">
              <w:rPr>
                <w:lang w:val="en-AU"/>
              </w:rPr>
              <w:t>Component</w:t>
            </w:r>
          </w:p>
        </w:tc>
        <w:tc>
          <w:tcPr>
            <w:tcW w:w="4216" w:type="pct"/>
            <w:shd w:val="clear" w:color="auto" w:fill="auto"/>
          </w:tcPr>
          <w:p w14:paraId="445D9EBB" w14:textId="77777777" w:rsidR="008B1757" w:rsidRPr="00842260" w:rsidRDefault="008B1757" w:rsidP="009C580C">
            <w:pPr>
              <w:pStyle w:val="In-tableHeading"/>
              <w:keepLines/>
              <w:rPr>
                <w:lang w:val="en-AU"/>
              </w:rPr>
            </w:pPr>
            <w:r w:rsidRPr="00842260">
              <w:rPr>
                <w:lang w:val="en-AU"/>
              </w:rPr>
              <w:t>Description</w:t>
            </w:r>
          </w:p>
        </w:tc>
      </w:tr>
      <w:tr w:rsidR="00640D9E" w:rsidRPr="00842260" w14:paraId="2EB546E2" w14:textId="77777777" w:rsidTr="000C578F">
        <w:trPr>
          <w:cantSplit/>
        </w:trPr>
        <w:tc>
          <w:tcPr>
            <w:tcW w:w="784" w:type="pct"/>
            <w:shd w:val="clear" w:color="auto" w:fill="auto"/>
          </w:tcPr>
          <w:p w14:paraId="38F3BB34" w14:textId="77777777" w:rsidR="00640D9E" w:rsidRPr="00842260" w:rsidRDefault="00640D9E" w:rsidP="009C580C">
            <w:pPr>
              <w:pStyle w:val="TableText0"/>
              <w:keepLines/>
            </w:pPr>
            <w:r w:rsidRPr="00842260">
              <w:t>Population</w:t>
            </w:r>
          </w:p>
        </w:tc>
        <w:tc>
          <w:tcPr>
            <w:tcW w:w="4216" w:type="pct"/>
            <w:shd w:val="clear" w:color="auto" w:fill="auto"/>
            <w:vAlign w:val="center"/>
          </w:tcPr>
          <w:p w14:paraId="79618EEE" w14:textId="4131B51A" w:rsidR="00640D9E" w:rsidRPr="00842260" w:rsidRDefault="00507FCD" w:rsidP="009C580C">
            <w:pPr>
              <w:pStyle w:val="TableText0"/>
              <w:keepLines/>
              <w:rPr>
                <w:szCs w:val="20"/>
                <w:vertAlign w:val="superscript"/>
              </w:rPr>
            </w:pPr>
            <w:r w:rsidRPr="00842260">
              <w:t>Adult patients with HR positive, HER2 negative,</w:t>
            </w:r>
            <w:r w:rsidR="00640D9E" w:rsidRPr="00842260">
              <w:t xml:space="preserve"> lymph node pos</w:t>
            </w:r>
            <w:r w:rsidR="00371BD6" w:rsidRPr="00842260">
              <w:t>itive, invasive, resected</w:t>
            </w:r>
            <w:r w:rsidR="00E13AF4" w:rsidRPr="00842260">
              <w:t>,</w:t>
            </w:r>
            <w:r w:rsidR="00371BD6" w:rsidRPr="00842260">
              <w:t xml:space="preserve"> early</w:t>
            </w:r>
            <w:r w:rsidR="00677926" w:rsidRPr="00842260">
              <w:t>-</w:t>
            </w:r>
            <w:r w:rsidR="00DA5DAB" w:rsidRPr="00842260">
              <w:t>stage</w:t>
            </w:r>
            <w:r w:rsidR="00677926" w:rsidRPr="00842260">
              <w:t xml:space="preserve"> breast cancer at</w:t>
            </w:r>
            <w:r w:rsidR="00640D9E" w:rsidRPr="00842260">
              <w:t xml:space="preserve"> high risk of </w:t>
            </w:r>
            <w:proofErr w:type="spellStart"/>
            <w:r w:rsidR="00640D9E" w:rsidRPr="00842260">
              <w:t>recurrence</w:t>
            </w:r>
            <w:r w:rsidR="00FF42FB" w:rsidRPr="00842260">
              <w:rPr>
                <w:vertAlign w:val="superscript"/>
              </w:rPr>
              <w:t>a</w:t>
            </w:r>
            <w:proofErr w:type="spellEnd"/>
          </w:p>
        </w:tc>
      </w:tr>
      <w:tr w:rsidR="00640D9E" w:rsidRPr="00842260" w14:paraId="0CA523AF" w14:textId="77777777" w:rsidTr="000C578F">
        <w:trPr>
          <w:cantSplit/>
        </w:trPr>
        <w:tc>
          <w:tcPr>
            <w:tcW w:w="784" w:type="pct"/>
            <w:shd w:val="clear" w:color="auto" w:fill="auto"/>
          </w:tcPr>
          <w:p w14:paraId="7B6D20D8" w14:textId="77777777" w:rsidR="00640D9E" w:rsidRPr="00842260" w:rsidRDefault="00640D9E" w:rsidP="009C580C">
            <w:pPr>
              <w:pStyle w:val="TableText0"/>
              <w:keepLines/>
            </w:pPr>
            <w:r w:rsidRPr="00842260">
              <w:t>Intervention</w:t>
            </w:r>
          </w:p>
        </w:tc>
        <w:tc>
          <w:tcPr>
            <w:tcW w:w="4216" w:type="pct"/>
            <w:shd w:val="clear" w:color="auto" w:fill="auto"/>
          </w:tcPr>
          <w:p w14:paraId="2491E905" w14:textId="668C4F15" w:rsidR="00640D9E" w:rsidRPr="00842260" w:rsidRDefault="00640D9E" w:rsidP="009C580C">
            <w:pPr>
              <w:pStyle w:val="TableText0"/>
              <w:keepLines/>
            </w:pPr>
            <w:r w:rsidRPr="00842260">
              <w:t xml:space="preserve">Endocrine therapy </w:t>
            </w:r>
            <w:r w:rsidR="00FF42FB" w:rsidRPr="00842260">
              <w:t xml:space="preserve">(as per physician’s direction) </w:t>
            </w:r>
            <w:r w:rsidRPr="00842260">
              <w:t xml:space="preserve">+ </w:t>
            </w:r>
            <w:proofErr w:type="spellStart"/>
            <w:r w:rsidRPr="00842260">
              <w:t>abemaciclib</w:t>
            </w:r>
            <w:proofErr w:type="spellEnd"/>
            <w:r w:rsidRPr="00842260">
              <w:t xml:space="preserve"> (150</w:t>
            </w:r>
            <w:r w:rsidR="00256AB1" w:rsidRPr="00842260">
              <w:t xml:space="preserve"> </w:t>
            </w:r>
            <w:r w:rsidRPr="00842260">
              <w:t>mg, twice daily</w:t>
            </w:r>
            <w:r w:rsidR="00EB00AF" w:rsidRPr="00842260">
              <w:t>, orally, until progression</w:t>
            </w:r>
            <w:r w:rsidRPr="00842260">
              <w:t>)</w:t>
            </w:r>
          </w:p>
        </w:tc>
      </w:tr>
      <w:tr w:rsidR="00640D9E" w:rsidRPr="00842260" w14:paraId="0F81EBE4" w14:textId="77777777" w:rsidTr="000C578F">
        <w:trPr>
          <w:cantSplit/>
        </w:trPr>
        <w:tc>
          <w:tcPr>
            <w:tcW w:w="784" w:type="pct"/>
            <w:shd w:val="clear" w:color="auto" w:fill="auto"/>
          </w:tcPr>
          <w:p w14:paraId="3656B343" w14:textId="77777777" w:rsidR="00640D9E" w:rsidRPr="00842260" w:rsidRDefault="00640D9E" w:rsidP="009C580C">
            <w:pPr>
              <w:pStyle w:val="TableText0"/>
              <w:keepLines/>
            </w:pPr>
            <w:r w:rsidRPr="00842260">
              <w:t>Comparator</w:t>
            </w:r>
          </w:p>
        </w:tc>
        <w:tc>
          <w:tcPr>
            <w:tcW w:w="4216" w:type="pct"/>
            <w:shd w:val="clear" w:color="auto" w:fill="auto"/>
          </w:tcPr>
          <w:p w14:paraId="3727DE24" w14:textId="2975205A" w:rsidR="00640D9E" w:rsidRPr="00842260" w:rsidRDefault="00EB00AF" w:rsidP="009C580C">
            <w:pPr>
              <w:pStyle w:val="TableText0"/>
              <w:keepLines/>
            </w:pPr>
            <w:r w:rsidRPr="00842260">
              <w:t>Endocrine therapy (as per physician’s direction)</w:t>
            </w:r>
          </w:p>
        </w:tc>
      </w:tr>
      <w:tr w:rsidR="00640D9E" w:rsidRPr="00842260" w14:paraId="02F86F0D" w14:textId="77777777" w:rsidTr="000C578F">
        <w:trPr>
          <w:cantSplit/>
        </w:trPr>
        <w:tc>
          <w:tcPr>
            <w:tcW w:w="784" w:type="pct"/>
            <w:shd w:val="clear" w:color="auto" w:fill="auto"/>
          </w:tcPr>
          <w:p w14:paraId="06433105" w14:textId="77777777" w:rsidR="00640D9E" w:rsidRPr="00842260" w:rsidRDefault="00640D9E" w:rsidP="009C580C">
            <w:pPr>
              <w:pStyle w:val="TableText0"/>
              <w:keepLines/>
            </w:pPr>
            <w:r w:rsidRPr="00842260">
              <w:t>Outcomes</w:t>
            </w:r>
          </w:p>
        </w:tc>
        <w:tc>
          <w:tcPr>
            <w:tcW w:w="4216" w:type="pct"/>
            <w:shd w:val="clear" w:color="auto" w:fill="auto"/>
          </w:tcPr>
          <w:p w14:paraId="5ABC4037" w14:textId="182F58F6" w:rsidR="00640D9E" w:rsidRPr="00842260" w:rsidRDefault="00EB00AF" w:rsidP="009C580C">
            <w:pPr>
              <w:pStyle w:val="TableText0"/>
              <w:keepLines/>
              <w:rPr>
                <w:rFonts w:eastAsia="Times New Roman" w:cs="Arial"/>
                <w:bCs w:val="0"/>
                <w:snapToGrid w:val="0"/>
                <w:color w:val="0066FF"/>
                <w:szCs w:val="20"/>
              </w:rPr>
            </w:pPr>
            <w:r w:rsidRPr="00842260">
              <w:t>Invasive disease-free survival, distant recurrence-free survival, overall survival, health-related quality of life (</w:t>
            </w:r>
            <w:proofErr w:type="spellStart"/>
            <w:r w:rsidRPr="00842260">
              <w:t>HRQoL</w:t>
            </w:r>
            <w:proofErr w:type="spellEnd"/>
            <w:r w:rsidRPr="00842260">
              <w:t>)</w:t>
            </w:r>
          </w:p>
        </w:tc>
      </w:tr>
      <w:tr w:rsidR="00640D9E" w:rsidRPr="00842260" w14:paraId="22223890" w14:textId="77777777" w:rsidTr="000C578F">
        <w:trPr>
          <w:cantSplit/>
        </w:trPr>
        <w:tc>
          <w:tcPr>
            <w:tcW w:w="784" w:type="pct"/>
            <w:shd w:val="clear" w:color="auto" w:fill="auto"/>
          </w:tcPr>
          <w:p w14:paraId="0FC8FCE0" w14:textId="77777777" w:rsidR="00640D9E" w:rsidRPr="00842260" w:rsidRDefault="00640D9E" w:rsidP="009C580C">
            <w:pPr>
              <w:pStyle w:val="TableText0"/>
              <w:keepLines/>
            </w:pPr>
            <w:r w:rsidRPr="00842260">
              <w:t>Clinical claim</w:t>
            </w:r>
          </w:p>
        </w:tc>
        <w:tc>
          <w:tcPr>
            <w:tcW w:w="4216" w:type="pct"/>
            <w:shd w:val="clear" w:color="auto" w:fill="auto"/>
          </w:tcPr>
          <w:p w14:paraId="7E663005" w14:textId="77777777" w:rsidR="00EB00AF" w:rsidRPr="00842260" w:rsidRDefault="00EB00AF" w:rsidP="009C580C">
            <w:pPr>
              <w:pStyle w:val="TableText0"/>
              <w:keepLines/>
            </w:pPr>
            <w:r w:rsidRPr="00842260">
              <w:t xml:space="preserve">In the target population described above: </w:t>
            </w:r>
          </w:p>
          <w:p w14:paraId="314D3E1B" w14:textId="77777777" w:rsidR="00EB00AF" w:rsidRPr="00842260" w:rsidRDefault="00EB00AF" w:rsidP="007C50D9">
            <w:pPr>
              <w:pStyle w:val="TableText0"/>
              <w:keepLines/>
              <w:ind w:firstLine="628"/>
            </w:pPr>
            <w:r w:rsidRPr="00842260">
              <w:t>•</w:t>
            </w:r>
            <w:r w:rsidRPr="00842260">
              <w:tab/>
            </w:r>
            <w:proofErr w:type="spellStart"/>
            <w:r w:rsidRPr="00842260">
              <w:t>Abemaciclib</w:t>
            </w:r>
            <w:proofErr w:type="spellEnd"/>
            <w:r w:rsidRPr="00842260">
              <w:t xml:space="preserve"> + ET provides superior effectiveness to ET alone; and  </w:t>
            </w:r>
          </w:p>
          <w:p w14:paraId="2C99C4DE" w14:textId="7B54693F" w:rsidR="00640D9E" w:rsidRPr="00842260" w:rsidRDefault="00EB00AF" w:rsidP="007C50D9">
            <w:pPr>
              <w:pStyle w:val="TableText0"/>
              <w:keepLines/>
              <w:ind w:firstLine="628"/>
              <w:rPr>
                <w:rFonts w:eastAsia="Times New Roman" w:cs="Arial"/>
                <w:bCs w:val="0"/>
                <w:snapToGrid w:val="0"/>
                <w:color w:val="0066FF"/>
                <w:szCs w:val="20"/>
              </w:rPr>
            </w:pPr>
            <w:r w:rsidRPr="00842260">
              <w:t>•</w:t>
            </w:r>
            <w:r w:rsidRPr="00842260">
              <w:tab/>
            </w:r>
            <w:proofErr w:type="spellStart"/>
            <w:r w:rsidRPr="00842260">
              <w:t>Abemaciclib</w:t>
            </w:r>
            <w:proofErr w:type="spellEnd"/>
            <w:r w:rsidRPr="00842260">
              <w:t xml:space="preserve"> + ET provides manageable safety to ET alone</w:t>
            </w:r>
          </w:p>
        </w:tc>
      </w:tr>
    </w:tbl>
    <w:p w14:paraId="7E65F0FA" w14:textId="77777777" w:rsidR="00EB00AF" w:rsidRPr="00842260" w:rsidRDefault="00EB00AF" w:rsidP="009C580C">
      <w:pPr>
        <w:pStyle w:val="TableFigureFooter"/>
        <w:keepNext/>
        <w:keepLines/>
      </w:pPr>
      <w:r w:rsidRPr="00842260">
        <w:t>Source: Table 1-1, p31 of the submission.</w:t>
      </w:r>
    </w:p>
    <w:p w14:paraId="27DAA1B4" w14:textId="78D01446" w:rsidR="00EB00AF" w:rsidRPr="00842260" w:rsidRDefault="00256AB1" w:rsidP="009C580C">
      <w:pPr>
        <w:pStyle w:val="TableFigureFooter"/>
        <w:keepNext/>
        <w:keepLines/>
      </w:pPr>
      <w:r w:rsidRPr="00842260">
        <w:t xml:space="preserve">ET = endocrine therapy; </w:t>
      </w:r>
      <w:r w:rsidR="00EB00AF" w:rsidRPr="00842260">
        <w:t>HER2 = human-epidermal growth factor receptor 2; HR = hormone receptor</w:t>
      </w:r>
      <w:r w:rsidR="00E17A21" w:rsidRPr="00842260">
        <w:t xml:space="preserve">; </w:t>
      </w:r>
      <w:proofErr w:type="spellStart"/>
      <w:r w:rsidR="00E17A21" w:rsidRPr="00842260">
        <w:t>HRQoL</w:t>
      </w:r>
      <w:proofErr w:type="spellEnd"/>
      <w:r w:rsidR="00E17A21" w:rsidRPr="00842260">
        <w:t>, health related quality of life;</w:t>
      </w:r>
      <w:r w:rsidR="00EB00AF" w:rsidRPr="00842260">
        <w:t xml:space="preserve"> mg = milligram</w:t>
      </w:r>
      <w:r w:rsidR="00866CFF" w:rsidRPr="00842260">
        <w:t>.</w:t>
      </w:r>
    </w:p>
    <w:p w14:paraId="763AC730" w14:textId="2642DBF8" w:rsidR="00FF42FB" w:rsidRPr="00842260" w:rsidRDefault="00FF42FB" w:rsidP="009C580C">
      <w:pPr>
        <w:pStyle w:val="TableFigureFooter"/>
        <w:keepNext/>
        <w:keepLines/>
      </w:pPr>
      <w:r w:rsidRPr="00842260">
        <w:rPr>
          <w:vertAlign w:val="superscript"/>
        </w:rPr>
        <w:t>a</w:t>
      </w:r>
      <w:r w:rsidR="00967FF2" w:rsidRPr="00842260">
        <w:rPr>
          <w:vertAlign w:val="superscript"/>
        </w:rPr>
        <w:t xml:space="preserve"> </w:t>
      </w:r>
      <w:r w:rsidRPr="00842260">
        <w:t>Defined in the submission as 1. Having 4 or more posi</w:t>
      </w:r>
      <w:r w:rsidR="00E56507" w:rsidRPr="00842260">
        <w:t xml:space="preserve">tive lymph nodes OR 2. Having </w:t>
      </w:r>
      <w:r w:rsidRPr="00842260">
        <w:t>1</w:t>
      </w:r>
      <w:r w:rsidR="00A8546A" w:rsidRPr="00842260">
        <w:t>−</w:t>
      </w:r>
      <w:r w:rsidRPr="00842260">
        <w:t>3 positive lymph nodes AND a. Tumour size of greater than 5cm OR b. Histological grade ≥3</w:t>
      </w:r>
      <w:r w:rsidR="00866CFF" w:rsidRPr="00842260">
        <w:t>.</w:t>
      </w:r>
    </w:p>
    <w:p w14:paraId="6B4AB6C2" w14:textId="7F01D731" w:rsidR="005C25FF" w:rsidRPr="00842260" w:rsidRDefault="005C25FF" w:rsidP="004A6040">
      <w:pPr>
        <w:pStyle w:val="2-SectionHeading"/>
      </w:pPr>
      <w:bookmarkStart w:id="5" w:name="_Toc93502895"/>
      <w:r w:rsidRPr="00842260">
        <w:t>Background</w:t>
      </w:r>
      <w:bookmarkEnd w:id="5"/>
    </w:p>
    <w:p w14:paraId="2C521D6D" w14:textId="78CF03EE" w:rsidR="005C25FF" w:rsidRPr="00842260" w:rsidRDefault="005C25FF" w:rsidP="004A6040">
      <w:pPr>
        <w:pStyle w:val="4-SubsectionHeading"/>
      </w:pPr>
      <w:bookmarkStart w:id="6" w:name="_Toc22897638"/>
      <w:bookmarkStart w:id="7" w:name="_Toc93502896"/>
      <w:r w:rsidRPr="00842260">
        <w:t>Registration status</w:t>
      </w:r>
      <w:bookmarkEnd w:id="6"/>
      <w:bookmarkEnd w:id="7"/>
    </w:p>
    <w:p w14:paraId="54B680CA" w14:textId="0DABFF76" w:rsidR="00BA2309" w:rsidRPr="00842260" w:rsidRDefault="00436885" w:rsidP="00DA0F62">
      <w:pPr>
        <w:pStyle w:val="3-BodyText"/>
      </w:pPr>
      <w:proofErr w:type="spellStart"/>
      <w:r w:rsidRPr="00842260">
        <w:rPr>
          <w:bCs/>
        </w:rPr>
        <w:t>Abemaciclib</w:t>
      </w:r>
      <w:proofErr w:type="spellEnd"/>
      <w:r w:rsidRPr="00842260">
        <w:rPr>
          <w:bCs/>
        </w:rPr>
        <w:t xml:space="preserve"> was not </w:t>
      </w:r>
      <w:r w:rsidR="00BA2309" w:rsidRPr="00842260">
        <w:rPr>
          <w:bCs/>
        </w:rPr>
        <w:t>TGA</w:t>
      </w:r>
      <w:r w:rsidRPr="00842260">
        <w:rPr>
          <w:bCs/>
        </w:rPr>
        <w:t xml:space="preserve"> registered</w:t>
      </w:r>
      <w:r w:rsidR="00BA2309" w:rsidRPr="00842260">
        <w:rPr>
          <w:bCs/>
        </w:rPr>
        <w:t xml:space="preserve"> at the time of </w:t>
      </w:r>
      <w:r w:rsidR="00DF7265" w:rsidRPr="00842260">
        <w:rPr>
          <w:bCs/>
        </w:rPr>
        <w:t>PBAC consideration</w:t>
      </w:r>
      <w:r w:rsidR="0040608E" w:rsidRPr="00842260">
        <w:t>.</w:t>
      </w:r>
      <w:r w:rsidR="00BA2309" w:rsidRPr="00842260">
        <w:t xml:space="preserve"> The submission was made under the TGA/PBAC Parallel Process. </w:t>
      </w:r>
      <w:r w:rsidR="00CE16BA" w:rsidRPr="00842260">
        <w:t>T</w:t>
      </w:r>
      <w:r w:rsidR="00BA2309" w:rsidRPr="00842260">
        <w:t>he TGA Delegate</w:t>
      </w:r>
      <w:r w:rsidR="00150144" w:rsidRPr="00842260">
        <w:t>’</w:t>
      </w:r>
      <w:r w:rsidR="00BA2309" w:rsidRPr="00842260">
        <w:t xml:space="preserve">s Overview </w:t>
      </w:r>
      <w:r w:rsidR="00673167" w:rsidRPr="00842260">
        <w:t>was</w:t>
      </w:r>
      <w:r w:rsidR="00CE16BA" w:rsidRPr="00842260">
        <w:t xml:space="preserve"> </w:t>
      </w:r>
      <w:r w:rsidR="00BA2309" w:rsidRPr="00842260">
        <w:t>available</w:t>
      </w:r>
      <w:r w:rsidR="007C50D9" w:rsidRPr="00842260">
        <w:t xml:space="preserve"> and</w:t>
      </w:r>
      <w:r w:rsidR="00542FD1" w:rsidRPr="00842260">
        <w:t xml:space="preserve"> </w:t>
      </w:r>
      <w:proofErr w:type="spellStart"/>
      <w:r w:rsidR="007C50D9" w:rsidRPr="00842260">
        <w:t>a</w:t>
      </w:r>
      <w:r w:rsidR="00CE16BA" w:rsidRPr="00842260">
        <w:t>bemaciclib</w:t>
      </w:r>
      <w:proofErr w:type="spellEnd"/>
      <w:r w:rsidR="00CE16BA" w:rsidRPr="00842260">
        <w:t xml:space="preserve"> was considered by the Advisory Committee on Medicine (ACM) on 4 February 2022.</w:t>
      </w:r>
      <w:r w:rsidR="00542FD1" w:rsidRPr="00842260">
        <w:t xml:space="preserve"> </w:t>
      </w:r>
      <w:r w:rsidR="00330B36" w:rsidRPr="00842260" w:rsidDel="00330B36">
        <w:t xml:space="preserve"> </w:t>
      </w:r>
    </w:p>
    <w:p w14:paraId="5F125E6E" w14:textId="04747B84" w:rsidR="00BA18A3" w:rsidRPr="00842260" w:rsidRDefault="00BA18A3" w:rsidP="00BA18A3">
      <w:pPr>
        <w:pStyle w:val="3-BodyText"/>
      </w:pPr>
      <w:r w:rsidRPr="00842260">
        <w:t xml:space="preserve">The proposed TGA indication for </w:t>
      </w:r>
      <w:proofErr w:type="spellStart"/>
      <w:r w:rsidRPr="00842260">
        <w:t>abemaciclib</w:t>
      </w:r>
      <w:proofErr w:type="spellEnd"/>
      <w:r w:rsidRPr="00842260">
        <w:t xml:space="preserve"> is:</w:t>
      </w:r>
      <w:r w:rsidR="005C25FF" w:rsidRPr="00842260">
        <w:t xml:space="preserve"> </w:t>
      </w:r>
    </w:p>
    <w:p w14:paraId="79C10920" w14:textId="77777777" w:rsidR="00953593" w:rsidRPr="00842260" w:rsidRDefault="00953593" w:rsidP="00953593">
      <w:pPr>
        <w:pStyle w:val="3-BodyText"/>
        <w:numPr>
          <w:ilvl w:val="0"/>
          <w:numId w:val="0"/>
        </w:numPr>
        <w:ind w:left="1440"/>
      </w:pPr>
      <w:r w:rsidRPr="00842260">
        <w:t xml:space="preserve">VERZENIO in combination with endocrine therapy is indicated for the adjuvant treatment of patients with hormone receptor (HR)-positive, human epidermal </w:t>
      </w:r>
      <w:r w:rsidRPr="00842260">
        <w:lastRenderedPageBreak/>
        <w:t>growth factor receptor 2 (HER2)-negative, node-positive early breast cancer at high risk of recurrence.</w:t>
      </w:r>
    </w:p>
    <w:p w14:paraId="42325A3C" w14:textId="7D8817B8" w:rsidR="00BA18A3" w:rsidRPr="00842260" w:rsidRDefault="00953593" w:rsidP="00953593">
      <w:pPr>
        <w:pStyle w:val="3-BodyText"/>
        <w:numPr>
          <w:ilvl w:val="0"/>
          <w:numId w:val="0"/>
        </w:numPr>
        <w:ind w:left="1440"/>
      </w:pPr>
      <w:r w:rsidRPr="00842260">
        <w:t>In pre- or peri-menopausal women, aromatase inhibitor endocrine therapy should be combined with a luteinising hormone-releasing hormone (LHRH) agonist.</w:t>
      </w:r>
    </w:p>
    <w:p w14:paraId="479B010D" w14:textId="625F5F8B" w:rsidR="00256AB1" w:rsidRPr="00842260" w:rsidRDefault="00D70D3B" w:rsidP="00BA18A3">
      <w:pPr>
        <w:pStyle w:val="3-BodyText"/>
      </w:pPr>
      <w:r w:rsidRPr="00842260">
        <w:t xml:space="preserve">The Delegate deferred approval of registration of </w:t>
      </w:r>
      <w:proofErr w:type="spellStart"/>
      <w:r w:rsidRPr="00842260">
        <w:t>abemaciclib</w:t>
      </w:r>
      <w:proofErr w:type="spellEnd"/>
      <w:r w:rsidRPr="00842260">
        <w:t xml:space="preserve"> for the proposed indication, subject to ACM advice on</w:t>
      </w:r>
      <w:r w:rsidR="008E40FB" w:rsidRPr="00842260">
        <w:t xml:space="preserve">: </w:t>
      </w:r>
    </w:p>
    <w:p w14:paraId="456EDB82" w14:textId="49644FA7" w:rsidR="00256AB1" w:rsidRPr="00842260" w:rsidRDefault="00D70D3B" w:rsidP="000C578F">
      <w:pPr>
        <w:pStyle w:val="3-BodyText"/>
        <w:numPr>
          <w:ilvl w:val="0"/>
          <w:numId w:val="13"/>
        </w:numPr>
        <w:ind w:left="1077" w:hanging="357"/>
      </w:pPr>
      <w:r w:rsidRPr="00842260">
        <w:t>Whether</w:t>
      </w:r>
      <w:r w:rsidR="00D54B39" w:rsidRPr="00842260">
        <w:t xml:space="preserve"> a</w:t>
      </w:r>
      <w:r w:rsidRPr="00842260">
        <w:t xml:space="preserve"> Ki-67</w:t>
      </w:r>
      <w:r w:rsidR="00D54B39" w:rsidRPr="00842260">
        <w:t xml:space="preserve"> score</w:t>
      </w:r>
      <w:r w:rsidRPr="00842260">
        <w:t xml:space="preserve"> is needed to determine the population likely to receive benefit from </w:t>
      </w:r>
      <w:proofErr w:type="spellStart"/>
      <w:r w:rsidRPr="00842260">
        <w:t>abemaciclib</w:t>
      </w:r>
      <w:proofErr w:type="spellEnd"/>
      <w:r w:rsidRPr="00842260">
        <w:t xml:space="preserve"> in early breast </w:t>
      </w:r>
      <w:proofErr w:type="gramStart"/>
      <w:r w:rsidRPr="00842260">
        <w:t>cancer;</w:t>
      </w:r>
      <w:proofErr w:type="gramEnd"/>
      <w:r w:rsidRPr="00842260">
        <w:t xml:space="preserve"> </w:t>
      </w:r>
    </w:p>
    <w:p w14:paraId="63B911DD" w14:textId="1934026D" w:rsidR="00256AB1" w:rsidRPr="00842260" w:rsidRDefault="00436885" w:rsidP="000C578F">
      <w:pPr>
        <w:pStyle w:val="3-BodyText"/>
        <w:numPr>
          <w:ilvl w:val="0"/>
          <w:numId w:val="13"/>
        </w:numPr>
        <w:ind w:left="1077" w:hanging="357"/>
      </w:pPr>
      <w:r w:rsidRPr="00842260">
        <w:t>Whether the 2.5–</w:t>
      </w:r>
      <w:r w:rsidR="00D70D3B" w:rsidRPr="00842260">
        <w:t xml:space="preserve">3.5% difference in </w:t>
      </w:r>
      <w:r w:rsidR="00D54B39" w:rsidRPr="00842260">
        <w:t>invasive disease-free survival (</w:t>
      </w:r>
      <w:r w:rsidR="00D70D3B" w:rsidRPr="00842260">
        <w:t>IDFS</w:t>
      </w:r>
      <w:r w:rsidR="00D54B39" w:rsidRPr="00842260">
        <w:t>)</w:t>
      </w:r>
      <w:r w:rsidR="00D70D3B" w:rsidRPr="00842260">
        <w:t xml:space="preserve"> represents a meaningful cl</w:t>
      </w:r>
      <w:r w:rsidRPr="00842260">
        <w:t xml:space="preserve">inical benefit in this </w:t>
      </w:r>
      <w:proofErr w:type="gramStart"/>
      <w:r w:rsidRPr="00842260">
        <w:t>setting;</w:t>
      </w:r>
      <w:proofErr w:type="gramEnd"/>
      <w:r w:rsidRPr="00842260">
        <w:t xml:space="preserve"> </w:t>
      </w:r>
    </w:p>
    <w:p w14:paraId="70A55E03" w14:textId="364EB2DD" w:rsidR="00256AB1" w:rsidRPr="00842260" w:rsidRDefault="00D70D3B" w:rsidP="000C578F">
      <w:pPr>
        <w:pStyle w:val="3-BodyText"/>
        <w:numPr>
          <w:ilvl w:val="0"/>
          <w:numId w:val="13"/>
        </w:numPr>
        <w:ind w:left="1077" w:hanging="357"/>
      </w:pPr>
      <w:r w:rsidRPr="00842260">
        <w:t xml:space="preserve">Whether </w:t>
      </w:r>
      <w:r w:rsidR="008E40FB" w:rsidRPr="00842260">
        <w:t>IDFS is likely to translate to overall survival</w:t>
      </w:r>
      <w:r w:rsidR="00D54B39" w:rsidRPr="00842260">
        <w:t xml:space="preserve"> (OS)</w:t>
      </w:r>
      <w:r w:rsidR="008E40FB" w:rsidRPr="00842260">
        <w:t xml:space="preserve"> benefit, given the interim OS analysis does not yet demonstrate a benefit; and </w:t>
      </w:r>
    </w:p>
    <w:p w14:paraId="5805F6B7" w14:textId="583CE146" w:rsidR="00D70D3B" w:rsidRPr="00842260" w:rsidRDefault="008E40FB" w:rsidP="000C578F">
      <w:pPr>
        <w:pStyle w:val="3-BodyText"/>
        <w:numPr>
          <w:ilvl w:val="0"/>
          <w:numId w:val="13"/>
        </w:numPr>
        <w:ind w:left="1077" w:hanging="357"/>
      </w:pPr>
      <w:r w:rsidRPr="00842260">
        <w:t xml:space="preserve">Whether the benefit risk profile supports registration in Cohort 1 population or whether it should be limited to those patients whose </w:t>
      </w:r>
      <w:proofErr w:type="gramStart"/>
      <w:r w:rsidRPr="00842260">
        <w:t>high risk</w:t>
      </w:r>
      <w:proofErr w:type="gramEnd"/>
      <w:r w:rsidRPr="00842260">
        <w:t xml:space="preserve"> status includes tumours with the proliferation marker Ki-67 index at ≥20%.</w:t>
      </w:r>
    </w:p>
    <w:p w14:paraId="3DA06FEF" w14:textId="7595234C" w:rsidR="00D3262A" w:rsidRPr="00842260" w:rsidRDefault="005904EC" w:rsidP="002F5D57">
      <w:pPr>
        <w:pStyle w:val="3-BodyText"/>
      </w:pPr>
      <w:r w:rsidRPr="00842260">
        <w:t>The ACM advised that there were</w:t>
      </w:r>
      <w:r w:rsidR="00DA0F62" w:rsidRPr="00842260">
        <w:t xml:space="preserve"> insufficient data to make a recommendation on the overall risk benefit balance and expressed interest in the provision of the</w:t>
      </w:r>
      <w:r w:rsidR="00436885" w:rsidRPr="00842260">
        <w:t xml:space="preserve"> next release of</w:t>
      </w:r>
      <w:r w:rsidR="00DA0F62" w:rsidRPr="00842260">
        <w:t xml:space="preserve"> OS data</w:t>
      </w:r>
      <w:r w:rsidR="00DA0F62" w:rsidRPr="00826D76">
        <w:t>.</w:t>
      </w:r>
      <w:r w:rsidR="002F5D57" w:rsidRPr="00842260">
        <w:t xml:space="preserve"> The ACM also advised that there was a patient benefit regardless of Ki-67 and high Ki-67 alone is not predictive of IDFS benefit, and that it cannot be concluded that treatment should be limited to high Ki-67 patients.</w:t>
      </w:r>
    </w:p>
    <w:p w14:paraId="17A3BD0D" w14:textId="77777777" w:rsidR="00D3262A" w:rsidRPr="00842260" w:rsidRDefault="00D3262A" w:rsidP="00D3262A">
      <w:pPr>
        <w:pStyle w:val="4-SubsectionHeading"/>
      </w:pPr>
      <w:bookmarkStart w:id="8" w:name="_Toc93502897"/>
      <w:r w:rsidRPr="00842260">
        <w:t>Previous PBAC consideration</w:t>
      </w:r>
      <w:bookmarkEnd w:id="8"/>
    </w:p>
    <w:p w14:paraId="5374AD55" w14:textId="69A4121E" w:rsidR="005C25FF" w:rsidRPr="00842260" w:rsidRDefault="00D3262A" w:rsidP="004A7A8E">
      <w:pPr>
        <w:pStyle w:val="3-BodyText"/>
      </w:pPr>
      <w:r w:rsidRPr="00842260">
        <w:t xml:space="preserve">This is the first consideration of </w:t>
      </w:r>
      <w:proofErr w:type="spellStart"/>
      <w:r w:rsidRPr="00842260">
        <w:t>abemaciclib</w:t>
      </w:r>
      <w:proofErr w:type="spellEnd"/>
      <w:r w:rsidRPr="00842260">
        <w:t xml:space="preserve"> by the PBAC for this indication. </w:t>
      </w:r>
      <w:proofErr w:type="spellStart"/>
      <w:r w:rsidRPr="00842260">
        <w:t>Abemaciclib</w:t>
      </w:r>
      <w:proofErr w:type="spellEnd"/>
      <w:r w:rsidRPr="00842260">
        <w:t xml:space="preserve"> is currently listed on the PBS for the treatment of</w:t>
      </w:r>
      <w:r w:rsidR="004A7A8E" w:rsidRPr="00842260">
        <w:t xml:space="preserve"> HR+ HER2- locally advanced or metastatic breast cancer</w:t>
      </w:r>
      <w:r w:rsidRPr="00842260">
        <w:t>.</w:t>
      </w:r>
      <w:r w:rsidR="00FF1160" w:rsidRPr="00842260">
        <w:t xml:space="preserve"> </w:t>
      </w:r>
    </w:p>
    <w:p w14:paraId="5657EA28" w14:textId="1DEB9144" w:rsidR="00D66E62" w:rsidRPr="00842260" w:rsidRDefault="00D66E62" w:rsidP="00D66E62">
      <w:pPr>
        <w:pStyle w:val="3-BodyText"/>
        <w:numPr>
          <w:ilvl w:val="0"/>
          <w:numId w:val="0"/>
        </w:numPr>
        <w:ind w:left="720"/>
        <w:rPr>
          <w:i/>
          <w:iCs/>
        </w:rPr>
      </w:pPr>
      <w:r w:rsidRPr="00842260">
        <w:rPr>
          <w:i/>
          <w:iCs/>
        </w:rPr>
        <w:t>For more detail on PBAC’s view, see section 7 PBAC outcome.</w:t>
      </w:r>
    </w:p>
    <w:p w14:paraId="76E4EF3C" w14:textId="0D3119FC" w:rsidR="00B60939" w:rsidRPr="00842260" w:rsidRDefault="00B50DB8" w:rsidP="004E18E9">
      <w:pPr>
        <w:pStyle w:val="2-SectionHeading"/>
      </w:pPr>
      <w:bookmarkStart w:id="9" w:name="_Toc93502898"/>
      <w:r w:rsidRPr="00842260">
        <w:t>Requested listing</w:t>
      </w:r>
      <w:bookmarkEnd w:id="9"/>
    </w:p>
    <w:p w14:paraId="5A1E196A" w14:textId="274D803B" w:rsidR="00D32343" w:rsidRPr="00842260" w:rsidRDefault="00034DEC" w:rsidP="00C90B7B">
      <w:pPr>
        <w:pStyle w:val="3-BodyText"/>
        <w:spacing w:after="240"/>
      </w:pPr>
      <w:r w:rsidRPr="00842260">
        <w:t>The submission requested</w:t>
      </w:r>
      <w:r w:rsidR="00C90B7B" w:rsidRPr="00842260">
        <w:t xml:space="preserve"> </w:t>
      </w:r>
      <w:r w:rsidR="00C90B7B" w:rsidRPr="00842260">
        <w:rPr>
          <w:iCs/>
        </w:rPr>
        <w:t xml:space="preserve">initial, continuing and grandfather restrictions for </w:t>
      </w:r>
      <w:proofErr w:type="spellStart"/>
      <w:r w:rsidR="00C90B7B" w:rsidRPr="00842260">
        <w:rPr>
          <w:iCs/>
        </w:rPr>
        <w:t>abemaciclib</w:t>
      </w:r>
      <w:proofErr w:type="spellEnd"/>
      <w:r w:rsidR="00C90B7B" w:rsidRPr="00842260">
        <w:rPr>
          <w:iCs/>
        </w:rPr>
        <w:t>.</w:t>
      </w:r>
      <w:r w:rsidRPr="00842260">
        <w:t xml:space="preserve"> </w:t>
      </w:r>
      <w:r w:rsidR="00D32343" w:rsidRPr="00842260">
        <w:rPr>
          <w:iCs/>
        </w:rPr>
        <w:t xml:space="preserve">The Secretariat noted that there are no specific response criteria for continuing treatment with </w:t>
      </w:r>
      <w:proofErr w:type="spellStart"/>
      <w:r w:rsidR="00D32343" w:rsidRPr="00842260">
        <w:rPr>
          <w:iCs/>
        </w:rPr>
        <w:t>abemaciclib</w:t>
      </w:r>
      <w:proofErr w:type="spellEnd"/>
      <w:r w:rsidR="00D32343" w:rsidRPr="00842260">
        <w:rPr>
          <w:iCs/>
        </w:rPr>
        <w:t>; therefore, it may be appropriate to combine the</w:t>
      </w:r>
      <w:r w:rsidRPr="00842260">
        <w:rPr>
          <w:iCs/>
        </w:rPr>
        <w:t xml:space="preserve"> </w:t>
      </w:r>
      <w:r w:rsidR="00D32343" w:rsidRPr="00842260">
        <w:rPr>
          <w:iCs/>
        </w:rPr>
        <w:t xml:space="preserve">initial, continuing and grandfather restrictions into a single treatment phase </w:t>
      </w:r>
      <w:r w:rsidR="00D32343" w:rsidRPr="00842260">
        <w:rPr>
          <w:bCs/>
          <w:iCs/>
        </w:rPr>
        <w:t>for administrative simplicity</w:t>
      </w:r>
      <w:r w:rsidR="00D32343" w:rsidRPr="00842260">
        <w:rPr>
          <w:iCs/>
        </w:rPr>
        <w:t>. A single treatment phase is consistent with PBS listings for ET (letrozole, anastrozole, exemestane, tamoxifen) for adjuvant treatment of HR+ breast cancer.</w:t>
      </w:r>
      <w:r w:rsidR="00C90B7B" w:rsidRPr="00842260">
        <w:rPr>
          <w:iCs/>
        </w:rPr>
        <w:t xml:space="preserve"> </w:t>
      </w:r>
      <w:r w:rsidR="00C90B7B" w:rsidRPr="00842260">
        <w:t>The listing proposed by the Secretariat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1410"/>
        <w:gridCol w:w="1268"/>
        <w:gridCol w:w="1270"/>
        <w:gridCol w:w="986"/>
        <w:gridCol w:w="1692"/>
      </w:tblGrid>
      <w:tr w:rsidR="00D32343" w:rsidRPr="00842260" w14:paraId="59FB7EDD" w14:textId="77777777" w:rsidTr="00C90B7B">
        <w:trPr>
          <w:cantSplit/>
          <w:trHeight w:val="471"/>
        </w:trPr>
        <w:tc>
          <w:tcPr>
            <w:tcW w:w="1326" w:type="pct"/>
          </w:tcPr>
          <w:p w14:paraId="4FC1D9F7" w14:textId="77777777" w:rsidR="00D32343" w:rsidRPr="00842260" w:rsidRDefault="00D32343" w:rsidP="008F0552">
            <w:pPr>
              <w:keepNext/>
              <w:ind w:left="-57"/>
              <w:rPr>
                <w:rFonts w:ascii="Arial Narrow" w:hAnsi="Arial Narrow"/>
                <w:b/>
                <w:bCs/>
                <w:sz w:val="20"/>
                <w:szCs w:val="20"/>
              </w:rPr>
            </w:pPr>
            <w:r w:rsidRPr="00842260">
              <w:rPr>
                <w:rFonts w:ascii="Arial Narrow" w:hAnsi="Arial Narrow"/>
                <w:b/>
                <w:bCs/>
                <w:sz w:val="20"/>
                <w:szCs w:val="20"/>
              </w:rPr>
              <w:lastRenderedPageBreak/>
              <w:t>MEDICINAL PRODUCT</w:t>
            </w:r>
          </w:p>
          <w:p w14:paraId="5AD3A621" w14:textId="77777777" w:rsidR="00D32343" w:rsidRPr="00842260" w:rsidRDefault="00D32343" w:rsidP="008F0552">
            <w:pPr>
              <w:keepNext/>
              <w:ind w:left="-57"/>
              <w:rPr>
                <w:rFonts w:ascii="Arial Narrow" w:hAnsi="Arial Narrow"/>
                <w:b/>
                <w:sz w:val="20"/>
                <w:szCs w:val="20"/>
              </w:rPr>
            </w:pPr>
            <w:r w:rsidRPr="00842260">
              <w:rPr>
                <w:rFonts w:ascii="Arial Narrow" w:hAnsi="Arial Narrow"/>
                <w:b/>
                <w:bCs/>
                <w:sz w:val="20"/>
                <w:szCs w:val="20"/>
              </w:rPr>
              <w:t>medicinal product pack</w:t>
            </w:r>
          </w:p>
        </w:tc>
        <w:tc>
          <w:tcPr>
            <w:tcW w:w="782" w:type="pct"/>
          </w:tcPr>
          <w:p w14:paraId="0499322F" w14:textId="77777777" w:rsidR="00D32343" w:rsidRPr="00842260" w:rsidRDefault="00D32343" w:rsidP="008F0552">
            <w:pPr>
              <w:keepNext/>
              <w:ind w:left="-108"/>
              <w:jc w:val="center"/>
              <w:rPr>
                <w:rFonts w:ascii="Arial Narrow" w:hAnsi="Arial Narrow"/>
                <w:b/>
                <w:sz w:val="20"/>
                <w:szCs w:val="20"/>
              </w:rPr>
            </w:pPr>
            <w:r w:rsidRPr="00842260">
              <w:rPr>
                <w:rFonts w:ascii="Arial Narrow" w:hAnsi="Arial Narrow"/>
                <w:b/>
                <w:sz w:val="20"/>
                <w:szCs w:val="20"/>
              </w:rPr>
              <w:t>PBS item code</w:t>
            </w:r>
          </w:p>
        </w:tc>
        <w:tc>
          <w:tcPr>
            <w:tcW w:w="703" w:type="pct"/>
          </w:tcPr>
          <w:p w14:paraId="0426E1A9" w14:textId="77777777" w:rsidR="00D32343" w:rsidRPr="00842260" w:rsidRDefault="00D32343" w:rsidP="008F0552">
            <w:pPr>
              <w:keepNext/>
              <w:ind w:left="-108"/>
              <w:jc w:val="center"/>
              <w:rPr>
                <w:rFonts w:ascii="Arial Narrow" w:hAnsi="Arial Narrow"/>
                <w:b/>
                <w:sz w:val="20"/>
                <w:szCs w:val="20"/>
              </w:rPr>
            </w:pPr>
            <w:r w:rsidRPr="00842260">
              <w:rPr>
                <w:rFonts w:ascii="Arial Narrow" w:hAnsi="Arial Narrow"/>
                <w:b/>
                <w:sz w:val="20"/>
                <w:szCs w:val="20"/>
              </w:rPr>
              <w:t>Max. qty packs</w:t>
            </w:r>
          </w:p>
        </w:tc>
        <w:tc>
          <w:tcPr>
            <w:tcW w:w="704" w:type="pct"/>
          </w:tcPr>
          <w:p w14:paraId="62ABC6CA" w14:textId="77777777" w:rsidR="00D32343" w:rsidRPr="00842260" w:rsidRDefault="00D32343" w:rsidP="008F0552">
            <w:pPr>
              <w:keepNext/>
              <w:ind w:left="-108"/>
              <w:jc w:val="center"/>
              <w:rPr>
                <w:rFonts w:ascii="Arial Narrow" w:hAnsi="Arial Narrow"/>
                <w:b/>
                <w:sz w:val="20"/>
                <w:szCs w:val="20"/>
              </w:rPr>
            </w:pPr>
            <w:r w:rsidRPr="00842260">
              <w:rPr>
                <w:rFonts w:ascii="Arial Narrow" w:hAnsi="Arial Narrow"/>
                <w:b/>
                <w:sz w:val="20"/>
                <w:szCs w:val="20"/>
              </w:rPr>
              <w:t>Max. qty units</w:t>
            </w:r>
          </w:p>
        </w:tc>
        <w:tc>
          <w:tcPr>
            <w:tcW w:w="547" w:type="pct"/>
          </w:tcPr>
          <w:p w14:paraId="72F62EA3" w14:textId="77777777" w:rsidR="00D32343" w:rsidRPr="00842260" w:rsidRDefault="00D32343" w:rsidP="008F0552">
            <w:pPr>
              <w:keepNext/>
              <w:ind w:left="-108"/>
              <w:jc w:val="center"/>
              <w:rPr>
                <w:rFonts w:ascii="Arial Narrow" w:hAnsi="Arial Narrow"/>
                <w:b/>
                <w:sz w:val="20"/>
                <w:szCs w:val="20"/>
              </w:rPr>
            </w:pPr>
            <w:proofErr w:type="spellStart"/>
            <w:r w:rsidRPr="00842260">
              <w:rPr>
                <w:rFonts w:ascii="Arial Narrow" w:hAnsi="Arial Narrow"/>
                <w:b/>
                <w:sz w:val="20"/>
                <w:szCs w:val="20"/>
              </w:rPr>
              <w:t>Rpts</w:t>
            </w:r>
            <w:proofErr w:type="spellEnd"/>
          </w:p>
        </w:tc>
        <w:tc>
          <w:tcPr>
            <w:tcW w:w="938" w:type="pct"/>
          </w:tcPr>
          <w:p w14:paraId="69681BB3" w14:textId="77777777" w:rsidR="00D32343" w:rsidRPr="00842260" w:rsidRDefault="00D32343" w:rsidP="008F0552">
            <w:pPr>
              <w:keepNext/>
              <w:rPr>
                <w:rFonts w:ascii="Arial Narrow" w:hAnsi="Arial Narrow"/>
                <w:b/>
                <w:sz w:val="20"/>
                <w:szCs w:val="20"/>
              </w:rPr>
            </w:pPr>
            <w:r w:rsidRPr="00842260">
              <w:rPr>
                <w:rFonts w:ascii="Arial Narrow" w:hAnsi="Arial Narrow"/>
                <w:b/>
                <w:sz w:val="20"/>
                <w:szCs w:val="20"/>
              </w:rPr>
              <w:t>Available brands</w:t>
            </w:r>
          </w:p>
        </w:tc>
      </w:tr>
      <w:tr w:rsidR="00D32343" w:rsidRPr="00842260" w14:paraId="225E3FCF" w14:textId="77777777" w:rsidTr="00C90B7B">
        <w:trPr>
          <w:cantSplit/>
          <w:trHeight w:val="224"/>
        </w:trPr>
        <w:tc>
          <w:tcPr>
            <w:tcW w:w="5000" w:type="pct"/>
            <w:gridSpan w:val="6"/>
          </w:tcPr>
          <w:p w14:paraId="203EC026" w14:textId="77777777" w:rsidR="00D32343" w:rsidRPr="00842260" w:rsidRDefault="00D32343" w:rsidP="008F0552">
            <w:pPr>
              <w:keepNext/>
              <w:ind w:left="-57"/>
              <w:rPr>
                <w:rFonts w:ascii="Arial Narrow" w:hAnsi="Arial Narrow"/>
                <w:sz w:val="20"/>
                <w:szCs w:val="20"/>
              </w:rPr>
            </w:pPr>
            <w:r w:rsidRPr="00842260">
              <w:rPr>
                <w:rFonts w:ascii="Arial Narrow" w:hAnsi="Arial Narrow"/>
                <w:sz w:val="20"/>
                <w:szCs w:val="20"/>
              </w:rPr>
              <w:t xml:space="preserve">ABEMACICLIB </w:t>
            </w:r>
          </w:p>
        </w:tc>
      </w:tr>
      <w:tr w:rsidR="00D32343" w:rsidRPr="00842260" w14:paraId="30D79318" w14:textId="77777777" w:rsidTr="00C90B7B">
        <w:trPr>
          <w:cantSplit/>
          <w:trHeight w:val="232"/>
        </w:trPr>
        <w:tc>
          <w:tcPr>
            <w:tcW w:w="1326" w:type="pct"/>
          </w:tcPr>
          <w:p w14:paraId="14C29F0D" w14:textId="77777777" w:rsidR="00D32343" w:rsidRPr="00842260" w:rsidRDefault="00D32343" w:rsidP="008F0552">
            <w:pPr>
              <w:keepNext/>
              <w:ind w:left="-57"/>
              <w:rPr>
                <w:rFonts w:ascii="Arial Narrow" w:hAnsi="Arial Narrow"/>
                <w:sz w:val="20"/>
                <w:szCs w:val="20"/>
              </w:rPr>
            </w:pPr>
            <w:proofErr w:type="spellStart"/>
            <w:r w:rsidRPr="00842260">
              <w:rPr>
                <w:rFonts w:ascii="Arial Narrow" w:hAnsi="Arial Narrow"/>
                <w:sz w:val="20"/>
                <w:szCs w:val="20"/>
              </w:rPr>
              <w:t>abemaciclib</w:t>
            </w:r>
            <w:proofErr w:type="spellEnd"/>
            <w:r w:rsidRPr="00842260">
              <w:rPr>
                <w:rFonts w:ascii="Arial Narrow" w:hAnsi="Arial Narrow"/>
                <w:sz w:val="20"/>
                <w:szCs w:val="20"/>
              </w:rPr>
              <w:t xml:space="preserve"> 150 mg tablet, 56 </w:t>
            </w:r>
          </w:p>
        </w:tc>
        <w:tc>
          <w:tcPr>
            <w:tcW w:w="782" w:type="pct"/>
          </w:tcPr>
          <w:p w14:paraId="095C67B4"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11868P</w:t>
            </w:r>
          </w:p>
        </w:tc>
        <w:tc>
          <w:tcPr>
            <w:tcW w:w="703" w:type="pct"/>
          </w:tcPr>
          <w:p w14:paraId="39031DC9"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1</w:t>
            </w:r>
          </w:p>
        </w:tc>
        <w:tc>
          <w:tcPr>
            <w:tcW w:w="704" w:type="pct"/>
          </w:tcPr>
          <w:p w14:paraId="479A871A"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56</w:t>
            </w:r>
          </w:p>
        </w:tc>
        <w:tc>
          <w:tcPr>
            <w:tcW w:w="547" w:type="pct"/>
          </w:tcPr>
          <w:p w14:paraId="0E3DDD8B"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5</w:t>
            </w:r>
          </w:p>
        </w:tc>
        <w:tc>
          <w:tcPr>
            <w:tcW w:w="938" w:type="pct"/>
          </w:tcPr>
          <w:p w14:paraId="7668E2F4" w14:textId="77777777" w:rsidR="00D32343" w:rsidRPr="00842260" w:rsidRDefault="00D32343" w:rsidP="008F0552">
            <w:pPr>
              <w:keepNext/>
              <w:rPr>
                <w:rFonts w:ascii="Arial Narrow" w:hAnsi="Arial Narrow"/>
                <w:sz w:val="20"/>
                <w:szCs w:val="20"/>
              </w:rPr>
            </w:pPr>
            <w:proofErr w:type="spellStart"/>
            <w:r w:rsidRPr="00842260">
              <w:rPr>
                <w:rFonts w:ascii="Arial Narrow" w:hAnsi="Arial Narrow"/>
                <w:sz w:val="20"/>
                <w:szCs w:val="20"/>
              </w:rPr>
              <w:t>Verzenio</w:t>
            </w:r>
            <w:proofErr w:type="spellEnd"/>
            <w:r w:rsidRPr="00842260">
              <w:rPr>
                <w:rFonts w:ascii="Arial Narrow" w:hAnsi="Arial Narrow"/>
                <w:sz w:val="20"/>
                <w:szCs w:val="20"/>
              </w:rPr>
              <w:t xml:space="preserve"> </w:t>
            </w:r>
          </w:p>
        </w:tc>
      </w:tr>
      <w:tr w:rsidR="00D32343" w:rsidRPr="00842260" w14:paraId="711A38CF" w14:textId="77777777" w:rsidTr="00C90B7B">
        <w:trPr>
          <w:cantSplit/>
          <w:trHeight w:val="264"/>
        </w:trPr>
        <w:tc>
          <w:tcPr>
            <w:tcW w:w="1326" w:type="pct"/>
          </w:tcPr>
          <w:p w14:paraId="5932BB49" w14:textId="77777777" w:rsidR="00D32343" w:rsidRPr="00842260" w:rsidRDefault="00D32343" w:rsidP="008F0552">
            <w:pPr>
              <w:keepNext/>
              <w:ind w:left="-57"/>
              <w:rPr>
                <w:rFonts w:ascii="Arial Narrow" w:hAnsi="Arial Narrow"/>
                <w:sz w:val="20"/>
                <w:szCs w:val="20"/>
              </w:rPr>
            </w:pPr>
            <w:proofErr w:type="spellStart"/>
            <w:r w:rsidRPr="00842260">
              <w:rPr>
                <w:rFonts w:ascii="Arial Narrow" w:hAnsi="Arial Narrow"/>
                <w:sz w:val="20"/>
                <w:szCs w:val="20"/>
              </w:rPr>
              <w:t>abemaciclib</w:t>
            </w:r>
            <w:proofErr w:type="spellEnd"/>
            <w:r w:rsidRPr="00842260">
              <w:rPr>
                <w:rFonts w:ascii="Arial Narrow" w:hAnsi="Arial Narrow"/>
                <w:sz w:val="20"/>
                <w:szCs w:val="20"/>
              </w:rPr>
              <w:t xml:space="preserve"> 100 mg tablet, 56</w:t>
            </w:r>
          </w:p>
        </w:tc>
        <w:tc>
          <w:tcPr>
            <w:tcW w:w="782" w:type="pct"/>
          </w:tcPr>
          <w:p w14:paraId="0A47C8DF"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11871T</w:t>
            </w:r>
          </w:p>
        </w:tc>
        <w:tc>
          <w:tcPr>
            <w:tcW w:w="703" w:type="pct"/>
          </w:tcPr>
          <w:p w14:paraId="7EF1D552"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1</w:t>
            </w:r>
          </w:p>
        </w:tc>
        <w:tc>
          <w:tcPr>
            <w:tcW w:w="704" w:type="pct"/>
          </w:tcPr>
          <w:p w14:paraId="1E91A17A"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56</w:t>
            </w:r>
          </w:p>
        </w:tc>
        <w:tc>
          <w:tcPr>
            <w:tcW w:w="547" w:type="pct"/>
          </w:tcPr>
          <w:p w14:paraId="53EC945E"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5</w:t>
            </w:r>
          </w:p>
        </w:tc>
        <w:tc>
          <w:tcPr>
            <w:tcW w:w="938" w:type="pct"/>
          </w:tcPr>
          <w:p w14:paraId="3604CC31" w14:textId="77777777" w:rsidR="00D32343" w:rsidRPr="00842260" w:rsidRDefault="00D32343" w:rsidP="008F0552">
            <w:pPr>
              <w:keepNext/>
              <w:rPr>
                <w:rFonts w:ascii="Arial Narrow" w:hAnsi="Arial Narrow"/>
                <w:sz w:val="20"/>
                <w:szCs w:val="20"/>
              </w:rPr>
            </w:pPr>
            <w:proofErr w:type="spellStart"/>
            <w:r w:rsidRPr="00842260">
              <w:rPr>
                <w:rFonts w:ascii="Arial Narrow" w:hAnsi="Arial Narrow"/>
                <w:sz w:val="20"/>
                <w:szCs w:val="20"/>
              </w:rPr>
              <w:t>Verzenio</w:t>
            </w:r>
            <w:proofErr w:type="spellEnd"/>
            <w:r w:rsidRPr="00842260">
              <w:rPr>
                <w:rFonts w:ascii="Arial Narrow" w:hAnsi="Arial Narrow"/>
                <w:sz w:val="20"/>
                <w:szCs w:val="20"/>
              </w:rPr>
              <w:t xml:space="preserve"> </w:t>
            </w:r>
          </w:p>
        </w:tc>
      </w:tr>
      <w:tr w:rsidR="00D32343" w:rsidRPr="00842260" w14:paraId="58A0FFA4" w14:textId="77777777" w:rsidTr="00C90B7B">
        <w:trPr>
          <w:cantSplit/>
          <w:trHeight w:val="281"/>
        </w:trPr>
        <w:tc>
          <w:tcPr>
            <w:tcW w:w="1326" w:type="pct"/>
          </w:tcPr>
          <w:p w14:paraId="16024235" w14:textId="77777777" w:rsidR="00D32343" w:rsidRPr="00842260" w:rsidRDefault="00D32343" w:rsidP="008F0552">
            <w:pPr>
              <w:keepNext/>
              <w:tabs>
                <w:tab w:val="left" w:pos="1077"/>
              </w:tabs>
              <w:ind w:left="-57"/>
              <w:rPr>
                <w:rFonts w:ascii="Arial Narrow" w:hAnsi="Arial Narrow"/>
                <w:sz w:val="20"/>
                <w:szCs w:val="20"/>
              </w:rPr>
            </w:pPr>
            <w:proofErr w:type="spellStart"/>
            <w:r w:rsidRPr="00842260">
              <w:rPr>
                <w:rFonts w:ascii="Arial Narrow" w:hAnsi="Arial Narrow"/>
                <w:sz w:val="20"/>
                <w:szCs w:val="20"/>
              </w:rPr>
              <w:t>abemaciclib</w:t>
            </w:r>
            <w:proofErr w:type="spellEnd"/>
            <w:r w:rsidRPr="00842260">
              <w:rPr>
                <w:rFonts w:ascii="Arial Narrow" w:hAnsi="Arial Narrow"/>
                <w:sz w:val="20"/>
                <w:szCs w:val="20"/>
              </w:rPr>
              <w:t xml:space="preserve"> 50 mg tablet, 56</w:t>
            </w:r>
          </w:p>
        </w:tc>
        <w:tc>
          <w:tcPr>
            <w:tcW w:w="782" w:type="pct"/>
          </w:tcPr>
          <w:p w14:paraId="6FB29908"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11876C</w:t>
            </w:r>
          </w:p>
        </w:tc>
        <w:tc>
          <w:tcPr>
            <w:tcW w:w="703" w:type="pct"/>
          </w:tcPr>
          <w:p w14:paraId="31A5C76F"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1</w:t>
            </w:r>
          </w:p>
        </w:tc>
        <w:tc>
          <w:tcPr>
            <w:tcW w:w="704" w:type="pct"/>
          </w:tcPr>
          <w:p w14:paraId="3FE0CD28"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56</w:t>
            </w:r>
          </w:p>
        </w:tc>
        <w:tc>
          <w:tcPr>
            <w:tcW w:w="547" w:type="pct"/>
          </w:tcPr>
          <w:p w14:paraId="2E2B5D96" w14:textId="77777777" w:rsidR="00D32343" w:rsidRPr="00842260" w:rsidRDefault="00D32343" w:rsidP="008F0552">
            <w:pPr>
              <w:keepNext/>
              <w:jc w:val="center"/>
              <w:rPr>
                <w:rFonts w:ascii="Arial Narrow" w:hAnsi="Arial Narrow"/>
                <w:sz w:val="20"/>
                <w:szCs w:val="20"/>
              </w:rPr>
            </w:pPr>
            <w:r w:rsidRPr="00842260">
              <w:rPr>
                <w:rFonts w:ascii="Arial Narrow" w:hAnsi="Arial Narrow"/>
                <w:sz w:val="20"/>
                <w:szCs w:val="20"/>
              </w:rPr>
              <w:t>5</w:t>
            </w:r>
          </w:p>
        </w:tc>
        <w:tc>
          <w:tcPr>
            <w:tcW w:w="938" w:type="pct"/>
          </w:tcPr>
          <w:p w14:paraId="50B2061A" w14:textId="77777777" w:rsidR="00D32343" w:rsidRPr="00842260" w:rsidRDefault="00D32343" w:rsidP="008F0552">
            <w:pPr>
              <w:keepNext/>
              <w:rPr>
                <w:rFonts w:ascii="Arial Narrow" w:hAnsi="Arial Narrow"/>
                <w:sz w:val="20"/>
                <w:szCs w:val="20"/>
              </w:rPr>
            </w:pPr>
            <w:proofErr w:type="spellStart"/>
            <w:r w:rsidRPr="00842260">
              <w:rPr>
                <w:rFonts w:ascii="Arial Narrow" w:hAnsi="Arial Narrow"/>
                <w:sz w:val="20"/>
                <w:szCs w:val="20"/>
              </w:rPr>
              <w:t>Verzenio</w:t>
            </w:r>
            <w:proofErr w:type="spellEnd"/>
          </w:p>
        </w:tc>
      </w:tr>
      <w:tr w:rsidR="00D32343" w:rsidRPr="00842260" w14:paraId="3B381767"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337C1B82" w14:textId="77777777" w:rsidR="00D32343" w:rsidRPr="00842260" w:rsidRDefault="00D32343" w:rsidP="008F0552">
            <w:pPr>
              <w:rPr>
                <w:rFonts w:ascii="Arial Narrow" w:hAnsi="Arial Narrow"/>
                <w:sz w:val="20"/>
                <w:szCs w:val="20"/>
              </w:rPr>
            </w:pPr>
          </w:p>
        </w:tc>
      </w:tr>
      <w:tr w:rsidR="00D32343" w:rsidRPr="00842260" w14:paraId="38BC83B3"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71E6A7B3" w14:textId="77777777" w:rsidR="00D32343" w:rsidRPr="00842260" w:rsidRDefault="00D32343" w:rsidP="008F0552">
            <w:pPr>
              <w:rPr>
                <w:rFonts w:ascii="Arial Narrow" w:hAnsi="Arial Narrow"/>
                <w:b/>
                <w:sz w:val="20"/>
                <w:szCs w:val="20"/>
              </w:rPr>
            </w:pPr>
            <w:r w:rsidRPr="00842260">
              <w:rPr>
                <w:rFonts w:ascii="Arial Narrow" w:hAnsi="Arial Narrow"/>
                <w:b/>
                <w:sz w:val="20"/>
                <w:szCs w:val="20"/>
              </w:rPr>
              <w:t>Restriction Summary / Treatment of Concept: [New 1]</w:t>
            </w:r>
          </w:p>
        </w:tc>
      </w:tr>
      <w:tr w:rsidR="00C90B7B" w:rsidRPr="00842260" w14:paraId="19BE83CE"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3DDA98D" w14:textId="77777777" w:rsidR="00C90B7B" w:rsidRPr="00842260" w:rsidRDefault="00C90B7B" w:rsidP="008F0552">
            <w:pPr>
              <w:rPr>
                <w:rFonts w:ascii="Arial Narrow" w:hAnsi="Arial Narrow"/>
                <w:sz w:val="20"/>
                <w:szCs w:val="20"/>
              </w:rPr>
            </w:pPr>
            <w:r w:rsidRPr="00842260">
              <w:rPr>
                <w:rFonts w:ascii="Arial Narrow" w:hAnsi="Arial Narrow"/>
                <w:b/>
                <w:sz w:val="20"/>
                <w:szCs w:val="20"/>
              </w:rPr>
              <w:t xml:space="preserve">Category / Program: </w:t>
            </w:r>
            <w:r w:rsidRPr="00842260">
              <w:rPr>
                <w:rFonts w:ascii="Arial Narrow" w:hAnsi="Arial Narrow"/>
                <w:sz w:val="20"/>
                <w:szCs w:val="20"/>
              </w:rPr>
              <w:t xml:space="preserve">GENERAL – General Schedule (Code GE) </w:t>
            </w:r>
          </w:p>
        </w:tc>
      </w:tr>
      <w:tr w:rsidR="00C90B7B" w:rsidRPr="00842260" w14:paraId="24530CA2" w14:textId="77777777" w:rsidTr="00C90B7B">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0E5D1749" w14:textId="77777777" w:rsidR="00C90B7B" w:rsidRPr="00842260" w:rsidRDefault="00C90B7B" w:rsidP="008F0552">
            <w:pPr>
              <w:rPr>
                <w:rFonts w:ascii="Arial Narrow" w:hAnsi="Arial Narrow"/>
                <w:b/>
                <w:sz w:val="20"/>
                <w:szCs w:val="20"/>
              </w:rPr>
            </w:pPr>
            <w:r w:rsidRPr="00842260">
              <w:rPr>
                <w:rFonts w:ascii="Arial Narrow" w:hAnsi="Arial Narrow"/>
                <w:b/>
                <w:sz w:val="20"/>
                <w:szCs w:val="20"/>
              </w:rPr>
              <w:t xml:space="preserve">Prescriber type: </w:t>
            </w:r>
            <w:r w:rsidRPr="00842260">
              <w:rPr>
                <w:rFonts w:ascii="Arial Narrow" w:hAnsi="Arial Narrow"/>
                <w:sz w:val="20"/>
                <w:szCs w:val="20"/>
              </w:rPr>
              <w:fldChar w:fldCharType="begin">
                <w:ffData>
                  <w:name w:val=""/>
                  <w:enabled/>
                  <w:calcOnExit w:val="0"/>
                  <w:checkBox>
                    <w:sizeAuto/>
                    <w:default w:val="1"/>
                  </w:checkBox>
                </w:ffData>
              </w:fldChar>
            </w:r>
            <w:r w:rsidRPr="00842260">
              <w:rPr>
                <w:rFonts w:ascii="Arial Narrow" w:hAnsi="Arial Narrow"/>
                <w:sz w:val="20"/>
                <w:szCs w:val="20"/>
              </w:rPr>
              <w:instrText xml:space="preserve"> FORMCHECKBOX </w:instrText>
            </w:r>
            <w:r w:rsidR="00B910F0">
              <w:rPr>
                <w:rFonts w:ascii="Arial Narrow" w:hAnsi="Arial Narrow"/>
                <w:sz w:val="20"/>
                <w:szCs w:val="20"/>
              </w:rPr>
            </w:r>
            <w:r w:rsidR="00B910F0">
              <w:rPr>
                <w:rFonts w:ascii="Arial Narrow" w:hAnsi="Arial Narrow"/>
                <w:sz w:val="20"/>
                <w:szCs w:val="20"/>
              </w:rPr>
              <w:fldChar w:fldCharType="separate"/>
            </w:r>
            <w:r w:rsidRPr="00842260">
              <w:rPr>
                <w:rFonts w:ascii="Arial Narrow" w:hAnsi="Arial Narrow"/>
                <w:sz w:val="20"/>
                <w:szCs w:val="20"/>
              </w:rPr>
              <w:fldChar w:fldCharType="end"/>
            </w:r>
            <w:r w:rsidRPr="00842260">
              <w:rPr>
                <w:rFonts w:ascii="Arial Narrow" w:hAnsi="Arial Narrow"/>
                <w:sz w:val="20"/>
                <w:szCs w:val="20"/>
              </w:rPr>
              <w:t xml:space="preserve"> Medical Practitioners </w:t>
            </w:r>
          </w:p>
        </w:tc>
      </w:tr>
      <w:tr w:rsidR="00C90B7B" w:rsidRPr="00842260" w14:paraId="5B71737C"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2914E31" w14:textId="77777777" w:rsidR="00C90B7B" w:rsidRPr="00842260" w:rsidRDefault="00C90B7B" w:rsidP="008F0552">
            <w:pPr>
              <w:rPr>
                <w:rFonts w:ascii="Arial Narrow" w:eastAsia="Calibri" w:hAnsi="Arial Narrow"/>
                <w:sz w:val="20"/>
                <w:szCs w:val="20"/>
              </w:rPr>
            </w:pPr>
            <w:r w:rsidRPr="00842260">
              <w:rPr>
                <w:rFonts w:ascii="Arial Narrow" w:hAnsi="Arial Narrow"/>
                <w:b/>
                <w:sz w:val="20"/>
                <w:szCs w:val="20"/>
              </w:rPr>
              <w:t xml:space="preserve">Restriction type: </w:t>
            </w:r>
            <w:r w:rsidRPr="00842260">
              <w:rPr>
                <w:rFonts w:ascii="Arial Narrow" w:eastAsia="Calibri" w:hAnsi="Arial Narrow"/>
                <w:sz w:val="20"/>
                <w:szCs w:val="20"/>
              </w:rPr>
              <w:fldChar w:fldCharType="begin">
                <w:ffData>
                  <w:name w:val=""/>
                  <w:enabled/>
                  <w:calcOnExit w:val="0"/>
                  <w:checkBox>
                    <w:sizeAuto/>
                    <w:default w:val="1"/>
                  </w:checkBox>
                </w:ffData>
              </w:fldChar>
            </w:r>
            <w:r w:rsidRPr="00842260">
              <w:rPr>
                <w:rFonts w:ascii="Arial Narrow" w:eastAsia="Calibri" w:hAnsi="Arial Narrow"/>
                <w:sz w:val="20"/>
                <w:szCs w:val="20"/>
              </w:rPr>
              <w:instrText xml:space="preserve"> FORMCHECKBOX </w:instrText>
            </w:r>
            <w:r w:rsidR="00B910F0">
              <w:rPr>
                <w:rFonts w:ascii="Arial Narrow" w:eastAsia="Calibri" w:hAnsi="Arial Narrow"/>
                <w:sz w:val="20"/>
                <w:szCs w:val="20"/>
              </w:rPr>
            </w:r>
            <w:r w:rsidR="00B910F0">
              <w:rPr>
                <w:rFonts w:ascii="Arial Narrow" w:eastAsia="Calibri" w:hAnsi="Arial Narrow"/>
                <w:sz w:val="20"/>
                <w:szCs w:val="20"/>
              </w:rPr>
              <w:fldChar w:fldCharType="separate"/>
            </w:r>
            <w:r w:rsidRPr="00842260">
              <w:rPr>
                <w:rFonts w:ascii="Arial Narrow" w:eastAsia="Calibri" w:hAnsi="Arial Narrow"/>
                <w:sz w:val="20"/>
                <w:szCs w:val="20"/>
              </w:rPr>
              <w:fldChar w:fldCharType="end"/>
            </w:r>
            <w:r w:rsidRPr="00842260">
              <w:rPr>
                <w:rFonts w:ascii="Arial Narrow" w:eastAsia="Calibri" w:hAnsi="Arial Narrow"/>
                <w:sz w:val="20"/>
                <w:szCs w:val="20"/>
              </w:rPr>
              <w:t xml:space="preserve"> Authority Required (telephone/online PBS Authorities system) </w:t>
            </w:r>
          </w:p>
        </w:tc>
      </w:tr>
      <w:tr w:rsidR="00C90B7B" w:rsidRPr="00842260" w14:paraId="5658BB42"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A7ADC0C" w14:textId="77777777" w:rsidR="00C90B7B" w:rsidRPr="00842260" w:rsidRDefault="00C90B7B" w:rsidP="008F0552">
            <w:pPr>
              <w:rPr>
                <w:rFonts w:ascii="Arial Narrow" w:hAnsi="Arial Narrow"/>
                <w:b/>
                <w:sz w:val="20"/>
                <w:szCs w:val="20"/>
              </w:rPr>
            </w:pPr>
          </w:p>
        </w:tc>
      </w:tr>
      <w:tr w:rsidR="00C90B7B" w:rsidRPr="00842260" w14:paraId="6A9356C6" w14:textId="77777777" w:rsidTr="00C90B7B">
        <w:tblPrEx>
          <w:tblCellMar>
            <w:top w:w="15" w:type="dxa"/>
            <w:left w:w="15" w:type="dxa"/>
            <w:bottom w:w="15" w:type="dxa"/>
            <w:right w:w="15" w:type="dxa"/>
          </w:tblCellMar>
          <w:tblLook w:val="04A0" w:firstRow="1" w:lastRow="0" w:firstColumn="1" w:lastColumn="0" w:noHBand="0" w:noVBand="1"/>
        </w:tblPrEx>
        <w:trPr>
          <w:trHeight w:val="660"/>
        </w:trPr>
        <w:tc>
          <w:tcPr>
            <w:tcW w:w="5000" w:type="pct"/>
            <w:gridSpan w:val="6"/>
            <w:vAlign w:val="center"/>
          </w:tcPr>
          <w:p w14:paraId="1CEF85C0"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Administrative advice: </w:t>
            </w:r>
          </w:p>
          <w:p w14:paraId="2BEAD252" w14:textId="77777777" w:rsidR="00C90B7B" w:rsidRPr="00842260" w:rsidRDefault="00C90B7B" w:rsidP="008F0552">
            <w:pPr>
              <w:rPr>
                <w:rFonts w:ascii="Arial Narrow" w:hAnsi="Arial Narrow"/>
                <w:sz w:val="20"/>
                <w:szCs w:val="20"/>
              </w:rPr>
            </w:pPr>
            <w:r w:rsidRPr="00842260">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C90B7B" w:rsidRPr="00842260" w14:paraId="2ACBFE99"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Pr>
          <w:p w14:paraId="127B99E7"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Administrative advice: </w:t>
            </w:r>
            <w:r w:rsidRPr="00842260">
              <w:rPr>
                <w:rFonts w:ascii="Arial Narrow" w:hAnsi="Arial Narrow"/>
                <w:bCs/>
                <w:sz w:val="20"/>
                <w:szCs w:val="20"/>
              </w:rPr>
              <w:t>No increase in the maximum quantity or number of units may be authorised.</w:t>
            </w:r>
          </w:p>
        </w:tc>
      </w:tr>
      <w:tr w:rsidR="00C90B7B" w:rsidRPr="00842260" w14:paraId="6E8DC66A"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Pr>
          <w:p w14:paraId="42AFD511"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Administrative advice: </w:t>
            </w:r>
            <w:r w:rsidRPr="00842260">
              <w:rPr>
                <w:rFonts w:ascii="Arial Narrow" w:hAnsi="Arial Narrow"/>
                <w:bCs/>
                <w:sz w:val="20"/>
                <w:szCs w:val="20"/>
              </w:rPr>
              <w:t>No increase in the maximum number of repeats may be authorised.</w:t>
            </w:r>
          </w:p>
        </w:tc>
      </w:tr>
      <w:tr w:rsidR="00C90B7B" w:rsidRPr="00842260" w14:paraId="572C7DF1"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Pr>
          <w:p w14:paraId="605C7CCC"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Administrative advice: </w:t>
            </w:r>
            <w:r w:rsidRPr="00842260">
              <w:rPr>
                <w:rFonts w:ascii="Arial Narrow" w:hAnsi="Arial Narrow"/>
                <w:bCs/>
                <w:sz w:val="20"/>
                <w:szCs w:val="20"/>
              </w:rPr>
              <w:t>Special Pricing Arrangements apply.</w:t>
            </w:r>
          </w:p>
        </w:tc>
      </w:tr>
      <w:tr w:rsidR="00C90B7B" w:rsidRPr="00842260" w14:paraId="10E37B92"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tcPr>
          <w:p w14:paraId="4F9B38EB" w14:textId="77777777" w:rsidR="00C90B7B" w:rsidRPr="00842260" w:rsidRDefault="00C90B7B" w:rsidP="008F0552">
            <w:pPr>
              <w:rPr>
                <w:rFonts w:ascii="Arial Narrow" w:hAnsi="Arial Narrow"/>
                <w:b/>
                <w:bCs/>
                <w:sz w:val="20"/>
                <w:szCs w:val="20"/>
              </w:rPr>
            </w:pPr>
          </w:p>
        </w:tc>
      </w:tr>
      <w:tr w:rsidR="00C90B7B" w:rsidRPr="00842260" w14:paraId="3C5B3B56"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3BC5D7D" w14:textId="77777777" w:rsidR="00C90B7B" w:rsidRPr="00842260" w:rsidRDefault="00C90B7B" w:rsidP="008F0552">
            <w:pPr>
              <w:rPr>
                <w:rFonts w:ascii="Arial Narrow" w:hAnsi="Arial Narrow"/>
                <w:bCs/>
                <w:sz w:val="20"/>
                <w:szCs w:val="20"/>
              </w:rPr>
            </w:pPr>
            <w:proofErr w:type="spellStart"/>
            <w:r w:rsidRPr="00842260">
              <w:rPr>
                <w:rFonts w:ascii="Arial Narrow" w:hAnsi="Arial Narrow"/>
                <w:b/>
                <w:bCs/>
                <w:sz w:val="20"/>
                <w:szCs w:val="20"/>
              </w:rPr>
              <w:t>Episodicity</w:t>
            </w:r>
            <w:proofErr w:type="spellEnd"/>
            <w:r w:rsidRPr="00842260">
              <w:rPr>
                <w:rFonts w:ascii="Arial Narrow" w:hAnsi="Arial Narrow"/>
                <w:b/>
                <w:bCs/>
                <w:sz w:val="20"/>
                <w:szCs w:val="20"/>
              </w:rPr>
              <w:t xml:space="preserve">: </w:t>
            </w:r>
            <w:r w:rsidRPr="00842260">
              <w:rPr>
                <w:rFonts w:ascii="Arial Narrow" w:hAnsi="Arial Narrow"/>
                <w:bCs/>
                <w:sz w:val="20"/>
                <w:szCs w:val="20"/>
              </w:rPr>
              <w:t>Adjuvant treatment of</w:t>
            </w:r>
          </w:p>
        </w:tc>
      </w:tr>
      <w:tr w:rsidR="00C90B7B" w:rsidRPr="00842260" w14:paraId="51DF10CB"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72C8460"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Severity: </w:t>
            </w:r>
            <w:r w:rsidRPr="00842260">
              <w:rPr>
                <w:rFonts w:ascii="Arial Narrow" w:hAnsi="Arial Narrow"/>
                <w:bCs/>
                <w:sz w:val="20"/>
                <w:szCs w:val="20"/>
              </w:rPr>
              <w:t>early stage</w:t>
            </w:r>
          </w:p>
        </w:tc>
      </w:tr>
      <w:tr w:rsidR="00C90B7B" w:rsidRPr="00842260" w14:paraId="0B6FB0E0"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F65B222"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Condition: </w:t>
            </w:r>
            <w:r w:rsidRPr="00842260">
              <w:rPr>
                <w:rFonts w:ascii="Arial Narrow" w:hAnsi="Arial Narrow"/>
                <w:bCs/>
                <w:sz w:val="20"/>
                <w:szCs w:val="20"/>
              </w:rPr>
              <w:t>breast cancer</w:t>
            </w:r>
            <w:r w:rsidRPr="00842260">
              <w:rPr>
                <w:rFonts w:ascii="Arial Narrow" w:hAnsi="Arial Narrow"/>
                <w:b/>
                <w:bCs/>
                <w:sz w:val="20"/>
                <w:szCs w:val="20"/>
              </w:rPr>
              <w:t xml:space="preserve"> </w:t>
            </w:r>
          </w:p>
        </w:tc>
      </w:tr>
      <w:tr w:rsidR="00C90B7B" w:rsidRPr="00842260" w14:paraId="580B0885"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83F862C"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Indication:</w:t>
            </w:r>
            <w:r w:rsidRPr="00842260">
              <w:rPr>
                <w:rFonts w:ascii="Arial Narrow" w:hAnsi="Arial Narrow"/>
                <w:sz w:val="20"/>
                <w:szCs w:val="20"/>
              </w:rPr>
              <w:t xml:space="preserve"> Adjuvant treatment of </w:t>
            </w:r>
            <w:proofErr w:type="gramStart"/>
            <w:r w:rsidRPr="00842260">
              <w:rPr>
                <w:rFonts w:ascii="Arial Narrow" w:hAnsi="Arial Narrow"/>
                <w:sz w:val="20"/>
                <w:szCs w:val="20"/>
              </w:rPr>
              <w:t>early stage</w:t>
            </w:r>
            <w:proofErr w:type="gramEnd"/>
            <w:r w:rsidRPr="00842260">
              <w:rPr>
                <w:rFonts w:ascii="Arial Narrow" w:hAnsi="Arial Narrow"/>
                <w:sz w:val="20"/>
                <w:szCs w:val="20"/>
              </w:rPr>
              <w:t xml:space="preserve"> breast cancer </w:t>
            </w:r>
          </w:p>
        </w:tc>
      </w:tr>
      <w:tr w:rsidR="00C90B7B" w:rsidRPr="00842260" w14:paraId="5C7543A9"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2F1AC8C" w14:textId="77777777" w:rsidR="00C90B7B" w:rsidRPr="00842260" w:rsidRDefault="00C90B7B" w:rsidP="008F0552">
            <w:pPr>
              <w:rPr>
                <w:rFonts w:ascii="Arial Narrow" w:hAnsi="Arial Narrow"/>
                <w:b/>
                <w:bCs/>
                <w:sz w:val="20"/>
                <w:szCs w:val="20"/>
              </w:rPr>
            </w:pPr>
          </w:p>
        </w:tc>
      </w:tr>
      <w:tr w:rsidR="00C90B7B" w:rsidRPr="00842260" w14:paraId="752E23D0"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B361771"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Clinical criteria:</w:t>
            </w:r>
          </w:p>
        </w:tc>
      </w:tr>
      <w:tr w:rsidR="00C90B7B" w:rsidRPr="00842260" w14:paraId="6DC09EB8"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463A513" w14:textId="77777777" w:rsidR="00C90B7B" w:rsidRPr="00842260" w:rsidRDefault="00C90B7B" w:rsidP="008F0552">
            <w:pPr>
              <w:autoSpaceDE w:val="0"/>
              <w:autoSpaceDN w:val="0"/>
              <w:adjustRightInd w:val="0"/>
              <w:rPr>
                <w:rFonts w:ascii="Arial Narrow" w:hAnsi="Arial Narrow"/>
                <w:b/>
                <w:bCs/>
                <w:sz w:val="20"/>
                <w:szCs w:val="20"/>
              </w:rPr>
            </w:pPr>
            <w:r w:rsidRPr="00842260">
              <w:rPr>
                <w:rFonts w:ascii="Arial Narrow" w:hAnsi="Arial Narrow" w:cs="Arial Narrow"/>
                <w:iCs/>
                <w:sz w:val="20"/>
                <w:szCs w:val="20"/>
              </w:rPr>
              <w:t>The treatment must be adjuvant to surgical resection</w:t>
            </w:r>
          </w:p>
        </w:tc>
      </w:tr>
      <w:tr w:rsidR="00C90B7B" w:rsidRPr="00842260" w14:paraId="7B80C098"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F4CAC74"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AND</w:t>
            </w:r>
          </w:p>
        </w:tc>
      </w:tr>
      <w:tr w:rsidR="00C90B7B" w:rsidRPr="00842260" w14:paraId="2BD7A8F1"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298D2B1"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 xml:space="preserve">Clinical criteria: </w:t>
            </w:r>
          </w:p>
        </w:tc>
      </w:tr>
      <w:tr w:rsidR="00C90B7B" w:rsidRPr="00842260" w14:paraId="6536AB0F"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B3B18E4" w14:textId="77777777" w:rsidR="00C90B7B" w:rsidRPr="00842260" w:rsidRDefault="00C90B7B" w:rsidP="008F0552">
            <w:pPr>
              <w:rPr>
                <w:rFonts w:ascii="Arial Narrow" w:hAnsi="Arial Narrow"/>
                <w:sz w:val="20"/>
                <w:szCs w:val="20"/>
              </w:rPr>
            </w:pPr>
            <w:r w:rsidRPr="00842260">
              <w:rPr>
                <w:rFonts w:ascii="Arial Narrow" w:hAnsi="Arial Narrow" w:cs="Arial Narrow"/>
                <w:iCs/>
                <w:sz w:val="20"/>
                <w:szCs w:val="20"/>
              </w:rPr>
              <w:t>The condition must be each of: (</w:t>
            </w:r>
            <w:proofErr w:type="spellStart"/>
            <w:r w:rsidRPr="00842260">
              <w:rPr>
                <w:rFonts w:ascii="Arial Narrow" w:hAnsi="Arial Narrow" w:cs="Arial Narrow"/>
                <w:iCs/>
                <w:sz w:val="20"/>
                <w:szCs w:val="20"/>
              </w:rPr>
              <w:t>i</w:t>
            </w:r>
            <w:proofErr w:type="spellEnd"/>
            <w:r w:rsidRPr="00842260">
              <w:rPr>
                <w:rFonts w:ascii="Arial Narrow" w:hAnsi="Arial Narrow" w:cs="Arial Narrow"/>
                <w:iCs/>
                <w:sz w:val="20"/>
                <w:szCs w:val="20"/>
              </w:rPr>
              <w:t>) negative for</w:t>
            </w:r>
            <w:r w:rsidRPr="00842260">
              <w:rPr>
                <w:sz w:val="20"/>
                <w:szCs w:val="20"/>
              </w:rPr>
              <w:t xml:space="preserve"> </w:t>
            </w:r>
            <w:r w:rsidRPr="00842260">
              <w:rPr>
                <w:rFonts w:ascii="Arial Narrow" w:hAnsi="Arial Narrow" w:cs="Arial Narrow"/>
                <w:iCs/>
                <w:sz w:val="20"/>
                <w:szCs w:val="20"/>
              </w:rPr>
              <w:t xml:space="preserve">human epidermal growth factor receptor 2 (HER2) overexpression, (ii) hormone receptor positive, (iii) </w:t>
            </w:r>
            <w:proofErr w:type="gramStart"/>
            <w:r w:rsidRPr="00842260">
              <w:rPr>
                <w:rFonts w:ascii="Arial Narrow" w:hAnsi="Arial Narrow" w:cs="Arial Narrow"/>
                <w:iCs/>
                <w:sz w:val="20"/>
                <w:szCs w:val="20"/>
              </w:rPr>
              <w:t>early stage</w:t>
            </w:r>
            <w:proofErr w:type="gramEnd"/>
            <w:r w:rsidRPr="00842260">
              <w:rPr>
                <w:rFonts w:ascii="Arial Narrow" w:hAnsi="Arial Narrow" w:cs="Arial Narrow"/>
                <w:iCs/>
                <w:sz w:val="20"/>
                <w:szCs w:val="20"/>
              </w:rPr>
              <w:t xml:space="preserve"> disease (i.e. the most recent medical imaging indicates an absence of disease metastasis) </w:t>
            </w:r>
          </w:p>
        </w:tc>
      </w:tr>
      <w:tr w:rsidR="00C90B7B" w:rsidRPr="00842260" w14:paraId="1187E371"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70AB9D5"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AND</w:t>
            </w:r>
          </w:p>
        </w:tc>
      </w:tr>
      <w:tr w:rsidR="00C90B7B" w:rsidRPr="00842260" w14:paraId="5AD9A10D"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17D9C15"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Clinical criteria:</w:t>
            </w:r>
          </w:p>
        </w:tc>
      </w:tr>
      <w:tr w:rsidR="00C90B7B" w:rsidRPr="00842260" w14:paraId="53DBC8C2"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4A0474A" w14:textId="77777777" w:rsidR="00C90B7B" w:rsidRPr="00842260" w:rsidRDefault="00C90B7B" w:rsidP="008F0552">
            <w:pPr>
              <w:rPr>
                <w:rFonts w:ascii="Arial Narrow" w:hAnsi="Arial Narrow"/>
                <w:sz w:val="20"/>
                <w:szCs w:val="20"/>
              </w:rPr>
            </w:pPr>
            <w:r w:rsidRPr="00842260">
              <w:rPr>
                <w:rFonts w:ascii="Arial Narrow" w:hAnsi="Arial Narrow"/>
                <w:sz w:val="20"/>
                <w:szCs w:val="20"/>
              </w:rPr>
              <w:t xml:space="preserve">The condition must </w:t>
            </w:r>
            <w:proofErr w:type="gramStart"/>
            <w:r w:rsidRPr="00842260">
              <w:rPr>
                <w:rFonts w:ascii="Arial Narrow" w:hAnsi="Arial Narrow"/>
                <w:sz w:val="20"/>
                <w:szCs w:val="20"/>
              </w:rPr>
              <w:t>be considered to be</w:t>
            </w:r>
            <w:proofErr w:type="gramEnd"/>
            <w:r w:rsidRPr="00842260">
              <w:rPr>
                <w:rFonts w:ascii="Arial Narrow" w:hAnsi="Arial Narrow"/>
                <w:sz w:val="20"/>
                <w:szCs w:val="20"/>
              </w:rPr>
              <w:t xml:space="preserve"> of high risk of recurrence at treatment initiation with this drug, with high risk being any of: (a) cancer cells in at least 4 positive axillary lymph nodes, (b) cancer cells in 1 to 3 positive axillary lymph nodes plus at least one of: (</w:t>
            </w:r>
            <w:proofErr w:type="spellStart"/>
            <w:r w:rsidRPr="00842260">
              <w:rPr>
                <w:rFonts w:ascii="Arial Narrow" w:hAnsi="Arial Narrow"/>
                <w:sz w:val="20"/>
                <w:szCs w:val="20"/>
              </w:rPr>
              <w:t>i</w:t>
            </w:r>
            <w:proofErr w:type="spellEnd"/>
            <w:r w:rsidRPr="00842260">
              <w:rPr>
                <w:rFonts w:ascii="Arial Narrow" w:hAnsi="Arial Narrow"/>
                <w:sz w:val="20"/>
                <w:szCs w:val="20"/>
              </w:rPr>
              <w:t>) tumour size of greater than 5 cm, (ii) tumour histological grading of at least 3</w:t>
            </w:r>
          </w:p>
        </w:tc>
      </w:tr>
      <w:tr w:rsidR="00C90B7B" w:rsidRPr="00842260" w14:paraId="4779F17F"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6D57F1B"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AND</w:t>
            </w:r>
          </w:p>
        </w:tc>
      </w:tr>
      <w:tr w:rsidR="00C90B7B" w:rsidRPr="00842260" w14:paraId="00064831"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3E414FF"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Clinical criteria:</w:t>
            </w:r>
          </w:p>
        </w:tc>
      </w:tr>
      <w:tr w:rsidR="00C90B7B" w:rsidRPr="00842260" w14:paraId="03F6DE64"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B151C98" w14:textId="77777777" w:rsidR="00C90B7B" w:rsidRPr="00842260" w:rsidRDefault="00C90B7B" w:rsidP="008F0552">
            <w:pPr>
              <w:rPr>
                <w:rFonts w:ascii="Arial Narrow" w:hAnsi="Arial Narrow"/>
                <w:sz w:val="20"/>
                <w:szCs w:val="20"/>
              </w:rPr>
            </w:pPr>
            <w:r w:rsidRPr="00842260">
              <w:rPr>
                <w:rFonts w:ascii="Arial Narrow" w:hAnsi="Arial Narrow"/>
                <w:sz w:val="20"/>
                <w:szCs w:val="20"/>
              </w:rPr>
              <w:t>The treatment must not be a PBS-subsidised benefit beyond whichever comes first: (</w:t>
            </w:r>
            <w:proofErr w:type="spellStart"/>
            <w:r w:rsidRPr="00842260">
              <w:rPr>
                <w:rFonts w:ascii="Arial Narrow" w:hAnsi="Arial Narrow"/>
                <w:sz w:val="20"/>
                <w:szCs w:val="20"/>
              </w:rPr>
              <w:t>i</w:t>
            </w:r>
            <w:proofErr w:type="spellEnd"/>
            <w:r w:rsidRPr="00842260">
              <w:rPr>
                <w:rFonts w:ascii="Arial Narrow" w:hAnsi="Arial Narrow"/>
                <w:sz w:val="20"/>
                <w:szCs w:val="20"/>
              </w:rPr>
              <w:t xml:space="preserve">) week 104 of treatment in accordance with the Product Information, (ii) disease recurrence/progression </w:t>
            </w:r>
          </w:p>
        </w:tc>
      </w:tr>
      <w:tr w:rsidR="00C90B7B" w:rsidRPr="00842260" w14:paraId="70ADCD4F"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E4B0FE7" w14:textId="77777777" w:rsidR="00C90B7B" w:rsidRPr="00842260" w:rsidRDefault="00C90B7B" w:rsidP="008F0552">
            <w:pPr>
              <w:rPr>
                <w:rFonts w:ascii="Arial Narrow" w:hAnsi="Arial Narrow"/>
                <w:sz w:val="20"/>
                <w:szCs w:val="20"/>
              </w:rPr>
            </w:pPr>
          </w:p>
        </w:tc>
      </w:tr>
      <w:tr w:rsidR="00C90B7B" w:rsidRPr="00842260" w14:paraId="6EBC2192"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B588A3D" w14:textId="77777777" w:rsidR="00C90B7B" w:rsidRPr="00842260" w:rsidRDefault="00C90B7B" w:rsidP="008F0552">
            <w:pPr>
              <w:rPr>
                <w:rFonts w:ascii="Arial Narrow" w:hAnsi="Arial Narrow"/>
                <w:sz w:val="20"/>
                <w:szCs w:val="20"/>
              </w:rPr>
            </w:pPr>
            <w:r w:rsidRPr="00842260">
              <w:rPr>
                <w:rFonts w:ascii="Arial Narrow" w:hAnsi="Arial Narrow"/>
                <w:b/>
                <w:bCs/>
                <w:sz w:val="20"/>
                <w:szCs w:val="20"/>
              </w:rPr>
              <w:t>Treatment criteria:</w:t>
            </w:r>
          </w:p>
        </w:tc>
      </w:tr>
      <w:tr w:rsidR="00C90B7B" w:rsidRPr="00842260" w14:paraId="1E1F4FBB"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6F05CA8" w14:textId="77777777" w:rsidR="00C90B7B" w:rsidRPr="00842260" w:rsidRDefault="00C90B7B" w:rsidP="008F0552">
            <w:pPr>
              <w:rPr>
                <w:rFonts w:ascii="Arial Narrow" w:hAnsi="Arial Narrow"/>
                <w:sz w:val="20"/>
                <w:szCs w:val="20"/>
              </w:rPr>
            </w:pPr>
            <w:r w:rsidRPr="00842260">
              <w:rPr>
                <w:rFonts w:ascii="Arial Narrow" w:hAnsi="Arial Narrow"/>
                <w:sz w:val="20"/>
                <w:szCs w:val="20"/>
              </w:rPr>
              <w:t>Patient must be undergoing concurrent treatment with endocrine therapy</w:t>
            </w:r>
          </w:p>
        </w:tc>
      </w:tr>
      <w:tr w:rsidR="00C90B7B" w:rsidRPr="00842260" w14:paraId="1586C2DC"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CB5623E" w14:textId="77777777" w:rsidR="00C90B7B" w:rsidRPr="00842260" w:rsidRDefault="00C90B7B" w:rsidP="008F0552">
            <w:pPr>
              <w:rPr>
                <w:rFonts w:ascii="Arial Narrow" w:hAnsi="Arial Narrow"/>
                <w:sz w:val="20"/>
                <w:szCs w:val="20"/>
              </w:rPr>
            </w:pPr>
          </w:p>
        </w:tc>
      </w:tr>
      <w:tr w:rsidR="00C90B7B" w:rsidRPr="00842260" w14:paraId="29C27DA3" w14:textId="77777777" w:rsidTr="00C90B7B">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680E7E55" w14:textId="77777777" w:rsidR="00C90B7B" w:rsidRPr="00842260" w:rsidRDefault="00C90B7B" w:rsidP="008F0552">
            <w:pPr>
              <w:rPr>
                <w:rFonts w:ascii="Arial Narrow" w:hAnsi="Arial Narrow"/>
                <w:b/>
                <w:bCs/>
                <w:sz w:val="20"/>
                <w:szCs w:val="20"/>
              </w:rPr>
            </w:pPr>
            <w:r w:rsidRPr="00842260">
              <w:rPr>
                <w:rFonts w:ascii="Arial Narrow" w:hAnsi="Arial Narrow"/>
                <w:b/>
                <w:bCs/>
                <w:sz w:val="20"/>
                <w:szCs w:val="20"/>
              </w:rPr>
              <w:t xml:space="preserve">Prescribing Instructions: </w:t>
            </w:r>
          </w:p>
          <w:p w14:paraId="0F1167A9" w14:textId="77777777" w:rsidR="00C90B7B" w:rsidRPr="00842260" w:rsidRDefault="00C90B7B" w:rsidP="008F0552">
            <w:pPr>
              <w:rPr>
                <w:rFonts w:ascii="Arial Narrow" w:hAnsi="Arial Narrow"/>
                <w:sz w:val="20"/>
                <w:szCs w:val="20"/>
              </w:rPr>
            </w:pPr>
            <w:r w:rsidRPr="00842260">
              <w:rPr>
                <w:rFonts w:ascii="Arial Narrow" w:hAnsi="Arial Narrow"/>
                <w:sz w:val="20"/>
                <w:szCs w:val="20"/>
              </w:rPr>
              <w:t>Retain all pathology imaging and investigative test results in the patient’s medical records. Do not submit copies of these as part of the authority application.</w:t>
            </w:r>
          </w:p>
        </w:tc>
      </w:tr>
    </w:tbl>
    <w:p w14:paraId="13A8D179" w14:textId="77777777" w:rsidR="00D32343" w:rsidRPr="00842260" w:rsidRDefault="00D32343" w:rsidP="00D32343">
      <w:pPr>
        <w:pStyle w:val="3-BodyText"/>
        <w:numPr>
          <w:ilvl w:val="0"/>
          <w:numId w:val="0"/>
        </w:numPr>
        <w:ind w:left="720" w:hanging="720"/>
        <w:rPr>
          <w:iCs/>
        </w:rPr>
      </w:pPr>
    </w:p>
    <w:p w14:paraId="4C09C14A" w14:textId="1EF68EE1" w:rsidR="00235544" w:rsidRPr="00842260" w:rsidRDefault="009D4088" w:rsidP="00235544">
      <w:pPr>
        <w:pStyle w:val="3-BodyText"/>
        <w:rPr>
          <w:iCs/>
        </w:rPr>
      </w:pPr>
      <w:r w:rsidRPr="00842260">
        <w:rPr>
          <w:iCs/>
        </w:rPr>
        <w:lastRenderedPageBreak/>
        <w:t xml:space="preserve">The submission proposed </w:t>
      </w:r>
      <w:r w:rsidR="00235544" w:rsidRPr="00842260">
        <w:rPr>
          <w:iCs/>
        </w:rPr>
        <w:t>a</w:t>
      </w:r>
      <w:r w:rsidRPr="00842260">
        <w:rPr>
          <w:iCs/>
        </w:rPr>
        <w:t xml:space="preserve"> grandfathering</w:t>
      </w:r>
      <w:r w:rsidR="00235544" w:rsidRPr="00842260">
        <w:rPr>
          <w:iCs/>
        </w:rPr>
        <w:t xml:space="preserve"> clause to include</w:t>
      </w:r>
      <w:r w:rsidRPr="00842260">
        <w:rPr>
          <w:iCs/>
        </w:rPr>
        <w:t xml:space="preserve"> </w:t>
      </w:r>
      <w:r w:rsidR="00FF42FB" w:rsidRPr="00842260">
        <w:rPr>
          <w:iCs/>
        </w:rPr>
        <w:t>500 patients that will be enrolled to an early p</w:t>
      </w:r>
      <w:r w:rsidR="00235544" w:rsidRPr="00842260">
        <w:rPr>
          <w:iCs/>
        </w:rPr>
        <w:t>atient familiarisation program</w:t>
      </w:r>
      <w:r w:rsidRPr="00842260">
        <w:rPr>
          <w:iCs/>
        </w:rPr>
        <w:t>.</w:t>
      </w:r>
      <w:r w:rsidR="00235544" w:rsidRPr="00842260">
        <w:rPr>
          <w:iCs/>
        </w:rPr>
        <w:t xml:space="preserve"> As described in paragraph 3.1, the requested</w:t>
      </w:r>
      <w:r w:rsidRPr="00842260">
        <w:rPr>
          <w:iCs/>
        </w:rPr>
        <w:t xml:space="preserve"> </w:t>
      </w:r>
      <w:r w:rsidR="00235544" w:rsidRPr="00842260">
        <w:rPr>
          <w:iCs/>
        </w:rPr>
        <w:t>initial, continuing and grandfather restrictions could be combined into a single treatment phase.</w:t>
      </w:r>
    </w:p>
    <w:p w14:paraId="2801C09C" w14:textId="7578083A" w:rsidR="00EF53BC" w:rsidRPr="00842260" w:rsidRDefault="009801A6" w:rsidP="00235544">
      <w:pPr>
        <w:pStyle w:val="3-BodyText"/>
        <w:rPr>
          <w:iCs/>
        </w:rPr>
      </w:pPr>
      <w:r w:rsidRPr="00842260">
        <w:rPr>
          <w:iCs/>
        </w:rPr>
        <w:t>A special pricing arrangement (SPA) was proposed in the submission.</w:t>
      </w:r>
    </w:p>
    <w:p w14:paraId="34DD63E6" w14:textId="604AD677" w:rsidR="0034756F" w:rsidRPr="00842260" w:rsidRDefault="00FF42FB" w:rsidP="000D570D">
      <w:pPr>
        <w:pStyle w:val="3-BodyText"/>
        <w:rPr>
          <w:iCs/>
        </w:rPr>
      </w:pPr>
      <w:r w:rsidRPr="00842260">
        <w:rPr>
          <w:iCs/>
        </w:rPr>
        <w:t>The restriction wa</w:t>
      </w:r>
      <w:r w:rsidR="00EF53BC" w:rsidRPr="00842260">
        <w:rPr>
          <w:iCs/>
        </w:rPr>
        <w:t xml:space="preserve">s relatively consistent with the </w:t>
      </w:r>
      <w:r w:rsidRPr="00842260">
        <w:rPr>
          <w:iCs/>
        </w:rPr>
        <w:t xml:space="preserve">predominant subgroup of the </w:t>
      </w:r>
      <w:r w:rsidR="001C29C5" w:rsidRPr="00842260">
        <w:rPr>
          <w:iCs/>
        </w:rPr>
        <w:t xml:space="preserve">key </w:t>
      </w:r>
      <w:proofErr w:type="spellStart"/>
      <w:r w:rsidR="00EF53BC" w:rsidRPr="00842260">
        <w:rPr>
          <w:iCs/>
        </w:rPr>
        <w:t>monarchE</w:t>
      </w:r>
      <w:proofErr w:type="spellEnd"/>
      <w:r w:rsidR="00EF53BC" w:rsidRPr="00842260">
        <w:rPr>
          <w:iCs/>
        </w:rPr>
        <w:t xml:space="preserve"> tri</w:t>
      </w:r>
      <w:r w:rsidRPr="00842260">
        <w:rPr>
          <w:iCs/>
        </w:rPr>
        <w:t>al (Cohort 1), which constituted</w:t>
      </w:r>
      <w:r w:rsidR="00EF53BC" w:rsidRPr="00842260">
        <w:rPr>
          <w:iCs/>
        </w:rPr>
        <w:t xml:space="preserve"> 90.8% of the</w:t>
      </w:r>
      <w:r w:rsidR="0037416D" w:rsidRPr="00842260">
        <w:rPr>
          <w:iCs/>
        </w:rPr>
        <w:t xml:space="preserve"> intention-to-treat</w:t>
      </w:r>
      <w:r w:rsidR="00EF53BC" w:rsidRPr="00842260">
        <w:rPr>
          <w:iCs/>
        </w:rPr>
        <w:t xml:space="preserve"> </w:t>
      </w:r>
      <w:r w:rsidR="0037416D" w:rsidRPr="00842260">
        <w:rPr>
          <w:iCs/>
        </w:rPr>
        <w:t>(</w:t>
      </w:r>
      <w:r w:rsidR="00EF53BC" w:rsidRPr="00842260">
        <w:rPr>
          <w:iCs/>
        </w:rPr>
        <w:t>ITT</w:t>
      </w:r>
      <w:r w:rsidR="0037416D" w:rsidRPr="00842260">
        <w:rPr>
          <w:iCs/>
        </w:rPr>
        <w:t>)</w:t>
      </w:r>
      <w:r w:rsidR="000D570D" w:rsidRPr="00842260">
        <w:rPr>
          <w:iCs/>
        </w:rPr>
        <w:t xml:space="preserve"> population.</w:t>
      </w:r>
    </w:p>
    <w:p w14:paraId="5FC2C03A" w14:textId="3E71566A" w:rsidR="002E656F" w:rsidRPr="00842260" w:rsidRDefault="004B4586" w:rsidP="004863BA">
      <w:pPr>
        <w:pStyle w:val="3-BodyText"/>
      </w:pPr>
      <w:r w:rsidRPr="00842260">
        <w:t xml:space="preserve">Eligible patients in the </w:t>
      </w:r>
      <w:proofErr w:type="spellStart"/>
      <w:r w:rsidRPr="00842260">
        <w:rPr>
          <w:rFonts w:cstheme="minorHAnsi"/>
        </w:rPr>
        <w:t>monarchE</w:t>
      </w:r>
      <w:proofErr w:type="spellEnd"/>
      <w:r w:rsidR="001C29C5" w:rsidRPr="00842260">
        <w:rPr>
          <w:rFonts w:cstheme="minorHAnsi"/>
        </w:rPr>
        <w:t xml:space="preserve"> trial</w:t>
      </w:r>
      <w:r w:rsidRPr="00842260">
        <w:t xml:space="preserve"> were required</w:t>
      </w:r>
      <w:r w:rsidR="009E32B7" w:rsidRPr="00842260">
        <w:t xml:space="preserve"> to satisfy</w:t>
      </w:r>
      <w:r w:rsidRPr="00842260">
        <w:t xml:space="preserve"> specific criteria with respect to lymph node involvement, translating into a high risk of recurrence</w:t>
      </w:r>
      <w:r w:rsidR="009E32B7" w:rsidRPr="00842260">
        <w:t>. The submission proposed restriction criteria consistent with the trial population (</w:t>
      </w:r>
      <w:r w:rsidR="004863BA" w:rsidRPr="00842260">
        <w:t>patients at high risk of recurrence based on having 4 or more positive lymph nodes or having 1 to 3 positive lymph nodes in addition to a tumour ≥5 cm or a histological grade ≥3</w:t>
      </w:r>
      <w:r w:rsidR="00DD0134" w:rsidRPr="00842260">
        <w:t>)</w:t>
      </w:r>
      <w:r w:rsidR="009E32B7" w:rsidRPr="00842260">
        <w:t xml:space="preserve"> </w:t>
      </w:r>
      <w:r w:rsidRPr="00842260">
        <w:t xml:space="preserve">but </w:t>
      </w:r>
      <w:r w:rsidR="009E32B7" w:rsidRPr="00842260">
        <w:t>did not define</w:t>
      </w:r>
      <w:r w:rsidRPr="00842260">
        <w:t xml:space="preserve"> a</w:t>
      </w:r>
      <w:r w:rsidR="009E32B7" w:rsidRPr="00842260">
        <w:t xml:space="preserve"> cell proliferation rate</w:t>
      </w:r>
      <w:r w:rsidRPr="00842260">
        <w:t xml:space="preserve"> </w:t>
      </w:r>
      <w:r w:rsidR="009E32B7" w:rsidRPr="00842260">
        <w:t>(Ki</w:t>
      </w:r>
      <w:r w:rsidR="009E32B7" w:rsidRPr="00842260">
        <w:noBreakHyphen/>
      </w:r>
      <w:r w:rsidRPr="00842260">
        <w:t>67 index</w:t>
      </w:r>
      <w:r w:rsidR="009E32B7" w:rsidRPr="00842260">
        <w:t>)</w:t>
      </w:r>
      <w:r w:rsidRPr="00842260">
        <w:t xml:space="preserve"> threshold.</w:t>
      </w:r>
      <w:r w:rsidR="004863BA" w:rsidRPr="00842260">
        <w:t xml:space="preserve"> </w:t>
      </w:r>
      <w:r w:rsidR="00435B01" w:rsidRPr="00842260">
        <w:rPr>
          <w:rFonts w:eastAsia="Calibri" w:cstheme="minorHAnsi"/>
        </w:rPr>
        <w:t>The</w:t>
      </w:r>
      <w:r w:rsidR="00A43BE4" w:rsidRPr="00842260">
        <w:rPr>
          <w:rFonts w:eastAsia="Calibri" w:cstheme="minorHAnsi"/>
        </w:rPr>
        <w:t xml:space="preserve"> PBAC agreed with the</w:t>
      </w:r>
      <w:r w:rsidR="00435B01" w:rsidRPr="00842260">
        <w:rPr>
          <w:rFonts w:eastAsia="Calibri" w:cstheme="minorHAnsi"/>
        </w:rPr>
        <w:t xml:space="preserve"> ESC that the methodology for Ki-67 scoring may not be sufficiently validated in Australia to allow inclusion in the restriction criteria, either (1) as a required eligibility criterion, or (2) to expand eligibility to patients with 1 to 3 positive lymph nodes who do not qualify for </w:t>
      </w:r>
      <w:proofErr w:type="spellStart"/>
      <w:r w:rsidR="00435B01" w:rsidRPr="00842260">
        <w:rPr>
          <w:rFonts w:eastAsia="Calibri" w:cstheme="minorHAnsi"/>
        </w:rPr>
        <w:t>abemaciclib</w:t>
      </w:r>
      <w:proofErr w:type="spellEnd"/>
      <w:r w:rsidR="00435B01" w:rsidRPr="00842260">
        <w:rPr>
          <w:rFonts w:eastAsia="Calibri" w:cstheme="minorHAnsi"/>
        </w:rPr>
        <w:t xml:space="preserve"> according to tumour size or histological grade.</w:t>
      </w:r>
    </w:p>
    <w:p w14:paraId="34D47836" w14:textId="5FC04D18" w:rsidR="00A11470" w:rsidRPr="00842260" w:rsidRDefault="004863BA" w:rsidP="000D570D">
      <w:pPr>
        <w:pStyle w:val="3-BodyText"/>
      </w:pPr>
      <w:r w:rsidRPr="00842260">
        <w:t xml:space="preserve">The ESC considered that the proposed restriction was </w:t>
      </w:r>
      <w:r w:rsidR="001C29C5" w:rsidRPr="00842260">
        <w:rPr>
          <w:rFonts w:ascii="Calibri" w:hAnsi="Calibri"/>
          <w:bCs/>
          <w:iCs/>
        </w:rPr>
        <w:t xml:space="preserve">appropriately narrower than </w:t>
      </w:r>
      <w:r w:rsidRPr="00842260">
        <w:t>the proposed TGA indication (HR+, HER2-, node-positive early breast cancer at high risk of recurrence [paragraph 2.2])</w:t>
      </w:r>
      <w:r w:rsidR="001C29C5" w:rsidRPr="00842260">
        <w:t xml:space="preserve">. </w:t>
      </w:r>
      <w:r w:rsidRPr="00842260">
        <w:rPr>
          <w:rFonts w:ascii="Calibri" w:hAnsi="Calibri"/>
          <w:bCs/>
          <w:iCs/>
        </w:rPr>
        <w:t>The</w:t>
      </w:r>
      <w:r w:rsidR="000D570D" w:rsidRPr="00842260">
        <w:rPr>
          <w:rFonts w:ascii="Calibri" w:hAnsi="Calibri"/>
          <w:bCs/>
          <w:iCs/>
        </w:rPr>
        <w:t xml:space="preserve"> PBAC agreed with the</w:t>
      </w:r>
      <w:r w:rsidRPr="00842260">
        <w:rPr>
          <w:rFonts w:ascii="Calibri" w:hAnsi="Calibri"/>
          <w:bCs/>
          <w:iCs/>
        </w:rPr>
        <w:t xml:space="preserve"> ESC that a definition of high risk is required,</w:t>
      </w:r>
      <w:r w:rsidR="00DD0134" w:rsidRPr="00842260">
        <w:rPr>
          <w:rFonts w:ascii="Calibri" w:hAnsi="Calibri"/>
          <w:bCs/>
          <w:iCs/>
        </w:rPr>
        <w:t xml:space="preserve"> as per the requested restriction,</w:t>
      </w:r>
      <w:r w:rsidRPr="00842260">
        <w:rPr>
          <w:rFonts w:ascii="Calibri" w:hAnsi="Calibri"/>
          <w:bCs/>
          <w:iCs/>
        </w:rPr>
        <w:t xml:space="preserve"> or there </w:t>
      </w:r>
      <w:r w:rsidR="001C29C5" w:rsidRPr="00842260">
        <w:rPr>
          <w:rFonts w:ascii="Calibri" w:hAnsi="Calibri"/>
          <w:bCs/>
          <w:iCs/>
        </w:rPr>
        <w:t>may</w:t>
      </w:r>
      <w:r w:rsidRPr="00842260">
        <w:rPr>
          <w:rFonts w:ascii="Calibri" w:hAnsi="Calibri"/>
          <w:bCs/>
          <w:iCs/>
        </w:rPr>
        <w:t xml:space="preserve"> be significant </w:t>
      </w:r>
      <w:r w:rsidR="00812566" w:rsidRPr="00842260">
        <w:rPr>
          <w:rFonts w:ascii="Calibri" w:hAnsi="Calibri"/>
          <w:bCs/>
          <w:iCs/>
        </w:rPr>
        <w:t>use outside the restriction in</w:t>
      </w:r>
      <w:r w:rsidRPr="00842260">
        <w:rPr>
          <w:rFonts w:ascii="Calibri" w:hAnsi="Calibri"/>
          <w:bCs/>
          <w:iCs/>
        </w:rPr>
        <w:t xml:space="preserve"> lower risk </w:t>
      </w:r>
      <w:r w:rsidR="00A43419" w:rsidRPr="00842260">
        <w:rPr>
          <w:rFonts w:ascii="Calibri" w:hAnsi="Calibri"/>
          <w:bCs/>
          <w:iCs/>
        </w:rPr>
        <w:t xml:space="preserve">patients </w:t>
      </w:r>
      <w:r w:rsidRPr="00842260">
        <w:rPr>
          <w:rFonts w:ascii="Calibri" w:hAnsi="Calibri"/>
          <w:bCs/>
          <w:iCs/>
        </w:rPr>
        <w:t>who are unlikely to benefit.</w:t>
      </w:r>
      <w:r w:rsidRPr="00842260">
        <w:t xml:space="preserve"> </w:t>
      </w:r>
    </w:p>
    <w:p w14:paraId="66D67CE4" w14:textId="3F5078D8" w:rsidR="007B60BC" w:rsidRPr="00842260" w:rsidRDefault="007B60BC" w:rsidP="000D570D">
      <w:pPr>
        <w:pStyle w:val="3-BodyText"/>
        <w:numPr>
          <w:ilvl w:val="0"/>
          <w:numId w:val="0"/>
        </w:numPr>
        <w:ind w:left="720"/>
        <w:rPr>
          <w:i/>
          <w:iCs/>
        </w:rPr>
      </w:pPr>
      <w:r w:rsidRPr="00842260">
        <w:rPr>
          <w:i/>
          <w:iCs/>
        </w:rPr>
        <w:t>For more detail on PBAC’s view, see section 7 PBAC outcome.</w:t>
      </w:r>
    </w:p>
    <w:p w14:paraId="7075B85C" w14:textId="1655A25A" w:rsidR="00B50DB8" w:rsidRPr="00842260" w:rsidRDefault="00203181" w:rsidP="004E18E9">
      <w:pPr>
        <w:pStyle w:val="2-SectionHeading"/>
      </w:pPr>
      <w:bookmarkStart w:id="10" w:name="_Toc93502899"/>
      <w:r w:rsidRPr="00842260">
        <w:t xml:space="preserve">Population and </w:t>
      </w:r>
      <w:r w:rsidR="008E0D3C" w:rsidRPr="00842260">
        <w:t>d</w:t>
      </w:r>
      <w:r w:rsidRPr="00842260">
        <w:t>isease</w:t>
      </w:r>
      <w:bookmarkEnd w:id="10"/>
    </w:p>
    <w:p w14:paraId="39D6BFB3" w14:textId="3C28185C" w:rsidR="00814EA4" w:rsidRPr="00842260" w:rsidRDefault="00814EA4" w:rsidP="00814EA4">
      <w:pPr>
        <w:pStyle w:val="3-BodyText"/>
        <w:rPr>
          <w:color w:val="0066FF"/>
        </w:rPr>
      </w:pPr>
      <w:r w:rsidRPr="00842260">
        <w:t xml:space="preserve">The population proposed to be eligible for </w:t>
      </w:r>
      <w:proofErr w:type="spellStart"/>
      <w:r w:rsidRPr="00842260">
        <w:t>abemaciclib</w:t>
      </w:r>
      <w:proofErr w:type="spellEnd"/>
      <w:r w:rsidRPr="00842260">
        <w:t xml:space="preserve"> are those with HR+, HER2-, lymph node positive, invasive, </w:t>
      </w:r>
      <w:proofErr w:type="gramStart"/>
      <w:r w:rsidRPr="00842260">
        <w:t>early</w:t>
      </w:r>
      <w:r w:rsidR="005457D0" w:rsidRPr="00842260">
        <w:t xml:space="preserve"> stage</w:t>
      </w:r>
      <w:proofErr w:type="gramEnd"/>
      <w:r w:rsidRPr="00842260">
        <w:t xml:space="preserve"> breast cancer (stages 1</w:t>
      </w:r>
      <w:r w:rsidR="00DA7129" w:rsidRPr="00842260">
        <w:rPr>
          <w:rFonts w:cstheme="minorHAnsi"/>
        </w:rPr>
        <w:t>−</w:t>
      </w:r>
      <w:r w:rsidRPr="00842260">
        <w:t>3), at high risk of recurrence. In Australia, breast cancer is the most common type of cancer in women and the second most common cause of cancer-related death in women</w:t>
      </w:r>
      <w:r w:rsidR="00215A1D" w:rsidRPr="00842260">
        <w:rPr>
          <w:rStyle w:val="FootnoteReference"/>
        </w:rPr>
        <w:footnoteReference w:id="1"/>
      </w:r>
      <w:r w:rsidRPr="00842260">
        <w:t xml:space="preserve">. </w:t>
      </w:r>
      <w:proofErr w:type="gramStart"/>
      <w:r w:rsidRPr="00842260">
        <w:t>The majority of</w:t>
      </w:r>
      <w:proofErr w:type="gramEnd"/>
      <w:r w:rsidRPr="00842260">
        <w:t xml:space="preserve"> breast cancer </w:t>
      </w:r>
      <w:r w:rsidR="007B7A17" w:rsidRPr="00842260">
        <w:t xml:space="preserve">cases </w:t>
      </w:r>
      <w:r w:rsidR="00C0138A" w:rsidRPr="00842260">
        <w:t>are</w:t>
      </w:r>
      <w:r w:rsidR="007B7A17" w:rsidRPr="00842260">
        <w:t xml:space="preserve"> diagnosed at</w:t>
      </w:r>
      <w:r w:rsidRPr="00842260">
        <w:t xml:space="preserve"> an early stage (95%)</w:t>
      </w:r>
      <w:r w:rsidR="00C9005D" w:rsidRPr="00842260">
        <w:t>,</w:t>
      </w:r>
      <w:r w:rsidR="00215A1D" w:rsidRPr="00842260">
        <w:rPr>
          <w:vertAlign w:val="superscript"/>
        </w:rPr>
        <w:t xml:space="preserve"> </w:t>
      </w:r>
      <w:r w:rsidRPr="00842260">
        <w:t>and HR+ HER</w:t>
      </w:r>
      <w:r w:rsidR="00C213DD" w:rsidRPr="00842260">
        <w:t>2</w:t>
      </w:r>
      <w:r w:rsidR="007B7A17" w:rsidRPr="00842260">
        <w:t>- breast cancer remains</w:t>
      </w:r>
      <w:r w:rsidRPr="00842260">
        <w:t xml:space="preserve"> the most common subtype, accounting for 70% of cases</w:t>
      </w:r>
      <w:r w:rsidR="00215A1D" w:rsidRPr="00842260">
        <w:rPr>
          <w:rStyle w:val="FootnoteReference"/>
        </w:rPr>
        <w:footnoteReference w:id="2"/>
      </w:r>
      <w:r w:rsidR="00215A1D" w:rsidRPr="00842260">
        <w:t>.</w:t>
      </w:r>
    </w:p>
    <w:p w14:paraId="2BAB6D6E" w14:textId="628A9F3A" w:rsidR="002E6487" w:rsidRPr="00842260" w:rsidRDefault="002E6487" w:rsidP="00814EA4">
      <w:pPr>
        <w:pStyle w:val="3-BodyText"/>
        <w:rPr>
          <w:color w:val="0066FF"/>
        </w:rPr>
      </w:pPr>
      <w:r w:rsidRPr="00842260">
        <w:lastRenderedPageBreak/>
        <w:t xml:space="preserve">Approximately </w:t>
      </w:r>
      <w:r w:rsidR="008809C1" w:rsidRPr="00842260">
        <w:t xml:space="preserve">30% of </w:t>
      </w:r>
      <w:r w:rsidR="00EE0BC2" w:rsidRPr="00842260">
        <w:rPr>
          <w:iCs/>
        </w:rPr>
        <w:t xml:space="preserve">all </w:t>
      </w:r>
      <w:r w:rsidR="008809C1" w:rsidRPr="00842260">
        <w:t xml:space="preserve">patients </w:t>
      </w:r>
      <w:r w:rsidR="00EE0BC2" w:rsidRPr="00842260">
        <w:rPr>
          <w:iCs/>
        </w:rPr>
        <w:t>diagnosed in the</w:t>
      </w:r>
      <w:r w:rsidR="00EE0BC2" w:rsidRPr="00842260">
        <w:t xml:space="preserve"> </w:t>
      </w:r>
      <w:r w:rsidR="008809C1" w:rsidRPr="00842260">
        <w:t>early</w:t>
      </w:r>
      <w:r w:rsidR="00EE0BC2" w:rsidRPr="00842260">
        <w:t xml:space="preserve"> </w:t>
      </w:r>
      <w:r w:rsidR="00EE0BC2" w:rsidRPr="00842260">
        <w:rPr>
          <w:iCs/>
        </w:rPr>
        <w:t>stages of</w:t>
      </w:r>
      <w:r w:rsidR="008809C1" w:rsidRPr="00842260">
        <w:t xml:space="preserve"> breast cancer experience recurrence at some </w:t>
      </w:r>
      <w:r w:rsidR="007B7A17" w:rsidRPr="00842260">
        <w:t xml:space="preserve">time </w:t>
      </w:r>
      <w:r w:rsidR="008809C1" w:rsidRPr="00842260">
        <w:t>point</w:t>
      </w:r>
      <w:r w:rsidR="00215A1D" w:rsidRPr="00842260">
        <w:rPr>
          <w:rStyle w:val="FootnoteReference"/>
        </w:rPr>
        <w:footnoteReference w:id="3"/>
      </w:r>
      <w:r w:rsidR="00215A1D" w:rsidRPr="00842260">
        <w:t xml:space="preserve">. </w:t>
      </w:r>
      <w:r w:rsidR="008809C1" w:rsidRPr="00842260">
        <w:rPr>
          <w:rFonts w:eastAsia="Calibri" w:cs="Calibri"/>
        </w:rPr>
        <w:t>The submission propos</w:t>
      </w:r>
      <w:r w:rsidR="007B7A17" w:rsidRPr="00842260">
        <w:rPr>
          <w:rFonts w:eastAsia="Calibri" w:cs="Calibri"/>
        </w:rPr>
        <w:t>ed</w:t>
      </w:r>
      <w:r w:rsidR="008809C1" w:rsidRPr="00842260">
        <w:rPr>
          <w:rFonts w:eastAsia="Calibri" w:cs="Calibri"/>
        </w:rPr>
        <w:t xml:space="preserve"> listing of </w:t>
      </w:r>
      <w:proofErr w:type="spellStart"/>
      <w:r w:rsidR="008809C1" w:rsidRPr="00842260">
        <w:rPr>
          <w:rFonts w:eastAsia="Calibri" w:cs="Calibri"/>
        </w:rPr>
        <w:t>abemaciclib</w:t>
      </w:r>
      <w:proofErr w:type="spellEnd"/>
      <w:r w:rsidR="008809C1" w:rsidRPr="00842260">
        <w:rPr>
          <w:rFonts w:eastAsia="Calibri" w:cs="Calibri"/>
        </w:rPr>
        <w:t xml:space="preserve"> in those classified as being at high risk of recurrence based on having 4 or more positive lymph </w:t>
      </w:r>
      <w:proofErr w:type="gramStart"/>
      <w:r w:rsidR="008809C1" w:rsidRPr="00842260">
        <w:rPr>
          <w:rFonts w:eastAsia="Calibri" w:cs="Calibri"/>
        </w:rPr>
        <w:t>nodes,</w:t>
      </w:r>
      <w:r w:rsidR="00111DF8">
        <w:rPr>
          <w:rFonts w:eastAsia="Calibri" w:cs="Calibri"/>
        </w:rPr>
        <w:t xml:space="preserve"> </w:t>
      </w:r>
      <w:r w:rsidR="008809C1" w:rsidRPr="00842260">
        <w:rPr>
          <w:rFonts w:eastAsia="Calibri" w:cs="Calibri"/>
        </w:rPr>
        <w:t>or</w:t>
      </w:r>
      <w:proofErr w:type="gramEnd"/>
      <w:r w:rsidR="008809C1" w:rsidRPr="00842260">
        <w:rPr>
          <w:rFonts w:eastAsia="Calibri" w:cs="Calibri"/>
        </w:rPr>
        <w:t xml:space="preserve"> having 1 to 3 positive lymph nodes in addition to a tumour </w:t>
      </w:r>
      <w:r w:rsidR="00B659C5">
        <w:rPr>
          <w:rFonts w:eastAsia="Calibri" w:cstheme="minorHAnsi"/>
        </w:rPr>
        <w:t>&gt;</w:t>
      </w:r>
      <w:r w:rsidR="008809C1" w:rsidRPr="00842260">
        <w:rPr>
          <w:rFonts w:eastAsia="Calibri" w:cs="Calibri"/>
        </w:rPr>
        <w:t>5</w:t>
      </w:r>
      <w:r w:rsidR="00C0138A" w:rsidRPr="00842260">
        <w:rPr>
          <w:rFonts w:eastAsia="Calibri" w:cs="Calibri"/>
        </w:rPr>
        <w:t xml:space="preserve"> </w:t>
      </w:r>
      <w:r w:rsidR="008809C1" w:rsidRPr="00842260">
        <w:rPr>
          <w:rFonts w:eastAsia="Calibri" w:cs="Calibri"/>
        </w:rPr>
        <w:t>cm or a</w:t>
      </w:r>
      <w:r w:rsidR="00363CDF">
        <w:rPr>
          <w:rFonts w:eastAsia="Calibri" w:cs="Calibri"/>
        </w:rPr>
        <w:t xml:space="preserve"> histological grade of </w:t>
      </w:r>
      <w:r w:rsidR="00363CDF">
        <w:rPr>
          <w:rFonts w:eastAsia="Calibri" w:cstheme="minorHAnsi"/>
        </w:rPr>
        <w:t>≥</w:t>
      </w:r>
      <w:r w:rsidR="00363CDF">
        <w:rPr>
          <w:rFonts w:eastAsia="Calibri" w:cs="Calibri"/>
        </w:rPr>
        <w:t>3.</w:t>
      </w:r>
      <w:r w:rsidR="008809C1" w:rsidRPr="00842260">
        <w:rPr>
          <w:rFonts w:eastAsia="Calibri" w:cs="Calibri"/>
        </w:rPr>
        <w:t xml:space="preserve"> </w:t>
      </w:r>
      <w:r w:rsidR="007012DA" w:rsidRPr="00221FDB">
        <w:rPr>
          <w:rFonts w:eastAsia="Calibri" w:cs="Calibri"/>
          <w:color w:val="000000"/>
          <w:spacing w:val="-130"/>
          <w:shd w:val="solid" w:color="000000" w:fill="000000"/>
          <w:fitText w:val="-20" w:id="-1500862720"/>
          <w14:textFill>
            <w14:solidFill>
              <w14:srgbClr w14:val="000000">
                <w14:alpha w14:val="100000"/>
              </w14:srgbClr>
            </w14:solidFill>
          </w14:textFill>
        </w:rPr>
        <w:t>|</w:t>
      </w:r>
    </w:p>
    <w:p w14:paraId="1C8D6A1E" w14:textId="2EED4B95" w:rsidR="007B7A17" w:rsidRPr="00842260" w:rsidRDefault="007B7A17" w:rsidP="007B7A17">
      <w:pPr>
        <w:pStyle w:val="3-BodyText"/>
        <w:rPr>
          <w:color w:val="000000" w:themeColor="text1"/>
        </w:rPr>
      </w:pPr>
      <w:proofErr w:type="spellStart"/>
      <w:r w:rsidRPr="00842260">
        <w:t>Abemaciclib</w:t>
      </w:r>
      <w:proofErr w:type="spellEnd"/>
      <w:r w:rsidRPr="00842260">
        <w:t xml:space="preserve"> is a </w:t>
      </w:r>
      <w:r w:rsidR="00284601" w:rsidRPr="00842260">
        <w:t>cyclin D-dependent kinases</w:t>
      </w:r>
      <w:r w:rsidRPr="00842260">
        <w:t xml:space="preserve"> 4 and 6</w:t>
      </w:r>
      <w:r w:rsidR="00284601" w:rsidRPr="00842260">
        <w:t xml:space="preserve"> (CDK4/6)</w:t>
      </w:r>
      <w:r w:rsidRPr="00842260">
        <w:t xml:space="preserve"> inhibitor.</w:t>
      </w:r>
      <w:r w:rsidRPr="00842260">
        <w:rPr>
          <w:color w:val="000000" w:themeColor="text1"/>
        </w:rPr>
        <w:t xml:space="preserve"> </w:t>
      </w:r>
    </w:p>
    <w:p w14:paraId="73C2ADB2" w14:textId="6FFC2002" w:rsidR="007B60BC" w:rsidRPr="00842260" w:rsidRDefault="00FF7064" w:rsidP="009E21D7">
      <w:pPr>
        <w:pStyle w:val="3-BodyText"/>
      </w:pPr>
      <w:r w:rsidRPr="00842260">
        <w:t xml:space="preserve">The </w:t>
      </w:r>
      <w:r w:rsidR="007B7A17" w:rsidRPr="00842260">
        <w:t xml:space="preserve">proposed </w:t>
      </w:r>
      <w:r w:rsidRPr="00842260">
        <w:t xml:space="preserve">use of </w:t>
      </w:r>
      <w:proofErr w:type="spellStart"/>
      <w:r w:rsidRPr="00842260">
        <w:t>abemaciclib</w:t>
      </w:r>
      <w:proofErr w:type="spellEnd"/>
      <w:r w:rsidRPr="00842260">
        <w:t xml:space="preserve"> is in </w:t>
      </w:r>
      <w:r w:rsidR="00916332" w:rsidRPr="00842260">
        <w:t>combination with</w:t>
      </w:r>
      <w:r w:rsidRPr="00842260">
        <w:t xml:space="preserve"> </w:t>
      </w:r>
      <w:r w:rsidR="009952FB" w:rsidRPr="00842260">
        <w:t>ET</w:t>
      </w:r>
      <w:r w:rsidR="007B7A17" w:rsidRPr="00842260">
        <w:t xml:space="preserve">. </w:t>
      </w:r>
      <w:r w:rsidR="00284601" w:rsidRPr="00842260">
        <w:t>ET</w:t>
      </w:r>
      <w:r w:rsidR="007B7A17" w:rsidRPr="00842260">
        <w:t xml:space="preserve"> remains the</w:t>
      </w:r>
      <w:r w:rsidRPr="00842260">
        <w:t xml:space="preserve"> standard of care </w:t>
      </w:r>
      <w:r w:rsidR="007B7A17" w:rsidRPr="00842260">
        <w:t xml:space="preserve">for breast cancer in the </w:t>
      </w:r>
      <w:r w:rsidRPr="00842260">
        <w:t xml:space="preserve">adjuvant </w:t>
      </w:r>
      <w:r w:rsidR="007B7A17" w:rsidRPr="00842260">
        <w:t>setting</w:t>
      </w:r>
      <w:r w:rsidRPr="00842260">
        <w:t xml:space="preserve">. </w:t>
      </w:r>
      <w:r w:rsidR="00916332" w:rsidRPr="00842260">
        <w:t xml:space="preserve">Patients may have had neoadjuvant or adjuvant radiotherapy and/or chemotherapy prior to </w:t>
      </w:r>
      <w:proofErr w:type="spellStart"/>
      <w:r w:rsidR="00916332" w:rsidRPr="00842260">
        <w:t>abemaciclib</w:t>
      </w:r>
      <w:proofErr w:type="spellEnd"/>
      <w:r w:rsidR="00916332" w:rsidRPr="00842260">
        <w:t xml:space="preserve"> and </w:t>
      </w:r>
      <w:r w:rsidR="00284601" w:rsidRPr="00842260">
        <w:t>ET</w:t>
      </w:r>
      <w:r w:rsidR="00916332" w:rsidRPr="00842260">
        <w:t>.</w:t>
      </w:r>
      <w:r w:rsidRPr="00842260">
        <w:t xml:space="preserve"> </w:t>
      </w:r>
      <w:r w:rsidR="009E21D7" w:rsidRPr="00842260">
        <w:t xml:space="preserve">The clinical management of HR+, HER2- early breast cancer in Australia, with the positioning of </w:t>
      </w:r>
      <w:proofErr w:type="spellStart"/>
      <w:r w:rsidR="009E21D7" w:rsidRPr="00842260">
        <w:t>abemaciclib</w:t>
      </w:r>
      <w:proofErr w:type="spellEnd"/>
      <w:r w:rsidR="009E21D7" w:rsidRPr="00842260">
        <w:t>, is shown in Figure 1.</w:t>
      </w:r>
    </w:p>
    <w:p w14:paraId="462E2809" w14:textId="77777777" w:rsidR="007B60BC" w:rsidRPr="00842260" w:rsidRDefault="007B60BC" w:rsidP="00A11470">
      <w:pPr>
        <w:pStyle w:val="3-BodyText"/>
        <w:numPr>
          <w:ilvl w:val="0"/>
          <w:numId w:val="0"/>
        </w:numPr>
      </w:pPr>
    </w:p>
    <w:p w14:paraId="04D468B1" w14:textId="68EDB565" w:rsidR="00992238" w:rsidRPr="00842260" w:rsidRDefault="005E3FDA" w:rsidP="005E3FDA">
      <w:pPr>
        <w:pStyle w:val="TableFigureHeading"/>
      </w:pPr>
      <w:r w:rsidRPr="00B30617">
        <w:t xml:space="preserve">Figure </w:t>
      </w:r>
      <w:fldSimple w:instr=" SEQ Figure \* ARABIC ">
        <w:r w:rsidR="00053218" w:rsidRPr="00B30617">
          <w:rPr>
            <w:noProof/>
          </w:rPr>
          <w:t>1</w:t>
        </w:r>
      </w:fldSimple>
      <w:r w:rsidRPr="00B30617">
        <w:t xml:space="preserve">: </w:t>
      </w:r>
      <w:r w:rsidR="00992238" w:rsidRPr="00B30617">
        <w:t>Summary of Australia</w:t>
      </w:r>
      <w:r w:rsidR="009E21D7" w:rsidRPr="00B30617">
        <w:t>n</w:t>
      </w:r>
      <w:r w:rsidR="00992238" w:rsidRPr="00B30617">
        <w:t xml:space="preserve"> clinical management algorithm for HR+, HER2- E</w:t>
      </w:r>
      <w:r w:rsidR="00DF399F" w:rsidRPr="00B30617">
        <w:t>B</w:t>
      </w:r>
      <w:r w:rsidR="00992238" w:rsidRPr="00B30617">
        <w:t>C</w:t>
      </w:r>
    </w:p>
    <w:p w14:paraId="16159DC0" w14:textId="77777777" w:rsidR="00992238" w:rsidRPr="00842260" w:rsidRDefault="00992238" w:rsidP="00992238">
      <w:pPr>
        <w:keepNext/>
        <w:rPr>
          <w:sz w:val="18"/>
          <w:szCs w:val="18"/>
        </w:rPr>
      </w:pPr>
      <w:r w:rsidRPr="00842260">
        <w:rPr>
          <w:noProof/>
        </w:rPr>
        <w:drawing>
          <wp:inline distT="0" distB="0" distL="0" distR="0" wp14:anchorId="296E74BE" wp14:editId="4B74E5C5">
            <wp:extent cx="5665758" cy="3799840"/>
            <wp:effectExtent l="19050" t="19050" r="11430" b="10160"/>
            <wp:docPr id="3" name="Picture 3" descr="Figure 1: Summary of Australian clinical management algorithm for HR+, HER2- 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Summary of Australian clinical management algorithm for HR+, HER2- EBC"/>
                    <pic:cNvPicPr/>
                  </pic:nvPicPr>
                  <pic:blipFill>
                    <a:blip r:embed="rId8"/>
                    <a:stretch>
                      <a:fillRect/>
                    </a:stretch>
                  </pic:blipFill>
                  <pic:spPr>
                    <a:xfrm>
                      <a:off x="0" y="0"/>
                      <a:ext cx="5690623" cy="3816516"/>
                    </a:xfrm>
                    <a:prstGeom prst="rect">
                      <a:avLst/>
                    </a:prstGeom>
                    <a:ln>
                      <a:solidFill>
                        <a:schemeClr val="tx1"/>
                      </a:solidFill>
                    </a:ln>
                  </pic:spPr>
                </pic:pic>
              </a:graphicData>
            </a:graphic>
          </wp:inline>
        </w:drawing>
      </w:r>
    </w:p>
    <w:p w14:paraId="083058CE" w14:textId="293FE769" w:rsidR="002F740D" w:rsidRPr="00842260" w:rsidRDefault="002F740D" w:rsidP="002F740D">
      <w:pPr>
        <w:pStyle w:val="TableFigureFooter"/>
      </w:pPr>
      <w:r w:rsidRPr="00842260">
        <w:t>Source: Figure 1-4, p40 of the submission</w:t>
      </w:r>
      <w:r w:rsidR="00937D4E" w:rsidRPr="00842260">
        <w:t>.</w:t>
      </w:r>
    </w:p>
    <w:p w14:paraId="56518D50" w14:textId="64936CBB" w:rsidR="00992238" w:rsidRPr="00842260" w:rsidRDefault="00992238" w:rsidP="00992238">
      <w:pPr>
        <w:pStyle w:val="TableFigureFooter"/>
      </w:pPr>
      <w:r w:rsidRPr="00842260">
        <w:t>ER = Estrogen Receptor; HR+ = hormone receptor positive; HER2- = human epidermal growth factor receptor 2 negative; EBC = early breast cancer; MBC = advanced or metastatic breast cancer; ET = Endocrine therapy (</w:t>
      </w:r>
      <w:proofErr w:type="gramStart"/>
      <w:r w:rsidRPr="00842260">
        <w:t>i.e.</w:t>
      </w:r>
      <w:proofErr w:type="gramEnd"/>
      <w:r w:rsidRPr="00842260">
        <w:t xml:space="preserve"> aromatase inhibitor letrozole, anastrozole or </w:t>
      </w:r>
      <w:r w:rsidRPr="00842260">
        <w:lastRenderedPageBreak/>
        <w:t xml:space="preserve">exemestane or SERM = selective estrogen receptor modulator (tamoxifen); PR = Progesterone Receptor; N= lymph node; SLN = </w:t>
      </w:r>
      <w:r w:rsidR="00284601" w:rsidRPr="00842260">
        <w:t>sentinel lymph nodes</w:t>
      </w:r>
      <w:r w:rsidR="00937D4E" w:rsidRPr="00842260">
        <w:t>.</w:t>
      </w:r>
    </w:p>
    <w:p w14:paraId="11A7299B" w14:textId="04E6C095" w:rsidR="00992238" w:rsidRPr="00842260" w:rsidRDefault="00992238" w:rsidP="00992238">
      <w:pPr>
        <w:pStyle w:val="TableFigureFooter"/>
      </w:pPr>
      <w:r w:rsidRPr="00842260">
        <w:t xml:space="preserve">Note: The proposed intervention (Adjuvant ET </w:t>
      </w:r>
      <w:r w:rsidRPr="00842260">
        <w:rPr>
          <w:rFonts w:cs="Calibri"/>
        </w:rPr>
        <w:t>±</w:t>
      </w:r>
      <w:r w:rsidR="00284601" w:rsidRPr="00842260">
        <w:t xml:space="preserve"> </w:t>
      </w:r>
      <w:proofErr w:type="spellStart"/>
      <w:r w:rsidR="00284601" w:rsidRPr="00842260">
        <w:t>abemaciclib</w:t>
      </w:r>
      <w:proofErr w:type="spellEnd"/>
      <w:r w:rsidR="00284601" w:rsidRPr="00842260">
        <w:t xml:space="preserve">) comprises </w:t>
      </w:r>
      <w:proofErr w:type="spellStart"/>
      <w:r w:rsidR="00284601" w:rsidRPr="00842260">
        <w:t>abemaciclib</w:t>
      </w:r>
      <w:proofErr w:type="spellEnd"/>
      <w:r w:rsidRPr="00842260">
        <w:t>, continuously for 2 years and ET, also taken continuously for at least 5 years in accordance with Australian guidelines</w:t>
      </w:r>
      <w:r w:rsidR="00937D4E" w:rsidRPr="00842260">
        <w:t>.</w:t>
      </w:r>
    </w:p>
    <w:p w14:paraId="738F4F36" w14:textId="4A7BD64D" w:rsidR="009E21D7" w:rsidRPr="00842260" w:rsidRDefault="009E21D7" w:rsidP="009E21D7">
      <w:pPr>
        <w:pStyle w:val="3-BodyText"/>
        <w:rPr>
          <w:color w:val="000000" w:themeColor="text1"/>
        </w:rPr>
      </w:pPr>
      <w:r w:rsidRPr="00842260">
        <w:rPr>
          <w:color w:val="000000" w:themeColor="text1"/>
        </w:rPr>
        <w:t xml:space="preserve">There is currently no evidence regarding the effectiveness of CDK4/6 inhibitors following disease recurrence after a prior CDK4/6 inhibitor. Use of </w:t>
      </w:r>
      <w:proofErr w:type="spellStart"/>
      <w:r w:rsidRPr="00842260">
        <w:rPr>
          <w:color w:val="000000" w:themeColor="text1"/>
        </w:rPr>
        <w:t>abemaciclib</w:t>
      </w:r>
      <w:proofErr w:type="spellEnd"/>
      <w:r w:rsidRPr="00842260">
        <w:rPr>
          <w:color w:val="000000" w:themeColor="text1"/>
        </w:rPr>
        <w:t xml:space="preserve"> in combination with ET in early breast cancer may alter the effectiveness of subsequent use of CDK4/6 inhibitors after progression to metastatic breast cancer. PBS-listed </w:t>
      </w:r>
      <w:proofErr w:type="spellStart"/>
      <w:r w:rsidRPr="00842260">
        <w:rPr>
          <w:color w:val="000000" w:themeColor="text1"/>
        </w:rPr>
        <w:t>abemaciclib</w:t>
      </w:r>
      <w:proofErr w:type="spellEnd"/>
      <w:r w:rsidRPr="00842260">
        <w:rPr>
          <w:color w:val="000000" w:themeColor="text1"/>
        </w:rPr>
        <w:t xml:space="preserve"> or </w:t>
      </w:r>
      <w:proofErr w:type="spellStart"/>
      <w:r w:rsidRPr="00842260">
        <w:rPr>
          <w:color w:val="000000" w:themeColor="text1"/>
        </w:rPr>
        <w:t>ribociclib</w:t>
      </w:r>
      <w:proofErr w:type="spellEnd"/>
      <w:r w:rsidRPr="00842260">
        <w:rPr>
          <w:color w:val="000000" w:themeColor="text1"/>
        </w:rPr>
        <w:t xml:space="preserve"> plus </w:t>
      </w:r>
      <w:proofErr w:type="spellStart"/>
      <w:r w:rsidRPr="00842260">
        <w:rPr>
          <w:color w:val="000000" w:themeColor="text1"/>
        </w:rPr>
        <w:t>fulvestrant</w:t>
      </w:r>
      <w:proofErr w:type="spellEnd"/>
      <w:r w:rsidRPr="00842260">
        <w:rPr>
          <w:color w:val="000000" w:themeColor="text1"/>
        </w:rPr>
        <w:t xml:space="preserve"> at this later stage would potentially be replaced by </w:t>
      </w:r>
      <w:proofErr w:type="spellStart"/>
      <w:r w:rsidRPr="00842260">
        <w:rPr>
          <w:color w:val="000000" w:themeColor="text1"/>
        </w:rPr>
        <w:t>abemaciclib</w:t>
      </w:r>
      <w:proofErr w:type="spellEnd"/>
      <w:r w:rsidRPr="00842260">
        <w:rPr>
          <w:color w:val="000000" w:themeColor="text1"/>
        </w:rPr>
        <w:t xml:space="preserve"> in early breast cancer, reducing treatment options at later cancer stages.</w:t>
      </w:r>
    </w:p>
    <w:p w14:paraId="164C548E" w14:textId="5BDEBE88" w:rsidR="00937D4E" w:rsidRPr="00842260" w:rsidRDefault="009E21D7" w:rsidP="009E21D7">
      <w:pPr>
        <w:pStyle w:val="3-BodyText"/>
        <w:numPr>
          <w:ilvl w:val="0"/>
          <w:numId w:val="0"/>
        </w:numPr>
        <w:ind w:left="720"/>
      </w:pPr>
      <w:r w:rsidRPr="00842260">
        <w:rPr>
          <w:i/>
          <w:iCs/>
        </w:rPr>
        <w:t>For more detail on PBAC’s view, see section 7 PBAC outcome.</w:t>
      </w:r>
    </w:p>
    <w:p w14:paraId="51E5AE96" w14:textId="136A63B1" w:rsidR="00B50DB8" w:rsidRPr="00842260" w:rsidRDefault="00B50DB8" w:rsidP="004E18E9">
      <w:pPr>
        <w:pStyle w:val="2-SectionHeading"/>
      </w:pPr>
      <w:bookmarkStart w:id="11" w:name="_Toc93502900"/>
      <w:r w:rsidRPr="00842260">
        <w:t>Comparator</w:t>
      </w:r>
      <w:bookmarkEnd w:id="11"/>
    </w:p>
    <w:p w14:paraId="27339D10" w14:textId="57F2A88C" w:rsidR="00D1111A" w:rsidRPr="00842260" w:rsidRDefault="00DA5038" w:rsidP="00882E3C">
      <w:pPr>
        <w:pStyle w:val="3-BodyText"/>
        <w:rPr>
          <w:snapToGrid/>
        </w:rPr>
      </w:pPr>
      <w:r w:rsidRPr="00842260">
        <w:t xml:space="preserve">The submission nominated </w:t>
      </w:r>
      <w:r w:rsidR="00284601" w:rsidRPr="00842260">
        <w:t>ET</w:t>
      </w:r>
      <w:r w:rsidRPr="00842260">
        <w:t xml:space="preserve"> alone as the comparator. </w:t>
      </w:r>
      <w:r w:rsidR="00284601" w:rsidRPr="00842260">
        <w:t>ET</w:t>
      </w:r>
      <w:r w:rsidR="00D1111A" w:rsidRPr="00842260">
        <w:t xml:space="preserve"> may be either an aromatase inhibitor (</w:t>
      </w:r>
      <w:proofErr w:type="gramStart"/>
      <w:r w:rsidR="00D1111A" w:rsidRPr="00842260">
        <w:t>e.g.</w:t>
      </w:r>
      <w:proofErr w:type="gramEnd"/>
      <w:r w:rsidR="00D1111A" w:rsidRPr="00842260">
        <w:t xml:space="preserve"> letrozole, anastrozole or exemestane) or an established selective estrogen receptor modulator (SERM) or tamoxifen. The submission argued that </w:t>
      </w:r>
      <w:r w:rsidR="00284601" w:rsidRPr="00842260">
        <w:t>ET</w:t>
      </w:r>
      <w:r w:rsidR="00D1111A" w:rsidRPr="00842260">
        <w:t xml:space="preserve"> is the appropriate comparator as it is standard of care for adjuvant treatment of HR+, HER</w:t>
      </w:r>
      <w:r w:rsidR="00C213DD" w:rsidRPr="00842260">
        <w:t>2</w:t>
      </w:r>
      <w:r w:rsidR="00D1111A" w:rsidRPr="00842260">
        <w:t xml:space="preserve">- early breast cancer, and that PBAC has previously accepted </w:t>
      </w:r>
      <w:r w:rsidR="00DF399F" w:rsidRPr="00842260">
        <w:t>ET</w:t>
      </w:r>
      <w:r w:rsidR="00D1111A" w:rsidRPr="00842260">
        <w:t xml:space="preserve"> as the comparator for trastuzumab emta</w:t>
      </w:r>
      <w:r w:rsidR="00284601" w:rsidRPr="00842260">
        <w:t>n</w:t>
      </w:r>
      <w:r w:rsidR="00D1111A" w:rsidRPr="00842260">
        <w:t xml:space="preserve">sine </w:t>
      </w:r>
      <w:r w:rsidR="009952FB" w:rsidRPr="00842260">
        <w:t xml:space="preserve">(T-DM1) </w:t>
      </w:r>
      <w:r w:rsidR="00D1111A" w:rsidRPr="00842260">
        <w:t xml:space="preserve">for patients with HER2+, HR+ early breast cancer. </w:t>
      </w:r>
      <w:r w:rsidR="00A32C12" w:rsidRPr="00842260">
        <w:t xml:space="preserve">The ESC agreed with the evaluation that </w:t>
      </w:r>
      <w:r w:rsidR="00284601" w:rsidRPr="00842260">
        <w:t>ET</w:t>
      </w:r>
      <w:r w:rsidR="007B7A17" w:rsidRPr="00842260">
        <w:t xml:space="preserve"> is the appropriate comparator</w:t>
      </w:r>
      <w:r w:rsidR="00D1111A" w:rsidRPr="00842260">
        <w:t xml:space="preserve">. </w:t>
      </w:r>
    </w:p>
    <w:p w14:paraId="08851782" w14:textId="16A62328" w:rsidR="007B60BC" w:rsidRPr="00842260" w:rsidRDefault="007B60BC" w:rsidP="00D66E62">
      <w:pPr>
        <w:pStyle w:val="3-BodyText"/>
        <w:numPr>
          <w:ilvl w:val="0"/>
          <w:numId w:val="0"/>
        </w:numPr>
        <w:ind w:left="720"/>
        <w:rPr>
          <w:i/>
          <w:iCs/>
        </w:rPr>
      </w:pPr>
      <w:r w:rsidRPr="00842260">
        <w:rPr>
          <w:i/>
          <w:iCs/>
        </w:rPr>
        <w:t>For more detail on PBAC’s view, see section 7 PBAC outcome.</w:t>
      </w:r>
    </w:p>
    <w:p w14:paraId="7F9C27C8" w14:textId="389EF7C4" w:rsidR="00223D5A" w:rsidRPr="00842260" w:rsidRDefault="00223D5A" w:rsidP="00223D5A">
      <w:pPr>
        <w:pStyle w:val="2-SectionHeading"/>
        <w:numPr>
          <w:ilvl w:val="0"/>
          <w:numId w:val="1"/>
        </w:numPr>
      </w:pPr>
      <w:bookmarkStart w:id="12" w:name="_Toc93489983"/>
      <w:bookmarkStart w:id="13" w:name="_Toc93502901"/>
      <w:bookmarkStart w:id="14" w:name="_Toc22897640"/>
      <w:bookmarkEnd w:id="12"/>
      <w:r w:rsidRPr="00842260">
        <w:t>Consideration of the evidence</w:t>
      </w:r>
      <w:bookmarkEnd w:id="13"/>
    </w:p>
    <w:p w14:paraId="6ACD3A88" w14:textId="77777777" w:rsidR="00655880" w:rsidRPr="00842260" w:rsidRDefault="00655880" w:rsidP="00655880">
      <w:pPr>
        <w:pStyle w:val="4-SubsectionHeading"/>
      </w:pPr>
      <w:r w:rsidRPr="00842260">
        <w:t>Sponsor hearing</w:t>
      </w:r>
    </w:p>
    <w:p w14:paraId="34C058F7" w14:textId="7C0CC3E5" w:rsidR="00663434" w:rsidRPr="00842260" w:rsidRDefault="00FE0D4F" w:rsidP="00266D03">
      <w:pPr>
        <w:pStyle w:val="3-BodyText"/>
      </w:pPr>
      <w:r w:rsidRPr="00842260">
        <w:t>The sponsor requested a hearing for this ite</w:t>
      </w:r>
      <w:r w:rsidR="00386B86" w:rsidRPr="00842260">
        <w:t xml:space="preserve">m. The clinician </w:t>
      </w:r>
      <w:r w:rsidR="004C1632" w:rsidRPr="00842260">
        <w:t xml:space="preserve">stated </w:t>
      </w:r>
      <w:r w:rsidRPr="00842260">
        <w:t>that results for IDFS and distant relapse free survival (DRFS) become more statistically significant</w:t>
      </w:r>
      <w:r w:rsidR="007A3261" w:rsidRPr="00842260">
        <w:t xml:space="preserve"> </w:t>
      </w:r>
      <w:r w:rsidR="00F436CA" w:rsidRPr="00842260">
        <w:t xml:space="preserve">over time </w:t>
      </w:r>
      <w:r w:rsidR="007A3261" w:rsidRPr="00842260">
        <w:t xml:space="preserve">across </w:t>
      </w:r>
      <w:r w:rsidR="00F436CA" w:rsidRPr="00842260">
        <w:t xml:space="preserve">the </w:t>
      </w:r>
      <w:r w:rsidR="00072966" w:rsidRPr="00842260">
        <w:t>3</w:t>
      </w:r>
      <w:r w:rsidR="007A3261" w:rsidRPr="00842260">
        <w:t xml:space="preserve"> data </w:t>
      </w:r>
      <w:proofErr w:type="gramStart"/>
      <w:r w:rsidR="007A3261" w:rsidRPr="00842260">
        <w:t>cuts</w:t>
      </w:r>
      <w:r w:rsidRPr="00842260">
        <w:t>, and</w:t>
      </w:r>
      <w:proofErr w:type="gramEnd"/>
      <w:r w:rsidRPr="00842260">
        <w:t xml:space="preserve"> argued that the benefit from </w:t>
      </w:r>
      <w:proofErr w:type="spellStart"/>
      <w:r w:rsidRPr="00842260">
        <w:t>abemaciclib</w:t>
      </w:r>
      <w:proofErr w:type="spellEnd"/>
      <w:r w:rsidRPr="00842260">
        <w:t xml:space="preserve"> does not diminish over time. The clinician acknowledged that OS data from the </w:t>
      </w:r>
      <w:proofErr w:type="spellStart"/>
      <w:r w:rsidRPr="00842260">
        <w:t>monarchE</w:t>
      </w:r>
      <w:proofErr w:type="spellEnd"/>
      <w:r w:rsidRPr="00842260">
        <w:t xml:space="preserve"> trial is </w:t>
      </w:r>
      <w:r w:rsidR="00F436CA" w:rsidRPr="00842260">
        <w:t xml:space="preserve">currently </w:t>
      </w:r>
      <w:r w:rsidRPr="00842260">
        <w:t xml:space="preserve">immature and noted that patients who develop metastatic disease may receive a CDK4/6 inhibitor as part of their first line metastatic treatment, and are likely still alive, and therefore it may be </w:t>
      </w:r>
      <w:r w:rsidR="00072966" w:rsidRPr="00842260">
        <w:t>several</w:t>
      </w:r>
      <w:r w:rsidRPr="00842260">
        <w:t xml:space="preserve"> years before a difference between arms in OS is seen. With respect to side effects, </w:t>
      </w:r>
      <w:r w:rsidR="008A0C0B" w:rsidRPr="00842260">
        <w:t xml:space="preserve">the clinician </w:t>
      </w:r>
      <w:r w:rsidRPr="00842260">
        <w:t xml:space="preserve">acknowledged that there would be increased follow up for </w:t>
      </w:r>
      <w:proofErr w:type="spellStart"/>
      <w:r w:rsidRPr="00842260">
        <w:t>abemaciclib</w:t>
      </w:r>
      <w:proofErr w:type="spellEnd"/>
      <w:r w:rsidRPr="00842260">
        <w:t xml:space="preserve"> patients in early breast cancer</w:t>
      </w:r>
      <w:r w:rsidR="008A0C0B" w:rsidRPr="00842260">
        <w:t xml:space="preserve"> during the initial 3</w:t>
      </w:r>
      <w:r w:rsidR="008A0C0B" w:rsidRPr="00842260">
        <w:rPr>
          <w:rFonts w:cstheme="minorHAnsi"/>
        </w:rPr>
        <w:t>−</w:t>
      </w:r>
      <w:proofErr w:type="gramStart"/>
      <w:r w:rsidR="008A0C0B" w:rsidRPr="00842260">
        <w:t>6 month</w:t>
      </w:r>
      <w:proofErr w:type="gramEnd"/>
      <w:r w:rsidR="00072966" w:rsidRPr="00842260">
        <w:t xml:space="preserve"> treatment</w:t>
      </w:r>
      <w:r w:rsidR="008A0C0B" w:rsidRPr="00842260">
        <w:t xml:space="preserve"> period</w:t>
      </w:r>
      <w:r w:rsidRPr="00842260">
        <w:t xml:space="preserve">, compared to ET alone, to ensure an optimum dose with a manageable side effect profile. The clinician noted that many </w:t>
      </w:r>
      <w:proofErr w:type="spellStart"/>
      <w:r w:rsidRPr="00842260">
        <w:t>monarchE</w:t>
      </w:r>
      <w:proofErr w:type="spellEnd"/>
      <w:r w:rsidRPr="00842260">
        <w:t xml:space="preserve"> patients had undergone intensive treatment </w:t>
      </w:r>
      <w:proofErr w:type="gramStart"/>
      <w:r w:rsidRPr="00842260">
        <w:t xml:space="preserve">with </w:t>
      </w:r>
      <w:r w:rsidRPr="00B659C5">
        <w:t xml:space="preserve"> chemotherapy</w:t>
      </w:r>
      <w:proofErr w:type="gramEnd"/>
      <w:r w:rsidRPr="00842260">
        <w:t xml:space="preserve">, surgery, and radiotherapy, and therefore had time before treatment with </w:t>
      </w:r>
      <w:proofErr w:type="spellStart"/>
      <w:r w:rsidRPr="00842260">
        <w:t>abemaciclib</w:t>
      </w:r>
      <w:proofErr w:type="spellEnd"/>
      <w:r w:rsidRPr="00842260">
        <w:t xml:space="preserve"> to ensure recovery (up to 16 months, see paragraph 6.9 below), and noted that an </w:t>
      </w:r>
      <w:r w:rsidRPr="009C6B3C">
        <w:t>additional 3 months of ET was allowed before randomisation. The PBAC considered that the hearing was</w:t>
      </w:r>
      <w:r w:rsidR="008E3247" w:rsidRPr="009C6B3C">
        <w:t xml:space="preserve"> </w:t>
      </w:r>
      <w:r w:rsidRPr="009C6B3C">
        <w:t xml:space="preserve">informative </w:t>
      </w:r>
      <w:r w:rsidRPr="009C6B3C">
        <w:lastRenderedPageBreak/>
        <w:t xml:space="preserve">as it provided a clinical perspective on </w:t>
      </w:r>
      <w:r w:rsidR="008E3247" w:rsidRPr="009C6B3C">
        <w:t>the meaningfulness of</w:t>
      </w:r>
      <w:r w:rsidR="008E3247" w:rsidRPr="00842260">
        <w:t xml:space="preserve"> </w:t>
      </w:r>
      <w:r w:rsidR="0021009D" w:rsidRPr="00842260">
        <w:t xml:space="preserve">the results reported in </w:t>
      </w:r>
      <w:proofErr w:type="spellStart"/>
      <w:r w:rsidR="0021009D" w:rsidRPr="00842260">
        <w:t>monarchE</w:t>
      </w:r>
      <w:proofErr w:type="spellEnd"/>
      <w:r w:rsidR="0021009D" w:rsidRPr="00842260">
        <w:t>.</w:t>
      </w:r>
    </w:p>
    <w:p w14:paraId="59E97D20" w14:textId="77777777" w:rsidR="00655880" w:rsidRPr="00842260" w:rsidRDefault="00655880" w:rsidP="00655880">
      <w:pPr>
        <w:pStyle w:val="4-SubsectionHeading"/>
      </w:pPr>
      <w:r w:rsidRPr="00842260">
        <w:t>Consumer comments</w:t>
      </w:r>
    </w:p>
    <w:p w14:paraId="6D722145" w14:textId="10C41FDB" w:rsidR="00655880" w:rsidRPr="00842260" w:rsidRDefault="006550FE" w:rsidP="00655880">
      <w:pPr>
        <w:pStyle w:val="3-BodyText"/>
      </w:pPr>
      <w:r w:rsidRPr="00842260">
        <w:t>The PBAC noted and welcomed the input from an individual and organisations (2) via the Consumer Comments facility on the PBS website.</w:t>
      </w:r>
    </w:p>
    <w:p w14:paraId="4593E774" w14:textId="13D217BC" w:rsidR="00655880" w:rsidRPr="00842260" w:rsidRDefault="00A124E7" w:rsidP="00542B79">
      <w:pPr>
        <w:pStyle w:val="3-BodyText"/>
      </w:pPr>
      <w:r w:rsidRPr="00842260">
        <w:t xml:space="preserve">The PBAC noted the advice received from the Breast Cancer Network Australia (BCNA). The BCNA noted that the use of </w:t>
      </w:r>
      <w:proofErr w:type="spellStart"/>
      <w:r w:rsidRPr="00842260">
        <w:t>abemaciclib</w:t>
      </w:r>
      <w:proofErr w:type="spellEnd"/>
      <w:r w:rsidRPr="00842260">
        <w:t xml:space="preserve"> in combination with ET is associated with increased IDFS, as shown in the</w:t>
      </w:r>
      <w:r w:rsidR="00B57969" w:rsidRPr="00842260">
        <w:t xml:space="preserve"> pivotal</w:t>
      </w:r>
      <w:r w:rsidRPr="00842260">
        <w:t xml:space="preserve"> </w:t>
      </w:r>
      <w:proofErr w:type="spellStart"/>
      <w:r w:rsidRPr="00842260">
        <w:t>monarchE</w:t>
      </w:r>
      <w:proofErr w:type="spellEnd"/>
      <w:r w:rsidRPr="00842260">
        <w:t xml:space="preserve"> trial</w:t>
      </w:r>
      <w:r w:rsidR="007D4FDB" w:rsidRPr="00842260">
        <w:t xml:space="preserve">, and </w:t>
      </w:r>
      <w:r w:rsidRPr="00842260">
        <w:t xml:space="preserve">considered the incidence and severity of side effects in both arms of the trial were acceptable. The BCNA noted that </w:t>
      </w:r>
      <w:proofErr w:type="gramStart"/>
      <w:r w:rsidRPr="00842260">
        <w:t>a number of</w:t>
      </w:r>
      <w:proofErr w:type="gramEnd"/>
      <w:r w:rsidRPr="00842260">
        <w:t xml:space="preserve"> Australian patients participated in the trial and included testimonials from these patients in the submission. The BCNA emphasised the potential wider benefits of reducing long term costs and healthcare burden by reducing progressive disease and the need for further treatment. The BCNA also recognised the ps</w:t>
      </w:r>
      <w:r w:rsidR="00B57969" w:rsidRPr="00842260">
        <w:t>y</w:t>
      </w:r>
      <w:r w:rsidRPr="00842260">
        <w:t xml:space="preserve">cho-social role of treatments </w:t>
      </w:r>
      <w:r w:rsidR="00B57969" w:rsidRPr="00842260">
        <w:t>that</w:t>
      </w:r>
      <w:r w:rsidR="00D33C3F" w:rsidRPr="00842260">
        <w:t xml:space="preserve"> </w:t>
      </w:r>
      <w:r w:rsidR="007D7CD3" w:rsidRPr="00842260">
        <w:t>reduc</w:t>
      </w:r>
      <w:r w:rsidR="00EA2591" w:rsidRPr="00842260">
        <w:t>e</w:t>
      </w:r>
      <w:r w:rsidR="007D7CD3" w:rsidRPr="00842260">
        <w:t xml:space="preserve"> fear of cancer recurrence in patients</w:t>
      </w:r>
      <w:r w:rsidR="00B57969" w:rsidRPr="00842260">
        <w:t>,</w:t>
      </w:r>
      <w:r w:rsidRPr="00842260">
        <w:t xml:space="preserve"> which can have wide reaching impacts on wellbeing and quality of life. The PBAC noted that the advice from the BCNA was supportive of the evidence provided in the submission.</w:t>
      </w:r>
    </w:p>
    <w:p w14:paraId="1071206F" w14:textId="3EB01650" w:rsidR="00276546" w:rsidRPr="00842260" w:rsidRDefault="007C3CF3" w:rsidP="00722786">
      <w:pPr>
        <w:pStyle w:val="3-BodyText"/>
      </w:pPr>
      <w:r w:rsidRPr="00842260">
        <w:t xml:space="preserve">The Medical Oncology Group of Australia (MOGA) also expressed its strong support for the use of </w:t>
      </w:r>
      <w:proofErr w:type="spellStart"/>
      <w:r w:rsidRPr="00842260">
        <w:t>abemaciclib</w:t>
      </w:r>
      <w:proofErr w:type="spellEnd"/>
      <w:r w:rsidRPr="00842260">
        <w:t xml:space="preserve"> in early breast cancer at high risk of recurrence, categorising it as one of the therapies of “highest priority for PBS listing” </w:t>
      </w:r>
      <w:proofErr w:type="gramStart"/>
      <w:r w:rsidRPr="00842260">
        <w:t>on the basis of</w:t>
      </w:r>
      <w:proofErr w:type="gramEnd"/>
      <w:r w:rsidRPr="00842260">
        <w:t xml:space="preserve"> the </w:t>
      </w:r>
      <w:proofErr w:type="spellStart"/>
      <w:r w:rsidRPr="00842260">
        <w:t>monarchE</w:t>
      </w:r>
      <w:proofErr w:type="spellEnd"/>
      <w:r w:rsidRPr="00842260">
        <w:t xml:space="preserve"> trial. </w:t>
      </w:r>
      <w:r w:rsidRPr="00B36DD0">
        <w:t>The PBAC noted that the MOGA presented a European Society for Medical Oncology Magnitude of Clinical Benefit Scale (ESMO-MCBS)</w:t>
      </w:r>
      <w:r w:rsidR="009C5F1C" w:rsidRPr="00B36DD0">
        <w:t xml:space="preserve"> grade</w:t>
      </w:r>
      <w:r w:rsidRPr="00B36DD0">
        <w:t xml:space="preserve"> for </w:t>
      </w:r>
      <w:proofErr w:type="spellStart"/>
      <w:r w:rsidRPr="00B36DD0">
        <w:t>abemac</w:t>
      </w:r>
      <w:r w:rsidR="009C5F1C" w:rsidRPr="00B36DD0">
        <w:t>iclib</w:t>
      </w:r>
      <w:proofErr w:type="spellEnd"/>
      <w:r w:rsidR="009C5F1C" w:rsidRPr="00B36DD0">
        <w:t xml:space="preserve"> (in combination with ET) as the highest grade ‘A’, categorising it as a treatment with substantial benefit in the curative setting.</w:t>
      </w:r>
      <w:r w:rsidR="009C5F1C" w:rsidRPr="00B36DD0">
        <w:rPr>
          <w:rStyle w:val="FootnoteReference"/>
        </w:rPr>
        <w:footnoteReference w:id="4"/>
      </w:r>
    </w:p>
    <w:p w14:paraId="1EAD30EA" w14:textId="257E1F96" w:rsidR="00542B79" w:rsidRPr="00842260" w:rsidRDefault="00542B79" w:rsidP="00722786">
      <w:pPr>
        <w:pStyle w:val="3-BodyText"/>
      </w:pPr>
      <w:r w:rsidRPr="00842260">
        <w:rPr>
          <w:bCs/>
        </w:rPr>
        <w:t xml:space="preserve">One individual who has used </w:t>
      </w:r>
      <w:proofErr w:type="spellStart"/>
      <w:r w:rsidRPr="00842260">
        <w:rPr>
          <w:bCs/>
        </w:rPr>
        <w:t>abemaciclib</w:t>
      </w:r>
      <w:proofErr w:type="spellEnd"/>
      <w:r w:rsidRPr="00842260">
        <w:rPr>
          <w:bCs/>
        </w:rPr>
        <w:t xml:space="preserve"> provided insight into their experience with </w:t>
      </w:r>
      <w:r w:rsidRPr="00842260">
        <w:t xml:space="preserve">early breast cancer </w:t>
      </w:r>
      <w:r w:rsidRPr="00842260">
        <w:rPr>
          <w:bCs/>
        </w:rPr>
        <w:t xml:space="preserve">and treatment with this medicine. The individual reported that the capsule was </w:t>
      </w:r>
      <w:proofErr w:type="gramStart"/>
      <w:r w:rsidR="004A700E" w:rsidRPr="00842260">
        <w:rPr>
          <w:bCs/>
        </w:rPr>
        <w:t>convenient</w:t>
      </w:r>
      <w:r w:rsidRPr="00842260">
        <w:rPr>
          <w:bCs/>
        </w:rPr>
        <w:t>, but</w:t>
      </w:r>
      <w:proofErr w:type="gramEnd"/>
      <w:r w:rsidRPr="00842260">
        <w:rPr>
          <w:bCs/>
        </w:rPr>
        <w:t xml:space="preserve"> considered that side effects with </w:t>
      </w:r>
      <w:proofErr w:type="spellStart"/>
      <w:r w:rsidRPr="00842260">
        <w:rPr>
          <w:bCs/>
        </w:rPr>
        <w:t>abemaciclib</w:t>
      </w:r>
      <w:proofErr w:type="spellEnd"/>
      <w:r w:rsidRPr="00842260">
        <w:rPr>
          <w:bCs/>
        </w:rPr>
        <w:t xml:space="preserve"> may be an issue</w:t>
      </w:r>
      <w:r w:rsidR="00143643" w:rsidRPr="00842260">
        <w:rPr>
          <w:bCs/>
        </w:rPr>
        <w:t xml:space="preserve"> for patients</w:t>
      </w:r>
      <w:r w:rsidRPr="00842260">
        <w:rPr>
          <w:bCs/>
        </w:rPr>
        <w:t>.</w:t>
      </w:r>
    </w:p>
    <w:p w14:paraId="609C0765" w14:textId="6833EE70" w:rsidR="00B60939" w:rsidRPr="00842260" w:rsidRDefault="00B60939" w:rsidP="002E4F02">
      <w:pPr>
        <w:pStyle w:val="4-SubsectionHeading"/>
      </w:pPr>
      <w:bookmarkStart w:id="15" w:name="_Toc93502902"/>
      <w:r w:rsidRPr="00842260">
        <w:t>Clinical trial</w:t>
      </w:r>
      <w:bookmarkEnd w:id="14"/>
      <w:bookmarkEnd w:id="15"/>
      <w:r w:rsidR="00A41B74" w:rsidRPr="00842260">
        <w:t>s</w:t>
      </w:r>
    </w:p>
    <w:p w14:paraId="27192356" w14:textId="1A947CB6" w:rsidR="00D66E62" w:rsidRPr="00842260" w:rsidRDefault="00A73134" w:rsidP="00D66E62">
      <w:pPr>
        <w:pStyle w:val="3-BodyText"/>
        <w:rPr>
          <w:color w:val="0066FF"/>
        </w:rPr>
      </w:pPr>
      <w:r w:rsidRPr="00842260">
        <w:rPr>
          <w:snapToGrid/>
        </w:rPr>
        <w:t xml:space="preserve">The submission </w:t>
      </w:r>
      <w:r w:rsidR="00D5243B" w:rsidRPr="00842260">
        <w:rPr>
          <w:snapToGrid/>
        </w:rPr>
        <w:t>wa</w:t>
      </w:r>
      <w:r w:rsidR="00CC1B83" w:rsidRPr="00842260">
        <w:rPr>
          <w:snapToGrid/>
        </w:rPr>
        <w:t xml:space="preserve">s based on </w:t>
      </w:r>
      <w:r w:rsidRPr="00842260">
        <w:rPr>
          <w:snapToGrid/>
        </w:rPr>
        <w:t xml:space="preserve">one head-to-head </w:t>
      </w:r>
      <w:r w:rsidR="00CB5404" w:rsidRPr="00842260">
        <w:rPr>
          <w:snapToGrid/>
        </w:rPr>
        <w:t>randomi</w:t>
      </w:r>
      <w:r w:rsidR="005E5BB7" w:rsidRPr="00842260">
        <w:rPr>
          <w:snapToGrid/>
        </w:rPr>
        <w:t>s</w:t>
      </w:r>
      <w:r w:rsidR="00CB5404" w:rsidRPr="00842260">
        <w:rPr>
          <w:snapToGrid/>
        </w:rPr>
        <w:t xml:space="preserve">ed </w:t>
      </w:r>
      <w:r w:rsidRPr="00842260">
        <w:rPr>
          <w:snapToGrid/>
        </w:rPr>
        <w:t>trial</w:t>
      </w:r>
      <w:r w:rsidR="00CC1B83" w:rsidRPr="00842260">
        <w:rPr>
          <w:snapToGrid/>
        </w:rPr>
        <w:t xml:space="preserve"> </w:t>
      </w:r>
      <w:r w:rsidRPr="00842260">
        <w:rPr>
          <w:snapToGrid/>
        </w:rPr>
        <w:t xml:space="preserve">comparing </w:t>
      </w:r>
      <w:proofErr w:type="spellStart"/>
      <w:r w:rsidR="003452B1" w:rsidRPr="00842260">
        <w:rPr>
          <w:snapToGrid/>
        </w:rPr>
        <w:t>abemaciclib</w:t>
      </w:r>
      <w:proofErr w:type="spellEnd"/>
      <w:r w:rsidR="003452B1" w:rsidRPr="00842260">
        <w:rPr>
          <w:snapToGrid/>
        </w:rPr>
        <w:t xml:space="preserve"> in combination with </w:t>
      </w:r>
      <w:r w:rsidR="00CB5404" w:rsidRPr="00842260">
        <w:rPr>
          <w:snapToGrid/>
        </w:rPr>
        <w:t>ET</w:t>
      </w:r>
      <w:r w:rsidRPr="00842260">
        <w:rPr>
          <w:snapToGrid/>
        </w:rPr>
        <w:t xml:space="preserve"> to </w:t>
      </w:r>
      <w:r w:rsidR="00CB5404" w:rsidRPr="00842260">
        <w:rPr>
          <w:snapToGrid/>
        </w:rPr>
        <w:t>ET</w:t>
      </w:r>
      <w:r w:rsidR="00CC1B83" w:rsidRPr="00842260">
        <w:rPr>
          <w:snapToGrid/>
        </w:rPr>
        <w:t xml:space="preserve"> alone</w:t>
      </w:r>
      <w:r w:rsidRPr="00842260">
        <w:rPr>
          <w:snapToGrid/>
        </w:rPr>
        <w:t xml:space="preserve"> (n=</w:t>
      </w:r>
      <w:r w:rsidR="00CC1B83" w:rsidRPr="00842260">
        <w:rPr>
          <w:snapToGrid/>
        </w:rPr>
        <w:t>5637</w:t>
      </w:r>
      <w:r w:rsidRPr="00842260">
        <w:rPr>
          <w:snapToGrid/>
        </w:rPr>
        <w:t xml:space="preserve">) </w:t>
      </w:r>
      <w:r w:rsidR="00CC1B83" w:rsidRPr="00842260">
        <w:rPr>
          <w:snapToGrid/>
        </w:rPr>
        <w:t>(</w:t>
      </w:r>
      <w:proofErr w:type="spellStart"/>
      <w:r w:rsidR="00CC1B83" w:rsidRPr="00842260">
        <w:rPr>
          <w:snapToGrid/>
        </w:rPr>
        <w:t>monarchE</w:t>
      </w:r>
      <w:proofErr w:type="spellEnd"/>
      <w:r w:rsidR="00CC1B83" w:rsidRPr="00842260">
        <w:rPr>
          <w:snapToGrid/>
        </w:rPr>
        <w:t>)</w:t>
      </w:r>
      <w:r w:rsidRPr="00842260">
        <w:rPr>
          <w:snapToGrid/>
        </w:rPr>
        <w:t xml:space="preserve">. </w:t>
      </w:r>
      <w:r w:rsidR="00CC1B83" w:rsidRPr="00842260">
        <w:rPr>
          <w:snapToGrid/>
        </w:rPr>
        <w:t>The clinic</w:t>
      </w:r>
      <w:r w:rsidR="007B7A17" w:rsidRPr="00842260">
        <w:rPr>
          <w:snapToGrid/>
        </w:rPr>
        <w:t>al claim and economic analysis w</w:t>
      </w:r>
      <w:r w:rsidR="00C86E57" w:rsidRPr="00842260">
        <w:rPr>
          <w:snapToGrid/>
        </w:rPr>
        <w:t>ere</w:t>
      </w:r>
      <w:r w:rsidR="00CC1B83" w:rsidRPr="00842260">
        <w:rPr>
          <w:snapToGrid/>
        </w:rPr>
        <w:t xml:space="preserve"> based on the ITT popul</w:t>
      </w:r>
      <w:r w:rsidR="007B7A17" w:rsidRPr="00842260">
        <w:rPr>
          <w:snapToGrid/>
        </w:rPr>
        <w:t>ation (all participants randomis</w:t>
      </w:r>
      <w:r w:rsidR="00CC1B83" w:rsidRPr="00842260">
        <w:rPr>
          <w:snapToGrid/>
        </w:rPr>
        <w:t>ed), althoug</w:t>
      </w:r>
      <w:r w:rsidR="007B7A17" w:rsidRPr="00842260">
        <w:rPr>
          <w:snapToGrid/>
        </w:rPr>
        <w:t>h the proposed PBS restriction wa</w:t>
      </w:r>
      <w:r w:rsidR="00CC1B83" w:rsidRPr="00842260">
        <w:rPr>
          <w:snapToGrid/>
        </w:rPr>
        <w:t xml:space="preserve">s aligned with a subgroup (Cohort 1, representing 91% of the ITT population). </w:t>
      </w:r>
      <w:r w:rsidR="00E04B8C" w:rsidRPr="00842260">
        <w:rPr>
          <w:snapToGrid/>
        </w:rPr>
        <w:t>Cohort 2 was not considered relevant to the Australian s</w:t>
      </w:r>
      <w:r w:rsidR="007B7A17" w:rsidRPr="00842260">
        <w:rPr>
          <w:snapToGrid/>
        </w:rPr>
        <w:t>etting as there is no standardis</w:t>
      </w:r>
      <w:r w:rsidR="00CB5404" w:rsidRPr="00842260">
        <w:rPr>
          <w:snapToGrid/>
        </w:rPr>
        <w:t>ed methodology to quantify Ki-</w:t>
      </w:r>
      <w:r w:rsidR="00E04B8C" w:rsidRPr="00842260">
        <w:rPr>
          <w:snapToGrid/>
        </w:rPr>
        <w:t>67 levels in a reproducible way</w:t>
      </w:r>
      <w:r w:rsidR="008F0552" w:rsidRPr="00842260">
        <w:rPr>
          <w:snapToGrid/>
        </w:rPr>
        <w:t xml:space="preserve"> (</w:t>
      </w:r>
      <w:r w:rsidR="005170DE" w:rsidRPr="00842260">
        <w:rPr>
          <w:snapToGrid/>
        </w:rPr>
        <w:t>paragraph 3.5</w:t>
      </w:r>
      <w:r w:rsidR="008F0552" w:rsidRPr="00842260">
        <w:rPr>
          <w:snapToGrid/>
        </w:rPr>
        <w:t>)</w:t>
      </w:r>
      <w:r w:rsidR="00C64D1F" w:rsidRPr="00842260">
        <w:rPr>
          <w:snapToGrid/>
        </w:rPr>
        <w:t>.</w:t>
      </w:r>
    </w:p>
    <w:p w14:paraId="6350E706" w14:textId="595A6ED8" w:rsidR="009A04FC" w:rsidRPr="00842260" w:rsidRDefault="00A73134" w:rsidP="00D66E62">
      <w:pPr>
        <w:pStyle w:val="3-BodyText"/>
        <w:rPr>
          <w:color w:val="0066FF"/>
        </w:rPr>
      </w:pPr>
      <w:r w:rsidRPr="00842260">
        <w:rPr>
          <w:snapToGrid/>
        </w:rPr>
        <w:lastRenderedPageBreak/>
        <w:t xml:space="preserve">Details of the </w:t>
      </w:r>
      <w:r w:rsidR="009A04FC" w:rsidRPr="00842260">
        <w:rPr>
          <w:snapToGrid/>
        </w:rPr>
        <w:t>trial</w:t>
      </w:r>
      <w:r w:rsidRPr="00842260">
        <w:rPr>
          <w:snapToGrid/>
        </w:rPr>
        <w:t xml:space="preserve"> presented in the submission are provided in </w:t>
      </w:r>
      <w:r w:rsidR="00F144F2" w:rsidRPr="00842260">
        <w:fldChar w:fldCharType="begin"/>
      </w:r>
      <w:r w:rsidR="00F144F2" w:rsidRPr="00842260">
        <w:instrText xml:space="preserve"> REF _Ref92791965 \h  \* MERGEFORMAT </w:instrText>
      </w:r>
      <w:r w:rsidR="00F144F2" w:rsidRPr="00842260">
        <w:fldChar w:fldCharType="separate"/>
      </w:r>
      <w:r w:rsidR="00053218" w:rsidRPr="00053218">
        <w:rPr>
          <w:rFonts w:eastAsiaTheme="majorEastAsia"/>
        </w:rPr>
        <w:t>Table 2</w:t>
      </w:r>
      <w:r w:rsidR="00F144F2" w:rsidRPr="00842260">
        <w:fldChar w:fldCharType="end"/>
      </w:r>
      <w:r w:rsidRPr="00842260">
        <w:rPr>
          <w:snapToGrid/>
        </w:rPr>
        <w:t>.</w:t>
      </w:r>
      <w:r w:rsidR="00BC591F" w:rsidRPr="00842260">
        <w:rPr>
          <w:snapToGrid/>
        </w:rPr>
        <w:t xml:space="preserve"> </w:t>
      </w:r>
    </w:p>
    <w:p w14:paraId="7DE3A286" w14:textId="16D31353" w:rsidR="008E0D3C" w:rsidRPr="00842260" w:rsidRDefault="00F144F2" w:rsidP="00F144F2">
      <w:pPr>
        <w:pStyle w:val="TableFigureHeading"/>
        <w:rPr>
          <w:rStyle w:val="CommentReference"/>
          <w:b/>
          <w:szCs w:val="24"/>
        </w:rPr>
      </w:pPr>
      <w:bookmarkStart w:id="16" w:name="_Ref92791965"/>
      <w:r w:rsidRPr="00842260">
        <w:rPr>
          <w:rStyle w:val="TableFigureHeadingChar"/>
          <w:b/>
        </w:rPr>
        <w:t xml:space="preserve">Table </w:t>
      </w:r>
      <w:r w:rsidR="00AA03D7" w:rsidRPr="00842260">
        <w:rPr>
          <w:rStyle w:val="TableFigureHeadingChar"/>
          <w:b/>
        </w:rPr>
        <w:fldChar w:fldCharType="begin"/>
      </w:r>
      <w:r w:rsidR="00AA03D7" w:rsidRPr="00842260">
        <w:rPr>
          <w:rStyle w:val="TableFigureHeadingChar"/>
          <w:b/>
        </w:rPr>
        <w:instrText xml:space="preserve"> SEQ Table \* ARABIC \s 1 </w:instrText>
      </w:r>
      <w:r w:rsidR="00AA03D7" w:rsidRPr="00842260">
        <w:rPr>
          <w:rStyle w:val="TableFigureHeadingChar"/>
          <w:b/>
        </w:rPr>
        <w:fldChar w:fldCharType="separate"/>
      </w:r>
      <w:r w:rsidR="00053218">
        <w:rPr>
          <w:rStyle w:val="TableFigureHeadingChar"/>
          <w:b/>
          <w:noProof/>
        </w:rPr>
        <w:t>2</w:t>
      </w:r>
      <w:r w:rsidR="00AA03D7" w:rsidRPr="00842260">
        <w:rPr>
          <w:rStyle w:val="TableFigureHeadingChar"/>
          <w:b/>
        </w:rPr>
        <w:fldChar w:fldCharType="end"/>
      </w:r>
      <w:bookmarkEnd w:id="16"/>
      <w:r w:rsidRPr="00842260">
        <w:rPr>
          <w:rStyle w:val="TableFigureHeadingChar"/>
          <w:b/>
        </w:rPr>
        <w:t>:</w:t>
      </w:r>
      <w:r w:rsidRPr="00842260">
        <w:rPr>
          <w:rStyle w:val="CommentReference"/>
          <w:b/>
          <w:szCs w:val="24"/>
        </w:rPr>
        <w:t xml:space="preserve"> </w:t>
      </w:r>
      <w:r w:rsidR="008E0D3C" w:rsidRPr="00842260">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6"/>
        <w:gridCol w:w="4909"/>
        <w:gridCol w:w="2382"/>
      </w:tblGrid>
      <w:tr w:rsidR="008E0D3C" w:rsidRPr="00842260" w14:paraId="6ACD35C4" w14:textId="77777777" w:rsidTr="005E5BB7">
        <w:trPr>
          <w:cantSplit/>
          <w:tblHeader/>
        </w:trPr>
        <w:tc>
          <w:tcPr>
            <w:tcW w:w="957" w:type="pct"/>
            <w:vAlign w:val="center"/>
          </w:tcPr>
          <w:p w14:paraId="20DEEB23" w14:textId="77777777" w:rsidR="008E0D3C" w:rsidRPr="00842260" w:rsidRDefault="008E0D3C" w:rsidP="00722786">
            <w:pPr>
              <w:pStyle w:val="In-tableHeading"/>
              <w:rPr>
                <w:lang w:val="en-AU"/>
              </w:rPr>
            </w:pPr>
            <w:r w:rsidRPr="00842260">
              <w:rPr>
                <w:lang w:val="en-AU"/>
              </w:rPr>
              <w:t>Trial ID</w:t>
            </w:r>
          </w:p>
        </w:tc>
        <w:tc>
          <w:tcPr>
            <w:tcW w:w="2722" w:type="pct"/>
            <w:tcBorders>
              <w:bottom w:val="single" w:sz="4" w:space="0" w:color="auto"/>
            </w:tcBorders>
            <w:vAlign w:val="center"/>
          </w:tcPr>
          <w:p w14:paraId="22EF6C51" w14:textId="77777777" w:rsidR="008E0D3C" w:rsidRPr="00842260" w:rsidRDefault="008E0D3C" w:rsidP="00722786">
            <w:pPr>
              <w:pStyle w:val="In-tableHeading"/>
              <w:jc w:val="center"/>
              <w:rPr>
                <w:lang w:val="en-AU"/>
              </w:rPr>
            </w:pPr>
            <w:r w:rsidRPr="00842260">
              <w:rPr>
                <w:lang w:val="en-AU"/>
              </w:rPr>
              <w:t>Protocol title/ Publication title</w:t>
            </w:r>
          </w:p>
        </w:tc>
        <w:tc>
          <w:tcPr>
            <w:tcW w:w="1321" w:type="pct"/>
            <w:tcBorders>
              <w:bottom w:val="single" w:sz="4" w:space="0" w:color="auto"/>
            </w:tcBorders>
            <w:vAlign w:val="center"/>
          </w:tcPr>
          <w:p w14:paraId="561B27A8" w14:textId="77777777" w:rsidR="008E0D3C" w:rsidRPr="00842260" w:rsidRDefault="008E0D3C" w:rsidP="00722786">
            <w:pPr>
              <w:pStyle w:val="In-tableHeading"/>
              <w:jc w:val="center"/>
              <w:rPr>
                <w:lang w:val="en-AU"/>
              </w:rPr>
            </w:pPr>
            <w:r w:rsidRPr="00842260">
              <w:rPr>
                <w:lang w:val="en-AU"/>
              </w:rPr>
              <w:t>Publication citation</w:t>
            </w:r>
          </w:p>
        </w:tc>
      </w:tr>
      <w:tr w:rsidR="00722786" w:rsidRPr="00842260" w14:paraId="0DF1B683" w14:textId="77777777" w:rsidTr="00722786">
        <w:trPr>
          <w:cantSplit/>
        </w:trPr>
        <w:tc>
          <w:tcPr>
            <w:tcW w:w="5000" w:type="pct"/>
            <w:gridSpan w:val="3"/>
            <w:vAlign w:val="center"/>
          </w:tcPr>
          <w:p w14:paraId="56EE459F" w14:textId="595560A4" w:rsidR="00722786" w:rsidRPr="00842260" w:rsidRDefault="00722786" w:rsidP="00CC1B83">
            <w:pPr>
              <w:pStyle w:val="TableText0"/>
              <w:rPr>
                <w:b/>
                <w:bCs w:val="0"/>
              </w:rPr>
            </w:pPr>
            <w:r w:rsidRPr="00842260">
              <w:rPr>
                <w:b/>
                <w:bCs w:val="0"/>
              </w:rPr>
              <w:t>Direct randomised trials</w:t>
            </w:r>
          </w:p>
        </w:tc>
      </w:tr>
      <w:tr w:rsidR="00CC1B83" w:rsidRPr="00842260" w14:paraId="298351BA" w14:textId="77777777" w:rsidTr="005E5BB7">
        <w:trPr>
          <w:cantSplit/>
        </w:trPr>
        <w:tc>
          <w:tcPr>
            <w:tcW w:w="957" w:type="pct"/>
            <w:vMerge w:val="restart"/>
            <w:vAlign w:val="center"/>
          </w:tcPr>
          <w:p w14:paraId="73E6FC44" w14:textId="77777777" w:rsidR="00CC1B83" w:rsidRPr="00842260" w:rsidRDefault="00CC1B83" w:rsidP="00CC1B83">
            <w:pPr>
              <w:pStyle w:val="TableText0"/>
            </w:pPr>
            <w:proofErr w:type="spellStart"/>
            <w:r w:rsidRPr="00842260">
              <w:t>monarchE</w:t>
            </w:r>
            <w:proofErr w:type="spellEnd"/>
            <w:r w:rsidRPr="00842260">
              <w:t xml:space="preserve"> / </w:t>
            </w:r>
          </w:p>
          <w:p w14:paraId="7F68B1F6" w14:textId="77777777" w:rsidR="00CC1B83" w:rsidRPr="00842260" w:rsidRDefault="00CC1B83" w:rsidP="00CC1B83">
            <w:pPr>
              <w:pStyle w:val="TableText0"/>
            </w:pPr>
            <w:r w:rsidRPr="00842260">
              <w:t>I3Y-MC-JPBL</w:t>
            </w:r>
          </w:p>
          <w:p w14:paraId="6E8034E8" w14:textId="77777777" w:rsidR="00CC1B83" w:rsidRPr="00842260" w:rsidRDefault="00CC1B83" w:rsidP="00CC1B83">
            <w:pPr>
              <w:pStyle w:val="TableText0"/>
            </w:pPr>
            <w:r w:rsidRPr="00842260">
              <w:t>(NCT03155997)</w:t>
            </w:r>
          </w:p>
          <w:p w14:paraId="477AA2F0" w14:textId="77777777" w:rsidR="00CC1B83" w:rsidRPr="00842260" w:rsidRDefault="00CC1B83" w:rsidP="00CC1B83">
            <w:pPr>
              <w:pStyle w:val="TableText0"/>
            </w:pPr>
            <w:r w:rsidRPr="00842260">
              <w:t>(JPRN0JapicCTI-173668)</w:t>
            </w:r>
          </w:p>
          <w:p w14:paraId="46C9B85D" w14:textId="77777777" w:rsidR="00CC1B83" w:rsidRPr="00842260" w:rsidRDefault="00CC1B83" w:rsidP="00CC1B83">
            <w:pPr>
              <w:pStyle w:val="TableText0"/>
            </w:pPr>
            <w:r w:rsidRPr="00842260">
              <w:t>EUCTR2016-004362-26-DE)</w:t>
            </w:r>
          </w:p>
          <w:p w14:paraId="5D9482F5" w14:textId="43B2A632" w:rsidR="00CC1B83" w:rsidRPr="00842260" w:rsidRDefault="00CC1B83" w:rsidP="00CC1B83">
            <w:pPr>
              <w:pStyle w:val="TableText0"/>
              <w:jc w:val="center"/>
              <w:rPr>
                <w:rFonts w:ascii="Times" w:hAnsi="Times"/>
              </w:rPr>
            </w:pPr>
            <w:r w:rsidRPr="00842260">
              <w:t>CTRI/2017/10/010017)</w:t>
            </w:r>
          </w:p>
        </w:tc>
        <w:tc>
          <w:tcPr>
            <w:tcW w:w="2722" w:type="pct"/>
            <w:tcBorders>
              <w:bottom w:val="single" w:sz="4" w:space="0" w:color="auto"/>
            </w:tcBorders>
            <w:vAlign w:val="center"/>
          </w:tcPr>
          <w:p w14:paraId="5B8FCED4" w14:textId="77777777" w:rsidR="00CC1B83" w:rsidRPr="00842260" w:rsidRDefault="00CC1B83" w:rsidP="00CC1B83">
            <w:pPr>
              <w:pStyle w:val="TableText0"/>
              <w:rPr>
                <w:b/>
                <w:szCs w:val="18"/>
              </w:rPr>
            </w:pPr>
            <w:r w:rsidRPr="00842260">
              <w:rPr>
                <w:b/>
                <w:szCs w:val="18"/>
              </w:rPr>
              <w:t>Clinical Study Report</w:t>
            </w:r>
          </w:p>
          <w:p w14:paraId="2570DA6E" w14:textId="4D4B2C40" w:rsidR="00CC1B83" w:rsidRPr="00842260" w:rsidRDefault="00CC1B83" w:rsidP="00CC1B83">
            <w:pPr>
              <w:pStyle w:val="TableText0"/>
            </w:pPr>
            <w:r w:rsidRPr="00842260">
              <w:rPr>
                <w:szCs w:val="18"/>
              </w:rPr>
              <w:t>A Randomi</w:t>
            </w:r>
            <w:r w:rsidR="00923E14" w:rsidRPr="00842260">
              <w:rPr>
                <w:szCs w:val="18"/>
              </w:rPr>
              <w:t>s</w:t>
            </w:r>
            <w:r w:rsidRPr="00842260">
              <w:rPr>
                <w:szCs w:val="18"/>
              </w:rPr>
              <w:t xml:space="preserve">ed, Open-Label, Phase 3 Study of </w:t>
            </w:r>
            <w:proofErr w:type="spellStart"/>
            <w:r w:rsidRPr="00842260">
              <w:rPr>
                <w:szCs w:val="18"/>
              </w:rPr>
              <w:t>Abemaciclib</w:t>
            </w:r>
            <w:proofErr w:type="spellEnd"/>
            <w:r w:rsidRPr="00842260">
              <w:rPr>
                <w:szCs w:val="18"/>
              </w:rPr>
              <w:t xml:space="preserve"> combined with standard adjuvant endocrine therapy versus standard adjuvant endocrine therapy alone in patients with high risk, node positive, early stage, hormone receptor positive, human epidermal receptor 2 negative, breast cancer.</w:t>
            </w:r>
          </w:p>
        </w:tc>
        <w:tc>
          <w:tcPr>
            <w:tcW w:w="1321" w:type="pct"/>
            <w:tcBorders>
              <w:bottom w:val="single" w:sz="4" w:space="0" w:color="auto"/>
            </w:tcBorders>
            <w:vAlign w:val="center"/>
          </w:tcPr>
          <w:p w14:paraId="738B076B" w14:textId="77777777" w:rsidR="00CC1B83" w:rsidRPr="00842260" w:rsidRDefault="00CC1B83" w:rsidP="00CC1B83">
            <w:pPr>
              <w:pStyle w:val="TableText0"/>
            </w:pPr>
            <w:r w:rsidRPr="00842260">
              <w:t>CSR approval date: 30-Nov-</w:t>
            </w:r>
            <w:proofErr w:type="gramStart"/>
            <w:r w:rsidRPr="00842260">
              <w:t>2020;</w:t>
            </w:r>
            <w:proofErr w:type="gramEnd"/>
          </w:p>
          <w:p w14:paraId="7578773D" w14:textId="37A89A4B" w:rsidR="00CC1B83" w:rsidRPr="00842260" w:rsidRDefault="00CC1B83" w:rsidP="00CC1B83">
            <w:pPr>
              <w:pStyle w:val="TableText0"/>
              <w:rPr>
                <w:rFonts w:ascii="Times" w:hAnsi="Times"/>
              </w:rPr>
            </w:pPr>
            <w:r w:rsidRPr="00842260">
              <w:t>CSR approval date: 28-Jun-2021</w:t>
            </w:r>
          </w:p>
        </w:tc>
      </w:tr>
      <w:tr w:rsidR="00CC1B83" w:rsidRPr="00842260" w14:paraId="7F06C7BE" w14:textId="77777777" w:rsidTr="005E5BB7">
        <w:trPr>
          <w:cantSplit/>
        </w:trPr>
        <w:tc>
          <w:tcPr>
            <w:tcW w:w="957" w:type="pct"/>
            <w:vMerge/>
            <w:vAlign w:val="center"/>
          </w:tcPr>
          <w:p w14:paraId="2DE31C12" w14:textId="7BFA1DAD" w:rsidR="00CC1B83" w:rsidRPr="00842260" w:rsidRDefault="00CC1B83" w:rsidP="00CC1B83">
            <w:pPr>
              <w:pStyle w:val="TableText0"/>
              <w:jc w:val="center"/>
            </w:pPr>
          </w:p>
        </w:tc>
        <w:tc>
          <w:tcPr>
            <w:tcW w:w="2722" w:type="pct"/>
            <w:tcBorders>
              <w:top w:val="single" w:sz="4" w:space="0" w:color="auto"/>
              <w:bottom w:val="single" w:sz="4" w:space="0" w:color="auto"/>
            </w:tcBorders>
            <w:vAlign w:val="center"/>
          </w:tcPr>
          <w:p w14:paraId="7CB8ADA9" w14:textId="1889EB76" w:rsidR="00CC1B83" w:rsidRPr="00842260" w:rsidRDefault="00CC1B83" w:rsidP="00CC1B83">
            <w:pPr>
              <w:pStyle w:val="TableText0"/>
            </w:pPr>
            <w:r w:rsidRPr="00842260">
              <w:t>Protocol I3Y-MC-JPCF. Amendment (e)</w:t>
            </w:r>
          </w:p>
        </w:tc>
        <w:tc>
          <w:tcPr>
            <w:tcW w:w="1321" w:type="pct"/>
            <w:tcBorders>
              <w:top w:val="single" w:sz="4" w:space="0" w:color="auto"/>
              <w:bottom w:val="single" w:sz="4" w:space="0" w:color="auto"/>
            </w:tcBorders>
            <w:vAlign w:val="center"/>
          </w:tcPr>
          <w:p w14:paraId="53EB2567" w14:textId="65274B3D" w:rsidR="00CC1B83" w:rsidRPr="00842260" w:rsidRDefault="00CC1B83" w:rsidP="00CC1B83">
            <w:pPr>
              <w:pStyle w:val="TableText0"/>
            </w:pPr>
            <w:r w:rsidRPr="00842260">
              <w:t>Approval date: 18-Sept-2020</w:t>
            </w:r>
          </w:p>
        </w:tc>
      </w:tr>
      <w:tr w:rsidR="00CC1B83" w:rsidRPr="00842260" w14:paraId="28A72EC8" w14:textId="77777777" w:rsidTr="005E5BB7">
        <w:trPr>
          <w:cantSplit/>
        </w:trPr>
        <w:tc>
          <w:tcPr>
            <w:tcW w:w="957" w:type="pct"/>
            <w:vMerge/>
            <w:vAlign w:val="center"/>
          </w:tcPr>
          <w:p w14:paraId="4229B05F" w14:textId="77777777" w:rsidR="00CC1B83" w:rsidRPr="00842260" w:rsidRDefault="00CC1B83" w:rsidP="00CC1B83">
            <w:pPr>
              <w:pStyle w:val="TableText0"/>
              <w:jc w:val="center"/>
            </w:pPr>
          </w:p>
        </w:tc>
        <w:tc>
          <w:tcPr>
            <w:tcW w:w="2722" w:type="pct"/>
            <w:tcBorders>
              <w:top w:val="single" w:sz="4" w:space="0" w:color="auto"/>
              <w:bottom w:val="single" w:sz="4" w:space="0" w:color="auto"/>
            </w:tcBorders>
            <w:vAlign w:val="center"/>
          </w:tcPr>
          <w:p w14:paraId="545FF92A" w14:textId="1DFEC0BC" w:rsidR="00CC1B83" w:rsidRPr="00842260" w:rsidRDefault="00CC1B83" w:rsidP="00CC1B83">
            <w:pPr>
              <w:pStyle w:val="TableText0"/>
            </w:pPr>
            <w:r w:rsidRPr="00842260">
              <w:t>Statistical Analysis Plan I3Y-MC-JPC, version 5.</w:t>
            </w:r>
          </w:p>
        </w:tc>
        <w:tc>
          <w:tcPr>
            <w:tcW w:w="1321" w:type="pct"/>
            <w:tcBorders>
              <w:top w:val="single" w:sz="4" w:space="0" w:color="auto"/>
              <w:bottom w:val="single" w:sz="4" w:space="0" w:color="auto"/>
            </w:tcBorders>
            <w:vAlign w:val="center"/>
          </w:tcPr>
          <w:p w14:paraId="00E69322" w14:textId="6FD8C770" w:rsidR="00CC1B83" w:rsidRPr="00842260" w:rsidRDefault="00CC1B83" w:rsidP="00CC1B83">
            <w:pPr>
              <w:pStyle w:val="TableText0"/>
            </w:pPr>
            <w:r w:rsidRPr="00842260">
              <w:t>Approval date: 05-Jun-2020</w:t>
            </w:r>
          </w:p>
        </w:tc>
      </w:tr>
      <w:tr w:rsidR="00CC1B83" w:rsidRPr="00842260" w14:paraId="74132A1A" w14:textId="77777777" w:rsidTr="005E5BB7">
        <w:trPr>
          <w:cantSplit/>
        </w:trPr>
        <w:tc>
          <w:tcPr>
            <w:tcW w:w="957" w:type="pct"/>
            <w:vMerge/>
            <w:vAlign w:val="center"/>
          </w:tcPr>
          <w:p w14:paraId="30BA87AC" w14:textId="512CEFE0" w:rsidR="00CC1B83" w:rsidRPr="00842260" w:rsidRDefault="00CC1B83" w:rsidP="00CC1B83">
            <w:pPr>
              <w:pStyle w:val="TableText0"/>
              <w:jc w:val="center"/>
              <w:rPr>
                <w:rFonts w:ascii="Times" w:hAnsi="Times"/>
              </w:rPr>
            </w:pPr>
          </w:p>
        </w:tc>
        <w:tc>
          <w:tcPr>
            <w:tcW w:w="2722" w:type="pct"/>
            <w:tcBorders>
              <w:top w:val="single" w:sz="4" w:space="0" w:color="auto"/>
              <w:bottom w:val="single" w:sz="4" w:space="0" w:color="auto"/>
            </w:tcBorders>
            <w:vAlign w:val="center"/>
          </w:tcPr>
          <w:p w14:paraId="7EF3AEBB" w14:textId="32FB842B" w:rsidR="00CC1B83" w:rsidRPr="00842260" w:rsidRDefault="00CC1B83" w:rsidP="00CC1B83">
            <w:pPr>
              <w:pStyle w:val="TableText0"/>
              <w:rPr>
                <w:rFonts w:ascii="Times" w:hAnsi="Times"/>
              </w:rPr>
            </w:pPr>
            <w:r w:rsidRPr="00842260">
              <w:t>Statistical Analysis Plan I3Y-MC-JPC, PRO version 2</w:t>
            </w:r>
          </w:p>
        </w:tc>
        <w:tc>
          <w:tcPr>
            <w:tcW w:w="1321" w:type="pct"/>
            <w:tcBorders>
              <w:top w:val="single" w:sz="4" w:space="0" w:color="auto"/>
              <w:bottom w:val="single" w:sz="4" w:space="0" w:color="auto"/>
            </w:tcBorders>
            <w:vAlign w:val="center"/>
          </w:tcPr>
          <w:p w14:paraId="65832AF0" w14:textId="7DD335D8" w:rsidR="00CC1B83" w:rsidRPr="00842260" w:rsidRDefault="00CC1B83" w:rsidP="00CC1B83">
            <w:pPr>
              <w:pStyle w:val="TableText0"/>
            </w:pPr>
            <w:r w:rsidRPr="00842260">
              <w:t>Approval date: 06-May-2020</w:t>
            </w:r>
          </w:p>
        </w:tc>
      </w:tr>
      <w:tr w:rsidR="00CC1B83" w:rsidRPr="00842260" w14:paraId="72FE99D8" w14:textId="77777777" w:rsidTr="005E5BB7">
        <w:trPr>
          <w:cantSplit/>
        </w:trPr>
        <w:tc>
          <w:tcPr>
            <w:tcW w:w="957" w:type="pct"/>
            <w:vMerge/>
            <w:vAlign w:val="center"/>
          </w:tcPr>
          <w:p w14:paraId="1E431D63" w14:textId="177A5F18" w:rsidR="00CC1B83" w:rsidRPr="00842260" w:rsidRDefault="00CC1B83" w:rsidP="00CC1B83">
            <w:pPr>
              <w:pStyle w:val="TableText0"/>
              <w:jc w:val="center"/>
            </w:pPr>
          </w:p>
        </w:tc>
        <w:tc>
          <w:tcPr>
            <w:tcW w:w="2722" w:type="pct"/>
            <w:tcBorders>
              <w:top w:val="single" w:sz="4" w:space="0" w:color="auto"/>
              <w:bottom w:val="single" w:sz="4" w:space="0" w:color="auto"/>
            </w:tcBorders>
            <w:vAlign w:val="center"/>
          </w:tcPr>
          <w:p w14:paraId="0FCB0ED9" w14:textId="7943A9F9" w:rsidR="00CC1B83" w:rsidRPr="00842260" w:rsidRDefault="00CC1B83" w:rsidP="00CC1B83">
            <w:pPr>
              <w:pStyle w:val="TableText0"/>
            </w:pPr>
            <w:r w:rsidRPr="00842260">
              <w:t>Statistical Analysis Plan I3Y-MC-JPC, Addendum for OS Analyses</w:t>
            </w:r>
          </w:p>
        </w:tc>
        <w:tc>
          <w:tcPr>
            <w:tcW w:w="1321" w:type="pct"/>
            <w:tcBorders>
              <w:top w:val="single" w:sz="4" w:space="0" w:color="auto"/>
              <w:bottom w:val="single" w:sz="4" w:space="0" w:color="auto"/>
            </w:tcBorders>
            <w:vAlign w:val="center"/>
          </w:tcPr>
          <w:p w14:paraId="7C0550ED" w14:textId="31D66CBC" w:rsidR="00CC1B83" w:rsidRPr="00842260" w:rsidRDefault="00CC1B83" w:rsidP="00CC1B83">
            <w:pPr>
              <w:pStyle w:val="TableText0"/>
            </w:pPr>
            <w:r w:rsidRPr="00842260">
              <w:t>Approval date: 15-Dec-2020</w:t>
            </w:r>
          </w:p>
        </w:tc>
      </w:tr>
      <w:tr w:rsidR="00CC1B83" w:rsidRPr="00842260" w14:paraId="340757F6" w14:textId="77777777" w:rsidTr="005E5BB7">
        <w:trPr>
          <w:cantSplit/>
        </w:trPr>
        <w:tc>
          <w:tcPr>
            <w:tcW w:w="957" w:type="pct"/>
            <w:vMerge/>
            <w:vAlign w:val="center"/>
          </w:tcPr>
          <w:p w14:paraId="2C60D627" w14:textId="77777777" w:rsidR="00CC1B83" w:rsidRPr="00842260" w:rsidRDefault="00CC1B83" w:rsidP="00CC1B83">
            <w:pPr>
              <w:pStyle w:val="TableText0"/>
              <w:jc w:val="center"/>
            </w:pPr>
          </w:p>
        </w:tc>
        <w:tc>
          <w:tcPr>
            <w:tcW w:w="2722" w:type="pct"/>
            <w:tcBorders>
              <w:top w:val="single" w:sz="4" w:space="0" w:color="auto"/>
              <w:bottom w:val="single" w:sz="4" w:space="0" w:color="auto"/>
            </w:tcBorders>
            <w:vAlign w:val="center"/>
          </w:tcPr>
          <w:p w14:paraId="13922347" w14:textId="77777777" w:rsidR="00CC1B83" w:rsidRPr="00842260" w:rsidRDefault="00CC1B83" w:rsidP="00CC1B83">
            <w:pPr>
              <w:pStyle w:val="TableText0"/>
              <w:rPr>
                <w:b/>
                <w:szCs w:val="18"/>
              </w:rPr>
            </w:pPr>
            <w:r w:rsidRPr="00842260">
              <w:rPr>
                <w:b/>
                <w:szCs w:val="18"/>
              </w:rPr>
              <w:t>Publications</w:t>
            </w:r>
          </w:p>
          <w:p w14:paraId="1A045230" w14:textId="68601157" w:rsidR="00CC1B83" w:rsidRPr="00842260" w:rsidRDefault="00CC1B83" w:rsidP="00CC1B83">
            <w:pPr>
              <w:pStyle w:val="TableText0"/>
            </w:pPr>
            <w:r w:rsidRPr="00842260">
              <w:t xml:space="preserve">Rastogi, P., Toi, M. et al. </w:t>
            </w:r>
            <w:proofErr w:type="spellStart"/>
            <w:r w:rsidRPr="00842260">
              <w:t>MonarchE</w:t>
            </w:r>
            <w:proofErr w:type="spellEnd"/>
            <w:r w:rsidRPr="00842260">
              <w:t xml:space="preserve">: a randomized, open-label, phase 3 study of ABE combined with standard adjuvant endocrine therapy versus standard adjuvant endocrine therapy alone in patients with high risk, node positive, early stage, HR+, HER2-breast cancer. </w:t>
            </w:r>
          </w:p>
        </w:tc>
        <w:tc>
          <w:tcPr>
            <w:tcW w:w="1321" w:type="pct"/>
            <w:tcBorders>
              <w:top w:val="single" w:sz="4" w:space="0" w:color="auto"/>
              <w:bottom w:val="single" w:sz="4" w:space="0" w:color="auto"/>
            </w:tcBorders>
            <w:vAlign w:val="center"/>
          </w:tcPr>
          <w:p w14:paraId="32D1C1DF" w14:textId="5B8AA791" w:rsidR="00CC1B83" w:rsidRPr="00842260" w:rsidRDefault="00CC1B83" w:rsidP="00CC1B83">
            <w:pPr>
              <w:pStyle w:val="TableText0"/>
              <w:rPr>
                <w:rFonts w:ascii="Times" w:hAnsi="Times"/>
              </w:rPr>
            </w:pPr>
            <w:r w:rsidRPr="00842260">
              <w:t>Cancer Research 2018; 78 (4).</w:t>
            </w:r>
          </w:p>
        </w:tc>
      </w:tr>
      <w:tr w:rsidR="00CC1B83" w:rsidRPr="00842260" w14:paraId="400ADAF8" w14:textId="77777777" w:rsidTr="005E5BB7">
        <w:trPr>
          <w:cantSplit/>
        </w:trPr>
        <w:tc>
          <w:tcPr>
            <w:tcW w:w="957" w:type="pct"/>
            <w:vMerge/>
            <w:vAlign w:val="center"/>
          </w:tcPr>
          <w:p w14:paraId="18C64AF1" w14:textId="43FB4422" w:rsidR="00CC1B83" w:rsidRPr="00842260" w:rsidRDefault="00CC1B83" w:rsidP="00CC1B83">
            <w:pPr>
              <w:pStyle w:val="TableText0"/>
              <w:jc w:val="center"/>
            </w:pPr>
          </w:p>
        </w:tc>
        <w:tc>
          <w:tcPr>
            <w:tcW w:w="2722" w:type="pct"/>
            <w:tcBorders>
              <w:top w:val="single" w:sz="4" w:space="0" w:color="auto"/>
              <w:bottom w:val="single" w:sz="4" w:space="0" w:color="auto"/>
            </w:tcBorders>
            <w:vAlign w:val="center"/>
          </w:tcPr>
          <w:p w14:paraId="0A35B979" w14:textId="6F603628" w:rsidR="00CC1B83" w:rsidRPr="00842260" w:rsidRDefault="00CC1B83" w:rsidP="00CC1B83">
            <w:pPr>
              <w:pStyle w:val="TableText0"/>
              <w:rPr>
                <w:rFonts w:ascii="Times" w:hAnsi="Times"/>
              </w:rPr>
            </w:pPr>
            <w:r w:rsidRPr="00842260">
              <w:t xml:space="preserve">Johnston, S., </w:t>
            </w:r>
            <w:proofErr w:type="spellStart"/>
            <w:r w:rsidRPr="00842260">
              <w:t>Harbeck</w:t>
            </w:r>
            <w:proofErr w:type="spellEnd"/>
            <w:r w:rsidRPr="00842260">
              <w:t>, N. et al. 2MO ABE in high-risk early breast cancer.</w:t>
            </w:r>
          </w:p>
        </w:tc>
        <w:tc>
          <w:tcPr>
            <w:tcW w:w="1321" w:type="pct"/>
            <w:tcBorders>
              <w:top w:val="single" w:sz="4" w:space="0" w:color="auto"/>
              <w:bottom w:val="single" w:sz="4" w:space="0" w:color="auto"/>
            </w:tcBorders>
            <w:vAlign w:val="center"/>
          </w:tcPr>
          <w:p w14:paraId="4A191A18" w14:textId="04F84365" w:rsidR="00CC1B83" w:rsidRPr="00842260" w:rsidRDefault="00CC1B83" w:rsidP="00CC1B83">
            <w:pPr>
              <w:pStyle w:val="TableText0"/>
              <w:rPr>
                <w:rFonts w:ascii="Times" w:hAnsi="Times"/>
              </w:rPr>
            </w:pPr>
            <w:r w:rsidRPr="00842260">
              <w:t xml:space="preserve">Annals of Oncology 2020; </w:t>
            </w:r>
            <w:proofErr w:type="gramStart"/>
            <w:r w:rsidRPr="00842260">
              <w:t>31:S</w:t>
            </w:r>
            <w:proofErr w:type="gramEnd"/>
            <w:r w:rsidRPr="00842260">
              <w:t>1242‐S1243.</w:t>
            </w:r>
          </w:p>
        </w:tc>
      </w:tr>
      <w:tr w:rsidR="00CC1B83" w:rsidRPr="00842260" w14:paraId="3C25A115" w14:textId="77777777" w:rsidTr="005E5BB7">
        <w:trPr>
          <w:cantSplit/>
        </w:trPr>
        <w:tc>
          <w:tcPr>
            <w:tcW w:w="957" w:type="pct"/>
            <w:vMerge/>
            <w:vAlign w:val="center"/>
          </w:tcPr>
          <w:p w14:paraId="7B7F242C" w14:textId="7CBDF1E3" w:rsidR="00CC1B83" w:rsidRPr="00842260" w:rsidRDefault="00CC1B83" w:rsidP="00CC1B83">
            <w:pPr>
              <w:pStyle w:val="Tabletext"/>
              <w:keepNext/>
              <w:keepLines/>
            </w:pPr>
          </w:p>
        </w:tc>
        <w:tc>
          <w:tcPr>
            <w:tcW w:w="2722" w:type="pct"/>
            <w:tcBorders>
              <w:top w:val="single" w:sz="4" w:space="0" w:color="auto"/>
              <w:bottom w:val="single" w:sz="4" w:space="0" w:color="auto"/>
            </w:tcBorders>
            <w:vAlign w:val="center"/>
          </w:tcPr>
          <w:p w14:paraId="579BA225" w14:textId="44A22D6C" w:rsidR="00CC1B83" w:rsidRPr="00842260" w:rsidRDefault="00CC1B83" w:rsidP="00CC1B83">
            <w:pPr>
              <w:pStyle w:val="TableText0"/>
            </w:pPr>
            <w:r w:rsidRPr="00842260">
              <w:t xml:space="preserve">Johnston, S. R. D., </w:t>
            </w:r>
            <w:proofErr w:type="spellStart"/>
            <w:r w:rsidRPr="00842260">
              <w:t>Harbeck</w:t>
            </w:r>
            <w:proofErr w:type="spellEnd"/>
            <w:r w:rsidRPr="00842260">
              <w:t>, N. et al. ABE Combined with Endocrine Therapy for the Adjuvant Treatment of HR+, HER2-, Node-Positive, High-Risk, Early Breast Cancer (</w:t>
            </w:r>
            <w:proofErr w:type="spellStart"/>
            <w:r w:rsidRPr="00842260">
              <w:t>monarchE</w:t>
            </w:r>
            <w:proofErr w:type="spellEnd"/>
            <w:r w:rsidRPr="00842260">
              <w:t xml:space="preserve">).  </w:t>
            </w:r>
          </w:p>
        </w:tc>
        <w:tc>
          <w:tcPr>
            <w:tcW w:w="1321" w:type="pct"/>
            <w:tcBorders>
              <w:top w:val="single" w:sz="4" w:space="0" w:color="auto"/>
              <w:bottom w:val="single" w:sz="4" w:space="0" w:color="auto"/>
            </w:tcBorders>
            <w:vAlign w:val="center"/>
          </w:tcPr>
          <w:p w14:paraId="08A85085" w14:textId="7366BCC1" w:rsidR="00CC1B83" w:rsidRPr="00842260" w:rsidRDefault="00CC1B83" w:rsidP="00CC1B83">
            <w:pPr>
              <w:pStyle w:val="TableText0"/>
            </w:pPr>
            <w:r w:rsidRPr="00842260">
              <w:t>Journal of clinical oncology 2020</w:t>
            </w:r>
          </w:p>
        </w:tc>
      </w:tr>
      <w:tr w:rsidR="00CC1B83" w:rsidRPr="00842260" w14:paraId="57600B6B" w14:textId="77777777" w:rsidTr="005E5BB7">
        <w:trPr>
          <w:cantSplit/>
        </w:trPr>
        <w:tc>
          <w:tcPr>
            <w:tcW w:w="957" w:type="pct"/>
            <w:vMerge/>
            <w:vAlign w:val="center"/>
          </w:tcPr>
          <w:p w14:paraId="61E4BD61" w14:textId="77777777" w:rsidR="00CC1B83" w:rsidRPr="00842260" w:rsidRDefault="00CC1B83" w:rsidP="00CC1B83">
            <w:pPr>
              <w:pStyle w:val="Tabletext"/>
              <w:keepNext/>
              <w:keepLines/>
            </w:pPr>
          </w:p>
        </w:tc>
        <w:tc>
          <w:tcPr>
            <w:tcW w:w="2722" w:type="pct"/>
            <w:tcBorders>
              <w:top w:val="single" w:sz="4" w:space="0" w:color="auto"/>
              <w:bottom w:val="single" w:sz="4" w:space="0" w:color="auto"/>
            </w:tcBorders>
            <w:vAlign w:val="center"/>
          </w:tcPr>
          <w:p w14:paraId="1F420A22" w14:textId="4CC6E8E3" w:rsidR="00CC1B83" w:rsidRPr="00842260" w:rsidRDefault="00CC1B83" w:rsidP="00CC1B83">
            <w:pPr>
              <w:pStyle w:val="TableText0"/>
            </w:pPr>
            <w:r w:rsidRPr="00842260">
              <w:t xml:space="preserve">Johnston, S. R. D., </w:t>
            </w:r>
            <w:proofErr w:type="spellStart"/>
            <w:r w:rsidRPr="00842260">
              <w:t>Harbeck</w:t>
            </w:r>
            <w:proofErr w:type="spellEnd"/>
            <w:r w:rsidRPr="00842260">
              <w:t>, N. et al. ABE in high-risk early breast cancer.</w:t>
            </w:r>
          </w:p>
        </w:tc>
        <w:tc>
          <w:tcPr>
            <w:tcW w:w="1321" w:type="pct"/>
            <w:tcBorders>
              <w:top w:val="single" w:sz="4" w:space="0" w:color="auto"/>
              <w:bottom w:val="single" w:sz="4" w:space="0" w:color="auto"/>
            </w:tcBorders>
            <w:vAlign w:val="center"/>
          </w:tcPr>
          <w:p w14:paraId="438B704D" w14:textId="05E13C09" w:rsidR="00CC1B83" w:rsidRPr="00842260" w:rsidRDefault="00CC1B83" w:rsidP="00CC1B83">
            <w:pPr>
              <w:pStyle w:val="TableText0"/>
            </w:pPr>
            <w:r w:rsidRPr="00842260">
              <w:t xml:space="preserve">Annals of Oncology 2020; </w:t>
            </w:r>
            <w:proofErr w:type="gramStart"/>
            <w:r w:rsidRPr="00842260">
              <w:t>31:S</w:t>
            </w:r>
            <w:proofErr w:type="gramEnd"/>
            <w:r w:rsidRPr="00842260">
              <w:t>1143‐S1144</w:t>
            </w:r>
          </w:p>
        </w:tc>
      </w:tr>
      <w:tr w:rsidR="00CC1B83" w:rsidRPr="00842260" w14:paraId="7CFC4781" w14:textId="77777777" w:rsidTr="005E5BB7">
        <w:trPr>
          <w:cantSplit/>
        </w:trPr>
        <w:tc>
          <w:tcPr>
            <w:tcW w:w="957" w:type="pct"/>
            <w:vMerge/>
            <w:vAlign w:val="center"/>
          </w:tcPr>
          <w:p w14:paraId="4681EF63" w14:textId="77777777" w:rsidR="00CC1B83" w:rsidRPr="00842260" w:rsidRDefault="00CC1B83" w:rsidP="00CC1B83">
            <w:pPr>
              <w:pStyle w:val="Tabletext"/>
              <w:keepNext/>
              <w:keepLines/>
            </w:pPr>
          </w:p>
        </w:tc>
        <w:tc>
          <w:tcPr>
            <w:tcW w:w="2722" w:type="pct"/>
            <w:tcBorders>
              <w:top w:val="single" w:sz="4" w:space="0" w:color="auto"/>
              <w:bottom w:val="single" w:sz="4" w:space="0" w:color="auto"/>
            </w:tcBorders>
            <w:vAlign w:val="center"/>
          </w:tcPr>
          <w:p w14:paraId="01C97E16" w14:textId="755013D9" w:rsidR="00CC1B83" w:rsidRPr="00842260" w:rsidRDefault="00CC1B83" w:rsidP="00CC1B83">
            <w:pPr>
              <w:pStyle w:val="TableText0"/>
            </w:pPr>
            <w:r w:rsidRPr="00842260">
              <w:t xml:space="preserve">Jiang, Z., Nakayama, T. et al. LBA 1 Baseline characteristics of patients from Asia enrolled in </w:t>
            </w:r>
            <w:proofErr w:type="spellStart"/>
            <w:r w:rsidRPr="00842260">
              <w:t>monarchE</w:t>
            </w:r>
            <w:proofErr w:type="spellEnd"/>
            <w:r w:rsidRPr="00842260">
              <w:t>, evaluating ABE in high-risk early breast cancer.</w:t>
            </w:r>
          </w:p>
        </w:tc>
        <w:tc>
          <w:tcPr>
            <w:tcW w:w="1321" w:type="pct"/>
            <w:tcBorders>
              <w:top w:val="single" w:sz="4" w:space="0" w:color="auto"/>
              <w:bottom w:val="single" w:sz="4" w:space="0" w:color="auto"/>
            </w:tcBorders>
            <w:vAlign w:val="center"/>
          </w:tcPr>
          <w:p w14:paraId="29F6D2A8" w14:textId="1C1672EE" w:rsidR="00CC1B83" w:rsidRPr="00842260" w:rsidRDefault="00CC1B83" w:rsidP="00CC1B83">
            <w:pPr>
              <w:pStyle w:val="TableText0"/>
            </w:pPr>
            <w:r w:rsidRPr="00842260">
              <w:t xml:space="preserve">Annals of oncology 2020; </w:t>
            </w:r>
            <w:proofErr w:type="gramStart"/>
            <w:r w:rsidRPr="00842260">
              <w:t>31:S</w:t>
            </w:r>
            <w:proofErr w:type="gramEnd"/>
            <w:r w:rsidRPr="00842260">
              <w:t>1241.</w:t>
            </w:r>
          </w:p>
        </w:tc>
      </w:tr>
      <w:tr w:rsidR="00CC1B83" w:rsidRPr="00842260" w14:paraId="7D54B638" w14:textId="77777777" w:rsidTr="005E5BB7">
        <w:trPr>
          <w:cantSplit/>
        </w:trPr>
        <w:tc>
          <w:tcPr>
            <w:tcW w:w="957" w:type="pct"/>
            <w:vMerge/>
            <w:vAlign w:val="center"/>
          </w:tcPr>
          <w:p w14:paraId="56D3D732" w14:textId="77777777" w:rsidR="00CC1B83" w:rsidRPr="00842260" w:rsidRDefault="00CC1B83" w:rsidP="00CC1B83">
            <w:pPr>
              <w:pStyle w:val="Tabletext"/>
              <w:keepNext/>
              <w:keepLines/>
            </w:pPr>
          </w:p>
        </w:tc>
        <w:tc>
          <w:tcPr>
            <w:tcW w:w="2722" w:type="pct"/>
            <w:tcBorders>
              <w:top w:val="single" w:sz="4" w:space="0" w:color="auto"/>
              <w:bottom w:val="single" w:sz="4" w:space="0" w:color="auto"/>
            </w:tcBorders>
          </w:tcPr>
          <w:p w14:paraId="17F3781A" w14:textId="35DF907C" w:rsidR="00CC1B83" w:rsidRPr="00842260" w:rsidRDefault="00CC1B83" w:rsidP="00CC1B83">
            <w:pPr>
              <w:pStyle w:val="TableText0"/>
            </w:pPr>
            <w:proofErr w:type="spellStart"/>
            <w:r w:rsidRPr="00842260">
              <w:t>Harbeck</w:t>
            </w:r>
            <w:proofErr w:type="spellEnd"/>
            <w:r w:rsidRPr="00842260">
              <w:t xml:space="preserve"> N., Rastogi P., et al. Adjuvant </w:t>
            </w:r>
            <w:proofErr w:type="spellStart"/>
            <w:r w:rsidRPr="00842260">
              <w:t>abemaciclib</w:t>
            </w:r>
            <w:proofErr w:type="spellEnd"/>
            <w:r w:rsidRPr="00842260">
              <w:t xml:space="preserve"> combined with endocrine therapy for high-risk early breast cancer: updated efficacy and Ki-67 analysis from the </w:t>
            </w:r>
            <w:proofErr w:type="spellStart"/>
            <w:r w:rsidRPr="00842260">
              <w:t>monarchE</w:t>
            </w:r>
            <w:proofErr w:type="spellEnd"/>
            <w:r w:rsidRPr="00842260">
              <w:t xml:space="preserve"> study</w:t>
            </w:r>
          </w:p>
        </w:tc>
        <w:tc>
          <w:tcPr>
            <w:tcW w:w="1321" w:type="pct"/>
            <w:tcBorders>
              <w:top w:val="single" w:sz="4" w:space="0" w:color="auto"/>
              <w:bottom w:val="single" w:sz="4" w:space="0" w:color="auto"/>
            </w:tcBorders>
            <w:vAlign w:val="center"/>
          </w:tcPr>
          <w:p w14:paraId="7253363D" w14:textId="5CB6AE8D" w:rsidR="00CC1B83" w:rsidRPr="00842260" w:rsidRDefault="00CC1B83" w:rsidP="00CC1B83">
            <w:pPr>
              <w:pStyle w:val="TableText0"/>
            </w:pPr>
            <w:r w:rsidRPr="00842260">
              <w:t>2021 (in press)</w:t>
            </w:r>
          </w:p>
        </w:tc>
      </w:tr>
      <w:tr w:rsidR="00CC1B83" w:rsidRPr="00842260" w14:paraId="41954232" w14:textId="77777777" w:rsidTr="005E5BB7">
        <w:trPr>
          <w:cantSplit/>
        </w:trPr>
        <w:tc>
          <w:tcPr>
            <w:tcW w:w="957" w:type="pct"/>
            <w:vMerge/>
            <w:vAlign w:val="center"/>
          </w:tcPr>
          <w:p w14:paraId="493C14BB" w14:textId="77777777" w:rsidR="00CC1B83" w:rsidRPr="00842260" w:rsidRDefault="00CC1B83" w:rsidP="00CC1B83">
            <w:pPr>
              <w:pStyle w:val="Tabletext"/>
              <w:keepNext/>
              <w:keepLines/>
            </w:pPr>
          </w:p>
        </w:tc>
        <w:tc>
          <w:tcPr>
            <w:tcW w:w="2722" w:type="pct"/>
            <w:tcBorders>
              <w:top w:val="single" w:sz="4" w:space="0" w:color="auto"/>
              <w:bottom w:val="single" w:sz="4" w:space="0" w:color="auto"/>
            </w:tcBorders>
          </w:tcPr>
          <w:p w14:paraId="20F4274C" w14:textId="16195800" w:rsidR="00CC1B83" w:rsidRPr="00842260" w:rsidRDefault="00CC1B83" w:rsidP="00CC1B83">
            <w:pPr>
              <w:pStyle w:val="TableText0"/>
            </w:pPr>
            <w:proofErr w:type="spellStart"/>
            <w:r w:rsidRPr="00842260">
              <w:t>Harbeck</w:t>
            </w:r>
            <w:proofErr w:type="spellEnd"/>
            <w:r w:rsidRPr="00842260">
              <w:t xml:space="preserve"> N., Rastogi P., et al. Adjuvant </w:t>
            </w:r>
            <w:proofErr w:type="spellStart"/>
            <w:r w:rsidRPr="00842260">
              <w:t>abemaciclib</w:t>
            </w:r>
            <w:proofErr w:type="spellEnd"/>
            <w:r w:rsidRPr="00842260">
              <w:t xml:space="preserve"> combined with endocrine therapy for high-risk early breast cancer: updated efficacy and Ki-67 analysis from the </w:t>
            </w:r>
            <w:proofErr w:type="spellStart"/>
            <w:r w:rsidRPr="00842260">
              <w:t>monarchE</w:t>
            </w:r>
            <w:proofErr w:type="spellEnd"/>
            <w:r w:rsidRPr="00842260">
              <w:t xml:space="preserve"> study </w:t>
            </w:r>
          </w:p>
        </w:tc>
        <w:tc>
          <w:tcPr>
            <w:tcW w:w="1321" w:type="pct"/>
            <w:tcBorders>
              <w:top w:val="single" w:sz="4" w:space="0" w:color="auto"/>
              <w:bottom w:val="single" w:sz="4" w:space="0" w:color="auto"/>
            </w:tcBorders>
            <w:vAlign w:val="center"/>
          </w:tcPr>
          <w:p w14:paraId="51944E86" w14:textId="6551B7B0" w:rsidR="00CC1B83" w:rsidRPr="00842260" w:rsidRDefault="00CC1B83" w:rsidP="00CC1B83">
            <w:pPr>
              <w:pStyle w:val="TableText0"/>
            </w:pPr>
            <w:r w:rsidRPr="00842260">
              <w:t>2021 (in press – supplementary data)</w:t>
            </w:r>
          </w:p>
        </w:tc>
      </w:tr>
      <w:tr w:rsidR="00CC1B83" w:rsidRPr="00842260" w14:paraId="6F88FEE0" w14:textId="77777777" w:rsidTr="005E5BB7">
        <w:trPr>
          <w:cantSplit/>
        </w:trPr>
        <w:tc>
          <w:tcPr>
            <w:tcW w:w="957" w:type="pct"/>
            <w:vMerge/>
            <w:tcBorders>
              <w:bottom w:val="single" w:sz="4" w:space="0" w:color="auto"/>
            </w:tcBorders>
            <w:vAlign w:val="center"/>
          </w:tcPr>
          <w:p w14:paraId="08A88473" w14:textId="77777777" w:rsidR="00CC1B83" w:rsidRPr="00842260" w:rsidRDefault="00CC1B83" w:rsidP="00CC1B83">
            <w:pPr>
              <w:pStyle w:val="Tabletext"/>
              <w:keepNext/>
              <w:keepLines/>
            </w:pPr>
          </w:p>
        </w:tc>
        <w:tc>
          <w:tcPr>
            <w:tcW w:w="2722" w:type="pct"/>
            <w:tcBorders>
              <w:top w:val="single" w:sz="4" w:space="0" w:color="auto"/>
              <w:bottom w:val="single" w:sz="4" w:space="0" w:color="auto"/>
            </w:tcBorders>
          </w:tcPr>
          <w:p w14:paraId="43EDE6B3" w14:textId="75A6DD32" w:rsidR="00CC1B83" w:rsidRPr="00842260" w:rsidRDefault="00CC1B83" w:rsidP="00CC1B83">
            <w:pPr>
              <w:pStyle w:val="TableText0"/>
            </w:pPr>
            <w:proofErr w:type="spellStart"/>
            <w:r w:rsidRPr="00842260">
              <w:t>Harbeck</w:t>
            </w:r>
            <w:proofErr w:type="spellEnd"/>
            <w:r w:rsidRPr="00842260">
              <w:t xml:space="preserve"> N., Rastogi P., et al. Letter to the Editor for "Adjuvant </w:t>
            </w:r>
            <w:proofErr w:type="spellStart"/>
            <w:r w:rsidRPr="00842260">
              <w:t>Abemaciclib</w:t>
            </w:r>
            <w:proofErr w:type="spellEnd"/>
            <w:r w:rsidRPr="00842260">
              <w:t xml:space="preserve"> Combined </w:t>
            </w:r>
            <w:proofErr w:type="gramStart"/>
            <w:r w:rsidRPr="00842260">
              <w:t>With</w:t>
            </w:r>
            <w:proofErr w:type="gramEnd"/>
            <w:r w:rsidRPr="00842260">
              <w:t xml:space="preserve"> Endocrine Therapy for High-Risk Early Breast Cancer: Updated Efficacy and Ki-67 Analysis From the </w:t>
            </w:r>
            <w:proofErr w:type="spellStart"/>
            <w:r w:rsidRPr="00842260">
              <w:t>monarchE</w:t>
            </w:r>
            <w:proofErr w:type="spellEnd"/>
            <w:r w:rsidRPr="00842260">
              <w:t xml:space="preserve"> Study" </w:t>
            </w:r>
          </w:p>
        </w:tc>
        <w:tc>
          <w:tcPr>
            <w:tcW w:w="1321" w:type="pct"/>
            <w:tcBorders>
              <w:top w:val="single" w:sz="4" w:space="0" w:color="auto"/>
              <w:bottom w:val="single" w:sz="4" w:space="0" w:color="auto"/>
            </w:tcBorders>
            <w:vAlign w:val="center"/>
          </w:tcPr>
          <w:p w14:paraId="18B84057" w14:textId="1D80B0E4" w:rsidR="00CC1B83" w:rsidRPr="00842260" w:rsidRDefault="00CC1B83" w:rsidP="00CC1B83">
            <w:pPr>
              <w:pStyle w:val="TableText0"/>
            </w:pPr>
            <w:r w:rsidRPr="00842260">
              <w:t>2021 (in press)</w:t>
            </w:r>
          </w:p>
        </w:tc>
      </w:tr>
    </w:tbl>
    <w:p w14:paraId="51D8173A" w14:textId="54F25BF9" w:rsidR="008E0D3C" w:rsidRPr="00842260" w:rsidRDefault="008E0D3C" w:rsidP="00EC5836">
      <w:pPr>
        <w:pStyle w:val="TableFigureFooter"/>
      </w:pPr>
      <w:r w:rsidRPr="00842260">
        <w:t xml:space="preserve">Source: </w:t>
      </w:r>
      <w:r w:rsidR="009A04FC" w:rsidRPr="00842260">
        <w:t>Table 2-4, p55</w:t>
      </w:r>
      <w:r w:rsidRPr="00842260">
        <w:t xml:space="preserve"> of the submission.</w:t>
      </w:r>
    </w:p>
    <w:p w14:paraId="70BF467B" w14:textId="724D82DD" w:rsidR="00DF7265" w:rsidRPr="00842260" w:rsidRDefault="00DF7265" w:rsidP="00EC5836">
      <w:pPr>
        <w:pStyle w:val="TableFigureFooter"/>
        <w:rPr>
          <w:sz w:val="20"/>
        </w:rPr>
      </w:pPr>
      <w:r w:rsidRPr="00842260">
        <w:t xml:space="preserve">ABE = </w:t>
      </w:r>
      <w:proofErr w:type="spellStart"/>
      <w:r w:rsidRPr="00842260">
        <w:t>abemaciclib</w:t>
      </w:r>
      <w:proofErr w:type="spellEnd"/>
      <w:r w:rsidRPr="00842260">
        <w:t>; CSR = clinical study report</w:t>
      </w:r>
      <w:r w:rsidR="005457D0" w:rsidRPr="00842260">
        <w:t>; HER2- =</w:t>
      </w:r>
      <w:r w:rsidR="00347463" w:rsidRPr="00842260">
        <w:t xml:space="preserve"> human epidermal growth factor receptor 2 negative; HR+ = hormone receptor positive; </w:t>
      </w:r>
      <w:r w:rsidR="005457D0" w:rsidRPr="00842260">
        <w:t>OS = overall survival.</w:t>
      </w:r>
    </w:p>
    <w:p w14:paraId="0A21CC79" w14:textId="75E5C96D" w:rsidR="00E33A66" w:rsidRPr="00842260" w:rsidRDefault="008F120A" w:rsidP="00A96119">
      <w:pPr>
        <w:pStyle w:val="3-BodyText"/>
        <w:rPr>
          <w:color w:val="0066FF"/>
        </w:rPr>
      </w:pPr>
      <w:r w:rsidRPr="00842260">
        <w:t>The key features of the</w:t>
      </w:r>
      <w:r w:rsidR="00B075CA" w:rsidRPr="00842260">
        <w:t xml:space="preserve"> </w:t>
      </w:r>
      <w:proofErr w:type="spellStart"/>
      <w:r w:rsidR="00B075CA" w:rsidRPr="00842260">
        <w:t>monarchE</w:t>
      </w:r>
      <w:proofErr w:type="spellEnd"/>
      <w:r w:rsidRPr="00842260">
        <w:t xml:space="preserve"> </w:t>
      </w:r>
      <w:r w:rsidR="009A04FC" w:rsidRPr="00842260">
        <w:t xml:space="preserve">direct randomised trial </w:t>
      </w:r>
      <w:r w:rsidRPr="00842260">
        <w:t xml:space="preserve">are summarised in </w:t>
      </w:r>
      <w:r w:rsidR="00923E14" w:rsidRPr="00842260">
        <w:fldChar w:fldCharType="begin"/>
      </w:r>
      <w:r w:rsidR="00923E14" w:rsidRPr="00842260">
        <w:instrText xml:space="preserve"> REF _Ref95896623 \h  \* MERGEFORMAT </w:instrText>
      </w:r>
      <w:r w:rsidR="00923E14" w:rsidRPr="00842260">
        <w:fldChar w:fldCharType="separate"/>
      </w:r>
      <w:r w:rsidR="00053218" w:rsidRPr="00053218">
        <w:t>Table 3</w:t>
      </w:r>
      <w:r w:rsidR="00923E14" w:rsidRPr="00842260">
        <w:fldChar w:fldCharType="end"/>
      </w:r>
      <w:r w:rsidRPr="00842260">
        <w:t>.</w:t>
      </w:r>
      <w:r w:rsidR="00BC591F" w:rsidRPr="00842260">
        <w:t xml:space="preserve"> </w:t>
      </w:r>
      <w:r w:rsidR="00120DA3" w:rsidRPr="00842260">
        <w:t>The trial had a</w:t>
      </w:r>
      <w:r w:rsidR="006C5D6E" w:rsidRPr="00842260">
        <w:t>n overall</w:t>
      </w:r>
      <w:r w:rsidR="00120DA3" w:rsidRPr="00842260">
        <w:t xml:space="preserve"> low risk of bias, </w:t>
      </w:r>
      <w:r w:rsidR="006C5D6E" w:rsidRPr="00842260">
        <w:t>although there was</w:t>
      </w:r>
      <w:r w:rsidR="00120DA3" w:rsidRPr="00842260">
        <w:t xml:space="preserve"> no attempt</w:t>
      </w:r>
      <w:r w:rsidR="00CB5404" w:rsidRPr="00842260">
        <w:t xml:space="preserve"> </w:t>
      </w:r>
      <w:r w:rsidR="007B7A17" w:rsidRPr="00842260">
        <w:t>made</w:t>
      </w:r>
      <w:r w:rsidR="00CB5404" w:rsidRPr="00842260">
        <w:t xml:space="preserve"> to blind </w:t>
      </w:r>
      <w:r w:rsidR="00120DA3" w:rsidRPr="00842260">
        <w:t>participants</w:t>
      </w:r>
      <w:r w:rsidR="00CB5404" w:rsidRPr="00842260">
        <w:t xml:space="preserve"> to treatment allocation</w:t>
      </w:r>
      <w:r w:rsidR="00A96119" w:rsidRPr="00842260">
        <w:t>.</w:t>
      </w:r>
    </w:p>
    <w:p w14:paraId="37D7CC8E" w14:textId="77777777" w:rsidR="00E33A66" w:rsidRPr="00842260" w:rsidRDefault="00E33A66" w:rsidP="0014549B">
      <w:pPr>
        <w:pStyle w:val="3-BodyText"/>
        <w:numPr>
          <w:ilvl w:val="0"/>
          <w:numId w:val="0"/>
        </w:numPr>
        <w:rPr>
          <w:color w:val="0066FF"/>
        </w:rPr>
      </w:pPr>
    </w:p>
    <w:p w14:paraId="355E2F15" w14:textId="1DF5D6B0" w:rsidR="007F1017" w:rsidRPr="00842260" w:rsidRDefault="005E3FDA" w:rsidP="00EC5836">
      <w:pPr>
        <w:pStyle w:val="TableFigureHeading"/>
        <w:rPr>
          <w:rStyle w:val="CommentReference"/>
          <w:b/>
          <w:szCs w:val="24"/>
        </w:rPr>
      </w:pPr>
      <w:bookmarkStart w:id="17" w:name="_Ref95896623"/>
      <w:r w:rsidRPr="00842260">
        <w:rPr>
          <w:rStyle w:val="TableFigureHeadingChar"/>
          <w:b/>
        </w:rPr>
        <w:lastRenderedPageBreak/>
        <w:t xml:space="preserve">Table </w:t>
      </w:r>
      <w:r w:rsidR="00AA03D7" w:rsidRPr="00842260">
        <w:rPr>
          <w:rStyle w:val="TableFigureHeadingChar"/>
          <w:b/>
        </w:rPr>
        <w:fldChar w:fldCharType="begin"/>
      </w:r>
      <w:r w:rsidR="00AA03D7" w:rsidRPr="00842260">
        <w:rPr>
          <w:rStyle w:val="TableFigureHeadingChar"/>
          <w:b/>
        </w:rPr>
        <w:instrText xml:space="preserve"> SEQ Table \* ARABIC \s 1 </w:instrText>
      </w:r>
      <w:r w:rsidR="00AA03D7" w:rsidRPr="00842260">
        <w:rPr>
          <w:rStyle w:val="TableFigureHeadingChar"/>
          <w:b/>
        </w:rPr>
        <w:fldChar w:fldCharType="separate"/>
      </w:r>
      <w:r w:rsidR="00053218">
        <w:rPr>
          <w:rStyle w:val="TableFigureHeadingChar"/>
          <w:b/>
          <w:noProof/>
        </w:rPr>
        <w:t>3</w:t>
      </w:r>
      <w:r w:rsidR="00AA03D7" w:rsidRPr="00842260">
        <w:rPr>
          <w:rStyle w:val="TableFigureHeadingChar"/>
          <w:b/>
        </w:rPr>
        <w:fldChar w:fldCharType="end"/>
      </w:r>
      <w:bookmarkEnd w:id="17"/>
      <w:r w:rsidRPr="00842260">
        <w:rPr>
          <w:rStyle w:val="TableFigureHeadingChar"/>
          <w:b/>
        </w:rPr>
        <w:t>:</w:t>
      </w:r>
      <w:r w:rsidRPr="00842260">
        <w:rPr>
          <w:rStyle w:val="CommentReference"/>
          <w:b/>
          <w:szCs w:val="24"/>
        </w:rPr>
        <w:t xml:space="preserve"> </w:t>
      </w:r>
      <w:r w:rsidR="007F1017" w:rsidRPr="00842260">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707"/>
        <w:gridCol w:w="1134"/>
        <w:gridCol w:w="1134"/>
        <w:gridCol w:w="2554"/>
        <w:gridCol w:w="1134"/>
        <w:gridCol w:w="1365"/>
      </w:tblGrid>
      <w:tr w:rsidR="00B41614" w:rsidRPr="00842260" w14:paraId="53DD7CC6" w14:textId="77777777" w:rsidTr="00A82D80">
        <w:trPr>
          <w:cantSplit/>
          <w:tblHeader/>
        </w:trPr>
        <w:tc>
          <w:tcPr>
            <w:tcW w:w="548" w:type="pct"/>
            <w:shd w:val="clear" w:color="auto" w:fill="auto"/>
            <w:vAlign w:val="center"/>
          </w:tcPr>
          <w:p w14:paraId="794116BC" w14:textId="77777777" w:rsidR="007F1017" w:rsidRPr="00842260" w:rsidRDefault="007F1017" w:rsidP="001E34DF">
            <w:pPr>
              <w:pStyle w:val="In-tableHeading"/>
              <w:rPr>
                <w:lang w:val="en-AU"/>
              </w:rPr>
            </w:pPr>
            <w:r w:rsidRPr="00842260">
              <w:rPr>
                <w:lang w:val="en-AU"/>
              </w:rPr>
              <w:t>Trial</w:t>
            </w:r>
          </w:p>
        </w:tc>
        <w:tc>
          <w:tcPr>
            <w:tcW w:w="392" w:type="pct"/>
            <w:shd w:val="clear" w:color="auto" w:fill="auto"/>
            <w:vAlign w:val="center"/>
          </w:tcPr>
          <w:p w14:paraId="51122FE5" w14:textId="77777777" w:rsidR="007F1017" w:rsidRPr="00842260" w:rsidRDefault="007F1017" w:rsidP="00EC5836">
            <w:pPr>
              <w:pStyle w:val="In-tableHeading"/>
              <w:jc w:val="center"/>
              <w:rPr>
                <w:lang w:val="en-AU"/>
              </w:rPr>
            </w:pPr>
            <w:r w:rsidRPr="00842260">
              <w:rPr>
                <w:lang w:val="en-AU"/>
              </w:rPr>
              <w:t>N</w:t>
            </w:r>
          </w:p>
        </w:tc>
        <w:tc>
          <w:tcPr>
            <w:tcW w:w="629" w:type="pct"/>
            <w:shd w:val="clear" w:color="auto" w:fill="auto"/>
            <w:vAlign w:val="center"/>
          </w:tcPr>
          <w:p w14:paraId="41C438EF" w14:textId="77777777" w:rsidR="007F1017" w:rsidRPr="00842260" w:rsidRDefault="007F1017" w:rsidP="00EC5836">
            <w:pPr>
              <w:pStyle w:val="In-tableHeading"/>
              <w:jc w:val="center"/>
              <w:rPr>
                <w:lang w:val="en-AU"/>
              </w:rPr>
            </w:pPr>
            <w:r w:rsidRPr="00842260">
              <w:rPr>
                <w:lang w:val="en-AU"/>
              </w:rPr>
              <w:t>Design/ duration</w:t>
            </w:r>
          </w:p>
        </w:tc>
        <w:tc>
          <w:tcPr>
            <w:tcW w:w="629" w:type="pct"/>
            <w:shd w:val="clear" w:color="auto" w:fill="auto"/>
            <w:vAlign w:val="center"/>
          </w:tcPr>
          <w:p w14:paraId="1FC91360" w14:textId="77777777" w:rsidR="007F1017" w:rsidRPr="00842260" w:rsidRDefault="007F1017" w:rsidP="00EC5836">
            <w:pPr>
              <w:pStyle w:val="In-tableHeading"/>
              <w:jc w:val="center"/>
              <w:rPr>
                <w:lang w:val="en-AU"/>
              </w:rPr>
            </w:pPr>
            <w:r w:rsidRPr="00842260">
              <w:rPr>
                <w:lang w:val="en-AU"/>
              </w:rPr>
              <w:t>Risk of bias</w:t>
            </w:r>
          </w:p>
        </w:tc>
        <w:tc>
          <w:tcPr>
            <w:tcW w:w="1416" w:type="pct"/>
            <w:shd w:val="clear" w:color="auto" w:fill="auto"/>
            <w:vAlign w:val="center"/>
          </w:tcPr>
          <w:p w14:paraId="7FF90896" w14:textId="77777777" w:rsidR="007F1017" w:rsidRPr="00842260" w:rsidRDefault="007F1017" w:rsidP="00EC5836">
            <w:pPr>
              <w:pStyle w:val="In-tableHeading"/>
              <w:jc w:val="center"/>
              <w:rPr>
                <w:lang w:val="en-AU"/>
              </w:rPr>
            </w:pPr>
            <w:r w:rsidRPr="00842260">
              <w:rPr>
                <w:lang w:val="en-AU"/>
              </w:rPr>
              <w:t>Patient population</w:t>
            </w:r>
          </w:p>
        </w:tc>
        <w:tc>
          <w:tcPr>
            <w:tcW w:w="629" w:type="pct"/>
            <w:shd w:val="clear" w:color="auto" w:fill="auto"/>
            <w:vAlign w:val="center"/>
          </w:tcPr>
          <w:p w14:paraId="0FCB63F9" w14:textId="53F2B3FB" w:rsidR="007F1017" w:rsidRPr="00842260" w:rsidRDefault="00AD0107" w:rsidP="00EC5836">
            <w:pPr>
              <w:pStyle w:val="In-tableHeading"/>
              <w:jc w:val="center"/>
              <w:rPr>
                <w:lang w:val="en-AU"/>
              </w:rPr>
            </w:pPr>
            <w:r w:rsidRPr="00842260">
              <w:rPr>
                <w:lang w:val="en-AU"/>
              </w:rPr>
              <w:t>Outcomes</w:t>
            </w:r>
          </w:p>
        </w:tc>
        <w:tc>
          <w:tcPr>
            <w:tcW w:w="757" w:type="pct"/>
            <w:shd w:val="clear" w:color="auto" w:fill="auto"/>
            <w:vAlign w:val="center"/>
          </w:tcPr>
          <w:p w14:paraId="08C6F624" w14:textId="77777777" w:rsidR="007F1017" w:rsidRPr="00842260" w:rsidRDefault="007F1017" w:rsidP="00EC5836">
            <w:pPr>
              <w:pStyle w:val="In-tableHeading"/>
              <w:jc w:val="center"/>
              <w:rPr>
                <w:lang w:val="en-AU"/>
              </w:rPr>
            </w:pPr>
            <w:r w:rsidRPr="00842260">
              <w:rPr>
                <w:lang w:val="en-AU"/>
              </w:rPr>
              <w:t>Use in modelled evaluation</w:t>
            </w:r>
          </w:p>
        </w:tc>
      </w:tr>
      <w:tr w:rsidR="007F1017" w:rsidRPr="00842260" w14:paraId="2A03CD4B" w14:textId="77777777" w:rsidTr="00682BA6">
        <w:trPr>
          <w:cantSplit/>
        </w:trPr>
        <w:tc>
          <w:tcPr>
            <w:tcW w:w="5000" w:type="pct"/>
            <w:gridSpan w:val="7"/>
            <w:shd w:val="clear" w:color="auto" w:fill="auto"/>
            <w:vAlign w:val="center"/>
          </w:tcPr>
          <w:p w14:paraId="73088C85" w14:textId="796E2908" w:rsidR="007F1017" w:rsidRPr="00842260" w:rsidRDefault="003452B1" w:rsidP="003452B1">
            <w:pPr>
              <w:pStyle w:val="In-tableHeading"/>
              <w:rPr>
                <w:lang w:val="en-AU"/>
              </w:rPr>
            </w:pPr>
            <w:proofErr w:type="spellStart"/>
            <w:r w:rsidRPr="00842260">
              <w:rPr>
                <w:lang w:val="en-AU"/>
              </w:rPr>
              <w:t>Abemaciclib</w:t>
            </w:r>
            <w:proofErr w:type="spellEnd"/>
            <w:r w:rsidRPr="00842260">
              <w:rPr>
                <w:lang w:val="en-AU"/>
              </w:rPr>
              <w:t xml:space="preserve"> in combination with endocrine therapy versus endocrine therapy</w:t>
            </w:r>
            <w:r w:rsidR="00923E14" w:rsidRPr="00842260">
              <w:rPr>
                <w:lang w:val="en-AU"/>
              </w:rPr>
              <w:t xml:space="preserve"> alone</w:t>
            </w:r>
          </w:p>
        </w:tc>
      </w:tr>
      <w:tr w:rsidR="00B41614" w:rsidRPr="00842260" w14:paraId="4EE88DCB" w14:textId="77777777" w:rsidTr="00A82D80">
        <w:trPr>
          <w:cantSplit/>
        </w:trPr>
        <w:tc>
          <w:tcPr>
            <w:tcW w:w="548" w:type="pct"/>
            <w:tcBorders>
              <w:bottom w:val="nil"/>
            </w:tcBorders>
            <w:shd w:val="clear" w:color="auto" w:fill="auto"/>
            <w:vAlign w:val="center"/>
          </w:tcPr>
          <w:p w14:paraId="6EE77D33" w14:textId="1C02A9A8" w:rsidR="007F1017" w:rsidRPr="00842260" w:rsidRDefault="003452B1" w:rsidP="00EC5836">
            <w:pPr>
              <w:pStyle w:val="TableText0"/>
            </w:pPr>
            <w:proofErr w:type="spellStart"/>
            <w:r w:rsidRPr="00842260">
              <w:t>monarchE</w:t>
            </w:r>
            <w:proofErr w:type="spellEnd"/>
          </w:p>
        </w:tc>
        <w:tc>
          <w:tcPr>
            <w:tcW w:w="392" w:type="pct"/>
            <w:tcBorders>
              <w:bottom w:val="nil"/>
            </w:tcBorders>
            <w:shd w:val="clear" w:color="auto" w:fill="auto"/>
            <w:vAlign w:val="center"/>
          </w:tcPr>
          <w:p w14:paraId="41BB0E41" w14:textId="39AC357E" w:rsidR="007F1017" w:rsidRPr="00842260" w:rsidRDefault="003452B1" w:rsidP="00EC5836">
            <w:pPr>
              <w:pStyle w:val="TableText0"/>
              <w:jc w:val="center"/>
            </w:pPr>
            <w:r w:rsidRPr="00842260">
              <w:t>5637</w:t>
            </w:r>
          </w:p>
        </w:tc>
        <w:tc>
          <w:tcPr>
            <w:tcW w:w="629" w:type="pct"/>
            <w:tcBorders>
              <w:bottom w:val="nil"/>
            </w:tcBorders>
            <w:shd w:val="clear" w:color="auto" w:fill="auto"/>
            <w:vAlign w:val="center"/>
          </w:tcPr>
          <w:p w14:paraId="401EAFDA" w14:textId="191D9623" w:rsidR="007F1017" w:rsidRPr="00842260" w:rsidRDefault="007F1017" w:rsidP="00EC5836">
            <w:pPr>
              <w:pStyle w:val="TableText0"/>
              <w:jc w:val="center"/>
            </w:pPr>
            <w:r w:rsidRPr="00842260">
              <w:t xml:space="preserve">R, </w:t>
            </w:r>
            <w:r w:rsidR="003452B1" w:rsidRPr="00842260">
              <w:t>OL</w:t>
            </w:r>
          </w:p>
          <w:p w14:paraId="744D08AC" w14:textId="67DD22B4" w:rsidR="007F1017" w:rsidRPr="00842260" w:rsidRDefault="003452B1" w:rsidP="00EC5836">
            <w:pPr>
              <w:pStyle w:val="TableText0"/>
              <w:jc w:val="center"/>
            </w:pPr>
            <w:r w:rsidRPr="00842260">
              <w:t>27</w:t>
            </w:r>
            <w:r w:rsidR="007F1017" w:rsidRPr="00842260">
              <w:t xml:space="preserve"> m</w:t>
            </w:r>
            <w:r w:rsidR="00967FF2" w:rsidRPr="00842260">
              <w:t>on</w:t>
            </w:r>
            <w:r w:rsidR="007F1017" w:rsidRPr="00842260">
              <w:t>ths</w:t>
            </w:r>
          </w:p>
        </w:tc>
        <w:tc>
          <w:tcPr>
            <w:tcW w:w="629" w:type="pct"/>
            <w:tcBorders>
              <w:bottom w:val="nil"/>
            </w:tcBorders>
            <w:shd w:val="clear" w:color="auto" w:fill="auto"/>
            <w:vAlign w:val="center"/>
          </w:tcPr>
          <w:p w14:paraId="4A529D74" w14:textId="77777777" w:rsidR="007F1017" w:rsidRPr="00842260" w:rsidRDefault="007F1017" w:rsidP="00EC5836">
            <w:pPr>
              <w:pStyle w:val="TableText0"/>
              <w:jc w:val="center"/>
              <w:rPr>
                <w:iCs/>
              </w:rPr>
            </w:pPr>
            <w:r w:rsidRPr="00842260">
              <w:rPr>
                <w:iCs/>
              </w:rPr>
              <w:t>Low</w:t>
            </w:r>
          </w:p>
        </w:tc>
        <w:tc>
          <w:tcPr>
            <w:tcW w:w="1416" w:type="pct"/>
            <w:tcBorders>
              <w:bottom w:val="nil"/>
            </w:tcBorders>
            <w:shd w:val="clear" w:color="auto" w:fill="auto"/>
            <w:vAlign w:val="center"/>
          </w:tcPr>
          <w:p w14:paraId="4E86C017" w14:textId="212F178D" w:rsidR="008B7EB4" w:rsidRPr="00842260" w:rsidRDefault="008B7EB4" w:rsidP="008B7EB4">
            <w:pPr>
              <w:pStyle w:val="TableText0"/>
              <w:jc w:val="center"/>
            </w:pPr>
            <w:r w:rsidRPr="00842260">
              <w:t>HR+, HER2- resected EBC, ALN+ with high risk of recurrence</w:t>
            </w:r>
          </w:p>
          <w:p w14:paraId="5E6F456D" w14:textId="7F2C700F" w:rsidR="007F1017" w:rsidRPr="00842260" w:rsidRDefault="008B7EB4" w:rsidP="008B7EB4">
            <w:pPr>
              <w:pStyle w:val="TableText0"/>
              <w:jc w:val="center"/>
            </w:pPr>
            <w:r w:rsidRPr="00842260">
              <w:rPr>
                <w:b/>
              </w:rPr>
              <w:t>ITT</w:t>
            </w:r>
            <w:r w:rsidRPr="00842260">
              <w:t>: both cohort 1 and cohort 2</w:t>
            </w:r>
            <w:r w:rsidR="00347463" w:rsidRPr="00842260">
              <w:t>.</w:t>
            </w:r>
          </w:p>
        </w:tc>
        <w:tc>
          <w:tcPr>
            <w:tcW w:w="629" w:type="pct"/>
            <w:tcBorders>
              <w:bottom w:val="nil"/>
            </w:tcBorders>
            <w:shd w:val="clear" w:color="auto" w:fill="auto"/>
            <w:vAlign w:val="center"/>
          </w:tcPr>
          <w:p w14:paraId="6DC76214" w14:textId="1D0DD092" w:rsidR="007F1017" w:rsidRPr="00842260" w:rsidRDefault="00A45257" w:rsidP="00EC5836">
            <w:pPr>
              <w:pStyle w:val="TableText0"/>
              <w:jc w:val="center"/>
            </w:pPr>
            <w:r w:rsidRPr="00842260">
              <w:t xml:space="preserve">IDFS, DRFS, </w:t>
            </w:r>
            <w:r w:rsidR="007F1017" w:rsidRPr="00842260">
              <w:t>OS</w:t>
            </w:r>
            <w:r w:rsidRPr="00842260">
              <w:t>, HR-QoL</w:t>
            </w:r>
            <w:r w:rsidR="00AD0107" w:rsidRPr="00842260">
              <w:t xml:space="preserve"> and safety</w:t>
            </w:r>
          </w:p>
        </w:tc>
        <w:tc>
          <w:tcPr>
            <w:tcW w:w="757" w:type="pct"/>
            <w:tcBorders>
              <w:bottom w:val="nil"/>
            </w:tcBorders>
            <w:shd w:val="clear" w:color="auto" w:fill="auto"/>
            <w:vAlign w:val="center"/>
          </w:tcPr>
          <w:p w14:paraId="150A804C" w14:textId="2F843293" w:rsidR="007F1017" w:rsidRPr="00842260" w:rsidRDefault="00120DA3" w:rsidP="00120DA3">
            <w:pPr>
              <w:pStyle w:val="TableText0"/>
              <w:jc w:val="center"/>
            </w:pPr>
            <w:r w:rsidRPr="00842260">
              <w:t xml:space="preserve">IDFS </w:t>
            </w:r>
            <w:r w:rsidR="007F1017" w:rsidRPr="00842260">
              <w:t>used</w:t>
            </w:r>
          </w:p>
        </w:tc>
      </w:tr>
      <w:tr w:rsidR="008B7EB4" w:rsidRPr="00842260" w14:paraId="014FADDC" w14:textId="77777777" w:rsidTr="00A82D80">
        <w:trPr>
          <w:cantSplit/>
        </w:trPr>
        <w:tc>
          <w:tcPr>
            <w:tcW w:w="548" w:type="pct"/>
            <w:tcBorders>
              <w:top w:val="nil"/>
              <w:bottom w:val="nil"/>
            </w:tcBorders>
            <w:shd w:val="clear" w:color="auto" w:fill="auto"/>
            <w:vAlign w:val="center"/>
          </w:tcPr>
          <w:p w14:paraId="3B5A0E90" w14:textId="77777777" w:rsidR="008B7EB4" w:rsidRPr="00842260" w:rsidRDefault="008B7EB4" w:rsidP="00EC5836">
            <w:pPr>
              <w:pStyle w:val="TableText0"/>
            </w:pPr>
          </w:p>
        </w:tc>
        <w:tc>
          <w:tcPr>
            <w:tcW w:w="392" w:type="pct"/>
            <w:tcBorders>
              <w:top w:val="nil"/>
              <w:bottom w:val="nil"/>
            </w:tcBorders>
            <w:shd w:val="clear" w:color="auto" w:fill="auto"/>
            <w:vAlign w:val="center"/>
          </w:tcPr>
          <w:p w14:paraId="08ED6BCE" w14:textId="7BB46F6F" w:rsidR="008B7EB4" w:rsidRPr="00842260" w:rsidRDefault="00AC45BC" w:rsidP="00EC5836">
            <w:pPr>
              <w:pStyle w:val="TableText0"/>
              <w:jc w:val="center"/>
            </w:pPr>
            <w:r w:rsidRPr="00842260">
              <w:t>5120</w:t>
            </w:r>
          </w:p>
        </w:tc>
        <w:tc>
          <w:tcPr>
            <w:tcW w:w="629" w:type="pct"/>
            <w:tcBorders>
              <w:top w:val="nil"/>
              <w:bottom w:val="nil"/>
            </w:tcBorders>
            <w:shd w:val="clear" w:color="auto" w:fill="auto"/>
            <w:vAlign w:val="center"/>
          </w:tcPr>
          <w:p w14:paraId="174D67E0" w14:textId="77777777" w:rsidR="008B7EB4" w:rsidRPr="00842260" w:rsidRDefault="008B7EB4" w:rsidP="00EC5836">
            <w:pPr>
              <w:pStyle w:val="TableText0"/>
              <w:jc w:val="center"/>
            </w:pPr>
          </w:p>
        </w:tc>
        <w:tc>
          <w:tcPr>
            <w:tcW w:w="629" w:type="pct"/>
            <w:tcBorders>
              <w:top w:val="nil"/>
              <w:bottom w:val="nil"/>
            </w:tcBorders>
            <w:shd w:val="clear" w:color="auto" w:fill="auto"/>
            <w:vAlign w:val="center"/>
          </w:tcPr>
          <w:p w14:paraId="0F96AC08" w14:textId="77777777" w:rsidR="008B7EB4" w:rsidRPr="00842260" w:rsidRDefault="008B7EB4" w:rsidP="00EC5836">
            <w:pPr>
              <w:pStyle w:val="TableText0"/>
              <w:jc w:val="center"/>
            </w:pPr>
          </w:p>
        </w:tc>
        <w:tc>
          <w:tcPr>
            <w:tcW w:w="1416" w:type="pct"/>
            <w:tcBorders>
              <w:top w:val="nil"/>
              <w:bottom w:val="nil"/>
            </w:tcBorders>
            <w:shd w:val="clear" w:color="auto" w:fill="auto"/>
            <w:vAlign w:val="center"/>
          </w:tcPr>
          <w:p w14:paraId="22527677" w14:textId="4E0A287C" w:rsidR="008B7EB4" w:rsidRPr="00842260" w:rsidRDefault="008B7EB4" w:rsidP="00EC5836">
            <w:pPr>
              <w:pStyle w:val="TableText0"/>
              <w:jc w:val="center"/>
            </w:pPr>
            <w:r w:rsidRPr="00842260">
              <w:rPr>
                <w:b/>
              </w:rPr>
              <w:t>Cohort 1</w:t>
            </w:r>
            <w:r w:rsidRPr="00842260">
              <w:t>: high risk of recurrence: ≥4 ALNs; or 1-3 ALNs and tumour ≥5cm or grade ≥3 disease</w:t>
            </w:r>
            <w:r w:rsidR="00347463" w:rsidRPr="00842260">
              <w:t>.</w:t>
            </w:r>
          </w:p>
        </w:tc>
        <w:tc>
          <w:tcPr>
            <w:tcW w:w="629" w:type="pct"/>
            <w:tcBorders>
              <w:top w:val="nil"/>
              <w:bottom w:val="nil"/>
            </w:tcBorders>
            <w:shd w:val="clear" w:color="auto" w:fill="auto"/>
            <w:vAlign w:val="center"/>
          </w:tcPr>
          <w:p w14:paraId="5097789D" w14:textId="6699B263" w:rsidR="008B7EB4" w:rsidRPr="00842260" w:rsidRDefault="008B7EB4" w:rsidP="00EC5836">
            <w:pPr>
              <w:pStyle w:val="TableText0"/>
              <w:jc w:val="center"/>
            </w:pPr>
            <w:r w:rsidRPr="00842260">
              <w:t>IDFS, DRFS, OS</w:t>
            </w:r>
          </w:p>
        </w:tc>
        <w:tc>
          <w:tcPr>
            <w:tcW w:w="757" w:type="pct"/>
            <w:tcBorders>
              <w:top w:val="nil"/>
              <w:bottom w:val="nil"/>
            </w:tcBorders>
            <w:shd w:val="clear" w:color="auto" w:fill="auto"/>
            <w:vAlign w:val="center"/>
          </w:tcPr>
          <w:p w14:paraId="5DFB0084" w14:textId="2A99AF83" w:rsidR="008B7EB4" w:rsidRPr="00842260" w:rsidRDefault="008B7EB4" w:rsidP="00120DA3">
            <w:pPr>
              <w:pStyle w:val="TableText0"/>
              <w:jc w:val="center"/>
            </w:pPr>
            <w:r w:rsidRPr="00842260">
              <w:t>Not used</w:t>
            </w:r>
          </w:p>
        </w:tc>
      </w:tr>
      <w:tr w:rsidR="008B7EB4" w:rsidRPr="00842260" w14:paraId="5567E6E8" w14:textId="77777777" w:rsidTr="00A82D80">
        <w:trPr>
          <w:cantSplit/>
        </w:trPr>
        <w:tc>
          <w:tcPr>
            <w:tcW w:w="548" w:type="pct"/>
            <w:tcBorders>
              <w:top w:val="nil"/>
            </w:tcBorders>
            <w:shd w:val="clear" w:color="auto" w:fill="auto"/>
            <w:vAlign w:val="center"/>
          </w:tcPr>
          <w:p w14:paraId="6EB70F0A" w14:textId="77777777" w:rsidR="008B7EB4" w:rsidRPr="00842260" w:rsidRDefault="008B7EB4" w:rsidP="00EC5836">
            <w:pPr>
              <w:pStyle w:val="TableText0"/>
            </w:pPr>
          </w:p>
        </w:tc>
        <w:tc>
          <w:tcPr>
            <w:tcW w:w="392" w:type="pct"/>
            <w:tcBorders>
              <w:top w:val="nil"/>
            </w:tcBorders>
            <w:shd w:val="clear" w:color="auto" w:fill="auto"/>
            <w:vAlign w:val="center"/>
          </w:tcPr>
          <w:p w14:paraId="7FC8D8FB" w14:textId="30EE062E" w:rsidR="008B7EB4" w:rsidRPr="00842260" w:rsidRDefault="00AC45BC" w:rsidP="00EC5836">
            <w:pPr>
              <w:pStyle w:val="TableText0"/>
              <w:jc w:val="center"/>
            </w:pPr>
            <w:r w:rsidRPr="00842260">
              <w:t>517</w:t>
            </w:r>
          </w:p>
        </w:tc>
        <w:tc>
          <w:tcPr>
            <w:tcW w:w="629" w:type="pct"/>
            <w:tcBorders>
              <w:top w:val="nil"/>
            </w:tcBorders>
            <w:shd w:val="clear" w:color="auto" w:fill="auto"/>
            <w:vAlign w:val="center"/>
          </w:tcPr>
          <w:p w14:paraId="57391A2E" w14:textId="77777777" w:rsidR="008B7EB4" w:rsidRPr="00842260" w:rsidRDefault="008B7EB4" w:rsidP="00EC5836">
            <w:pPr>
              <w:pStyle w:val="TableText0"/>
              <w:jc w:val="center"/>
            </w:pPr>
          </w:p>
        </w:tc>
        <w:tc>
          <w:tcPr>
            <w:tcW w:w="629" w:type="pct"/>
            <w:tcBorders>
              <w:top w:val="nil"/>
            </w:tcBorders>
            <w:shd w:val="clear" w:color="auto" w:fill="auto"/>
            <w:vAlign w:val="center"/>
          </w:tcPr>
          <w:p w14:paraId="44AE406F" w14:textId="77777777" w:rsidR="008B7EB4" w:rsidRPr="00842260" w:rsidRDefault="008B7EB4" w:rsidP="00EC5836">
            <w:pPr>
              <w:pStyle w:val="TableText0"/>
              <w:jc w:val="center"/>
            </w:pPr>
          </w:p>
        </w:tc>
        <w:tc>
          <w:tcPr>
            <w:tcW w:w="1416" w:type="pct"/>
            <w:tcBorders>
              <w:top w:val="nil"/>
            </w:tcBorders>
            <w:shd w:val="clear" w:color="auto" w:fill="auto"/>
            <w:vAlign w:val="center"/>
          </w:tcPr>
          <w:p w14:paraId="6BEAC77A" w14:textId="295D6FB5" w:rsidR="008B7EB4" w:rsidRPr="00842260" w:rsidRDefault="008B7EB4" w:rsidP="00EC5836">
            <w:pPr>
              <w:pStyle w:val="TableText0"/>
              <w:jc w:val="center"/>
            </w:pPr>
            <w:r w:rsidRPr="00842260">
              <w:rPr>
                <w:b/>
              </w:rPr>
              <w:t>Cohort 2</w:t>
            </w:r>
            <w:r w:rsidRPr="00842260">
              <w:t>: 1-3 ALNs and high Ki-67 index (≥20%), not meeting eligibility for cohort 1 due to tumour &lt;5cm and grade &lt;3 disease</w:t>
            </w:r>
            <w:r w:rsidR="00347463" w:rsidRPr="00842260">
              <w:t>.</w:t>
            </w:r>
          </w:p>
        </w:tc>
        <w:tc>
          <w:tcPr>
            <w:tcW w:w="629" w:type="pct"/>
            <w:tcBorders>
              <w:top w:val="nil"/>
            </w:tcBorders>
            <w:shd w:val="clear" w:color="auto" w:fill="auto"/>
            <w:vAlign w:val="center"/>
          </w:tcPr>
          <w:p w14:paraId="28F37567" w14:textId="59864495" w:rsidR="008B7EB4" w:rsidRPr="00842260" w:rsidRDefault="008B7EB4" w:rsidP="00EC5836">
            <w:pPr>
              <w:pStyle w:val="TableText0"/>
              <w:jc w:val="center"/>
            </w:pPr>
            <w:r w:rsidRPr="00842260">
              <w:t>IDFS, DRFS, OS</w:t>
            </w:r>
          </w:p>
        </w:tc>
        <w:tc>
          <w:tcPr>
            <w:tcW w:w="757" w:type="pct"/>
            <w:tcBorders>
              <w:top w:val="nil"/>
            </w:tcBorders>
            <w:shd w:val="clear" w:color="auto" w:fill="auto"/>
            <w:vAlign w:val="center"/>
          </w:tcPr>
          <w:p w14:paraId="1EEBC16B" w14:textId="65928656" w:rsidR="008B7EB4" w:rsidRPr="00842260" w:rsidRDefault="008B7EB4" w:rsidP="00120DA3">
            <w:pPr>
              <w:pStyle w:val="TableText0"/>
              <w:jc w:val="center"/>
            </w:pPr>
            <w:r w:rsidRPr="00842260">
              <w:t>Not used</w:t>
            </w:r>
          </w:p>
        </w:tc>
      </w:tr>
    </w:tbl>
    <w:p w14:paraId="41F2AFA7" w14:textId="77777777" w:rsidR="00B075CA" w:rsidRPr="00842260" w:rsidRDefault="00045017" w:rsidP="00EC5836">
      <w:pPr>
        <w:pStyle w:val="TableFigureFooter"/>
      </w:pPr>
      <w:r w:rsidRPr="00842260">
        <w:t>Source:</w:t>
      </w:r>
      <w:r w:rsidR="00B075CA" w:rsidRPr="00842260">
        <w:t xml:space="preserve"> Table 2-5, p60, and Table 2-19, p76 of the submission</w:t>
      </w:r>
    </w:p>
    <w:p w14:paraId="2D57DA4F" w14:textId="19248072" w:rsidR="00A96119" w:rsidRPr="00842260" w:rsidRDefault="00B075CA" w:rsidP="00EC5836">
      <w:pPr>
        <w:pStyle w:val="TableFigureFooter"/>
      </w:pPr>
      <w:r w:rsidRPr="00842260">
        <w:t>A</w:t>
      </w:r>
      <w:r w:rsidR="00C213DD" w:rsidRPr="00842260">
        <w:t xml:space="preserve">LN = axillary lymph node; </w:t>
      </w:r>
      <w:r w:rsidR="00CB5404" w:rsidRPr="00842260">
        <w:t>DRFS = distant relapse</w:t>
      </w:r>
      <w:r w:rsidR="00A45257" w:rsidRPr="00842260">
        <w:t xml:space="preserve"> free survival; </w:t>
      </w:r>
      <w:r w:rsidR="00C213DD" w:rsidRPr="00842260">
        <w:t>EBC = early breast cancer;</w:t>
      </w:r>
      <w:r w:rsidR="00620C25" w:rsidRPr="00842260">
        <w:t xml:space="preserve"> </w:t>
      </w:r>
      <w:r w:rsidR="00C213DD" w:rsidRPr="00842260">
        <w:t xml:space="preserve">HER2- = </w:t>
      </w:r>
      <w:r w:rsidR="00610EDC" w:rsidRPr="00842260">
        <w:t>human epidermal growth factor receptor 2 negative;</w:t>
      </w:r>
      <w:r w:rsidR="00A45257" w:rsidRPr="00842260">
        <w:t xml:space="preserve"> HR+ = hormone receptor positive; HR-QoL = health-related quality of life; IDFS =</w:t>
      </w:r>
      <w:r w:rsidR="00CB5404" w:rsidRPr="00842260">
        <w:t xml:space="preserve"> invasive disease</w:t>
      </w:r>
      <w:r w:rsidR="00A45257" w:rsidRPr="00842260">
        <w:t>-free survival;</w:t>
      </w:r>
      <w:r w:rsidR="00610EDC" w:rsidRPr="00842260">
        <w:t xml:space="preserve"> </w:t>
      </w:r>
      <w:r w:rsidR="00620C25" w:rsidRPr="00842260">
        <w:t>OL = open label; OS = overall survival; R = randomised.</w:t>
      </w:r>
    </w:p>
    <w:p w14:paraId="69596257" w14:textId="4D812344" w:rsidR="00A96119" w:rsidRPr="00826D76" w:rsidRDefault="00A96119" w:rsidP="00A96119">
      <w:pPr>
        <w:pStyle w:val="3-BodyText"/>
      </w:pPr>
      <w:r w:rsidRPr="00826D76">
        <w:t xml:space="preserve">The ESC noted that patients were eligible to enrol in the </w:t>
      </w:r>
      <w:proofErr w:type="spellStart"/>
      <w:r w:rsidRPr="00826D76">
        <w:t>monarchE</w:t>
      </w:r>
      <w:proofErr w:type="spellEnd"/>
      <w:r w:rsidRPr="00826D76">
        <w:t xml:space="preserve"> study for up to 16 months following surgery. This extended time to enrolment may have led to a bias in patient recruitment. </w:t>
      </w:r>
      <w:r w:rsidR="00813625" w:rsidRPr="00826D76">
        <w:t>The PBAC agreed with the evaluation that d</w:t>
      </w:r>
      <w:r w:rsidRPr="00826D76">
        <w:t>ata regarding actual time to enrolment of patients in both arms of the study would aid in assessing this further</w:t>
      </w:r>
      <w:r w:rsidR="0075187D" w:rsidRPr="00826D76">
        <w:t>, noting that the time to randomisation from surgery is unclear, as is the time from imaging to randomisation</w:t>
      </w:r>
      <w:r w:rsidRPr="00826D76">
        <w:t xml:space="preserve">. The pre-PBAC response stated that a </w:t>
      </w:r>
      <w:proofErr w:type="gramStart"/>
      <w:r w:rsidRPr="00826D76">
        <w:t>16 month</w:t>
      </w:r>
      <w:proofErr w:type="gramEnd"/>
      <w:r w:rsidR="00C27D01" w:rsidRPr="00826D76">
        <w:t xml:space="preserve"> maximum</w:t>
      </w:r>
      <w:r w:rsidRPr="00826D76">
        <w:t xml:space="preserve"> timeframe between surgery and enrolment allowed patients time to recover from adjuvant chemotherapy, radiotherapy, or both and that the median time between surgery and randomisation in </w:t>
      </w:r>
      <w:proofErr w:type="spellStart"/>
      <w:r w:rsidRPr="00826D76">
        <w:t>monarchE</w:t>
      </w:r>
      <w:proofErr w:type="spellEnd"/>
      <w:r w:rsidRPr="00826D76">
        <w:t xml:space="preserve"> is aligned with routine medical practice and is well-balanced between treatment arms (7.8 months in </w:t>
      </w:r>
      <w:proofErr w:type="spellStart"/>
      <w:r w:rsidRPr="00826D76">
        <w:t>abemaciclib</w:t>
      </w:r>
      <w:proofErr w:type="spellEnd"/>
      <w:r w:rsidRPr="00826D76">
        <w:t xml:space="preserve"> + ET versus 7.9 months in ET alone arm)</w:t>
      </w:r>
      <w:r w:rsidR="00B659C5" w:rsidRPr="00826D76">
        <w:rPr>
          <w:rStyle w:val="FootnoteReference"/>
        </w:rPr>
        <w:footnoteReference w:id="5"/>
      </w:r>
      <w:r w:rsidRPr="00826D76">
        <w:t>.</w:t>
      </w:r>
    </w:p>
    <w:p w14:paraId="4A4FE085" w14:textId="1C5613CC" w:rsidR="00B60939" w:rsidRPr="00842260" w:rsidRDefault="00B60939" w:rsidP="00EC5836">
      <w:pPr>
        <w:pStyle w:val="4-SubsectionHeading"/>
      </w:pPr>
      <w:bookmarkStart w:id="18" w:name="_Toc22897641"/>
      <w:bookmarkStart w:id="19" w:name="_Toc93502903"/>
      <w:r w:rsidRPr="00842260">
        <w:t>Comparative effectiveness</w:t>
      </w:r>
      <w:bookmarkEnd w:id="18"/>
      <w:bookmarkEnd w:id="19"/>
    </w:p>
    <w:p w14:paraId="2964912D" w14:textId="6E32B6AD" w:rsidR="00C043AB" w:rsidRPr="00842260" w:rsidRDefault="00743157" w:rsidP="00EC5836">
      <w:pPr>
        <w:pStyle w:val="3-BodyText"/>
      </w:pPr>
      <w:proofErr w:type="spellStart"/>
      <w:r w:rsidRPr="00842260">
        <w:rPr>
          <w:snapToGrid/>
        </w:rPr>
        <w:t>Abemaciclib</w:t>
      </w:r>
      <w:proofErr w:type="spellEnd"/>
      <w:r w:rsidRPr="00842260">
        <w:rPr>
          <w:snapToGrid/>
        </w:rPr>
        <w:t xml:space="preserve"> in combination with </w:t>
      </w:r>
      <w:r w:rsidR="008A0D00" w:rsidRPr="00842260">
        <w:rPr>
          <w:snapToGrid/>
        </w:rPr>
        <w:t>ET</w:t>
      </w:r>
      <w:r w:rsidRPr="00842260">
        <w:rPr>
          <w:snapToGrid/>
        </w:rPr>
        <w:t xml:space="preserve"> resulted in </w:t>
      </w:r>
      <w:r w:rsidR="00775DCF" w:rsidRPr="00842260">
        <w:rPr>
          <w:snapToGrid/>
        </w:rPr>
        <w:t xml:space="preserve">a 30% reduction in hazard of </w:t>
      </w:r>
      <w:r w:rsidR="007B7A17" w:rsidRPr="00842260">
        <w:rPr>
          <w:snapToGrid/>
        </w:rPr>
        <w:t>IDFS</w:t>
      </w:r>
      <w:r w:rsidRPr="00842260">
        <w:rPr>
          <w:snapToGrid/>
        </w:rPr>
        <w:t xml:space="preserve"> </w:t>
      </w:r>
      <w:r w:rsidR="009E45CB" w:rsidRPr="00842260">
        <w:rPr>
          <w:snapToGrid/>
        </w:rPr>
        <w:t>compared to</w:t>
      </w:r>
      <w:r w:rsidRPr="00842260">
        <w:rPr>
          <w:snapToGrid/>
        </w:rPr>
        <w:t xml:space="preserve"> </w:t>
      </w:r>
      <w:r w:rsidR="0037416D" w:rsidRPr="00842260">
        <w:rPr>
          <w:snapToGrid/>
        </w:rPr>
        <w:t>ET</w:t>
      </w:r>
      <w:r w:rsidRPr="00842260">
        <w:rPr>
          <w:snapToGrid/>
        </w:rPr>
        <w:t xml:space="preserve"> alone in </w:t>
      </w:r>
      <w:r w:rsidR="00C043AB" w:rsidRPr="00842260">
        <w:rPr>
          <w:snapToGrid/>
        </w:rPr>
        <w:t>the ITT population, after a median of 27 months (</w:t>
      </w:r>
      <w:r w:rsidR="00D45159" w:rsidRPr="00842260">
        <w:fldChar w:fldCharType="begin"/>
      </w:r>
      <w:r w:rsidR="00D45159" w:rsidRPr="00842260">
        <w:instrText xml:space="preserve"> REF _Ref92792156 \h  \* MERGEFORMAT </w:instrText>
      </w:r>
      <w:r w:rsidR="00D45159" w:rsidRPr="00842260">
        <w:fldChar w:fldCharType="separate"/>
      </w:r>
      <w:r w:rsidR="00053218" w:rsidRPr="00053218">
        <w:rPr>
          <w:rFonts w:eastAsiaTheme="majorEastAsia"/>
        </w:rPr>
        <w:t>Table 4</w:t>
      </w:r>
      <w:r w:rsidR="00D45159" w:rsidRPr="00842260">
        <w:fldChar w:fldCharType="end"/>
      </w:r>
      <w:r w:rsidR="00D45159" w:rsidRPr="00842260">
        <w:t xml:space="preserve"> </w:t>
      </w:r>
      <w:r w:rsidR="00C043AB" w:rsidRPr="00842260">
        <w:rPr>
          <w:snapToGrid/>
        </w:rPr>
        <w:t>and</w:t>
      </w:r>
      <w:r w:rsidR="00D45159" w:rsidRPr="00842260">
        <w:rPr>
          <w:snapToGrid/>
        </w:rPr>
        <w:t xml:space="preserve"> </w:t>
      </w:r>
      <w:r w:rsidR="00D45159" w:rsidRPr="00842260">
        <w:rPr>
          <w:snapToGrid/>
        </w:rPr>
        <w:fldChar w:fldCharType="begin"/>
      </w:r>
      <w:r w:rsidR="00D45159" w:rsidRPr="00842260">
        <w:rPr>
          <w:snapToGrid/>
        </w:rPr>
        <w:instrText xml:space="preserve"> REF _Ref92793650 \h </w:instrText>
      </w:r>
      <w:r w:rsidR="004560D3" w:rsidRPr="00842260">
        <w:rPr>
          <w:snapToGrid/>
        </w:rPr>
        <w:instrText xml:space="preserve"> \* MERGEFORMAT </w:instrText>
      </w:r>
      <w:r w:rsidR="00D45159" w:rsidRPr="00842260">
        <w:rPr>
          <w:snapToGrid/>
        </w:rPr>
      </w:r>
      <w:r w:rsidR="00D45159" w:rsidRPr="00842260">
        <w:rPr>
          <w:snapToGrid/>
        </w:rPr>
        <w:fldChar w:fldCharType="separate"/>
      </w:r>
      <w:r w:rsidR="00053218" w:rsidRPr="00842260">
        <w:t xml:space="preserve">Figure </w:t>
      </w:r>
      <w:r w:rsidR="00053218">
        <w:t>2</w:t>
      </w:r>
      <w:r w:rsidR="00D45159" w:rsidRPr="00842260">
        <w:rPr>
          <w:snapToGrid/>
        </w:rPr>
        <w:fldChar w:fldCharType="end"/>
      </w:r>
      <w:r w:rsidR="00C043AB" w:rsidRPr="00842260">
        <w:rPr>
          <w:snapToGrid/>
        </w:rPr>
        <w:t>)</w:t>
      </w:r>
      <w:r w:rsidR="00BF4BAD" w:rsidRPr="00842260">
        <w:rPr>
          <w:snapToGrid/>
        </w:rPr>
        <w:t>; the absolute difference in IDFS rates at 27 months was 3.5%</w:t>
      </w:r>
      <w:r w:rsidRPr="00842260">
        <w:rPr>
          <w:snapToGrid/>
        </w:rPr>
        <w:t xml:space="preserve">. </w:t>
      </w:r>
      <w:r w:rsidR="007B7A17" w:rsidRPr="00842260">
        <w:rPr>
          <w:snapToGrid/>
        </w:rPr>
        <w:t xml:space="preserve">There was also </w:t>
      </w:r>
      <w:r w:rsidR="00C043AB" w:rsidRPr="00842260">
        <w:rPr>
          <w:snapToGrid/>
        </w:rPr>
        <w:t xml:space="preserve">a 32% reduction in hazard of </w:t>
      </w:r>
      <w:r w:rsidR="007B7A17" w:rsidRPr="00842260">
        <w:rPr>
          <w:snapToGrid/>
        </w:rPr>
        <w:t xml:space="preserve">DRFS associated with </w:t>
      </w:r>
      <w:proofErr w:type="spellStart"/>
      <w:r w:rsidR="007B7A17" w:rsidRPr="00842260">
        <w:rPr>
          <w:snapToGrid/>
        </w:rPr>
        <w:t>abemaciclib</w:t>
      </w:r>
      <w:proofErr w:type="spellEnd"/>
      <w:r w:rsidR="007B7A17" w:rsidRPr="00842260">
        <w:rPr>
          <w:snapToGrid/>
        </w:rPr>
        <w:t xml:space="preserve"> in combination with </w:t>
      </w:r>
      <w:r w:rsidR="008A0D00" w:rsidRPr="00842260">
        <w:rPr>
          <w:snapToGrid/>
        </w:rPr>
        <w:t>ET</w:t>
      </w:r>
      <w:r w:rsidR="00C043AB" w:rsidRPr="00842260">
        <w:rPr>
          <w:snapToGrid/>
        </w:rPr>
        <w:t xml:space="preserve"> (</w:t>
      </w:r>
      <w:r w:rsidR="00D45159" w:rsidRPr="00842260">
        <w:fldChar w:fldCharType="begin"/>
      </w:r>
      <w:r w:rsidR="00D45159" w:rsidRPr="00842260">
        <w:instrText xml:space="preserve"> REF _Ref92792156 \h  \* MERGEFORMAT </w:instrText>
      </w:r>
      <w:r w:rsidR="00D45159" w:rsidRPr="00842260">
        <w:fldChar w:fldCharType="separate"/>
      </w:r>
      <w:r w:rsidR="00053218" w:rsidRPr="00053218">
        <w:rPr>
          <w:rFonts w:eastAsiaTheme="majorEastAsia"/>
        </w:rPr>
        <w:t>Table 4</w:t>
      </w:r>
      <w:r w:rsidR="00D45159" w:rsidRPr="00842260">
        <w:fldChar w:fldCharType="end"/>
      </w:r>
      <w:r w:rsidR="00C043AB" w:rsidRPr="00842260">
        <w:rPr>
          <w:snapToGrid/>
        </w:rPr>
        <w:t xml:space="preserve"> and</w:t>
      </w:r>
      <w:r w:rsidR="00D45159" w:rsidRPr="00842260">
        <w:rPr>
          <w:snapToGrid/>
        </w:rPr>
        <w:t xml:space="preserve"> </w:t>
      </w:r>
      <w:r w:rsidR="00D45159" w:rsidRPr="00842260">
        <w:rPr>
          <w:snapToGrid/>
        </w:rPr>
        <w:fldChar w:fldCharType="begin"/>
      </w:r>
      <w:r w:rsidR="00D45159" w:rsidRPr="00842260">
        <w:rPr>
          <w:snapToGrid/>
        </w:rPr>
        <w:instrText xml:space="preserve"> REF _Ref92793683 \h </w:instrText>
      </w:r>
      <w:r w:rsidR="004560D3" w:rsidRPr="00842260">
        <w:rPr>
          <w:snapToGrid/>
        </w:rPr>
        <w:instrText xml:space="preserve"> \* MERGEFORMAT </w:instrText>
      </w:r>
      <w:r w:rsidR="00D45159" w:rsidRPr="00842260">
        <w:rPr>
          <w:snapToGrid/>
        </w:rPr>
      </w:r>
      <w:r w:rsidR="00D45159" w:rsidRPr="00842260">
        <w:rPr>
          <w:snapToGrid/>
        </w:rPr>
        <w:fldChar w:fldCharType="separate"/>
      </w:r>
      <w:r w:rsidR="00053218" w:rsidRPr="00842260">
        <w:t xml:space="preserve">Figure </w:t>
      </w:r>
      <w:r w:rsidR="00053218">
        <w:t>3</w:t>
      </w:r>
      <w:r w:rsidR="00D45159" w:rsidRPr="00842260">
        <w:rPr>
          <w:snapToGrid/>
        </w:rPr>
        <w:fldChar w:fldCharType="end"/>
      </w:r>
      <w:r w:rsidR="00C043AB" w:rsidRPr="00842260">
        <w:rPr>
          <w:snapToGrid/>
        </w:rPr>
        <w:t>).</w:t>
      </w:r>
    </w:p>
    <w:p w14:paraId="3801723E" w14:textId="2A96F5EC" w:rsidR="0026416D" w:rsidRPr="00842260" w:rsidRDefault="0026416D" w:rsidP="00EC5836">
      <w:pPr>
        <w:pStyle w:val="3-BodyText"/>
      </w:pPr>
      <w:r w:rsidRPr="00842260">
        <w:rPr>
          <w:snapToGrid/>
        </w:rPr>
        <w:t xml:space="preserve">The absolute difference in </w:t>
      </w:r>
      <w:r w:rsidR="00821E69" w:rsidRPr="00842260">
        <w:rPr>
          <w:snapToGrid/>
        </w:rPr>
        <w:t>IDFS rates was 2.7% at</w:t>
      </w:r>
      <w:r w:rsidR="00BF4BAD" w:rsidRPr="00842260">
        <w:rPr>
          <w:snapToGrid/>
        </w:rPr>
        <w:t xml:space="preserve"> 24 months</w:t>
      </w:r>
      <w:r w:rsidR="00821E69" w:rsidRPr="00842260">
        <w:rPr>
          <w:snapToGrid/>
        </w:rPr>
        <w:t xml:space="preserve"> (</w:t>
      </w:r>
      <w:r w:rsidR="00571632" w:rsidRPr="00842260">
        <w:rPr>
          <w:snapToGrid/>
        </w:rPr>
        <w:t xml:space="preserve">percent alive without invasive disease: </w:t>
      </w:r>
      <w:r w:rsidR="00821E69" w:rsidRPr="00842260">
        <w:rPr>
          <w:snapToGrid/>
        </w:rPr>
        <w:t xml:space="preserve">92.7% vs 90.0%), </w:t>
      </w:r>
      <w:r w:rsidR="006229CF" w:rsidRPr="00842260">
        <w:rPr>
          <w:snapToGrid/>
        </w:rPr>
        <w:t xml:space="preserve">and </w:t>
      </w:r>
      <w:r w:rsidR="00821E69" w:rsidRPr="00842260">
        <w:rPr>
          <w:snapToGrid/>
        </w:rPr>
        <w:t xml:space="preserve">5.4% at </w:t>
      </w:r>
      <w:r w:rsidR="00BF4BAD" w:rsidRPr="00842260">
        <w:rPr>
          <w:snapToGrid/>
        </w:rPr>
        <w:t>36 months</w:t>
      </w:r>
      <w:r w:rsidR="00821E69" w:rsidRPr="00842260">
        <w:rPr>
          <w:snapToGrid/>
        </w:rPr>
        <w:t xml:space="preserve"> (88.8% vs 83.4%)</w:t>
      </w:r>
      <w:r w:rsidR="00571632" w:rsidRPr="00842260">
        <w:rPr>
          <w:snapToGrid/>
        </w:rPr>
        <w:t xml:space="preserve"> (</w:t>
      </w:r>
      <w:r w:rsidR="00E06084" w:rsidRPr="00842260">
        <w:rPr>
          <w:snapToGrid/>
        </w:rPr>
        <w:fldChar w:fldCharType="begin"/>
      </w:r>
      <w:r w:rsidR="00E06084" w:rsidRPr="00842260">
        <w:rPr>
          <w:snapToGrid/>
        </w:rPr>
        <w:instrText xml:space="preserve"> REF _Ref95897099 \h  \* MERGEFORMAT </w:instrText>
      </w:r>
      <w:r w:rsidR="00E06084" w:rsidRPr="00842260">
        <w:rPr>
          <w:snapToGrid/>
        </w:rPr>
      </w:r>
      <w:r w:rsidR="00E06084" w:rsidRPr="00842260">
        <w:rPr>
          <w:snapToGrid/>
        </w:rPr>
        <w:fldChar w:fldCharType="separate"/>
      </w:r>
      <w:r w:rsidR="00053218" w:rsidRPr="00053218">
        <w:rPr>
          <w:snapToGrid/>
        </w:rPr>
        <w:t>Table 6</w:t>
      </w:r>
      <w:r w:rsidR="00E06084" w:rsidRPr="00842260">
        <w:rPr>
          <w:snapToGrid/>
        </w:rPr>
        <w:fldChar w:fldCharType="end"/>
      </w:r>
      <w:r w:rsidR="00571632" w:rsidRPr="00842260">
        <w:rPr>
          <w:snapToGrid/>
        </w:rPr>
        <w:t>)</w:t>
      </w:r>
      <w:r w:rsidR="00821E69" w:rsidRPr="00842260">
        <w:rPr>
          <w:snapToGrid/>
        </w:rPr>
        <w:t>.</w:t>
      </w:r>
    </w:p>
    <w:p w14:paraId="4F2CFAC3" w14:textId="1129AC2C" w:rsidR="00775DCF" w:rsidRPr="00842260" w:rsidRDefault="00775DCF" w:rsidP="00EC5836">
      <w:pPr>
        <w:pStyle w:val="3-BodyText"/>
      </w:pPr>
      <w:r w:rsidRPr="00842260">
        <w:lastRenderedPageBreak/>
        <w:t>OS data were immature</w:t>
      </w:r>
      <w:r w:rsidR="00C043AB" w:rsidRPr="00842260">
        <w:t xml:space="preserve"> </w:t>
      </w:r>
      <w:r w:rsidR="00FE49D7" w:rsidRPr="00842260">
        <w:t>from</w:t>
      </w:r>
      <w:r w:rsidR="007B7A17" w:rsidRPr="00842260">
        <w:t xml:space="preserve"> the most recent data </w:t>
      </w:r>
      <w:proofErr w:type="spellStart"/>
      <w:r w:rsidR="007B7A17" w:rsidRPr="00842260">
        <w:t>cutoff</w:t>
      </w:r>
      <w:proofErr w:type="spellEnd"/>
      <w:r w:rsidR="007B7A17" w:rsidRPr="00842260">
        <w:t xml:space="preserve"> (April 2021) </w:t>
      </w:r>
      <w:r w:rsidR="00C043AB" w:rsidRPr="00842260">
        <w:t>(</w:t>
      </w:r>
      <w:r w:rsidR="005E3FDA" w:rsidRPr="00842260">
        <w:fldChar w:fldCharType="begin"/>
      </w:r>
      <w:r w:rsidR="005E3FDA" w:rsidRPr="00842260">
        <w:instrText xml:space="preserve"> REF _Ref92792156 \h  \* MERGEFORMAT </w:instrText>
      </w:r>
      <w:r w:rsidR="005E3FDA" w:rsidRPr="00842260">
        <w:fldChar w:fldCharType="separate"/>
      </w:r>
      <w:r w:rsidR="00053218" w:rsidRPr="00053218">
        <w:rPr>
          <w:rFonts w:eastAsiaTheme="majorEastAsia"/>
        </w:rPr>
        <w:t>Table 4</w:t>
      </w:r>
      <w:r w:rsidR="005E3FDA" w:rsidRPr="00842260">
        <w:fldChar w:fldCharType="end"/>
      </w:r>
      <w:r w:rsidR="00C043AB" w:rsidRPr="00842260">
        <w:t xml:space="preserve"> and </w:t>
      </w:r>
      <w:r w:rsidR="005E3FDA" w:rsidRPr="00842260">
        <w:fldChar w:fldCharType="begin"/>
      </w:r>
      <w:r w:rsidR="005E3FDA" w:rsidRPr="00842260">
        <w:instrText xml:space="preserve"> REF _Ref92792178 \h </w:instrText>
      </w:r>
      <w:r w:rsidR="004560D3" w:rsidRPr="00842260">
        <w:instrText xml:space="preserve"> \* MERGEFORMAT </w:instrText>
      </w:r>
      <w:r w:rsidR="005E3FDA" w:rsidRPr="00842260">
        <w:fldChar w:fldCharType="separate"/>
      </w:r>
      <w:r w:rsidR="00053218" w:rsidRPr="00842260">
        <w:t xml:space="preserve">Figure </w:t>
      </w:r>
      <w:r w:rsidR="00053218">
        <w:t>4</w:t>
      </w:r>
      <w:r w:rsidR="005E3FDA" w:rsidRPr="00842260">
        <w:fldChar w:fldCharType="end"/>
      </w:r>
      <w:r w:rsidR="00C043AB" w:rsidRPr="00842260">
        <w:t>)</w:t>
      </w:r>
      <w:r w:rsidR="0030017D" w:rsidRPr="00842260">
        <w:t>, as only around 3% of events had occurred</w:t>
      </w:r>
      <w:r w:rsidRPr="00842260">
        <w:t xml:space="preserve">. </w:t>
      </w:r>
      <w:r w:rsidR="00CB5404" w:rsidRPr="00842260">
        <w:t xml:space="preserve">No difference in OS was observed at this data </w:t>
      </w:r>
      <w:proofErr w:type="spellStart"/>
      <w:r w:rsidR="00CB5404" w:rsidRPr="00842260">
        <w:t>cutoff</w:t>
      </w:r>
      <w:proofErr w:type="spellEnd"/>
      <w:r w:rsidR="00CB5404" w:rsidRPr="00842260">
        <w:t xml:space="preserve">. </w:t>
      </w:r>
      <w:r w:rsidRPr="00842260">
        <w:t>The validity of IDFS as</w:t>
      </w:r>
      <w:r w:rsidR="00CB5404" w:rsidRPr="00842260">
        <w:t xml:space="preserve"> a surrogate for OS is unknown</w:t>
      </w:r>
      <w:r w:rsidRPr="00842260">
        <w:t>, as the evidence</w:t>
      </w:r>
      <w:r w:rsidR="00CB5404" w:rsidRPr="00842260">
        <w:t xml:space="preserve"> provided on the strength of IDFS</w:t>
      </w:r>
      <w:r w:rsidRPr="00842260">
        <w:t xml:space="preserve"> surrogacy was in </w:t>
      </w:r>
      <w:r w:rsidR="00C043AB" w:rsidRPr="00842260">
        <w:t>HER2</w:t>
      </w:r>
      <w:r w:rsidR="00340EF3" w:rsidRPr="00842260">
        <w:t>+</w:t>
      </w:r>
      <w:r w:rsidR="00C043AB" w:rsidRPr="00842260">
        <w:t xml:space="preserve"> patients rather than HER2</w:t>
      </w:r>
      <w:r w:rsidR="00340EF3" w:rsidRPr="00842260">
        <w:t>-</w:t>
      </w:r>
      <w:r w:rsidR="00C043AB" w:rsidRPr="00842260">
        <w:t xml:space="preserve"> patients</w:t>
      </w:r>
      <w:r w:rsidRPr="00842260">
        <w:t xml:space="preserve"> and based on drugs </w:t>
      </w:r>
      <w:r w:rsidR="00C043AB" w:rsidRPr="00842260">
        <w:t>that</w:t>
      </w:r>
      <w:r w:rsidRPr="00842260">
        <w:t xml:space="preserve"> have a different mechanism of action.</w:t>
      </w:r>
      <w:r w:rsidR="0071531E" w:rsidRPr="00842260">
        <w:t xml:space="preserve"> The ESC noted that </w:t>
      </w:r>
      <w:r w:rsidR="00EF6F05" w:rsidRPr="00842260">
        <w:t xml:space="preserve">if </w:t>
      </w:r>
      <w:r w:rsidR="0071531E" w:rsidRPr="00842260">
        <w:t>patients receive</w:t>
      </w:r>
      <w:r w:rsidR="00EF6F05" w:rsidRPr="00842260">
        <w:t xml:space="preserve"> a</w:t>
      </w:r>
      <w:r w:rsidR="0071531E" w:rsidRPr="00842260">
        <w:t xml:space="preserve"> CDK4/6 inhibitor</w:t>
      </w:r>
      <w:r w:rsidR="00EF6F05" w:rsidRPr="00842260">
        <w:t xml:space="preserve"> in the adjuvant setting but then not</w:t>
      </w:r>
      <w:r w:rsidR="0071531E" w:rsidRPr="00842260">
        <w:t xml:space="preserve"> in the metastatic setting</w:t>
      </w:r>
      <w:r w:rsidR="00EF6F05" w:rsidRPr="00842260">
        <w:t>,</w:t>
      </w:r>
      <w:r w:rsidR="0071531E" w:rsidRPr="00842260">
        <w:t xml:space="preserve"> this may reduce any potential OS benefit</w:t>
      </w:r>
      <w:r w:rsidR="00EF6F05" w:rsidRPr="00842260">
        <w:t xml:space="preserve"> from adjuvant treatment</w:t>
      </w:r>
      <w:r w:rsidR="0071531E" w:rsidRPr="00842260">
        <w:t>.</w:t>
      </w:r>
    </w:p>
    <w:p w14:paraId="0466FA53" w14:textId="1F3D21CF" w:rsidR="00C043AB" w:rsidRPr="00842260" w:rsidRDefault="00C043AB" w:rsidP="00C043AB">
      <w:pPr>
        <w:pStyle w:val="3-BodyText"/>
      </w:pPr>
      <w:r w:rsidRPr="00842260">
        <w:rPr>
          <w:snapToGrid/>
        </w:rPr>
        <w:t>The ITT population include</w:t>
      </w:r>
      <w:r w:rsidR="006229CF" w:rsidRPr="00842260">
        <w:rPr>
          <w:snapToGrid/>
        </w:rPr>
        <w:t>d</w:t>
      </w:r>
      <w:r w:rsidRPr="00842260">
        <w:rPr>
          <w:snapToGrid/>
        </w:rPr>
        <w:t xml:space="preserve"> both Cohort 1 (relevant to the target population) and Cohort 2 (irrelevant to the target population). Cohort 1 constituted </w:t>
      </w:r>
      <w:proofErr w:type="gramStart"/>
      <w:r w:rsidRPr="00842260">
        <w:rPr>
          <w:snapToGrid/>
        </w:rPr>
        <w:t>the majority of</w:t>
      </w:r>
      <w:proofErr w:type="gramEnd"/>
      <w:r w:rsidRPr="00842260">
        <w:rPr>
          <w:snapToGrid/>
        </w:rPr>
        <w:t xml:space="preserve"> participants in the trial and had a larger absolute and r</w:t>
      </w:r>
      <w:r w:rsidR="00CB5404" w:rsidRPr="00842260">
        <w:rPr>
          <w:snapToGrid/>
        </w:rPr>
        <w:t xml:space="preserve">elative response to </w:t>
      </w:r>
      <w:proofErr w:type="spellStart"/>
      <w:r w:rsidR="00CB5404" w:rsidRPr="00842260">
        <w:rPr>
          <w:snapToGrid/>
        </w:rPr>
        <w:t>abemaciclib</w:t>
      </w:r>
      <w:proofErr w:type="spellEnd"/>
      <w:r w:rsidRPr="00842260">
        <w:rPr>
          <w:snapToGrid/>
        </w:rPr>
        <w:t xml:space="preserve"> than Cohort 2. </w:t>
      </w:r>
      <w:r w:rsidR="006229CF" w:rsidRPr="00842260">
        <w:rPr>
          <w:snapToGrid/>
        </w:rPr>
        <w:t>The ITT results are therefore conservative</w:t>
      </w:r>
      <w:r w:rsidR="007B7A17" w:rsidRPr="00842260">
        <w:rPr>
          <w:snapToGrid/>
        </w:rPr>
        <w:t xml:space="preserve"> for estimating the benefit of </w:t>
      </w:r>
      <w:proofErr w:type="spellStart"/>
      <w:r w:rsidR="007B7A17" w:rsidRPr="00842260">
        <w:rPr>
          <w:snapToGrid/>
        </w:rPr>
        <w:t>abemaciclib</w:t>
      </w:r>
      <w:proofErr w:type="spellEnd"/>
      <w:r w:rsidR="007B7A17" w:rsidRPr="00842260">
        <w:rPr>
          <w:snapToGrid/>
        </w:rPr>
        <w:t xml:space="preserve"> in Cohort 1</w:t>
      </w:r>
      <w:r w:rsidR="006229CF" w:rsidRPr="00842260">
        <w:rPr>
          <w:snapToGrid/>
        </w:rPr>
        <w:t xml:space="preserve">. </w:t>
      </w:r>
    </w:p>
    <w:p w14:paraId="7256FCA0" w14:textId="6973C0D4" w:rsidR="00AD0107" w:rsidRPr="00452C62" w:rsidRDefault="005E3FDA" w:rsidP="00AD0107">
      <w:pPr>
        <w:pStyle w:val="TableFigureHeading"/>
        <w:rPr>
          <w:rStyle w:val="CommentReference"/>
          <w:b/>
          <w:szCs w:val="24"/>
        </w:rPr>
      </w:pPr>
      <w:bookmarkStart w:id="20" w:name="_Ref92792156"/>
      <w:r w:rsidRPr="00452C62">
        <w:rPr>
          <w:rStyle w:val="TableFigureHeadingChar"/>
          <w:b/>
        </w:rPr>
        <w:t>Table</w:t>
      </w:r>
      <w:r w:rsidR="002F32CA" w:rsidRPr="00452C62">
        <w:rPr>
          <w:rStyle w:val="TableFigureHeadingChar"/>
          <w:b/>
        </w:rPr>
        <w:t xml:space="preserve"> </w:t>
      </w:r>
      <w:r w:rsidR="00AA03D7" w:rsidRPr="00452C62">
        <w:rPr>
          <w:rStyle w:val="TableFigureHeadingChar"/>
          <w:b/>
        </w:rPr>
        <w:fldChar w:fldCharType="begin"/>
      </w:r>
      <w:r w:rsidR="00AA03D7" w:rsidRPr="00452C62">
        <w:rPr>
          <w:rStyle w:val="TableFigureHeadingChar"/>
          <w:b/>
        </w:rPr>
        <w:instrText xml:space="preserve"> SEQ Table \* ARABIC \s 1 </w:instrText>
      </w:r>
      <w:r w:rsidR="00AA03D7" w:rsidRPr="00452C62">
        <w:rPr>
          <w:rStyle w:val="TableFigureHeadingChar"/>
          <w:b/>
        </w:rPr>
        <w:fldChar w:fldCharType="separate"/>
      </w:r>
      <w:r w:rsidR="00053218" w:rsidRPr="00452C62">
        <w:rPr>
          <w:rStyle w:val="TableFigureHeadingChar"/>
          <w:b/>
          <w:noProof/>
        </w:rPr>
        <w:t>4</w:t>
      </w:r>
      <w:r w:rsidR="00AA03D7" w:rsidRPr="00452C62">
        <w:rPr>
          <w:rStyle w:val="TableFigureHeadingChar"/>
          <w:b/>
        </w:rPr>
        <w:fldChar w:fldCharType="end"/>
      </w:r>
      <w:bookmarkEnd w:id="20"/>
      <w:r w:rsidRPr="00452C62">
        <w:rPr>
          <w:rStyle w:val="TableFigureHeadingChar"/>
          <w:b/>
        </w:rPr>
        <w:t>:</w:t>
      </w:r>
      <w:r w:rsidR="00AD0107" w:rsidRPr="00452C62">
        <w:rPr>
          <w:rStyle w:val="CommentReference"/>
          <w:b/>
          <w:szCs w:val="24"/>
        </w:rPr>
        <w:t xml:space="preserve"> Results of the whole trial population (ITT), then the relevant subgroup (Cohort 1) and the complement subgroup (Cohort 2)</w:t>
      </w:r>
      <w:r w:rsidR="006B0F5D" w:rsidRPr="00452C62">
        <w:rPr>
          <w:rStyle w:val="CommentReference"/>
          <w:b/>
          <w:szCs w:val="24"/>
        </w:rPr>
        <w:t>, at AFU1 (April 2021, median 27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43"/>
        <w:gridCol w:w="1836"/>
        <w:gridCol w:w="1000"/>
        <w:gridCol w:w="1508"/>
      </w:tblGrid>
      <w:tr w:rsidR="00AD0107" w:rsidRPr="00452C62" w14:paraId="6B1299AA" w14:textId="77777777" w:rsidTr="000C578F">
        <w:tc>
          <w:tcPr>
            <w:tcW w:w="2830" w:type="dxa"/>
            <w:vAlign w:val="center"/>
          </w:tcPr>
          <w:p w14:paraId="0E266E5B" w14:textId="77777777" w:rsidR="00AD0107" w:rsidRPr="00452C62" w:rsidRDefault="00AD0107" w:rsidP="0094263C">
            <w:pPr>
              <w:pStyle w:val="In-tableHeading"/>
              <w:rPr>
                <w:lang w:val="en-AU"/>
              </w:rPr>
            </w:pPr>
          </w:p>
        </w:tc>
        <w:tc>
          <w:tcPr>
            <w:tcW w:w="1843" w:type="dxa"/>
            <w:vAlign w:val="center"/>
          </w:tcPr>
          <w:p w14:paraId="67EA8BAF" w14:textId="77777777" w:rsidR="00AD0107" w:rsidRPr="00452C62" w:rsidRDefault="00AD0107" w:rsidP="0094263C">
            <w:pPr>
              <w:pStyle w:val="In-tableHeading"/>
              <w:jc w:val="center"/>
              <w:rPr>
                <w:lang w:val="en-AU"/>
              </w:rPr>
            </w:pPr>
            <w:r w:rsidRPr="00452C62">
              <w:rPr>
                <w:lang w:val="en-AU"/>
              </w:rPr>
              <w:t xml:space="preserve">ABE + ET </w:t>
            </w:r>
          </w:p>
          <w:p w14:paraId="2BFDA466" w14:textId="77777777" w:rsidR="00AD0107" w:rsidRPr="00452C62" w:rsidRDefault="00AD0107" w:rsidP="0094263C">
            <w:pPr>
              <w:pStyle w:val="In-tableHeading"/>
              <w:jc w:val="center"/>
              <w:rPr>
                <w:lang w:val="en-AU"/>
              </w:rPr>
            </w:pPr>
            <w:r w:rsidRPr="00452C62">
              <w:rPr>
                <w:lang w:val="en-AU"/>
              </w:rPr>
              <w:t>n with event/N (%)</w:t>
            </w:r>
          </w:p>
        </w:tc>
        <w:tc>
          <w:tcPr>
            <w:tcW w:w="1836" w:type="dxa"/>
            <w:vAlign w:val="center"/>
          </w:tcPr>
          <w:p w14:paraId="461E09DC" w14:textId="77777777" w:rsidR="00AD0107" w:rsidRPr="00452C62" w:rsidRDefault="00AD0107" w:rsidP="0094263C">
            <w:pPr>
              <w:pStyle w:val="In-tableHeading"/>
              <w:jc w:val="center"/>
              <w:rPr>
                <w:lang w:val="en-AU"/>
              </w:rPr>
            </w:pPr>
            <w:r w:rsidRPr="00452C62">
              <w:rPr>
                <w:lang w:val="en-AU"/>
              </w:rPr>
              <w:t xml:space="preserve">ET </w:t>
            </w:r>
          </w:p>
          <w:p w14:paraId="096D1857" w14:textId="77777777" w:rsidR="00AD0107" w:rsidRPr="00452C62" w:rsidRDefault="00AD0107" w:rsidP="0094263C">
            <w:pPr>
              <w:pStyle w:val="In-tableHeading"/>
              <w:jc w:val="center"/>
              <w:rPr>
                <w:lang w:val="en-AU"/>
              </w:rPr>
            </w:pPr>
            <w:r w:rsidRPr="00452C62">
              <w:rPr>
                <w:lang w:val="en-AU"/>
              </w:rPr>
              <w:t>n with event/N (%)</w:t>
            </w:r>
          </w:p>
        </w:tc>
        <w:tc>
          <w:tcPr>
            <w:tcW w:w="1000" w:type="dxa"/>
            <w:vAlign w:val="center"/>
          </w:tcPr>
          <w:p w14:paraId="394B65CC" w14:textId="77777777" w:rsidR="00AD0107" w:rsidRPr="00452C62" w:rsidRDefault="00AD0107" w:rsidP="0094263C">
            <w:pPr>
              <w:pStyle w:val="In-tableHeading"/>
              <w:jc w:val="center"/>
              <w:rPr>
                <w:lang w:val="en-AU"/>
              </w:rPr>
            </w:pPr>
            <w:r w:rsidRPr="00452C62">
              <w:rPr>
                <w:lang w:val="en-AU"/>
              </w:rPr>
              <w:t>Absolute difference</w:t>
            </w:r>
          </w:p>
        </w:tc>
        <w:tc>
          <w:tcPr>
            <w:tcW w:w="1508" w:type="dxa"/>
            <w:vAlign w:val="center"/>
          </w:tcPr>
          <w:p w14:paraId="1C8D12B0" w14:textId="77777777" w:rsidR="00AD0107" w:rsidRPr="00452C62" w:rsidRDefault="00AD0107" w:rsidP="0094263C">
            <w:pPr>
              <w:pStyle w:val="In-tableHeading"/>
              <w:jc w:val="center"/>
              <w:rPr>
                <w:lang w:val="en-AU"/>
              </w:rPr>
            </w:pPr>
            <w:r w:rsidRPr="00452C62">
              <w:rPr>
                <w:lang w:val="en-AU"/>
              </w:rPr>
              <w:t>HR (95% CI)</w:t>
            </w:r>
          </w:p>
        </w:tc>
      </w:tr>
      <w:tr w:rsidR="00AD0107" w:rsidRPr="00452C62" w14:paraId="1FFEB892" w14:textId="77777777" w:rsidTr="0094263C">
        <w:tc>
          <w:tcPr>
            <w:tcW w:w="9017" w:type="dxa"/>
            <w:gridSpan w:val="5"/>
            <w:vAlign w:val="center"/>
          </w:tcPr>
          <w:p w14:paraId="439E03A5" w14:textId="77777777" w:rsidR="00AD0107" w:rsidRPr="00452C62" w:rsidRDefault="00AD0107" w:rsidP="0094263C">
            <w:pPr>
              <w:pStyle w:val="In-tableHeading"/>
              <w:rPr>
                <w:lang w:val="en-AU"/>
              </w:rPr>
            </w:pPr>
            <w:r w:rsidRPr="00452C62">
              <w:rPr>
                <w:lang w:val="en-AU"/>
              </w:rPr>
              <w:t>Invasive disease-free survival (IDFS)</w:t>
            </w:r>
          </w:p>
        </w:tc>
      </w:tr>
      <w:tr w:rsidR="00AD0107" w:rsidRPr="00452C62" w14:paraId="47493224" w14:textId="77777777" w:rsidTr="000C578F">
        <w:tc>
          <w:tcPr>
            <w:tcW w:w="2830" w:type="dxa"/>
            <w:vAlign w:val="center"/>
          </w:tcPr>
          <w:p w14:paraId="09FB7489" w14:textId="77777777" w:rsidR="00AD0107" w:rsidRPr="00452C62" w:rsidRDefault="00AD0107" w:rsidP="0094263C">
            <w:pPr>
              <w:pStyle w:val="TableText0"/>
            </w:pPr>
            <w:r w:rsidRPr="00452C62">
              <w:t>ITT population</w:t>
            </w:r>
          </w:p>
        </w:tc>
        <w:tc>
          <w:tcPr>
            <w:tcW w:w="1843" w:type="dxa"/>
            <w:vAlign w:val="center"/>
          </w:tcPr>
          <w:p w14:paraId="0EB267CA" w14:textId="77777777" w:rsidR="00AD0107" w:rsidRPr="00452C62" w:rsidRDefault="00AD0107" w:rsidP="0094263C">
            <w:pPr>
              <w:pStyle w:val="TableText0"/>
              <w:jc w:val="center"/>
            </w:pPr>
            <w:r w:rsidRPr="00452C62">
              <w:t>232/2808 (8.3%)</w:t>
            </w:r>
          </w:p>
        </w:tc>
        <w:tc>
          <w:tcPr>
            <w:tcW w:w="1836" w:type="dxa"/>
            <w:vAlign w:val="center"/>
          </w:tcPr>
          <w:p w14:paraId="6D4476D0" w14:textId="77777777" w:rsidR="00AD0107" w:rsidRPr="00452C62" w:rsidRDefault="00AD0107" w:rsidP="0094263C">
            <w:pPr>
              <w:pStyle w:val="TableText0"/>
              <w:jc w:val="center"/>
            </w:pPr>
            <w:r w:rsidRPr="00452C62">
              <w:t>333/2829 (11.8%)</w:t>
            </w:r>
          </w:p>
        </w:tc>
        <w:tc>
          <w:tcPr>
            <w:tcW w:w="1000" w:type="dxa"/>
            <w:vAlign w:val="center"/>
          </w:tcPr>
          <w:p w14:paraId="768EFFDF" w14:textId="77777777" w:rsidR="00AD0107" w:rsidRPr="00452C62" w:rsidRDefault="00AD0107" w:rsidP="0094263C">
            <w:pPr>
              <w:pStyle w:val="TableText0"/>
              <w:jc w:val="center"/>
            </w:pPr>
            <w:r w:rsidRPr="00452C62">
              <w:t>3.5%</w:t>
            </w:r>
          </w:p>
        </w:tc>
        <w:tc>
          <w:tcPr>
            <w:tcW w:w="1508" w:type="dxa"/>
            <w:vAlign w:val="center"/>
          </w:tcPr>
          <w:p w14:paraId="66FB0705" w14:textId="77777777" w:rsidR="00AD0107" w:rsidRPr="00452C62" w:rsidRDefault="00AD0107" w:rsidP="0094263C">
            <w:pPr>
              <w:pStyle w:val="TableText0"/>
              <w:jc w:val="center"/>
              <w:rPr>
                <w:b/>
              </w:rPr>
            </w:pPr>
            <w:r w:rsidRPr="00452C62">
              <w:rPr>
                <w:b/>
              </w:rPr>
              <w:t>0.70 (0.59, 0.82)</w:t>
            </w:r>
          </w:p>
        </w:tc>
      </w:tr>
      <w:tr w:rsidR="00AD0107" w:rsidRPr="00452C62" w14:paraId="059F3875" w14:textId="77777777" w:rsidTr="000C578F">
        <w:tc>
          <w:tcPr>
            <w:tcW w:w="2830" w:type="dxa"/>
            <w:vAlign w:val="center"/>
          </w:tcPr>
          <w:p w14:paraId="5E157B6C" w14:textId="77777777" w:rsidR="00AD0107" w:rsidRPr="00452C62" w:rsidRDefault="00AD0107" w:rsidP="0094263C">
            <w:pPr>
              <w:pStyle w:val="TableText0"/>
            </w:pPr>
            <w:r w:rsidRPr="00452C62">
              <w:t>Cohort 1</w:t>
            </w:r>
          </w:p>
        </w:tc>
        <w:tc>
          <w:tcPr>
            <w:tcW w:w="1843" w:type="dxa"/>
            <w:vAlign w:val="center"/>
          </w:tcPr>
          <w:p w14:paraId="792CD119" w14:textId="77777777" w:rsidR="00AD0107" w:rsidRPr="00452C62" w:rsidRDefault="00AD0107" w:rsidP="0094263C">
            <w:pPr>
              <w:pStyle w:val="TableText0"/>
              <w:jc w:val="center"/>
            </w:pPr>
            <w:r w:rsidRPr="00452C62">
              <w:t>218/2555 (8.5%)</w:t>
            </w:r>
          </w:p>
        </w:tc>
        <w:tc>
          <w:tcPr>
            <w:tcW w:w="1836" w:type="dxa"/>
            <w:vAlign w:val="center"/>
          </w:tcPr>
          <w:p w14:paraId="475E9761" w14:textId="77777777" w:rsidR="00AD0107" w:rsidRPr="00452C62" w:rsidRDefault="00AD0107" w:rsidP="0094263C">
            <w:pPr>
              <w:pStyle w:val="TableText0"/>
              <w:jc w:val="center"/>
            </w:pPr>
            <w:r w:rsidRPr="00452C62">
              <w:t>318/2565 (12.4%)</w:t>
            </w:r>
          </w:p>
        </w:tc>
        <w:tc>
          <w:tcPr>
            <w:tcW w:w="1000" w:type="dxa"/>
            <w:vAlign w:val="center"/>
          </w:tcPr>
          <w:p w14:paraId="12E24247" w14:textId="77777777" w:rsidR="00AD0107" w:rsidRPr="00452C62" w:rsidRDefault="00AD0107" w:rsidP="0094263C">
            <w:pPr>
              <w:pStyle w:val="TableText0"/>
              <w:jc w:val="center"/>
            </w:pPr>
            <w:r w:rsidRPr="00452C62">
              <w:t>3.9%</w:t>
            </w:r>
          </w:p>
        </w:tc>
        <w:tc>
          <w:tcPr>
            <w:tcW w:w="1508" w:type="dxa"/>
            <w:vAlign w:val="center"/>
          </w:tcPr>
          <w:p w14:paraId="0D154FB3" w14:textId="77777777" w:rsidR="00AD0107" w:rsidRPr="00452C62" w:rsidRDefault="00AD0107" w:rsidP="0094263C">
            <w:pPr>
              <w:pStyle w:val="TableText0"/>
              <w:jc w:val="center"/>
              <w:rPr>
                <w:b/>
              </w:rPr>
            </w:pPr>
            <w:r w:rsidRPr="00452C62">
              <w:rPr>
                <w:b/>
              </w:rPr>
              <w:t>0.69 (0.57, 0.81)</w:t>
            </w:r>
          </w:p>
        </w:tc>
      </w:tr>
      <w:tr w:rsidR="00AD0107" w:rsidRPr="00452C62" w14:paraId="07FAF3AF" w14:textId="77777777" w:rsidTr="000C578F">
        <w:tc>
          <w:tcPr>
            <w:tcW w:w="2830" w:type="dxa"/>
            <w:vAlign w:val="center"/>
          </w:tcPr>
          <w:p w14:paraId="48459D58" w14:textId="77777777" w:rsidR="00AD0107" w:rsidRPr="00452C62" w:rsidRDefault="00AD0107" w:rsidP="0094263C">
            <w:pPr>
              <w:pStyle w:val="TableText0"/>
            </w:pPr>
            <w:r w:rsidRPr="00452C62">
              <w:t>Cohort 2</w:t>
            </w:r>
          </w:p>
        </w:tc>
        <w:tc>
          <w:tcPr>
            <w:tcW w:w="1843" w:type="dxa"/>
            <w:vAlign w:val="center"/>
          </w:tcPr>
          <w:p w14:paraId="31B225B1" w14:textId="77777777" w:rsidR="00AD0107" w:rsidRPr="00452C62" w:rsidRDefault="00AD0107" w:rsidP="0094263C">
            <w:pPr>
              <w:pStyle w:val="TableText0"/>
              <w:jc w:val="center"/>
            </w:pPr>
            <w:r w:rsidRPr="00452C62">
              <w:t>14/253 (5.5%)</w:t>
            </w:r>
          </w:p>
        </w:tc>
        <w:tc>
          <w:tcPr>
            <w:tcW w:w="1836" w:type="dxa"/>
            <w:vAlign w:val="center"/>
          </w:tcPr>
          <w:p w14:paraId="1A5CC049" w14:textId="77777777" w:rsidR="00AD0107" w:rsidRPr="00452C62" w:rsidRDefault="00AD0107" w:rsidP="0094263C">
            <w:pPr>
              <w:pStyle w:val="TableText0"/>
              <w:jc w:val="center"/>
            </w:pPr>
            <w:r w:rsidRPr="00452C62">
              <w:t>15/264 (5.7%)</w:t>
            </w:r>
          </w:p>
        </w:tc>
        <w:tc>
          <w:tcPr>
            <w:tcW w:w="1000" w:type="dxa"/>
            <w:vAlign w:val="center"/>
          </w:tcPr>
          <w:p w14:paraId="734960D8" w14:textId="77777777" w:rsidR="00AD0107" w:rsidRPr="00452C62" w:rsidRDefault="00AD0107" w:rsidP="0094263C">
            <w:pPr>
              <w:pStyle w:val="TableText0"/>
              <w:jc w:val="center"/>
            </w:pPr>
            <w:r w:rsidRPr="00452C62">
              <w:t>0.2%</w:t>
            </w:r>
          </w:p>
        </w:tc>
        <w:tc>
          <w:tcPr>
            <w:tcW w:w="1508" w:type="dxa"/>
            <w:vAlign w:val="center"/>
          </w:tcPr>
          <w:p w14:paraId="611544BD" w14:textId="77777777" w:rsidR="00AD0107" w:rsidRPr="00452C62" w:rsidRDefault="00AD0107" w:rsidP="0094263C">
            <w:pPr>
              <w:pStyle w:val="TableText0"/>
              <w:jc w:val="center"/>
            </w:pPr>
            <w:r w:rsidRPr="00452C62">
              <w:t>0.99 (0.48, 2.05)</w:t>
            </w:r>
          </w:p>
        </w:tc>
      </w:tr>
      <w:tr w:rsidR="00AD0107" w:rsidRPr="00452C62" w14:paraId="00FB1C4A" w14:textId="77777777" w:rsidTr="000C578F">
        <w:tc>
          <w:tcPr>
            <w:tcW w:w="2830" w:type="dxa"/>
            <w:vAlign w:val="center"/>
          </w:tcPr>
          <w:p w14:paraId="41633F11" w14:textId="77777777" w:rsidR="00AD0107" w:rsidRPr="00452C62" w:rsidRDefault="00AD0107" w:rsidP="0094263C">
            <w:pPr>
              <w:pStyle w:val="TableText0"/>
            </w:pPr>
            <w:r w:rsidRPr="00452C62">
              <w:t>Test for treatment effect variation</w:t>
            </w:r>
          </w:p>
        </w:tc>
        <w:tc>
          <w:tcPr>
            <w:tcW w:w="1843" w:type="dxa"/>
            <w:vAlign w:val="center"/>
          </w:tcPr>
          <w:p w14:paraId="17773563" w14:textId="77777777" w:rsidR="00AD0107" w:rsidRPr="00452C62" w:rsidRDefault="00AD0107" w:rsidP="0094263C">
            <w:pPr>
              <w:pStyle w:val="TableText0"/>
              <w:jc w:val="center"/>
            </w:pPr>
            <w:r w:rsidRPr="00452C62">
              <w:t>-</w:t>
            </w:r>
          </w:p>
        </w:tc>
        <w:tc>
          <w:tcPr>
            <w:tcW w:w="1836" w:type="dxa"/>
            <w:vAlign w:val="center"/>
          </w:tcPr>
          <w:p w14:paraId="5347D202" w14:textId="77777777" w:rsidR="00AD0107" w:rsidRPr="00452C62" w:rsidRDefault="00AD0107" w:rsidP="0094263C">
            <w:pPr>
              <w:pStyle w:val="TableText0"/>
              <w:jc w:val="center"/>
            </w:pPr>
            <w:r w:rsidRPr="00452C62">
              <w:t>-</w:t>
            </w:r>
          </w:p>
        </w:tc>
        <w:tc>
          <w:tcPr>
            <w:tcW w:w="1000" w:type="dxa"/>
            <w:vAlign w:val="center"/>
          </w:tcPr>
          <w:p w14:paraId="055075AA" w14:textId="77777777" w:rsidR="00AD0107" w:rsidRPr="00452C62" w:rsidRDefault="00AD0107" w:rsidP="0094263C">
            <w:pPr>
              <w:pStyle w:val="TableText0"/>
              <w:jc w:val="center"/>
            </w:pPr>
            <w:r w:rsidRPr="00452C62">
              <w:t>-</w:t>
            </w:r>
          </w:p>
        </w:tc>
        <w:tc>
          <w:tcPr>
            <w:tcW w:w="1508" w:type="dxa"/>
            <w:vAlign w:val="center"/>
          </w:tcPr>
          <w:p w14:paraId="7ABEB38D" w14:textId="619FBC98" w:rsidR="00AD0107" w:rsidRPr="00452C62" w:rsidRDefault="00D35585" w:rsidP="0094263C">
            <w:pPr>
              <w:pStyle w:val="TableText0"/>
              <w:jc w:val="center"/>
              <w:rPr>
                <w:b/>
                <w:iCs/>
              </w:rPr>
            </w:pPr>
            <w:r w:rsidRPr="00452C62">
              <w:rPr>
                <w:iCs/>
              </w:rPr>
              <w:t>0.70 (0.33, 1.47)</w:t>
            </w:r>
          </w:p>
        </w:tc>
      </w:tr>
      <w:tr w:rsidR="00AD0107" w:rsidRPr="00452C62" w14:paraId="09A6A10B" w14:textId="77777777" w:rsidTr="0094263C">
        <w:tc>
          <w:tcPr>
            <w:tcW w:w="9017" w:type="dxa"/>
            <w:gridSpan w:val="5"/>
            <w:vAlign w:val="center"/>
          </w:tcPr>
          <w:p w14:paraId="3C79044C" w14:textId="559A5D93" w:rsidR="00AD0107" w:rsidRPr="00452C62" w:rsidRDefault="00CB5404" w:rsidP="0094263C">
            <w:pPr>
              <w:pStyle w:val="TableText0"/>
              <w:rPr>
                <w:b/>
              </w:rPr>
            </w:pPr>
            <w:r w:rsidRPr="00452C62">
              <w:rPr>
                <w:b/>
              </w:rPr>
              <w:t>Distant relapse</w:t>
            </w:r>
            <w:r w:rsidR="00AD0107" w:rsidRPr="00452C62">
              <w:rPr>
                <w:b/>
              </w:rPr>
              <w:t>-free survival (DRFS)</w:t>
            </w:r>
          </w:p>
        </w:tc>
      </w:tr>
      <w:tr w:rsidR="00AD0107" w:rsidRPr="00452C62" w14:paraId="5C674734" w14:textId="77777777" w:rsidTr="000C578F">
        <w:tc>
          <w:tcPr>
            <w:tcW w:w="2830" w:type="dxa"/>
            <w:vAlign w:val="center"/>
          </w:tcPr>
          <w:p w14:paraId="587CE23C" w14:textId="77777777" w:rsidR="00AD0107" w:rsidRPr="00452C62" w:rsidRDefault="00AD0107" w:rsidP="0094263C">
            <w:pPr>
              <w:pStyle w:val="TableText0"/>
            </w:pPr>
            <w:r w:rsidRPr="00452C62">
              <w:t>ITT population</w:t>
            </w:r>
          </w:p>
        </w:tc>
        <w:tc>
          <w:tcPr>
            <w:tcW w:w="1843" w:type="dxa"/>
            <w:vAlign w:val="center"/>
          </w:tcPr>
          <w:p w14:paraId="49FFFD53" w14:textId="77777777" w:rsidR="00AD0107" w:rsidRPr="00452C62" w:rsidRDefault="00AD0107" w:rsidP="0094263C">
            <w:pPr>
              <w:pStyle w:val="TableText0"/>
              <w:jc w:val="center"/>
            </w:pPr>
            <w:r w:rsidRPr="00452C62">
              <w:t>191/2808 (6.8%)</w:t>
            </w:r>
          </w:p>
        </w:tc>
        <w:tc>
          <w:tcPr>
            <w:tcW w:w="1836" w:type="dxa"/>
            <w:vAlign w:val="center"/>
          </w:tcPr>
          <w:p w14:paraId="7CA637B5" w14:textId="77777777" w:rsidR="00AD0107" w:rsidRPr="00452C62" w:rsidRDefault="00AD0107" w:rsidP="0094263C">
            <w:pPr>
              <w:pStyle w:val="TableText0"/>
              <w:jc w:val="center"/>
            </w:pPr>
            <w:r w:rsidRPr="00452C62">
              <w:t>278/2829 (9.8%)</w:t>
            </w:r>
          </w:p>
        </w:tc>
        <w:tc>
          <w:tcPr>
            <w:tcW w:w="1000" w:type="dxa"/>
            <w:vAlign w:val="center"/>
          </w:tcPr>
          <w:p w14:paraId="0FB423CD" w14:textId="77777777" w:rsidR="00AD0107" w:rsidRPr="00452C62" w:rsidRDefault="00AD0107" w:rsidP="0094263C">
            <w:pPr>
              <w:pStyle w:val="TableText0"/>
              <w:jc w:val="center"/>
            </w:pPr>
            <w:r w:rsidRPr="00452C62">
              <w:t>3.0%</w:t>
            </w:r>
          </w:p>
        </w:tc>
        <w:tc>
          <w:tcPr>
            <w:tcW w:w="1508" w:type="dxa"/>
            <w:vAlign w:val="center"/>
          </w:tcPr>
          <w:p w14:paraId="0CCE2B7E" w14:textId="77777777" w:rsidR="00AD0107" w:rsidRPr="00452C62" w:rsidRDefault="00AD0107" w:rsidP="0094263C">
            <w:pPr>
              <w:pStyle w:val="TableText0"/>
              <w:jc w:val="center"/>
              <w:rPr>
                <w:b/>
              </w:rPr>
            </w:pPr>
            <w:r w:rsidRPr="00452C62">
              <w:rPr>
                <w:b/>
              </w:rPr>
              <w:t>0.68 (0.57, 0.83)</w:t>
            </w:r>
          </w:p>
        </w:tc>
      </w:tr>
      <w:tr w:rsidR="00AD0107" w:rsidRPr="00452C62" w14:paraId="3D3252D8" w14:textId="77777777" w:rsidTr="000C578F">
        <w:tc>
          <w:tcPr>
            <w:tcW w:w="2830" w:type="dxa"/>
            <w:vAlign w:val="center"/>
          </w:tcPr>
          <w:p w14:paraId="01238C35" w14:textId="77777777" w:rsidR="00AD0107" w:rsidRPr="00452C62" w:rsidRDefault="00AD0107" w:rsidP="0094263C">
            <w:pPr>
              <w:pStyle w:val="TableText0"/>
            </w:pPr>
            <w:r w:rsidRPr="00452C62">
              <w:t>Cohort 1</w:t>
            </w:r>
          </w:p>
        </w:tc>
        <w:tc>
          <w:tcPr>
            <w:tcW w:w="1843" w:type="dxa"/>
            <w:vAlign w:val="center"/>
          </w:tcPr>
          <w:p w14:paraId="4BC67976" w14:textId="77777777" w:rsidR="00AD0107" w:rsidRPr="00452C62" w:rsidRDefault="00AD0107" w:rsidP="0094263C">
            <w:pPr>
              <w:pStyle w:val="TableText0"/>
              <w:jc w:val="center"/>
            </w:pPr>
            <w:r w:rsidRPr="00452C62">
              <w:t>179/2555 (7.0%)</w:t>
            </w:r>
          </w:p>
        </w:tc>
        <w:tc>
          <w:tcPr>
            <w:tcW w:w="1836" w:type="dxa"/>
            <w:vAlign w:val="center"/>
          </w:tcPr>
          <w:p w14:paraId="182E8427" w14:textId="77777777" w:rsidR="00AD0107" w:rsidRPr="00452C62" w:rsidRDefault="00AD0107" w:rsidP="0094263C">
            <w:pPr>
              <w:pStyle w:val="TableText0"/>
              <w:jc w:val="center"/>
            </w:pPr>
            <w:r w:rsidRPr="00452C62">
              <w:t>266/2565 (10.4%)</w:t>
            </w:r>
          </w:p>
        </w:tc>
        <w:tc>
          <w:tcPr>
            <w:tcW w:w="1000" w:type="dxa"/>
            <w:vAlign w:val="center"/>
          </w:tcPr>
          <w:p w14:paraId="4B909AC4" w14:textId="77777777" w:rsidR="00AD0107" w:rsidRPr="00452C62" w:rsidRDefault="00AD0107" w:rsidP="0094263C">
            <w:pPr>
              <w:pStyle w:val="TableText0"/>
              <w:jc w:val="center"/>
            </w:pPr>
            <w:r w:rsidRPr="00452C62">
              <w:t>3.4%</w:t>
            </w:r>
          </w:p>
        </w:tc>
        <w:tc>
          <w:tcPr>
            <w:tcW w:w="1508" w:type="dxa"/>
            <w:vAlign w:val="center"/>
          </w:tcPr>
          <w:p w14:paraId="058E3FCD" w14:textId="77777777" w:rsidR="00AD0107" w:rsidRPr="00452C62" w:rsidRDefault="00AD0107" w:rsidP="0094263C">
            <w:pPr>
              <w:pStyle w:val="TableText0"/>
              <w:jc w:val="center"/>
              <w:rPr>
                <w:b/>
              </w:rPr>
            </w:pPr>
            <w:r w:rsidRPr="00452C62">
              <w:rPr>
                <w:b/>
              </w:rPr>
              <w:t>0.67 (0.55, 0.81)</w:t>
            </w:r>
          </w:p>
        </w:tc>
      </w:tr>
      <w:tr w:rsidR="00AD0107" w:rsidRPr="00452C62" w14:paraId="2E5B15E1" w14:textId="77777777" w:rsidTr="000C578F">
        <w:tc>
          <w:tcPr>
            <w:tcW w:w="2830" w:type="dxa"/>
            <w:vAlign w:val="center"/>
          </w:tcPr>
          <w:p w14:paraId="4EA10B39" w14:textId="77777777" w:rsidR="00AD0107" w:rsidRPr="00452C62" w:rsidRDefault="00AD0107" w:rsidP="0094263C">
            <w:pPr>
              <w:pStyle w:val="TableText0"/>
            </w:pPr>
            <w:r w:rsidRPr="00452C62">
              <w:t>Cohort 2</w:t>
            </w:r>
          </w:p>
        </w:tc>
        <w:tc>
          <w:tcPr>
            <w:tcW w:w="1843" w:type="dxa"/>
            <w:vAlign w:val="center"/>
          </w:tcPr>
          <w:p w14:paraId="133872FC" w14:textId="77777777" w:rsidR="00AD0107" w:rsidRPr="00452C62" w:rsidRDefault="00AD0107" w:rsidP="0094263C">
            <w:pPr>
              <w:pStyle w:val="TableText0"/>
              <w:jc w:val="center"/>
            </w:pPr>
            <w:r w:rsidRPr="00452C62">
              <w:t>12/253 (4.7%)</w:t>
            </w:r>
          </w:p>
        </w:tc>
        <w:tc>
          <w:tcPr>
            <w:tcW w:w="1836" w:type="dxa"/>
            <w:vAlign w:val="center"/>
          </w:tcPr>
          <w:p w14:paraId="779FE8E3" w14:textId="77777777" w:rsidR="00AD0107" w:rsidRPr="00452C62" w:rsidRDefault="00AD0107" w:rsidP="0094263C">
            <w:pPr>
              <w:pStyle w:val="TableText0"/>
              <w:jc w:val="center"/>
            </w:pPr>
            <w:r w:rsidRPr="00452C62">
              <w:t>12/264 (4.5%)</w:t>
            </w:r>
          </w:p>
        </w:tc>
        <w:tc>
          <w:tcPr>
            <w:tcW w:w="1000" w:type="dxa"/>
            <w:vAlign w:val="center"/>
          </w:tcPr>
          <w:p w14:paraId="4CB64746" w14:textId="77777777" w:rsidR="00AD0107" w:rsidRPr="00452C62" w:rsidRDefault="00AD0107" w:rsidP="0094263C">
            <w:pPr>
              <w:pStyle w:val="TableText0"/>
              <w:jc w:val="center"/>
            </w:pPr>
            <w:r w:rsidRPr="00452C62">
              <w:t>-0.2%</w:t>
            </w:r>
          </w:p>
        </w:tc>
        <w:tc>
          <w:tcPr>
            <w:tcW w:w="1508" w:type="dxa"/>
            <w:vAlign w:val="center"/>
          </w:tcPr>
          <w:p w14:paraId="07D9172F" w14:textId="77777777" w:rsidR="00AD0107" w:rsidRPr="00452C62" w:rsidRDefault="00AD0107" w:rsidP="0094263C">
            <w:pPr>
              <w:pStyle w:val="TableText0"/>
              <w:jc w:val="center"/>
            </w:pPr>
            <w:r w:rsidRPr="00452C62">
              <w:t>1.04 (0.47, 2.32)</w:t>
            </w:r>
          </w:p>
        </w:tc>
      </w:tr>
      <w:tr w:rsidR="00AD0107" w:rsidRPr="00452C62" w14:paraId="4AC90F30" w14:textId="77777777" w:rsidTr="000C578F">
        <w:tc>
          <w:tcPr>
            <w:tcW w:w="2830" w:type="dxa"/>
            <w:vAlign w:val="center"/>
          </w:tcPr>
          <w:p w14:paraId="77632E3A" w14:textId="77777777" w:rsidR="00AD0107" w:rsidRPr="00452C62" w:rsidRDefault="00AD0107" w:rsidP="0094263C">
            <w:pPr>
              <w:pStyle w:val="TableText0"/>
            </w:pPr>
            <w:r w:rsidRPr="00452C62">
              <w:t>Test for treatment effect variation</w:t>
            </w:r>
          </w:p>
        </w:tc>
        <w:tc>
          <w:tcPr>
            <w:tcW w:w="1843" w:type="dxa"/>
            <w:vAlign w:val="center"/>
          </w:tcPr>
          <w:p w14:paraId="32F170F1" w14:textId="77777777" w:rsidR="00AD0107" w:rsidRPr="00452C62" w:rsidRDefault="00AD0107" w:rsidP="0094263C">
            <w:pPr>
              <w:pStyle w:val="TableText0"/>
              <w:jc w:val="center"/>
            </w:pPr>
            <w:r w:rsidRPr="00452C62">
              <w:t>-</w:t>
            </w:r>
          </w:p>
        </w:tc>
        <w:tc>
          <w:tcPr>
            <w:tcW w:w="1836" w:type="dxa"/>
            <w:vAlign w:val="center"/>
          </w:tcPr>
          <w:p w14:paraId="7386896A" w14:textId="77777777" w:rsidR="00AD0107" w:rsidRPr="00452C62" w:rsidRDefault="00AD0107" w:rsidP="0094263C">
            <w:pPr>
              <w:pStyle w:val="TableText0"/>
              <w:jc w:val="center"/>
            </w:pPr>
            <w:r w:rsidRPr="00452C62">
              <w:t>-</w:t>
            </w:r>
          </w:p>
        </w:tc>
        <w:tc>
          <w:tcPr>
            <w:tcW w:w="1000" w:type="dxa"/>
            <w:vAlign w:val="center"/>
          </w:tcPr>
          <w:p w14:paraId="0B52ACBC" w14:textId="77777777" w:rsidR="00AD0107" w:rsidRPr="00452C62" w:rsidRDefault="00AD0107" w:rsidP="0094263C">
            <w:pPr>
              <w:pStyle w:val="TableText0"/>
              <w:jc w:val="center"/>
            </w:pPr>
            <w:r w:rsidRPr="00452C62">
              <w:t>-</w:t>
            </w:r>
          </w:p>
        </w:tc>
        <w:tc>
          <w:tcPr>
            <w:tcW w:w="1508" w:type="dxa"/>
            <w:vAlign w:val="center"/>
          </w:tcPr>
          <w:p w14:paraId="7DB95A45" w14:textId="4C42DC59" w:rsidR="00AD0107" w:rsidRPr="00452C62" w:rsidRDefault="00D35585" w:rsidP="0094263C">
            <w:pPr>
              <w:pStyle w:val="TableText0"/>
              <w:jc w:val="center"/>
              <w:rPr>
                <w:b/>
                <w:iCs/>
              </w:rPr>
            </w:pPr>
            <w:r w:rsidRPr="00452C62">
              <w:rPr>
                <w:iCs/>
              </w:rPr>
              <w:t>0.64 (0.28, 1.46)</w:t>
            </w:r>
          </w:p>
        </w:tc>
      </w:tr>
      <w:tr w:rsidR="00AD0107" w:rsidRPr="00452C62" w14:paraId="44C03227" w14:textId="77777777" w:rsidTr="0094263C">
        <w:tc>
          <w:tcPr>
            <w:tcW w:w="9017" w:type="dxa"/>
            <w:gridSpan w:val="5"/>
            <w:vAlign w:val="center"/>
          </w:tcPr>
          <w:p w14:paraId="1E5883AC" w14:textId="77777777" w:rsidR="00AD0107" w:rsidRPr="00452C62" w:rsidRDefault="00AD0107" w:rsidP="0094263C">
            <w:pPr>
              <w:pStyle w:val="In-tableHeading"/>
              <w:rPr>
                <w:lang w:val="en-AU"/>
              </w:rPr>
            </w:pPr>
            <w:r w:rsidRPr="00452C62">
              <w:rPr>
                <w:lang w:val="en-AU"/>
              </w:rPr>
              <w:t>Overall survival (OS)</w:t>
            </w:r>
          </w:p>
        </w:tc>
      </w:tr>
      <w:tr w:rsidR="00AD0107" w:rsidRPr="00452C62" w14:paraId="4518D46F" w14:textId="77777777" w:rsidTr="000C578F">
        <w:tc>
          <w:tcPr>
            <w:tcW w:w="2830" w:type="dxa"/>
            <w:vAlign w:val="center"/>
          </w:tcPr>
          <w:p w14:paraId="1C50E5C0" w14:textId="77777777" w:rsidR="00AD0107" w:rsidRPr="00452C62" w:rsidRDefault="00AD0107" w:rsidP="0094263C">
            <w:pPr>
              <w:pStyle w:val="TableText0"/>
            </w:pPr>
            <w:r w:rsidRPr="00452C62">
              <w:t>ITT population</w:t>
            </w:r>
          </w:p>
        </w:tc>
        <w:tc>
          <w:tcPr>
            <w:tcW w:w="1843" w:type="dxa"/>
            <w:vAlign w:val="center"/>
          </w:tcPr>
          <w:p w14:paraId="668AB996" w14:textId="77777777" w:rsidR="00AD0107" w:rsidRPr="00452C62" w:rsidRDefault="00AD0107" w:rsidP="0094263C">
            <w:pPr>
              <w:pStyle w:val="TableText0"/>
              <w:jc w:val="center"/>
            </w:pPr>
            <w:r w:rsidRPr="00452C62">
              <w:t>96/2808 (3.4%)</w:t>
            </w:r>
          </w:p>
        </w:tc>
        <w:tc>
          <w:tcPr>
            <w:tcW w:w="1836" w:type="dxa"/>
            <w:vAlign w:val="center"/>
          </w:tcPr>
          <w:p w14:paraId="72FE8A3A" w14:textId="77777777" w:rsidR="00AD0107" w:rsidRPr="00452C62" w:rsidRDefault="00AD0107" w:rsidP="0094263C">
            <w:pPr>
              <w:pStyle w:val="TableText0"/>
              <w:jc w:val="center"/>
            </w:pPr>
            <w:r w:rsidRPr="00452C62">
              <w:t>90/2829 (3.2%)</w:t>
            </w:r>
          </w:p>
        </w:tc>
        <w:tc>
          <w:tcPr>
            <w:tcW w:w="1000" w:type="dxa"/>
            <w:vAlign w:val="center"/>
          </w:tcPr>
          <w:p w14:paraId="2A09D200" w14:textId="77777777" w:rsidR="00AD0107" w:rsidRPr="00452C62" w:rsidRDefault="00AD0107" w:rsidP="0094263C">
            <w:pPr>
              <w:pStyle w:val="TableText0"/>
              <w:jc w:val="center"/>
            </w:pPr>
            <w:r w:rsidRPr="00452C62">
              <w:t>-0.2%</w:t>
            </w:r>
          </w:p>
        </w:tc>
        <w:tc>
          <w:tcPr>
            <w:tcW w:w="1508" w:type="dxa"/>
            <w:vAlign w:val="center"/>
          </w:tcPr>
          <w:p w14:paraId="55CA1873" w14:textId="77777777" w:rsidR="00AD0107" w:rsidRPr="00452C62" w:rsidRDefault="00AD0107" w:rsidP="0094263C">
            <w:pPr>
              <w:pStyle w:val="TableText0"/>
              <w:jc w:val="center"/>
              <w:rPr>
                <w:b/>
              </w:rPr>
            </w:pPr>
            <w:r w:rsidRPr="00452C62">
              <w:t>1.09 (0.82, 1.46)</w:t>
            </w:r>
          </w:p>
        </w:tc>
      </w:tr>
      <w:tr w:rsidR="00AD0107" w:rsidRPr="00452C62" w14:paraId="0DC5CABC" w14:textId="77777777" w:rsidTr="000C578F">
        <w:tc>
          <w:tcPr>
            <w:tcW w:w="2830" w:type="dxa"/>
            <w:vAlign w:val="center"/>
          </w:tcPr>
          <w:p w14:paraId="649A8C4D" w14:textId="77777777" w:rsidR="00AD0107" w:rsidRPr="00452C62" w:rsidRDefault="00AD0107" w:rsidP="0094263C">
            <w:pPr>
              <w:pStyle w:val="TableText0"/>
            </w:pPr>
            <w:r w:rsidRPr="00452C62">
              <w:t>Cohort 1</w:t>
            </w:r>
          </w:p>
        </w:tc>
        <w:tc>
          <w:tcPr>
            <w:tcW w:w="1843" w:type="dxa"/>
            <w:vAlign w:val="center"/>
          </w:tcPr>
          <w:p w14:paraId="180547FB" w14:textId="77777777" w:rsidR="00AD0107" w:rsidRPr="00452C62" w:rsidRDefault="00AD0107" w:rsidP="0094263C">
            <w:pPr>
              <w:pStyle w:val="TableText0"/>
              <w:jc w:val="center"/>
            </w:pPr>
            <w:r w:rsidRPr="00452C62">
              <w:t>90/2555 (3.5%)</w:t>
            </w:r>
          </w:p>
        </w:tc>
        <w:tc>
          <w:tcPr>
            <w:tcW w:w="1836" w:type="dxa"/>
            <w:vAlign w:val="center"/>
          </w:tcPr>
          <w:p w14:paraId="1DA73224" w14:textId="77777777" w:rsidR="00AD0107" w:rsidRPr="00452C62" w:rsidRDefault="00AD0107" w:rsidP="0094263C">
            <w:pPr>
              <w:pStyle w:val="TableText0"/>
              <w:jc w:val="center"/>
            </w:pPr>
            <w:r w:rsidRPr="00452C62">
              <w:t>88/2565 (3.4%)</w:t>
            </w:r>
          </w:p>
        </w:tc>
        <w:tc>
          <w:tcPr>
            <w:tcW w:w="1000" w:type="dxa"/>
            <w:vAlign w:val="center"/>
          </w:tcPr>
          <w:p w14:paraId="323B4D45" w14:textId="77777777" w:rsidR="00AD0107" w:rsidRPr="00452C62" w:rsidRDefault="00AD0107" w:rsidP="0094263C">
            <w:pPr>
              <w:pStyle w:val="TableText0"/>
              <w:jc w:val="center"/>
            </w:pPr>
            <w:r w:rsidRPr="00452C62">
              <w:t>-0.1%</w:t>
            </w:r>
          </w:p>
        </w:tc>
        <w:tc>
          <w:tcPr>
            <w:tcW w:w="1508" w:type="dxa"/>
            <w:vAlign w:val="center"/>
          </w:tcPr>
          <w:p w14:paraId="281020C4" w14:textId="77777777" w:rsidR="00AD0107" w:rsidRPr="00452C62" w:rsidRDefault="00AD0107" w:rsidP="0094263C">
            <w:pPr>
              <w:pStyle w:val="TableText0"/>
              <w:jc w:val="center"/>
            </w:pPr>
            <w:r w:rsidRPr="00452C62">
              <w:t>1.04 (0.78, 1.40)</w:t>
            </w:r>
          </w:p>
        </w:tc>
      </w:tr>
      <w:tr w:rsidR="00AD0107" w:rsidRPr="00452C62" w14:paraId="7D526D38" w14:textId="77777777" w:rsidTr="000C578F">
        <w:tc>
          <w:tcPr>
            <w:tcW w:w="2830" w:type="dxa"/>
            <w:vAlign w:val="center"/>
          </w:tcPr>
          <w:p w14:paraId="77FF455E" w14:textId="77777777" w:rsidR="00AD0107" w:rsidRPr="00452C62" w:rsidRDefault="00AD0107" w:rsidP="0094263C">
            <w:pPr>
              <w:pStyle w:val="TableText0"/>
            </w:pPr>
            <w:r w:rsidRPr="00452C62">
              <w:t>Cohort 2</w:t>
            </w:r>
          </w:p>
        </w:tc>
        <w:tc>
          <w:tcPr>
            <w:tcW w:w="1843" w:type="dxa"/>
            <w:vAlign w:val="center"/>
          </w:tcPr>
          <w:p w14:paraId="17151466" w14:textId="77777777" w:rsidR="00AD0107" w:rsidRPr="00452C62" w:rsidRDefault="00AD0107" w:rsidP="0094263C">
            <w:pPr>
              <w:pStyle w:val="TableText0"/>
              <w:jc w:val="center"/>
            </w:pPr>
            <w:r w:rsidRPr="00452C62">
              <w:t>6/253 (2.4%)</w:t>
            </w:r>
          </w:p>
        </w:tc>
        <w:tc>
          <w:tcPr>
            <w:tcW w:w="1836" w:type="dxa"/>
            <w:vAlign w:val="center"/>
          </w:tcPr>
          <w:p w14:paraId="1EBC3A3D" w14:textId="77777777" w:rsidR="00AD0107" w:rsidRPr="00452C62" w:rsidRDefault="00AD0107" w:rsidP="0094263C">
            <w:pPr>
              <w:pStyle w:val="TableText0"/>
              <w:jc w:val="center"/>
            </w:pPr>
            <w:r w:rsidRPr="00452C62">
              <w:t>2/264 (0.8%)</w:t>
            </w:r>
          </w:p>
        </w:tc>
        <w:tc>
          <w:tcPr>
            <w:tcW w:w="1000" w:type="dxa"/>
            <w:vAlign w:val="center"/>
          </w:tcPr>
          <w:p w14:paraId="3612FDF1" w14:textId="77777777" w:rsidR="00AD0107" w:rsidRPr="00452C62" w:rsidRDefault="00AD0107" w:rsidP="0094263C">
            <w:pPr>
              <w:pStyle w:val="TableText0"/>
              <w:jc w:val="center"/>
            </w:pPr>
            <w:r w:rsidRPr="00452C62">
              <w:t>-1.6%</w:t>
            </w:r>
          </w:p>
        </w:tc>
        <w:tc>
          <w:tcPr>
            <w:tcW w:w="1508" w:type="dxa"/>
            <w:vAlign w:val="center"/>
          </w:tcPr>
          <w:p w14:paraId="11A4E0D8" w14:textId="7BFEA172" w:rsidR="00AD0107" w:rsidRPr="00452C62" w:rsidRDefault="007B7A17" w:rsidP="0094263C">
            <w:pPr>
              <w:pStyle w:val="TableText0"/>
              <w:jc w:val="center"/>
            </w:pPr>
            <w:r w:rsidRPr="00452C62">
              <w:t>Not estimable</w:t>
            </w:r>
          </w:p>
        </w:tc>
      </w:tr>
      <w:tr w:rsidR="00AD0107" w:rsidRPr="00452C62" w14:paraId="2CB45685" w14:textId="77777777" w:rsidTr="000C578F">
        <w:tc>
          <w:tcPr>
            <w:tcW w:w="2830" w:type="dxa"/>
            <w:vAlign w:val="center"/>
          </w:tcPr>
          <w:p w14:paraId="5E350ABB" w14:textId="77777777" w:rsidR="00AD0107" w:rsidRPr="00452C62" w:rsidRDefault="00AD0107" w:rsidP="0094263C">
            <w:pPr>
              <w:pStyle w:val="TableText0"/>
            </w:pPr>
            <w:r w:rsidRPr="00452C62">
              <w:t>Test for treatment effect variation</w:t>
            </w:r>
          </w:p>
        </w:tc>
        <w:tc>
          <w:tcPr>
            <w:tcW w:w="1843" w:type="dxa"/>
            <w:vAlign w:val="center"/>
          </w:tcPr>
          <w:p w14:paraId="33E99ED9" w14:textId="77777777" w:rsidR="00AD0107" w:rsidRPr="00452C62" w:rsidRDefault="00AD0107" w:rsidP="0094263C">
            <w:pPr>
              <w:pStyle w:val="TableText0"/>
              <w:jc w:val="center"/>
            </w:pPr>
            <w:r w:rsidRPr="00452C62">
              <w:t>-</w:t>
            </w:r>
          </w:p>
        </w:tc>
        <w:tc>
          <w:tcPr>
            <w:tcW w:w="1836" w:type="dxa"/>
            <w:vAlign w:val="center"/>
          </w:tcPr>
          <w:p w14:paraId="247FA86D" w14:textId="77777777" w:rsidR="00AD0107" w:rsidRPr="00452C62" w:rsidRDefault="00AD0107" w:rsidP="0094263C">
            <w:pPr>
              <w:pStyle w:val="TableText0"/>
              <w:jc w:val="center"/>
            </w:pPr>
            <w:r w:rsidRPr="00452C62">
              <w:t>-</w:t>
            </w:r>
          </w:p>
        </w:tc>
        <w:tc>
          <w:tcPr>
            <w:tcW w:w="1000" w:type="dxa"/>
            <w:vAlign w:val="center"/>
          </w:tcPr>
          <w:p w14:paraId="506D1CE9" w14:textId="77777777" w:rsidR="00AD0107" w:rsidRPr="00452C62" w:rsidRDefault="00AD0107" w:rsidP="0094263C">
            <w:pPr>
              <w:pStyle w:val="TableText0"/>
              <w:jc w:val="center"/>
            </w:pPr>
            <w:r w:rsidRPr="00452C62">
              <w:t>-</w:t>
            </w:r>
          </w:p>
        </w:tc>
        <w:tc>
          <w:tcPr>
            <w:tcW w:w="1508" w:type="dxa"/>
            <w:vAlign w:val="center"/>
          </w:tcPr>
          <w:p w14:paraId="04FB0325" w14:textId="77777777" w:rsidR="00AD0107" w:rsidRPr="00452C62" w:rsidRDefault="00AD0107" w:rsidP="0094263C">
            <w:pPr>
              <w:pStyle w:val="TableText0"/>
              <w:jc w:val="center"/>
            </w:pPr>
            <w:r w:rsidRPr="00452C62">
              <w:t>-</w:t>
            </w:r>
          </w:p>
        </w:tc>
      </w:tr>
    </w:tbl>
    <w:p w14:paraId="1D67E903" w14:textId="32059723" w:rsidR="00AD0107" w:rsidRPr="00452C62" w:rsidRDefault="00AD0107" w:rsidP="00AD0107">
      <w:pPr>
        <w:pStyle w:val="TableFigureFooter"/>
      </w:pPr>
      <w:r w:rsidRPr="00452C62">
        <w:t>Source: Table 2-21, p81 of the submission; Table 2-56, p130 of the submission, and Table 2-57, p133 of the submission.</w:t>
      </w:r>
    </w:p>
    <w:p w14:paraId="08A2B4D3" w14:textId="77777777" w:rsidR="008B7EB4" w:rsidRPr="00452C62" w:rsidRDefault="008B7EB4" w:rsidP="008B7EB4">
      <w:pPr>
        <w:pStyle w:val="TableFigureFooter"/>
        <w:rPr>
          <w:rFonts w:eastAsia="Calibri"/>
        </w:rPr>
      </w:pPr>
      <w:r w:rsidRPr="00452C62">
        <w:t xml:space="preserve">ABE = </w:t>
      </w:r>
      <w:proofErr w:type="spellStart"/>
      <w:r w:rsidRPr="00452C62">
        <w:t>abemaciclib</w:t>
      </w:r>
      <w:proofErr w:type="spellEnd"/>
      <w:r w:rsidRPr="00452C62">
        <w:t xml:space="preserve">; AFU1 = additional follow up 1; </w:t>
      </w:r>
      <w:r w:rsidRPr="00452C62">
        <w:rPr>
          <w:rFonts w:eastAsia="Calibri"/>
        </w:rPr>
        <w:t xml:space="preserve">CI = confidence interval; </w:t>
      </w:r>
      <w:r w:rsidRPr="00452C62">
        <w:t xml:space="preserve">ET = endocrine therapy; HR = hazard ratio; ITT = intention to treat; </w:t>
      </w:r>
      <w:r w:rsidRPr="00452C62">
        <w:rPr>
          <w:rFonts w:eastAsia="Calibri"/>
        </w:rPr>
        <w:t xml:space="preserve">n = number of participants with event; N = total participants in group. </w:t>
      </w:r>
    </w:p>
    <w:p w14:paraId="1B83EE50" w14:textId="773CEF13" w:rsidR="008B7EB4" w:rsidRPr="00842260" w:rsidRDefault="008B7EB4" w:rsidP="008B7EB4">
      <w:pPr>
        <w:pStyle w:val="TableFigureFooter"/>
        <w:rPr>
          <w:rFonts w:eastAsia="Calibri"/>
        </w:rPr>
      </w:pPr>
      <w:r w:rsidRPr="00452C62">
        <w:rPr>
          <w:rFonts w:eastAsia="Calibri"/>
          <w:b/>
        </w:rPr>
        <w:t>Bold</w:t>
      </w:r>
      <w:r w:rsidRPr="00452C62">
        <w:rPr>
          <w:rFonts w:eastAsia="Calibri"/>
        </w:rPr>
        <w:t xml:space="preserve"> indicates statistically significant results.</w:t>
      </w:r>
      <w:r w:rsidR="00D35585" w:rsidRPr="00452C62">
        <w:rPr>
          <w:rFonts w:eastAsia="Calibri"/>
        </w:rPr>
        <w:t xml:space="preserve"> Treatment effect variation calculated during the evaluation by using the ratio of HRs for Cohort 1 vs Cohort 2.</w:t>
      </w:r>
    </w:p>
    <w:p w14:paraId="337237C8" w14:textId="02466072" w:rsidR="00D92EB0" w:rsidRPr="00842260" w:rsidRDefault="00D92EB0" w:rsidP="008B7EB4">
      <w:pPr>
        <w:pStyle w:val="TableFigureFooter"/>
      </w:pPr>
    </w:p>
    <w:p w14:paraId="4E6558FD" w14:textId="765EAE9F" w:rsidR="00AD0107" w:rsidRPr="00842260" w:rsidRDefault="005E3FDA" w:rsidP="00D92EB0">
      <w:pPr>
        <w:pStyle w:val="TableFigureHeading"/>
      </w:pPr>
      <w:bookmarkStart w:id="21" w:name="_Ref92793650"/>
      <w:r w:rsidRPr="00842260">
        <w:lastRenderedPageBreak/>
        <w:t xml:space="preserve">Figure </w:t>
      </w:r>
      <w:fldSimple w:instr=" SEQ Figure \* ARABIC ">
        <w:r w:rsidR="00053218">
          <w:rPr>
            <w:noProof/>
          </w:rPr>
          <w:t>2</w:t>
        </w:r>
      </w:fldSimple>
      <w:bookmarkEnd w:id="21"/>
      <w:r w:rsidRPr="00842260">
        <w:t xml:space="preserve">: </w:t>
      </w:r>
      <w:r w:rsidR="00D92EB0" w:rsidRPr="00826D76">
        <w:t xml:space="preserve">Kaplan-Meier curve for IDFS </w:t>
      </w:r>
      <w:r w:rsidR="00826D76">
        <w:t xml:space="preserve">at AFU1 </w:t>
      </w:r>
      <w:r w:rsidR="00D92EB0" w:rsidRPr="00826D76">
        <w:t>(ITT population</w:t>
      </w:r>
      <w:r w:rsidR="00DE4E19" w:rsidRPr="00826D76">
        <w:t xml:space="preserve">, </w:t>
      </w:r>
      <w:r w:rsidR="00826D76">
        <w:t xml:space="preserve">April 2021, </w:t>
      </w:r>
      <w:r w:rsidR="00DE4E19" w:rsidRPr="00826D76">
        <w:t>median follow-up 27 months</w:t>
      </w:r>
      <w:r w:rsidR="00D92EB0" w:rsidRPr="00826D76">
        <w:t>)</w:t>
      </w:r>
    </w:p>
    <w:p w14:paraId="46B707FA" w14:textId="77777777" w:rsidR="00D92EB0" w:rsidRPr="00842260" w:rsidRDefault="00D92EB0" w:rsidP="00D92EB0">
      <w:r w:rsidRPr="00842260">
        <w:rPr>
          <w:noProof/>
        </w:rPr>
        <w:drawing>
          <wp:inline distT="0" distB="0" distL="0" distR="0" wp14:anchorId="1C44725D" wp14:editId="4E235152">
            <wp:extent cx="5732145" cy="2986111"/>
            <wp:effectExtent l="0" t="0" r="1905" b="5080"/>
            <wp:docPr id="4" name="Picture 4" descr="Figure 2: Kaplan-Meier curve for IDFS at AFU1 (ITT population, April 2021, median follow-up 2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Kaplan-Meier curve for IDFS at AFU1 (ITT population, April 2021, median follow-up 27 months)"/>
                    <pic:cNvPicPr/>
                  </pic:nvPicPr>
                  <pic:blipFill>
                    <a:blip r:embed="rId9"/>
                    <a:stretch>
                      <a:fillRect/>
                    </a:stretch>
                  </pic:blipFill>
                  <pic:spPr>
                    <a:xfrm>
                      <a:off x="0" y="0"/>
                      <a:ext cx="5732145" cy="2986111"/>
                    </a:xfrm>
                    <a:prstGeom prst="rect">
                      <a:avLst/>
                    </a:prstGeom>
                    <a:ln>
                      <a:noFill/>
                    </a:ln>
                  </pic:spPr>
                </pic:pic>
              </a:graphicData>
            </a:graphic>
          </wp:inline>
        </w:drawing>
      </w:r>
    </w:p>
    <w:p w14:paraId="76B9DD4E" w14:textId="77777777" w:rsidR="00D92EB0" w:rsidRPr="00842260" w:rsidRDefault="00D92EB0" w:rsidP="00D92EB0">
      <w:pPr>
        <w:pStyle w:val="TableFigureFooter"/>
        <w:rPr>
          <w:rFonts w:eastAsia="Calibri"/>
        </w:rPr>
      </w:pPr>
      <w:r w:rsidRPr="00842260">
        <w:rPr>
          <w:rFonts w:eastAsia="Calibri"/>
        </w:rPr>
        <w:t>Source: Figure 2-6, p82 of the submission</w:t>
      </w:r>
    </w:p>
    <w:p w14:paraId="536BF138" w14:textId="77777777" w:rsidR="00D92EB0" w:rsidRPr="00842260" w:rsidRDefault="00D92EB0" w:rsidP="00D92EB0">
      <w:pPr>
        <w:pStyle w:val="TableFigureFooter"/>
        <w:rPr>
          <w:rFonts w:eastAsia="Calibri"/>
        </w:rPr>
      </w:pPr>
      <w:r w:rsidRPr="00842260">
        <w:rPr>
          <w:rFonts w:eastAsia="Calibri"/>
        </w:rPr>
        <w:t>Note: p-value is nominal. Inset shows a truncated y-axis (70% to 100%) without any censoring ticks to show separation of curves more clearly.</w:t>
      </w:r>
    </w:p>
    <w:p w14:paraId="7A6A2678" w14:textId="4D708FC6" w:rsidR="00D92EB0" w:rsidRPr="00B910F0" w:rsidRDefault="00D92EB0" w:rsidP="00B910F0">
      <w:pPr>
        <w:pStyle w:val="TableFigureFooter"/>
        <w:rPr>
          <w:rFonts w:eastAsia="Calibri"/>
        </w:rPr>
      </w:pPr>
      <w:r w:rsidRPr="00842260">
        <w:rPr>
          <w:rFonts w:eastAsia="Calibri"/>
        </w:rPr>
        <w:t># = number of; CI = confidence interval; ET = endocrine therapy; HR = hazard ratio; IDFS = invasive disease-free survival; ITT = intent-</w:t>
      </w:r>
      <w:r w:rsidR="002F32CA" w:rsidRPr="00842260">
        <w:rPr>
          <w:rFonts w:eastAsia="Calibri"/>
        </w:rPr>
        <w:t>to-treat</w:t>
      </w:r>
    </w:p>
    <w:p w14:paraId="199F94B6" w14:textId="6747F600" w:rsidR="009D4088" w:rsidRPr="00842260" w:rsidRDefault="005E3FDA" w:rsidP="009D4088">
      <w:pPr>
        <w:pStyle w:val="TableFigureHeading"/>
      </w:pPr>
      <w:bookmarkStart w:id="22" w:name="_Ref92793683"/>
      <w:r w:rsidRPr="00842260">
        <w:t xml:space="preserve">Figure </w:t>
      </w:r>
      <w:fldSimple w:instr=" SEQ Figure \* ARABIC ">
        <w:r w:rsidR="00053218">
          <w:rPr>
            <w:noProof/>
          </w:rPr>
          <w:t>3</w:t>
        </w:r>
      </w:fldSimple>
      <w:bookmarkEnd w:id="22"/>
      <w:r w:rsidRPr="00842260">
        <w:t xml:space="preserve">: </w:t>
      </w:r>
      <w:r w:rsidR="009D4088" w:rsidRPr="00E70C24">
        <w:t xml:space="preserve">Kaplan-Meier curve for DRFS </w:t>
      </w:r>
      <w:r w:rsidR="00826D76">
        <w:t xml:space="preserve">at AFU1 </w:t>
      </w:r>
      <w:r w:rsidR="00DE4E19" w:rsidRPr="00E70C24">
        <w:t xml:space="preserve">(ITT population, </w:t>
      </w:r>
      <w:r w:rsidR="00826D76">
        <w:t xml:space="preserve">April 2021, </w:t>
      </w:r>
      <w:r w:rsidR="00DE4E19" w:rsidRPr="00E70C24">
        <w:t>median follow-up 27 months)</w:t>
      </w:r>
    </w:p>
    <w:p w14:paraId="1A18BD5F" w14:textId="77777777" w:rsidR="009D4088" w:rsidRPr="00842260" w:rsidRDefault="009D4088" w:rsidP="009D4088">
      <w:r w:rsidRPr="00842260">
        <w:rPr>
          <w:noProof/>
        </w:rPr>
        <w:drawing>
          <wp:inline distT="0" distB="0" distL="0" distR="0" wp14:anchorId="0DECB9B0" wp14:editId="1D14713C">
            <wp:extent cx="5732145" cy="3054606"/>
            <wp:effectExtent l="0" t="0" r="1905" b="0"/>
            <wp:docPr id="5" name="Picture 5" descr="Figure 3: Kaplan-Meier curve for DRFS at AFU1 (ITT population, April 2021, median follow-up 2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Kaplan-Meier curve for DRFS at AFU1 (ITT population, April 2021, median follow-up 27 months)"/>
                    <pic:cNvPicPr/>
                  </pic:nvPicPr>
                  <pic:blipFill>
                    <a:blip r:embed="rId10"/>
                    <a:stretch>
                      <a:fillRect/>
                    </a:stretch>
                  </pic:blipFill>
                  <pic:spPr>
                    <a:xfrm>
                      <a:off x="0" y="0"/>
                      <a:ext cx="5732145" cy="3054606"/>
                    </a:xfrm>
                    <a:prstGeom prst="rect">
                      <a:avLst/>
                    </a:prstGeom>
                    <a:ln>
                      <a:noFill/>
                    </a:ln>
                  </pic:spPr>
                </pic:pic>
              </a:graphicData>
            </a:graphic>
          </wp:inline>
        </w:drawing>
      </w:r>
    </w:p>
    <w:p w14:paraId="4225A247" w14:textId="77777777" w:rsidR="009D4088" w:rsidRPr="00842260" w:rsidRDefault="009D4088" w:rsidP="009D4088">
      <w:pPr>
        <w:pStyle w:val="TableFigureFooter"/>
        <w:rPr>
          <w:rFonts w:eastAsia="Calibri"/>
        </w:rPr>
      </w:pPr>
      <w:r w:rsidRPr="00842260">
        <w:rPr>
          <w:rFonts w:eastAsia="Calibri"/>
        </w:rPr>
        <w:t>Source: Figure 2-12, p93 of the submission</w:t>
      </w:r>
    </w:p>
    <w:p w14:paraId="38CF638C" w14:textId="77777777" w:rsidR="009D4088" w:rsidRPr="00842260" w:rsidRDefault="009D4088" w:rsidP="009D4088">
      <w:pPr>
        <w:pStyle w:val="TableFigureFooter"/>
        <w:rPr>
          <w:rFonts w:eastAsia="Calibri"/>
        </w:rPr>
      </w:pPr>
      <w:r w:rsidRPr="00842260">
        <w:rPr>
          <w:rFonts w:eastAsia="Calibri"/>
        </w:rPr>
        <w:t>Note: p-value is nominal. Inset shows a truncated y-axis (70% to 100%) without any censoring ticks to show separation of curves more clearly.</w:t>
      </w:r>
    </w:p>
    <w:p w14:paraId="12EF522E" w14:textId="4DDB1129" w:rsidR="009D4088" w:rsidRPr="00842260" w:rsidRDefault="009D4088" w:rsidP="006D65B7">
      <w:pPr>
        <w:pStyle w:val="TableFigureFooter"/>
        <w:rPr>
          <w:rFonts w:eastAsia="Calibri"/>
        </w:rPr>
      </w:pPr>
      <w:r w:rsidRPr="00842260">
        <w:rPr>
          <w:rFonts w:eastAsia="Calibri"/>
        </w:rPr>
        <w:t># = number of; CI = confidence interval; DRFS = distant relapse-free survival; ET = endocrine therapy; HR = hazard ratio; ITT = intent-to-treat; OS = overall survival</w:t>
      </w:r>
    </w:p>
    <w:p w14:paraId="682E23A4" w14:textId="77777777" w:rsidR="006D65B7" w:rsidRPr="00842260" w:rsidRDefault="006D65B7" w:rsidP="006D65B7">
      <w:pPr>
        <w:pStyle w:val="TableFigureFooter"/>
        <w:rPr>
          <w:rFonts w:eastAsia="Calibri"/>
        </w:rPr>
      </w:pPr>
    </w:p>
    <w:p w14:paraId="6AF3D61B" w14:textId="7F951A55" w:rsidR="009D4088" w:rsidRPr="00842260" w:rsidRDefault="005E3FDA" w:rsidP="009D4088">
      <w:pPr>
        <w:pStyle w:val="TableFigureHeading"/>
      </w:pPr>
      <w:bookmarkStart w:id="23" w:name="_Ref92792178"/>
      <w:r w:rsidRPr="00842260">
        <w:lastRenderedPageBreak/>
        <w:t xml:space="preserve">Figure </w:t>
      </w:r>
      <w:fldSimple w:instr=" SEQ Figure \* ARABIC ">
        <w:r w:rsidR="00053218">
          <w:rPr>
            <w:noProof/>
          </w:rPr>
          <w:t>4</w:t>
        </w:r>
      </w:fldSimple>
      <w:bookmarkEnd w:id="23"/>
      <w:r w:rsidRPr="00842260">
        <w:t xml:space="preserve">: </w:t>
      </w:r>
      <w:r w:rsidR="009D4088" w:rsidRPr="00E70C24">
        <w:t xml:space="preserve">Kaplan-Meier curve for overall survival </w:t>
      </w:r>
      <w:r w:rsidR="00DE4E19" w:rsidRPr="00E70C24">
        <w:t xml:space="preserve">(ITT population, </w:t>
      </w:r>
      <w:r w:rsidR="00826D76">
        <w:t xml:space="preserve">April 2021, </w:t>
      </w:r>
      <w:r w:rsidR="00DE4E19" w:rsidRPr="00E70C24">
        <w:t>median follow-up 27 months)</w:t>
      </w:r>
    </w:p>
    <w:p w14:paraId="2769A7B2" w14:textId="77777777" w:rsidR="009D4088" w:rsidRPr="00842260" w:rsidRDefault="009D4088" w:rsidP="009D4088">
      <w:r w:rsidRPr="00842260">
        <w:rPr>
          <w:noProof/>
          <w:sz w:val="18"/>
        </w:rPr>
        <w:drawing>
          <wp:inline distT="0" distB="0" distL="0" distR="0" wp14:anchorId="6D4872AE" wp14:editId="3BEF4F7C">
            <wp:extent cx="5657131" cy="2840074"/>
            <wp:effectExtent l="19050" t="19050" r="20320" b="17780"/>
            <wp:docPr id="6" name="image7.png" descr="Figure 4: Kaplan-Meier curve for overall survival (ITT population, April 2021, median follow-up 2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descr="Figure 4: Kaplan-Meier curve for overall survival (ITT population, April 2021, median follow-up 27 months)"/>
                    <pic:cNvPicPr/>
                  </pic:nvPicPr>
                  <pic:blipFill rotWithShape="1">
                    <a:blip r:embed="rId11" cstate="print">
                      <a:extLst>
                        <a:ext uri="{28A0092B-C50C-407E-A947-70E740481C1C}">
                          <a14:useLocalDpi xmlns:a14="http://schemas.microsoft.com/office/drawing/2010/main" val="0"/>
                        </a:ext>
                      </a:extLst>
                    </a:blip>
                    <a:srcRect t="-319"/>
                    <a:stretch/>
                  </pic:blipFill>
                  <pic:spPr bwMode="auto">
                    <a:xfrm>
                      <a:off x="0" y="0"/>
                      <a:ext cx="5671831" cy="284745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B532212" w14:textId="77777777" w:rsidR="009D4088" w:rsidRPr="00842260" w:rsidRDefault="009D4088" w:rsidP="009D4088">
      <w:pPr>
        <w:pStyle w:val="TableFigureFooter"/>
        <w:rPr>
          <w:rFonts w:eastAsia="Calibri"/>
        </w:rPr>
      </w:pPr>
      <w:r w:rsidRPr="00842260">
        <w:rPr>
          <w:rFonts w:eastAsia="Calibri"/>
        </w:rPr>
        <w:t>Source: Figure 2-15, p96 of the submission</w:t>
      </w:r>
    </w:p>
    <w:p w14:paraId="25363EAC" w14:textId="66C923D5" w:rsidR="009D4088" w:rsidRPr="00B910F0" w:rsidRDefault="009D4088" w:rsidP="00B910F0">
      <w:pPr>
        <w:pStyle w:val="TableFigureFooter"/>
        <w:rPr>
          <w:rFonts w:eastAsia="Calibri"/>
        </w:rPr>
      </w:pPr>
      <w:r w:rsidRPr="00842260">
        <w:rPr>
          <w:rFonts w:eastAsia="Calibri"/>
        </w:rPr>
        <w:t># = number of; CI = confidence interval; ET = endocrine therapy; HR = hazard ratio.</w:t>
      </w:r>
    </w:p>
    <w:p w14:paraId="313E139B" w14:textId="7C6527F0" w:rsidR="00B34FE2" w:rsidRPr="00842260" w:rsidRDefault="00522010" w:rsidP="00EC5836">
      <w:pPr>
        <w:pStyle w:val="3-BodyText"/>
      </w:pPr>
      <w:bookmarkStart w:id="24" w:name="_Hlk104483028"/>
      <w:r w:rsidRPr="00077A2F">
        <w:rPr>
          <w:snapToGrid/>
        </w:rPr>
        <w:t xml:space="preserve">The impact of treatment on </w:t>
      </w:r>
      <w:r w:rsidR="00DB29DE" w:rsidRPr="00077A2F">
        <w:rPr>
          <w:snapToGrid/>
        </w:rPr>
        <w:t>patients’ health status</w:t>
      </w:r>
      <w:r w:rsidRPr="00077A2F">
        <w:rPr>
          <w:snapToGrid/>
        </w:rPr>
        <w:t xml:space="preserve"> was assessed using the </w:t>
      </w:r>
      <w:proofErr w:type="spellStart"/>
      <w:r w:rsidR="00DB29DE" w:rsidRPr="00077A2F">
        <w:rPr>
          <w:snapToGrid/>
        </w:rPr>
        <w:t>EuroQol</w:t>
      </w:r>
      <w:proofErr w:type="spellEnd"/>
      <w:r w:rsidR="00DB29DE" w:rsidRPr="00077A2F">
        <w:rPr>
          <w:snapToGrid/>
        </w:rPr>
        <w:t xml:space="preserve"> 5D 5-level ver</w:t>
      </w:r>
      <w:r w:rsidR="00DB29DE" w:rsidRPr="00E70C24">
        <w:rPr>
          <w:snapToGrid/>
        </w:rPr>
        <w:t>sion (</w:t>
      </w:r>
      <w:r w:rsidRPr="00E70C24">
        <w:rPr>
          <w:snapToGrid/>
        </w:rPr>
        <w:t>EQ-5D-5L</w:t>
      </w:r>
      <w:proofErr w:type="gramStart"/>
      <w:r w:rsidR="00DB29DE" w:rsidRPr="00E70C24">
        <w:rPr>
          <w:snapToGrid/>
        </w:rPr>
        <w:t>)</w:t>
      </w:r>
      <w:r w:rsidRPr="00E70C24">
        <w:rPr>
          <w:snapToGrid/>
        </w:rPr>
        <w:t xml:space="preserve"> </w:t>
      </w:r>
      <w:r w:rsidR="00E70C24" w:rsidRPr="00E70C24">
        <w:rPr>
          <w:snapToGrid/>
        </w:rPr>
        <w:t xml:space="preserve"> on</w:t>
      </w:r>
      <w:proofErr w:type="gramEnd"/>
      <w:r w:rsidR="00E70C24" w:rsidRPr="00E70C24">
        <w:rPr>
          <w:snapToGrid/>
        </w:rPr>
        <w:t xml:space="preserve"> Day 1 and Visits 6, 9, 15, 21 and 27</w:t>
      </w:r>
      <w:r w:rsidRPr="00E70C24">
        <w:rPr>
          <w:snapToGrid/>
        </w:rPr>
        <w:t>.</w:t>
      </w:r>
      <w:r w:rsidRPr="00077A2F">
        <w:rPr>
          <w:snapToGrid/>
        </w:rPr>
        <w:t xml:space="preserve"> Changes from baseline in both the </w:t>
      </w:r>
      <w:proofErr w:type="spellStart"/>
      <w:r w:rsidRPr="00077A2F">
        <w:rPr>
          <w:snapToGrid/>
        </w:rPr>
        <w:t>abemaciclib</w:t>
      </w:r>
      <w:proofErr w:type="spellEnd"/>
      <w:r w:rsidRPr="00077A2F">
        <w:rPr>
          <w:snapToGrid/>
        </w:rPr>
        <w:t xml:space="preserve"> in combination with </w:t>
      </w:r>
      <w:r w:rsidR="00344AF1" w:rsidRPr="00077A2F">
        <w:rPr>
          <w:snapToGrid/>
        </w:rPr>
        <w:t>ET</w:t>
      </w:r>
      <w:r w:rsidRPr="00077A2F">
        <w:rPr>
          <w:snapToGrid/>
        </w:rPr>
        <w:t xml:space="preserve"> arm and the </w:t>
      </w:r>
      <w:r w:rsidR="00344AF1" w:rsidRPr="00077A2F">
        <w:rPr>
          <w:snapToGrid/>
        </w:rPr>
        <w:t>ET</w:t>
      </w:r>
      <w:r w:rsidRPr="00077A2F">
        <w:rPr>
          <w:snapToGrid/>
        </w:rPr>
        <w:t xml:space="preserve"> alone arm were smal</w:t>
      </w:r>
      <w:r w:rsidR="002F32CA" w:rsidRPr="00077A2F">
        <w:rPr>
          <w:snapToGrid/>
        </w:rPr>
        <w:t>ler than the specified minimal</w:t>
      </w:r>
      <w:r w:rsidRPr="00077A2F">
        <w:rPr>
          <w:snapToGrid/>
        </w:rPr>
        <w:t xml:space="preserve"> clinically important difference</w:t>
      </w:r>
      <w:r w:rsidR="00344AF1" w:rsidRPr="00077A2F">
        <w:rPr>
          <w:snapToGrid/>
        </w:rPr>
        <w:t xml:space="preserve"> (MCID)</w:t>
      </w:r>
      <w:r w:rsidRPr="00077A2F">
        <w:rPr>
          <w:snapToGrid/>
        </w:rPr>
        <w:t xml:space="preserve"> of 0.5 of the baseline standard deviation </w:t>
      </w:r>
      <w:r w:rsidRPr="00077A2F">
        <w:rPr>
          <w:iCs/>
          <w:snapToGrid/>
        </w:rPr>
        <w:t>(i.e. 0.085).</w:t>
      </w:r>
      <w:r w:rsidR="00DB29DE" w:rsidRPr="00077A2F">
        <w:rPr>
          <w:iCs/>
          <w:snapToGrid/>
        </w:rPr>
        <w:t xml:space="preserve"> </w:t>
      </w:r>
      <w:bookmarkEnd w:id="24"/>
      <w:r w:rsidR="007B7A17" w:rsidRPr="00077A2F">
        <w:rPr>
          <w:iCs/>
          <w:snapToGrid/>
        </w:rPr>
        <w:t>The</w:t>
      </w:r>
      <w:r w:rsidR="007B7A17" w:rsidRPr="00842260">
        <w:rPr>
          <w:iCs/>
          <w:snapToGrid/>
        </w:rPr>
        <w:t xml:space="preserve"> </w:t>
      </w:r>
      <w:r w:rsidR="00DB29DE" w:rsidRPr="00842260">
        <w:rPr>
          <w:iCs/>
          <w:snapToGrid/>
        </w:rPr>
        <w:t xml:space="preserve">proportion of patients </w:t>
      </w:r>
      <w:r w:rsidR="007B7A17" w:rsidRPr="00842260">
        <w:rPr>
          <w:iCs/>
          <w:snapToGrid/>
        </w:rPr>
        <w:t xml:space="preserve">who </w:t>
      </w:r>
      <w:r w:rsidR="00DB29DE" w:rsidRPr="00842260">
        <w:rPr>
          <w:iCs/>
          <w:snapToGrid/>
        </w:rPr>
        <w:t>experienced a clinically meaningful increase or decrease in perceived health problems</w:t>
      </w:r>
      <w:r w:rsidR="007B7A17" w:rsidRPr="00842260">
        <w:rPr>
          <w:iCs/>
          <w:snapToGrid/>
        </w:rPr>
        <w:t>,</w:t>
      </w:r>
      <w:r w:rsidR="00DB29DE" w:rsidRPr="00842260">
        <w:rPr>
          <w:iCs/>
          <w:snapToGrid/>
        </w:rPr>
        <w:t xml:space="preserve"> from either treatment option</w:t>
      </w:r>
      <w:r w:rsidR="002F32CA" w:rsidRPr="00842260">
        <w:rPr>
          <w:iCs/>
          <w:snapToGrid/>
        </w:rPr>
        <w:t xml:space="preserve">, was not presented in </w:t>
      </w:r>
      <w:r w:rsidR="007B7A17" w:rsidRPr="00842260">
        <w:rPr>
          <w:iCs/>
          <w:snapToGrid/>
        </w:rPr>
        <w:t>the submission</w:t>
      </w:r>
      <w:r w:rsidR="00DB29DE" w:rsidRPr="00842260">
        <w:rPr>
          <w:iCs/>
          <w:snapToGrid/>
        </w:rPr>
        <w:t xml:space="preserve">. </w:t>
      </w:r>
      <w:r w:rsidR="002F32CA" w:rsidRPr="00842260">
        <w:rPr>
          <w:iCs/>
          <w:snapToGrid/>
        </w:rPr>
        <w:t xml:space="preserve">As </w:t>
      </w:r>
      <w:proofErr w:type="spellStart"/>
      <w:r w:rsidR="002F32CA" w:rsidRPr="00842260">
        <w:rPr>
          <w:iCs/>
          <w:snapToGrid/>
        </w:rPr>
        <w:t>abemaciclib</w:t>
      </w:r>
      <w:proofErr w:type="spellEnd"/>
      <w:r w:rsidR="002F32CA" w:rsidRPr="00842260">
        <w:rPr>
          <w:iCs/>
          <w:snapToGrid/>
        </w:rPr>
        <w:t xml:space="preserve"> is an additional treatment and there is an increase in observed adverse events (</w:t>
      </w:r>
      <w:r w:rsidR="002F32CA" w:rsidRPr="00842260">
        <w:rPr>
          <w:iCs/>
          <w:snapToGrid/>
        </w:rPr>
        <w:fldChar w:fldCharType="begin"/>
      </w:r>
      <w:r w:rsidR="002F32CA" w:rsidRPr="00842260">
        <w:rPr>
          <w:iCs/>
          <w:snapToGrid/>
        </w:rPr>
        <w:instrText xml:space="preserve"> REF _Ref92792254 \h  \* MERGEFORMAT </w:instrText>
      </w:r>
      <w:r w:rsidR="002F32CA" w:rsidRPr="00842260">
        <w:rPr>
          <w:iCs/>
          <w:snapToGrid/>
        </w:rPr>
      </w:r>
      <w:r w:rsidR="002F32CA" w:rsidRPr="00842260">
        <w:rPr>
          <w:iCs/>
          <w:snapToGrid/>
        </w:rPr>
        <w:fldChar w:fldCharType="separate"/>
      </w:r>
      <w:r w:rsidR="00053218" w:rsidRPr="00053218">
        <w:rPr>
          <w:iCs/>
          <w:snapToGrid/>
        </w:rPr>
        <w:t>Table 5</w:t>
      </w:r>
      <w:r w:rsidR="002F32CA" w:rsidRPr="00842260">
        <w:rPr>
          <w:iCs/>
          <w:snapToGrid/>
        </w:rPr>
        <w:fldChar w:fldCharType="end"/>
      </w:r>
      <w:r w:rsidR="002F32CA" w:rsidRPr="00842260">
        <w:rPr>
          <w:iCs/>
          <w:snapToGrid/>
        </w:rPr>
        <w:t>), some impact on health</w:t>
      </w:r>
      <w:r w:rsidR="00C86E57" w:rsidRPr="00842260">
        <w:rPr>
          <w:iCs/>
          <w:snapToGrid/>
        </w:rPr>
        <w:t>-</w:t>
      </w:r>
      <w:r w:rsidR="002F32CA" w:rsidRPr="00842260">
        <w:rPr>
          <w:iCs/>
          <w:snapToGrid/>
        </w:rPr>
        <w:t>related quality of life would be expected.</w:t>
      </w:r>
      <w:r w:rsidR="002F32CA" w:rsidRPr="00842260">
        <w:rPr>
          <w:snapToGrid/>
        </w:rPr>
        <w:t xml:space="preserve"> </w:t>
      </w:r>
    </w:p>
    <w:p w14:paraId="1452C351" w14:textId="0D19F1B0" w:rsidR="00B60939" w:rsidRPr="00842260" w:rsidRDefault="00B60939" w:rsidP="00D86231">
      <w:pPr>
        <w:pStyle w:val="4-SubsectionHeading"/>
      </w:pPr>
      <w:bookmarkStart w:id="25" w:name="_Toc22897642"/>
      <w:bookmarkStart w:id="26" w:name="_Toc93502904"/>
      <w:r w:rsidRPr="00842260">
        <w:t>Comparative harms</w:t>
      </w:r>
      <w:bookmarkEnd w:id="25"/>
      <w:bookmarkEnd w:id="26"/>
    </w:p>
    <w:p w14:paraId="2DAF16D1" w14:textId="2CD177FE" w:rsidR="00B60939" w:rsidRPr="00842260" w:rsidRDefault="005E3FDA" w:rsidP="00D86231">
      <w:pPr>
        <w:pStyle w:val="3-BodyText"/>
      </w:pPr>
      <w:r w:rsidRPr="00842260">
        <w:fldChar w:fldCharType="begin"/>
      </w:r>
      <w:r w:rsidRPr="00842260">
        <w:instrText xml:space="preserve"> REF _Ref92792254 \h  \* MERGEFORMAT </w:instrText>
      </w:r>
      <w:r w:rsidRPr="00842260">
        <w:fldChar w:fldCharType="separate"/>
      </w:r>
      <w:r w:rsidR="00053218" w:rsidRPr="00053218">
        <w:rPr>
          <w:rFonts w:eastAsiaTheme="majorEastAsia"/>
        </w:rPr>
        <w:t>Table 5</w:t>
      </w:r>
      <w:r w:rsidRPr="00842260">
        <w:fldChar w:fldCharType="end"/>
      </w:r>
      <w:r w:rsidRPr="00842260">
        <w:t xml:space="preserve"> </w:t>
      </w:r>
      <w:r w:rsidR="008144F2" w:rsidRPr="00842260">
        <w:t xml:space="preserve">presents a summary of adverse events, based on the </w:t>
      </w:r>
      <w:proofErr w:type="spellStart"/>
      <w:r w:rsidR="008144F2" w:rsidRPr="00842260">
        <w:t>monarchE</w:t>
      </w:r>
      <w:proofErr w:type="spellEnd"/>
      <w:r w:rsidR="008144F2" w:rsidRPr="00842260">
        <w:t xml:space="preserve"> trial. </w:t>
      </w:r>
      <w:r w:rsidR="002F32CA" w:rsidRPr="00842260">
        <w:rPr>
          <w:iCs/>
        </w:rPr>
        <w:t xml:space="preserve">The rate of Grade </w:t>
      </w:r>
      <w:r w:rsidR="002F32CA" w:rsidRPr="00842260">
        <w:rPr>
          <w:rFonts w:cstheme="minorHAnsi"/>
          <w:iCs/>
        </w:rPr>
        <w:t>≥</w:t>
      </w:r>
      <w:r w:rsidR="003E6AD7" w:rsidRPr="00842260">
        <w:rPr>
          <w:iCs/>
        </w:rPr>
        <w:t xml:space="preserve">3 treatment </w:t>
      </w:r>
      <w:r w:rsidR="002F32CA" w:rsidRPr="00842260">
        <w:rPr>
          <w:iCs/>
        </w:rPr>
        <w:t xml:space="preserve">emergent adverse events was </w:t>
      </w:r>
      <w:r w:rsidR="003E6AD7" w:rsidRPr="00842260">
        <w:rPr>
          <w:iCs/>
        </w:rPr>
        <w:t>33%</w:t>
      </w:r>
      <w:r w:rsidR="002F32CA" w:rsidRPr="00842260">
        <w:rPr>
          <w:iCs/>
        </w:rPr>
        <w:t xml:space="preserve"> higher in the patient group who received the addition of </w:t>
      </w:r>
      <w:proofErr w:type="spellStart"/>
      <w:r w:rsidR="002F32CA" w:rsidRPr="00842260">
        <w:rPr>
          <w:iCs/>
        </w:rPr>
        <w:t>abemaciclib</w:t>
      </w:r>
      <w:proofErr w:type="spellEnd"/>
      <w:r w:rsidR="003E6AD7" w:rsidRPr="00842260">
        <w:rPr>
          <w:iCs/>
        </w:rPr>
        <w:t xml:space="preserve">, compared to ET alone, and 19% of patients discontinued </w:t>
      </w:r>
      <w:proofErr w:type="spellStart"/>
      <w:r w:rsidR="003E6AD7" w:rsidRPr="00842260">
        <w:rPr>
          <w:iCs/>
        </w:rPr>
        <w:t>abemaciclib</w:t>
      </w:r>
      <w:proofErr w:type="spellEnd"/>
      <w:r w:rsidR="003E6AD7" w:rsidRPr="00842260">
        <w:rPr>
          <w:iCs/>
        </w:rPr>
        <w:t xml:space="preserve"> due to adverse events.</w:t>
      </w:r>
      <w:r w:rsidR="003E6AD7" w:rsidRPr="00842260">
        <w:t xml:space="preserve"> </w:t>
      </w:r>
      <w:r w:rsidR="00D025C5" w:rsidRPr="00842260">
        <w:rPr>
          <w:iCs/>
        </w:rPr>
        <w:t xml:space="preserve">The ESC noted that 18.5% of patients discontinued </w:t>
      </w:r>
      <w:proofErr w:type="spellStart"/>
      <w:r w:rsidR="00D025C5" w:rsidRPr="00842260">
        <w:rPr>
          <w:iCs/>
        </w:rPr>
        <w:t>abemaciclib</w:t>
      </w:r>
      <w:proofErr w:type="spellEnd"/>
      <w:r w:rsidR="00D025C5" w:rsidRPr="00842260">
        <w:rPr>
          <w:iCs/>
        </w:rPr>
        <w:t xml:space="preserve"> due to toxicity.</w:t>
      </w:r>
    </w:p>
    <w:p w14:paraId="54C5B15D" w14:textId="499E1DE6" w:rsidR="005E05AF" w:rsidRPr="00842260" w:rsidRDefault="005E3FDA" w:rsidP="005E05AF">
      <w:pPr>
        <w:pStyle w:val="TableFigureHeading"/>
      </w:pPr>
      <w:bookmarkStart w:id="27" w:name="_Ref92792254"/>
      <w:r w:rsidRPr="00842260">
        <w:rPr>
          <w:rStyle w:val="TableFigureHeadingChar"/>
          <w:b/>
        </w:rPr>
        <w:lastRenderedPageBreak/>
        <w:t xml:space="preserve">Table </w:t>
      </w:r>
      <w:r w:rsidR="00AA03D7" w:rsidRPr="00842260">
        <w:rPr>
          <w:rStyle w:val="TableFigureHeadingChar"/>
          <w:b/>
        </w:rPr>
        <w:fldChar w:fldCharType="begin"/>
      </w:r>
      <w:r w:rsidR="00AA03D7" w:rsidRPr="00842260">
        <w:rPr>
          <w:rStyle w:val="TableFigureHeadingChar"/>
          <w:b/>
        </w:rPr>
        <w:instrText xml:space="preserve"> SEQ Table \* ARABIC \s 1 </w:instrText>
      </w:r>
      <w:r w:rsidR="00AA03D7" w:rsidRPr="00842260">
        <w:rPr>
          <w:rStyle w:val="TableFigureHeadingChar"/>
          <w:b/>
        </w:rPr>
        <w:fldChar w:fldCharType="separate"/>
      </w:r>
      <w:r w:rsidR="00053218">
        <w:rPr>
          <w:rStyle w:val="TableFigureHeadingChar"/>
          <w:b/>
          <w:noProof/>
        </w:rPr>
        <w:t>5</w:t>
      </w:r>
      <w:r w:rsidR="00AA03D7" w:rsidRPr="00842260">
        <w:rPr>
          <w:rStyle w:val="TableFigureHeadingChar"/>
          <w:b/>
        </w:rPr>
        <w:fldChar w:fldCharType="end"/>
      </w:r>
      <w:bookmarkEnd w:id="27"/>
      <w:r w:rsidRPr="00842260">
        <w:rPr>
          <w:rStyle w:val="TableFigureHeadingChar"/>
          <w:b/>
        </w:rPr>
        <w:t>:</w:t>
      </w:r>
      <w:r w:rsidRPr="00842260">
        <w:rPr>
          <w:rStyle w:val="CommentReference"/>
          <w:b/>
          <w:szCs w:val="24"/>
        </w:rPr>
        <w:t xml:space="preserve"> </w:t>
      </w:r>
      <w:r w:rsidR="005E05AF" w:rsidRPr="00842260">
        <w:t xml:space="preserve">Summary of key adverse events in the </w:t>
      </w:r>
      <w:proofErr w:type="spellStart"/>
      <w:r w:rsidR="005E05AF" w:rsidRPr="00842260">
        <w:t>monarchE</w:t>
      </w:r>
      <w:proofErr w:type="spellEnd"/>
      <w:r w:rsidR="005E05AF" w:rsidRPr="00842260">
        <w:t xml:space="preserve"> randomised trial by analysis data </w:t>
      </w:r>
      <w:r w:rsidR="00B82743" w:rsidRPr="00842260">
        <w:t>cut-off,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2"/>
        <w:gridCol w:w="1650"/>
        <w:gridCol w:w="1701"/>
        <w:gridCol w:w="1701"/>
      </w:tblGrid>
      <w:tr w:rsidR="005E05AF" w:rsidRPr="00842260" w14:paraId="1F33D9F2" w14:textId="77777777" w:rsidTr="000C578F">
        <w:trPr>
          <w:tblHeader/>
        </w:trPr>
        <w:tc>
          <w:tcPr>
            <w:tcW w:w="1255" w:type="pct"/>
            <w:tcMar>
              <w:left w:w="28" w:type="dxa"/>
              <w:right w:w="28" w:type="dxa"/>
            </w:tcMar>
            <w:vAlign w:val="center"/>
          </w:tcPr>
          <w:p w14:paraId="3F32222A" w14:textId="77777777" w:rsidR="005E05AF" w:rsidRPr="00842260" w:rsidRDefault="005E05AF" w:rsidP="00656483">
            <w:pPr>
              <w:pStyle w:val="In-tableHeading"/>
              <w:rPr>
                <w:lang w:val="en-AU"/>
              </w:rPr>
            </w:pPr>
            <w:r w:rsidRPr="00842260">
              <w:rPr>
                <w:lang w:val="en-AU"/>
              </w:rPr>
              <w:t>Trial ID</w:t>
            </w:r>
          </w:p>
        </w:tc>
        <w:tc>
          <w:tcPr>
            <w:tcW w:w="944" w:type="pct"/>
            <w:tcMar>
              <w:left w:w="28" w:type="dxa"/>
              <w:right w:w="28" w:type="dxa"/>
            </w:tcMar>
            <w:vAlign w:val="center"/>
          </w:tcPr>
          <w:p w14:paraId="015575E3" w14:textId="77777777" w:rsidR="005E05AF" w:rsidRPr="00842260" w:rsidRDefault="005E05AF" w:rsidP="00656483">
            <w:pPr>
              <w:pStyle w:val="In-tableHeading"/>
              <w:jc w:val="center"/>
              <w:rPr>
                <w:lang w:val="en-AU"/>
              </w:rPr>
            </w:pPr>
            <w:r w:rsidRPr="00842260">
              <w:rPr>
                <w:lang w:val="en-AU"/>
              </w:rPr>
              <w:t>Arm A</w:t>
            </w:r>
          </w:p>
          <w:p w14:paraId="469823A9" w14:textId="77777777" w:rsidR="005E05AF" w:rsidRPr="00842260" w:rsidRDefault="005E05AF" w:rsidP="00656483">
            <w:pPr>
              <w:pStyle w:val="In-tableHeading"/>
              <w:jc w:val="center"/>
              <w:rPr>
                <w:lang w:val="en-AU"/>
              </w:rPr>
            </w:pPr>
            <w:r w:rsidRPr="00842260">
              <w:rPr>
                <w:lang w:val="en-AU"/>
              </w:rPr>
              <w:t xml:space="preserve">ABE + ET </w:t>
            </w:r>
          </w:p>
          <w:p w14:paraId="559CEBF4" w14:textId="77777777" w:rsidR="005E05AF" w:rsidRPr="00842260" w:rsidRDefault="005E05AF" w:rsidP="00656483">
            <w:pPr>
              <w:pStyle w:val="In-tableHeading"/>
              <w:jc w:val="center"/>
              <w:rPr>
                <w:lang w:val="en-AU"/>
              </w:rPr>
            </w:pPr>
            <w:r w:rsidRPr="00842260">
              <w:rPr>
                <w:lang w:val="en-AU"/>
              </w:rPr>
              <w:t>n with event/N (%)</w:t>
            </w:r>
          </w:p>
        </w:tc>
        <w:tc>
          <w:tcPr>
            <w:tcW w:w="915" w:type="pct"/>
            <w:tcMar>
              <w:left w:w="28" w:type="dxa"/>
              <w:right w:w="28" w:type="dxa"/>
            </w:tcMar>
            <w:vAlign w:val="center"/>
          </w:tcPr>
          <w:p w14:paraId="0014C19E" w14:textId="77777777" w:rsidR="005E05AF" w:rsidRPr="00842260" w:rsidRDefault="005E05AF" w:rsidP="00656483">
            <w:pPr>
              <w:pStyle w:val="In-tableHeading"/>
              <w:jc w:val="center"/>
              <w:rPr>
                <w:lang w:val="en-AU"/>
              </w:rPr>
            </w:pPr>
            <w:r w:rsidRPr="00842260">
              <w:rPr>
                <w:lang w:val="en-AU"/>
              </w:rPr>
              <w:t>Arm B</w:t>
            </w:r>
          </w:p>
          <w:p w14:paraId="375472EF" w14:textId="77777777" w:rsidR="005E05AF" w:rsidRPr="00842260" w:rsidRDefault="005E05AF" w:rsidP="00656483">
            <w:pPr>
              <w:pStyle w:val="In-tableHeading"/>
              <w:jc w:val="center"/>
              <w:rPr>
                <w:lang w:val="en-AU"/>
              </w:rPr>
            </w:pPr>
            <w:r w:rsidRPr="00842260">
              <w:rPr>
                <w:lang w:val="en-AU"/>
              </w:rPr>
              <w:t xml:space="preserve">ET </w:t>
            </w:r>
          </w:p>
          <w:p w14:paraId="3DCA1EEE" w14:textId="77777777" w:rsidR="005E05AF" w:rsidRPr="00842260" w:rsidRDefault="005E05AF" w:rsidP="00656483">
            <w:pPr>
              <w:pStyle w:val="In-tableHeading"/>
              <w:jc w:val="center"/>
              <w:rPr>
                <w:lang w:val="en-AU"/>
              </w:rPr>
            </w:pPr>
            <w:r w:rsidRPr="00842260">
              <w:rPr>
                <w:lang w:val="en-AU"/>
              </w:rPr>
              <w:t>n with event/N (%)</w:t>
            </w:r>
          </w:p>
        </w:tc>
        <w:tc>
          <w:tcPr>
            <w:tcW w:w="943" w:type="pct"/>
            <w:tcMar>
              <w:left w:w="28" w:type="dxa"/>
              <w:right w:w="28" w:type="dxa"/>
            </w:tcMar>
          </w:tcPr>
          <w:p w14:paraId="0E116B5A" w14:textId="77777777" w:rsidR="005E05AF" w:rsidRPr="00842260" w:rsidRDefault="005E05AF" w:rsidP="00656483">
            <w:pPr>
              <w:pStyle w:val="In-tableHeading"/>
              <w:jc w:val="center"/>
              <w:rPr>
                <w:lang w:val="en-AU"/>
              </w:rPr>
            </w:pPr>
          </w:p>
          <w:p w14:paraId="4D501BD5" w14:textId="77777777" w:rsidR="005E05AF" w:rsidRPr="00842260" w:rsidRDefault="005E05AF" w:rsidP="00656483">
            <w:pPr>
              <w:pStyle w:val="In-tableHeading"/>
              <w:jc w:val="center"/>
              <w:rPr>
                <w:lang w:val="en-AU"/>
              </w:rPr>
            </w:pPr>
            <w:r w:rsidRPr="00842260">
              <w:rPr>
                <w:lang w:val="en-AU"/>
              </w:rPr>
              <w:t>RD % (95%CI)</w:t>
            </w:r>
          </w:p>
        </w:tc>
        <w:tc>
          <w:tcPr>
            <w:tcW w:w="943" w:type="pct"/>
            <w:tcMar>
              <w:left w:w="28" w:type="dxa"/>
              <w:right w:w="28" w:type="dxa"/>
            </w:tcMar>
            <w:vAlign w:val="center"/>
          </w:tcPr>
          <w:p w14:paraId="1548A6CE" w14:textId="77777777" w:rsidR="005E05AF" w:rsidRPr="00842260" w:rsidRDefault="005E05AF" w:rsidP="00656483">
            <w:pPr>
              <w:pStyle w:val="In-tableHeading"/>
              <w:jc w:val="center"/>
              <w:rPr>
                <w:lang w:val="en-AU"/>
              </w:rPr>
            </w:pPr>
            <w:r w:rsidRPr="00842260">
              <w:rPr>
                <w:lang w:val="en-AU"/>
              </w:rPr>
              <w:t>RR (95% CI)</w:t>
            </w:r>
          </w:p>
        </w:tc>
      </w:tr>
      <w:tr w:rsidR="005E05AF" w:rsidRPr="00842260" w14:paraId="3817A3E6" w14:textId="77777777" w:rsidTr="000C578F">
        <w:tc>
          <w:tcPr>
            <w:tcW w:w="1255" w:type="pct"/>
            <w:tcMar>
              <w:left w:w="28" w:type="dxa"/>
              <w:right w:w="28" w:type="dxa"/>
            </w:tcMar>
          </w:tcPr>
          <w:p w14:paraId="233CD9BB" w14:textId="77777777" w:rsidR="005E05AF" w:rsidRPr="00842260" w:rsidRDefault="005E05AF" w:rsidP="00656483">
            <w:pPr>
              <w:pStyle w:val="TableText0"/>
            </w:pPr>
            <w:r w:rsidRPr="00842260">
              <w:t>Patients with ≥1 TEAE</w:t>
            </w:r>
          </w:p>
        </w:tc>
        <w:tc>
          <w:tcPr>
            <w:tcW w:w="944" w:type="pct"/>
            <w:tcMar>
              <w:left w:w="28" w:type="dxa"/>
              <w:right w:w="28" w:type="dxa"/>
            </w:tcMar>
            <w:vAlign w:val="center"/>
          </w:tcPr>
          <w:p w14:paraId="707992FA" w14:textId="77777777" w:rsidR="005E05AF" w:rsidRPr="00842260" w:rsidRDefault="005E05AF" w:rsidP="00656483">
            <w:pPr>
              <w:pStyle w:val="TableText0"/>
              <w:jc w:val="center"/>
            </w:pPr>
            <w:r w:rsidRPr="00842260">
              <w:t>2745/2791 (98.4%)</w:t>
            </w:r>
          </w:p>
        </w:tc>
        <w:tc>
          <w:tcPr>
            <w:tcW w:w="915" w:type="pct"/>
            <w:tcMar>
              <w:left w:w="28" w:type="dxa"/>
              <w:right w:w="28" w:type="dxa"/>
            </w:tcMar>
            <w:vAlign w:val="center"/>
          </w:tcPr>
          <w:p w14:paraId="03087BEE" w14:textId="77777777" w:rsidR="005E05AF" w:rsidRPr="00842260" w:rsidRDefault="005E05AF" w:rsidP="00656483">
            <w:pPr>
              <w:pStyle w:val="TableText0"/>
              <w:jc w:val="center"/>
            </w:pPr>
            <w:r w:rsidRPr="00842260">
              <w:t>2486/2800 (88.8%)</w:t>
            </w:r>
          </w:p>
        </w:tc>
        <w:tc>
          <w:tcPr>
            <w:tcW w:w="943" w:type="pct"/>
            <w:tcMar>
              <w:left w:w="28" w:type="dxa"/>
              <w:right w:w="28" w:type="dxa"/>
            </w:tcMar>
          </w:tcPr>
          <w:p w14:paraId="77871DB8" w14:textId="77777777" w:rsidR="005E05AF" w:rsidRPr="00842260" w:rsidRDefault="005E05AF" w:rsidP="00656483">
            <w:pPr>
              <w:pStyle w:val="TableText0"/>
              <w:jc w:val="center"/>
              <w:rPr>
                <w:b/>
              </w:rPr>
            </w:pPr>
            <w:r w:rsidRPr="00842260">
              <w:rPr>
                <w:b/>
              </w:rPr>
              <w:t>9.57 (8.30, 10.82)</w:t>
            </w:r>
          </w:p>
        </w:tc>
        <w:tc>
          <w:tcPr>
            <w:tcW w:w="943" w:type="pct"/>
            <w:tcMar>
              <w:left w:w="28" w:type="dxa"/>
              <w:right w:w="28" w:type="dxa"/>
            </w:tcMar>
            <w:vAlign w:val="center"/>
          </w:tcPr>
          <w:p w14:paraId="158C07E5" w14:textId="77777777" w:rsidR="005E05AF" w:rsidRPr="00842260" w:rsidRDefault="005E05AF" w:rsidP="00656483">
            <w:pPr>
              <w:pStyle w:val="TableText0"/>
              <w:jc w:val="center"/>
              <w:rPr>
                <w:b/>
              </w:rPr>
            </w:pPr>
            <w:r w:rsidRPr="00842260">
              <w:rPr>
                <w:b/>
              </w:rPr>
              <w:t>1.11 (1.09, 1.12)</w:t>
            </w:r>
          </w:p>
        </w:tc>
      </w:tr>
      <w:tr w:rsidR="005E05AF" w:rsidRPr="00842260" w14:paraId="22DDF40B" w14:textId="77777777" w:rsidTr="000C578F">
        <w:tc>
          <w:tcPr>
            <w:tcW w:w="1255" w:type="pct"/>
            <w:tcMar>
              <w:left w:w="28" w:type="dxa"/>
              <w:right w:w="28" w:type="dxa"/>
            </w:tcMar>
          </w:tcPr>
          <w:p w14:paraId="7DF781DF" w14:textId="77777777" w:rsidR="005E05AF" w:rsidRPr="00842260" w:rsidRDefault="005E05AF" w:rsidP="00656483">
            <w:pPr>
              <w:pStyle w:val="TableText0"/>
            </w:pPr>
            <w:r w:rsidRPr="00842260">
              <w:t>Patients with ≥1 CTCAE Grade ≥3 TEAE</w:t>
            </w:r>
          </w:p>
        </w:tc>
        <w:tc>
          <w:tcPr>
            <w:tcW w:w="944" w:type="pct"/>
            <w:tcMar>
              <w:left w:w="28" w:type="dxa"/>
              <w:right w:w="28" w:type="dxa"/>
            </w:tcMar>
            <w:vAlign w:val="center"/>
          </w:tcPr>
          <w:p w14:paraId="1B3E479E" w14:textId="77777777" w:rsidR="005E05AF" w:rsidRPr="00842260" w:rsidRDefault="005E05AF" w:rsidP="00656483">
            <w:pPr>
              <w:pStyle w:val="TableText0"/>
              <w:jc w:val="center"/>
            </w:pPr>
            <w:r w:rsidRPr="00842260">
              <w:t>1388/2791 (49.7%)</w:t>
            </w:r>
          </w:p>
        </w:tc>
        <w:tc>
          <w:tcPr>
            <w:tcW w:w="915" w:type="pct"/>
            <w:tcMar>
              <w:left w:w="28" w:type="dxa"/>
              <w:right w:w="28" w:type="dxa"/>
            </w:tcMar>
            <w:vAlign w:val="center"/>
          </w:tcPr>
          <w:p w14:paraId="3F4E38C3" w14:textId="77777777" w:rsidR="005E05AF" w:rsidRPr="00842260" w:rsidRDefault="005E05AF" w:rsidP="00656483">
            <w:pPr>
              <w:pStyle w:val="TableText0"/>
              <w:jc w:val="center"/>
            </w:pPr>
            <w:r w:rsidRPr="00842260">
              <w:t>456/2800 (16.3%)</w:t>
            </w:r>
          </w:p>
        </w:tc>
        <w:tc>
          <w:tcPr>
            <w:tcW w:w="943" w:type="pct"/>
            <w:tcMar>
              <w:left w:w="28" w:type="dxa"/>
              <w:right w:w="28" w:type="dxa"/>
            </w:tcMar>
            <w:vAlign w:val="center"/>
          </w:tcPr>
          <w:p w14:paraId="740884F1" w14:textId="77777777" w:rsidR="005E05AF" w:rsidRPr="00842260" w:rsidRDefault="005E05AF" w:rsidP="000C578F">
            <w:pPr>
              <w:pStyle w:val="TableText0"/>
              <w:jc w:val="center"/>
              <w:rPr>
                <w:b/>
              </w:rPr>
            </w:pPr>
            <w:r w:rsidRPr="00842260">
              <w:rPr>
                <w:b/>
              </w:rPr>
              <w:t>33.44 (31.14, 35.75)</w:t>
            </w:r>
          </w:p>
        </w:tc>
        <w:tc>
          <w:tcPr>
            <w:tcW w:w="943" w:type="pct"/>
            <w:tcMar>
              <w:left w:w="28" w:type="dxa"/>
              <w:right w:w="28" w:type="dxa"/>
            </w:tcMar>
            <w:vAlign w:val="center"/>
          </w:tcPr>
          <w:p w14:paraId="05E0F9DB" w14:textId="77777777" w:rsidR="005E05AF" w:rsidRPr="00842260" w:rsidRDefault="005E05AF" w:rsidP="00656483">
            <w:pPr>
              <w:pStyle w:val="TableText0"/>
              <w:jc w:val="center"/>
              <w:rPr>
                <w:b/>
              </w:rPr>
            </w:pPr>
            <w:r w:rsidRPr="00842260">
              <w:rPr>
                <w:b/>
              </w:rPr>
              <w:t>3.05 (2.79, 3.35)</w:t>
            </w:r>
          </w:p>
        </w:tc>
      </w:tr>
      <w:tr w:rsidR="005E05AF" w:rsidRPr="00842260" w14:paraId="0AD8B6EC" w14:textId="77777777" w:rsidTr="000C578F">
        <w:trPr>
          <w:trHeight w:val="70"/>
        </w:trPr>
        <w:tc>
          <w:tcPr>
            <w:tcW w:w="1255" w:type="pct"/>
            <w:tcMar>
              <w:left w:w="28" w:type="dxa"/>
              <w:right w:w="28" w:type="dxa"/>
            </w:tcMar>
            <w:vAlign w:val="center"/>
          </w:tcPr>
          <w:p w14:paraId="37E8074A" w14:textId="77777777" w:rsidR="005E05AF" w:rsidRPr="00842260" w:rsidRDefault="005E05AF" w:rsidP="000C578F">
            <w:pPr>
              <w:pStyle w:val="TableText0"/>
            </w:pPr>
            <w:r w:rsidRPr="00842260">
              <w:t>Patients with ≥1 TE-SAE</w:t>
            </w:r>
          </w:p>
        </w:tc>
        <w:tc>
          <w:tcPr>
            <w:tcW w:w="944" w:type="pct"/>
            <w:tcMar>
              <w:left w:w="28" w:type="dxa"/>
              <w:right w:w="28" w:type="dxa"/>
            </w:tcMar>
            <w:vAlign w:val="center"/>
          </w:tcPr>
          <w:p w14:paraId="5B6C6BB0" w14:textId="77777777" w:rsidR="005E05AF" w:rsidRPr="00842260" w:rsidRDefault="005E05AF" w:rsidP="000C578F">
            <w:pPr>
              <w:pStyle w:val="TableText0"/>
              <w:jc w:val="center"/>
            </w:pPr>
            <w:r w:rsidRPr="00842260">
              <w:t>424/2791 (15.2%)</w:t>
            </w:r>
          </w:p>
        </w:tc>
        <w:tc>
          <w:tcPr>
            <w:tcW w:w="915" w:type="pct"/>
            <w:tcMar>
              <w:left w:w="28" w:type="dxa"/>
              <w:right w:w="28" w:type="dxa"/>
            </w:tcMar>
            <w:vAlign w:val="center"/>
          </w:tcPr>
          <w:p w14:paraId="696C158D" w14:textId="77777777" w:rsidR="005E05AF" w:rsidRPr="00842260" w:rsidRDefault="005E05AF" w:rsidP="000C578F">
            <w:pPr>
              <w:pStyle w:val="TableText0"/>
              <w:jc w:val="center"/>
            </w:pPr>
            <w:r w:rsidRPr="00842260">
              <w:t>219/2800 (7.8%)</w:t>
            </w:r>
          </w:p>
        </w:tc>
        <w:tc>
          <w:tcPr>
            <w:tcW w:w="943" w:type="pct"/>
            <w:tcMar>
              <w:left w:w="28" w:type="dxa"/>
              <w:right w:w="28" w:type="dxa"/>
            </w:tcMar>
          </w:tcPr>
          <w:p w14:paraId="7283C186" w14:textId="77777777" w:rsidR="005E05AF" w:rsidRPr="00842260" w:rsidRDefault="005E05AF" w:rsidP="000C578F">
            <w:pPr>
              <w:pStyle w:val="TableText0"/>
              <w:jc w:val="center"/>
              <w:rPr>
                <w:b/>
              </w:rPr>
            </w:pPr>
            <w:r w:rsidRPr="00842260">
              <w:rPr>
                <w:b/>
              </w:rPr>
              <w:t>7.37 (5.71, 9.03)</w:t>
            </w:r>
          </w:p>
        </w:tc>
        <w:tc>
          <w:tcPr>
            <w:tcW w:w="943" w:type="pct"/>
            <w:tcMar>
              <w:left w:w="28" w:type="dxa"/>
              <w:right w:w="28" w:type="dxa"/>
            </w:tcMar>
            <w:vAlign w:val="center"/>
          </w:tcPr>
          <w:p w14:paraId="43A422D2" w14:textId="77777777" w:rsidR="005E05AF" w:rsidRPr="00842260" w:rsidRDefault="005E05AF" w:rsidP="000C578F">
            <w:pPr>
              <w:pStyle w:val="TableText0"/>
              <w:jc w:val="center"/>
              <w:rPr>
                <w:b/>
              </w:rPr>
            </w:pPr>
            <w:r w:rsidRPr="00842260">
              <w:rPr>
                <w:b/>
              </w:rPr>
              <w:t>1.94 (1.66, 2.27)</w:t>
            </w:r>
          </w:p>
        </w:tc>
      </w:tr>
      <w:tr w:rsidR="005E05AF" w:rsidRPr="00842260" w14:paraId="2D25C00B" w14:textId="77777777" w:rsidTr="000C578F">
        <w:tc>
          <w:tcPr>
            <w:tcW w:w="1255" w:type="pct"/>
            <w:tcMar>
              <w:left w:w="28" w:type="dxa"/>
              <w:right w:w="28" w:type="dxa"/>
            </w:tcMar>
          </w:tcPr>
          <w:p w14:paraId="36EE2D0A" w14:textId="77777777" w:rsidR="005E05AF" w:rsidRPr="00842260" w:rsidRDefault="005E05AF" w:rsidP="00656483">
            <w:pPr>
              <w:pStyle w:val="TableText0"/>
            </w:pPr>
            <w:r w:rsidRPr="00842260">
              <w:t xml:space="preserve">Patients who discontinued </w:t>
            </w:r>
            <w:proofErr w:type="spellStart"/>
            <w:r w:rsidRPr="00842260">
              <w:t>abemaciclib</w:t>
            </w:r>
            <w:proofErr w:type="spellEnd"/>
            <w:r w:rsidRPr="00842260">
              <w:t xml:space="preserve"> due to AE</w:t>
            </w:r>
          </w:p>
        </w:tc>
        <w:tc>
          <w:tcPr>
            <w:tcW w:w="944" w:type="pct"/>
            <w:tcMar>
              <w:left w:w="28" w:type="dxa"/>
              <w:right w:w="28" w:type="dxa"/>
            </w:tcMar>
            <w:vAlign w:val="center"/>
          </w:tcPr>
          <w:p w14:paraId="6A42A00A" w14:textId="77777777" w:rsidR="005E05AF" w:rsidRPr="00842260" w:rsidRDefault="005E05AF" w:rsidP="00656483">
            <w:pPr>
              <w:pStyle w:val="TableText0"/>
              <w:jc w:val="center"/>
            </w:pPr>
            <w:r w:rsidRPr="00842260">
              <w:t>515/2791 (18.5%)</w:t>
            </w:r>
          </w:p>
        </w:tc>
        <w:tc>
          <w:tcPr>
            <w:tcW w:w="915" w:type="pct"/>
            <w:tcMar>
              <w:left w:w="28" w:type="dxa"/>
              <w:right w:w="28" w:type="dxa"/>
            </w:tcMar>
            <w:vAlign w:val="center"/>
          </w:tcPr>
          <w:p w14:paraId="19027D72" w14:textId="77777777" w:rsidR="005E05AF" w:rsidRPr="00842260" w:rsidRDefault="005E05AF" w:rsidP="00656483">
            <w:pPr>
              <w:pStyle w:val="TableText0"/>
              <w:jc w:val="center"/>
            </w:pPr>
            <w:r w:rsidRPr="00842260">
              <w:t>NA</w:t>
            </w:r>
          </w:p>
        </w:tc>
        <w:tc>
          <w:tcPr>
            <w:tcW w:w="943" w:type="pct"/>
            <w:tcMar>
              <w:left w:w="28" w:type="dxa"/>
              <w:right w:w="28" w:type="dxa"/>
            </w:tcMar>
            <w:vAlign w:val="center"/>
          </w:tcPr>
          <w:p w14:paraId="1F4F2E16" w14:textId="77777777" w:rsidR="005E05AF" w:rsidRPr="00842260" w:rsidRDefault="005E05AF" w:rsidP="000C578F">
            <w:pPr>
              <w:pStyle w:val="TableText0"/>
              <w:jc w:val="center"/>
            </w:pPr>
            <w:r w:rsidRPr="00842260">
              <w:t>NA</w:t>
            </w:r>
          </w:p>
        </w:tc>
        <w:tc>
          <w:tcPr>
            <w:tcW w:w="943" w:type="pct"/>
            <w:tcMar>
              <w:left w:w="28" w:type="dxa"/>
              <w:right w:w="28" w:type="dxa"/>
            </w:tcMar>
            <w:vAlign w:val="center"/>
          </w:tcPr>
          <w:p w14:paraId="3BA7BDB6" w14:textId="77777777" w:rsidR="005E05AF" w:rsidRPr="00842260" w:rsidRDefault="005E05AF" w:rsidP="00656483">
            <w:pPr>
              <w:pStyle w:val="TableText0"/>
              <w:jc w:val="center"/>
            </w:pPr>
            <w:r w:rsidRPr="00842260">
              <w:t>NA</w:t>
            </w:r>
          </w:p>
        </w:tc>
      </w:tr>
      <w:tr w:rsidR="005E05AF" w:rsidRPr="00842260" w14:paraId="0A43E2A8" w14:textId="77777777" w:rsidTr="000C578F">
        <w:tc>
          <w:tcPr>
            <w:tcW w:w="1255" w:type="pct"/>
            <w:tcMar>
              <w:left w:w="28" w:type="dxa"/>
              <w:right w:w="28" w:type="dxa"/>
            </w:tcMar>
          </w:tcPr>
          <w:p w14:paraId="1C452011" w14:textId="77777777" w:rsidR="005E05AF" w:rsidRPr="00842260" w:rsidRDefault="005E05AF" w:rsidP="00656483">
            <w:pPr>
              <w:pStyle w:val="TableText0"/>
            </w:pPr>
            <w:r w:rsidRPr="00842260">
              <w:t>Patients who discontinued all study treatment due to AE</w:t>
            </w:r>
          </w:p>
        </w:tc>
        <w:tc>
          <w:tcPr>
            <w:tcW w:w="944" w:type="pct"/>
            <w:tcMar>
              <w:left w:w="28" w:type="dxa"/>
              <w:right w:w="28" w:type="dxa"/>
            </w:tcMar>
            <w:vAlign w:val="center"/>
          </w:tcPr>
          <w:p w14:paraId="22EBFD40" w14:textId="77777777" w:rsidR="005E05AF" w:rsidRPr="00842260" w:rsidRDefault="005E05AF" w:rsidP="00656483">
            <w:pPr>
              <w:pStyle w:val="TableText0"/>
              <w:jc w:val="center"/>
            </w:pPr>
            <w:r w:rsidRPr="00842260">
              <w:t>181/2791 (6.5%)</w:t>
            </w:r>
          </w:p>
        </w:tc>
        <w:tc>
          <w:tcPr>
            <w:tcW w:w="915" w:type="pct"/>
            <w:tcMar>
              <w:left w:w="28" w:type="dxa"/>
              <w:right w:w="28" w:type="dxa"/>
            </w:tcMar>
            <w:vAlign w:val="center"/>
          </w:tcPr>
          <w:p w14:paraId="525F4841" w14:textId="77777777" w:rsidR="005E05AF" w:rsidRPr="00842260" w:rsidRDefault="005E05AF" w:rsidP="00656483">
            <w:pPr>
              <w:pStyle w:val="TableText0"/>
              <w:jc w:val="center"/>
            </w:pPr>
            <w:r w:rsidRPr="00842260">
              <w:t>30/2800 (1.1%)</w:t>
            </w:r>
          </w:p>
        </w:tc>
        <w:tc>
          <w:tcPr>
            <w:tcW w:w="943" w:type="pct"/>
            <w:tcMar>
              <w:left w:w="28" w:type="dxa"/>
              <w:right w:w="28" w:type="dxa"/>
            </w:tcMar>
            <w:vAlign w:val="center"/>
          </w:tcPr>
          <w:p w14:paraId="0CE7D1F5" w14:textId="77777777" w:rsidR="005E05AF" w:rsidRPr="00842260" w:rsidRDefault="005E05AF" w:rsidP="000C578F">
            <w:pPr>
              <w:pStyle w:val="TableText0"/>
              <w:jc w:val="center"/>
              <w:rPr>
                <w:b/>
              </w:rPr>
            </w:pPr>
            <w:r w:rsidRPr="00842260">
              <w:rPr>
                <w:b/>
              </w:rPr>
              <w:t>5.41 (4.42, 6.40)</w:t>
            </w:r>
          </w:p>
        </w:tc>
        <w:tc>
          <w:tcPr>
            <w:tcW w:w="943" w:type="pct"/>
            <w:tcMar>
              <w:left w:w="28" w:type="dxa"/>
              <w:right w:w="28" w:type="dxa"/>
            </w:tcMar>
            <w:vAlign w:val="center"/>
          </w:tcPr>
          <w:p w14:paraId="346E65CB" w14:textId="77777777" w:rsidR="005E05AF" w:rsidRPr="00842260" w:rsidRDefault="005E05AF" w:rsidP="00656483">
            <w:pPr>
              <w:pStyle w:val="TableText0"/>
              <w:jc w:val="center"/>
              <w:rPr>
                <w:b/>
              </w:rPr>
            </w:pPr>
            <w:r w:rsidRPr="00842260">
              <w:rPr>
                <w:b/>
              </w:rPr>
              <w:t>6.05 (4.13, 8.88)</w:t>
            </w:r>
          </w:p>
        </w:tc>
      </w:tr>
      <w:tr w:rsidR="005E05AF" w:rsidRPr="00842260" w14:paraId="51C2F2BD" w14:textId="77777777" w:rsidTr="000C578F">
        <w:tc>
          <w:tcPr>
            <w:tcW w:w="1255" w:type="pct"/>
            <w:tcMar>
              <w:left w:w="28" w:type="dxa"/>
              <w:right w:w="28" w:type="dxa"/>
            </w:tcMar>
          </w:tcPr>
          <w:p w14:paraId="695B0C90" w14:textId="77777777" w:rsidR="005E05AF" w:rsidRPr="00842260" w:rsidRDefault="005E05AF" w:rsidP="00656483">
            <w:pPr>
              <w:pStyle w:val="TableText0"/>
            </w:pPr>
            <w:r w:rsidRPr="00842260">
              <w:t>Patients who died due to AE on study therapy or ≤30 days of discontinuation from study treatment</w:t>
            </w:r>
          </w:p>
        </w:tc>
        <w:tc>
          <w:tcPr>
            <w:tcW w:w="944" w:type="pct"/>
            <w:tcMar>
              <w:left w:w="28" w:type="dxa"/>
              <w:right w:w="28" w:type="dxa"/>
            </w:tcMar>
            <w:vAlign w:val="center"/>
          </w:tcPr>
          <w:p w14:paraId="64FDDFBB" w14:textId="77777777" w:rsidR="005E05AF" w:rsidRPr="00842260" w:rsidRDefault="005E05AF" w:rsidP="00656483">
            <w:pPr>
              <w:pStyle w:val="TableText0"/>
              <w:jc w:val="center"/>
            </w:pPr>
            <w:r w:rsidRPr="00842260">
              <w:t>15/2791 (0.5%)</w:t>
            </w:r>
          </w:p>
        </w:tc>
        <w:tc>
          <w:tcPr>
            <w:tcW w:w="915" w:type="pct"/>
            <w:tcMar>
              <w:left w:w="28" w:type="dxa"/>
              <w:right w:w="28" w:type="dxa"/>
            </w:tcMar>
            <w:vAlign w:val="center"/>
          </w:tcPr>
          <w:p w14:paraId="7A7CE697" w14:textId="77777777" w:rsidR="005E05AF" w:rsidRPr="00842260" w:rsidRDefault="005E05AF" w:rsidP="00656483">
            <w:pPr>
              <w:pStyle w:val="TableText0"/>
              <w:jc w:val="center"/>
            </w:pPr>
            <w:r w:rsidRPr="00842260">
              <w:t>10/2800 (0.4%)</w:t>
            </w:r>
          </w:p>
        </w:tc>
        <w:tc>
          <w:tcPr>
            <w:tcW w:w="943" w:type="pct"/>
            <w:tcMar>
              <w:left w:w="28" w:type="dxa"/>
              <w:right w:w="28" w:type="dxa"/>
            </w:tcMar>
            <w:vAlign w:val="center"/>
          </w:tcPr>
          <w:p w14:paraId="253133AE" w14:textId="77777777" w:rsidR="005E05AF" w:rsidRPr="00842260" w:rsidRDefault="005E05AF" w:rsidP="000C578F">
            <w:pPr>
              <w:pStyle w:val="TableText0"/>
              <w:jc w:val="center"/>
            </w:pPr>
            <w:r w:rsidRPr="00842260">
              <w:t>0.18 (-0.17, 0.53)</w:t>
            </w:r>
          </w:p>
        </w:tc>
        <w:tc>
          <w:tcPr>
            <w:tcW w:w="943" w:type="pct"/>
            <w:tcMar>
              <w:left w:w="28" w:type="dxa"/>
              <w:right w:w="28" w:type="dxa"/>
            </w:tcMar>
            <w:vAlign w:val="center"/>
          </w:tcPr>
          <w:p w14:paraId="6B986E0E" w14:textId="77777777" w:rsidR="005E05AF" w:rsidRPr="00842260" w:rsidRDefault="005E05AF" w:rsidP="00656483">
            <w:pPr>
              <w:pStyle w:val="TableText0"/>
              <w:jc w:val="center"/>
            </w:pPr>
            <w:r w:rsidRPr="00842260">
              <w:t>1.50 (0.68, 3.34)</w:t>
            </w:r>
          </w:p>
        </w:tc>
      </w:tr>
      <w:tr w:rsidR="005E05AF" w:rsidRPr="00842260" w14:paraId="70A83170" w14:textId="77777777" w:rsidTr="000C578F">
        <w:tc>
          <w:tcPr>
            <w:tcW w:w="1255" w:type="pct"/>
            <w:tcMar>
              <w:left w:w="28" w:type="dxa"/>
              <w:right w:w="28" w:type="dxa"/>
            </w:tcMar>
          </w:tcPr>
          <w:p w14:paraId="3EE72CFA" w14:textId="77777777" w:rsidR="005E05AF" w:rsidRPr="00842260" w:rsidRDefault="005E05AF" w:rsidP="00656483">
            <w:pPr>
              <w:pStyle w:val="TableText0"/>
            </w:pPr>
            <w:r w:rsidRPr="00842260">
              <w:t>Grade ≥3 diarrhoea</w:t>
            </w:r>
          </w:p>
        </w:tc>
        <w:tc>
          <w:tcPr>
            <w:tcW w:w="944" w:type="pct"/>
            <w:tcMar>
              <w:left w:w="28" w:type="dxa"/>
              <w:right w:w="28" w:type="dxa"/>
            </w:tcMar>
            <w:vAlign w:val="center"/>
          </w:tcPr>
          <w:p w14:paraId="45B55760" w14:textId="77777777" w:rsidR="005E05AF" w:rsidRPr="00842260" w:rsidRDefault="005E05AF" w:rsidP="00656483">
            <w:pPr>
              <w:pStyle w:val="TableText0"/>
              <w:jc w:val="center"/>
            </w:pPr>
            <w:r w:rsidRPr="00842260">
              <w:t>219/2791 (7.8%)</w:t>
            </w:r>
          </w:p>
        </w:tc>
        <w:tc>
          <w:tcPr>
            <w:tcW w:w="915" w:type="pct"/>
            <w:tcMar>
              <w:left w:w="28" w:type="dxa"/>
              <w:right w:w="28" w:type="dxa"/>
            </w:tcMar>
            <w:vAlign w:val="center"/>
          </w:tcPr>
          <w:p w14:paraId="58E5CE92" w14:textId="77777777" w:rsidR="005E05AF" w:rsidRPr="00842260" w:rsidRDefault="005E05AF" w:rsidP="00656483">
            <w:pPr>
              <w:pStyle w:val="TableText0"/>
              <w:jc w:val="center"/>
            </w:pPr>
            <w:r w:rsidRPr="00842260">
              <w:t>6/2800 (0.2%)</w:t>
            </w:r>
          </w:p>
        </w:tc>
        <w:tc>
          <w:tcPr>
            <w:tcW w:w="943" w:type="pct"/>
            <w:tcMar>
              <w:left w:w="28" w:type="dxa"/>
              <w:right w:w="28" w:type="dxa"/>
            </w:tcMar>
          </w:tcPr>
          <w:p w14:paraId="0332A8EF" w14:textId="77777777" w:rsidR="005E05AF" w:rsidRPr="00842260" w:rsidRDefault="005E05AF" w:rsidP="00656483">
            <w:pPr>
              <w:pStyle w:val="TableText0"/>
              <w:jc w:val="center"/>
              <w:rPr>
                <w:b/>
              </w:rPr>
            </w:pPr>
            <w:r w:rsidRPr="00842260">
              <w:rPr>
                <w:b/>
              </w:rPr>
              <w:t>7.63 (6.62, 8.64)</w:t>
            </w:r>
          </w:p>
        </w:tc>
        <w:tc>
          <w:tcPr>
            <w:tcW w:w="943" w:type="pct"/>
            <w:tcMar>
              <w:left w:w="28" w:type="dxa"/>
              <w:right w:w="28" w:type="dxa"/>
            </w:tcMar>
            <w:vAlign w:val="center"/>
          </w:tcPr>
          <w:p w14:paraId="49878FE5" w14:textId="77777777" w:rsidR="005E05AF" w:rsidRPr="00842260" w:rsidRDefault="005E05AF" w:rsidP="00656483">
            <w:pPr>
              <w:pStyle w:val="TableText0"/>
              <w:jc w:val="center"/>
              <w:rPr>
                <w:b/>
              </w:rPr>
            </w:pPr>
            <w:r w:rsidRPr="00842260">
              <w:rPr>
                <w:b/>
              </w:rPr>
              <w:t>36.62 (16.30, 82.26)</w:t>
            </w:r>
          </w:p>
        </w:tc>
      </w:tr>
      <w:tr w:rsidR="005E05AF" w:rsidRPr="00842260" w14:paraId="1AB96B97" w14:textId="77777777" w:rsidTr="000C578F">
        <w:tc>
          <w:tcPr>
            <w:tcW w:w="1255" w:type="pct"/>
            <w:tcMar>
              <w:left w:w="28" w:type="dxa"/>
              <w:right w:w="28" w:type="dxa"/>
            </w:tcMar>
          </w:tcPr>
          <w:p w14:paraId="7F7D8015" w14:textId="77777777" w:rsidR="005E05AF" w:rsidRPr="00842260" w:rsidRDefault="005E05AF" w:rsidP="00656483">
            <w:pPr>
              <w:pStyle w:val="TableText0"/>
            </w:pPr>
            <w:r w:rsidRPr="00842260">
              <w:t>Grade ≥3 neutropenia</w:t>
            </w:r>
          </w:p>
        </w:tc>
        <w:tc>
          <w:tcPr>
            <w:tcW w:w="944" w:type="pct"/>
            <w:tcMar>
              <w:left w:w="28" w:type="dxa"/>
              <w:right w:w="28" w:type="dxa"/>
            </w:tcMar>
            <w:vAlign w:val="center"/>
          </w:tcPr>
          <w:p w14:paraId="0CA7A323" w14:textId="77777777" w:rsidR="005E05AF" w:rsidRPr="00842260" w:rsidRDefault="005E05AF" w:rsidP="00656483">
            <w:pPr>
              <w:pStyle w:val="TableText0"/>
              <w:jc w:val="center"/>
            </w:pPr>
            <w:r w:rsidRPr="00842260">
              <w:t>546/2791 (19.6%)</w:t>
            </w:r>
          </w:p>
        </w:tc>
        <w:tc>
          <w:tcPr>
            <w:tcW w:w="915" w:type="pct"/>
            <w:tcMar>
              <w:left w:w="28" w:type="dxa"/>
              <w:right w:w="28" w:type="dxa"/>
            </w:tcMar>
            <w:vAlign w:val="center"/>
          </w:tcPr>
          <w:p w14:paraId="162A32C9" w14:textId="77777777" w:rsidR="005E05AF" w:rsidRPr="00842260" w:rsidRDefault="005E05AF" w:rsidP="00656483">
            <w:pPr>
              <w:pStyle w:val="TableText0"/>
              <w:jc w:val="center"/>
            </w:pPr>
            <w:r w:rsidRPr="00842260">
              <w:t>23/2800 (0.8%)</w:t>
            </w:r>
          </w:p>
        </w:tc>
        <w:tc>
          <w:tcPr>
            <w:tcW w:w="943" w:type="pct"/>
            <w:tcMar>
              <w:left w:w="28" w:type="dxa"/>
              <w:right w:w="28" w:type="dxa"/>
            </w:tcMar>
          </w:tcPr>
          <w:p w14:paraId="6BEAFDEB" w14:textId="77777777" w:rsidR="005E05AF" w:rsidRPr="00842260" w:rsidRDefault="005E05AF" w:rsidP="00656483">
            <w:pPr>
              <w:pStyle w:val="TableText0"/>
              <w:jc w:val="center"/>
              <w:rPr>
                <w:b/>
              </w:rPr>
            </w:pPr>
            <w:r w:rsidRPr="00842260">
              <w:rPr>
                <w:b/>
              </w:rPr>
              <w:t>18.74 (17.23, 20.24)</w:t>
            </w:r>
          </w:p>
        </w:tc>
        <w:tc>
          <w:tcPr>
            <w:tcW w:w="943" w:type="pct"/>
            <w:tcMar>
              <w:left w:w="28" w:type="dxa"/>
              <w:right w:w="28" w:type="dxa"/>
            </w:tcMar>
            <w:vAlign w:val="center"/>
          </w:tcPr>
          <w:p w14:paraId="311C035A" w14:textId="77777777" w:rsidR="005E05AF" w:rsidRPr="00842260" w:rsidRDefault="005E05AF" w:rsidP="00656483">
            <w:pPr>
              <w:pStyle w:val="TableText0"/>
              <w:jc w:val="center"/>
              <w:rPr>
                <w:b/>
              </w:rPr>
            </w:pPr>
            <w:r w:rsidRPr="00842260">
              <w:rPr>
                <w:b/>
              </w:rPr>
              <w:t>23.82 (15.74, 36.03)</w:t>
            </w:r>
          </w:p>
        </w:tc>
      </w:tr>
      <w:tr w:rsidR="005E05AF" w:rsidRPr="00842260" w14:paraId="04FF869D" w14:textId="77777777" w:rsidTr="000C578F">
        <w:trPr>
          <w:trHeight w:val="149"/>
        </w:trPr>
        <w:tc>
          <w:tcPr>
            <w:tcW w:w="1255" w:type="pct"/>
            <w:tcMar>
              <w:left w:w="28" w:type="dxa"/>
              <w:right w:w="28" w:type="dxa"/>
            </w:tcMar>
          </w:tcPr>
          <w:p w14:paraId="566135CE" w14:textId="77777777" w:rsidR="005E05AF" w:rsidRPr="00842260" w:rsidRDefault="005E05AF" w:rsidP="00656483">
            <w:pPr>
              <w:pStyle w:val="TableText0"/>
            </w:pPr>
            <w:r w:rsidRPr="00842260">
              <w:t>Grade ≥3 leukopenia</w:t>
            </w:r>
          </w:p>
        </w:tc>
        <w:tc>
          <w:tcPr>
            <w:tcW w:w="944" w:type="pct"/>
            <w:tcMar>
              <w:left w:w="28" w:type="dxa"/>
              <w:right w:w="28" w:type="dxa"/>
            </w:tcMar>
            <w:vAlign w:val="center"/>
          </w:tcPr>
          <w:p w14:paraId="6A59F148" w14:textId="77777777" w:rsidR="005E05AF" w:rsidRPr="00842260" w:rsidRDefault="005E05AF" w:rsidP="00656483">
            <w:pPr>
              <w:pStyle w:val="TableText0"/>
              <w:jc w:val="center"/>
            </w:pPr>
            <w:r w:rsidRPr="00842260">
              <w:t>317/2791 (11.4%)</w:t>
            </w:r>
          </w:p>
        </w:tc>
        <w:tc>
          <w:tcPr>
            <w:tcW w:w="915" w:type="pct"/>
            <w:tcMar>
              <w:left w:w="28" w:type="dxa"/>
              <w:right w:w="28" w:type="dxa"/>
            </w:tcMar>
            <w:vAlign w:val="center"/>
          </w:tcPr>
          <w:p w14:paraId="178A4202" w14:textId="77777777" w:rsidR="005E05AF" w:rsidRPr="00842260" w:rsidRDefault="005E05AF" w:rsidP="00656483">
            <w:pPr>
              <w:pStyle w:val="TableText0"/>
              <w:jc w:val="center"/>
            </w:pPr>
            <w:r w:rsidRPr="00842260">
              <w:t>11/2800 (0.4%)</w:t>
            </w:r>
          </w:p>
        </w:tc>
        <w:tc>
          <w:tcPr>
            <w:tcW w:w="943" w:type="pct"/>
            <w:tcMar>
              <w:left w:w="28" w:type="dxa"/>
              <w:right w:w="28" w:type="dxa"/>
            </w:tcMar>
          </w:tcPr>
          <w:p w14:paraId="2E12FAF4" w14:textId="77777777" w:rsidR="005E05AF" w:rsidRPr="00842260" w:rsidRDefault="005E05AF" w:rsidP="00656483">
            <w:pPr>
              <w:pStyle w:val="TableText0"/>
              <w:jc w:val="center"/>
              <w:rPr>
                <w:b/>
              </w:rPr>
            </w:pPr>
            <w:r w:rsidRPr="00842260">
              <w:rPr>
                <w:b/>
              </w:rPr>
              <w:t>10.96 (9.77, 12.16)</w:t>
            </w:r>
          </w:p>
        </w:tc>
        <w:tc>
          <w:tcPr>
            <w:tcW w:w="943" w:type="pct"/>
            <w:tcMar>
              <w:left w:w="28" w:type="dxa"/>
              <w:right w:w="28" w:type="dxa"/>
            </w:tcMar>
            <w:vAlign w:val="center"/>
          </w:tcPr>
          <w:p w14:paraId="29322D45" w14:textId="77777777" w:rsidR="005E05AF" w:rsidRPr="00842260" w:rsidRDefault="005E05AF" w:rsidP="00656483">
            <w:pPr>
              <w:pStyle w:val="TableText0"/>
              <w:jc w:val="center"/>
              <w:rPr>
                <w:b/>
              </w:rPr>
            </w:pPr>
            <w:r w:rsidRPr="00842260">
              <w:rPr>
                <w:b/>
              </w:rPr>
              <w:t>28.91 (15.89, 52.62)</w:t>
            </w:r>
          </w:p>
        </w:tc>
      </w:tr>
      <w:tr w:rsidR="005E05AF" w:rsidRPr="00842260" w14:paraId="26CAF91C" w14:textId="77777777" w:rsidTr="000C578F">
        <w:tc>
          <w:tcPr>
            <w:tcW w:w="1255" w:type="pct"/>
            <w:tcMar>
              <w:left w:w="28" w:type="dxa"/>
              <w:right w:w="28" w:type="dxa"/>
            </w:tcMar>
          </w:tcPr>
          <w:p w14:paraId="59DBE0A4" w14:textId="77777777" w:rsidR="005E05AF" w:rsidRPr="00842260" w:rsidRDefault="005E05AF" w:rsidP="00656483">
            <w:pPr>
              <w:pStyle w:val="TableText0"/>
            </w:pPr>
            <w:r w:rsidRPr="00842260">
              <w:t>Grade ≥3 lymphopenia</w:t>
            </w:r>
          </w:p>
        </w:tc>
        <w:tc>
          <w:tcPr>
            <w:tcW w:w="944" w:type="pct"/>
            <w:tcMar>
              <w:left w:w="28" w:type="dxa"/>
              <w:right w:w="28" w:type="dxa"/>
            </w:tcMar>
            <w:vAlign w:val="center"/>
          </w:tcPr>
          <w:p w14:paraId="6345E8D7" w14:textId="77777777" w:rsidR="005E05AF" w:rsidRPr="00842260" w:rsidRDefault="005E05AF" w:rsidP="00656483">
            <w:pPr>
              <w:pStyle w:val="TableText0"/>
              <w:jc w:val="center"/>
            </w:pPr>
            <w:r w:rsidRPr="00842260">
              <w:t>151/2791 (5.4%)</w:t>
            </w:r>
          </w:p>
        </w:tc>
        <w:tc>
          <w:tcPr>
            <w:tcW w:w="915" w:type="pct"/>
            <w:tcMar>
              <w:left w:w="28" w:type="dxa"/>
              <w:right w:w="28" w:type="dxa"/>
            </w:tcMar>
            <w:vAlign w:val="center"/>
          </w:tcPr>
          <w:p w14:paraId="0C026437" w14:textId="77777777" w:rsidR="005E05AF" w:rsidRPr="00842260" w:rsidRDefault="005E05AF" w:rsidP="00656483">
            <w:pPr>
              <w:pStyle w:val="TableText0"/>
              <w:jc w:val="center"/>
            </w:pPr>
            <w:r w:rsidRPr="00842260">
              <w:t>13/2800 (0.5%)</w:t>
            </w:r>
          </w:p>
        </w:tc>
        <w:tc>
          <w:tcPr>
            <w:tcW w:w="943" w:type="pct"/>
            <w:tcMar>
              <w:left w:w="28" w:type="dxa"/>
              <w:right w:w="28" w:type="dxa"/>
            </w:tcMar>
          </w:tcPr>
          <w:p w14:paraId="52CB38DE" w14:textId="77777777" w:rsidR="005E05AF" w:rsidRPr="00842260" w:rsidRDefault="005E05AF" w:rsidP="00656483">
            <w:pPr>
              <w:pStyle w:val="TableText0"/>
              <w:jc w:val="center"/>
              <w:rPr>
                <w:b/>
              </w:rPr>
            </w:pPr>
            <w:r w:rsidRPr="00842260">
              <w:rPr>
                <w:b/>
              </w:rPr>
              <w:t>4.95 (4.07, 5.82)</w:t>
            </w:r>
          </w:p>
        </w:tc>
        <w:tc>
          <w:tcPr>
            <w:tcW w:w="943" w:type="pct"/>
            <w:tcMar>
              <w:left w:w="28" w:type="dxa"/>
              <w:right w:w="28" w:type="dxa"/>
            </w:tcMar>
            <w:vAlign w:val="center"/>
          </w:tcPr>
          <w:p w14:paraId="595180E7" w14:textId="77777777" w:rsidR="005E05AF" w:rsidRPr="00842260" w:rsidRDefault="005E05AF" w:rsidP="000C578F">
            <w:pPr>
              <w:pStyle w:val="TableText0"/>
              <w:jc w:val="center"/>
              <w:rPr>
                <w:b/>
              </w:rPr>
            </w:pPr>
            <w:r w:rsidRPr="00842260">
              <w:rPr>
                <w:b/>
              </w:rPr>
              <w:t>11.65 (6.63, 20.48)</w:t>
            </w:r>
          </w:p>
        </w:tc>
      </w:tr>
    </w:tbl>
    <w:p w14:paraId="53C35CD2" w14:textId="1CF66D43" w:rsidR="005E05AF" w:rsidRPr="00842260" w:rsidRDefault="005E05AF" w:rsidP="005E05AF">
      <w:pPr>
        <w:pStyle w:val="TableFooter"/>
        <w:keepLines/>
        <w:rPr>
          <w:sz w:val="20"/>
        </w:rPr>
      </w:pPr>
      <w:r w:rsidRPr="00842260">
        <w:t>Source: Table 2-44, p114 of the submission and Table 2-46, p115 of the submission. Note: RD and RR calculated during the evaluation. Bold indicates a stat</w:t>
      </w:r>
      <w:r w:rsidR="007B7A17" w:rsidRPr="00842260">
        <w:t>istically significant result</w:t>
      </w:r>
      <w:r w:rsidRPr="00842260">
        <w:t>.</w:t>
      </w:r>
    </w:p>
    <w:p w14:paraId="08CCC03B" w14:textId="099ECC87" w:rsidR="005E05AF" w:rsidRPr="00842260" w:rsidRDefault="005E05AF" w:rsidP="005E05AF">
      <w:pPr>
        <w:pStyle w:val="TableFigureFooter"/>
      </w:pPr>
      <w:r w:rsidRPr="00842260">
        <w:rPr>
          <w:rFonts w:eastAsia="Calibri"/>
        </w:rPr>
        <w:t xml:space="preserve">ABE = </w:t>
      </w:r>
      <w:proofErr w:type="spellStart"/>
      <w:r w:rsidRPr="00842260">
        <w:rPr>
          <w:rFonts w:eastAsia="Calibri"/>
        </w:rPr>
        <w:t>abemaciclib</w:t>
      </w:r>
      <w:proofErr w:type="spellEnd"/>
      <w:r w:rsidRPr="00842260">
        <w:rPr>
          <w:rFonts w:eastAsia="Calibri"/>
        </w:rPr>
        <w:t xml:space="preserve">; </w:t>
      </w:r>
      <w:r w:rsidR="00D4635E" w:rsidRPr="00842260">
        <w:rPr>
          <w:rFonts w:eastAsia="Calibri"/>
        </w:rPr>
        <w:t>AE</w:t>
      </w:r>
      <w:r w:rsidR="00BD689C" w:rsidRPr="00842260">
        <w:rPr>
          <w:rFonts w:eastAsia="Calibri"/>
        </w:rPr>
        <w:t xml:space="preserve"> =</w:t>
      </w:r>
      <w:r w:rsidR="00D4635E" w:rsidRPr="00842260">
        <w:rPr>
          <w:rFonts w:eastAsia="Calibri"/>
        </w:rPr>
        <w:t xml:space="preserve"> adverse event; </w:t>
      </w:r>
      <w:r w:rsidRPr="00842260">
        <w:rPr>
          <w:rFonts w:eastAsia="Calibri"/>
        </w:rPr>
        <w:t xml:space="preserve">AFU1 = additional follow-up 1 (April 2021); CI = confidence interval; CTCAE = Common Terminology Criteria for adverse Events; ET = endocrine therapy; n = number of participants reporting data; N = total participants in group; NA = not applicable; RD = risk </w:t>
      </w:r>
      <w:r w:rsidR="003E6AD7" w:rsidRPr="00842260">
        <w:rPr>
          <w:rFonts w:eastAsia="Calibri"/>
        </w:rPr>
        <w:t>difference</w:t>
      </w:r>
      <w:r w:rsidRPr="00842260">
        <w:rPr>
          <w:rFonts w:eastAsia="Calibri"/>
        </w:rPr>
        <w:t>; RR = relative risk; TEAE = treatment</w:t>
      </w:r>
      <w:r w:rsidR="003E6AD7" w:rsidRPr="00842260">
        <w:rPr>
          <w:rFonts w:eastAsia="Calibri"/>
        </w:rPr>
        <w:t xml:space="preserve"> emergent adverse events; TE-SAE</w:t>
      </w:r>
      <w:r w:rsidRPr="00842260">
        <w:rPr>
          <w:rFonts w:eastAsia="Calibri"/>
        </w:rPr>
        <w:t xml:space="preserve"> = treatment-emergent serious adverse event.</w:t>
      </w:r>
    </w:p>
    <w:p w14:paraId="04908C7F" w14:textId="415B9B7D" w:rsidR="007F1017" w:rsidRPr="00842260" w:rsidRDefault="007F1017" w:rsidP="00D86231">
      <w:pPr>
        <w:pStyle w:val="4-SubsectionHeading"/>
      </w:pPr>
      <w:bookmarkStart w:id="28" w:name="_Toc22897643"/>
      <w:bookmarkStart w:id="29" w:name="_Toc93502905"/>
      <w:r w:rsidRPr="00842260">
        <w:t>Benefits/harms</w:t>
      </w:r>
      <w:bookmarkEnd w:id="28"/>
      <w:bookmarkEnd w:id="29"/>
    </w:p>
    <w:p w14:paraId="1CB772FF" w14:textId="73B83D7D" w:rsidR="00E723BA" w:rsidRPr="00842260" w:rsidRDefault="00EC00C9" w:rsidP="00D2155B">
      <w:pPr>
        <w:pStyle w:val="3-BodyText"/>
        <w:rPr>
          <w:rStyle w:val="CommentReference"/>
          <w:color w:val="0066FF"/>
        </w:rPr>
      </w:pPr>
      <w:r w:rsidRPr="00842260">
        <w:t xml:space="preserve">A summary of the comparative benefits and harms for </w:t>
      </w:r>
      <w:proofErr w:type="spellStart"/>
      <w:r w:rsidR="00665D30" w:rsidRPr="00842260">
        <w:t>abemaciclib</w:t>
      </w:r>
      <w:proofErr w:type="spellEnd"/>
      <w:r w:rsidR="00665D30" w:rsidRPr="00842260">
        <w:t xml:space="preserve"> in combination with </w:t>
      </w:r>
      <w:r w:rsidR="008A0D00" w:rsidRPr="00842260">
        <w:t>ET</w:t>
      </w:r>
      <w:r w:rsidRPr="00842260">
        <w:t xml:space="preserve"> versus </w:t>
      </w:r>
      <w:r w:rsidR="008A0D00" w:rsidRPr="00842260">
        <w:t>ET</w:t>
      </w:r>
      <w:r w:rsidR="00665D30" w:rsidRPr="00842260">
        <w:t xml:space="preserve"> alone</w:t>
      </w:r>
      <w:r w:rsidRPr="00842260">
        <w:t xml:space="preserve"> is presented in</w:t>
      </w:r>
      <w:r w:rsidR="00E06084" w:rsidRPr="00842260">
        <w:t xml:space="preserve"> </w:t>
      </w:r>
      <w:r w:rsidR="00E06084" w:rsidRPr="00842260">
        <w:fldChar w:fldCharType="begin"/>
      </w:r>
      <w:r w:rsidR="00E06084" w:rsidRPr="00842260">
        <w:instrText xml:space="preserve"> REF _Ref95897099 \h  \* MERGEFORMAT </w:instrText>
      </w:r>
      <w:r w:rsidR="00E06084" w:rsidRPr="00842260">
        <w:fldChar w:fldCharType="separate"/>
      </w:r>
      <w:r w:rsidR="00053218" w:rsidRPr="00053218">
        <w:t>Table 6</w:t>
      </w:r>
      <w:r w:rsidR="00E06084" w:rsidRPr="00842260">
        <w:fldChar w:fldCharType="end"/>
      </w:r>
      <w:r w:rsidRPr="00842260">
        <w:t>.</w:t>
      </w:r>
    </w:p>
    <w:p w14:paraId="04AC1B54" w14:textId="0A4AC631" w:rsidR="00B62715" w:rsidRPr="00842260" w:rsidRDefault="005E3FDA" w:rsidP="00D2155B">
      <w:pPr>
        <w:pStyle w:val="TableFigureHeading"/>
        <w:rPr>
          <w:rStyle w:val="CommentReference"/>
          <w:b/>
          <w:szCs w:val="24"/>
        </w:rPr>
      </w:pPr>
      <w:bookmarkStart w:id="30" w:name="_Ref95897099"/>
      <w:r w:rsidRPr="00842260">
        <w:rPr>
          <w:rStyle w:val="TableFigureHeadingChar"/>
          <w:b/>
        </w:rPr>
        <w:lastRenderedPageBreak/>
        <w:t xml:space="preserve">Table </w:t>
      </w:r>
      <w:r w:rsidR="00AA03D7" w:rsidRPr="00842260">
        <w:rPr>
          <w:rStyle w:val="TableFigureHeadingChar"/>
          <w:b/>
        </w:rPr>
        <w:fldChar w:fldCharType="begin"/>
      </w:r>
      <w:r w:rsidR="00AA03D7" w:rsidRPr="00842260">
        <w:rPr>
          <w:rStyle w:val="TableFigureHeadingChar"/>
          <w:b/>
        </w:rPr>
        <w:instrText xml:space="preserve"> SEQ Table \* ARABIC \s 1 </w:instrText>
      </w:r>
      <w:r w:rsidR="00AA03D7" w:rsidRPr="00842260">
        <w:rPr>
          <w:rStyle w:val="TableFigureHeadingChar"/>
          <w:b/>
        </w:rPr>
        <w:fldChar w:fldCharType="separate"/>
      </w:r>
      <w:r w:rsidR="00053218">
        <w:rPr>
          <w:rStyle w:val="TableFigureHeadingChar"/>
          <w:b/>
          <w:noProof/>
        </w:rPr>
        <w:t>6</w:t>
      </w:r>
      <w:r w:rsidR="00AA03D7" w:rsidRPr="00842260">
        <w:rPr>
          <w:rStyle w:val="TableFigureHeadingChar"/>
          <w:b/>
        </w:rPr>
        <w:fldChar w:fldCharType="end"/>
      </w:r>
      <w:bookmarkEnd w:id="30"/>
      <w:r w:rsidRPr="00842260">
        <w:rPr>
          <w:rStyle w:val="TableFigureHeadingChar"/>
          <w:b/>
        </w:rPr>
        <w:t>:</w:t>
      </w:r>
      <w:r w:rsidR="00B62715" w:rsidRPr="00842260">
        <w:rPr>
          <w:rStyle w:val="CommentReference"/>
          <w:b/>
          <w:szCs w:val="24"/>
        </w:rPr>
        <w:t xml:space="preserve"> Summary of comparative benefits and harms for </w:t>
      </w:r>
      <w:r w:rsidR="00944BE9" w:rsidRPr="00842260">
        <w:rPr>
          <w:rStyle w:val="CommentReference"/>
          <w:b/>
          <w:szCs w:val="24"/>
        </w:rPr>
        <w:t>ABE + ET versus ET alone</w:t>
      </w:r>
    </w:p>
    <w:tbl>
      <w:tblPr>
        <w:tblStyle w:val="TableGrid"/>
        <w:tblW w:w="5000" w:type="pct"/>
        <w:tblCellMar>
          <w:left w:w="28" w:type="dxa"/>
          <w:right w:w="28" w:type="dxa"/>
        </w:tblCellMar>
        <w:tblLook w:val="04A0" w:firstRow="1" w:lastRow="0" w:firstColumn="1" w:lastColumn="0" w:noHBand="0" w:noVBand="1"/>
      </w:tblPr>
      <w:tblGrid>
        <w:gridCol w:w="2829"/>
        <w:gridCol w:w="1417"/>
        <w:gridCol w:w="1416"/>
        <w:gridCol w:w="1701"/>
        <w:gridCol w:w="1654"/>
      </w:tblGrid>
      <w:tr w:rsidR="00330DAA" w:rsidRPr="00842260" w14:paraId="4E7107CF" w14:textId="77777777" w:rsidTr="00D96D4F">
        <w:trPr>
          <w:trHeight w:val="20"/>
        </w:trPr>
        <w:tc>
          <w:tcPr>
            <w:tcW w:w="5000" w:type="pct"/>
            <w:gridSpan w:val="5"/>
            <w:shd w:val="clear" w:color="auto" w:fill="auto"/>
          </w:tcPr>
          <w:p w14:paraId="20C2061B" w14:textId="7BE78D00" w:rsidR="00330DAA" w:rsidRPr="00842260" w:rsidRDefault="008C2893" w:rsidP="008C2893">
            <w:pPr>
              <w:pStyle w:val="In-tableHeading"/>
              <w:rPr>
                <w:lang w:val="en-AU"/>
              </w:rPr>
            </w:pPr>
            <w:r w:rsidRPr="00842260">
              <w:rPr>
                <w:lang w:val="en-AU"/>
              </w:rPr>
              <w:t>Invasive disease</w:t>
            </w:r>
            <w:r w:rsidR="00C86E57" w:rsidRPr="00842260">
              <w:rPr>
                <w:lang w:val="en-AU"/>
              </w:rPr>
              <w:t>-</w:t>
            </w:r>
            <w:r w:rsidRPr="00842260">
              <w:rPr>
                <w:lang w:val="en-AU"/>
              </w:rPr>
              <w:t xml:space="preserve">free survival </w:t>
            </w:r>
            <w:r w:rsidR="00330DAA" w:rsidRPr="00842260">
              <w:rPr>
                <w:lang w:val="en-AU"/>
              </w:rPr>
              <w:t>(</w:t>
            </w:r>
            <w:r w:rsidR="00944BE9" w:rsidRPr="00842260">
              <w:rPr>
                <w:lang w:val="en-AU"/>
              </w:rPr>
              <w:t xml:space="preserve">IDFS; </w:t>
            </w:r>
            <w:r w:rsidR="00330DAA" w:rsidRPr="00842260">
              <w:rPr>
                <w:lang w:val="en-AU"/>
              </w:rPr>
              <w:t xml:space="preserve">median duration of follow up </w:t>
            </w:r>
            <w:r w:rsidRPr="00842260">
              <w:rPr>
                <w:lang w:val="en-AU"/>
              </w:rPr>
              <w:t>27</w:t>
            </w:r>
            <w:r w:rsidR="00330DAA" w:rsidRPr="00842260">
              <w:rPr>
                <w:lang w:val="en-AU"/>
              </w:rPr>
              <w:t xml:space="preserve"> months)</w:t>
            </w:r>
          </w:p>
        </w:tc>
      </w:tr>
      <w:tr w:rsidR="00330DAA" w:rsidRPr="00842260" w14:paraId="3B443B0E" w14:textId="77777777" w:rsidTr="000C578F">
        <w:trPr>
          <w:trHeight w:val="20"/>
        </w:trPr>
        <w:tc>
          <w:tcPr>
            <w:tcW w:w="1569" w:type="pct"/>
            <w:tcBorders>
              <w:bottom w:val="single" w:sz="4" w:space="0" w:color="auto"/>
            </w:tcBorders>
            <w:shd w:val="clear" w:color="auto" w:fill="auto"/>
          </w:tcPr>
          <w:p w14:paraId="61456D69" w14:textId="77777777" w:rsidR="00330DAA" w:rsidRPr="00842260" w:rsidRDefault="00330DAA" w:rsidP="00D2155B">
            <w:pPr>
              <w:pStyle w:val="In-tableHeading"/>
              <w:rPr>
                <w:lang w:val="en-AU"/>
              </w:rPr>
            </w:pPr>
            <w:r w:rsidRPr="00842260">
              <w:rPr>
                <w:lang w:val="en-AU"/>
              </w:rPr>
              <w:t>Event</w:t>
            </w:r>
          </w:p>
        </w:tc>
        <w:tc>
          <w:tcPr>
            <w:tcW w:w="786" w:type="pct"/>
            <w:tcBorders>
              <w:bottom w:val="single" w:sz="4" w:space="0" w:color="auto"/>
            </w:tcBorders>
            <w:shd w:val="clear" w:color="auto" w:fill="auto"/>
          </w:tcPr>
          <w:p w14:paraId="3F832D7C" w14:textId="6664DD3E" w:rsidR="00330DAA" w:rsidRPr="00842260" w:rsidRDefault="00944BE9" w:rsidP="00D2155B">
            <w:pPr>
              <w:pStyle w:val="In-tableHeading"/>
              <w:jc w:val="center"/>
              <w:rPr>
                <w:lang w:val="en-AU"/>
              </w:rPr>
            </w:pPr>
            <w:r w:rsidRPr="00842260">
              <w:rPr>
                <w:lang w:val="en-AU"/>
              </w:rPr>
              <w:t>ABE + ET</w:t>
            </w:r>
          </w:p>
        </w:tc>
        <w:tc>
          <w:tcPr>
            <w:tcW w:w="785" w:type="pct"/>
            <w:tcBorders>
              <w:bottom w:val="single" w:sz="4" w:space="0" w:color="auto"/>
            </w:tcBorders>
            <w:shd w:val="clear" w:color="auto" w:fill="auto"/>
          </w:tcPr>
          <w:p w14:paraId="2674CDCF" w14:textId="66831D8C" w:rsidR="00330DAA" w:rsidRPr="00842260" w:rsidRDefault="00944BE9" w:rsidP="00D2155B">
            <w:pPr>
              <w:pStyle w:val="In-tableHeading"/>
              <w:jc w:val="center"/>
              <w:rPr>
                <w:lang w:val="en-AU"/>
              </w:rPr>
            </w:pPr>
            <w:r w:rsidRPr="00842260">
              <w:rPr>
                <w:lang w:val="en-AU"/>
              </w:rPr>
              <w:t>ET</w:t>
            </w:r>
          </w:p>
        </w:tc>
        <w:tc>
          <w:tcPr>
            <w:tcW w:w="943" w:type="pct"/>
            <w:tcBorders>
              <w:bottom w:val="single" w:sz="4" w:space="0" w:color="auto"/>
            </w:tcBorders>
            <w:shd w:val="clear" w:color="auto" w:fill="auto"/>
          </w:tcPr>
          <w:p w14:paraId="6A0836EB" w14:textId="77777777" w:rsidR="00330DAA" w:rsidRPr="00842260" w:rsidRDefault="00330DAA" w:rsidP="00D2155B">
            <w:pPr>
              <w:pStyle w:val="In-tableHeading"/>
              <w:jc w:val="center"/>
              <w:rPr>
                <w:rFonts w:asciiTheme="minorHAnsi" w:hAnsiTheme="minorHAnsi"/>
                <w:lang w:val="en-AU"/>
              </w:rPr>
            </w:pPr>
            <w:r w:rsidRPr="00842260">
              <w:rPr>
                <w:lang w:val="en-AU"/>
              </w:rPr>
              <w:t>Absolute Difference</w:t>
            </w:r>
          </w:p>
        </w:tc>
        <w:tc>
          <w:tcPr>
            <w:tcW w:w="916" w:type="pct"/>
            <w:tcBorders>
              <w:bottom w:val="single" w:sz="4" w:space="0" w:color="auto"/>
            </w:tcBorders>
            <w:shd w:val="clear" w:color="auto" w:fill="auto"/>
          </w:tcPr>
          <w:p w14:paraId="582FC277" w14:textId="77777777" w:rsidR="00330DAA" w:rsidRPr="00842260" w:rsidRDefault="00330DAA" w:rsidP="00D2155B">
            <w:pPr>
              <w:pStyle w:val="In-tableHeading"/>
              <w:jc w:val="center"/>
              <w:rPr>
                <w:lang w:val="en-AU"/>
              </w:rPr>
            </w:pPr>
            <w:r w:rsidRPr="00842260">
              <w:rPr>
                <w:lang w:val="en-AU"/>
              </w:rPr>
              <w:t>HR (95% CI)</w:t>
            </w:r>
          </w:p>
        </w:tc>
      </w:tr>
      <w:tr w:rsidR="00944BE9" w:rsidRPr="00842260" w14:paraId="08E642EF" w14:textId="77777777" w:rsidTr="000C578F">
        <w:trPr>
          <w:trHeight w:val="20"/>
        </w:trPr>
        <w:tc>
          <w:tcPr>
            <w:tcW w:w="1569" w:type="pct"/>
            <w:tcBorders>
              <w:bottom w:val="single" w:sz="4" w:space="0" w:color="auto"/>
              <w:right w:val="single" w:sz="4" w:space="0" w:color="auto"/>
            </w:tcBorders>
            <w:shd w:val="clear" w:color="auto" w:fill="auto"/>
          </w:tcPr>
          <w:p w14:paraId="439A4A2C" w14:textId="29908DE2" w:rsidR="00944BE9" w:rsidRPr="00842260" w:rsidRDefault="00944BE9" w:rsidP="00944BE9">
            <w:pPr>
              <w:pStyle w:val="TableText0"/>
              <w:keepLines/>
              <w:widowControl w:val="0"/>
            </w:pPr>
            <w:r w:rsidRPr="00842260">
              <w:t>Invasive disease or death, n (%)</w:t>
            </w:r>
          </w:p>
        </w:tc>
        <w:tc>
          <w:tcPr>
            <w:tcW w:w="786" w:type="pct"/>
            <w:tcBorders>
              <w:left w:val="single" w:sz="4" w:space="0" w:color="auto"/>
              <w:bottom w:val="single" w:sz="4" w:space="0" w:color="auto"/>
              <w:right w:val="single" w:sz="4" w:space="0" w:color="auto"/>
            </w:tcBorders>
            <w:shd w:val="clear" w:color="auto" w:fill="auto"/>
            <w:vAlign w:val="center"/>
          </w:tcPr>
          <w:p w14:paraId="111C5BC5" w14:textId="52E990C2" w:rsidR="00944BE9" w:rsidRPr="00842260" w:rsidRDefault="00944BE9" w:rsidP="00944BE9">
            <w:pPr>
              <w:pStyle w:val="TableText0"/>
              <w:keepLines/>
              <w:widowControl w:val="0"/>
              <w:jc w:val="center"/>
            </w:pPr>
            <w:r w:rsidRPr="00842260">
              <w:t>232/2808 (8.3%)</w:t>
            </w:r>
          </w:p>
        </w:tc>
        <w:tc>
          <w:tcPr>
            <w:tcW w:w="785" w:type="pct"/>
            <w:tcBorders>
              <w:left w:val="single" w:sz="4" w:space="0" w:color="auto"/>
              <w:bottom w:val="single" w:sz="4" w:space="0" w:color="auto"/>
              <w:right w:val="single" w:sz="4" w:space="0" w:color="auto"/>
            </w:tcBorders>
            <w:shd w:val="clear" w:color="auto" w:fill="auto"/>
            <w:vAlign w:val="center"/>
          </w:tcPr>
          <w:p w14:paraId="07F9499F" w14:textId="2CCB4D0E" w:rsidR="00944BE9" w:rsidRPr="00842260" w:rsidRDefault="00944BE9" w:rsidP="00944BE9">
            <w:pPr>
              <w:pStyle w:val="TableText0"/>
              <w:keepLines/>
              <w:widowControl w:val="0"/>
              <w:jc w:val="center"/>
            </w:pPr>
            <w:r w:rsidRPr="00842260">
              <w:t>333/2829 (11.8%)</w:t>
            </w:r>
          </w:p>
        </w:tc>
        <w:tc>
          <w:tcPr>
            <w:tcW w:w="943" w:type="pct"/>
            <w:tcBorders>
              <w:left w:val="single" w:sz="4" w:space="0" w:color="auto"/>
              <w:bottom w:val="single" w:sz="4" w:space="0" w:color="auto"/>
              <w:right w:val="single" w:sz="4" w:space="0" w:color="auto"/>
            </w:tcBorders>
            <w:shd w:val="clear" w:color="auto" w:fill="auto"/>
            <w:vAlign w:val="center"/>
          </w:tcPr>
          <w:p w14:paraId="0189FCF5" w14:textId="0C4886B0" w:rsidR="00944BE9" w:rsidRPr="00842260" w:rsidRDefault="003E6AD7" w:rsidP="00944BE9">
            <w:pPr>
              <w:pStyle w:val="TableText0"/>
              <w:keepLines/>
              <w:widowControl w:val="0"/>
              <w:jc w:val="center"/>
            </w:pPr>
            <w:r w:rsidRPr="00842260">
              <w:t>-</w:t>
            </w:r>
            <w:r w:rsidR="00944BE9" w:rsidRPr="00842260">
              <w:t>3.5%</w:t>
            </w:r>
          </w:p>
        </w:tc>
        <w:tc>
          <w:tcPr>
            <w:tcW w:w="916" w:type="pct"/>
            <w:tcBorders>
              <w:left w:val="single" w:sz="4" w:space="0" w:color="auto"/>
              <w:bottom w:val="nil"/>
            </w:tcBorders>
            <w:shd w:val="clear" w:color="auto" w:fill="auto"/>
            <w:vAlign w:val="center"/>
          </w:tcPr>
          <w:p w14:paraId="68A7D012" w14:textId="219F8A06" w:rsidR="00944BE9" w:rsidRPr="00842260" w:rsidRDefault="00944BE9" w:rsidP="000C578F">
            <w:pPr>
              <w:pStyle w:val="TableText0"/>
              <w:keepLines/>
              <w:widowControl w:val="0"/>
              <w:jc w:val="center"/>
            </w:pPr>
            <w:r w:rsidRPr="00842260">
              <w:t>0.70 (0.59, 0.82)</w:t>
            </w:r>
          </w:p>
        </w:tc>
      </w:tr>
      <w:tr w:rsidR="00944BE9" w:rsidRPr="00842260" w14:paraId="44C0ABBC" w14:textId="77777777" w:rsidTr="000C578F">
        <w:trPr>
          <w:trHeight w:val="20"/>
        </w:trPr>
        <w:tc>
          <w:tcPr>
            <w:tcW w:w="1569" w:type="pct"/>
            <w:tcBorders>
              <w:bottom w:val="single" w:sz="4" w:space="0" w:color="auto"/>
              <w:right w:val="single" w:sz="4" w:space="0" w:color="auto"/>
            </w:tcBorders>
            <w:shd w:val="clear" w:color="auto" w:fill="auto"/>
          </w:tcPr>
          <w:p w14:paraId="04A27457" w14:textId="6A69A777" w:rsidR="00944BE9" w:rsidRPr="00842260" w:rsidRDefault="00944BE9" w:rsidP="00944BE9">
            <w:pPr>
              <w:pStyle w:val="TableText0"/>
              <w:keepLines/>
              <w:widowControl w:val="0"/>
            </w:pPr>
            <w:r w:rsidRPr="00842260">
              <w:t>Median IDFS, months (95% CI)</w:t>
            </w:r>
          </w:p>
        </w:tc>
        <w:tc>
          <w:tcPr>
            <w:tcW w:w="786" w:type="pct"/>
            <w:tcBorders>
              <w:left w:val="single" w:sz="4" w:space="0" w:color="auto"/>
              <w:bottom w:val="single" w:sz="4" w:space="0" w:color="auto"/>
              <w:right w:val="single" w:sz="4" w:space="0" w:color="auto"/>
            </w:tcBorders>
            <w:shd w:val="clear" w:color="auto" w:fill="auto"/>
          </w:tcPr>
          <w:p w14:paraId="6755D2D8" w14:textId="3F85E1BB" w:rsidR="00944BE9" w:rsidRPr="00842260" w:rsidRDefault="00DD63ED" w:rsidP="00944BE9">
            <w:pPr>
              <w:pStyle w:val="TableText0"/>
              <w:keepLines/>
              <w:widowControl w:val="0"/>
              <w:jc w:val="center"/>
              <w:rPr>
                <w:rFonts w:cs="Times New Roman"/>
                <w:szCs w:val="20"/>
              </w:rPr>
            </w:pPr>
            <w:r w:rsidRPr="00842260">
              <w:rPr>
                <w:rFonts w:cs="Times New Roman"/>
                <w:szCs w:val="20"/>
              </w:rPr>
              <w:t>NA</w:t>
            </w:r>
          </w:p>
        </w:tc>
        <w:tc>
          <w:tcPr>
            <w:tcW w:w="785" w:type="pct"/>
            <w:tcBorders>
              <w:left w:val="single" w:sz="4" w:space="0" w:color="auto"/>
              <w:bottom w:val="single" w:sz="4" w:space="0" w:color="auto"/>
              <w:right w:val="single" w:sz="4" w:space="0" w:color="auto"/>
            </w:tcBorders>
            <w:shd w:val="clear" w:color="auto" w:fill="auto"/>
          </w:tcPr>
          <w:p w14:paraId="62868CDF" w14:textId="3DDE3FFE" w:rsidR="00944BE9" w:rsidRPr="00842260" w:rsidRDefault="00DD63ED" w:rsidP="00944BE9">
            <w:pPr>
              <w:pStyle w:val="TableText0"/>
              <w:keepLines/>
              <w:widowControl w:val="0"/>
              <w:jc w:val="center"/>
              <w:rPr>
                <w:rFonts w:cs="Times New Roman"/>
                <w:szCs w:val="20"/>
              </w:rPr>
            </w:pPr>
            <w:r w:rsidRPr="00842260">
              <w:rPr>
                <w:rFonts w:cs="Times New Roman"/>
                <w:szCs w:val="20"/>
              </w:rPr>
              <w:t>NA</w:t>
            </w:r>
          </w:p>
        </w:tc>
        <w:tc>
          <w:tcPr>
            <w:tcW w:w="943" w:type="pct"/>
            <w:tcBorders>
              <w:left w:val="single" w:sz="4" w:space="0" w:color="auto"/>
              <w:bottom w:val="single" w:sz="4" w:space="0" w:color="auto"/>
              <w:right w:val="single" w:sz="4" w:space="0" w:color="auto"/>
            </w:tcBorders>
            <w:shd w:val="clear" w:color="auto" w:fill="auto"/>
          </w:tcPr>
          <w:p w14:paraId="5ED73022" w14:textId="547E1F1A" w:rsidR="00944BE9" w:rsidRPr="00842260" w:rsidRDefault="00DD63ED" w:rsidP="00B96E2A">
            <w:pPr>
              <w:pStyle w:val="TableText0"/>
              <w:keepLines/>
              <w:widowControl w:val="0"/>
              <w:jc w:val="center"/>
            </w:pPr>
            <w:r w:rsidRPr="00842260">
              <w:rPr>
                <w:rFonts w:cs="Times New Roman"/>
                <w:szCs w:val="20"/>
              </w:rPr>
              <w:t>NA</w:t>
            </w:r>
          </w:p>
        </w:tc>
        <w:tc>
          <w:tcPr>
            <w:tcW w:w="916" w:type="pct"/>
            <w:tcBorders>
              <w:top w:val="nil"/>
              <w:left w:val="single" w:sz="4" w:space="0" w:color="auto"/>
              <w:bottom w:val="nil"/>
            </w:tcBorders>
            <w:shd w:val="clear" w:color="auto" w:fill="auto"/>
          </w:tcPr>
          <w:p w14:paraId="005E827D" w14:textId="77777777" w:rsidR="00944BE9" w:rsidRPr="00842260" w:rsidRDefault="00944BE9" w:rsidP="00944BE9">
            <w:pPr>
              <w:pStyle w:val="TableText0"/>
              <w:keepLines/>
              <w:widowControl w:val="0"/>
              <w:jc w:val="center"/>
              <w:rPr>
                <w:szCs w:val="20"/>
              </w:rPr>
            </w:pPr>
          </w:p>
        </w:tc>
      </w:tr>
      <w:tr w:rsidR="00944BE9" w:rsidRPr="00842260" w14:paraId="4B810321" w14:textId="77777777" w:rsidTr="000C578F">
        <w:trPr>
          <w:trHeight w:val="20"/>
        </w:trPr>
        <w:tc>
          <w:tcPr>
            <w:tcW w:w="1569" w:type="pct"/>
            <w:tcBorders>
              <w:top w:val="single" w:sz="4" w:space="0" w:color="auto"/>
              <w:bottom w:val="single" w:sz="4" w:space="0" w:color="auto"/>
              <w:right w:val="single" w:sz="4" w:space="0" w:color="auto"/>
            </w:tcBorders>
            <w:shd w:val="clear" w:color="auto" w:fill="auto"/>
          </w:tcPr>
          <w:p w14:paraId="2E89193A" w14:textId="7D569F41" w:rsidR="00944BE9" w:rsidRPr="00842260" w:rsidRDefault="00944BE9" w:rsidP="00AA28AA">
            <w:pPr>
              <w:pStyle w:val="TableText0"/>
              <w:keepLines/>
              <w:widowControl w:val="0"/>
            </w:pPr>
            <w:r w:rsidRPr="00842260">
              <w:t xml:space="preserve">% </w:t>
            </w:r>
            <w:r w:rsidR="00AA28AA" w:rsidRPr="00842260">
              <w:t>alive without invasive disease</w:t>
            </w:r>
            <w:r w:rsidRPr="00842260">
              <w:t xml:space="preserve"> at 24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8925718" w14:textId="77777777" w:rsidR="00852F34" w:rsidRPr="00842260" w:rsidRDefault="00AA28AA" w:rsidP="00852F34">
            <w:pPr>
              <w:pStyle w:val="TableText0"/>
              <w:keepLines/>
              <w:widowControl w:val="0"/>
              <w:jc w:val="center"/>
              <w:rPr>
                <w:szCs w:val="20"/>
              </w:rPr>
            </w:pPr>
            <w:r w:rsidRPr="00842260">
              <w:rPr>
                <w:szCs w:val="20"/>
              </w:rPr>
              <w:t>92.7</w:t>
            </w:r>
            <w:r w:rsidR="00944BE9" w:rsidRPr="00842260">
              <w:rPr>
                <w:szCs w:val="20"/>
              </w:rPr>
              <w:t xml:space="preserve">% </w:t>
            </w:r>
          </w:p>
          <w:p w14:paraId="5C998456" w14:textId="4336CE3A" w:rsidR="00944BE9" w:rsidRPr="00842260" w:rsidRDefault="00944BE9" w:rsidP="00852F34">
            <w:pPr>
              <w:pStyle w:val="TableText0"/>
              <w:keepLines/>
              <w:widowControl w:val="0"/>
              <w:jc w:val="center"/>
            </w:pPr>
            <w:r w:rsidRPr="00842260">
              <w:rPr>
                <w:szCs w:val="20"/>
              </w:rPr>
              <w:t>(</w:t>
            </w:r>
            <w:r w:rsidR="00852F34" w:rsidRPr="00842260">
              <w:rPr>
                <w:szCs w:val="20"/>
              </w:rPr>
              <w:t>91.6%, 93.6%)</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345B452" w14:textId="77777777" w:rsidR="00852F34" w:rsidRPr="00842260" w:rsidRDefault="00AA28AA" w:rsidP="00852F34">
            <w:pPr>
              <w:pStyle w:val="TableText0"/>
              <w:keepLines/>
              <w:widowControl w:val="0"/>
              <w:jc w:val="center"/>
              <w:rPr>
                <w:szCs w:val="20"/>
              </w:rPr>
            </w:pPr>
            <w:r w:rsidRPr="00842260">
              <w:rPr>
                <w:szCs w:val="20"/>
              </w:rPr>
              <w:t>90.0</w:t>
            </w:r>
            <w:r w:rsidR="00944BE9" w:rsidRPr="00842260">
              <w:rPr>
                <w:szCs w:val="20"/>
              </w:rPr>
              <w:t xml:space="preserve">% </w:t>
            </w:r>
          </w:p>
          <w:p w14:paraId="0876AEE9" w14:textId="2456DC14" w:rsidR="00944BE9" w:rsidRPr="00842260" w:rsidRDefault="00944BE9" w:rsidP="00852F34">
            <w:pPr>
              <w:pStyle w:val="TableText0"/>
              <w:keepLines/>
              <w:widowControl w:val="0"/>
              <w:jc w:val="center"/>
              <w:rPr>
                <w:szCs w:val="20"/>
              </w:rPr>
            </w:pPr>
            <w:r w:rsidRPr="00842260">
              <w:rPr>
                <w:szCs w:val="20"/>
              </w:rPr>
              <w:t>(</w:t>
            </w:r>
            <w:r w:rsidR="00852F34" w:rsidRPr="00842260">
              <w:rPr>
                <w:szCs w:val="20"/>
              </w:rPr>
              <w:t>88.8%, 91.1%)</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C20E80D" w14:textId="60ADB42B" w:rsidR="00944BE9" w:rsidRPr="00842260" w:rsidRDefault="00AA28AA" w:rsidP="00944BE9">
            <w:pPr>
              <w:pStyle w:val="TableText0"/>
              <w:keepLines/>
              <w:widowControl w:val="0"/>
              <w:jc w:val="center"/>
            </w:pPr>
            <w:r w:rsidRPr="00842260">
              <w:t>2.7</w:t>
            </w:r>
            <w:r w:rsidR="00944BE9" w:rsidRPr="00842260">
              <w:t>%</w:t>
            </w:r>
            <w:r w:rsidR="00852F34" w:rsidRPr="00842260">
              <w:t xml:space="preserve"> </w:t>
            </w:r>
            <w:r w:rsidR="000C578F" w:rsidRPr="00842260">
              <w:br/>
            </w:r>
            <w:r w:rsidR="00852F34" w:rsidRPr="00842260">
              <w:t>(1.1%, 4.2%)</w:t>
            </w:r>
          </w:p>
        </w:tc>
        <w:tc>
          <w:tcPr>
            <w:tcW w:w="916" w:type="pct"/>
            <w:tcBorders>
              <w:top w:val="nil"/>
              <w:left w:val="single" w:sz="4" w:space="0" w:color="auto"/>
              <w:bottom w:val="nil"/>
            </w:tcBorders>
            <w:shd w:val="clear" w:color="auto" w:fill="auto"/>
          </w:tcPr>
          <w:p w14:paraId="25731889" w14:textId="77777777" w:rsidR="00944BE9" w:rsidRPr="00842260" w:rsidRDefault="00944BE9" w:rsidP="00944BE9">
            <w:pPr>
              <w:pStyle w:val="TableText0"/>
              <w:keepLines/>
              <w:widowControl w:val="0"/>
              <w:jc w:val="center"/>
            </w:pPr>
          </w:p>
        </w:tc>
      </w:tr>
      <w:tr w:rsidR="00944BE9" w:rsidRPr="00842260" w14:paraId="51F81A24" w14:textId="77777777" w:rsidTr="000C578F">
        <w:trPr>
          <w:trHeight w:val="20"/>
        </w:trPr>
        <w:tc>
          <w:tcPr>
            <w:tcW w:w="1569" w:type="pct"/>
            <w:tcBorders>
              <w:top w:val="single" w:sz="4" w:space="0" w:color="auto"/>
              <w:bottom w:val="single" w:sz="4" w:space="0" w:color="auto"/>
              <w:right w:val="single" w:sz="4" w:space="0" w:color="auto"/>
            </w:tcBorders>
            <w:shd w:val="clear" w:color="auto" w:fill="auto"/>
          </w:tcPr>
          <w:p w14:paraId="2F61EE25" w14:textId="14073F6B" w:rsidR="00944BE9" w:rsidRPr="00842260" w:rsidRDefault="00944BE9" w:rsidP="00AA28AA">
            <w:pPr>
              <w:pStyle w:val="TableText0"/>
              <w:keepLines/>
              <w:widowControl w:val="0"/>
            </w:pPr>
            <w:r w:rsidRPr="00842260">
              <w:t xml:space="preserve">% </w:t>
            </w:r>
            <w:r w:rsidR="00AA28AA" w:rsidRPr="00842260">
              <w:t xml:space="preserve">alive without invasive disease </w:t>
            </w:r>
            <w:r w:rsidRPr="00842260">
              <w:t xml:space="preserve">at </w:t>
            </w:r>
            <w:r w:rsidR="00AA28AA" w:rsidRPr="00842260">
              <w:t>36</w:t>
            </w:r>
            <w:r w:rsidRPr="00842260">
              <w:t xml:space="preserve">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03C3842" w14:textId="77777777" w:rsidR="00852F34" w:rsidRPr="00842260" w:rsidRDefault="00AA28AA" w:rsidP="00852F34">
            <w:pPr>
              <w:pStyle w:val="TableText0"/>
              <w:keepLines/>
              <w:widowControl w:val="0"/>
              <w:jc w:val="center"/>
              <w:rPr>
                <w:szCs w:val="20"/>
              </w:rPr>
            </w:pPr>
            <w:r w:rsidRPr="00842260">
              <w:rPr>
                <w:szCs w:val="20"/>
              </w:rPr>
              <w:t>88.8</w:t>
            </w:r>
            <w:r w:rsidR="00944BE9" w:rsidRPr="00842260">
              <w:rPr>
                <w:szCs w:val="20"/>
              </w:rPr>
              <w:t xml:space="preserve">% </w:t>
            </w:r>
          </w:p>
          <w:p w14:paraId="5AF9BD28" w14:textId="59997C23" w:rsidR="00944BE9" w:rsidRPr="00842260" w:rsidRDefault="00944BE9" w:rsidP="00852F34">
            <w:pPr>
              <w:pStyle w:val="TableText0"/>
              <w:keepLines/>
              <w:widowControl w:val="0"/>
              <w:jc w:val="center"/>
              <w:rPr>
                <w:szCs w:val="20"/>
              </w:rPr>
            </w:pPr>
            <w:r w:rsidRPr="00842260">
              <w:rPr>
                <w:szCs w:val="20"/>
              </w:rPr>
              <w:t>(</w:t>
            </w:r>
            <w:r w:rsidR="00852F34" w:rsidRPr="00842260">
              <w:rPr>
                <w:szCs w:val="20"/>
              </w:rPr>
              <w:t>87.0%, 90.3%)</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8E9CCD2" w14:textId="77777777" w:rsidR="00852F34" w:rsidRPr="00842260" w:rsidRDefault="00AA28AA" w:rsidP="00944BE9">
            <w:pPr>
              <w:pStyle w:val="TableText0"/>
              <w:keepLines/>
              <w:widowControl w:val="0"/>
              <w:jc w:val="center"/>
              <w:rPr>
                <w:szCs w:val="20"/>
              </w:rPr>
            </w:pPr>
            <w:r w:rsidRPr="00842260">
              <w:rPr>
                <w:szCs w:val="20"/>
              </w:rPr>
              <w:t>83.4</w:t>
            </w:r>
            <w:r w:rsidR="00944BE9" w:rsidRPr="00842260">
              <w:rPr>
                <w:szCs w:val="20"/>
              </w:rPr>
              <w:t xml:space="preserve">% </w:t>
            </w:r>
          </w:p>
          <w:p w14:paraId="39DA9ED1" w14:textId="2F82E438" w:rsidR="00944BE9" w:rsidRPr="00842260" w:rsidRDefault="00944BE9" w:rsidP="00852F34">
            <w:pPr>
              <w:pStyle w:val="TableText0"/>
              <w:keepLines/>
              <w:widowControl w:val="0"/>
              <w:jc w:val="center"/>
              <w:rPr>
                <w:szCs w:val="20"/>
              </w:rPr>
            </w:pPr>
            <w:r w:rsidRPr="00842260">
              <w:rPr>
                <w:szCs w:val="20"/>
              </w:rPr>
              <w:t>(</w:t>
            </w:r>
            <w:r w:rsidR="00852F34" w:rsidRPr="00842260">
              <w:rPr>
                <w:szCs w:val="20"/>
              </w:rPr>
              <w:t>81.3%, 85.3%)</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30B985D" w14:textId="02E5CD83" w:rsidR="00944BE9" w:rsidRPr="00842260" w:rsidRDefault="00AA28AA" w:rsidP="00944BE9">
            <w:pPr>
              <w:pStyle w:val="TableText0"/>
              <w:keepLines/>
              <w:widowControl w:val="0"/>
              <w:jc w:val="center"/>
              <w:rPr>
                <w:rFonts w:cs="Times New Roman"/>
                <w:szCs w:val="20"/>
              </w:rPr>
            </w:pPr>
            <w:r w:rsidRPr="00842260">
              <w:rPr>
                <w:rFonts w:cs="Times New Roman"/>
                <w:szCs w:val="20"/>
              </w:rPr>
              <w:t>5.4</w:t>
            </w:r>
            <w:r w:rsidR="00944BE9" w:rsidRPr="00842260">
              <w:rPr>
                <w:rFonts w:cs="Times New Roman"/>
                <w:szCs w:val="20"/>
              </w:rPr>
              <w:t>%</w:t>
            </w:r>
            <w:r w:rsidR="00852F34" w:rsidRPr="00842260">
              <w:rPr>
                <w:rFonts w:cs="Times New Roman"/>
                <w:szCs w:val="20"/>
              </w:rPr>
              <w:t xml:space="preserve"> </w:t>
            </w:r>
            <w:r w:rsidR="000C578F" w:rsidRPr="00842260">
              <w:rPr>
                <w:rFonts w:cs="Times New Roman"/>
                <w:szCs w:val="20"/>
              </w:rPr>
              <w:br/>
            </w:r>
            <w:r w:rsidR="00852F34" w:rsidRPr="00842260">
              <w:rPr>
                <w:rFonts w:cs="Times New Roman"/>
                <w:szCs w:val="20"/>
              </w:rPr>
              <w:t>(2.8%, 8.0%)</w:t>
            </w:r>
          </w:p>
        </w:tc>
        <w:tc>
          <w:tcPr>
            <w:tcW w:w="916" w:type="pct"/>
            <w:tcBorders>
              <w:top w:val="nil"/>
              <w:left w:val="single" w:sz="4" w:space="0" w:color="auto"/>
              <w:bottom w:val="single" w:sz="4" w:space="0" w:color="auto"/>
            </w:tcBorders>
            <w:shd w:val="clear" w:color="auto" w:fill="auto"/>
          </w:tcPr>
          <w:p w14:paraId="3EE0D27F" w14:textId="77777777" w:rsidR="00944BE9" w:rsidRPr="00842260" w:rsidRDefault="00944BE9" w:rsidP="00944BE9">
            <w:pPr>
              <w:pStyle w:val="TableText0"/>
              <w:keepLines/>
              <w:widowControl w:val="0"/>
              <w:jc w:val="center"/>
            </w:pPr>
          </w:p>
        </w:tc>
      </w:tr>
      <w:tr w:rsidR="00AA28AA" w:rsidRPr="00842260" w14:paraId="7F53509A" w14:textId="77777777" w:rsidTr="00D96D4F">
        <w:trPr>
          <w:trHeight w:val="20"/>
        </w:trPr>
        <w:tc>
          <w:tcPr>
            <w:tcW w:w="5000" w:type="pct"/>
            <w:gridSpan w:val="5"/>
            <w:tcBorders>
              <w:top w:val="single" w:sz="4" w:space="0" w:color="auto"/>
              <w:bottom w:val="single" w:sz="4" w:space="0" w:color="auto"/>
            </w:tcBorders>
            <w:shd w:val="clear" w:color="auto" w:fill="auto"/>
          </w:tcPr>
          <w:p w14:paraId="79990B4C" w14:textId="4B543D10" w:rsidR="00AA28AA" w:rsidRPr="00842260" w:rsidRDefault="00AA28AA" w:rsidP="00AA28AA">
            <w:pPr>
              <w:pStyle w:val="TableText0"/>
              <w:keepLines/>
              <w:widowControl w:val="0"/>
              <w:rPr>
                <w:b/>
              </w:rPr>
            </w:pPr>
            <w:r w:rsidRPr="00842260">
              <w:rPr>
                <w:b/>
              </w:rPr>
              <w:t>Distant relapse-free survival (DRFS; median duration of follow up 27 months)</w:t>
            </w:r>
          </w:p>
        </w:tc>
      </w:tr>
      <w:tr w:rsidR="00AA28AA" w:rsidRPr="00842260" w14:paraId="575D9E68" w14:textId="77777777" w:rsidTr="000C578F">
        <w:trPr>
          <w:trHeight w:val="20"/>
        </w:trPr>
        <w:tc>
          <w:tcPr>
            <w:tcW w:w="1569" w:type="pct"/>
            <w:tcBorders>
              <w:top w:val="single" w:sz="4" w:space="0" w:color="auto"/>
              <w:bottom w:val="single" w:sz="4" w:space="0" w:color="auto"/>
              <w:right w:val="single" w:sz="4" w:space="0" w:color="auto"/>
            </w:tcBorders>
            <w:shd w:val="clear" w:color="auto" w:fill="auto"/>
          </w:tcPr>
          <w:p w14:paraId="0739B3A4" w14:textId="5358EF86" w:rsidR="00AA28AA" w:rsidRPr="00842260" w:rsidRDefault="00AA28AA" w:rsidP="00AA28AA">
            <w:pPr>
              <w:pStyle w:val="TableText0"/>
              <w:keepLines/>
              <w:widowControl w:val="0"/>
            </w:pPr>
            <w:r w:rsidRPr="00842260">
              <w:t>Distant relapse or death, n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BAD570B" w14:textId="0B10CAD5" w:rsidR="00AA28AA" w:rsidRPr="00842260" w:rsidRDefault="00AA28AA" w:rsidP="00AA28AA">
            <w:pPr>
              <w:pStyle w:val="TableText0"/>
              <w:keepLines/>
              <w:widowControl w:val="0"/>
              <w:jc w:val="center"/>
              <w:rPr>
                <w:szCs w:val="20"/>
              </w:rPr>
            </w:pPr>
            <w:r w:rsidRPr="00842260">
              <w:t>191/2808 (6.8%)</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F1313D" w14:textId="1E420FEB" w:rsidR="00AA28AA" w:rsidRPr="00842260" w:rsidRDefault="00AA28AA" w:rsidP="00AA28AA">
            <w:pPr>
              <w:pStyle w:val="TableText0"/>
              <w:keepLines/>
              <w:widowControl w:val="0"/>
              <w:jc w:val="center"/>
              <w:rPr>
                <w:szCs w:val="20"/>
              </w:rPr>
            </w:pPr>
            <w:r w:rsidRPr="00842260">
              <w:t>278/2829 (9.8%)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6FACEBE" w14:textId="3F6C2F90" w:rsidR="00AA28AA" w:rsidRPr="00842260" w:rsidRDefault="003E6AD7" w:rsidP="00AA28AA">
            <w:pPr>
              <w:pStyle w:val="TableText0"/>
              <w:keepLines/>
              <w:widowControl w:val="0"/>
              <w:jc w:val="center"/>
              <w:rPr>
                <w:rFonts w:cs="Times New Roman"/>
                <w:szCs w:val="20"/>
              </w:rPr>
            </w:pPr>
            <w:r w:rsidRPr="00842260">
              <w:t>-</w:t>
            </w:r>
            <w:r w:rsidR="00AA28AA" w:rsidRPr="00842260">
              <w:t>3.0%</w:t>
            </w:r>
          </w:p>
        </w:tc>
        <w:tc>
          <w:tcPr>
            <w:tcW w:w="916" w:type="pct"/>
            <w:tcBorders>
              <w:top w:val="nil"/>
              <w:left w:val="single" w:sz="4" w:space="0" w:color="auto"/>
              <w:bottom w:val="nil"/>
            </w:tcBorders>
            <w:shd w:val="clear" w:color="auto" w:fill="auto"/>
            <w:vAlign w:val="center"/>
          </w:tcPr>
          <w:p w14:paraId="3EDA4A35" w14:textId="51F70BD8" w:rsidR="00AA28AA" w:rsidRPr="00842260" w:rsidRDefault="00AA28AA" w:rsidP="00AA28AA">
            <w:pPr>
              <w:pStyle w:val="TableText0"/>
              <w:keepLines/>
              <w:widowControl w:val="0"/>
              <w:jc w:val="center"/>
            </w:pPr>
            <w:r w:rsidRPr="00842260">
              <w:t>0.69 (0.57, 0.83)</w:t>
            </w:r>
          </w:p>
        </w:tc>
      </w:tr>
      <w:tr w:rsidR="00DD63ED" w:rsidRPr="00842260" w14:paraId="76F39BCB" w14:textId="77777777" w:rsidTr="000C578F">
        <w:trPr>
          <w:trHeight w:val="20"/>
        </w:trPr>
        <w:tc>
          <w:tcPr>
            <w:tcW w:w="1569" w:type="pct"/>
            <w:tcBorders>
              <w:top w:val="single" w:sz="4" w:space="0" w:color="auto"/>
              <w:bottom w:val="single" w:sz="4" w:space="0" w:color="auto"/>
              <w:right w:val="single" w:sz="4" w:space="0" w:color="auto"/>
            </w:tcBorders>
            <w:shd w:val="clear" w:color="auto" w:fill="auto"/>
          </w:tcPr>
          <w:p w14:paraId="5AD83993" w14:textId="483316B3" w:rsidR="00DD63ED" w:rsidRPr="00842260" w:rsidRDefault="00DD63ED" w:rsidP="00DD63ED">
            <w:pPr>
              <w:pStyle w:val="TableText0"/>
              <w:keepLines/>
              <w:widowControl w:val="0"/>
            </w:pPr>
            <w:r w:rsidRPr="00842260">
              <w:t>Median DRFS,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4259040" w14:textId="016C832F" w:rsidR="00DD63ED" w:rsidRPr="00842260" w:rsidRDefault="00DD63ED" w:rsidP="00DD63ED">
            <w:pPr>
              <w:pStyle w:val="TableText0"/>
              <w:keepLines/>
              <w:widowControl w:val="0"/>
              <w:jc w:val="center"/>
              <w:rPr>
                <w:szCs w:val="20"/>
              </w:rPr>
            </w:pPr>
            <w:r w:rsidRPr="00842260">
              <w:rPr>
                <w:rFonts w:cs="Times New Roman"/>
                <w:szCs w:val="20"/>
              </w:rPr>
              <w:t>NA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01BA48B" w14:textId="57BF3025" w:rsidR="00DD63ED" w:rsidRPr="00842260" w:rsidRDefault="00DD63ED" w:rsidP="00DD63ED">
            <w:pPr>
              <w:pStyle w:val="TableText0"/>
              <w:keepLines/>
              <w:widowControl w:val="0"/>
              <w:jc w:val="center"/>
              <w:rPr>
                <w:szCs w:val="20"/>
              </w:rPr>
            </w:pPr>
            <w:r w:rsidRPr="00842260">
              <w:rPr>
                <w:rFonts w:cs="Times New Roman"/>
                <w:szCs w:val="20"/>
              </w:rPr>
              <w:t>NA</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F84324D" w14:textId="084DF173" w:rsidR="00DD63ED" w:rsidRPr="00842260" w:rsidRDefault="00DD63ED" w:rsidP="00DD63ED">
            <w:pPr>
              <w:pStyle w:val="TableText0"/>
              <w:keepLines/>
              <w:widowControl w:val="0"/>
              <w:jc w:val="center"/>
              <w:rPr>
                <w:rFonts w:cs="Times New Roman"/>
                <w:szCs w:val="20"/>
              </w:rPr>
            </w:pPr>
            <w:r w:rsidRPr="00842260">
              <w:rPr>
                <w:rFonts w:cs="Times New Roman"/>
                <w:szCs w:val="20"/>
              </w:rPr>
              <w:t>NA</w:t>
            </w:r>
          </w:p>
        </w:tc>
        <w:tc>
          <w:tcPr>
            <w:tcW w:w="916" w:type="pct"/>
            <w:tcBorders>
              <w:top w:val="nil"/>
              <w:left w:val="single" w:sz="4" w:space="0" w:color="auto"/>
              <w:bottom w:val="nil"/>
            </w:tcBorders>
            <w:shd w:val="clear" w:color="auto" w:fill="auto"/>
          </w:tcPr>
          <w:p w14:paraId="6D8A8A96" w14:textId="77777777" w:rsidR="00DD63ED" w:rsidRPr="00842260" w:rsidRDefault="00DD63ED" w:rsidP="00DD63ED">
            <w:pPr>
              <w:pStyle w:val="TableText0"/>
              <w:keepLines/>
              <w:widowControl w:val="0"/>
              <w:jc w:val="center"/>
            </w:pPr>
          </w:p>
        </w:tc>
      </w:tr>
      <w:tr w:rsidR="00B96E2A" w:rsidRPr="00842260" w14:paraId="5736DE14" w14:textId="77777777" w:rsidTr="000C578F">
        <w:trPr>
          <w:trHeight w:val="20"/>
        </w:trPr>
        <w:tc>
          <w:tcPr>
            <w:tcW w:w="1569" w:type="pct"/>
            <w:tcBorders>
              <w:top w:val="single" w:sz="4" w:space="0" w:color="auto"/>
              <w:bottom w:val="single" w:sz="4" w:space="0" w:color="auto"/>
              <w:right w:val="single" w:sz="4" w:space="0" w:color="auto"/>
            </w:tcBorders>
            <w:shd w:val="clear" w:color="auto" w:fill="auto"/>
          </w:tcPr>
          <w:p w14:paraId="31F2CEFF" w14:textId="3A9B3718" w:rsidR="00B96E2A" w:rsidRPr="00842260" w:rsidRDefault="00B96E2A" w:rsidP="00B96E2A">
            <w:pPr>
              <w:pStyle w:val="TableText0"/>
              <w:keepLines/>
              <w:widowControl w:val="0"/>
            </w:pPr>
            <w:r w:rsidRPr="00842260">
              <w:t xml:space="preserve">% Alive without distant relapse at 24 months </w:t>
            </w:r>
            <w:r w:rsidRPr="00842260">
              <w:rPr>
                <w:szCs w:val="20"/>
              </w:rPr>
              <w:t>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1E529A1D" w14:textId="77777777" w:rsidR="00B96E2A" w:rsidRPr="00842260" w:rsidRDefault="00B96E2A" w:rsidP="00B96E2A">
            <w:pPr>
              <w:pStyle w:val="TableText0"/>
              <w:keepLines/>
              <w:widowControl w:val="0"/>
              <w:jc w:val="center"/>
              <w:rPr>
                <w:szCs w:val="20"/>
              </w:rPr>
            </w:pPr>
            <w:r w:rsidRPr="00842260">
              <w:rPr>
                <w:szCs w:val="20"/>
              </w:rPr>
              <w:t xml:space="preserve">94.1% </w:t>
            </w:r>
          </w:p>
          <w:p w14:paraId="4AFBCA01" w14:textId="1EC8AAF0" w:rsidR="00B96E2A" w:rsidRPr="00842260" w:rsidRDefault="00B96E2A" w:rsidP="00B96E2A">
            <w:pPr>
              <w:pStyle w:val="TableText0"/>
              <w:keepLines/>
              <w:widowControl w:val="0"/>
              <w:jc w:val="center"/>
              <w:rPr>
                <w:szCs w:val="20"/>
              </w:rPr>
            </w:pPr>
            <w:r w:rsidRPr="00842260">
              <w:rPr>
                <w:szCs w:val="20"/>
              </w:rPr>
              <w:t>(93.2%, 95.0%)</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206E0A0" w14:textId="77777777" w:rsidR="00B96E2A" w:rsidRPr="00842260" w:rsidRDefault="00B96E2A" w:rsidP="00B96E2A">
            <w:pPr>
              <w:pStyle w:val="TableText0"/>
              <w:keepLines/>
              <w:widowControl w:val="0"/>
              <w:jc w:val="center"/>
              <w:rPr>
                <w:szCs w:val="20"/>
              </w:rPr>
            </w:pPr>
            <w:r w:rsidRPr="00842260">
              <w:rPr>
                <w:szCs w:val="20"/>
              </w:rPr>
              <w:t>91.6%</w:t>
            </w:r>
          </w:p>
          <w:p w14:paraId="38815923" w14:textId="68CF04AF" w:rsidR="00B96E2A" w:rsidRPr="00842260" w:rsidRDefault="00B96E2A" w:rsidP="00B96E2A">
            <w:pPr>
              <w:pStyle w:val="TableText0"/>
              <w:keepLines/>
              <w:widowControl w:val="0"/>
              <w:jc w:val="center"/>
              <w:rPr>
                <w:szCs w:val="20"/>
              </w:rPr>
            </w:pPr>
            <w:r w:rsidRPr="00842260">
              <w:rPr>
                <w:szCs w:val="20"/>
              </w:rPr>
              <w:t>(90.5%, 92.6%)</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5456636" w14:textId="4509BFAE" w:rsidR="00B96E2A" w:rsidRPr="00842260" w:rsidRDefault="00B96E2A" w:rsidP="00B96E2A">
            <w:pPr>
              <w:pStyle w:val="TableText0"/>
              <w:keepLines/>
              <w:widowControl w:val="0"/>
              <w:jc w:val="center"/>
              <w:rPr>
                <w:rFonts w:cs="Times New Roman"/>
                <w:szCs w:val="20"/>
              </w:rPr>
            </w:pPr>
            <w:r w:rsidRPr="00842260">
              <w:rPr>
                <w:rFonts w:cs="Times New Roman"/>
                <w:szCs w:val="20"/>
              </w:rPr>
              <w:t xml:space="preserve">2.5% </w:t>
            </w:r>
            <w:r w:rsidR="000C578F" w:rsidRPr="00842260">
              <w:rPr>
                <w:rFonts w:cs="Times New Roman"/>
                <w:szCs w:val="20"/>
              </w:rPr>
              <w:br/>
            </w:r>
            <w:r w:rsidRPr="00842260">
              <w:rPr>
                <w:rFonts w:cs="Times New Roman"/>
                <w:szCs w:val="20"/>
              </w:rPr>
              <w:t>(1.1%, 3.9%)</w:t>
            </w:r>
          </w:p>
        </w:tc>
        <w:tc>
          <w:tcPr>
            <w:tcW w:w="916" w:type="pct"/>
            <w:tcBorders>
              <w:top w:val="nil"/>
              <w:left w:val="single" w:sz="4" w:space="0" w:color="auto"/>
              <w:bottom w:val="nil"/>
            </w:tcBorders>
            <w:shd w:val="clear" w:color="auto" w:fill="auto"/>
          </w:tcPr>
          <w:p w14:paraId="626EFEEE" w14:textId="77777777" w:rsidR="00B96E2A" w:rsidRPr="00842260" w:rsidRDefault="00B96E2A" w:rsidP="00B96E2A">
            <w:pPr>
              <w:pStyle w:val="TableText0"/>
              <w:keepLines/>
              <w:widowControl w:val="0"/>
              <w:jc w:val="center"/>
            </w:pPr>
          </w:p>
        </w:tc>
      </w:tr>
      <w:tr w:rsidR="00B96E2A" w:rsidRPr="00842260" w14:paraId="0E79CCD5" w14:textId="77777777" w:rsidTr="000C578F">
        <w:trPr>
          <w:trHeight w:val="20"/>
        </w:trPr>
        <w:tc>
          <w:tcPr>
            <w:tcW w:w="1569" w:type="pct"/>
            <w:tcBorders>
              <w:top w:val="single" w:sz="4" w:space="0" w:color="auto"/>
              <w:bottom w:val="single" w:sz="4" w:space="0" w:color="auto"/>
              <w:right w:val="single" w:sz="4" w:space="0" w:color="auto"/>
            </w:tcBorders>
            <w:shd w:val="clear" w:color="auto" w:fill="auto"/>
          </w:tcPr>
          <w:p w14:paraId="16E2C98A" w14:textId="64E1876E" w:rsidR="00B96E2A" w:rsidRPr="00842260" w:rsidRDefault="00B96E2A" w:rsidP="00B96E2A">
            <w:pPr>
              <w:pStyle w:val="TableText0"/>
              <w:keepLines/>
              <w:widowControl w:val="0"/>
            </w:pPr>
            <w:r w:rsidRPr="00842260">
              <w:t>% Alive without distant relapse at 36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F3CE093" w14:textId="77777777" w:rsidR="00B96E2A" w:rsidRPr="00842260" w:rsidRDefault="00B96E2A" w:rsidP="00B96E2A">
            <w:pPr>
              <w:pStyle w:val="TableText0"/>
              <w:keepLines/>
              <w:widowControl w:val="0"/>
              <w:jc w:val="center"/>
              <w:rPr>
                <w:szCs w:val="20"/>
              </w:rPr>
            </w:pPr>
            <w:r w:rsidRPr="00842260">
              <w:rPr>
                <w:szCs w:val="20"/>
              </w:rPr>
              <w:t xml:space="preserve">90.3% </w:t>
            </w:r>
          </w:p>
          <w:p w14:paraId="155A790B" w14:textId="06EC386A" w:rsidR="00B96E2A" w:rsidRPr="00842260" w:rsidRDefault="00B96E2A" w:rsidP="00B96E2A">
            <w:pPr>
              <w:pStyle w:val="TableText0"/>
              <w:keepLines/>
              <w:widowControl w:val="0"/>
              <w:jc w:val="center"/>
              <w:rPr>
                <w:szCs w:val="20"/>
              </w:rPr>
            </w:pPr>
            <w:r w:rsidRPr="00842260">
              <w:rPr>
                <w:szCs w:val="20"/>
              </w:rPr>
              <w:t>(88.6%, 91.8%)</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F4609C1" w14:textId="77777777" w:rsidR="00B96E2A" w:rsidRPr="00842260" w:rsidRDefault="00B96E2A" w:rsidP="00B96E2A">
            <w:pPr>
              <w:pStyle w:val="TableText0"/>
              <w:keepLines/>
              <w:widowControl w:val="0"/>
              <w:jc w:val="center"/>
              <w:rPr>
                <w:szCs w:val="20"/>
              </w:rPr>
            </w:pPr>
            <w:r w:rsidRPr="00842260">
              <w:rPr>
                <w:szCs w:val="20"/>
              </w:rPr>
              <w:t xml:space="preserve">86.1% </w:t>
            </w:r>
          </w:p>
          <w:p w14:paraId="4AE26087" w14:textId="1EB6BC04" w:rsidR="00B96E2A" w:rsidRPr="00842260" w:rsidRDefault="00B96E2A" w:rsidP="00B96E2A">
            <w:pPr>
              <w:pStyle w:val="TableText0"/>
              <w:keepLines/>
              <w:widowControl w:val="0"/>
              <w:jc w:val="center"/>
              <w:rPr>
                <w:szCs w:val="20"/>
              </w:rPr>
            </w:pPr>
            <w:r w:rsidRPr="00842260">
              <w:rPr>
                <w:szCs w:val="20"/>
              </w:rPr>
              <w:t>(84.2%, 87.9%)</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99E0A76" w14:textId="220B4CAF" w:rsidR="00B96E2A" w:rsidRPr="00842260" w:rsidRDefault="00B96E2A" w:rsidP="00B96E2A">
            <w:pPr>
              <w:pStyle w:val="TableText0"/>
              <w:keepLines/>
              <w:widowControl w:val="0"/>
              <w:jc w:val="center"/>
              <w:rPr>
                <w:rFonts w:cs="Times New Roman"/>
                <w:szCs w:val="20"/>
              </w:rPr>
            </w:pPr>
            <w:r w:rsidRPr="00842260">
              <w:rPr>
                <w:rFonts w:cs="Times New Roman"/>
                <w:szCs w:val="20"/>
              </w:rPr>
              <w:t xml:space="preserve">4.2% </w:t>
            </w:r>
            <w:r w:rsidR="000C578F" w:rsidRPr="00842260">
              <w:rPr>
                <w:rFonts w:cs="Times New Roman"/>
                <w:szCs w:val="20"/>
              </w:rPr>
              <w:br/>
            </w:r>
            <w:r w:rsidRPr="00842260">
              <w:rPr>
                <w:rFonts w:cs="Times New Roman"/>
                <w:szCs w:val="20"/>
              </w:rPr>
              <w:t>(1.8%, 6.7%)</w:t>
            </w:r>
          </w:p>
        </w:tc>
        <w:tc>
          <w:tcPr>
            <w:tcW w:w="916" w:type="pct"/>
            <w:tcBorders>
              <w:top w:val="nil"/>
              <w:left w:val="single" w:sz="4" w:space="0" w:color="auto"/>
              <w:bottom w:val="single" w:sz="4" w:space="0" w:color="auto"/>
            </w:tcBorders>
            <w:shd w:val="clear" w:color="auto" w:fill="auto"/>
          </w:tcPr>
          <w:p w14:paraId="6F042E86" w14:textId="77777777" w:rsidR="00B96E2A" w:rsidRPr="00842260" w:rsidRDefault="00B96E2A" w:rsidP="00B96E2A">
            <w:pPr>
              <w:pStyle w:val="TableText0"/>
              <w:keepLines/>
              <w:widowControl w:val="0"/>
              <w:jc w:val="center"/>
            </w:pPr>
          </w:p>
        </w:tc>
      </w:tr>
      <w:tr w:rsidR="00B96E2A" w:rsidRPr="00842260" w14:paraId="16363430" w14:textId="77777777" w:rsidTr="00D96D4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60FC646" w14:textId="29BAFC83" w:rsidR="00B96E2A" w:rsidRPr="00842260" w:rsidRDefault="00B96E2A" w:rsidP="00093F8E">
            <w:pPr>
              <w:pStyle w:val="In-tableHeading"/>
              <w:rPr>
                <w:lang w:val="en-AU"/>
              </w:rPr>
            </w:pPr>
            <w:r w:rsidRPr="00842260">
              <w:rPr>
                <w:lang w:val="en-AU"/>
              </w:rPr>
              <w:t>Overall survival (</w:t>
            </w:r>
            <w:r w:rsidR="00093F8E" w:rsidRPr="00842260">
              <w:rPr>
                <w:lang w:val="en-AU"/>
              </w:rPr>
              <w:t>OS; median duration of follow up 27 months)</w:t>
            </w:r>
          </w:p>
        </w:tc>
      </w:tr>
      <w:tr w:rsidR="00B96E2A" w:rsidRPr="00842260" w14:paraId="4153E457" w14:textId="77777777" w:rsidTr="000C578F">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tcPr>
          <w:p w14:paraId="387CD73A" w14:textId="77777777" w:rsidR="00B96E2A" w:rsidRPr="00842260" w:rsidRDefault="00B96E2A" w:rsidP="00B96E2A">
            <w:pPr>
              <w:pStyle w:val="TableText0"/>
              <w:keepLines/>
              <w:widowControl w:val="0"/>
            </w:pPr>
            <w:r w:rsidRPr="00842260">
              <w:t xml:space="preserve">Deaths, n/N (%)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85991FB" w14:textId="6970B795" w:rsidR="00B96E2A" w:rsidRPr="00842260" w:rsidRDefault="00B96E2A" w:rsidP="00B96E2A">
            <w:pPr>
              <w:pStyle w:val="TableText0"/>
              <w:keepLines/>
              <w:widowControl w:val="0"/>
              <w:jc w:val="center"/>
            </w:pPr>
            <w:r w:rsidRPr="00842260">
              <w:t>96/2808 (3.4%)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F420FB8" w14:textId="39D49D2C" w:rsidR="00B96E2A" w:rsidRPr="00842260" w:rsidRDefault="00B96E2A" w:rsidP="00B96E2A">
            <w:pPr>
              <w:pStyle w:val="TableText0"/>
              <w:keepLines/>
              <w:widowControl w:val="0"/>
              <w:jc w:val="center"/>
            </w:pPr>
            <w:r w:rsidRPr="00842260">
              <w:t>90/2829 (3.2%)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7461CEE5" w14:textId="51C2A287" w:rsidR="00B96E2A" w:rsidRPr="00842260" w:rsidRDefault="00B96E2A" w:rsidP="00B96E2A">
            <w:pPr>
              <w:pStyle w:val="TableText0"/>
              <w:keepLines/>
              <w:widowControl w:val="0"/>
              <w:jc w:val="center"/>
            </w:pPr>
            <w:r w:rsidRPr="00842260">
              <w:t>0.2%</w:t>
            </w:r>
          </w:p>
        </w:tc>
        <w:tc>
          <w:tcPr>
            <w:tcW w:w="916" w:type="pct"/>
            <w:tcBorders>
              <w:top w:val="single" w:sz="4" w:space="0" w:color="auto"/>
              <w:left w:val="single" w:sz="4" w:space="0" w:color="auto"/>
              <w:bottom w:val="nil"/>
              <w:right w:val="single" w:sz="4" w:space="0" w:color="auto"/>
            </w:tcBorders>
            <w:shd w:val="clear" w:color="auto" w:fill="auto"/>
            <w:vAlign w:val="center"/>
          </w:tcPr>
          <w:p w14:paraId="49C5B8EB" w14:textId="0253F0FD" w:rsidR="00B96E2A" w:rsidRPr="00842260" w:rsidRDefault="00B96E2A" w:rsidP="00B96E2A">
            <w:pPr>
              <w:pStyle w:val="TableText0"/>
              <w:keepLines/>
              <w:widowControl w:val="0"/>
              <w:jc w:val="center"/>
            </w:pPr>
            <w:r w:rsidRPr="00842260">
              <w:t>1.09 (0.82, 1.46)</w:t>
            </w:r>
          </w:p>
        </w:tc>
      </w:tr>
      <w:tr w:rsidR="00DD63ED" w:rsidRPr="00842260" w14:paraId="2B49E47B" w14:textId="77777777" w:rsidTr="000C578F">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tcPr>
          <w:p w14:paraId="4A6BB6B2" w14:textId="79CB4D34" w:rsidR="00DD63ED" w:rsidRPr="00842260" w:rsidRDefault="00DD63ED" w:rsidP="00DD63ED">
            <w:pPr>
              <w:pStyle w:val="TableText0"/>
              <w:keepLines/>
              <w:widowControl w:val="0"/>
            </w:pPr>
            <w:r w:rsidRPr="00842260">
              <w:t>Median OS,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14CA362" w14:textId="0C710C14" w:rsidR="00DD63ED" w:rsidRPr="00842260" w:rsidRDefault="00DD63ED" w:rsidP="00DD63ED">
            <w:pPr>
              <w:pStyle w:val="TableText0"/>
              <w:keepLines/>
              <w:widowControl w:val="0"/>
              <w:jc w:val="center"/>
              <w:rPr>
                <w:rFonts w:cs="Times New Roman"/>
                <w:szCs w:val="20"/>
              </w:rPr>
            </w:pPr>
            <w:r w:rsidRPr="00842260">
              <w:rPr>
                <w:rFonts w:cs="Times New Roman"/>
                <w:szCs w:val="20"/>
              </w:rPr>
              <w:t>NA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4249C7A" w14:textId="7382B0B4" w:rsidR="00DD63ED" w:rsidRPr="00842260" w:rsidRDefault="00DD63ED" w:rsidP="00DD63ED">
            <w:pPr>
              <w:pStyle w:val="TableText0"/>
              <w:keepLines/>
              <w:widowControl w:val="0"/>
              <w:jc w:val="center"/>
              <w:rPr>
                <w:rFonts w:cs="Times New Roman"/>
                <w:szCs w:val="20"/>
              </w:rPr>
            </w:pPr>
            <w:r w:rsidRPr="00842260">
              <w:rPr>
                <w:rFonts w:cs="Times New Roman"/>
                <w:szCs w:val="20"/>
              </w:rPr>
              <w:t>NA</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B93BECC" w14:textId="6298FBA7" w:rsidR="00DD63ED" w:rsidRPr="00842260" w:rsidRDefault="00DD63ED" w:rsidP="00DD63ED">
            <w:pPr>
              <w:pStyle w:val="TableText0"/>
              <w:keepLines/>
              <w:widowControl w:val="0"/>
              <w:jc w:val="center"/>
            </w:pPr>
            <w:r w:rsidRPr="00842260">
              <w:rPr>
                <w:rFonts w:cs="Times New Roman"/>
                <w:szCs w:val="20"/>
              </w:rPr>
              <w:t>NA</w:t>
            </w:r>
          </w:p>
        </w:tc>
        <w:tc>
          <w:tcPr>
            <w:tcW w:w="916" w:type="pct"/>
            <w:tcBorders>
              <w:top w:val="nil"/>
              <w:left w:val="single" w:sz="4" w:space="0" w:color="auto"/>
              <w:bottom w:val="nil"/>
              <w:right w:val="single" w:sz="4" w:space="0" w:color="auto"/>
            </w:tcBorders>
            <w:shd w:val="clear" w:color="auto" w:fill="auto"/>
          </w:tcPr>
          <w:p w14:paraId="4E0B8714" w14:textId="77777777" w:rsidR="00DD63ED" w:rsidRPr="00842260" w:rsidRDefault="00DD63ED" w:rsidP="00DD63ED">
            <w:pPr>
              <w:pStyle w:val="TableText0"/>
              <w:keepLines/>
              <w:widowControl w:val="0"/>
              <w:jc w:val="center"/>
              <w:rPr>
                <w:szCs w:val="20"/>
              </w:rPr>
            </w:pPr>
          </w:p>
        </w:tc>
      </w:tr>
      <w:tr w:rsidR="00B96E2A" w:rsidRPr="00842260" w14:paraId="5CCEFFBA" w14:textId="77777777" w:rsidTr="000C578F">
        <w:trPr>
          <w:trHeight w:val="20"/>
        </w:trPr>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14:paraId="4CCF10D5" w14:textId="67E964CE" w:rsidR="00B96E2A" w:rsidRPr="00842260" w:rsidRDefault="00B96E2A" w:rsidP="000C578F">
            <w:pPr>
              <w:pStyle w:val="TableText0"/>
              <w:keepLines/>
              <w:widowControl w:val="0"/>
            </w:pPr>
            <w:r w:rsidRPr="00842260">
              <w:t xml:space="preserve">% Alive at 24 months (95% CI)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6C00D513" w14:textId="77777777" w:rsidR="00B96E2A" w:rsidRPr="00842260" w:rsidRDefault="00B96E2A" w:rsidP="00B96E2A">
            <w:pPr>
              <w:pStyle w:val="TableText0"/>
              <w:keepLines/>
              <w:widowControl w:val="0"/>
              <w:jc w:val="center"/>
            </w:pPr>
            <w:r w:rsidRPr="00842260">
              <w:t xml:space="preserve">97.6% </w:t>
            </w:r>
          </w:p>
          <w:p w14:paraId="3EC5A687" w14:textId="33E4CFB3" w:rsidR="00B96E2A" w:rsidRPr="00842260" w:rsidRDefault="00B96E2A" w:rsidP="00B96E2A">
            <w:pPr>
              <w:pStyle w:val="TableText0"/>
              <w:keepLines/>
              <w:widowControl w:val="0"/>
              <w:jc w:val="center"/>
            </w:pPr>
            <w:r w:rsidRPr="00842260">
              <w:t>(96.9%, 98.1%)</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D1016FE" w14:textId="77777777" w:rsidR="00B96E2A" w:rsidRPr="00842260" w:rsidRDefault="00B96E2A" w:rsidP="00B96E2A">
            <w:pPr>
              <w:pStyle w:val="TableText0"/>
              <w:keepLines/>
              <w:widowControl w:val="0"/>
              <w:jc w:val="center"/>
              <w:rPr>
                <w:szCs w:val="20"/>
              </w:rPr>
            </w:pPr>
            <w:r w:rsidRPr="00842260">
              <w:rPr>
                <w:szCs w:val="20"/>
              </w:rPr>
              <w:t xml:space="preserve">97.4% </w:t>
            </w:r>
          </w:p>
          <w:p w14:paraId="3F925924" w14:textId="7F550E3C" w:rsidR="00B96E2A" w:rsidRPr="00842260" w:rsidRDefault="00B96E2A" w:rsidP="00B96E2A">
            <w:pPr>
              <w:pStyle w:val="TableText0"/>
              <w:keepLines/>
              <w:widowControl w:val="0"/>
              <w:jc w:val="center"/>
              <w:rPr>
                <w:szCs w:val="20"/>
              </w:rPr>
            </w:pPr>
            <w:r w:rsidRPr="00842260">
              <w:rPr>
                <w:szCs w:val="20"/>
              </w:rPr>
              <w:t>(96.7%, 97.9%)</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C729A95" w14:textId="17ADD72A" w:rsidR="00B96E2A" w:rsidRPr="00842260" w:rsidRDefault="00B96E2A" w:rsidP="00B96E2A">
            <w:pPr>
              <w:pStyle w:val="TableText0"/>
              <w:keepLines/>
              <w:widowControl w:val="0"/>
              <w:jc w:val="center"/>
            </w:pPr>
            <w:r w:rsidRPr="00842260">
              <w:t xml:space="preserve">0.2% </w:t>
            </w:r>
            <w:r w:rsidR="000C578F" w:rsidRPr="00842260">
              <w:br/>
            </w:r>
            <w:r w:rsidRPr="00842260">
              <w:t>(-0.6%, 1.1</w:t>
            </w:r>
            <w:r w:rsidR="000C578F" w:rsidRPr="00842260">
              <w:t>%</w:t>
            </w:r>
            <w:r w:rsidRPr="00842260">
              <w:t>)</w:t>
            </w:r>
          </w:p>
        </w:tc>
        <w:tc>
          <w:tcPr>
            <w:tcW w:w="916" w:type="pct"/>
            <w:tcBorders>
              <w:top w:val="nil"/>
              <w:left w:val="single" w:sz="4" w:space="0" w:color="auto"/>
              <w:bottom w:val="nil"/>
              <w:right w:val="single" w:sz="4" w:space="0" w:color="auto"/>
            </w:tcBorders>
            <w:shd w:val="clear" w:color="auto" w:fill="auto"/>
          </w:tcPr>
          <w:p w14:paraId="03A14489" w14:textId="77777777" w:rsidR="00B96E2A" w:rsidRPr="00842260" w:rsidRDefault="00B96E2A" w:rsidP="00B96E2A">
            <w:pPr>
              <w:pStyle w:val="TableText0"/>
              <w:keepLines/>
              <w:widowControl w:val="0"/>
              <w:jc w:val="center"/>
            </w:pPr>
          </w:p>
        </w:tc>
      </w:tr>
      <w:tr w:rsidR="00B96E2A" w:rsidRPr="00842260" w14:paraId="23FBB761" w14:textId="77777777" w:rsidTr="000C578F">
        <w:trPr>
          <w:trHeight w:val="20"/>
        </w:trPr>
        <w:tc>
          <w:tcPr>
            <w:tcW w:w="1569" w:type="pct"/>
            <w:tcBorders>
              <w:top w:val="single" w:sz="4" w:space="0" w:color="auto"/>
              <w:left w:val="single" w:sz="4" w:space="0" w:color="auto"/>
              <w:bottom w:val="double" w:sz="4" w:space="0" w:color="auto"/>
              <w:right w:val="single" w:sz="4" w:space="0" w:color="auto"/>
            </w:tcBorders>
            <w:shd w:val="clear" w:color="auto" w:fill="auto"/>
            <w:vAlign w:val="center"/>
          </w:tcPr>
          <w:p w14:paraId="0C35791C" w14:textId="4AB496EF" w:rsidR="00B96E2A" w:rsidRPr="00842260" w:rsidRDefault="00B96E2A" w:rsidP="000C578F">
            <w:pPr>
              <w:pStyle w:val="TableText0"/>
              <w:keepLines/>
              <w:widowControl w:val="0"/>
            </w:pPr>
            <w:r w:rsidRPr="00842260">
              <w:t>% Alive at 36 months (95% CI)</w:t>
            </w:r>
          </w:p>
        </w:tc>
        <w:tc>
          <w:tcPr>
            <w:tcW w:w="786" w:type="pct"/>
            <w:tcBorders>
              <w:top w:val="single" w:sz="4" w:space="0" w:color="auto"/>
              <w:left w:val="single" w:sz="4" w:space="0" w:color="auto"/>
              <w:bottom w:val="double" w:sz="4" w:space="0" w:color="auto"/>
              <w:right w:val="single" w:sz="4" w:space="0" w:color="auto"/>
            </w:tcBorders>
            <w:shd w:val="clear" w:color="auto" w:fill="auto"/>
          </w:tcPr>
          <w:p w14:paraId="3F02E42A" w14:textId="77777777" w:rsidR="00B96E2A" w:rsidRPr="00842260" w:rsidRDefault="00B96E2A" w:rsidP="00B96E2A">
            <w:pPr>
              <w:pStyle w:val="TableText0"/>
              <w:keepLines/>
              <w:widowControl w:val="0"/>
              <w:jc w:val="center"/>
              <w:rPr>
                <w:szCs w:val="20"/>
              </w:rPr>
            </w:pPr>
            <w:r w:rsidRPr="00842260">
              <w:rPr>
                <w:szCs w:val="20"/>
              </w:rPr>
              <w:t xml:space="preserve">95.2% </w:t>
            </w:r>
          </w:p>
          <w:p w14:paraId="7A73E848" w14:textId="40C41FC0" w:rsidR="00B96E2A" w:rsidRPr="00842260" w:rsidRDefault="00B96E2A" w:rsidP="00B96E2A">
            <w:pPr>
              <w:pStyle w:val="TableText0"/>
              <w:keepLines/>
              <w:widowControl w:val="0"/>
              <w:jc w:val="center"/>
              <w:rPr>
                <w:szCs w:val="20"/>
              </w:rPr>
            </w:pPr>
            <w:r w:rsidRPr="00842260">
              <w:rPr>
                <w:szCs w:val="20"/>
              </w:rPr>
              <w:t>(94.0%, 96.2%)</w:t>
            </w:r>
          </w:p>
        </w:tc>
        <w:tc>
          <w:tcPr>
            <w:tcW w:w="785" w:type="pct"/>
            <w:tcBorders>
              <w:top w:val="single" w:sz="4" w:space="0" w:color="auto"/>
              <w:left w:val="single" w:sz="4" w:space="0" w:color="auto"/>
              <w:bottom w:val="double" w:sz="4" w:space="0" w:color="auto"/>
              <w:right w:val="single" w:sz="4" w:space="0" w:color="auto"/>
            </w:tcBorders>
            <w:shd w:val="clear" w:color="auto" w:fill="auto"/>
          </w:tcPr>
          <w:p w14:paraId="6FB1F7E7" w14:textId="77777777" w:rsidR="00B96E2A" w:rsidRPr="00842260" w:rsidRDefault="00B96E2A" w:rsidP="00B96E2A">
            <w:pPr>
              <w:pStyle w:val="TableText0"/>
              <w:keepLines/>
              <w:widowControl w:val="0"/>
              <w:jc w:val="center"/>
              <w:rPr>
                <w:szCs w:val="20"/>
              </w:rPr>
            </w:pPr>
            <w:r w:rsidRPr="00842260">
              <w:rPr>
                <w:szCs w:val="20"/>
              </w:rPr>
              <w:t xml:space="preserve">95.6% </w:t>
            </w:r>
          </w:p>
          <w:p w14:paraId="4BA30C70" w14:textId="4950A332" w:rsidR="00B96E2A" w:rsidRPr="00842260" w:rsidRDefault="00B96E2A" w:rsidP="00B96E2A">
            <w:pPr>
              <w:pStyle w:val="TableText0"/>
              <w:keepLines/>
              <w:widowControl w:val="0"/>
              <w:jc w:val="center"/>
              <w:rPr>
                <w:szCs w:val="20"/>
              </w:rPr>
            </w:pPr>
            <w:r w:rsidRPr="00842260">
              <w:rPr>
                <w:szCs w:val="20"/>
              </w:rPr>
              <w:t>(94.3%, 96.6%)</w:t>
            </w:r>
          </w:p>
        </w:tc>
        <w:tc>
          <w:tcPr>
            <w:tcW w:w="943" w:type="pct"/>
            <w:tcBorders>
              <w:top w:val="single" w:sz="4" w:space="0" w:color="auto"/>
              <w:left w:val="single" w:sz="4" w:space="0" w:color="auto"/>
              <w:bottom w:val="double" w:sz="4" w:space="0" w:color="auto"/>
              <w:right w:val="single" w:sz="4" w:space="0" w:color="auto"/>
            </w:tcBorders>
            <w:shd w:val="clear" w:color="auto" w:fill="auto"/>
          </w:tcPr>
          <w:p w14:paraId="49210F4F" w14:textId="0694DB4D" w:rsidR="00B96E2A" w:rsidRPr="00842260" w:rsidRDefault="00B96E2A" w:rsidP="00B96E2A">
            <w:pPr>
              <w:pStyle w:val="TableText0"/>
              <w:keepLines/>
              <w:widowControl w:val="0"/>
              <w:jc w:val="center"/>
            </w:pPr>
            <w:r w:rsidRPr="00842260">
              <w:t xml:space="preserve">-0.4% </w:t>
            </w:r>
            <w:r w:rsidR="000C578F" w:rsidRPr="00842260">
              <w:br/>
            </w:r>
            <w:r w:rsidRPr="00842260">
              <w:t>(-1.9%, 1.2%)</w:t>
            </w:r>
          </w:p>
        </w:tc>
        <w:tc>
          <w:tcPr>
            <w:tcW w:w="916" w:type="pct"/>
            <w:tcBorders>
              <w:top w:val="nil"/>
              <w:left w:val="single" w:sz="4" w:space="0" w:color="auto"/>
              <w:bottom w:val="double" w:sz="4" w:space="0" w:color="auto"/>
              <w:right w:val="single" w:sz="4" w:space="0" w:color="auto"/>
            </w:tcBorders>
            <w:shd w:val="clear" w:color="auto" w:fill="auto"/>
          </w:tcPr>
          <w:p w14:paraId="145535C0" w14:textId="77777777" w:rsidR="00B96E2A" w:rsidRPr="00842260" w:rsidRDefault="00B96E2A" w:rsidP="00B96E2A">
            <w:pPr>
              <w:pStyle w:val="TableText0"/>
              <w:keepLines/>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837"/>
        <w:gridCol w:w="997"/>
        <w:gridCol w:w="994"/>
        <w:gridCol w:w="1560"/>
        <w:gridCol w:w="994"/>
        <w:gridCol w:w="992"/>
        <w:gridCol w:w="1643"/>
      </w:tblGrid>
      <w:tr w:rsidR="0099451E" w:rsidRPr="00842260" w14:paraId="4CB55A42" w14:textId="77777777" w:rsidTr="003D1DE4">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5D6D7F31" w14:textId="77777777" w:rsidR="0099451E" w:rsidRPr="00842260" w:rsidRDefault="0099451E" w:rsidP="00D2155B">
            <w:pPr>
              <w:pStyle w:val="In-tableHeading"/>
              <w:rPr>
                <w:lang w:val="en-AU"/>
              </w:rPr>
            </w:pPr>
            <w:r w:rsidRPr="00842260">
              <w:rPr>
                <w:lang w:val="en-AU"/>
              </w:rPr>
              <w:t xml:space="preserve">Harms </w:t>
            </w:r>
          </w:p>
        </w:tc>
      </w:tr>
      <w:tr w:rsidR="0099451E" w:rsidRPr="00842260" w14:paraId="75B2E922" w14:textId="77777777" w:rsidTr="000C578F">
        <w:trPr>
          <w:trHeight w:val="70"/>
        </w:trPr>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547F8C" w14:textId="77777777" w:rsidR="0099451E" w:rsidRPr="00842260" w:rsidRDefault="0099451E" w:rsidP="00D2155B">
            <w:pPr>
              <w:pStyle w:val="In-tableHeading"/>
              <w:rPr>
                <w:lang w:val="en-AU"/>
              </w:rPr>
            </w:pPr>
          </w:p>
        </w:tc>
        <w:tc>
          <w:tcPr>
            <w:tcW w:w="553" w:type="pct"/>
            <w:vMerge w:val="restart"/>
            <w:tcBorders>
              <w:top w:val="single" w:sz="4" w:space="0" w:color="auto"/>
              <w:left w:val="single" w:sz="4" w:space="0" w:color="auto"/>
              <w:bottom w:val="single" w:sz="4" w:space="0" w:color="auto"/>
              <w:right w:val="single" w:sz="4" w:space="0" w:color="auto"/>
            </w:tcBorders>
            <w:vAlign w:val="center"/>
          </w:tcPr>
          <w:p w14:paraId="5D1245E5" w14:textId="50DC0B8C" w:rsidR="0099451E" w:rsidRPr="00842260" w:rsidRDefault="00665D30" w:rsidP="001E34DF">
            <w:pPr>
              <w:pStyle w:val="In-tableHeading"/>
              <w:jc w:val="center"/>
              <w:rPr>
                <w:lang w:val="en-AU"/>
              </w:rPr>
            </w:pPr>
            <w:r w:rsidRPr="00842260">
              <w:rPr>
                <w:lang w:val="en-AU"/>
              </w:rPr>
              <w:t>ABE + ET</w:t>
            </w:r>
          </w:p>
          <w:p w14:paraId="18AE1B71" w14:textId="21103E21" w:rsidR="0099451E" w:rsidRPr="00842260" w:rsidRDefault="0099451E" w:rsidP="001E34DF">
            <w:pPr>
              <w:pStyle w:val="In-tableHeading"/>
              <w:jc w:val="center"/>
              <w:rPr>
                <w:lang w:val="en-AU"/>
              </w:rPr>
            </w:pPr>
            <w:r w:rsidRPr="00842260">
              <w:rPr>
                <w:lang w:val="en-AU"/>
              </w:rPr>
              <w:t>n/N</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072C4CF6" w14:textId="20CECC98" w:rsidR="0099451E" w:rsidRPr="00842260" w:rsidRDefault="00665D30" w:rsidP="001E34DF">
            <w:pPr>
              <w:pStyle w:val="In-tableHeading"/>
              <w:jc w:val="center"/>
              <w:rPr>
                <w:lang w:val="en-AU"/>
              </w:rPr>
            </w:pPr>
            <w:r w:rsidRPr="00842260">
              <w:rPr>
                <w:lang w:val="en-AU"/>
              </w:rPr>
              <w:t>ET</w:t>
            </w:r>
          </w:p>
          <w:p w14:paraId="6D0B7D43" w14:textId="49912C18" w:rsidR="0099451E" w:rsidRPr="00842260" w:rsidRDefault="0099451E" w:rsidP="001E34DF">
            <w:pPr>
              <w:pStyle w:val="In-tableHeading"/>
              <w:jc w:val="center"/>
              <w:rPr>
                <w:lang w:val="en-AU"/>
              </w:rPr>
            </w:pPr>
            <w:r w:rsidRPr="00842260">
              <w:rPr>
                <w:lang w:val="en-AU"/>
              </w:rPr>
              <w:t>n/N</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14:paraId="6CD15AD0" w14:textId="77777777" w:rsidR="0099451E" w:rsidRPr="00842260" w:rsidRDefault="0099451E" w:rsidP="001E34DF">
            <w:pPr>
              <w:pStyle w:val="In-tableHeading"/>
              <w:jc w:val="center"/>
              <w:rPr>
                <w:lang w:val="en-AU"/>
              </w:rPr>
            </w:pPr>
            <w:r w:rsidRPr="00842260">
              <w:rPr>
                <w:lang w:val="en-AU"/>
              </w:rPr>
              <w:t>RR</w:t>
            </w:r>
          </w:p>
          <w:p w14:paraId="3695D7EC" w14:textId="77777777" w:rsidR="0099451E" w:rsidRPr="00842260" w:rsidRDefault="0099451E" w:rsidP="001E34DF">
            <w:pPr>
              <w:pStyle w:val="In-tableHeading"/>
              <w:jc w:val="center"/>
              <w:rPr>
                <w:lang w:val="en-AU"/>
              </w:rPr>
            </w:pPr>
            <w:r w:rsidRPr="00842260">
              <w:rPr>
                <w:lang w:val="en-AU"/>
              </w:rPr>
              <w:t>(95% CI)</w:t>
            </w:r>
          </w:p>
        </w:tc>
        <w:tc>
          <w:tcPr>
            <w:tcW w:w="1101" w:type="pct"/>
            <w:gridSpan w:val="2"/>
            <w:tcBorders>
              <w:top w:val="single" w:sz="4" w:space="0" w:color="auto"/>
              <w:left w:val="single" w:sz="4" w:space="0" w:color="auto"/>
              <w:bottom w:val="single" w:sz="4" w:space="0" w:color="auto"/>
              <w:right w:val="single" w:sz="4" w:space="0" w:color="auto"/>
            </w:tcBorders>
            <w:vAlign w:val="center"/>
          </w:tcPr>
          <w:p w14:paraId="2D89440A" w14:textId="565DA633" w:rsidR="0099451E" w:rsidRPr="00842260" w:rsidRDefault="0099451E" w:rsidP="001E34DF">
            <w:pPr>
              <w:pStyle w:val="In-tableHeading"/>
              <w:jc w:val="center"/>
              <w:rPr>
                <w:lang w:val="en-AU"/>
              </w:rPr>
            </w:pPr>
            <w:r w:rsidRPr="00842260">
              <w:rPr>
                <w:lang w:val="en-AU"/>
              </w:rPr>
              <w:t>Event rate/100 patients*</w:t>
            </w:r>
          </w:p>
        </w:tc>
        <w:tc>
          <w:tcPr>
            <w:tcW w:w="910" w:type="pct"/>
            <w:vMerge w:val="restart"/>
            <w:tcBorders>
              <w:top w:val="single" w:sz="4" w:space="0" w:color="auto"/>
              <w:left w:val="single" w:sz="4" w:space="0" w:color="auto"/>
              <w:bottom w:val="single" w:sz="4" w:space="0" w:color="auto"/>
              <w:right w:val="single" w:sz="4" w:space="0" w:color="auto"/>
            </w:tcBorders>
            <w:vAlign w:val="center"/>
          </w:tcPr>
          <w:p w14:paraId="0603FC2B" w14:textId="77777777" w:rsidR="0099451E" w:rsidRPr="00842260" w:rsidRDefault="0099451E" w:rsidP="001E34DF">
            <w:pPr>
              <w:pStyle w:val="In-tableHeading"/>
              <w:jc w:val="center"/>
              <w:rPr>
                <w:lang w:val="en-AU"/>
              </w:rPr>
            </w:pPr>
            <w:r w:rsidRPr="00842260">
              <w:rPr>
                <w:lang w:val="en-AU"/>
              </w:rPr>
              <w:t>RD</w:t>
            </w:r>
          </w:p>
          <w:p w14:paraId="61EDAA80" w14:textId="77777777" w:rsidR="0099451E" w:rsidRPr="00842260" w:rsidRDefault="0099451E" w:rsidP="001E34DF">
            <w:pPr>
              <w:pStyle w:val="In-tableHeading"/>
              <w:jc w:val="center"/>
              <w:rPr>
                <w:lang w:val="en-AU"/>
              </w:rPr>
            </w:pPr>
            <w:r w:rsidRPr="00842260">
              <w:rPr>
                <w:lang w:val="en-AU"/>
              </w:rPr>
              <w:t>(95% CI)</w:t>
            </w:r>
          </w:p>
        </w:tc>
      </w:tr>
      <w:tr w:rsidR="00665D30" w:rsidRPr="00842260" w14:paraId="479B77C6" w14:textId="77777777" w:rsidTr="000C578F">
        <w:trPr>
          <w:trHeight w:val="390"/>
        </w:trPr>
        <w:tc>
          <w:tcPr>
            <w:tcW w:w="10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A6A81F" w14:textId="77777777" w:rsidR="00665D30" w:rsidRPr="00842260" w:rsidRDefault="00665D30" w:rsidP="00665D30">
            <w:pPr>
              <w:pStyle w:val="In-tableHeading"/>
              <w:rPr>
                <w:lang w:val="en-AU"/>
              </w:rPr>
            </w:pPr>
          </w:p>
        </w:tc>
        <w:tc>
          <w:tcPr>
            <w:tcW w:w="553" w:type="pct"/>
            <w:vMerge/>
            <w:tcBorders>
              <w:top w:val="single" w:sz="4" w:space="0" w:color="auto"/>
              <w:left w:val="single" w:sz="4" w:space="0" w:color="auto"/>
              <w:bottom w:val="single" w:sz="4" w:space="0" w:color="auto"/>
              <w:right w:val="single" w:sz="4" w:space="0" w:color="auto"/>
            </w:tcBorders>
            <w:vAlign w:val="center"/>
          </w:tcPr>
          <w:p w14:paraId="738CA751" w14:textId="77777777" w:rsidR="00665D30" w:rsidRPr="00842260" w:rsidRDefault="00665D30" w:rsidP="00665D30">
            <w:pPr>
              <w:pStyle w:val="In-tableHeading"/>
              <w:rPr>
                <w:lang w:val="en-AU"/>
              </w:rPr>
            </w:pPr>
          </w:p>
        </w:tc>
        <w:tc>
          <w:tcPr>
            <w:tcW w:w="551" w:type="pct"/>
            <w:vMerge/>
            <w:tcBorders>
              <w:top w:val="single" w:sz="4" w:space="0" w:color="auto"/>
              <w:left w:val="single" w:sz="4" w:space="0" w:color="auto"/>
              <w:bottom w:val="single" w:sz="4" w:space="0" w:color="auto"/>
              <w:right w:val="single" w:sz="4" w:space="0" w:color="auto"/>
            </w:tcBorders>
            <w:vAlign w:val="center"/>
          </w:tcPr>
          <w:p w14:paraId="75FBCA94" w14:textId="77777777" w:rsidR="00665D30" w:rsidRPr="00842260" w:rsidRDefault="00665D30" w:rsidP="00665D30">
            <w:pPr>
              <w:pStyle w:val="In-tableHeading"/>
              <w:rPr>
                <w:lang w:val="en-AU"/>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7978F38" w14:textId="77777777" w:rsidR="00665D30" w:rsidRPr="00842260" w:rsidRDefault="00665D30" w:rsidP="00665D30">
            <w:pPr>
              <w:pStyle w:val="In-tableHeading"/>
              <w:rPr>
                <w:lang w:val="en-AU"/>
              </w:rPr>
            </w:pPr>
          </w:p>
        </w:tc>
        <w:tc>
          <w:tcPr>
            <w:tcW w:w="551" w:type="pct"/>
            <w:tcBorders>
              <w:top w:val="single" w:sz="4" w:space="0" w:color="auto"/>
              <w:left w:val="single" w:sz="4" w:space="0" w:color="auto"/>
              <w:bottom w:val="single" w:sz="4" w:space="0" w:color="auto"/>
              <w:right w:val="single" w:sz="4" w:space="0" w:color="auto"/>
            </w:tcBorders>
          </w:tcPr>
          <w:p w14:paraId="6C5E3022" w14:textId="2C8BD4D6" w:rsidR="00665D30" w:rsidRPr="00842260" w:rsidRDefault="00665D30" w:rsidP="00665D30">
            <w:pPr>
              <w:pStyle w:val="In-tableHeading"/>
              <w:jc w:val="center"/>
              <w:rPr>
                <w:lang w:val="en-AU"/>
              </w:rPr>
            </w:pPr>
            <w:r w:rsidRPr="00842260">
              <w:rPr>
                <w:lang w:val="en-AU"/>
              </w:rPr>
              <w:t>ABE + ET</w:t>
            </w:r>
          </w:p>
        </w:tc>
        <w:tc>
          <w:tcPr>
            <w:tcW w:w="550" w:type="pct"/>
            <w:tcBorders>
              <w:top w:val="single" w:sz="4" w:space="0" w:color="auto"/>
              <w:left w:val="single" w:sz="4" w:space="0" w:color="auto"/>
              <w:bottom w:val="single" w:sz="4" w:space="0" w:color="auto"/>
              <w:right w:val="single" w:sz="4" w:space="0" w:color="auto"/>
            </w:tcBorders>
          </w:tcPr>
          <w:p w14:paraId="0B50134F" w14:textId="06593C2B" w:rsidR="00665D30" w:rsidRPr="00842260" w:rsidRDefault="00665D30" w:rsidP="00665D30">
            <w:pPr>
              <w:pStyle w:val="In-tableHeading"/>
              <w:jc w:val="center"/>
              <w:rPr>
                <w:lang w:val="en-AU"/>
              </w:rPr>
            </w:pPr>
            <w:r w:rsidRPr="00842260">
              <w:rPr>
                <w:lang w:val="en-AU"/>
              </w:rPr>
              <w:t>ET</w:t>
            </w:r>
          </w:p>
        </w:tc>
        <w:tc>
          <w:tcPr>
            <w:tcW w:w="910" w:type="pct"/>
            <w:vMerge/>
            <w:tcBorders>
              <w:top w:val="single" w:sz="4" w:space="0" w:color="auto"/>
              <w:left w:val="single" w:sz="4" w:space="0" w:color="auto"/>
              <w:bottom w:val="single" w:sz="4" w:space="0" w:color="auto"/>
              <w:right w:val="single" w:sz="4" w:space="0" w:color="auto"/>
            </w:tcBorders>
            <w:vAlign w:val="center"/>
          </w:tcPr>
          <w:p w14:paraId="1A0186C2" w14:textId="77777777" w:rsidR="00665D30" w:rsidRPr="00842260" w:rsidRDefault="00665D30" w:rsidP="00665D30">
            <w:pPr>
              <w:pStyle w:val="In-tableHeading"/>
              <w:rPr>
                <w:lang w:val="en-AU"/>
              </w:rPr>
            </w:pPr>
          </w:p>
        </w:tc>
      </w:tr>
      <w:tr w:rsidR="0013075E" w:rsidRPr="00842260" w14:paraId="572E193B" w14:textId="77777777" w:rsidTr="000C578F">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591D19B5" w14:textId="76FD899A" w:rsidR="0013075E" w:rsidRPr="00842260" w:rsidRDefault="0013075E" w:rsidP="0013075E">
            <w:pPr>
              <w:pStyle w:val="TableText0"/>
            </w:pPr>
            <w:r w:rsidRPr="00842260">
              <w:t>Grade ≥3 TEAE</w:t>
            </w:r>
          </w:p>
        </w:tc>
        <w:tc>
          <w:tcPr>
            <w:tcW w:w="553" w:type="pct"/>
            <w:tcBorders>
              <w:top w:val="single" w:sz="4" w:space="0" w:color="auto"/>
              <w:left w:val="single" w:sz="4" w:space="0" w:color="auto"/>
              <w:bottom w:val="single" w:sz="4" w:space="0" w:color="auto"/>
              <w:right w:val="single" w:sz="4" w:space="0" w:color="auto"/>
            </w:tcBorders>
            <w:vAlign w:val="center"/>
          </w:tcPr>
          <w:p w14:paraId="4C700CB8" w14:textId="4666950E" w:rsidR="0013075E" w:rsidRPr="00842260" w:rsidRDefault="0013075E" w:rsidP="0013075E">
            <w:pPr>
              <w:pStyle w:val="TableText0"/>
              <w:jc w:val="center"/>
            </w:pPr>
            <w:r w:rsidRPr="00842260">
              <w:t xml:space="preserve">1388/2791 </w:t>
            </w:r>
          </w:p>
        </w:tc>
        <w:tc>
          <w:tcPr>
            <w:tcW w:w="551" w:type="pct"/>
            <w:tcBorders>
              <w:top w:val="single" w:sz="4" w:space="0" w:color="auto"/>
              <w:left w:val="single" w:sz="4" w:space="0" w:color="auto"/>
              <w:bottom w:val="single" w:sz="4" w:space="0" w:color="auto"/>
              <w:right w:val="single" w:sz="4" w:space="0" w:color="auto"/>
            </w:tcBorders>
            <w:vAlign w:val="center"/>
          </w:tcPr>
          <w:p w14:paraId="01A4D221" w14:textId="6448459F" w:rsidR="0013075E" w:rsidRPr="00842260" w:rsidRDefault="0013075E" w:rsidP="0013075E">
            <w:pPr>
              <w:pStyle w:val="TableText0"/>
              <w:jc w:val="center"/>
            </w:pPr>
            <w:r w:rsidRPr="00842260">
              <w:t xml:space="preserve">456/2800 </w:t>
            </w:r>
          </w:p>
        </w:tc>
        <w:tc>
          <w:tcPr>
            <w:tcW w:w="865" w:type="pct"/>
            <w:tcBorders>
              <w:top w:val="single" w:sz="4" w:space="0" w:color="auto"/>
              <w:left w:val="single" w:sz="4" w:space="0" w:color="auto"/>
              <w:bottom w:val="single" w:sz="4" w:space="0" w:color="auto"/>
              <w:right w:val="single" w:sz="4" w:space="0" w:color="auto"/>
            </w:tcBorders>
            <w:vAlign w:val="center"/>
          </w:tcPr>
          <w:p w14:paraId="34986F80" w14:textId="509BFB89" w:rsidR="0013075E" w:rsidRPr="00842260" w:rsidRDefault="0013075E" w:rsidP="0013075E">
            <w:pPr>
              <w:pStyle w:val="TableText0"/>
              <w:jc w:val="center"/>
              <w:rPr>
                <w:iCs/>
              </w:rPr>
            </w:pPr>
            <w:r w:rsidRPr="00842260">
              <w:rPr>
                <w:iCs/>
              </w:rPr>
              <w:t>3.05 (2.79, 3.35)</w:t>
            </w:r>
          </w:p>
        </w:tc>
        <w:tc>
          <w:tcPr>
            <w:tcW w:w="551" w:type="pct"/>
            <w:tcBorders>
              <w:top w:val="single" w:sz="4" w:space="0" w:color="auto"/>
              <w:left w:val="single" w:sz="4" w:space="0" w:color="auto"/>
              <w:bottom w:val="single" w:sz="4" w:space="0" w:color="auto"/>
              <w:right w:val="single" w:sz="4" w:space="0" w:color="auto"/>
            </w:tcBorders>
            <w:vAlign w:val="center"/>
          </w:tcPr>
          <w:p w14:paraId="56FA6411" w14:textId="2F0FD34C" w:rsidR="0013075E" w:rsidRPr="00842260" w:rsidRDefault="0013075E" w:rsidP="0013075E">
            <w:pPr>
              <w:pStyle w:val="TableText0"/>
              <w:jc w:val="center"/>
            </w:pPr>
            <w:r w:rsidRPr="00842260">
              <w:t>49.7</w:t>
            </w:r>
          </w:p>
        </w:tc>
        <w:tc>
          <w:tcPr>
            <w:tcW w:w="550" w:type="pct"/>
            <w:tcBorders>
              <w:top w:val="single" w:sz="4" w:space="0" w:color="auto"/>
              <w:left w:val="single" w:sz="4" w:space="0" w:color="auto"/>
              <w:bottom w:val="single" w:sz="4" w:space="0" w:color="auto"/>
              <w:right w:val="single" w:sz="4" w:space="0" w:color="auto"/>
            </w:tcBorders>
            <w:vAlign w:val="center"/>
          </w:tcPr>
          <w:p w14:paraId="5EDDCB36" w14:textId="7C3D8754" w:rsidR="0013075E" w:rsidRPr="00842260" w:rsidRDefault="0013075E" w:rsidP="0013075E">
            <w:pPr>
              <w:pStyle w:val="TableText0"/>
              <w:jc w:val="center"/>
            </w:pPr>
            <w:r w:rsidRPr="00842260">
              <w:t>16.3</w:t>
            </w:r>
          </w:p>
        </w:tc>
        <w:tc>
          <w:tcPr>
            <w:tcW w:w="910" w:type="pct"/>
            <w:tcBorders>
              <w:top w:val="single" w:sz="4" w:space="0" w:color="auto"/>
              <w:left w:val="single" w:sz="4" w:space="0" w:color="auto"/>
              <w:bottom w:val="single" w:sz="4" w:space="0" w:color="auto"/>
              <w:right w:val="single" w:sz="4" w:space="0" w:color="auto"/>
            </w:tcBorders>
            <w:vAlign w:val="center"/>
          </w:tcPr>
          <w:p w14:paraId="3D5DEBDC" w14:textId="626F0F88" w:rsidR="0013075E" w:rsidRPr="00842260" w:rsidRDefault="0013075E" w:rsidP="0013075E">
            <w:pPr>
              <w:pStyle w:val="TableText0"/>
              <w:jc w:val="center"/>
              <w:rPr>
                <w:iCs/>
              </w:rPr>
            </w:pPr>
            <w:r w:rsidRPr="00842260">
              <w:rPr>
                <w:iCs/>
              </w:rPr>
              <w:t>33.44 (31.14, 35.75)</w:t>
            </w:r>
          </w:p>
        </w:tc>
      </w:tr>
      <w:tr w:rsidR="0013075E" w:rsidRPr="00842260" w14:paraId="4D02EC43" w14:textId="77777777" w:rsidTr="000C578F">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694B27BD" w14:textId="7C8C419D" w:rsidR="0013075E" w:rsidRPr="00842260" w:rsidRDefault="0013075E" w:rsidP="0013075E">
            <w:pPr>
              <w:pStyle w:val="TableText0"/>
            </w:pPr>
            <w:r w:rsidRPr="00842260">
              <w:t>TE-SAE</w:t>
            </w:r>
          </w:p>
        </w:tc>
        <w:tc>
          <w:tcPr>
            <w:tcW w:w="553" w:type="pct"/>
            <w:tcBorders>
              <w:top w:val="single" w:sz="4" w:space="0" w:color="auto"/>
              <w:left w:val="single" w:sz="4" w:space="0" w:color="auto"/>
              <w:bottom w:val="single" w:sz="4" w:space="0" w:color="auto"/>
              <w:right w:val="single" w:sz="4" w:space="0" w:color="auto"/>
            </w:tcBorders>
            <w:vAlign w:val="center"/>
          </w:tcPr>
          <w:p w14:paraId="03406909" w14:textId="20EE0446" w:rsidR="0013075E" w:rsidRPr="00842260" w:rsidRDefault="0013075E" w:rsidP="0013075E">
            <w:pPr>
              <w:pStyle w:val="TableText0"/>
              <w:jc w:val="center"/>
            </w:pPr>
            <w:r w:rsidRPr="00842260">
              <w:t>424/2791</w:t>
            </w:r>
          </w:p>
        </w:tc>
        <w:tc>
          <w:tcPr>
            <w:tcW w:w="551" w:type="pct"/>
            <w:tcBorders>
              <w:top w:val="single" w:sz="4" w:space="0" w:color="auto"/>
              <w:left w:val="single" w:sz="4" w:space="0" w:color="auto"/>
              <w:bottom w:val="single" w:sz="4" w:space="0" w:color="auto"/>
              <w:right w:val="single" w:sz="4" w:space="0" w:color="auto"/>
            </w:tcBorders>
            <w:vAlign w:val="center"/>
          </w:tcPr>
          <w:p w14:paraId="590A3CE9" w14:textId="75B4F75A" w:rsidR="0013075E" w:rsidRPr="00842260" w:rsidRDefault="0013075E" w:rsidP="0013075E">
            <w:pPr>
              <w:pStyle w:val="TableText0"/>
              <w:jc w:val="center"/>
            </w:pPr>
            <w:r w:rsidRPr="00842260">
              <w:t>219/2800</w:t>
            </w:r>
          </w:p>
        </w:tc>
        <w:tc>
          <w:tcPr>
            <w:tcW w:w="865" w:type="pct"/>
            <w:tcBorders>
              <w:top w:val="single" w:sz="4" w:space="0" w:color="auto"/>
              <w:left w:val="single" w:sz="4" w:space="0" w:color="auto"/>
              <w:bottom w:val="single" w:sz="4" w:space="0" w:color="auto"/>
              <w:right w:val="single" w:sz="4" w:space="0" w:color="auto"/>
            </w:tcBorders>
            <w:vAlign w:val="center"/>
          </w:tcPr>
          <w:p w14:paraId="4D0C578D" w14:textId="36264FD3" w:rsidR="0013075E" w:rsidRPr="00842260" w:rsidRDefault="0013075E" w:rsidP="0013075E">
            <w:pPr>
              <w:pStyle w:val="TableText0"/>
              <w:jc w:val="center"/>
              <w:rPr>
                <w:iCs/>
              </w:rPr>
            </w:pPr>
            <w:r w:rsidRPr="00842260">
              <w:rPr>
                <w:iCs/>
              </w:rPr>
              <w:t>1.94 (1.66, 2.27)</w:t>
            </w:r>
          </w:p>
        </w:tc>
        <w:tc>
          <w:tcPr>
            <w:tcW w:w="551" w:type="pct"/>
            <w:tcBorders>
              <w:top w:val="single" w:sz="4" w:space="0" w:color="auto"/>
              <w:left w:val="single" w:sz="4" w:space="0" w:color="auto"/>
              <w:bottom w:val="single" w:sz="4" w:space="0" w:color="auto"/>
              <w:right w:val="single" w:sz="4" w:space="0" w:color="auto"/>
            </w:tcBorders>
            <w:vAlign w:val="center"/>
          </w:tcPr>
          <w:p w14:paraId="6D8792EA" w14:textId="46956140" w:rsidR="0013075E" w:rsidRPr="00842260" w:rsidRDefault="0013075E" w:rsidP="0013075E">
            <w:pPr>
              <w:pStyle w:val="TableText0"/>
              <w:jc w:val="center"/>
            </w:pPr>
            <w:r w:rsidRPr="00842260">
              <w:t>15.2</w:t>
            </w:r>
          </w:p>
        </w:tc>
        <w:tc>
          <w:tcPr>
            <w:tcW w:w="550" w:type="pct"/>
            <w:tcBorders>
              <w:top w:val="single" w:sz="4" w:space="0" w:color="auto"/>
              <w:left w:val="single" w:sz="4" w:space="0" w:color="auto"/>
              <w:bottom w:val="single" w:sz="4" w:space="0" w:color="auto"/>
              <w:right w:val="single" w:sz="4" w:space="0" w:color="auto"/>
            </w:tcBorders>
            <w:vAlign w:val="center"/>
          </w:tcPr>
          <w:p w14:paraId="051BFAEC" w14:textId="53FFE5CD" w:rsidR="0013075E" w:rsidRPr="00842260" w:rsidRDefault="0013075E" w:rsidP="0013075E">
            <w:pPr>
              <w:pStyle w:val="TableText0"/>
              <w:jc w:val="center"/>
            </w:pPr>
            <w:r w:rsidRPr="00842260">
              <w:t>7.8</w:t>
            </w:r>
          </w:p>
        </w:tc>
        <w:tc>
          <w:tcPr>
            <w:tcW w:w="910" w:type="pct"/>
            <w:tcBorders>
              <w:top w:val="single" w:sz="4" w:space="0" w:color="auto"/>
              <w:left w:val="single" w:sz="4" w:space="0" w:color="auto"/>
              <w:bottom w:val="single" w:sz="4" w:space="0" w:color="auto"/>
              <w:right w:val="single" w:sz="4" w:space="0" w:color="auto"/>
            </w:tcBorders>
            <w:vAlign w:val="center"/>
          </w:tcPr>
          <w:p w14:paraId="4BBA8165" w14:textId="28BE6396" w:rsidR="0013075E" w:rsidRPr="00842260" w:rsidRDefault="0013075E" w:rsidP="0013075E">
            <w:pPr>
              <w:pStyle w:val="TableText0"/>
              <w:jc w:val="center"/>
              <w:rPr>
                <w:iCs/>
              </w:rPr>
            </w:pPr>
            <w:r w:rsidRPr="00842260">
              <w:rPr>
                <w:iCs/>
              </w:rPr>
              <w:t>7.37 (5.71, 9.03)</w:t>
            </w:r>
          </w:p>
        </w:tc>
      </w:tr>
      <w:tr w:rsidR="00350B9A" w:rsidRPr="00842260" w14:paraId="488E85F7" w14:textId="77777777" w:rsidTr="000C578F">
        <w:tc>
          <w:tcPr>
            <w:tcW w:w="1019" w:type="pct"/>
            <w:tcBorders>
              <w:top w:val="single" w:sz="4" w:space="0" w:color="auto"/>
              <w:left w:val="single" w:sz="4" w:space="0" w:color="auto"/>
              <w:bottom w:val="single" w:sz="4" w:space="0" w:color="auto"/>
              <w:right w:val="single" w:sz="4" w:space="0" w:color="auto"/>
            </w:tcBorders>
            <w:shd w:val="clear" w:color="auto" w:fill="auto"/>
          </w:tcPr>
          <w:p w14:paraId="74CC0DF2" w14:textId="76BA2728" w:rsidR="00350B9A" w:rsidRPr="00842260" w:rsidRDefault="00350B9A" w:rsidP="00350B9A">
            <w:pPr>
              <w:pStyle w:val="TableText0"/>
            </w:pPr>
            <w:r w:rsidRPr="00842260">
              <w:t>Grade ≥3 diarrhoea</w:t>
            </w:r>
          </w:p>
        </w:tc>
        <w:tc>
          <w:tcPr>
            <w:tcW w:w="553" w:type="pct"/>
            <w:tcBorders>
              <w:top w:val="single" w:sz="4" w:space="0" w:color="auto"/>
              <w:left w:val="single" w:sz="4" w:space="0" w:color="auto"/>
              <w:bottom w:val="single" w:sz="4" w:space="0" w:color="auto"/>
              <w:right w:val="single" w:sz="4" w:space="0" w:color="auto"/>
            </w:tcBorders>
            <w:vAlign w:val="center"/>
          </w:tcPr>
          <w:p w14:paraId="533FF0FA" w14:textId="14615A9F" w:rsidR="00350B9A" w:rsidRPr="00842260" w:rsidRDefault="00350B9A" w:rsidP="00350B9A">
            <w:pPr>
              <w:pStyle w:val="TableText0"/>
              <w:jc w:val="center"/>
            </w:pPr>
            <w:r w:rsidRPr="00842260">
              <w:t>219/2791</w:t>
            </w:r>
          </w:p>
        </w:tc>
        <w:tc>
          <w:tcPr>
            <w:tcW w:w="551" w:type="pct"/>
            <w:tcBorders>
              <w:top w:val="single" w:sz="4" w:space="0" w:color="auto"/>
              <w:left w:val="single" w:sz="4" w:space="0" w:color="auto"/>
              <w:bottom w:val="single" w:sz="4" w:space="0" w:color="auto"/>
              <w:right w:val="single" w:sz="4" w:space="0" w:color="auto"/>
            </w:tcBorders>
            <w:vAlign w:val="center"/>
          </w:tcPr>
          <w:p w14:paraId="570C8E98" w14:textId="7BF718A6" w:rsidR="00350B9A" w:rsidRPr="00842260" w:rsidRDefault="00350B9A" w:rsidP="00350B9A">
            <w:pPr>
              <w:pStyle w:val="TableText0"/>
              <w:jc w:val="center"/>
            </w:pPr>
            <w:r w:rsidRPr="00842260">
              <w:t>6/2800</w:t>
            </w:r>
          </w:p>
        </w:tc>
        <w:tc>
          <w:tcPr>
            <w:tcW w:w="865" w:type="pct"/>
            <w:tcBorders>
              <w:top w:val="single" w:sz="4" w:space="0" w:color="auto"/>
              <w:left w:val="single" w:sz="4" w:space="0" w:color="auto"/>
              <w:bottom w:val="single" w:sz="4" w:space="0" w:color="auto"/>
              <w:right w:val="single" w:sz="4" w:space="0" w:color="auto"/>
            </w:tcBorders>
            <w:vAlign w:val="center"/>
          </w:tcPr>
          <w:p w14:paraId="53E2463A" w14:textId="48DFD0EA" w:rsidR="00350B9A" w:rsidRPr="00842260" w:rsidRDefault="00350B9A" w:rsidP="00350B9A">
            <w:pPr>
              <w:pStyle w:val="TableText0"/>
              <w:jc w:val="center"/>
              <w:rPr>
                <w:iCs/>
              </w:rPr>
            </w:pPr>
            <w:r w:rsidRPr="00842260">
              <w:rPr>
                <w:iCs/>
              </w:rPr>
              <w:t>36.62 (16.30, 82.26)</w:t>
            </w:r>
          </w:p>
        </w:tc>
        <w:tc>
          <w:tcPr>
            <w:tcW w:w="551" w:type="pct"/>
            <w:tcBorders>
              <w:top w:val="single" w:sz="4" w:space="0" w:color="auto"/>
              <w:left w:val="single" w:sz="4" w:space="0" w:color="auto"/>
              <w:bottom w:val="single" w:sz="4" w:space="0" w:color="auto"/>
              <w:right w:val="single" w:sz="4" w:space="0" w:color="auto"/>
            </w:tcBorders>
            <w:vAlign w:val="center"/>
          </w:tcPr>
          <w:p w14:paraId="2AAD0C9E" w14:textId="5B157C17" w:rsidR="00350B9A" w:rsidRPr="00842260" w:rsidRDefault="00350B9A" w:rsidP="00350B9A">
            <w:pPr>
              <w:pStyle w:val="TableText0"/>
              <w:jc w:val="center"/>
            </w:pPr>
            <w:r w:rsidRPr="00842260">
              <w:t>7.8</w:t>
            </w:r>
          </w:p>
        </w:tc>
        <w:tc>
          <w:tcPr>
            <w:tcW w:w="550" w:type="pct"/>
            <w:tcBorders>
              <w:top w:val="single" w:sz="4" w:space="0" w:color="auto"/>
              <w:left w:val="single" w:sz="4" w:space="0" w:color="auto"/>
              <w:bottom w:val="single" w:sz="4" w:space="0" w:color="auto"/>
              <w:right w:val="single" w:sz="4" w:space="0" w:color="auto"/>
            </w:tcBorders>
            <w:vAlign w:val="center"/>
          </w:tcPr>
          <w:p w14:paraId="4BC9D24E" w14:textId="0E79EAB1" w:rsidR="00350B9A" w:rsidRPr="00842260" w:rsidRDefault="00350B9A" w:rsidP="00350B9A">
            <w:pPr>
              <w:pStyle w:val="TableText0"/>
              <w:jc w:val="center"/>
            </w:pPr>
            <w:r w:rsidRPr="00842260">
              <w:t>0.2</w:t>
            </w:r>
          </w:p>
        </w:tc>
        <w:tc>
          <w:tcPr>
            <w:tcW w:w="910" w:type="pct"/>
            <w:tcBorders>
              <w:top w:val="single" w:sz="4" w:space="0" w:color="auto"/>
              <w:left w:val="single" w:sz="4" w:space="0" w:color="auto"/>
              <w:bottom w:val="single" w:sz="4" w:space="0" w:color="auto"/>
              <w:right w:val="single" w:sz="4" w:space="0" w:color="auto"/>
            </w:tcBorders>
            <w:vAlign w:val="center"/>
          </w:tcPr>
          <w:p w14:paraId="4575857A" w14:textId="1821D924" w:rsidR="00350B9A" w:rsidRPr="00842260" w:rsidRDefault="00350B9A" w:rsidP="00350B9A">
            <w:pPr>
              <w:pStyle w:val="TableText0"/>
              <w:jc w:val="center"/>
              <w:rPr>
                <w:iCs/>
              </w:rPr>
            </w:pPr>
            <w:r w:rsidRPr="00842260">
              <w:rPr>
                <w:iCs/>
              </w:rPr>
              <w:t>7.63 (6.62, 8.64)</w:t>
            </w:r>
          </w:p>
        </w:tc>
      </w:tr>
      <w:tr w:rsidR="00350B9A" w:rsidRPr="00842260" w14:paraId="11AF581A" w14:textId="77777777" w:rsidTr="000C578F">
        <w:tc>
          <w:tcPr>
            <w:tcW w:w="1019" w:type="pct"/>
            <w:tcBorders>
              <w:top w:val="single" w:sz="4" w:space="0" w:color="auto"/>
              <w:left w:val="single" w:sz="4" w:space="0" w:color="auto"/>
              <w:bottom w:val="single" w:sz="4" w:space="0" w:color="auto"/>
              <w:right w:val="single" w:sz="4" w:space="0" w:color="auto"/>
            </w:tcBorders>
            <w:shd w:val="clear" w:color="auto" w:fill="auto"/>
          </w:tcPr>
          <w:p w14:paraId="3F169185" w14:textId="43C1B7B0" w:rsidR="00350B9A" w:rsidRPr="00842260" w:rsidRDefault="00350B9A" w:rsidP="00350B9A">
            <w:pPr>
              <w:pStyle w:val="TableText0"/>
            </w:pPr>
            <w:r w:rsidRPr="00842260">
              <w:t>Grade ≥3 neutropenia</w:t>
            </w:r>
          </w:p>
        </w:tc>
        <w:tc>
          <w:tcPr>
            <w:tcW w:w="553" w:type="pct"/>
            <w:tcBorders>
              <w:top w:val="single" w:sz="4" w:space="0" w:color="auto"/>
              <w:left w:val="single" w:sz="4" w:space="0" w:color="auto"/>
              <w:bottom w:val="single" w:sz="4" w:space="0" w:color="auto"/>
              <w:right w:val="single" w:sz="4" w:space="0" w:color="auto"/>
            </w:tcBorders>
            <w:vAlign w:val="center"/>
          </w:tcPr>
          <w:p w14:paraId="5FD9651F" w14:textId="7B02AA4F" w:rsidR="00350B9A" w:rsidRPr="00842260" w:rsidRDefault="00350B9A" w:rsidP="00350B9A">
            <w:pPr>
              <w:pStyle w:val="TableText0"/>
              <w:jc w:val="center"/>
            </w:pPr>
            <w:r w:rsidRPr="00842260">
              <w:t>546/2791</w:t>
            </w:r>
          </w:p>
        </w:tc>
        <w:tc>
          <w:tcPr>
            <w:tcW w:w="551" w:type="pct"/>
            <w:tcBorders>
              <w:top w:val="single" w:sz="4" w:space="0" w:color="auto"/>
              <w:left w:val="single" w:sz="4" w:space="0" w:color="auto"/>
              <w:bottom w:val="single" w:sz="4" w:space="0" w:color="auto"/>
              <w:right w:val="single" w:sz="4" w:space="0" w:color="auto"/>
            </w:tcBorders>
            <w:vAlign w:val="center"/>
          </w:tcPr>
          <w:p w14:paraId="32092CE1" w14:textId="4B7A70F9" w:rsidR="00350B9A" w:rsidRPr="00842260" w:rsidRDefault="00350B9A" w:rsidP="00350B9A">
            <w:pPr>
              <w:pStyle w:val="TableText0"/>
              <w:jc w:val="center"/>
            </w:pPr>
            <w:r w:rsidRPr="00842260">
              <w:t>23/2800</w:t>
            </w:r>
          </w:p>
        </w:tc>
        <w:tc>
          <w:tcPr>
            <w:tcW w:w="865" w:type="pct"/>
            <w:tcBorders>
              <w:top w:val="single" w:sz="4" w:space="0" w:color="auto"/>
              <w:left w:val="single" w:sz="4" w:space="0" w:color="auto"/>
              <w:bottom w:val="single" w:sz="4" w:space="0" w:color="auto"/>
              <w:right w:val="single" w:sz="4" w:space="0" w:color="auto"/>
            </w:tcBorders>
            <w:vAlign w:val="center"/>
          </w:tcPr>
          <w:p w14:paraId="250B8CAE" w14:textId="7B14CF32" w:rsidR="00350B9A" w:rsidRPr="00842260" w:rsidRDefault="00350B9A" w:rsidP="00350B9A">
            <w:pPr>
              <w:pStyle w:val="TableText0"/>
              <w:jc w:val="center"/>
              <w:rPr>
                <w:iCs/>
              </w:rPr>
            </w:pPr>
            <w:r w:rsidRPr="00842260">
              <w:rPr>
                <w:iCs/>
              </w:rPr>
              <w:t>23.82 (15.74, 36.03)</w:t>
            </w:r>
          </w:p>
        </w:tc>
        <w:tc>
          <w:tcPr>
            <w:tcW w:w="551" w:type="pct"/>
            <w:tcBorders>
              <w:top w:val="single" w:sz="4" w:space="0" w:color="auto"/>
              <w:left w:val="single" w:sz="4" w:space="0" w:color="auto"/>
              <w:bottom w:val="single" w:sz="4" w:space="0" w:color="auto"/>
              <w:right w:val="single" w:sz="4" w:space="0" w:color="auto"/>
            </w:tcBorders>
            <w:vAlign w:val="center"/>
          </w:tcPr>
          <w:p w14:paraId="4720B9FD" w14:textId="464640AD" w:rsidR="00350B9A" w:rsidRPr="00842260" w:rsidRDefault="00350B9A" w:rsidP="00350B9A">
            <w:pPr>
              <w:pStyle w:val="TableText0"/>
              <w:jc w:val="center"/>
            </w:pPr>
            <w:r w:rsidRPr="00842260">
              <w:t>19.6</w:t>
            </w:r>
          </w:p>
        </w:tc>
        <w:tc>
          <w:tcPr>
            <w:tcW w:w="550" w:type="pct"/>
            <w:tcBorders>
              <w:top w:val="single" w:sz="4" w:space="0" w:color="auto"/>
              <w:left w:val="single" w:sz="4" w:space="0" w:color="auto"/>
              <w:bottom w:val="single" w:sz="4" w:space="0" w:color="auto"/>
              <w:right w:val="single" w:sz="4" w:space="0" w:color="auto"/>
            </w:tcBorders>
            <w:vAlign w:val="center"/>
          </w:tcPr>
          <w:p w14:paraId="4D8C0363" w14:textId="02683D0F" w:rsidR="00350B9A" w:rsidRPr="00842260" w:rsidRDefault="00350B9A" w:rsidP="00350B9A">
            <w:pPr>
              <w:pStyle w:val="TableText0"/>
              <w:jc w:val="center"/>
            </w:pPr>
            <w:r w:rsidRPr="00842260">
              <w:t>0.8</w:t>
            </w:r>
          </w:p>
        </w:tc>
        <w:tc>
          <w:tcPr>
            <w:tcW w:w="910" w:type="pct"/>
            <w:tcBorders>
              <w:top w:val="single" w:sz="4" w:space="0" w:color="auto"/>
              <w:left w:val="single" w:sz="4" w:space="0" w:color="auto"/>
              <w:bottom w:val="single" w:sz="4" w:space="0" w:color="auto"/>
              <w:right w:val="single" w:sz="4" w:space="0" w:color="auto"/>
            </w:tcBorders>
            <w:vAlign w:val="center"/>
          </w:tcPr>
          <w:p w14:paraId="0F6ADD10" w14:textId="65C10319" w:rsidR="00350B9A" w:rsidRPr="00842260" w:rsidRDefault="00350B9A" w:rsidP="00350B9A">
            <w:pPr>
              <w:pStyle w:val="TableText0"/>
              <w:jc w:val="center"/>
              <w:rPr>
                <w:iCs/>
              </w:rPr>
            </w:pPr>
            <w:r w:rsidRPr="00842260">
              <w:rPr>
                <w:iCs/>
              </w:rPr>
              <w:t>18.74 (17.23, 20.24)</w:t>
            </w:r>
          </w:p>
        </w:tc>
      </w:tr>
    </w:tbl>
    <w:p w14:paraId="6E2286D0" w14:textId="52994C8D" w:rsidR="00620C25" w:rsidRPr="00842260" w:rsidRDefault="00620C25" w:rsidP="00620C25">
      <w:pPr>
        <w:pStyle w:val="TableFigureFooter"/>
        <w:rPr>
          <w:sz w:val="20"/>
        </w:rPr>
      </w:pPr>
      <w:r w:rsidRPr="00842260">
        <w:t xml:space="preserve">Source: </w:t>
      </w:r>
      <w:r w:rsidR="00260518" w:rsidRPr="00842260">
        <w:t>Table 2-28, p92</w:t>
      </w:r>
      <w:r w:rsidR="00852F34" w:rsidRPr="00842260">
        <w:t xml:space="preserve"> of the submission, Table </w:t>
      </w:r>
      <w:r w:rsidR="00B96E2A" w:rsidRPr="00842260">
        <w:t>JPCF.5.2</w:t>
      </w:r>
      <w:r w:rsidR="00852F34" w:rsidRPr="00842260">
        <w:t xml:space="preserve">, p36 of the </w:t>
      </w:r>
      <w:proofErr w:type="spellStart"/>
      <w:r w:rsidR="00852F34" w:rsidRPr="00842260">
        <w:t>monarchE</w:t>
      </w:r>
      <w:proofErr w:type="spellEnd"/>
      <w:r w:rsidR="00852F34" w:rsidRPr="00842260">
        <w:t xml:space="preserve"> CSR </w:t>
      </w:r>
      <w:r w:rsidR="00B96E2A" w:rsidRPr="00842260">
        <w:t>AFU1</w:t>
      </w:r>
      <w:r w:rsidR="00852F34" w:rsidRPr="00842260">
        <w:t xml:space="preserve"> (April 2021)</w:t>
      </w:r>
      <w:r w:rsidR="00B96E2A" w:rsidRPr="00842260">
        <w:t xml:space="preserve">, Table JPCF.8.5, p154 of the </w:t>
      </w:r>
      <w:proofErr w:type="spellStart"/>
      <w:r w:rsidR="00B96E2A" w:rsidRPr="00842260">
        <w:t>monarchE</w:t>
      </w:r>
      <w:proofErr w:type="spellEnd"/>
      <w:r w:rsidR="00B96E2A" w:rsidRPr="00842260">
        <w:t xml:space="preserve"> CSR AFU1 (April 2021)</w:t>
      </w:r>
    </w:p>
    <w:p w14:paraId="67D9843F" w14:textId="2388E204" w:rsidR="00620C25" w:rsidRPr="00842260" w:rsidRDefault="00665D30" w:rsidP="00620C25">
      <w:pPr>
        <w:pStyle w:val="TableFigureFooter"/>
      </w:pPr>
      <w:r w:rsidRPr="00842260">
        <w:t xml:space="preserve">ABE = </w:t>
      </w:r>
      <w:proofErr w:type="spellStart"/>
      <w:r w:rsidRPr="00842260">
        <w:t>abemaciclib</w:t>
      </w:r>
      <w:proofErr w:type="spellEnd"/>
      <w:r w:rsidRPr="00842260">
        <w:t xml:space="preserve">; </w:t>
      </w:r>
      <w:r w:rsidR="001A33B0" w:rsidRPr="00842260">
        <w:t>CI</w:t>
      </w:r>
      <w:r w:rsidR="00BD689C" w:rsidRPr="00842260">
        <w:t xml:space="preserve"> =</w:t>
      </w:r>
      <w:r w:rsidR="001A33B0" w:rsidRPr="00842260">
        <w:t xml:space="preserve"> confidence interval; DRFS</w:t>
      </w:r>
      <w:r w:rsidR="00BD689C" w:rsidRPr="00842260">
        <w:t xml:space="preserve"> =</w:t>
      </w:r>
      <w:r w:rsidR="001A33B0" w:rsidRPr="00842260">
        <w:t xml:space="preserve"> distant relapse-free survival; </w:t>
      </w:r>
      <w:r w:rsidRPr="00842260">
        <w:t xml:space="preserve">ET = endocrine therapy; </w:t>
      </w:r>
      <w:r w:rsidR="00620C25" w:rsidRPr="00842260">
        <w:t xml:space="preserve">HR = hazard ratio; </w:t>
      </w:r>
      <w:r w:rsidR="001A33B0" w:rsidRPr="00842260">
        <w:t>IDFS</w:t>
      </w:r>
      <w:r w:rsidR="00BD689C" w:rsidRPr="00842260">
        <w:t xml:space="preserve"> =</w:t>
      </w:r>
      <w:r w:rsidR="001A33B0" w:rsidRPr="00842260">
        <w:t xml:space="preserve"> invasive disease-free survival</w:t>
      </w:r>
      <w:r w:rsidR="00297E64" w:rsidRPr="00842260">
        <w:t>;</w:t>
      </w:r>
      <w:r w:rsidR="001A33B0" w:rsidRPr="00842260">
        <w:t xml:space="preserve"> </w:t>
      </w:r>
      <w:r w:rsidR="0091081A" w:rsidRPr="00842260">
        <w:t>NA = not available (not reached)</w:t>
      </w:r>
      <w:r w:rsidR="00350B9A" w:rsidRPr="00842260">
        <w:t xml:space="preserve">; </w:t>
      </w:r>
      <w:r w:rsidR="00620C25" w:rsidRPr="00842260">
        <w:t>RD = risk difference; RR = risk ratio</w:t>
      </w:r>
      <w:r w:rsidR="00350B9A" w:rsidRPr="00842260">
        <w:t>; TEAE = treatment emergent adverse event; TE-SAE = treatment emergent serious adverse event</w:t>
      </w:r>
    </w:p>
    <w:p w14:paraId="1EB63D1C" w14:textId="489752AB" w:rsidR="00B62715" w:rsidRPr="00842260" w:rsidRDefault="00B62715" w:rsidP="00D2155B">
      <w:pPr>
        <w:pStyle w:val="TableFigureFooter"/>
      </w:pPr>
      <w:r w:rsidRPr="00842260">
        <w:t xml:space="preserve">* </w:t>
      </w:r>
      <w:r w:rsidR="0013075E" w:rsidRPr="00842260">
        <w:t>median 27 months</w:t>
      </w:r>
      <w:r w:rsidR="00665D30" w:rsidRPr="00842260">
        <w:t xml:space="preserve"> duration of follow-up</w:t>
      </w:r>
    </w:p>
    <w:p w14:paraId="576E0008" w14:textId="3367977A" w:rsidR="00833707" w:rsidRPr="00842260" w:rsidRDefault="00833707" w:rsidP="00833707">
      <w:pPr>
        <w:pStyle w:val="3-BodyText"/>
      </w:pPr>
      <w:proofErr w:type="gramStart"/>
      <w:r w:rsidRPr="00842260">
        <w:t>On the basis of</w:t>
      </w:r>
      <w:proofErr w:type="gramEnd"/>
      <w:r w:rsidRPr="00842260">
        <w:t xml:space="preserve"> direct evidence presented by the submission, for every 100 patients with HR+/HER2- early breast cancer with a high risk of recurrence, treated with </w:t>
      </w:r>
      <w:proofErr w:type="spellStart"/>
      <w:r w:rsidRPr="00842260">
        <w:t>abemaciclib</w:t>
      </w:r>
      <w:proofErr w:type="spellEnd"/>
      <w:r w:rsidRPr="00842260">
        <w:t xml:space="preserve"> in combination with </w:t>
      </w:r>
      <w:r w:rsidR="008A0D00" w:rsidRPr="00842260">
        <w:t>ET</w:t>
      </w:r>
      <w:r w:rsidRPr="00842260">
        <w:t xml:space="preserve"> </w:t>
      </w:r>
      <w:r w:rsidR="0091081A" w:rsidRPr="00842260">
        <w:t>instead of</w:t>
      </w:r>
      <w:r w:rsidRPr="00842260">
        <w:t xml:space="preserve"> </w:t>
      </w:r>
      <w:r w:rsidR="008A0D00" w:rsidRPr="00842260">
        <w:t>ET</w:t>
      </w:r>
      <w:r w:rsidRPr="00842260">
        <w:t xml:space="preserve"> alone</w:t>
      </w:r>
      <w:r w:rsidR="001071A4" w:rsidRPr="00842260">
        <w:t xml:space="preserve"> </w:t>
      </w:r>
      <w:r w:rsidR="0091081A" w:rsidRPr="00842260">
        <w:t>and for</w:t>
      </w:r>
      <w:r w:rsidR="001071A4" w:rsidRPr="00842260">
        <w:t xml:space="preserve"> a median </w:t>
      </w:r>
      <w:r w:rsidR="0091081A" w:rsidRPr="00842260">
        <w:t xml:space="preserve">follow-up duration </w:t>
      </w:r>
      <w:r w:rsidR="001071A4" w:rsidRPr="00842260">
        <w:t>of 27 months</w:t>
      </w:r>
      <w:r w:rsidRPr="00842260">
        <w:t xml:space="preserve">: </w:t>
      </w:r>
    </w:p>
    <w:p w14:paraId="32040BEC" w14:textId="1BA5EE59" w:rsidR="00833707" w:rsidRPr="00842260" w:rsidRDefault="00833707" w:rsidP="00200CC7">
      <w:pPr>
        <w:pStyle w:val="ListBullet"/>
        <w:tabs>
          <w:tab w:val="clear" w:pos="360"/>
          <w:tab w:val="num" w:pos="1080"/>
        </w:tabs>
        <w:spacing w:after="120"/>
        <w:ind w:left="1077" w:hanging="357"/>
        <w:contextualSpacing w:val="0"/>
      </w:pPr>
      <w:r w:rsidRPr="00842260">
        <w:t xml:space="preserve">Approximately </w:t>
      </w:r>
      <w:r w:rsidR="001071A4" w:rsidRPr="00842260">
        <w:t>4</w:t>
      </w:r>
      <w:r w:rsidRPr="00842260">
        <w:t xml:space="preserve"> additional patients would not experience </w:t>
      </w:r>
      <w:r w:rsidR="0091081A" w:rsidRPr="00842260">
        <w:t>invasive disease or death (</w:t>
      </w:r>
      <w:r w:rsidRPr="00842260">
        <w:t>IDFS</w:t>
      </w:r>
      <w:r w:rsidR="003E6AD7" w:rsidRPr="00842260">
        <w:t>)</w:t>
      </w:r>
      <w:r w:rsidR="0091081A" w:rsidRPr="00842260">
        <w:t>.</w:t>
      </w:r>
      <w:r w:rsidRPr="00842260">
        <w:t xml:space="preserve"> </w:t>
      </w:r>
    </w:p>
    <w:p w14:paraId="604A2E7B" w14:textId="0AB72BFB" w:rsidR="00833707" w:rsidRPr="00842260" w:rsidRDefault="00833707" w:rsidP="00200CC7">
      <w:pPr>
        <w:pStyle w:val="ListBullet"/>
        <w:tabs>
          <w:tab w:val="clear" w:pos="360"/>
          <w:tab w:val="num" w:pos="1080"/>
        </w:tabs>
        <w:spacing w:after="120"/>
        <w:ind w:left="1077" w:hanging="357"/>
        <w:contextualSpacing w:val="0"/>
      </w:pPr>
      <w:r w:rsidRPr="00842260">
        <w:t xml:space="preserve">No difference in </w:t>
      </w:r>
      <w:r w:rsidR="008A0D00" w:rsidRPr="00842260">
        <w:t>OS</w:t>
      </w:r>
      <w:r w:rsidRPr="00842260">
        <w:t xml:space="preserve">. </w:t>
      </w:r>
    </w:p>
    <w:p w14:paraId="18E6050B" w14:textId="133469DE" w:rsidR="00833707" w:rsidRPr="00842260" w:rsidRDefault="00833707" w:rsidP="00200CC7">
      <w:pPr>
        <w:pStyle w:val="ListBullet"/>
        <w:tabs>
          <w:tab w:val="clear" w:pos="360"/>
          <w:tab w:val="num" w:pos="1080"/>
        </w:tabs>
        <w:spacing w:after="120"/>
        <w:ind w:left="1077" w:hanging="357"/>
        <w:contextualSpacing w:val="0"/>
      </w:pPr>
      <w:r w:rsidRPr="00842260">
        <w:t xml:space="preserve">Approximately 33 additional patients would experience a grade </w:t>
      </w:r>
      <w:r w:rsidRPr="00842260">
        <w:rPr>
          <w:rFonts w:cs="Calibri"/>
        </w:rPr>
        <w:t>≥</w:t>
      </w:r>
      <w:r w:rsidRPr="00842260">
        <w:t xml:space="preserve">3 </w:t>
      </w:r>
      <w:r w:rsidR="0091081A" w:rsidRPr="00842260">
        <w:t xml:space="preserve">treatment-emergent </w:t>
      </w:r>
      <w:r w:rsidRPr="00842260">
        <w:t>AE</w:t>
      </w:r>
      <w:r w:rsidR="00FA7DB5" w:rsidRPr="00842260">
        <w:t>, pr</w:t>
      </w:r>
      <w:r w:rsidR="0091081A" w:rsidRPr="00842260">
        <w:t>imarily</w:t>
      </w:r>
      <w:r w:rsidR="00FA7DB5" w:rsidRPr="00842260">
        <w:t xml:space="preserve"> related to reduced white blood cell levels</w:t>
      </w:r>
      <w:r w:rsidRPr="00842260">
        <w:t xml:space="preserve"> (including approximately 19 additional cases of neutropenia</w:t>
      </w:r>
      <w:r w:rsidR="00FA7DB5" w:rsidRPr="00842260">
        <w:t xml:space="preserve"> (too few neutrophils, a type of white blood cell)</w:t>
      </w:r>
      <w:r w:rsidRPr="00842260">
        <w:t>, 11 additional cases of leukopenia</w:t>
      </w:r>
      <w:r w:rsidR="00FA7DB5" w:rsidRPr="00842260">
        <w:t xml:space="preserve"> (low white blood cell count)</w:t>
      </w:r>
      <w:r w:rsidRPr="00842260">
        <w:t xml:space="preserve">, </w:t>
      </w:r>
      <w:r w:rsidRPr="00842260">
        <w:lastRenderedPageBreak/>
        <w:t>and 5 additional cases of lymphopenia</w:t>
      </w:r>
      <w:r w:rsidR="00FA7DB5" w:rsidRPr="00842260">
        <w:t xml:space="preserve"> (too few lymphocytes, a type of white blood cell</w:t>
      </w:r>
      <w:r w:rsidRPr="00842260">
        <w:t>)</w:t>
      </w:r>
      <w:r w:rsidR="00FA7DB5" w:rsidRPr="00842260">
        <w:t>)</w:t>
      </w:r>
      <w:r w:rsidRPr="00842260">
        <w:t>.</w:t>
      </w:r>
      <w:r w:rsidR="003E6AD7" w:rsidRPr="00842260">
        <w:t xml:space="preserve"> Reduced white blood cell levels leads to an increase in the risk of infection.</w:t>
      </w:r>
    </w:p>
    <w:p w14:paraId="5FEC5F6A" w14:textId="2704E7CD" w:rsidR="00297E64" w:rsidRPr="00842260" w:rsidRDefault="00297E64" w:rsidP="00200CC7">
      <w:pPr>
        <w:pStyle w:val="ListBullet"/>
        <w:tabs>
          <w:tab w:val="clear" w:pos="360"/>
          <w:tab w:val="num" w:pos="1080"/>
        </w:tabs>
        <w:spacing w:after="120"/>
        <w:ind w:left="1077" w:hanging="357"/>
        <w:contextualSpacing w:val="0"/>
      </w:pPr>
      <w:r w:rsidRPr="00842260">
        <w:t xml:space="preserve">Approximately 8 additional patients would experience grade </w:t>
      </w:r>
      <w:r w:rsidRPr="00842260">
        <w:rPr>
          <w:rFonts w:cs="Calibri"/>
        </w:rPr>
        <w:t>≥</w:t>
      </w:r>
      <w:r w:rsidRPr="00842260">
        <w:t>3 diarrhoea.</w:t>
      </w:r>
    </w:p>
    <w:p w14:paraId="4B5C411A" w14:textId="4A453FCB" w:rsidR="00833707" w:rsidRPr="00842260" w:rsidRDefault="00833707" w:rsidP="00200CC7">
      <w:pPr>
        <w:pStyle w:val="ListBullet"/>
        <w:tabs>
          <w:tab w:val="clear" w:pos="360"/>
          <w:tab w:val="num" w:pos="1080"/>
        </w:tabs>
        <w:spacing w:after="120"/>
        <w:ind w:left="1077" w:hanging="357"/>
        <w:contextualSpacing w:val="0"/>
      </w:pPr>
      <w:r w:rsidRPr="00842260">
        <w:t xml:space="preserve">Approximately 7 additional patients would experience a </w:t>
      </w:r>
      <w:r w:rsidR="00FA7DB5" w:rsidRPr="00842260">
        <w:t xml:space="preserve">treatment-emergent serious adverse event. </w:t>
      </w:r>
    </w:p>
    <w:p w14:paraId="2D3A4E93" w14:textId="1788BE93" w:rsidR="00833707" w:rsidRPr="00842260" w:rsidRDefault="00833707" w:rsidP="00200CC7">
      <w:pPr>
        <w:pStyle w:val="ListBullet"/>
        <w:tabs>
          <w:tab w:val="clear" w:pos="360"/>
          <w:tab w:val="num" w:pos="1080"/>
        </w:tabs>
        <w:spacing w:after="120"/>
        <w:ind w:left="1077" w:hanging="357"/>
        <w:contextualSpacing w:val="0"/>
      </w:pPr>
      <w:r w:rsidRPr="00842260">
        <w:t>Approximately 5 additional patients would discontin</w:t>
      </w:r>
      <w:r w:rsidR="003E6AD7" w:rsidRPr="00842260">
        <w:t>ue all study treatment due to adverse events</w:t>
      </w:r>
      <w:r w:rsidRPr="00842260">
        <w:t xml:space="preserve">. </w:t>
      </w:r>
    </w:p>
    <w:p w14:paraId="7A1772B6" w14:textId="23BB3145" w:rsidR="00B60939" w:rsidRPr="00842260" w:rsidRDefault="00B60939" w:rsidP="00E9094A">
      <w:pPr>
        <w:pStyle w:val="4-SubsectionHeading"/>
      </w:pPr>
      <w:bookmarkStart w:id="31" w:name="_Toc22897644"/>
      <w:bookmarkStart w:id="32" w:name="_Toc93502906"/>
      <w:r w:rsidRPr="00842260">
        <w:t>Clinical claim</w:t>
      </w:r>
      <w:bookmarkEnd w:id="31"/>
      <w:bookmarkEnd w:id="32"/>
    </w:p>
    <w:p w14:paraId="058189F1" w14:textId="1677A42C" w:rsidR="008A0D00" w:rsidRPr="00842260" w:rsidRDefault="001071A4" w:rsidP="00656483">
      <w:pPr>
        <w:pStyle w:val="3-BodyText"/>
        <w:rPr>
          <w:rFonts w:eastAsia="Calibri"/>
        </w:rPr>
      </w:pPr>
      <w:r w:rsidRPr="00842260">
        <w:t xml:space="preserve">The submission described </w:t>
      </w:r>
      <w:proofErr w:type="spellStart"/>
      <w:r w:rsidRPr="00842260">
        <w:t>abemaciclib</w:t>
      </w:r>
      <w:proofErr w:type="spellEnd"/>
      <w:r w:rsidRPr="00842260">
        <w:t xml:space="preserve"> in combination with </w:t>
      </w:r>
      <w:r w:rsidR="008A0D00" w:rsidRPr="00842260">
        <w:t>ET</w:t>
      </w:r>
      <w:r w:rsidRPr="00842260">
        <w:t xml:space="preserve"> as superior in terms of effectiveness compared with </w:t>
      </w:r>
      <w:r w:rsidR="008A0D00" w:rsidRPr="00842260">
        <w:t>ET</w:t>
      </w:r>
      <w:r w:rsidRPr="00842260">
        <w:t xml:space="preserve"> alone and </w:t>
      </w:r>
      <w:r w:rsidR="0091081A" w:rsidRPr="00842260">
        <w:t>with a</w:t>
      </w:r>
      <w:r w:rsidRPr="00842260">
        <w:t xml:space="preserve"> manageable safety</w:t>
      </w:r>
      <w:r w:rsidR="0091081A" w:rsidRPr="00842260">
        <w:t xml:space="preserve"> profile</w:t>
      </w:r>
      <w:r w:rsidRPr="00842260">
        <w:t xml:space="preserve">. </w:t>
      </w:r>
    </w:p>
    <w:p w14:paraId="51D4112D" w14:textId="45699A45" w:rsidR="00CA4EBF" w:rsidRPr="00842260" w:rsidRDefault="001071A4" w:rsidP="00656483">
      <w:pPr>
        <w:pStyle w:val="3-BodyText"/>
        <w:rPr>
          <w:rFonts w:eastAsia="Calibri"/>
        </w:rPr>
      </w:pPr>
      <w:r w:rsidRPr="00842260">
        <w:rPr>
          <w:rFonts w:eastAsia="Calibri"/>
        </w:rPr>
        <w:t>The therapeutic conclusion pr</w:t>
      </w:r>
      <w:r w:rsidR="0091081A" w:rsidRPr="00842260">
        <w:rPr>
          <w:rFonts w:eastAsia="Calibri"/>
        </w:rPr>
        <w:t>esented in the submission wa</w:t>
      </w:r>
      <w:r w:rsidRPr="00842260">
        <w:rPr>
          <w:rFonts w:eastAsia="Calibri"/>
        </w:rPr>
        <w:t xml:space="preserve">s supported by a statistically significant difference in the hazard of invasive </w:t>
      </w:r>
      <w:r w:rsidR="0091081A" w:rsidRPr="00842260">
        <w:rPr>
          <w:rFonts w:eastAsia="Calibri"/>
        </w:rPr>
        <w:t xml:space="preserve">disease or </w:t>
      </w:r>
      <w:r w:rsidRPr="00842260">
        <w:rPr>
          <w:rFonts w:eastAsia="Calibri"/>
        </w:rPr>
        <w:t xml:space="preserve">death between patients receiving </w:t>
      </w:r>
      <w:proofErr w:type="spellStart"/>
      <w:r w:rsidRPr="00842260">
        <w:rPr>
          <w:rFonts w:eastAsia="Calibri"/>
        </w:rPr>
        <w:t>abemaciclib</w:t>
      </w:r>
      <w:proofErr w:type="spellEnd"/>
      <w:r w:rsidRPr="00842260">
        <w:rPr>
          <w:rFonts w:eastAsia="Calibri"/>
        </w:rPr>
        <w:t xml:space="preserve"> in combination with </w:t>
      </w:r>
      <w:r w:rsidR="008A0D00" w:rsidRPr="00842260">
        <w:rPr>
          <w:rFonts w:eastAsia="Calibri"/>
        </w:rPr>
        <w:t>ET</w:t>
      </w:r>
      <w:r w:rsidRPr="00842260">
        <w:rPr>
          <w:rFonts w:eastAsia="Calibri"/>
        </w:rPr>
        <w:t xml:space="preserve"> versus </w:t>
      </w:r>
      <w:r w:rsidR="0091081A" w:rsidRPr="00842260">
        <w:rPr>
          <w:rFonts w:eastAsia="Calibri"/>
        </w:rPr>
        <w:t xml:space="preserve">those receiving </w:t>
      </w:r>
      <w:r w:rsidR="008A0D00" w:rsidRPr="00842260">
        <w:rPr>
          <w:rFonts w:eastAsia="Calibri"/>
        </w:rPr>
        <w:t>ET</w:t>
      </w:r>
      <w:r w:rsidRPr="00842260">
        <w:rPr>
          <w:rFonts w:eastAsia="Calibri"/>
        </w:rPr>
        <w:t xml:space="preserve"> alone</w:t>
      </w:r>
      <w:r w:rsidR="0091081A" w:rsidRPr="00842260">
        <w:rPr>
          <w:rFonts w:eastAsia="Calibri"/>
        </w:rPr>
        <w:t xml:space="preserve">. </w:t>
      </w:r>
      <w:r w:rsidR="0091081A" w:rsidRPr="00842260">
        <w:rPr>
          <w:rFonts w:eastAsia="Calibri"/>
          <w:iCs/>
        </w:rPr>
        <w:t>However,</w:t>
      </w:r>
      <w:r w:rsidR="001D44AB" w:rsidRPr="00842260">
        <w:rPr>
          <w:rFonts w:eastAsia="Calibri"/>
        </w:rPr>
        <w:t xml:space="preserve"> </w:t>
      </w:r>
      <w:r w:rsidR="001D44AB" w:rsidRPr="00842260">
        <w:rPr>
          <w:iCs/>
        </w:rPr>
        <w:t xml:space="preserve">OS data were immature (only around 3% of events had occurred). The appropriateness of IDFS as a surrogate for OS in patients with HER2- disease remains uncertain, particularly as the IDFS benefit appeared modest. Although statistically significant, the absolute difference in IDFS favouring the use of </w:t>
      </w:r>
      <w:proofErr w:type="spellStart"/>
      <w:r w:rsidR="001D44AB" w:rsidRPr="00842260">
        <w:rPr>
          <w:iCs/>
        </w:rPr>
        <w:t>abemaciclib</w:t>
      </w:r>
      <w:proofErr w:type="spellEnd"/>
      <w:r w:rsidR="001D44AB" w:rsidRPr="00842260">
        <w:rPr>
          <w:iCs/>
        </w:rPr>
        <w:t xml:space="preserve"> was only 3.5% at the April 2021 data cut-off.</w:t>
      </w:r>
      <w:r w:rsidR="00D025C5" w:rsidRPr="00842260">
        <w:rPr>
          <w:rFonts w:eastAsia="Calibri"/>
        </w:rPr>
        <w:t xml:space="preserve"> </w:t>
      </w:r>
      <w:r w:rsidR="00D025C5" w:rsidRPr="00842260">
        <w:rPr>
          <w:iCs/>
        </w:rPr>
        <w:t xml:space="preserve">The </w:t>
      </w:r>
      <w:r w:rsidR="00FE37A6" w:rsidRPr="00842260">
        <w:rPr>
          <w:iCs/>
        </w:rPr>
        <w:t xml:space="preserve">ESC </w:t>
      </w:r>
      <w:r w:rsidR="00F03E66" w:rsidRPr="00842260">
        <w:rPr>
          <w:iCs/>
        </w:rPr>
        <w:t>considered</w:t>
      </w:r>
      <w:r w:rsidR="00D025C5" w:rsidRPr="00842260">
        <w:rPr>
          <w:iCs/>
        </w:rPr>
        <w:t xml:space="preserve"> there was uncertainty</w:t>
      </w:r>
      <w:r w:rsidR="00D025C5" w:rsidRPr="00842260">
        <w:rPr>
          <w:rFonts w:eastAsia="Calibri"/>
        </w:rPr>
        <w:t xml:space="preserve"> whether the IDFS benefit would be maintained with longer follow-up and whether it would translate into a clinically meaningful OS benefit.</w:t>
      </w:r>
    </w:p>
    <w:p w14:paraId="209D68E9" w14:textId="5CCE2703" w:rsidR="00912012" w:rsidRPr="00842260" w:rsidRDefault="00CA4EBF" w:rsidP="0007551C">
      <w:pPr>
        <w:pStyle w:val="3-BodyText"/>
        <w:rPr>
          <w:rFonts w:eastAsia="Calibri"/>
        </w:rPr>
      </w:pPr>
      <w:r w:rsidRPr="00842260">
        <w:rPr>
          <w:rFonts w:eastAsia="Calibri"/>
        </w:rPr>
        <w:t xml:space="preserve">The </w:t>
      </w:r>
      <w:r w:rsidR="00360BC4" w:rsidRPr="00360BC4">
        <w:rPr>
          <w:rFonts w:eastAsia="Calibri"/>
        </w:rPr>
        <w:t xml:space="preserve">Pre-Sub-Committee Response </w:t>
      </w:r>
      <w:r w:rsidR="00360BC4">
        <w:rPr>
          <w:rFonts w:eastAsia="Calibri"/>
        </w:rPr>
        <w:t>(</w:t>
      </w:r>
      <w:r w:rsidRPr="00842260">
        <w:rPr>
          <w:rFonts w:eastAsia="Calibri"/>
        </w:rPr>
        <w:t>PSCR</w:t>
      </w:r>
      <w:r w:rsidR="00360BC4">
        <w:rPr>
          <w:rFonts w:eastAsia="Calibri"/>
        </w:rPr>
        <w:t>)</w:t>
      </w:r>
      <w:r w:rsidRPr="00842260">
        <w:rPr>
          <w:rFonts w:eastAsia="Calibri"/>
        </w:rPr>
        <w:t xml:space="preserve"> </w:t>
      </w:r>
      <w:r w:rsidR="0007551C" w:rsidRPr="00842260">
        <w:rPr>
          <w:rFonts w:eastAsia="Calibri"/>
        </w:rPr>
        <w:t>noted</w:t>
      </w:r>
      <w:r w:rsidRPr="00842260">
        <w:rPr>
          <w:rFonts w:eastAsia="Calibri"/>
        </w:rPr>
        <w:t xml:space="preserve"> that</w:t>
      </w:r>
      <w:r w:rsidR="0007551C" w:rsidRPr="00842260">
        <w:rPr>
          <w:rFonts w:eastAsia="Calibri"/>
        </w:rPr>
        <w:t xml:space="preserve"> the ITT population included both Cohort 1 (relevant to the target population) and Cohort 2 (irrelevant to the requested population). Cohort 1 constituted most participants (91%) in the trial and had a larger absolute and relative response to </w:t>
      </w:r>
      <w:proofErr w:type="spellStart"/>
      <w:r w:rsidR="0007551C" w:rsidRPr="00842260">
        <w:rPr>
          <w:rFonts w:eastAsia="Calibri"/>
        </w:rPr>
        <w:t>abemaciclib</w:t>
      </w:r>
      <w:proofErr w:type="spellEnd"/>
      <w:r w:rsidR="0007551C" w:rsidRPr="00842260">
        <w:rPr>
          <w:rFonts w:eastAsia="Calibri"/>
        </w:rPr>
        <w:t xml:space="preserve"> than Cohort 2. The PSCR argued that the ITT results are therefore conservative for estimating the benefit of </w:t>
      </w:r>
      <w:proofErr w:type="spellStart"/>
      <w:r w:rsidR="003372F7" w:rsidRPr="00842260">
        <w:rPr>
          <w:rFonts w:eastAsia="Calibri"/>
        </w:rPr>
        <w:t>abemaciclib</w:t>
      </w:r>
      <w:proofErr w:type="spellEnd"/>
      <w:r w:rsidR="0007551C" w:rsidRPr="00842260">
        <w:rPr>
          <w:rFonts w:eastAsia="Calibri"/>
        </w:rPr>
        <w:t xml:space="preserve"> in Cohort 1. </w:t>
      </w:r>
      <w:r w:rsidR="00B91214" w:rsidRPr="00842260">
        <w:rPr>
          <w:rFonts w:eastAsia="Calibri"/>
        </w:rPr>
        <w:t>Notwithstanding, t</w:t>
      </w:r>
      <w:r w:rsidR="0007551C" w:rsidRPr="00842260">
        <w:rPr>
          <w:rFonts w:eastAsia="Calibri"/>
        </w:rPr>
        <w:t xml:space="preserve">he ESC considered that </w:t>
      </w:r>
      <w:r w:rsidR="0091081A" w:rsidRPr="00842260">
        <w:rPr>
          <w:rFonts w:eastAsia="Calibri"/>
        </w:rPr>
        <w:t>it remains unclear</w:t>
      </w:r>
      <w:r w:rsidR="001071A4" w:rsidRPr="00842260">
        <w:rPr>
          <w:rFonts w:eastAsia="Calibri"/>
        </w:rPr>
        <w:t xml:space="preserve"> whether the </w:t>
      </w:r>
      <w:r w:rsidR="0091081A" w:rsidRPr="00842260">
        <w:rPr>
          <w:rFonts w:eastAsia="Calibri"/>
        </w:rPr>
        <w:t>difference observed</w:t>
      </w:r>
      <w:r w:rsidRPr="00842260">
        <w:rPr>
          <w:rFonts w:eastAsia="Calibri"/>
        </w:rPr>
        <w:t xml:space="preserve"> in IDFS</w:t>
      </w:r>
      <w:r w:rsidR="0091081A" w:rsidRPr="00842260">
        <w:rPr>
          <w:rFonts w:eastAsia="Calibri"/>
        </w:rPr>
        <w:t xml:space="preserve"> would translate into</w:t>
      </w:r>
      <w:r w:rsidR="001071A4" w:rsidRPr="00842260">
        <w:rPr>
          <w:rFonts w:eastAsia="Calibri"/>
        </w:rPr>
        <w:t xml:space="preserve"> clinically meaningful</w:t>
      </w:r>
      <w:r w:rsidR="0091081A" w:rsidRPr="00842260">
        <w:rPr>
          <w:rFonts w:eastAsia="Calibri"/>
        </w:rPr>
        <w:t xml:space="preserve"> OS benefit</w:t>
      </w:r>
      <w:r w:rsidR="001071A4" w:rsidRPr="00842260">
        <w:rPr>
          <w:rFonts w:eastAsia="Calibri"/>
        </w:rPr>
        <w:t>.</w:t>
      </w:r>
    </w:p>
    <w:p w14:paraId="3E758CF1" w14:textId="1658A492" w:rsidR="00A705D6" w:rsidRPr="00842260" w:rsidRDefault="00A705D6" w:rsidP="0007551C">
      <w:pPr>
        <w:pStyle w:val="3-BodyText"/>
        <w:rPr>
          <w:rFonts w:eastAsia="Calibri"/>
        </w:rPr>
      </w:pPr>
      <w:r w:rsidRPr="00842260">
        <w:rPr>
          <w:rFonts w:eastAsia="Calibri"/>
        </w:rPr>
        <w:t>T</w:t>
      </w:r>
      <w:r w:rsidR="008374DD" w:rsidRPr="00842260">
        <w:rPr>
          <w:rFonts w:eastAsia="Calibri"/>
        </w:rPr>
        <w:t xml:space="preserve">he pre-PBAC response stated that </w:t>
      </w:r>
      <w:r w:rsidR="008374DD" w:rsidRPr="00842260">
        <w:t xml:space="preserve">the increasing magnitude of numerical effect size over time in the annualised hazard ratios (HR 0.795 [Year 0-1] to HR 0.596 [Year 2+]), in addition to the absolute improvement in IDFS rate at 3 years, confirms the evolution of treatment benefit in the entire observation period, including the benefit beyond the 2-year study treatment period. The PBAC </w:t>
      </w:r>
      <w:r w:rsidR="001B6449" w:rsidRPr="00842260">
        <w:t>noted</w:t>
      </w:r>
      <w:r w:rsidR="008374DD" w:rsidRPr="00842260">
        <w:t xml:space="preserve"> that the annualised HRs indicate</w:t>
      </w:r>
      <w:r w:rsidR="001B6449" w:rsidRPr="00842260">
        <w:t>d</w:t>
      </w:r>
      <w:r w:rsidR="008374DD" w:rsidRPr="00842260">
        <w:t xml:space="preserve"> that the magnitude of effect of </w:t>
      </w:r>
      <w:proofErr w:type="spellStart"/>
      <w:r w:rsidR="008374DD" w:rsidRPr="00842260">
        <w:t>abemaciclib</w:t>
      </w:r>
      <w:proofErr w:type="spellEnd"/>
      <w:r w:rsidR="008374DD" w:rsidRPr="00842260">
        <w:t xml:space="preserve"> in reducing the risk of recurrence increases over</w:t>
      </w:r>
      <w:r w:rsidR="001B6449" w:rsidRPr="00842260">
        <w:t xml:space="preserve"> the</w:t>
      </w:r>
      <w:r w:rsidR="008374DD" w:rsidRPr="00842260">
        <w:t xml:space="preserve"> time</w:t>
      </w:r>
      <w:r w:rsidR="001B6449" w:rsidRPr="00842260">
        <w:t xml:space="preserve"> intervals discussed in the pre-PBAC response</w:t>
      </w:r>
      <w:r w:rsidR="008374DD" w:rsidRPr="00842260">
        <w:t>.</w:t>
      </w:r>
    </w:p>
    <w:p w14:paraId="00E452F5" w14:textId="7561481A" w:rsidR="008A0D00" w:rsidRPr="00842260" w:rsidRDefault="00F03E66" w:rsidP="0007551C">
      <w:pPr>
        <w:pStyle w:val="3-BodyText"/>
        <w:rPr>
          <w:rFonts w:eastAsia="Calibri"/>
        </w:rPr>
      </w:pPr>
      <w:r w:rsidRPr="00842260">
        <w:rPr>
          <w:rFonts w:eastAsia="Calibri"/>
        </w:rPr>
        <w:t>The PBAC noted that the immature OS results meant there would be several years until final reporting, and considered that in the meantime, there was a</w:t>
      </w:r>
      <w:r w:rsidR="00FE5917" w:rsidRPr="00842260">
        <w:rPr>
          <w:rFonts w:eastAsia="Calibri"/>
        </w:rPr>
        <w:t>n</w:t>
      </w:r>
      <w:r w:rsidRPr="00842260">
        <w:rPr>
          <w:rFonts w:eastAsia="Calibri"/>
        </w:rPr>
        <w:t xml:space="preserve"> unclear relationship between IDFS and OS.</w:t>
      </w:r>
      <w:r w:rsidR="001071A4" w:rsidRPr="00842260">
        <w:rPr>
          <w:rFonts w:eastAsia="Calibri"/>
        </w:rPr>
        <w:t xml:space="preserve"> </w:t>
      </w:r>
      <w:r w:rsidR="00912012" w:rsidRPr="00842260">
        <w:rPr>
          <w:szCs w:val="20"/>
        </w:rPr>
        <w:t xml:space="preserve">While there </w:t>
      </w:r>
      <w:r w:rsidRPr="00842260">
        <w:rPr>
          <w:szCs w:val="20"/>
        </w:rPr>
        <w:t>was a relative risk reduction in</w:t>
      </w:r>
      <w:r w:rsidR="00912012" w:rsidRPr="00842260">
        <w:rPr>
          <w:szCs w:val="20"/>
        </w:rPr>
        <w:t xml:space="preserve"> IDFS of 30%, the PBAC questioned whether the absolute difference in IDFS of 3.5% is clinically </w:t>
      </w:r>
      <w:proofErr w:type="gramStart"/>
      <w:r w:rsidR="00912012" w:rsidRPr="00842260">
        <w:rPr>
          <w:szCs w:val="20"/>
        </w:rPr>
        <w:t>meaningful, and</w:t>
      </w:r>
      <w:proofErr w:type="gramEnd"/>
      <w:r w:rsidR="00912012" w:rsidRPr="00842260">
        <w:rPr>
          <w:szCs w:val="20"/>
        </w:rPr>
        <w:t xml:space="preserve"> noted a similar pattern for DRFS.</w:t>
      </w:r>
      <w:r w:rsidR="00CC7EBB" w:rsidRPr="00842260">
        <w:rPr>
          <w:szCs w:val="20"/>
        </w:rPr>
        <w:t xml:space="preserve"> The PBAC noted that </w:t>
      </w:r>
      <w:proofErr w:type="spellStart"/>
      <w:r w:rsidR="00CC7EBB" w:rsidRPr="00842260">
        <w:rPr>
          <w:szCs w:val="20"/>
        </w:rPr>
        <w:t>abemaciclib</w:t>
      </w:r>
      <w:proofErr w:type="spellEnd"/>
      <w:r w:rsidR="00CC7EBB" w:rsidRPr="00842260">
        <w:rPr>
          <w:szCs w:val="20"/>
        </w:rPr>
        <w:t xml:space="preserve"> is </w:t>
      </w:r>
      <w:r w:rsidR="00CC7EBB" w:rsidRPr="00842260">
        <w:rPr>
          <w:szCs w:val="20"/>
        </w:rPr>
        <w:lastRenderedPageBreak/>
        <w:t xml:space="preserve">associated with a smaller absolute risk reduction compared to agents seen previously, such as trastuzumab emtansine for HER2+ early breast cancer. The PBAC concluded that the extent of benefit </w:t>
      </w:r>
      <w:r w:rsidR="00FE5917" w:rsidRPr="00842260">
        <w:rPr>
          <w:szCs w:val="20"/>
        </w:rPr>
        <w:t xml:space="preserve">may be </w:t>
      </w:r>
      <w:r w:rsidR="00CC7EBB" w:rsidRPr="00842260">
        <w:rPr>
          <w:szCs w:val="20"/>
        </w:rPr>
        <w:t>meaningful, as the difference occurs at the highest risk point, which is 2-3 years post diagnosis.</w:t>
      </w:r>
      <w:r w:rsidR="00912012" w:rsidRPr="00842260">
        <w:rPr>
          <w:szCs w:val="20"/>
        </w:rPr>
        <w:t xml:space="preserve"> </w:t>
      </w:r>
      <w:r w:rsidR="00CC7EBB" w:rsidRPr="00842260">
        <w:rPr>
          <w:szCs w:val="20"/>
        </w:rPr>
        <w:t>Overall, t</w:t>
      </w:r>
      <w:r w:rsidR="00912012" w:rsidRPr="00842260">
        <w:rPr>
          <w:iCs/>
        </w:rPr>
        <w:t>he</w:t>
      </w:r>
      <w:r w:rsidR="00912012" w:rsidRPr="00842260">
        <w:rPr>
          <w:szCs w:val="20"/>
        </w:rPr>
        <w:t xml:space="preserve"> PBAC considered that the claim of superior comparative effectiveness was uncertain but supportable.</w:t>
      </w:r>
    </w:p>
    <w:p w14:paraId="6EC630F7" w14:textId="66D5EF0B" w:rsidR="002B4609" w:rsidRPr="00842260" w:rsidRDefault="00E33C7F" w:rsidP="00E33C7F">
      <w:pPr>
        <w:pStyle w:val="3-BodyText"/>
        <w:rPr>
          <w:rFonts w:eastAsia="Calibri"/>
        </w:rPr>
      </w:pPr>
      <w:r w:rsidRPr="00842260">
        <w:rPr>
          <w:rFonts w:eastAsia="Calibri"/>
        </w:rPr>
        <w:t xml:space="preserve">The evaluation noted that </w:t>
      </w:r>
      <w:proofErr w:type="spellStart"/>
      <w:r w:rsidRPr="00842260">
        <w:rPr>
          <w:rFonts w:eastAsia="Calibri"/>
        </w:rPr>
        <w:t>a</w:t>
      </w:r>
      <w:r w:rsidR="001071A4" w:rsidRPr="00842260">
        <w:rPr>
          <w:rFonts w:eastAsia="Calibri"/>
        </w:rPr>
        <w:t>bemaciclib</w:t>
      </w:r>
      <w:proofErr w:type="spellEnd"/>
      <w:r w:rsidR="001071A4" w:rsidRPr="00842260">
        <w:rPr>
          <w:rFonts w:eastAsia="Calibri"/>
        </w:rPr>
        <w:t xml:space="preserve"> in combinatio</w:t>
      </w:r>
      <w:r w:rsidR="0091081A" w:rsidRPr="00842260">
        <w:rPr>
          <w:rFonts w:eastAsia="Calibri"/>
        </w:rPr>
        <w:t xml:space="preserve">n with </w:t>
      </w:r>
      <w:r w:rsidR="008A0D00" w:rsidRPr="00842260">
        <w:rPr>
          <w:rFonts w:eastAsia="Calibri"/>
        </w:rPr>
        <w:t>ET</w:t>
      </w:r>
      <w:r w:rsidR="0091081A" w:rsidRPr="00842260">
        <w:rPr>
          <w:rFonts w:eastAsia="Calibri"/>
        </w:rPr>
        <w:t xml:space="preserve"> appeared to be associated with</w:t>
      </w:r>
      <w:r w:rsidR="001071A4" w:rsidRPr="00842260">
        <w:rPr>
          <w:rFonts w:eastAsia="Calibri"/>
        </w:rPr>
        <w:t xml:space="preserve"> inferior safety compared to </w:t>
      </w:r>
      <w:r w:rsidR="008A0D00" w:rsidRPr="00842260">
        <w:rPr>
          <w:rFonts w:eastAsia="Calibri"/>
        </w:rPr>
        <w:t>ET</w:t>
      </w:r>
      <w:r w:rsidR="001071A4" w:rsidRPr="00842260">
        <w:rPr>
          <w:rFonts w:eastAsia="Calibri"/>
        </w:rPr>
        <w:t xml:space="preserve"> alone. </w:t>
      </w:r>
      <w:r w:rsidR="00885D90" w:rsidRPr="00842260">
        <w:rPr>
          <w:rFonts w:eastAsia="Calibri"/>
          <w:iCs/>
        </w:rPr>
        <w:t>A large percentage of</w:t>
      </w:r>
      <w:r w:rsidR="00613D03" w:rsidRPr="00842260">
        <w:rPr>
          <w:rFonts w:eastAsia="Calibri"/>
          <w:iCs/>
        </w:rPr>
        <w:t xml:space="preserve"> patients </w:t>
      </w:r>
      <w:r w:rsidR="00885D90" w:rsidRPr="00842260">
        <w:rPr>
          <w:rFonts w:eastAsia="Calibri"/>
          <w:iCs/>
        </w:rPr>
        <w:t xml:space="preserve">(49.7%) </w:t>
      </w:r>
      <w:r w:rsidR="00613D03" w:rsidRPr="00842260">
        <w:rPr>
          <w:rFonts w:eastAsia="Calibri"/>
          <w:iCs/>
        </w:rPr>
        <w:t xml:space="preserve">receiving </w:t>
      </w:r>
      <w:proofErr w:type="spellStart"/>
      <w:r w:rsidR="00613D03" w:rsidRPr="00842260">
        <w:rPr>
          <w:rFonts w:eastAsia="Calibri"/>
          <w:iCs/>
        </w:rPr>
        <w:t>abemaciclib</w:t>
      </w:r>
      <w:proofErr w:type="spellEnd"/>
      <w:r w:rsidR="00613D03" w:rsidRPr="00842260">
        <w:rPr>
          <w:rFonts w:eastAsia="Calibri"/>
          <w:iCs/>
        </w:rPr>
        <w:t xml:space="preserve"> had at least one severe adverse event (Grade ≥3), which was over three times the rate of those in the ET arm. </w:t>
      </w:r>
      <w:proofErr w:type="gramStart"/>
      <w:r w:rsidR="00613D03" w:rsidRPr="00842260">
        <w:rPr>
          <w:rFonts w:eastAsia="Calibri"/>
          <w:iCs/>
        </w:rPr>
        <w:t>In particular, grade</w:t>
      </w:r>
      <w:proofErr w:type="gramEnd"/>
      <w:r w:rsidR="00613D03" w:rsidRPr="00842260">
        <w:rPr>
          <w:rFonts w:eastAsia="Calibri"/>
          <w:iCs/>
        </w:rPr>
        <w:t xml:space="preserve"> ≥3 </w:t>
      </w:r>
      <w:proofErr w:type="spellStart"/>
      <w:r w:rsidR="00613D03" w:rsidRPr="00842260">
        <w:rPr>
          <w:rFonts w:eastAsia="Calibri"/>
          <w:iCs/>
        </w:rPr>
        <w:t>neutrop</w:t>
      </w:r>
      <w:r w:rsidR="00C76887" w:rsidRPr="00842260">
        <w:rPr>
          <w:rFonts w:eastAsia="Calibri"/>
          <w:iCs/>
        </w:rPr>
        <w:t>a</w:t>
      </w:r>
      <w:r w:rsidR="00613D03" w:rsidRPr="00842260">
        <w:rPr>
          <w:rFonts w:eastAsia="Calibri"/>
          <w:iCs/>
        </w:rPr>
        <w:t>enia</w:t>
      </w:r>
      <w:proofErr w:type="spellEnd"/>
      <w:r w:rsidR="00613D03" w:rsidRPr="00842260">
        <w:rPr>
          <w:rFonts w:eastAsia="Calibri"/>
          <w:iCs/>
        </w:rPr>
        <w:t xml:space="preserve"> occurred in 19.6% of patients receiving </w:t>
      </w:r>
      <w:proofErr w:type="spellStart"/>
      <w:r w:rsidR="00613D03" w:rsidRPr="00842260">
        <w:rPr>
          <w:rFonts w:eastAsia="Calibri"/>
          <w:iCs/>
        </w:rPr>
        <w:t>abemaciclib</w:t>
      </w:r>
      <w:proofErr w:type="spellEnd"/>
      <w:r w:rsidR="00885D90" w:rsidRPr="00842260">
        <w:rPr>
          <w:rFonts w:eastAsia="Calibri"/>
          <w:iCs/>
        </w:rPr>
        <w:t xml:space="preserve"> compared with</w:t>
      </w:r>
      <w:r w:rsidR="00613D03" w:rsidRPr="00842260">
        <w:rPr>
          <w:rFonts w:eastAsia="Calibri"/>
          <w:iCs/>
        </w:rPr>
        <w:t xml:space="preserve"> 0.8% in the ET arm.</w:t>
      </w:r>
      <w:r w:rsidR="002A0ED1" w:rsidRPr="00842260">
        <w:rPr>
          <w:rFonts w:eastAsia="Calibri"/>
          <w:iCs/>
        </w:rPr>
        <w:t xml:space="preserve"> Further</w:t>
      </w:r>
      <w:r w:rsidR="00A41596" w:rsidRPr="00842260">
        <w:rPr>
          <w:rFonts w:eastAsia="Calibri"/>
          <w:iCs/>
        </w:rPr>
        <w:t xml:space="preserve">, grade </w:t>
      </w:r>
      <w:r w:rsidR="00A41596" w:rsidRPr="00842260">
        <w:rPr>
          <w:rFonts w:eastAsia="Calibri" w:cstheme="minorHAnsi"/>
          <w:iCs/>
        </w:rPr>
        <w:t>≥</w:t>
      </w:r>
      <w:r w:rsidR="00A41596" w:rsidRPr="00842260">
        <w:rPr>
          <w:rFonts w:eastAsia="Calibri"/>
          <w:iCs/>
        </w:rPr>
        <w:t xml:space="preserve">3 diarrhoea occurred in 7.8% of patients in the </w:t>
      </w:r>
      <w:proofErr w:type="spellStart"/>
      <w:r w:rsidR="00A41596" w:rsidRPr="00842260">
        <w:rPr>
          <w:rFonts w:eastAsia="Calibri"/>
          <w:iCs/>
        </w:rPr>
        <w:t>abemaciclib</w:t>
      </w:r>
      <w:proofErr w:type="spellEnd"/>
      <w:r w:rsidR="00A41596" w:rsidRPr="00842260">
        <w:rPr>
          <w:rFonts w:eastAsia="Calibri"/>
          <w:iCs/>
        </w:rPr>
        <w:t xml:space="preserve"> arm compared with 0.2% in the ET arm.</w:t>
      </w:r>
      <w:r w:rsidR="00A41596" w:rsidRPr="00842260">
        <w:rPr>
          <w:rFonts w:eastAsia="Calibri"/>
        </w:rPr>
        <w:t xml:space="preserve"> </w:t>
      </w:r>
      <w:r w:rsidR="00613D03" w:rsidRPr="00842260">
        <w:rPr>
          <w:rFonts w:eastAsia="Calibri"/>
          <w:iCs/>
        </w:rPr>
        <w:t xml:space="preserve">Adverse events caused </w:t>
      </w:r>
      <w:r w:rsidR="00885D90" w:rsidRPr="00842260">
        <w:rPr>
          <w:rFonts w:eastAsia="Calibri"/>
          <w:iCs/>
        </w:rPr>
        <w:t>a large percentage (</w:t>
      </w:r>
      <w:r w:rsidR="00613D03" w:rsidRPr="00842260">
        <w:rPr>
          <w:rFonts w:eastAsia="Calibri"/>
          <w:iCs/>
        </w:rPr>
        <w:t>18.5%</w:t>
      </w:r>
      <w:r w:rsidR="00885D90" w:rsidRPr="00842260">
        <w:rPr>
          <w:rFonts w:eastAsia="Calibri"/>
          <w:iCs/>
        </w:rPr>
        <w:t>)</w:t>
      </w:r>
      <w:r w:rsidR="00613D03" w:rsidRPr="00842260">
        <w:rPr>
          <w:rFonts w:eastAsia="Calibri"/>
          <w:iCs/>
        </w:rPr>
        <w:t xml:space="preserve"> of those in </w:t>
      </w:r>
      <w:r w:rsidR="00A41596" w:rsidRPr="00842260">
        <w:rPr>
          <w:rFonts w:eastAsia="Calibri"/>
          <w:iCs/>
        </w:rPr>
        <w:t xml:space="preserve">the </w:t>
      </w:r>
      <w:proofErr w:type="spellStart"/>
      <w:r w:rsidR="00A41596" w:rsidRPr="00842260">
        <w:rPr>
          <w:rFonts w:eastAsia="Calibri"/>
          <w:iCs/>
        </w:rPr>
        <w:t>abemaciclib</w:t>
      </w:r>
      <w:proofErr w:type="spellEnd"/>
      <w:r w:rsidR="00A41596" w:rsidRPr="00842260">
        <w:rPr>
          <w:rFonts w:eastAsia="Calibri"/>
          <w:iCs/>
        </w:rPr>
        <w:t xml:space="preserve"> arm</w:t>
      </w:r>
      <w:r w:rsidR="00613D03" w:rsidRPr="00842260">
        <w:rPr>
          <w:rFonts w:eastAsia="Calibri"/>
          <w:iCs/>
        </w:rPr>
        <w:t xml:space="preserve"> to discontinue treatment. Most of these patients continued to receive </w:t>
      </w:r>
      <w:r w:rsidR="007A3B4E" w:rsidRPr="00842260">
        <w:rPr>
          <w:rFonts w:eastAsia="Calibri"/>
          <w:iCs/>
        </w:rPr>
        <w:t>ET</w:t>
      </w:r>
      <w:r w:rsidR="00613D03" w:rsidRPr="00842260">
        <w:rPr>
          <w:rFonts w:eastAsia="Calibri"/>
          <w:iCs/>
        </w:rPr>
        <w:t xml:space="preserve">, </w:t>
      </w:r>
      <w:r w:rsidR="00A41596" w:rsidRPr="00842260">
        <w:rPr>
          <w:rFonts w:eastAsia="Calibri"/>
          <w:iCs/>
        </w:rPr>
        <w:t>however</w:t>
      </w:r>
      <w:r w:rsidR="00613D03" w:rsidRPr="00842260">
        <w:rPr>
          <w:rFonts w:eastAsia="Calibri"/>
          <w:iCs/>
        </w:rPr>
        <w:t xml:space="preserve"> 6.5% of patients</w:t>
      </w:r>
      <w:r w:rsidR="000A23EE" w:rsidRPr="00842260">
        <w:rPr>
          <w:rFonts w:eastAsia="Calibri"/>
          <w:iCs/>
        </w:rPr>
        <w:t xml:space="preserve"> in the </w:t>
      </w:r>
      <w:proofErr w:type="spellStart"/>
      <w:r w:rsidR="00967FF2" w:rsidRPr="00842260">
        <w:rPr>
          <w:rFonts w:eastAsia="Calibri"/>
          <w:iCs/>
        </w:rPr>
        <w:t>abemaciclib</w:t>
      </w:r>
      <w:proofErr w:type="spellEnd"/>
      <w:r w:rsidR="000A23EE" w:rsidRPr="00842260">
        <w:rPr>
          <w:rFonts w:eastAsia="Calibri"/>
          <w:iCs/>
        </w:rPr>
        <w:t xml:space="preserve"> arm</w:t>
      </w:r>
      <w:r w:rsidR="00613D03" w:rsidRPr="00842260">
        <w:rPr>
          <w:rFonts w:eastAsia="Calibri"/>
          <w:iCs/>
        </w:rPr>
        <w:t xml:space="preserve"> discontinued both </w:t>
      </w:r>
      <w:proofErr w:type="spellStart"/>
      <w:r w:rsidR="00613D03" w:rsidRPr="00842260">
        <w:rPr>
          <w:rFonts w:eastAsia="Calibri"/>
          <w:iCs/>
        </w:rPr>
        <w:t>abemaciclib</w:t>
      </w:r>
      <w:proofErr w:type="spellEnd"/>
      <w:r w:rsidR="00613D03" w:rsidRPr="00842260">
        <w:rPr>
          <w:rFonts w:eastAsia="Calibri"/>
          <w:iCs/>
        </w:rPr>
        <w:t xml:space="preserve"> and </w:t>
      </w:r>
      <w:r w:rsidR="00A41596" w:rsidRPr="00842260">
        <w:rPr>
          <w:rFonts w:eastAsia="Calibri"/>
          <w:iCs/>
        </w:rPr>
        <w:t>ET</w:t>
      </w:r>
      <w:r w:rsidR="00613D03" w:rsidRPr="00842260">
        <w:rPr>
          <w:rFonts w:eastAsia="Calibri"/>
          <w:iCs/>
        </w:rPr>
        <w:t xml:space="preserve">. </w:t>
      </w:r>
      <w:r w:rsidRPr="00842260">
        <w:rPr>
          <w:rFonts w:eastAsia="Calibri"/>
          <w:iCs/>
        </w:rPr>
        <w:t>T</w:t>
      </w:r>
      <w:r w:rsidR="00195168" w:rsidRPr="00842260">
        <w:rPr>
          <w:rFonts w:eastAsia="Calibri"/>
          <w:iCs/>
        </w:rPr>
        <w:t>he</w:t>
      </w:r>
      <w:r w:rsidRPr="00842260">
        <w:rPr>
          <w:rFonts w:eastAsia="Calibri"/>
          <w:iCs/>
        </w:rPr>
        <w:t xml:space="preserve"> PBAC agreed with the</w:t>
      </w:r>
      <w:r w:rsidR="00195168" w:rsidRPr="00842260">
        <w:rPr>
          <w:rFonts w:eastAsia="Calibri"/>
          <w:iCs/>
        </w:rPr>
        <w:t xml:space="preserve"> ESC that </w:t>
      </w:r>
      <w:r w:rsidRPr="00842260">
        <w:rPr>
          <w:rFonts w:eastAsia="Calibri"/>
          <w:iCs/>
        </w:rPr>
        <w:t xml:space="preserve">while </w:t>
      </w:r>
      <w:proofErr w:type="spellStart"/>
      <w:r w:rsidR="00195168" w:rsidRPr="00842260">
        <w:rPr>
          <w:rFonts w:eastAsia="Calibri"/>
          <w:iCs/>
        </w:rPr>
        <w:t>abemaciclib</w:t>
      </w:r>
      <w:proofErr w:type="spellEnd"/>
      <w:r w:rsidR="00195168" w:rsidRPr="00842260">
        <w:rPr>
          <w:rFonts w:eastAsia="Calibri"/>
          <w:iCs/>
        </w:rPr>
        <w:t xml:space="preserve"> was associated with inferior safety</w:t>
      </w:r>
      <w:r w:rsidRPr="00842260">
        <w:rPr>
          <w:rFonts w:eastAsia="Calibri"/>
          <w:iCs/>
        </w:rPr>
        <w:t>,</w:t>
      </w:r>
      <w:r w:rsidR="00A41596" w:rsidRPr="00842260">
        <w:rPr>
          <w:rFonts w:eastAsia="Calibri"/>
          <w:iCs/>
        </w:rPr>
        <w:t xml:space="preserve"> </w:t>
      </w:r>
      <w:r w:rsidRPr="00842260">
        <w:rPr>
          <w:rFonts w:eastAsia="Calibri"/>
          <w:iCs/>
        </w:rPr>
        <w:t>with a</w:t>
      </w:r>
      <w:r w:rsidR="00A41596" w:rsidRPr="00842260">
        <w:rPr>
          <w:rFonts w:eastAsia="Calibri"/>
          <w:iCs/>
        </w:rPr>
        <w:t xml:space="preserve"> high proportion of </w:t>
      </w:r>
      <w:r w:rsidR="007A3B4E" w:rsidRPr="00842260">
        <w:rPr>
          <w:rFonts w:eastAsia="Calibri"/>
          <w:iCs/>
        </w:rPr>
        <w:t>patients</w:t>
      </w:r>
      <w:r w:rsidR="00A41596" w:rsidRPr="00842260">
        <w:rPr>
          <w:rFonts w:eastAsia="Calibri"/>
          <w:iCs/>
        </w:rPr>
        <w:t xml:space="preserve"> discontinuing treatment</w:t>
      </w:r>
      <w:r w:rsidR="00C76887" w:rsidRPr="00842260">
        <w:rPr>
          <w:rFonts w:eastAsia="Calibri"/>
          <w:iCs/>
        </w:rPr>
        <w:t>,</w:t>
      </w:r>
      <w:r w:rsidR="002A0ED1" w:rsidRPr="00842260">
        <w:rPr>
          <w:rFonts w:eastAsia="Calibri"/>
          <w:iCs/>
        </w:rPr>
        <w:t xml:space="preserve"> there were no new safety signals and</w:t>
      </w:r>
      <w:r w:rsidR="00195168" w:rsidRPr="00842260">
        <w:rPr>
          <w:rFonts w:eastAsia="Calibri"/>
          <w:iCs/>
        </w:rPr>
        <w:t xml:space="preserve"> t</w:t>
      </w:r>
      <w:r w:rsidR="00613D03" w:rsidRPr="00842260">
        <w:rPr>
          <w:rFonts w:eastAsia="Calibri"/>
          <w:iCs/>
        </w:rPr>
        <w:t xml:space="preserve">he safety profile of </w:t>
      </w:r>
      <w:proofErr w:type="spellStart"/>
      <w:r w:rsidR="00613D03" w:rsidRPr="00842260">
        <w:rPr>
          <w:rFonts w:eastAsia="Calibri"/>
          <w:iCs/>
        </w:rPr>
        <w:t>abemaciclib</w:t>
      </w:r>
      <w:proofErr w:type="spellEnd"/>
      <w:r w:rsidR="00613D03" w:rsidRPr="00842260">
        <w:rPr>
          <w:rFonts w:eastAsia="Calibri"/>
          <w:iCs/>
        </w:rPr>
        <w:t xml:space="preserve"> </w:t>
      </w:r>
      <w:r w:rsidR="00C76887" w:rsidRPr="00842260">
        <w:rPr>
          <w:rFonts w:eastAsia="Calibri"/>
          <w:iCs/>
        </w:rPr>
        <w:t>is</w:t>
      </w:r>
      <w:r w:rsidR="00195168" w:rsidRPr="00842260">
        <w:rPr>
          <w:rFonts w:eastAsia="Calibri"/>
          <w:iCs/>
        </w:rPr>
        <w:t xml:space="preserve"> manageable</w:t>
      </w:r>
      <w:r w:rsidRPr="00842260">
        <w:rPr>
          <w:rFonts w:eastAsia="Calibri"/>
          <w:iCs/>
        </w:rPr>
        <w:t xml:space="preserve"> with monitoring and dose modifications</w:t>
      </w:r>
      <w:r w:rsidR="00195168" w:rsidRPr="00842260">
        <w:rPr>
          <w:rFonts w:eastAsia="Calibri"/>
          <w:iCs/>
        </w:rPr>
        <w:t>.</w:t>
      </w:r>
    </w:p>
    <w:p w14:paraId="74A1172E" w14:textId="5AE424D9" w:rsidR="00B60939" w:rsidRPr="00842260" w:rsidRDefault="00B60939" w:rsidP="00E9094A">
      <w:pPr>
        <w:pStyle w:val="4-SubsectionHeading"/>
      </w:pPr>
      <w:bookmarkStart w:id="33" w:name="_Toc22897645"/>
      <w:bookmarkStart w:id="34" w:name="_Toc93502907"/>
      <w:r w:rsidRPr="00842260">
        <w:t>Economic analysis</w:t>
      </w:r>
      <w:bookmarkEnd w:id="33"/>
      <w:bookmarkEnd w:id="34"/>
    </w:p>
    <w:p w14:paraId="17004042" w14:textId="7C949681" w:rsidR="00E1252F" w:rsidRPr="00842260" w:rsidRDefault="00E1252F" w:rsidP="00E1252F">
      <w:pPr>
        <w:pStyle w:val="3-BodyText"/>
        <w:rPr>
          <w:iCs/>
        </w:rPr>
      </w:pPr>
      <w:r w:rsidRPr="00842260">
        <w:t xml:space="preserve">The submission presented a modelled economic evaluation based on the </w:t>
      </w:r>
      <w:proofErr w:type="spellStart"/>
      <w:r w:rsidRPr="00842260">
        <w:t>monarchE</w:t>
      </w:r>
      <w:proofErr w:type="spellEnd"/>
      <w:r w:rsidRPr="00842260">
        <w:t xml:space="preserve"> randomised controlled trial </w:t>
      </w:r>
      <w:r w:rsidR="00C46348" w:rsidRPr="00842260">
        <w:t>with the addition of health states in the model that drew on a separate economic evaluation that was based on the MONARCH-2 and MONARC</w:t>
      </w:r>
      <w:r w:rsidR="00195AB6" w:rsidRPr="00842260">
        <w:t>H</w:t>
      </w:r>
      <w:r w:rsidR="00C46348" w:rsidRPr="00842260">
        <w:t>-3 trials (and associated network meta</w:t>
      </w:r>
      <w:r w:rsidR="000C578F" w:rsidRPr="00842260">
        <w:t>-</w:t>
      </w:r>
      <w:r w:rsidR="00C46348" w:rsidRPr="00842260">
        <w:t>analyses)</w:t>
      </w:r>
      <w:r w:rsidRPr="00842260">
        <w:t>. The type of economic evaluation presented was a cost-utility analysis. The submission did not present a stepped economic evaluation</w:t>
      </w:r>
      <w:r w:rsidR="00306F54" w:rsidRPr="00842260">
        <w:t>, which the evaluation considered</w:t>
      </w:r>
      <w:r w:rsidRPr="00842260">
        <w:t xml:space="preserve"> was </w:t>
      </w:r>
      <w:r w:rsidR="009C077F" w:rsidRPr="00842260">
        <w:t>not reasonable as the analysis wa</w:t>
      </w:r>
      <w:r w:rsidRPr="00842260">
        <w:t xml:space="preserve">s highly dependent on modelled assumptions, including extrapolation of IDFS and generation of outcomes in metastatic recurrence. The key components of the economic evaluation comparing </w:t>
      </w:r>
      <w:proofErr w:type="spellStart"/>
      <w:r w:rsidR="00B50ADE" w:rsidRPr="00842260">
        <w:t>abemaciclib</w:t>
      </w:r>
      <w:proofErr w:type="spellEnd"/>
      <w:r w:rsidRPr="00842260">
        <w:t> </w:t>
      </w:r>
      <w:r w:rsidR="00C7333E" w:rsidRPr="00842260">
        <w:rPr>
          <w:iCs/>
        </w:rPr>
        <w:t>in combination with</w:t>
      </w:r>
      <w:r w:rsidRPr="00842260">
        <w:t xml:space="preserve"> ET with ET alone are summarised </w:t>
      </w:r>
      <w:r w:rsidR="00137BE9" w:rsidRPr="00842260">
        <w:rPr>
          <w:iCs/>
        </w:rPr>
        <w:t xml:space="preserve">in </w:t>
      </w:r>
      <w:r w:rsidR="00137BE9" w:rsidRPr="00842260">
        <w:rPr>
          <w:iCs/>
        </w:rPr>
        <w:fldChar w:fldCharType="begin"/>
      </w:r>
      <w:r w:rsidR="00137BE9" w:rsidRPr="00842260">
        <w:rPr>
          <w:iCs/>
        </w:rPr>
        <w:instrText xml:space="preserve"> REF _Ref95902157 \h  \* MERGEFORMAT </w:instrText>
      </w:r>
      <w:r w:rsidR="00137BE9" w:rsidRPr="00842260">
        <w:rPr>
          <w:iCs/>
        </w:rPr>
      </w:r>
      <w:r w:rsidR="00137BE9" w:rsidRPr="00842260">
        <w:rPr>
          <w:iCs/>
        </w:rPr>
        <w:fldChar w:fldCharType="separate"/>
      </w:r>
      <w:r w:rsidR="00053218" w:rsidRPr="00053218">
        <w:rPr>
          <w:iCs/>
        </w:rPr>
        <w:t>Table 7</w:t>
      </w:r>
      <w:r w:rsidR="00137BE9" w:rsidRPr="00842260">
        <w:rPr>
          <w:iCs/>
        </w:rPr>
        <w:fldChar w:fldCharType="end"/>
      </w:r>
      <w:r w:rsidRPr="00842260">
        <w:rPr>
          <w:iCs/>
        </w:rPr>
        <w:t>.</w:t>
      </w:r>
    </w:p>
    <w:p w14:paraId="15A9AFA4" w14:textId="374C07BB" w:rsidR="00275C5A" w:rsidRPr="00842260" w:rsidRDefault="00AA50A0" w:rsidP="00641FB3">
      <w:pPr>
        <w:pStyle w:val="TableFigureHeading"/>
        <w:rPr>
          <w:rStyle w:val="CommentReference"/>
          <w:b/>
          <w:szCs w:val="24"/>
        </w:rPr>
      </w:pPr>
      <w:bookmarkStart w:id="35" w:name="_Ref95902157"/>
      <w:r w:rsidRPr="00842260">
        <w:lastRenderedPageBreak/>
        <w:t xml:space="preserve">Table </w:t>
      </w:r>
      <w:fldSimple w:instr=" SEQ Table \* ARABIC ">
        <w:r w:rsidR="00053218">
          <w:rPr>
            <w:noProof/>
          </w:rPr>
          <w:t>7</w:t>
        </w:r>
      </w:fldSimple>
      <w:bookmarkEnd w:id="35"/>
      <w:r w:rsidRPr="00842260">
        <w:rPr>
          <w:rStyle w:val="CommentReference"/>
          <w:b/>
          <w:szCs w:val="24"/>
        </w:rPr>
        <w:t xml:space="preserve">: </w:t>
      </w:r>
      <w:r w:rsidR="00275C5A" w:rsidRPr="00842260">
        <w:rPr>
          <w:rStyle w:val="CommentReference"/>
          <w:b/>
          <w:szCs w:val="24"/>
        </w:rPr>
        <w:t>Summary of model structure</w:t>
      </w:r>
      <w:r w:rsidR="00184B0E" w:rsidRPr="00842260">
        <w:rPr>
          <w:rStyle w:val="CommentReference"/>
          <w:b/>
          <w:szCs w:val="24"/>
        </w:rPr>
        <w:t xml:space="preserve">, key </w:t>
      </w:r>
      <w:proofErr w:type="gramStart"/>
      <w:r w:rsidR="00184B0E" w:rsidRPr="00842260">
        <w:rPr>
          <w:rStyle w:val="CommentReference"/>
          <w:b/>
          <w:szCs w:val="24"/>
        </w:rPr>
        <w:t>inputs</w:t>
      </w:r>
      <w:proofErr w:type="gramEnd"/>
      <w:r w:rsidR="00275C5A" w:rsidRPr="00842260">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275C5A" w:rsidRPr="00842260" w14:paraId="48BB958D" w14:textId="77777777" w:rsidTr="00C86E57">
        <w:trPr>
          <w:tblHeader/>
        </w:trPr>
        <w:tc>
          <w:tcPr>
            <w:tcW w:w="784" w:type="pct"/>
            <w:shd w:val="clear" w:color="auto" w:fill="auto"/>
            <w:vAlign w:val="center"/>
          </w:tcPr>
          <w:p w14:paraId="29C3D629" w14:textId="77777777" w:rsidR="00275C5A" w:rsidRPr="00842260" w:rsidRDefault="00275C5A" w:rsidP="00641FB3">
            <w:pPr>
              <w:pStyle w:val="In-tableHeading"/>
              <w:rPr>
                <w:lang w:val="en-AU"/>
              </w:rPr>
            </w:pPr>
            <w:r w:rsidRPr="00842260">
              <w:rPr>
                <w:lang w:val="en-AU"/>
              </w:rPr>
              <w:t>Component</w:t>
            </w:r>
          </w:p>
        </w:tc>
        <w:tc>
          <w:tcPr>
            <w:tcW w:w="4216" w:type="pct"/>
            <w:shd w:val="clear" w:color="auto" w:fill="auto"/>
            <w:vAlign w:val="center"/>
          </w:tcPr>
          <w:p w14:paraId="58FBA37B" w14:textId="77777777" w:rsidR="00275C5A" w:rsidRPr="00842260" w:rsidRDefault="00275C5A" w:rsidP="00641FB3">
            <w:pPr>
              <w:pStyle w:val="In-tableHeading"/>
              <w:rPr>
                <w:lang w:val="en-AU"/>
              </w:rPr>
            </w:pPr>
            <w:r w:rsidRPr="00842260">
              <w:rPr>
                <w:lang w:val="en-AU"/>
              </w:rPr>
              <w:t>Summary</w:t>
            </w:r>
          </w:p>
        </w:tc>
      </w:tr>
      <w:tr w:rsidR="00E1252F" w:rsidRPr="00842260" w14:paraId="7476B2FD" w14:textId="77777777" w:rsidTr="00C86E57">
        <w:tc>
          <w:tcPr>
            <w:tcW w:w="784" w:type="pct"/>
            <w:shd w:val="clear" w:color="auto" w:fill="auto"/>
            <w:vAlign w:val="center"/>
          </w:tcPr>
          <w:p w14:paraId="5FA8442E" w14:textId="2BAD74A7" w:rsidR="00E1252F" w:rsidRPr="00842260" w:rsidRDefault="00E1252F" w:rsidP="00E1252F">
            <w:pPr>
              <w:pStyle w:val="TableText0"/>
            </w:pPr>
            <w:r w:rsidRPr="00842260">
              <w:t>Treatments</w:t>
            </w:r>
          </w:p>
        </w:tc>
        <w:tc>
          <w:tcPr>
            <w:tcW w:w="4216" w:type="pct"/>
            <w:shd w:val="clear" w:color="auto" w:fill="auto"/>
            <w:vAlign w:val="center"/>
          </w:tcPr>
          <w:p w14:paraId="554C8AD3" w14:textId="7B7E31D6" w:rsidR="00E1252F" w:rsidRPr="00842260" w:rsidRDefault="00E1252F" w:rsidP="00E1252F">
            <w:pPr>
              <w:pStyle w:val="TableText0"/>
            </w:pPr>
            <w:proofErr w:type="spellStart"/>
            <w:r w:rsidRPr="00842260">
              <w:t>Abemaciclib</w:t>
            </w:r>
            <w:proofErr w:type="spellEnd"/>
            <w:r w:rsidRPr="00842260">
              <w:t> + ET vs ET</w:t>
            </w:r>
          </w:p>
        </w:tc>
      </w:tr>
      <w:tr w:rsidR="00E1252F" w:rsidRPr="00842260" w14:paraId="6A8D84D4" w14:textId="77777777" w:rsidTr="00C86E57">
        <w:tc>
          <w:tcPr>
            <w:tcW w:w="784" w:type="pct"/>
            <w:shd w:val="clear" w:color="auto" w:fill="auto"/>
            <w:vAlign w:val="center"/>
          </w:tcPr>
          <w:p w14:paraId="5F652354" w14:textId="5AB0D7BA" w:rsidR="00E1252F" w:rsidRPr="00842260" w:rsidRDefault="00E1252F" w:rsidP="00E1252F">
            <w:pPr>
              <w:pStyle w:val="TableText0"/>
            </w:pPr>
            <w:r w:rsidRPr="00842260">
              <w:t>Time horizon</w:t>
            </w:r>
          </w:p>
        </w:tc>
        <w:tc>
          <w:tcPr>
            <w:tcW w:w="4216" w:type="pct"/>
            <w:shd w:val="clear" w:color="auto" w:fill="auto"/>
            <w:vAlign w:val="center"/>
          </w:tcPr>
          <w:p w14:paraId="460936F1" w14:textId="218D34D4" w:rsidR="00E1252F" w:rsidRPr="00842260" w:rsidRDefault="00E1252F" w:rsidP="00C7505A">
            <w:pPr>
              <w:pStyle w:val="TableText0"/>
              <w:rPr>
                <w:i/>
                <w:iCs/>
              </w:rPr>
            </w:pPr>
            <w:r w:rsidRPr="00842260">
              <w:t xml:space="preserve">40 years in the model base case versus 27 months median follow-up in the </w:t>
            </w:r>
            <w:proofErr w:type="spellStart"/>
            <w:r w:rsidRPr="00842260">
              <w:t>monarchE</w:t>
            </w:r>
            <w:proofErr w:type="spellEnd"/>
            <w:r w:rsidRPr="00842260">
              <w:t xml:space="preserve"> trial</w:t>
            </w:r>
            <w:r w:rsidR="00F75B33" w:rsidRPr="00842260">
              <w:t xml:space="preserve">. </w:t>
            </w:r>
            <w:r w:rsidR="00142983" w:rsidRPr="00842260">
              <w:rPr>
                <w:iCs/>
              </w:rPr>
              <w:t>The</w:t>
            </w:r>
            <w:r w:rsidR="00142983" w:rsidRPr="00842260">
              <w:t xml:space="preserve"> </w:t>
            </w:r>
            <w:r w:rsidR="00E96E31" w:rsidRPr="00842260">
              <w:t>PBAC previously considered that a</w:t>
            </w:r>
            <w:r w:rsidR="00F75B33" w:rsidRPr="00842260">
              <w:t xml:space="preserve"> </w:t>
            </w:r>
            <w:proofErr w:type="gramStart"/>
            <w:r w:rsidR="00F75B33" w:rsidRPr="00842260">
              <w:t>20 year</w:t>
            </w:r>
            <w:proofErr w:type="gramEnd"/>
            <w:r w:rsidR="00F75B33" w:rsidRPr="00842260">
              <w:t xml:space="preserve"> time horizon may be more reasonable, given the average age at diagnosis of </w:t>
            </w:r>
            <w:r w:rsidR="00C7505A" w:rsidRPr="00842260">
              <w:t>early breast cancer</w:t>
            </w:r>
            <w:r w:rsidR="00F75B33" w:rsidRPr="00842260">
              <w:t xml:space="preserve"> in Australia is 61.4 years (p</w:t>
            </w:r>
            <w:r w:rsidR="00383822" w:rsidRPr="00842260">
              <w:t>ara 6.36, Trastuzumab emtansine</w:t>
            </w:r>
            <w:r w:rsidR="00F75B33" w:rsidRPr="00842260">
              <w:t xml:space="preserve"> PSD, Nov 2019 PBAC meeting)</w:t>
            </w:r>
            <w:r w:rsidR="00142983" w:rsidRPr="00842260">
              <w:t xml:space="preserve">. </w:t>
            </w:r>
            <w:r w:rsidR="00142983" w:rsidRPr="00842260">
              <w:rPr>
                <w:iCs/>
              </w:rPr>
              <w:t>Due to</w:t>
            </w:r>
            <w:r w:rsidR="006A3902" w:rsidRPr="00842260">
              <w:rPr>
                <w:iCs/>
              </w:rPr>
              <w:t xml:space="preserve"> the</w:t>
            </w:r>
            <w:r w:rsidR="00142983" w:rsidRPr="00842260">
              <w:rPr>
                <w:iCs/>
              </w:rPr>
              <w:t xml:space="preserve"> uncertain extrapolation</w:t>
            </w:r>
            <w:r w:rsidR="006A3902" w:rsidRPr="00842260">
              <w:rPr>
                <w:iCs/>
              </w:rPr>
              <w:t xml:space="preserve"> of IDFS</w:t>
            </w:r>
            <w:r w:rsidR="00142983" w:rsidRPr="00842260">
              <w:rPr>
                <w:iCs/>
              </w:rPr>
              <w:t xml:space="preserve"> in the base case of the economic model and the average age at diagnosis in Australia, the ESC agreed</w:t>
            </w:r>
            <w:r w:rsidR="003B035B" w:rsidRPr="00842260">
              <w:rPr>
                <w:iCs/>
              </w:rPr>
              <w:t xml:space="preserve"> with the evaluation</w:t>
            </w:r>
            <w:r w:rsidR="00142983" w:rsidRPr="00842260">
              <w:rPr>
                <w:iCs/>
              </w:rPr>
              <w:t xml:space="preserve"> that a </w:t>
            </w:r>
            <w:proofErr w:type="gramStart"/>
            <w:r w:rsidR="00142983" w:rsidRPr="00842260">
              <w:rPr>
                <w:iCs/>
              </w:rPr>
              <w:t>20 year</w:t>
            </w:r>
            <w:proofErr w:type="gramEnd"/>
            <w:r w:rsidR="00142983" w:rsidRPr="00842260">
              <w:rPr>
                <w:iCs/>
              </w:rPr>
              <w:t xml:space="preserve"> time horizon </w:t>
            </w:r>
            <w:r w:rsidR="006A3902" w:rsidRPr="00842260">
              <w:rPr>
                <w:iCs/>
              </w:rPr>
              <w:t>would</w:t>
            </w:r>
            <w:r w:rsidR="00142983" w:rsidRPr="00842260">
              <w:rPr>
                <w:iCs/>
              </w:rPr>
              <w:t xml:space="preserve"> be more reasonable.</w:t>
            </w:r>
          </w:p>
        </w:tc>
      </w:tr>
      <w:tr w:rsidR="00E1252F" w:rsidRPr="00842260" w14:paraId="003209BF" w14:textId="77777777" w:rsidTr="00C86E57">
        <w:tc>
          <w:tcPr>
            <w:tcW w:w="784" w:type="pct"/>
            <w:shd w:val="clear" w:color="auto" w:fill="auto"/>
            <w:vAlign w:val="center"/>
          </w:tcPr>
          <w:p w14:paraId="522DAB95" w14:textId="2185DBE2" w:rsidR="00E1252F" w:rsidRPr="00842260" w:rsidRDefault="00E1252F" w:rsidP="00E1252F">
            <w:pPr>
              <w:pStyle w:val="TableText0"/>
            </w:pPr>
            <w:r w:rsidRPr="00842260">
              <w:t>Outcomes</w:t>
            </w:r>
          </w:p>
        </w:tc>
        <w:tc>
          <w:tcPr>
            <w:tcW w:w="4216" w:type="pct"/>
            <w:shd w:val="clear" w:color="auto" w:fill="auto"/>
            <w:vAlign w:val="center"/>
          </w:tcPr>
          <w:p w14:paraId="3D1C428E" w14:textId="71F3760D" w:rsidR="00E1252F" w:rsidRPr="00842260" w:rsidRDefault="00E1252F" w:rsidP="00E1252F">
            <w:pPr>
              <w:pStyle w:val="TableText0"/>
            </w:pPr>
            <w:r w:rsidRPr="00842260">
              <w:t>QALYs</w:t>
            </w:r>
          </w:p>
        </w:tc>
      </w:tr>
      <w:tr w:rsidR="00E1252F" w:rsidRPr="00842260" w14:paraId="29120B3F" w14:textId="77777777" w:rsidTr="00C86E57">
        <w:tc>
          <w:tcPr>
            <w:tcW w:w="784" w:type="pct"/>
            <w:shd w:val="clear" w:color="auto" w:fill="auto"/>
            <w:vAlign w:val="center"/>
          </w:tcPr>
          <w:p w14:paraId="1AAC94CB" w14:textId="6596BF73" w:rsidR="00E1252F" w:rsidRPr="00842260" w:rsidRDefault="00E1252F" w:rsidP="00E1252F">
            <w:pPr>
              <w:pStyle w:val="TableText0"/>
            </w:pPr>
            <w:r w:rsidRPr="00842260">
              <w:t>Methods used to generate results</w:t>
            </w:r>
          </w:p>
        </w:tc>
        <w:tc>
          <w:tcPr>
            <w:tcW w:w="4216" w:type="pct"/>
            <w:shd w:val="clear" w:color="auto" w:fill="auto"/>
            <w:vAlign w:val="center"/>
          </w:tcPr>
          <w:p w14:paraId="69D4F042" w14:textId="7E15D9F8" w:rsidR="00E1252F" w:rsidRPr="00842260" w:rsidRDefault="00E1252F" w:rsidP="00E1252F">
            <w:pPr>
              <w:pStyle w:val="TableText0"/>
            </w:pPr>
            <w:r w:rsidRPr="00842260">
              <w:t>Cohort expected value analysis (Markov model)</w:t>
            </w:r>
          </w:p>
        </w:tc>
      </w:tr>
      <w:tr w:rsidR="00E1252F" w:rsidRPr="00842260" w14:paraId="7F7ACECA" w14:textId="77777777" w:rsidTr="00C86E57">
        <w:tc>
          <w:tcPr>
            <w:tcW w:w="784" w:type="pct"/>
            <w:shd w:val="clear" w:color="auto" w:fill="auto"/>
            <w:vAlign w:val="center"/>
          </w:tcPr>
          <w:p w14:paraId="344631D3" w14:textId="74DE8475" w:rsidR="00E1252F" w:rsidRPr="00842260" w:rsidRDefault="00E1252F" w:rsidP="00E1252F">
            <w:pPr>
              <w:pStyle w:val="TableText0"/>
            </w:pPr>
            <w:r w:rsidRPr="00842260">
              <w:t>Health states</w:t>
            </w:r>
          </w:p>
        </w:tc>
        <w:tc>
          <w:tcPr>
            <w:tcW w:w="4216" w:type="pct"/>
            <w:shd w:val="clear" w:color="auto" w:fill="auto"/>
            <w:vAlign w:val="center"/>
          </w:tcPr>
          <w:p w14:paraId="03F23F80" w14:textId="75231841" w:rsidR="00E1252F" w:rsidRPr="00842260" w:rsidRDefault="00E1252F" w:rsidP="003567BD">
            <w:pPr>
              <w:pStyle w:val="TableText0"/>
              <w:rPr>
                <w:i/>
                <w:iCs/>
              </w:rPr>
            </w:pPr>
            <w:r w:rsidRPr="00842260">
              <w:t xml:space="preserve">Five health states: Invasive </w:t>
            </w:r>
            <w:proofErr w:type="gramStart"/>
            <w:r w:rsidRPr="00842260">
              <w:t>disease free</w:t>
            </w:r>
            <w:proofErr w:type="gramEnd"/>
            <w:r w:rsidRPr="00842260">
              <w:t xml:space="preserve"> survival; Non-metastatic recurrence (including three sub-states: second primary neoplasm [a], locoregional recurrence and contralateral recurrence); Remission; Metastatic recurrence (including two sub-states: endocrine-resistant and endocrine-sensitive) [a]; and Dead [a]</w:t>
            </w:r>
            <w:r w:rsidR="00F75B33" w:rsidRPr="00842260">
              <w:t xml:space="preserve">. </w:t>
            </w:r>
            <w:bookmarkStart w:id="36" w:name="_Hlk104474133"/>
            <w:r w:rsidR="00F75B33" w:rsidRPr="00842260">
              <w:t>The rationale for separating the non-metastatic recurrence health state was not clear.</w:t>
            </w:r>
            <w:r w:rsidR="00142983" w:rsidRPr="00842260">
              <w:t xml:space="preserve"> </w:t>
            </w:r>
            <w:bookmarkEnd w:id="36"/>
            <w:r w:rsidR="00142983" w:rsidRPr="00842260">
              <w:rPr>
                <w:iCs/>
              </w:rPr>
              <w:t xml:space="preserve">The ESC agreed that the two metastatic recurrence sub-states </w:t>
            </w:r>
            <w:r w:rsidR="006A3902" w:rsidRPr="00842260">
              <w:rPr>
                <w:iCs/>
              </w:rPr>
              <w:t>in the economic model</w:t>
            </w:r>
            <w:r w:rsidR="00142983" w:rsidRPr="00842260">
              <w:rPr>
                <w:iCs/>
              </w:rPr>
              <w:t xml:space="preserve"> added unwarranted complexity and was not justified</w:t>
            </w:r>
            <w:r w:rsidR="003B0840" w:rsidRPr="00842260">
              <w:rPr>
                <w:iCs/>
              </w:rPr>
              <w:t>.</w:t>
            </w:r>
          </w:p>
        </w:tc>
      </w:tr>
      <w:tr w:rsidR="00E1252F" w:rsidRPr="00842260" w14:paraId="7F944EEA" w14:textId="77777777" w:rsidTr="00C86E57">
        <w:tc>
          <w:tcPr>
            <w:tcW w:w="784" w:type="pct"/>
            <w:shd w:val="clear" w:color="auto" w:fill="auto"/>
            <w:vAlign w:val="center"/>
          </w:tcPr>
          <w:p w14:paraId="255C0B8D" w14:textId="0C6DC7F6" w:rsidR="00E1252F" w:rsidRPr="00842260" w:rsidRDefault="00E1252F" w:rsidP="00E1252F">
            <w:pPr>
              <w:pStyle w:val="TableText0"/>
            </w:pPr>
            <w:r w:rsidRPr="00842260">
              <w:t>Cycle length</w:t>
            </w:r>
          </w:p>
        </w:tc>
        <w:tc>
          <w:tcPr>
            <w:tcW w:w="4216" w:type="pct"/>
            <w:shd w:val="clear" w:color="auto" w:fill="auto"/>
            <w:vAlign w:val="center"/>
          </w:tcPr>
          <w:p w14:paraId="5733F6EA" w14:textId="1DF5BE49" w:rsidR="00E1252F" w:rsidRPr="00842260" w:rsidRDefault="00E1252F" w:rsidP="00E1252F">
            <w:pPr>
              <w:pStyle w:val="TableText0"/>
            </w:pPr>
            <w:r w:rsidRPr="00842260">
              <w:t>28 days</w:t>
            </w:r>
          </w:p>
        </w:tc>
      </w:tr>
      <w:tr w:rsidR="00E1252F" w:rsidRPr="00842260" w14:paraId="6EFF7035" w14:textId="77777777" w:rsidTr="00C86E57">
        <w:tc>
          <w:tcPr>
            <w:tcW w:w="784" w:type="pct"/>
            <w:shd w:val="clear" w:color="auto" w:fill="auto"/>
            <w:vAlign w:val="center"/>
          </w:tcPr>
          <w:p w14:paraId="77A45407" w14:textId="2AE5A54B" w:rsidR="00E1252F" w:rsidRPr="00842260" w:rsidRDefault="00E1252F" w:rsidP="00E1252F">
            <w:pPr>
              <w:pStyle w:val="TableText0"/>
            </w:pPr>
            <w:r w:rsidRPr="00842260">
              <w:t>Transition probabilities</w:t>
            </w:r>
          </w:p>
        </w:tc>
        <w:tc>
          <w:tcPr>
            <w:tcW w:w="4216" w:type="pct"/>
            <w:shd w:val="clear" w:color="auto" w:fill="auto"/>
            <w:vAlign w:val="center"/>
          </w:tcPr>
          <w:p w14:paraId="1BF9D9C3" w14:textId="43683045" w:rsidR="00E1252F" w:rsidRPr="00842260" w:rsidRDefault="00E1252F" w:rsidP="00E1252F">
            <w:pPr>
              <w:pStyle w:val="TableText0"/>
              <w:keepNext w:val="0"/>
            </w:pPr>
            <w:r w:rsidRPr="00842260">
              <w:t xml:space="preserve">IDFS, recurrence type, OS without metastatic recurrence and TTD were sourced from </w:t>
            </w:r>
            <w:proofErr w:type="spellStart"/>
            <w:r w:rsidRPr="00842260">
              <w:t>monarchE</w:t>
            </w:r>
            <w:proofErr w:type="spellEnd"/>
            <w:r w:rsidRPr="00842260">
              <w:t>. The probability of recurrence in remission was based on Hamilton (2015)</w:t>
            </w:r>
            <w:r w:rsidR="0055314C" w:rsidRPr="00842260">
              <w:t xml:space="preserve">. </w:t>
            </w:r>
          </w:p>
          <w:p w14:paraId="53896C89" w14:textId="77777777" w:rsidR="00E1252F" w:rsidRPr="00842260" w:rsidRDefault="00E1252F" w:rsidP="009C077F">
            <w:pPr>
              <w:pStyle w:val="TableText0"/>
            </w:pPr>
            <w:bookmarkStart w:id="37" w:name="_Hlk104474277"/>
            <w:r w:rsidRPr="00842260">
              <w:t>As metastatic recurrence was modelled as an absorbing health state, one-off costs and QALYs were applied on transition</w:t>
            </w:r>
            <w:r w:rsidR="0055314C" w:rsidRPr="00842260">
              <w:t xml:space="preserve">, </w:t>
            </w:r>
            <w:r w:rsidR="009C077F" w:rsidRPr="00842260">
              <w:t>based on LYs (</w:t>
            </w:r>
            <w:r w:rsidRPr="00842260">
              <w:t>by progression status</w:t>
            </w:r>
            <w:r w:rsidR="009C077F" w:rsidRPr="00842260">
              <w:t>)</w:t>
            </w:r>
            <w:r w:rsidRPr="00842260">
              <w:t xml:space="preserve"> generated in</w:t>
            </w:r>
            <w:r w:rsidR="009C077F" w:rsidRPr="00842260">
              <w:t xml:space="preserve"> analyses </w:t>
            </w:r>
            <w:r w:rsidRPr="00842260">
              <w:t xml:space="preserve">of </w:t>
            </w:r>
            <w:proofErr w:type="spellStart"/>
            <w:r w:rsidRPr="00842260">
              <w:t>abemaciclib</w:t>
            </w:r>
            <w:proofErr w:type="spellEnd"/>
            <w:r w:rsidRPr="00842260">
              <w:t xml:space="preserve"> in the metastatic setting for each first-line metast</w:t>
            </w:r>
            <w:r w:rsidR="0055314C" w:rsidRPr="00842260">
              <w:t>atic treatment option included</w:t>
            </w:r>
            <w:r w:rsidR="007C50C5" w:rsidRPr="00842260">
              <w:t>. These were</w:t>
            </w:r>
            <w:r w:rsidRPr="00842260">
              <w:t xml:space="preserve"> weighted by the distribution of use with and without </w:t>
            </w:r>
            <w:proofErr w:type="spellStart"/>
            <w:r w:rsidRPr="00842260">
              <w:t>abema</w:t>
            </w:r>
            <w:r w:rsidR="0055314C" w:rsidRPr="00842260">
              <w:t>ciclib</w:t>
            </w:r>
            <w:proofErr w:type="spellEnd"/>
            <w:r w:rsidR="0055314C" w:rsidRPr="00842260">
              <w:t xml:space="preserve"> in the adjuvant setting.</w:t>
            </w:r>
            <w:r w:rsidR="00F75B33" w:rsidRPr="00842260">
              <w:t xml:space="preserve"> </w:t>
            </w:r>
          </w:p>
          <w:bookmarkEnd w:id="37"/>
          <w:p w14:paraId="76387578" w14:textId="5815D2D7" w:rsidR="000D61CA" w:rsidRPr="00842260" w:rsidRDefault="000D61CA" w:rsidP="009C077F">
            <w:pPr>
              <w:pStyle w:val="TableText0"/>
              <w:rPr>
                <w:i/>
                <w:iCs/>
              </w:rPr>
            </w:pPr>
            <w:r w:rsidRPr="00842260">
              <w:rPr>
                <w:iCs/>
              </w:rPr>
              <w:t>The ESC advised that the one-off costs and QALYs applied on transition to the metastatic recurrence sub-states</w:t>
            </w:r>
            <w:r w:rsidRPr="00842260">
              <w:t xml:space="preserve"> </w:t>
            </w:r>
            <w:r w:rsidR="00497307" w:rsidRPr="00842260">
              <w:t>was</w:t>
            </w:r>
            <w:r w:rsidRPr="00842260">
              <w:t xml:space="preserve"> not justified</w:t>
            </w:r>
            <w:r w:rsidR="005136B1" w:rsidRPr="00842260">
              <w:t xml:space="preserve"> due to transitivity issues</w:t>
            </w:r>
            <w:r w:rsidRPr="00842260">
              <w:t xml:space="preserve">. </w:t>
            </w:r>
          </w:p>
        </w:tc>
      </w:tr>
      <w:tr w:rsidR="00E1252F" w:rsidRPr="00842260" w14:paraId="0BC5FD61" w14:textId="77777777" w:rsidTr="00C86E57">
        <w:tc>
          <w:tcPr>
            <w:tcW w:w="784" w:type="pct"/>
            <w:shd w:val="clear" w:color="auto" w:fill="auto"/>
            <w:vAlign w:val="center"/>
          </w:tcPr>
          <w:p w14:paraId="3EE19BE5" w14:textId="20A4B18F" w:rsidR="00E1252F" w:rsidRPr="00842260" w:rsidRDefault="00E1252F" w:rsidP="00E1252F">
            <w:pPr>
              <w:pStyle w:val="TableText0"/>
            </w:pPr>
            <w:r w:rsidRPr="00842260">
              <w:t>Extrapolation method</w:t>
            </w:r>
          </w:p>
        </w:tc>
        <w:tc>
          <w:tcPr>
            <w:tcW w:w="4216" w:type="pct"/>
            <w:shd w:val="clear" w:color="auto" w:fill="auto"/>
          </w:tcPr>
          <w:p w14:paraId="62969FCE" w14:textId="27D5B7EC" w:rsidR="00E1252F" w:rsidRPr="00842260" w:rsidRDefault="0055314C" w:rsidP="00E1252F">
            <w:pPr>
              <w:pStyle w:val="TableText0"/>
              <w:keepNext w:val="0"/>
            </w:pPr>
            <w:r w:rsidRPr="00842260">
              <w:t>Observed</w:t>
            </w:r>
            <w:r w:rsidR="009C077F" w:rsidRPr="00842260">
              <w:t xml:space="preserve"> KM data were used in the model</w:t>
            </w:r>
            <w:r w:rsidRPr="00842260">
              <w:t xml:space="preserve"> with </w:t>
            </w:r>
            <w:r w:rsidR="00F75B33" w:rsidRPr="00842260">
              <w:t xml:space="preserve">extrapolation of </w:t>
            </w:r>
            <w:proofErr w:type="spellStart"/>
            <w:r w:rsidR="00E1252F" w:rsidRPr="00842260">
              <w:t>monarchE</w:t>
            </w:r>
            <w:proofErr w:type="spellEnd"/>
            <w:r w:rsidR="00E1252F" w:rsidRPr="00842260">
              <w:t xml:space="preserve"> KM IDFS, OS without distant recurrence and TTD for ET (with or without adjuvant </w:t>
            </w:r>
            <w:proofErr w:type="spellStart"/>
            <w:r w:rsidR="00E1252F" w:rsidRPr="00842260">
              <w:t>abemaciclib</w:t>
            </w:r>
            <w:proofErr w:type="spellEnd"/>
            <w:r w:rsidR="00E1252F" w:rsidRPr="00842260">
              <w:t xml:space="preserve">) data. </w:t>
            </w:r>
            <w:r w:rsidR="00E01C5E" w:rsidRPr="00842260">
              <w:t xml:space="preserve">The IDFS and OS without </w:t>
            </w:r>
            <w:r w:rsidR="00E96E31" w:rsidRPr="00842260">
              <w:t xml:space="preserve">distant </w:t>
            </w:r>
            <w:r w:rsidR="00E01C5E" w:rsidRPr="00842260">
              <w:t xml:space="preserve">recurrence data were not mature and are not likely to provide a reliable basis for extrapolation. </w:t>
            </w:r>
            <w:r w:rsidR="00E1252F" w:rsidRPr="00842260">
              <w:t>Parametric model selection was based on an assessment of proportional hazards and goodness of fit statistics.</w:t>
            </w:r>
            <w:r w:rsidRPr="00842260">
              <w:t xml:space="preserve"> </w:t>
            </w:r>
          </w:p>
          <w:p w14:paraId="477D93E0" w14:textId="7B257197" w:rsidR="00E1252F" w:rsidRPr="00B659C5" w:rsidRDefault="00E1252F" w:rsidP="00040FA2">
            <w:pPr>
              <w:pStyle w:val="TableText0"/>
              <w:keepNext w:val="0"/>
              <w:numPr>
                <w:ilvl w:val="0"/>
                <w:numId w:val="9"/>
              </w:numPr>
              <w:ind w:left="253" w:hanging="141"/>
            </w:pPr>
            <w:r w:rsidRPr="00B659C5">
              <w:t xml:space="preserve">IDFS: </w:t>
            </w:r>
            <w:r w:rsidR="0055314C" w:rsidRPr="00B659C5">
              <w:t>a jointly fitted Weibull distribution was used from month 32</w:t>
            </w:r>
            <w:r w:rsidRPr="00B659C5">
              <w:t xml:space="preserve">. </w:t>
            </w:r>
          </w:p>
          <w:p w14:paraId="379EE3C0" w14:textId="7F5B3D62" w:rsidR="00E1252F" w:rsidRPr="00842260" w:rsidRDefault="00E1252F" w:rsidP="00040FA2">
            <w:pPr>
              <w:pStyle w:val="TableText0"/>
              <w:keepNext w:val="0"/>
              <w:numPr>
                <w:ilvl w:val="0"/>
                <w:numId w:val="9"/>
              </w:numPr>
              <w:ind w:left="253" w:hanging="141"/>
            </w:pPr>
            <w:r w:rsidRPr="00842260">
              <w:t xml:space="preserve">OS without metastatic recurrence: </w:t>
            </w:r>
            <w:r w:rsidR="0055314C" w:rsidRPr="00842260">
              <w:t xml:space="preserve">a jointly fitted exponential distribution was used from </w:t>
            </w:r>
            <w:r w:rsidRPr="00842260">
              <w:t>month 34.7.</w:t>
            </w:r>
          </w:p>
          <w:p w14:paraId="242FFABA" w14:textId="3D95B01E" w:rsidR="00F75B33" w:rsidRPr="00842260" w:rsidRDefault="00E1252F" w:rsidP="00040FA2">
            <w:pPr>
              <w:pStyle w:val="TableText0"/>
              <w:keepNext w:val="0"/>
              <w:numPr>
                <w:ilvl w:val="0"/>
                <w:numId w:val="9"/>
              </w:numPr>
              <w:ind w:left="253" w:hanging="141"/>
            </w:pPr>
            <w:r w:rsidRPr="00842260">
              <w:t xml:space="preserve">ET TTD: </w:t>
            </w:r>
            <w:r w:rsidR="0055314C" w:rsidRPr="00842260">
              <w:t xml:space="preserve">independently fitted models were used after </w:t>
            </w:r>
            <w:proofErr w:type="gramStart"/>
            <w:r w:rsidR="00F75B33" w:rsidRPr="00842260">
              <w:t>all of</w:t>
            </w:r>
            <w:proofErr w:type="gramEnd"/>
            <w:r w:rsidR="00F75B33" w:rsidRPr="00842260">
              <w:t xml:space="preserve"> the observed KM TTD. Hazards spline models with two knots (</w:t>
            </w:r>
            <w:proofErr w:type="spellStart"/>
            <w:r w:rsidR="00C7505A" w:rsidRPr="00842260">
              <w:t>abemaciclib</w:t>
            </w:r>
            <w:proofErr w:type="spellEnd"/>
            <w:r w:rsidR="00F75B33" w:rsidRPr="00842260">
              <w:t xml:space="preserve"> + ET) and one knot (ET) were used. </w:t>
            </w:r>
          </w:p>
          <w:p w14:paraId="7026638D" w14:textId="54BDE127" w:rsidR="00BD7F57" w:rsidRPr="00842260" w:rsidRDefault="00E1252F" w:rsidP="009C077F">
            <w:pPr>
              <w:pStyle w:val="TableText0"/>
              <w:keepNext w:val="0"/>
            </w:pPr>
            <w:r w:rsidRPr="00842260">
              <w:t xml:space="preserve">All extrapolations were adjusted for background mortality, </w:t>
            </w:r>
            <w:r w:rsidR="00F75B33" w:rsidRPr="00842260">
              <w:t xml:space="preserve">and </w:t>
            </w:r>
            <w:r w:rsidRPr="00842260">
              <w:t>IDFS and OS without metastatic recurrence</w:t>
            </w:r>
            <w:r w:rsidR="00F75B33" w:rsidRPr="00842260">
              <w:t xml:space="preserve"> were further adjusted</w:t>
            </w:r>
            <w:r w:rsidRPr="00842260">
              <w:t xml:space="preserve"> for a waning of the </w:t>
            </w:r>
            <w:proofErr w:type="spellStart"/>
            <w:r w:rsidR="00B50ADE" w:rsidRPr="00842260">
              <w:t>abemaciclib</w:t>
            </w:r>
            <w:proofErr w:type="spellEnd"/>
            <w:r w:rsidR="00B50ADE" w:rsidRPr="00842260">
              <w:t xml:space="preserve"> </w:t>
            </w:r>
            <w:r w:rsidRPr="00842260">
              <w:t>treatment effect</w:t>
            </w:r>
            <w:r w:rsidR="00B50ADE" w:rsidRPr="00842260">
              <w:t xml:space="preserve"> (over Year 8−3</w:t>
            </w:r>
            <w:r w:rsidR="009C077F" w:rsidRPr="00842260">
              <w:t>8</w:t>
            </w:r>
            <w:r w:rsidR="00B50ADE" w:rsidRPr="00842260">
              <w:t>)</w:t>
            </w:r>
            <w:r w:rsidRPr="00842260">
              <w:t xml:space="preserve">. </w:t>
            </w:r>
            <w:r w:rsidR="00BD7F57" w:rsidRPr="00842260">
              <w:t xml:space="preserve">Due to crossing of the log-cumulative hazards plots, joint models assuming a treatment effect beyond the observed period, may not be reasonable. While a waning of this treatment effect was modelled, no evidence was provided to support the duration of treatment effect due to </w:t>
            </w:r>
            <w:proofErr w:type="spellStart"/>
            <w:r w:rsidR="00BD7F57" w:rsidRPr="00842260">
              <w:t>abemaciclib</w:t>
            </w:r>
            <w:proofErr w:type="spellEnd"/>
            <w:r w:rsidR="00BD7F57" w:rsidRPr="00842260">
              <w:t xml:space="preserve"> treatment beyond the observed data.</w:t>
            </w:r>
            <w:r w:rsidR="00333103" w:rsidRPr="00842260">
              <w:t xml:space="preserve"> </w:t>
            </w:r>
            <w:r w:rsidR="008F11F7" w:rsidRPr="00842260">
              <w:rPr>
                <w:iCs/>
              </w:rPr>
              <w:t>Due to crossing of the log-cumulative hazard plots</w:t>
            </w:r>
            <w:r w:rsidR="00184941" w:rsidRPr="00842260">
              <w:rPr>
                <w:iCs/>
              </w:rPr>
              <w:t>,</w:t>
            </w:r>
            <w:r w:rsidR="008F11F7" w:rsidRPr="00842260">
              <w:rPr>
                <w:iCs/>
              </w:rPr>
              <w:t xml:space="preserve"> </w:t>
            </w:r>
            <w:r w:rsidR="00184941" w:rsidRPr="00842260">
              <w:rPr>
                <w:iCs/>
              </w:rPr>
              <w:t>t</w:t>
            </w:r>
            <w:r w:rsidR="00333103" w:rsidRPr="00842260">
              <w:rPr>
                <w:iCs/>
              </w:rPr>
              <w:t>he ESC</w:t>
            </w:r>
            <w:r w:rsidR="00497307" w:rsidRPr="00842260">
              <w:rPr>
                <w:iCs/>
              </w:rPr>
              <w:t xml:space="preserve"> advised that the jointly fitted </w:t>
            </w:r>
            <w:r w:rsidR="008F11F7" w:rsidRPr="00842260">
              <w:rPr>
                <w:iCs/>
              </w:rPr>
              <w:t>approach for IDFS</w:t>
            </w:r>
            <w:r w:rsidR="00497307" w:rsidRPr="00842260">
              <w:rPr>
                <w:iCs/>
              </w:rPr>
              <w:t xml:space="preserve"> </w:t>
            </w:r>
            <w:r w:rsidR="008F11F7" w:rsidRPr="00842260">
              <w:rPr>
                <w:iCs/>
              </w:rPr>
              <w:t>was</w:t>
            </w:r>
            <w:r w:rsidR="00497307" w:rsidRPr="00842260">
              <w:rPr>
                <w:iCs/>
              </w:rPr>
              <w:t xml:space="preserve"> not well-supported</w:t>
            </w:r>
            <w:r w:rsidR="008F11F7" w:rsidRPr="00842260">
              <w:rPr>
                <w:iCs/>
              </w:rPr>
              <w:t>.</w:t>
            </w:r>
            <w:r w:rsidR="00184941" w:rsidRPr="00842260">
              <w:rPr>
                <w:iCs/>
              </w:rPr>
              <w:t xml:space="preserve"> While the submission modelled a waning in treatment effect, no evidence was provided in the submission or the PSCR </w:t>
            </w:r>
            <w:r w:rsidR="00070E1F" w:rsidRPr="00842260">
              <w:rPr>
                <w:iCs/>
              </w:rPr>
              <w:t xml:space="preserve">to support the duration of treatment effect due to </w:t>
            </w:r>
            <w:proofErr w:type="spellStart"/>
            <w:r w:rsidR="00070E1F" w:rsidRPr="00842260">
              <w:rPr>
                <w:iCs/>
              </w:rPr>
              <w:t>abemaciclib</w:t>
            </w:r>
            <w:proofErr w:type="spellEnd"/>
            <w:r w:rsidR="00070E1F" w:rsidRPr="00842260">
              <w:rPr>
                <w:iCs/>
              </w:rPr>
              <w:t xml:space="preserve"> treatment beyond the observed data</w:t>
            </w:r>
            <w:r w:rsidR="00195AB6" w:rsidRPr="00842260">
              <w:rPr>
                <w:iCs/>
              </w:rPr>
              <w:t>, nor the year at which waning was applied</w:t>
            </w:r>
            <w:r w:rsidR="00070E1F" w:rsidRPr="00842260">
              <w:rPr>
                <w:iCs/>
              </w:rPr>
              <w:t xml:space="preserve">. The ESC noted that the ICER was sensitive to changes in the assumed duration of </w:t>
            </w:r>
            <w:proofErr w:type="spellStart"/>
            <w:r w:rsidR="00070E1F" w:rsidRPr="00842260">
              <w:rPr>
                <w:iCs/>
              </w:rPr>
              <w:t>abemaciclib</w:t>
            </w:r>
            <w:proofErr w:type="spellEnd"/>
            <w:r w:rsidR="00070E1F" w:rsidRPr="00842260">
              <w:rPr>
                <w:iCs/>
              </w:rPr>
              <w:t xml:space="preserve"> treatment effect</w:t>
            </w:r>
            <w:r w:rsidR="002534D2" w:rsidRPr="00842260">
              <w:rPr>
                <w:iCs/>
              </w:rPr>
              <w:t xml:space="preserve"> beyond the observed period</w:t>
            </w:r>
            <w:r w:rsidR="00195AB6" w:rsidRPr="00842260">
              <w:rPr>
                <w:iCs/>
              </w:rPr>
              <w:t xml:space="preserve"> and to the year at which waning commenced</w:t>
            </w:r>
            <w:r w:rsidR="00070E1F" w:rsidRPr="00842260">
              <w:rPr>
                <w:iCs/>
              </w:rPr>
              <w:t xml:space="preserve">. </w:t>
            </w:r>
          </w:p>
        </w:tc>
      </w:tr>
      <w:tr w:rsidR="00E1252F" w:rsidRPr="00842260" w14:paraId="07C0A709" w14:textId="77777777" w:rsidTr="00C86E57">
        <w:tc>
          <w:tcPr>
            <w:tcW w:w="784" w:type="pct"/>
            <w:shd w:val="clear" w:color="auto" w:fill="auto"/>
            <w:vAlign w:val="center"/>
          </w:tcPr>
          <w:p w14:paraId="33B632EB" w14:textId="08F6EB19" w:rsidR="00E1252F" w:rsidRPr="00842260" w:rsidRDefault="00E1252F" w:rsidP="00E1252F">
            <w:pPr>
              <w:pStyle w:val="TableText0"/>
            </w:pPr>
            <w:r w:rsidRPr="00842260">
              <w:t>Health related quality of life</w:t>
            </w:r>
          </w:p>
        </w:tc>
        <w:tc>
          <w:tcPr>
            <w:tcW w:w="4216" w:type="pct"/>
            <w:shd w:val="clear" w:color="auto" w:fill="auto"/>
            <w:vAlign w:val="center"/>
          </w:tcPr>
          <w:p w14:paraId="6FCC32AA" w14:textId="69C4D2DA" w:rsidR="00E1252F" w:rsidRPr="00AA3B9F" w:rsidRDefault="00BD7F57" w:rsidP="00BD7F57">
            <w:pPr>
              <w:pStyle w:val="TableText0"/>
              <w:keepNext w:val="0"/>
            </w:pPr>
            <w:r w:rsidRPr="00AA3B9F">
              <w:t xml:space="preserve">Derived from </w:t>
            </w:r>
            <w:proofErr w:type="spellStart"/>
            <w:r w:rsidRPr="00AA3B9F">
              <w:t>monarchE</w:t>
            </w:r>
            <w:proofErr w:type="spellEnd"/>
            <w:r w:rsidRPr="00AA3B9F">
              <w:t xml:space="preserve"> (</w:t>
            </w:r>
            <w:r w:rsidR="00E1252F" w:rsidRPr="00AA3B9F">
              <w:t>IDFS and remission</w:t>
            </w:r>
            <w:r w:rsidRPr="00AA3B9F">
              <w:t>: 0.783), MONARCH-2 (ER-MBC PFS and ES-MBC PFS2: 0.748), MONARCH-3 (ER-MBC PFS1: 0.724) and published literature (</w:t>
            </w:r>
            <w:proofErr w:type="spellStart"/>
            <w:r w:rsidRPr="00AA3B9F">
              <w:t>Lidgren</w:t>
            </w:r>
            <w:proofErr w:type="spellEnd"/>
            <w:r w:rsidRPr="00AA3B9F">
              <w:t xml:space="preserve"> 2007</w:t>
            </w:r>
            <w:r w:rsidR="00AC4E45" w:rsidRPr="00AA3B9F">
              <w:rPr>
                <w:vertAlign w:val="superscript"/>
              </w:rPr>
              <w:t>a</w:t>
            </w:r>
            <w:r w:rsidRPr="00AA3B9F">
              <w:t xml:space="preserve"> and Lloyd 2006</w:t>
            </w:r>
            <w:r w:rsidR="00AC4E45" w:rsidRPr="00AA3B9F">
              <w:rPr>
                <w:vertAlign w:val="superscript"/>
              </w:rPr>
              <w:t>b</w:t>
            </w:r>
            <w:r w:rsidRPr="00AA3B9F">
              <w:t>)</w:t>
            </w:r>
            <w:r w:rsidR="00333103" w:rsidRPr="00AA3B9F">
              <w:t xml:space="preserve">. </w:t>
            </w:r>
            <w:r w:rsidR="00333103" w:rsidRPr="00AA3B9F">
              <w:rPr>
                <w:iCs/>
              </w:rPr>
              <w:t xml:space="preserve">It was noted by the </w:t>
            </w:r>
            <w:r w:rsidR="0044483A" w:rsidRPr="00AA3B9F">
              <w:rPr>
                <w:iCs/>
              </w:rPr>
              <w:t>ESC that not all utility data were transformed for Australian preference weights.</w:t>
            </w:r>
          </w:p>
        </w:tc>
      </w:tr>
    </w:tbl>
    <w:p w14:paraId="36785874" w14:textId="77777777" w:rsidR="00C7505A" w:rsidRPr="00842260" w:rsidRDefault="00C7505A" w:rsidP="00C7505A">
      <w:pPr>
        <w:pStyle w:val="TableFigureFooter"/>
      </w:pPr>
      <w:r w:rsidRPr="00842260">
        <w:t>Source: Table 3−1, p146 of the submission.</w:t>
      </w:r>
    </w:p>
    <w:p w14:paraId="3488C19C" w14:textId="02812050" w:rsidR="00C7505A" w:rsidRPr="00842260" w:rsidRDefault="00C7505A" w:rsidP="00BB00B3">
      <w:pPr>
        <w:pStyle w:val="TableFigureFooter"/>
      </w:pPr>
      <w:r w:rsidRPr="00842260">
        <w:t>ER-MBC = endocrine-resistant metastatic breast cancer; ES-MBC = endocrine-sensitive metastatic breast cancer; ET = endocrine therapy; IDFS = invasive disease-free survival; KM = Kaplan-Meier; LY = life years; OS = overall survival; PFS = progression-free survival;</w:t>
      </w:r>
      <w:r w:rsidR="001A33B0" w:rsidRPr="00842260">
        <w:t xml:space="preserve"> PBAC</w:t>
      </w:r>
      <w:r w:rsidR="00BD689C" w:rsidRPr="00842260">
        <w:t xml:space="preserve"> =</w:t>
      </w:r>
      <w:r w:rsidR="001A33B0" w:rsidRPr="00842260">
        <w:t xml:space="preserve"> Pharmaceutical Benefits Advisory Committee; PSD</w:t>
      </w:r>
      <w:r w:rsidR="00BD689C" w:rsidRPr="00842260">
        <w:t xml:space="preserve"> =</w:t>
      </w:r>
      <w:r w:rsidR="001A33B0" w:rsidRPr="00842260">
        <w:t xml:space="preserve"> public summary document;</w:t>
      </w:r>
      <w:r w:rsidRPr="00842260">
        <w:t xml:space="preserve"> QALY = quality-adjusted life year; TTD = time to treatment discontinuation</w:t>
      </w:r>
    </w:p>
    <w:p w14:paraId="5948B214" w14:textId="68D52757" w:rsidR="00AC4E45" w:rsidRPr="00842260" w:rsidRDefault="00AC4E45" w:rsidP="00BB00B3">
      <w:pPr>
        <w:pStyle w:val="TableFigureFooter"/>
      </w:pPr>
      <w:r w:rsidRPr="00842260">
        <w:rPr>
          <w:vertAlign w:val="superscript"/>
        </w:rPr>
        <w:lastRenderedPageBreak/>
        <w:t>a</w:t>
      </w:r>
      <w:r w:rsidRPr="00842260">
        <w:t xml:space="preserve"> </w:t>
      </w:r>
      <w:proofErr w:type="spellStart"/>
      <w:r w:rsidRPr="00842260">
        <w:t>Lidgren</w:t>
      </w:r>
      <w:proofErr w:type="spellEnd"/>
      <w:r w:rsidRPr="00842260">
        <w:t xml:space="preserve"> M, </w:t>
      </w:r>
      <w:proofErr w:type="spellStart"/>
      <w:r w:rsidRPr="00842260">
        <w:t>Wilking</w:t>
      </w:r>
      <w:proofErr w:type="spellEnd"/>
      <w:r w:rsidRPr="00842260">
        <w:t xml:space="preserve"> N, Jonsson B, </w:t>
      </w:r>
      <w:proofErr w:type="spellStart"/>
      <w:r w:rsidRPr="00842260">
        <w:t>Rehnberg</w:t>
      </w:r>
      <w:proofErr w:type="spellEnd"/>
      <w:r w:rsidRPr="00842260">
        <w:t xml:space="preserve"> C. Health related quality of life in different states of breast cancer. Qual Life Res. 2007 Aug;16(6):1073-81.</w:t>
      </w:r>
    </w:p>
    <w:p w14:paraId="5342DAE6" w14:textId="60E82FBB" w:rsidR="00AC4E45" w:rsidRPr="00842260" w:rsidRDefault="00AC4E45" w:rsidP="00BB00B3">
      <w:pPr>
        <w:pStyle w:val="TableFigureFooter"/>
      </w:pPr>
      <w:r w:rsidRPr="00842260">
        <w:rPr>
          <w:vertAlign w:val="superscript"/>
        </w:rPr>
        <w:t>b</w:t>
      </w:r>
      <w:r w:rsidRPr="00842260">
        <w:t xml:space="preserve"> Lloyd A, Nafees B, </w:t>
      </w:r>
      <w:proofErr w:type="spellStart"/>
      <w:r w:rsidRPr="00842260">
        <w:t>Narewska</w:t>
      </w:r>
      <w:proofErr w:type="spellEnd"/>
      <w:r w:rsidRPr="00842260">
        <w:t xml:space="preserve"> J, </w:t>
      </w:r>
      <w:proofErr w:type="spellStart"/>
      <w:r w:rsidRPr="00842260">
        <w:t>Dewilde</w:t>
      </w:r>
      <w:proofErr w:type="spellEnd"/>
      <w:r w:rsidRPr="00842260">
        <w:t xml:space="preserve"> S, Watkins J. Health state utilities for metastatic breast cancer. Br J Cancer. 2006 Sep 18;95(6):683-90.</w:t>
      </w:r>
    </w:p>
    <w:p w14:paraId="0DB9A717" w14:textId="44A32A6D" w:rsidR="00BD7523" w:rsidRPr="00842260" w:rsidRDefault="00BD7523" w:rsidP="000D2D9F">
      <w:pPr>
        <w:pStyle w:val="3-BodyText"/>
      </w:pPr>
      <w:r w:rsidRPr="00842260">
        <w:rPr>
          <w:iCs/>
        </w:rPr>
        <w:t>A comparison of</w:t>
      </w:r>
      <w:r w:rsidR="006D179A" w:rsidRPr="00842260">
        <w:rPr>
          <w:iCs/>
        </w:rPr>
        <w:t xml:space="preserve"> the economic evaluation from the</w:t>
      </w:r>
      <w:r w:rsidR="00AB2135" w:rsidRPr="00842260">
        <w:rPr>
          <w:iCs/>
        </w:rPr>
        <w:t xml:space="preserve"> trastuzumab emtansi</w:t>
      </w:r>
      <w:r w:rsidRPr="00842260">
        <w:rPr>
          <w:iCs/>
        </w:rPr>
        <w:t>ne PBAC submission (Nov</w:t>
      </w:r>
      <w:r w:rsidR="007A2D4A" w:rsidRPr="00842260">
        <w:rPr>
          <w:iCs/>
        </w:rPr>
        <w:t>ember</w:t>
      </w:r>
      <w:r w:rsidRPr="00842260">
        <w:rPr>
          <w:iCs/>
        </w:rPr>
        <w:t xml:space="preserve"> 2019 PBAC meeting) for early breast cancer</w:t>
      </w:r>
      <w:r w:rsidR="00FA3484" w:rsidRPr="00842260">
        <w:rPr>
          <w:iCs/>
        </w:rPr>
        <w:t xml:space="preserve"> and the present submission</w:t>
      </w:r>
      <w:r w:rsidRPr="00842260">
        <w:rPr>
          <w:iCs/>
        </w:rPr>
        <w:t xml:space="preserve"> </w:t>
      </w:r>
      <w:r w:rsidR="006D179A" w:rsidRPr="00842260">
        <w:rPr>
          <w:iCs/>
        </w:rPr>
        <w:t xml:space="preserve">for </w:t>
      </w:r>
      <w:proofErr w:type="spellStart"/>
      <w:r w:rsidR="006D179A" w:rsidRPr="00842260">
        <w:rPr>
          <w:iCs/>
        </w:rPr>
        <w:t>abemaciclib</w:t>
      </w:r>
      <w:proofErr w:type="spellEnd"/>
      <w:r w:rsidR="006D179A" w:rsidRPr="00842260">
        <w:rPr>
          <w:iCs/>
        </w:rPr>
        <w:t xml:space="preserve"> </w:t>
      </w:r>
      <w:r w:rsidR="00AB2135" w:rsidRPr="00842260">
        <w:rPr>
          <w:iCs/>
        </w:rPr>
        <w:t>shows that there are k</w:t>
      </w:r>
      <w:r w:rsidR="006D179A" w:rsidRPr="00842260">
        <w:rPr>
          <w:iCs/>
        </w:rPr>
        <w:t xml:space="preserve">ey differences in time horizon (40 vs 20 years accepted by PBAC), increased complexity of modelled health states post-progression, and the duration of extrapolated treatment effect (38 years vs 10 years). </w:t>
      </w:r>
    </w:p>
    <w:p w14:paraId="406C82B3" w14:textId="7143E266" w:rsidR="007C1E09" w:rsidRPr="00842260" w:rsidRDefault="007C1E09" w:rsidP="000D2D9F">
      <w:pPr>
        <w:pStyle w:val="3-BodyText"/>
      </w:pPr>
      <w:r w:rsidRPr="00842260">
        <w:rPr>
          <w:iCs/>
        </w:rPr>
        <w:t xml:space="preserve">The evaluation considered that the time horizon in the base case of 40 years was not likely to be reasonable given that the average age at diagnosis of early breast cancer in Australia is 61.4 years </w:t>
      </w:r>
      <w:r w:rsidRPr="00842260">
        <w:t>(paragr</w:t>
      </w:r>
      <w:r w:rsidR="00383822" w:rsidRPr="00842260">
        <w:t>aph 6.36, Trastuzumab emtansine Public Summary Document</w:t>
      </w:r>
      <w:r w:rsidRPr="00842260">
        <w:t xml:space="preserve"> </w:t>
      </w:r>
      <w:r w:rsidR="00383822" w:rsidRPr="00842260">
        <w:t>[</w:t>
      </w:r>
      <w:r w:rsidRPr="00842260">
        <w:t>PSD</w:t>
      </w:r>
      <w:r w:rsidR="00383822" w:rsidRPr="00842260">
        <w:t>]</w:t>
      </w:r>
      <w:r w:rsidRPr="00842260">
        <w:t>, Nov</w:t>
      </w:r>
      <w:r w:rsidR="00383822" w:rsidRPr="00842260">
        <w:t>ember</w:t>
      </w:r>
      <w:r w:rsidRPr="00842260">
        <w:t xml:space="preserve"> 2019 PBAC meeting)</w:t>
      </w:r>
      <w:r w:rsidR="00AB2135" w:rsidRPr="00842260">
        <w:rPr>
          <w:iCs/>
        </w:rPr>
        <w:t xml:space="preserve"> and noted</w:t>
      </w:r>
      <w:r w:rsidRPr="00842260">
        <w:rPr>
          <w:iCs/>
        </w:rPr>
        <w:t xml:space="preserve"> that a 20</w:t>
      </w:r>
      <w:r w:rsidR="00C86E57" w:rsidRPr="00842260">
        <w:rPr>
          <w:iCs/>
        </w:rPr>
        <w:t>-</w:t>
      </w:r>
      <w:r w:rsidRPr="00842260">
        <w:rPr>
          <w:iCs/>
        </w:rPr>
        <w:t xml:space="preserve">year time horizon was more reasonable in the early breast cancer setting. Reducing the time horizon to 20 years increased the ICER to </w:t>
      </w:r>
      <w:r w:rsidR="00A6252C" w:rsidRPr="00A6252C">
        <w:rPr>
          <w:iCs/>
        </w:rPr>
        <w:t>$35,000 to &lt; $45,000</w:t>
      </w:r>
      <w:r w:rsidRPr="00842260">
        <w:rPr>
          <w:iCs/>
        </w:rPr>
        <w:t xml:space="preserve">/QALY. </w:t>
      </w:r>
      <w:r w:rsidRPr="00842260">
        <w:t xml:space="preserve">The PSCR stated that a time horizon of 20 years would not be appropriate as 29.0% and 18.8% of patients in the </w:t>
      </w:r>
      <w:proofErr w:type="spellStart"/>
      <w:r w:rsidRPr="00842260">
        <w:t>abemaciclib</w:t>
      </w:r>
      <w:proofErr w:type="spellEnd"/>
      <w:r w:rsidRPr="00842260">
        <w:t xml:space="preserve"> and ET arms remain in IDFS, respectively, at this time point. The ESC considered that the extrapolation of IDFS is likely to be associated with a high degree of uncertainty and agreed with the evaluation that a 20</w:t>
      </w:r>
      <w:r w:rsidR="00C86E57" w:rsidRPr="00842260">
        <w:t>-</w:t>
      </w:r>
      <w:r w:rsidRPr="00842260">
        <w:t>year time horizon would be more appropriate</w:t>
      </w:r>
      <w:r w:rsidR="00AB2250" w:rsidRPr="00842260">
        <w:t xml:space="preserve"> than 40 years</w:t>
      </w:r>
      <w:r w:rsidRPr="00842260">
        <w:t>.</w:t>
      </w:r>
      <w:r w:rsidR="00337855" w:rsidRPr="00842260">
        <w:t xml:space="preserve"> </w:t>
      </w:r>
    </w:p>
    <w:p w14:paraId="37CEA073" w14:textId="5451552B" w:rsidR="000B2941" w:rsidRPr="00CC45EF" w:rsidRDefault="000B2941" w:rsidP="000D2D9F">
      <w:pPr>
        <w:pStyle w:val="3-BodyText"/>
      </w:pPr>
      <w:bookmarkStart w:id="38" w:name="_Hlk104477166"/>
      <w:r w:rsidRPr="00842260">
        <w:t xml:space="preserve">The OS benefit of </w:t>
      </w:r>
      <w:proofErr w:type="spellStart"/>
      <w:r w:rsidRPr="00842260">
        <w:t>abemaciclib</w:t>
      </w:r>
      <w:proofErr w:type="spellEnd"/>
      <w:r w:rsidRPr="00842260">
        <w:t xml:space="preserve"> was modelled indirectly through IDFS. Improvement in IDFS with </w:t>
      </w:r>
      <w:proofErr w:type="spellStart"/>
      <w:r w:rsidRPr="00842260">
        <w:t>abemaciclib</w:t>
      </w:r>
      <w:proofErr w:type="spellEnd"/>
      <w:r w:rsidRPr="00842260">
        <w:t xml:space="preserve"> </w:t>
      </w:r>
      <w:r w:rsidR="00006983" w:rsidRPr="00842260">
        <w:t xml:space="preserve">was assumed to reduce </w:t>
      </w:r>
      <w:r w:rsidR="000D2D9F" w:rsidRPr="00842260">
        <w:t>the numbe</w:t>
      </w:r>
      <w:r w:rsidR="00AB2135" w:rsidRPr="00842260">
        <w:t>r of recurrences</w:t>
      </w:r>
      <w:bookmarkEnd w:id="38"/>
      <w:r w:rsidR="00AB2135" w:rsidRPr="00842260">
        <w:t>, in particular</w:t>
      </w:r>
      <w:r w:rsidR="000D2D9F" w:rsidRPr="00842260">
        <w:t xml:space="preserve"> metastatic recurrences, and therefore death due to metastatic recurrence. The submission modelled both an impro</w:t>
      </w:r>
      <w:r w:rsidR="00AB2135" w:rsidRPr="00842260">
        <w:t xml:space="preserve">vement in IDFS with </w:t>
      </w:r>
      <w:proofErr w:type="spellStart"/>
      <w:r w:rsidR="00AB2135" w:rsidRPr="00842260">
        <w:t>abemaciclib</w:t>
      </w:r>
      <w:proofErr w:type="spellEnd"/>
      <w:r w:rsidR="000D2D9F" w:rsidRPr="00842260">
        <w:t xml:space="preserve"> based on the results from the </w:t>
      </w:r>
      <w:proofErr w:type="spellStart"/>
      <w:r w:rsidR="000D2D9F" w:rsidRPr="00842260">
        <w:t>monarchE</w:t>
      </w:r>
      <w:proofErr w:type="spellEnd"/>
      <w:r w:rsidR="000D2D9F" w:rsidRPr="00842260">
        <w:t xml:space="preserve"> trial, and a lower proportion of recurrences that were metastatic (71.6% with </w:t>
      </w:r>
      <w:proofErr w:type="spellStart"/>
      <w:r w:rsidR="000D2D9F" w:rsidRPr="00842260">
        <w:t>abemaciclib</w:t>
      </w:r>
      <w:proofErr w:type="spellEnd"/>
      <w:r w:rsidR="000D2D9F" w:rsidRPr="00842260">
        <w:t> + ET versus 74% with ET</w:t>
      </w:r>
      <w:r w:rsidR="007A5EB0" w:rsidRPr="00842260">
        <w:t xml:space="preserve"> </w:t>
      </w:r>
      <w:r w:rsidR="007A5EB0" w:rsidRPr="00842260">
        <w:rPr>
          <w:iCs/>
        </w:rPr>
        <w:t>alone</w:t>
      </w:r>
      <w:r w:rsidR="000D2D9F" w:rsidRPr="00842260">
        <w:t>)</w:t>
      </w:r>
      <w:r w:rsidR="006D2F21" w:rsidRPr="00842260">
        <w:t xml:space="preserve"> based on </w:t>
      </w:r>
      <w:proofErr w:type="spellStart"/>
      <w:r w:rsidR="006D2F21" w:rsidRPr="00842260">
        <w:t>monarchE</w:t>
      </w:r>
      <w:proofErr w:type="spellEnd"/>
      <w:r w:rsidR="006D2F21" w:rsidRPr="00842260">
        <w:t xml:space="preserve"> </w:t>
      </w:r>
      <w:r w:rsidR="007A5EB0" w:rsidRPr="00842260">
        <w:rPr>
          <w:iCs/>
        </w:rPr>
        <w:t xml:space="preserve">trial </w:t>
      </w:r>
      <w:r w:rsidR="006D2F21" w:rsidRPr="00842260">
        <w:t>data on the first tumour recurrence occurrence</w:t>
      </w:r>
      <w:r w:rsidR="000D2D9F" w:rsidRPr="00CC45EF">
        <w:t xml:space="preserve">. </w:t>
      </w:r>
      <w:bookmarkStart w:id="39" w:name="_Hlk104477628"/>
      <w:bookmarkStart w:id="40" w:name="_Hlk104482294"/>
      <w:r w:rsidR="000D2D9F" w:rsidRPr="00CC45EF">
        <w:t xml:space="preserve">Modelling a difference between arms may not be reasonable, as the submission has not supported that the differences are statistically significant. </w:t>
      </w:r>
      <w:bookmarkEnd w:id="39"/>
      <w:r w:rsidR="000D2D9F" w:rsidRPr="00CC45EF">
        <w:t xml:space="preserve">Assuming a lower proportion of </w:t>
      </w:r>
      <w:r w:rsidR="004B1270" w:rsidRPr="00CC45EF">
        <w:t>invasive disease</w:t>
      </w:r>
      <w:r w:rsidR="000D2D9F" w:rsidRPr="00CC45EF">
        <w:t xml:space="preserve"> events that are metastatic favour</w:t>
      </w:r>
      <w:r w:rsidR="00E0526E" w:rsidRPr="00CC45EF">
        <w:t>ed</w:t>
      </w:r>
      <w:r w:rsidR="000D2D9F" w:rsidRPr="00CC45EF">
        <w:t xml:space="preserve"> </w:t>
      </w:r>
      <w:proofErr w:type="spellStart"/>
      <w:r w:rsidR="000D2D9F" w:rsidRPr="00CC45EF">
        <w:t>abemaciclib</w:t>
      </w:r>
      <w:proofErr w:type="spellEnd"/>
      <w:r w:rsidR="000D2D9F" w:rsidRPr="00CC45EF">
        <w:t>.</w:t>
      </w:r>
      <w:bookmarkEnd w:id="40"/>
    </w:p>
    <w:p w14:paraId="2A2B049C" w14:textId="32A7B5E8" w:rsidR="006D2F21" w:rsidRPr="00842260" w:rsidRDefault="006D2F21" w:rsidP="000931C7">
      <w:pPr>
        <w:pStyle w:val="3-BodyText"/>
      </w:pPr>
      <w:r w:rsidRPr="00842260">
        <w:t xml:space="preserve">A summary of the key drivers of the model is shown </w:t>
      </w:r>
      <w:r w:rsidR="007A5EB0" w:rsidRPr="00842260">
        <w:rPr>
          <w:iCs/>
        </w:rPr>
        <w:t xml:space="preserve">in </w:t>
      </w:r>
      <w:r w:rsidR="00F50104" w:rsidRPr="00842260">
        <w:rPr>
          <w:iCs/>
        </w:rPr>
        <w:t>Table 8</w:t>
      </w:r>
      <w:r w:rsidR="007A5EB0" w:rsidRPr="00842260">
        <w:rPr>
          <w:iCs/>
        </w:rPr>
        <w:t>.</w:t>
      </w:r>
    </w:p>
    <w:p w14:paraId="4F5C9D80" w14:textId="4B719113" w:rsidR="006D2F21" w:rsidRPr="00842260" w:rsidRDefault="008B731C" w:rsidP="006D2F21">
      <w:pPr>
        <w:pStyle w:val="TableFigureHeading"/>
        <w:rPr>
          <w:rStyle w:val="CommentReference"/>
          <w:b/>
          <w:szCs w:val="24"/>
        </w:rPr>
      </w:pPr>
      <w:bookmarkStart w:id="41" w:name="_Ref95903047"/>
      <w:r w:rsidRPr="00842260">
        <w:lastRenderedPageBreak/>
        <w:t xml:space="preserve">Table </w:t>
      </w:r>
      <w:fldSimple w:instr=" SEQ Table \* ARABIC ">
        <w:r w:rsidR="00053218">
          <w:rPr>
            <w:noProof/>
          </w:rPr>
          <w:t>8</w:t>
        </w:r>
      </w:fldSimple>
      <w:bookmarkEnd w:id="41"/>
      <w:r w:rsidR="006D2F21" w:rsidRPr="00842260">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5102"/>
        <w:gridCol w:w="2644"/>
      </w:tblGrid>
      <w:tr w:rsidR="006D2F21" w:rsidRPr="00842260" w14:paraId="13AE6486" w14:textId="77777777" w:rsidTr="001A1DFD">
        <w:trPr>
          <w:tblHeader/>
        </w:trPr>
        <w:tc>
          <w:tcPr>
            <w:tcW w:w="705" w:type="pct"/>
            <w:shd w:val="clear" w:color="auto" w:fill="auto"/>
            <w:vAlign w:val="center"/>
          </w:tcPr>
          <w:p w14:paraId="2F13269F" w14:textId="77777777" w:rsidR="006D2F21" w:rsidRPr="00842260" w:rsidRDefault="006D2F21" w:rsidP="001A1DFD">
            <w:pPr>
              <w:pStyle w:val="In-tableHeading"/>
              <w:jc w:val="center"/>
              <w:rPr>
                <w:lang w:val="en-AU"/>
              </w:rPr>
            </w:pPr>
            <w:r w:rsidRPr="00842260">
              <w:rPr>
                <w:lang w:val="en-AU"/>
              </w:rPr>
              <w:t>Description</w:t>
            </w:r>
          </w:p>
        </w:tc>
        <w:tc>
          <w:tcPr>
            <w:tcW w:w="2829" w:type="pct"/>
            <w:shd w:val="clear" w:color="auto" w:fill="auto"/>
            <w:vAlign w:val="center"/>
          </w:tcPr>
          <w:p w14:paraId="0CBD638D" w14:textId="77777777" w:rsidR="006D2F21" w:rsidRPr="00842260" w:rsidRDefault="006D2F21" w:rsidP="001A1DFD">
            <w:pPr>
              <w:pStyle w:val="In-tableHeading"/>
              <w:jc w:val="center"/>
              <w:rPr>
                <w:lang w:val="en-AU"/>
              </w:rPr>
            </w:pPr>
            <w:r w:rsidRPr="00842260">
              <w:rPr>
                <w:lang w:val="en-AU"/>
              </w:rPr>
              <w:t>Method/Value</w:t>
            </w:r>
          </w:p>
        </w:tc>
        <w:tc>
          <w:tcPr>
            <w:tcW w:w="1466" w:type="pct"/>
            <w:shd w:val="clear" w:color="auto" w:fill="auto"/>
            <w:vAlign w:val="center"/>
          </w:tcPr>
          <w:p w14:paraId="58A0DE21" w14:textId="77777777" w:rsidR="006D2F21" w:rsidRPr="00842260" w:rsidRDefault="006D2F21" w:rsidP="001A1DFD">
            <w:pPr>
              <w:pStyle w:val="In-tableHeading"/>
              <w:jc w:val="center"/>
              <w:rPr>
                <w:lang w:val="en-AU"/>
              </w:rPr>
            </w:pPr>
            <w:r w:rsidRPr="00842260">
              <w:rPr>
                <w:lang w:val="en-AU"/>
              </w:rPr>
              <w:t>Impact</w:t>
            </w:r>
          </w:p>
          <w:p w14:paraId="2E7683E3" w14:textId="221A2B5A" w:rsidR="006D2F21" w:rsidRPr="00842260" w:rsidRDefault="006D2F21" w:rsidP="001A1DFD">
            <w:pPr>
              <w:pStyle w:val="In-tableHeading"/>
              <w:jc w:val="center"/>
              <w:rPr>
                <w:lang w:val="en-AU"/>
              </w:rPr>
            </w:pPr>
            <w:r w:rsidRPr="00842260">
              <w:rPr>
                <w:rFonts w:cs="Arial"/>
                <w:szCs w:val="20"/>
                <w:lang w:val="en-AU"/>
              </w:rPr>
              <w:t>Base case ICER: $</w:t>
            </w:r>
            <w:r w:rsidR="007012DA" w:rsidRPr="007012DA">
              <w:rPr>
                <w:rFonts w:cs="Arial" w:hint="eastAsia"/>
                <w:color w:val="000000"/>
                <w:w w:val="15"/>
                <w:szCs w:val="20"/>
                <w:shd w:val="solid" w:color="000000" w:fill="000000"/>
                <w:fitText w:val="50" w:id="-1500862719"/>
                <w:lang w:val="en-AU"/>
                <w14:textFill>
                  <w14:solidFill>
                    <w14:srgbClr w14:val="000000">
                      <w14:alpha w14:val="100000"/>
                    </w14:srgbClr>
                  </w14:solidFill>
                </w14:textFill>
              </w:rPr>
              <w:t xml:space="preserve">　</w:t>
            </w:r>
            <w:r w:rsidR="007012DA" w:rsidRPr="007012DA">
              <w:rPr>
                <w:rFonts w:cs="Arial"/>
                <w:color w:val="000000"/>
                <w:w w:val="15"/>
                <w:szCs w:val="20"/>
                <w:shd w:val="solid" w:color="000000" w:fill="000000"/>
                <w:fitText w:val="50" w:id="-1500862719"/>
                <w:lang w:val="en-AU"/>
                <w14:textFill>
                  <w14:solidFill>
                    <w14:srgbClr w14:val="000000">
                      <w14:alpha w14:val="100000"/>
                    </w14:srgbClr>
                  </w14:solidFill>
                </w14:textFill>
              </w:rPr>
              <w:t>|</w:t>
            </w:r>
            <w:r w:rsidR="007012DA" w:rsidRPr="007012DA">
              <w:rPr>
                <w:rFonts w:cs="Arial" w:hint="eastAsia"/>
                <w:color w:val="000000"/>
                <w:spacing w:val="-16"/>
                <w:w w:val="15"/>
                <w:szCs w:val="20"/>
                <w:shd w:val="solid" w:color="000000" w:fill="000000"/>
                <w:fitText w:val="50" w:id="-1500862719"/>
                <w:lang w:val="en-AU"/>
                <w14:textFill>
                  <w14:solidFill>
                    <w14:srgbClr w14:val="000000">
                      <w14:alpha w14:val="100000"/>
                    </w14:srgbClr>
                  </w14:solidFill>
                </w14:textFill>
              </w:rPr>
              <w:t xml:space="preserve">　</w:t>
            </w:r>
            <w:r w:rsidR="00DB3420">
              <w:rPr>
                <w:rFonts w:cs="Arial"/>
                <w:szCs w:val="20"/>
                <w:vertAlign w:val="superscript"/>
                <w:lang w:val="en-AU"/>
              </w:rPr>
              <w:t xml:space="preserve">1 </w:t>
            </w:r>
            <w:r w:rsidR="001A33B0" w:rsidRPr="00842260">
              <w:rPr>
                <w:rFonts w:cs="Arial"/>
                <w:szCs w:val="20"/>
                <w:lang w:val="en-AU"/>
              </w:rPr>
              <w:t>(revised)</w:t>
            </w:r>
          </w:p>
        </w:tc>
      </w:tr>
      <w:tr w:rsidR="006D2F21" w:rsidRPr="00842260" w14:paraId="36F802B9" w14:textId="77777777" w:rsidTr="001A1DFD">
        <w:tc>
          <w:tcPr>
            <w:tcW w:w="705" w:type="pct"/>
            <w:shd w:val="clear" w:color="auto" w:fill="auto"/>
            <w:vAlign w:val="center"/>
          </w:tcPr>
          <w:p w14:paraId="24531FFB" w14:textId="77777777" w:rsidR="006D2F21" w:rsidRPr="00842260" w:rsidRDefault="006D2F21" w:rsidP="001A33B0">
            <w:pPr>
              <w:pStyle w:val="TableText0"/>
            </w:pPr>
            <w:r w:rsidRPr="00842260">
              <w:t>Duration of treatment effect</w:t>
            </w:r>
          </w:p>
        </w:tc>
        <w:tc>
          <w:tcPr>
            <w:tcW w:w="2829" w:type="pct"/>
            <w:shd w:val="clear" w:color="auto" w:fill="auto"/>
            <w:vAlign w:val="center"/>
          </w:tcPr>
          <w:p w14:paraId="23FE959C" w14:textId="4030EA5A" w:rsidR="006D2F21" w:rsidRPr="00842260" w:rsidRDefault="006D2F21" w:rsidP="00E96E31">
            <w:pPr>
              <w:pStyle w:val="TableText0"/>
            </w:pPr>
            <w:r w:rsidRPr="00842260">
              <w:t xml:space="preserve">The treatment effect based on the </w:t>
            </w:r>
            <w:proofErr w:type="gramStart"/>
            <w:r w:rsidRPr="00842260">
              <w:t>jointly-fitted</w:t>
            </w:r>
            <w:proofErr w:type="gramEnd"/>
            <w:r w:rsidRPr="00842260">
              <w:t xml:space="preserve"> parametric model extrapolations was assumed to continue beyond the trial period (maximum 42 months) until Year 8. A waning of the treatment effect was implemented until the extrapolated</w:t>
            </w:r>
            <w:r w:rsidR="00E96E31" w:rsidRPr="00842260">
              <w:t xml:space="preserve"> comparator</w:t>
            </w:r>
            <w:r w:rsidRPr="00842260">
              <w:t xml:space="preserve"> IDFS hazard rate equal</w:t>
            </w:r>
            <w:r w:rsidR="00EF5B8F" w:rsidRPr="00842260">
              <w:t>l</w:t>
            </w:r>
            <w:r w:rsidRPr="00842260">
              <w:t>ed background mortality (at Year 3</w:t>
            </w:r>
            <w:r w:rsidR="009C077F" w:rsidRPr="00842260">
              <w:t>8</w:t>
            </w:r>
            <w:r w:rsidRPr="00842260">
              <w:t xml:space="preserve">). This approach is not well justified. No evidence was presented to support an ongoing benefit of </w:t>
            </w:r>
            <w:proofErr w:type="spellStart"/>
            <w:r w:rsidRPr="00842260">
              <w:t>abemaciclib</w:t>
            </w:r>
            <w:proofErr w:type="spellEnd"/>
            <w:r w:rsidRPr="00842260">
              <w:t xml:space="preserve"> beyond the observed period. </w:t>
            </w:r>
            <w:r w:rsidR="003C6A34" w:rsidRPr="00842260">
              <w:rPr>
                <w:iCs/>
              </w:rPr>
              <w:t>T</w:t>
            </w:r>
            <w:r w:rsidR="003C6A34" w:rsidRPr="00842260">
              <w:t xml:space="preserve">he ESC </w:t>
            </w:r>
            <w:r w:rsidR="007A5EB0" w:rsidRPr="00842260">
              <w:t>noted</w:t>
            </w:r>
            <w:r w:rsidR="003C6A34" w:rsidRPr="00842260">
              <w:t xml:space="preserve"> that there was no evidence provided in the submission or PSCR to support the duration of treatment effect due to </w:t>
            </w:r>
            <w:proofErr w:type="spellStart"/>
            <w:r w:rsidR="003C6A34" w:rsidRPr="00842260">
              <w:t>abemaciclib</w:t>
            </w:r>
            <w:proofErr w:type="spellEnd"/>
            <w:r w:rsidR="003C6A34" w:rsidRPr="00842260">
              <w:t xml:space="preserve"> treatment beyond the observed data. The ESC noted that the ICER is sensitive to changes in this assumption</w:t>
            </w:r>
            <w:r w:rsidR="00327794" w:rsidRPr="00842260">
              <w:t xml:space="preserve"> and the year at which waning is assumed to commence</w:t>
            </w:r>
            <w:r w:rsidR="003C6A34" w:rsidRPr="00842260">
              <w:t>.</w:t>
            </w:r>
          </w:p>
        </w:tc>
        <w:tc>
          <w:tcPr>
            <w:tcW w:w="1466" w:type="pct"/>
            <w:shd w:val="clear" w:color="auto" w:fill="auto"/>
            <w:vAlign w:val="center"/>
          </w:tcPr>
          <w:p w14:paraId="78BE48B3" w14:textId="71D1A36D" w:rsidR="006D2F21" w:rsidRPr="00842260" w:rsidRDefault="006D2F21" w:rsidP="00A6252C">
            <w:pPr>
              <w:pStyle w:val="TableText0"/>
            </w:pPr>
            <w:r w:rsidRPr="00842260">
              <w:t xml:space="preserve">High, favours </w:t>
            </w:r>
            <w:proofErr w:type="spellStart"/>
            <w:r w:rsidRPr="00842260">
              <w:t>abemaciclib</w:t>
            </w:r>
            <w:proofErr w:type="spellEnd"/>
            <w:r w:rsidRPr="00842260">
              <w:t xml:space="preserve">. </w:t>
            </w:r>
            <w:proofErr w:type="gramStart"/>
            <w:r w:rsidRPr="00842260">
              <w:t>Assuming that</w:t>
            </w:r>
            <w:proofErr w:type="gramEnd"/>
            <w:r w:rsidRPr="00842260">
              <w:t xml:space="preserve"> the treatment effect wanes over the period from the end of the observed data to Year </w:t>
            </w:r>
            <w:r w:rsidR="007D118D" w:rsidRPr="00842260">
              <w:t xml:space="preserve">7 </w:t>
            </w:r>
            <w:r w:rsidRPr="00842260">
              <w:t>increases the ICER to $</w:t>
            </w:r>
            <w:r w:rsidR="007012DA" w:rsidRPr="007012DA">
              <w:rPr>
                <w:color w:val="000000"/>
                <w:spacing w:val="52"/>
                <w:shd w:val="solid" w:color="000000" w:fill="000000"/>
                <w:fitText w:val="330" w:id="-1500862718"/>
                <w14:textFill>
                  <w14:solidFill>
                    <w14:srgbClr w14:val="000000">
                      <w14:alpha w14:val="100000"/>
                    </w14:srgbClr>
                  </w14:solidFill>
                </w14:textFill>
              </w:rPr>
              <w:t>|||</w:t>
            </w:r>
            <w:r w:rsidR="007012DA" w:rsidRPr="007012DA">
              <w:rPr>
                <w:color w:val="000000"/>
                <w:spacing w:val="2"/>
                <w:shd w:val="solid" w:color="000000" w:fill="000000"/>
                <w:fitText w:val="330" w:id="-1500862718"/>
                <w14:textFill>
                  <w14:solidFill>
                    <w14:srgbClr w14:val="000000">
                      <w14:alpha w14:val="100000"/>
                    </w14:srgbClr>
                  </w14:solidFill>
                </w14:textFill>
              </w:rPr>
              <w:t>|</w:t>
            </w:r>
            <w:r w:rsidR="00DB3420">
              <w:rPr>
                <w:vertAlign w:val="superscript"/>
              </w:rPr>
              <w:t>2</w:t>
            </w:r>
            <w:r w:rsidRPr="00842260">
              <w:t>. Assuming no effect beyond the observed period increases the ICER to $</w:t>
            </w:r>
            <w:r w:rsidR="007012DA" w:rsidRPr="007012DA">
              <w:rPr>
                <w:color w:val="000000"/>
                <w:spacing w:val="52"/>
                <w:shd w:val="solid" w:color="000000" w:fill="000000"/>
                <w:fitText w:val="330" w:id="-1500862717"/>
                <w14:textFill>
                  <w14:solidFill>
                    <w14:srgbClr w14:val="000000">
                      <w14:alpha w14:val="100000"/>
                    </w14:srgbClr>
                  </w14:solidFill>
                </w14:textFill>
              </w:rPr>
              <w:t>|||</w:t>
            </w:r>
            <w:r w:rsidR="007012DA" w:rsidRPr="007012DA">
              <w:rPr>
                <w:color w:val="000000"/>
                <w:spacing w:val="2"/>
                <w:shd w:val="solid" w:color="000000" w:fill="000000"/>
                <w:fitText w:val="330" w:id="-1500862717"/>
                <w14:textFill>
                  <w14:solidFill>
                    <w14:srgbClr w14:val="000000">
                      <w14:alpha w14:val="100000"/>
                    </w14:srgbClr>
                  </w14:solidFill>
                </w14:textFill>
              </w:rPr>
              <w:t>|</w:t>
            </w:r>
            <w:r w:rsidR="00DB3420">
              <w:rPr>
                <w:vertAlign w:val="superscript"/>
              </w:rPr>
              <w:t>3</w:t>
            </w:r>
            <w:r w:rsidRPr="00842260">
              <w:t>.</w:t>
            </w:r>
          </w:p>
        </w:tc>
      </w:tr>
      <w:tr w:rsidR="006D2F21" w:rsidRPr="00842260" w14:paraId="6DDD97F7" w14:textId="77777777" w:rsidTr="001A1DFD">
        <w:tc>
          <w:tcPr>
            <w:tcW w:w="705" w:type="pct"/>
            <w:shd w:val="clear" w:color="auto" w:fill="auto"/>
            <w:vAlign w:val="center"/>
          </w:tcPr>
          <w:p w14:paraId="638D4B3F" w14:textId="77777777" w:rsidR="006D2F21" w:rsidRPr="00842260" w:rsidRDefault="006D2F21" w:rsidP="001A33B0">
            <w:pPr>
              <w:pStyle w:val="TableText0"/>
            </w:pPr>
            <w:r w:rsidRPr="00842260">
              <w:t>Time horizon</w:t>
            </w:r>
          </w:p>
        </w:tc>
        <w:tc>
          <w:tcPr>
            <w:tcW w:w="2829" w:type="pct"/>
            <w:shd w:val="clear" w:color="auto" w:fill="auto"/>
            <w:vAlign w:val="center"/>
          </w:tcPr>
          <w:p w14:paraId="3E8C9A23" w14:textId="3D15EC1B" w:rsidR="006D2F21" w:rsidRPr="00842260" w:rsidRDefault="006D2F21" w:rsidP="00383822">
            <w:pPr>
              <w:pStyle w:val="TableText0"/>
              <w:rPr>
                <w:i/>
                <w:iCs/>
              </w:rPr>
            </w:pPr>
            <w:r w:rsidRPr="00842260">
              <w:t xml:space="preserve">40 years in the base case. The PBAC had previously considered that a </w:t>
            </w:r>
            <w:r w:rsidR="00E96E31" w:rsidRPr="00842260">
              <w:t>2</w:t>
            </w:r>
            <w:r w:rsidRPr="00842260">
              <w:t>0</w:t>
            </w:r>
            <w:r w:rsidR="00C86E57" w:rsidRPr="00842260">
              <w:t>-</w:t>
            </w:r>
            <w:r w:rsidRPr="00842260">
              <w:t xml:space="preserve">year time horizon was </w:t>
            </w:r>
            <w:r w:rsidR="00E96E31" w:rsidRPr="00842260">
              <w:t>more appropriate</w:t>
            </w:r>
            <w:r w:rsidRPr="00842260">
              <w:t xml:space="preserve"> in the adjuvant treatment of HER2+ </w:t>
            </w:r>
            <w:r w:rsidR="00C7505A" w:rsidRPr="00842260">
              <w:t>early breast cancer</w:t>
            </w:r>
            <w:r w:rsidRPr="00842260">
              <w:t xml:space="preserve">, given the median age at diagnosis (paragraph 6.36, Trastuzumab emtansine, </w:t>
            </w:r>
            <w:r w:rsidR="00383822" w:rsidRPr="00842260">
              <w:t>PSD</w:t>
            </w:r>
            <w:r w:rsidRPr="00842260">
              <w:t xml:space="preserve"> November 2019 PBAC meeting).</w:t>
            </w:r>
            <w:r w:rsidR="00FE04C1" w:rsidRPr="00842260">
              <w:t xml:space="preserve"> </w:t>
            </w:r>
            <w:r w:rsidR="00FE04C1" w:rsidRPr="00842260">
              <w:rPr>
                <w:iCs/>
              </w:rPr>
              <w:t xml:space="preserve">Due to the uncertain extrapolation of IDFS in the base case of the economic model and the average age at diagnosis in Australia, the ESC </w:t>
            </w:r>
            <w:r w:rsidR="0087475A" w:rsidRPr="00842260">
              <w:rPr>
                <w:iCs/>
              </w:rPr>
              <w:t>advised</w:t>
            </w:r>
            <w:r w:rsidR="00FE04C1" w:rsidRPr="00842260">
              <w:rPr>
                <w:iCs/>
              </w:rPr>
              <w:t xml:space="preserve"> that a 20</w:t>
            </w:r>
            <w:r w:rsidR="00C86E57" w:rsidRPr="00842260">
              <w:rPr>
                <w:iCs/>
              </w:rPr>
              <w:t>-</w:t>
            </w:r>
            <w:r w:rsidR="00FE04C1" w:rsidRPr="00842260">
              <w:rPr>
                <w:iCs/>
              </w:rPr>
              <w:t>year time horizon would be more reasonable.</w:t>
            </w:r>
          </w:p>
        </w:tc>
        <w:tc>
          <w:tcPr>
            <w:tcW w:w="1466" w:type="pct"/>
            <w:shd w:val="clear" w:color="auto" w:fill="auto"/>
            <w:vAlign w:val="center"/>
          </w:tcPr>
          <w:p w14:paraId="3301F9EC" w14:textId="392B005C" w:rsidR="006D2F21" w:rsidRPr="00842260" w:rsidRDefault="006D2F21" w:rsidP="001A1DFD">
            <w:pPr>
              <w:pStyle w:val="TableText0"/>
            </w:pPr>
            <w:r w:rsidRPr="00842260">
              <w:t xml:space="preserve">High, favours </w:t>
            </w:r>
            <w:proofErr w:type="spellStart"/>
            <w:r w:rsidRPr="00842260">
              <w:t>abemaciclib</w:t>
            </w:r>
            <w:proofErr w:type="spellEnd"/>
            <w:r w:rsidRPr="00842260">
              <w:t>. Reducing the time horizon to 20 years increases the ICER to $</w:t>
            </w:r>
            <w:r w:rsidR="007012DA" w:rsidRPr="007012DA">
              <w:rPr>
                <w:color w:val="000000"/>
                <w:spacing w:val="53"/>
                <w:shd w:val="solid" w:color="000000" w:fill="000000"/>
                <w:fitText w:val="330" w:id="-1500862716"/>
                <w14:textFill>
                  <w14:solidFill>
                    <w14:srgbClr w14:val="000000">
                      <w14:alpha w14:val="100000"/>
                    </w14:srgbClr>
                  </w14:solidFill>
                </w14:textFill>
              </w:rPr>
              <w:t>|||</w:t>
            </w:r>
            <w:r w:rsidR="007012DA" w:rsidRPr="007012DA">
              <w:rPr>
                <w:color w:val="000000"/>
                <w:spacing w:val="1"/>
                <w:shd w:val="solid" w:color="000000" w:fill="000000"/>
                <w:fitText w:val="330" w:id="-1500862716"/>
                <w14:textFill>
                  <w14:solidFill>
                    <w14:srgbClr w14:val="000000">
                      <w14:alpha w14:val="100000"/>
                    </w14:srgbClr>
                  </w14:solidFill>
                </w14:textFill>
              </w:rPr>
              <w:t>|</w:t>
            </w:r>
            <w:r w:rsidR="00DB3420">
              <w:rPr>
                <w:vertAlign w:val="superscript"/>
              </w:rPr>
              <w:t>4</w:t>
            </w:r>
            <w:r w:rsidRPr="00842260">
              <w:t>.</w:t>
            </w:r>
          </w:p>
        </w:tc>
      </w:tr>
      <w:tr w:rsidR="006D2F21" w:rsidRPr="00842260" w14:paraId="761C6746" w14:textId="77777777" w:rsidTr="001A1DFD">
        <w:tc>
          <w:tcPr>
            <w:tcW w:w="705" w:type="pct"/>
            <w:shd w:val="clear" w:color="auto" w:fill="auto"/>
            <w:vAlign w:val="center"/>
          </w:tcPr>
          <w:p w14:paraId="691BD8A3" w14:textId="77777777" w:rsidR="006D2F21" w:rsidRPr="00842260" w:rsidRDefault="006D2F21" w:rsidP="001A33B0">
            <w:pPr>
              <w:pStyle w:val="TableText0"/>
            </w:pPr>
            <w:r w:rsidRPr="00842260">
              <w:t>Extrapolation of IDFS</w:t>
            </w:r>
          </w:p>
        </w:tc>
        <w:tc>
          <w:tcPr>
            <w:tcW w:w="2829" w:type="pct"/>
            <w:shd w:val="clear" w:color="auto" w:fill="auto"/>
            <w:vAlign w:val="center"/>
          </w:tcPr>
          <w:p w14:paraId="6C52D36F" w14:textId="2199C68E" w:rsidR="006D2F21" w:rsidRPr="00826D76" w:rsidRDefault="006D2F21" w:rsidP="00C7505A">
            <w:pPr>
              <w:pStyle w:val="TableText0"/>
              <w:rPr>
                <w:i/>
                <w:iCs/>
              </w:rPr>
            </w:pPr>
            <w:proofErr w:type="gramStart"/>
            <w:r w:rsidRPr="00826D76">
              <w:t>Jointly-fitted</w:t>
            </w:r>
            <w:proofErr w:type="gramEnd"/>
            <w:r w:rsidRPr="00826D76">
              <w:t xml:space="preserve"> Weibull extrapolation from month 32. </w:t>
            </w:r>
            <w:r w:rsidR="00B45E18" w:rsidRPr="00826D76">
              <w:rPr>
                <w:iCs/>
              </w:rPr>
              <w:t>The</w:t>
            </w:r>
            <w:r w:rsidR="00B45E18" w:rsidRPr="00826D76">
              <w:t xml:space="preserve"> </w:t>
            </w:r>
            <w:r w:rsidRPr="00826D76">
              <w:t xml:space="preserve">IDFS data </w:t>
            </w:r>
            <w:r w:rsidR="00B45E18" w:rsidRPr="00826D76">
              <w:rPr>
                <w:iCs/>
              </w:rPr>
              <w:t xml:space="preserve">contained a small number of events </w:t>
            </w:r>
            <w:r w:rsidRPr="00826D76">
              <w:t xml:space="preserve">(approximately 10% events at the latest follow-up) and may not provide a reliable basis for extrapolation. </w:t>
            </w:r>
          </w:p>
        </w:tc>
        <w:tc>
          <w:tcPr>
            <w:tcW w:w="1466" w:type="pct"/>
            <w:shd w:val="clear" w:color="auto" w:fill="auto"/>
            <w:vAlign w:val="center"/>
          </w:tcPr>
          <w:p w14:paraId="40862A95" w14:textId="572E25EC" w:rsidR="006D2F21" w:rsidRPr="00DB3420" w:rsidRDefault="006D2F21" w:rsidP="00A6252C">
            <w:pPr>
              <w:pStyle w:val="TableText0"/>
              <w:rPr>
                <w:vertAlign w:val="superscript"/>
              </w:rPr>
            </w:pPr>
            <w:r w:rsidRPr="00842260">
              <w:t xml:space="preserve">High, favours </w:t>
            </w:r>
            <w:proofErr w:type="spellStart"/>
            <w:r w:rsidRPr="00842260">
              <w:t>abemaciclib</w:t>
            </w:r>
            <w:proofErr w:type="spellEnd"/>
            <w:r w:rsidRPr="00842260">
              <w:t>. Using the log-logistic model increased the ICER to $</w:t>
            </w:r>
            <w:r w:rsidR="007012DA" w:rsidRPr="007012DA">
              <w:rPr>
                <w:color w:val="000000"/>
                <w:spacing w:val="53"/>
                <w:shd w:val="solid" w:color="000000" w:fill="000000"/>
                <w:fitText w:val="330" w:id="-1500862715"/>
                <w14:textFill>
                  <w14:solidFill>
                    <w14:srgbClr w14:val="000000">
                      <w14:alpha w14:val="100000"/>
                    </w14:srgbClr>
                  </w14:solidFill>
                </w14:textFill>
              </w:rPr>
              <w:t>|||</w:t>
            </w:r>
            <w:r w:rsidR="007012DA" w:rsidRPr="007012DA">
              <w:rPr>
                <w:color w:val="000000"/>
                <w:spacing w:val="1"/>
                <w:shd w:val="solid" w:color="000000" w:fill="000000"/>
                <w:fitText w:val="330" w:id="-1500862715"/>
                <w14:textFill>
                  <w14:solidFill>
                    <w14:srgbClr w14:val="000000">
                      <w14:alpha w14:val="100000"/>
                    </w14:srgbClr>
                  </w14:solidFill>
                </w14:textFill>
              </w:rPr>
              <w:t>|</w:t>
            </w:r>
            <w:r w:rsidR="00DB3420" w:rsidRPr="00DB3420">
              <w:rPr>
                <w:vertAlign w:val="superscript"/>
              </w:rPr>
              <w:t>5</w:t>
            </w:r>
          </w:p>
        </w:tc>
      </w:tr>
      <w:tr w:rsidR="006D2F21" w:rsidRPr="00842260" w14:paraId="3FD2E811" w14:textId="77777777" w:rsidTr="001A1DFD">
        <w:tc>
          <w:tcPr>
            <w:tcW w:w="705" w:type="pct"/>
            <w:shd w:val="clear" w:color="auto" w:fill="auto"/>
            <w:vAlign w:val="center"/>
          </w:tcPr>
          <w:p w14:paraId="3AB2DDC5" w14:textId="77777777" w:rsidR="006D2F21" w:rsidRPr="00842260" w:rsidRDefault="006D2F21" w:rsidP="001A33B0">
            <w:pPr>
              <w:pStyle w:val="TableText0"/>
            </w:pPr>
            <w:r w:rsidRPr="00842260">
              <w:t>Calibration of outcomes in ES-MBC</w:t>
            </w:r>
          </w:p>
        </w:tc>
        <w:tc>
          <w:tcPr>
            <w:tcW w:w="2829" w:type="pct"/>
            <w:shd w:val="clear" w:color="auto" w:fill="auto"/>
            <w:vAlign w:val="center"/>
          </w:tcPr>
          <w:p w14:paraId="7AF2936C" w14:textId="7D3CF7E4" w:rsidR="006D2F21" w:rsidRPr="00842260" w:rsidRDefault="006D2F21" w:rsidP="00503464">
            <w:pPr>
              <w:pStyle w:val="TableText0"/>
            </w:pPr>
            <w:r w:rsidRPr="00842260">
              <w:t>LYs in the external ES-MBC model were calibrated to reduce the time in PFS2/PPS such that the relative gain in OS for first-line metastatic CDK</w:t>
            </w:r>
            <w:r w:rsidR="005327DD" w:rsidRPr="00842260">
              <w:t>4/6 inhibitors</w:t>
            </w:r>
            <w:r w:rsidRPr="00842260">
              <w:t> + NSAI was 27.5% of the</w:t>
            </w:r>
            <w:r w:rsidR="00C7505A" w:rsidRPr="00842260">
              <w:t xml:space="preserve"> gain in PFS (based on PALOMA-1</w:t>
            </w:r>
            <w:r w:rsidRPr="00842260">
              <w:t xml:space="preserve"> </w:t>
            </w:r>
            <w:r w:rsidR="00C7505A" w:rsidRPr="00842260">
              <w:t>(</w:t>
            </w:r>
            <w:r w:rsidRPr="00842260">
              <w:t>Finn 2015)</w:t>
            </w:r>
            <w:r w:rsidR="006467B8" w:rsidRPr="00842260">
              <w:t>)</w:t>
            </w:r>
            <w:r w:rsidRPr="00842260">
              <w:t>. The basis for the applied surrogacy relationship was not clear. ESC ha</w:t>
            </w:r>
            <w:r w:rsidR="00B13626">
              <w:t>s</w:t>
            </w:r>
            <w:r w:rsidRPr="00842260">
              <w:t xml:space="preserve"> previously considered that PFS has not been shown to be a good surrogate for OS (para 6.26, Palbociclib PSD, November 2017 PBAC Meeting). As CDK</w:t>
            </w:r>
            <w:r w:rsidR="00503464" w:rsidRPr="00842260">
              <w:t>4/6 inhibitor</w:t>
            </w:r>
            <w:r w:rsidRPr="00842260">
              <w:t xml:space="preserve">s are not modelled after adjuvant </w:t>
            </w:r>
            <w:proofErr w:type="spellStart"/>
            <w:r w:rsidRPr="00842260">
              <w:t>abemaciclib</w:t>
            </w:r>
            <w:proofErr w:type="spellEnd"/>
            <w:r w:rsidRPr="00842260">
              <w:t>, calibration that reduces OS of CDK</w:t>
            </w:r>
            <w:r w:rsidR="005327DD" w:rsidRPr="00842260">
              <w:t>4/6 inhibitor</w:t>
            </w:r>
            <w:r w:rsidRPr="00842260">
              <w:t xml:space="preserve">s in the metastatic setting favours </w:t>
            </w:r>
            <w:proofErr w:type="spellStart"/>
            <w:r w:rsidRPr="00842260">
              <w:t>abemaciclib</w:t>
            </w:r>
            <w:proofErr w:type="spellEnd"/>
            <w:r w:rsidRPr="00842260">
              <w:t>.</w:t>
            </w:r>
            <w:r w:rsidR="00FE04C1" w:rsidRPr="00842260">
              <w:t xml:space="preserve"> </w:t>
            </w:r>
            <w:r w:rsidR="00FE04C1" w:rsidRPr="00842260">
              <w:rPr>
                <w:iCs/>
              </w:rPr>
              <w:t>The ESC a</w:t>
            </w:r>
            <w:r w:rsidR="00B03BD6" w:rsidRPr="00842260">
              <w:rPr>
                <w:iCs/>
              </w:rPr>
              <w:t>greed</w:t>
            </w:r>
            <w:r w:rsidR="0087475A" w:rsidRPr="00842260">
              <w:rPr>
                <w:iCs/>
              </w:rPr>
              <w:t xml:space="preserve"> with the evaluation</w:t>
            </w:r>
            <w:r w:rsidR="00B03BD6" w:rsidRPr="00842260">
              <w:rPr>
                <w:iCs/>
              </w:rPr>
              <w:t xml:space="preserve"> that the validity of IDFS as a surrogate for OS remains unknown for the proposed patient population. </w:t>
            </w:r>
          </w:p>
        </w:tc>
        <w:tc>
          <w:tcPr>
            <w:tcW w:w="1466" w:type="pct"/>
            <w:shd w:val="clear" w:color="auto" w:fill="auto"/>
            <w:vAlign w:val="center"/>
          </w:tcPr>
          <w:p w14:paraId="50BAABA7" w14:textId="004860CC" w:rsidR="006D2F21" w:rsidRPr="00842260" w:rsidRDefault="00323416" w:rsidP="009C077F">
            <w:pPr>
              <w:pStyle w:val="TableText0"/>
            </w:pPr>
            <w:r w:rsidRPr="00842260">
              <w:t>Moderate</w:t>
            </w:r>
            <w:r w:rsidR="006D2F21" w:rsidRPr="00842260">
              <w:t xml:space="preserve">, favours </w:t>
            </w:r>
            <w:proofErr w:type="spellStart"/>
            <w:r w:rsidR="006D2F21" w:rsidRPr="00842260">
              <w:t>abemaciclib</w:t>
            </w:r>
            <w:proofErr w:type="spellEnd"/>
            <w:r w:rsidR="006D2F21" w:rsidRPr="00842260">
              <w:t xml:space="preserve">. When estimates </w:t>
            </w:r>
            <w:r w:rsidR="009C077F" w:rsidRPr="00842260">
              <w:t xml:space="preserve">without calibration </w:t>
            </w:r>
            <w:r w:rsidR="006D2F21" w:rsidRPr="00842260">
              <w:t>were used,</w:t>
            </w:r>
            <w:r w:rsidR="00E96E31" w:rsidRPr="00842260">
              <w:t xml:space="preserve"> the ICER increased to $</w:t>
            </w:r>
            <w:r w:rsidR="007012DA" w:rsidRPr="007012DA">
              <w:rPr>
                <w:color w:val="000000"/>
                <w:spacing w:val="53"/>
                <w:shd w:val="solid" w:color="000000" w:fill="000000"/>
                <w:fitText w:val="330" w:id="-1500862714"/>
                <w14:textFill>
                  <w14:solidFill>
                    <w14:srgbClr w14:val="000000">
                      <w14:alpha w14:val="100000"/>
                    </w14:srgbClr>
                  </w14:solidFill>
                </w14:textFill>
              </w:rPr>
              <w:t>|||</w:t>
            </w:r>
            <w:r w:rsidR="007012DA" w:rsidRPr="007012DA">
              <w:rPr>
                <w:color w:val="000000"/>
                <w:spacing w:val="1"/>
                <w:shd w:val="solid" w:color="000000" w:fill="000000"/>
                <w:fitText w:val="330" w:id="-1500862714"/>
                <w14:textFill>
                  <w14:solidFill>
                    <w14:srgbClr w14:val="000000">
                      <w14:alpha w14:val="100000"/>
                    </w14:srgbClr>
                  </w14:solidFill>
                </w14:textFill>
              </w:rPr>
              <w:t>|</w:t>
            </w:r>
            <w:r w:rsidR="00DB3420">
              <w:rPr>
                <w:rFonts w:cs="Arial"/>
                <w:szCs w:val="20"/>
                <w:vertAlign w:val="superscript"/>
              </w:rPr>
              <w:t>1</w:t>
            </w:r>
            <w:r w:rsidR="00E96E31" w:rsidRPr="00842260">
              <w:t>.</w:t>
            </w:r>
          </w:p>
          <w:p w14:paraId="79428C2B" w14:textId="77777777" w:rsidR="00323416" w:rsidRPr="00842260" w:rsidRDefault="00323416" w:rsidP="009C077F">
            <w:pPr>
              <w:pStyle w:val="TableText0"/>
            </w:pPr>
          </w:p>
          <w:p w14:paraId="62C1CC99" w14:textId="1D997D64" w:rsidR="00323416" w:rsidRPr="00842260" w:rsidRDefault="00323416" w:rsidP="00323416">
            <w:pPr>
              <w:pStyle w:val="TableText0"/>
            </w:pPr>
            <w:r w:rsidRPr="00842260">
              <w:t xml:space="preserve">This was noted to have a high impact in the multivariate analyses where assumptions regarding the treatment effect of </w:t>
            </w:r>
            <w:proofErr w:type="spellStart"/>
            <w:r w:rsidRPr="00842260">
              <w:t>abemaciclib</w:t>
            </w:r>
            <w:proofErr w:type="spellEnd"/>
            <w:r w:rsidRPr="00842260">
              <w:t xml:space="preserve"> were also reduced (</w:t>
            </w:r>
            <w:r w:rsidRPr="00842260">
              <w:fldChar w:fldCharType="begin"/>
            </w:r>
            <w:r w:rsidRPr="00842260">
              <w:instrText xml:space="preserve"> REF _Ref93249654 \h  \* MERGEFORMAT </w:instrText>
            </w:r>
            <w:r w:rsidRPr="00842260">
              <w:fldChar w:fldCharType="separate"/>
            </w:r>
            <w:r w:rsidR="00053218" w:rsidRPr="00842260">
              <w:t xml:space="preserve">Table </w:t>
            </w:r>
            <w:r w:rsidR="00053218">
              <w:t>13</w:t>
            </w:r>
            <w:r w:rsidRPr="00842260">
              <w:fldChar w:fldCharType="end"/>
            </w:r>
            <w:r w:rsidRPr="00842260">
              <w:t>).</w:t>
            </w:r>
          </w:p>
        </w:tc>
      </w:tr>
      <w:tr w:rsidR="006D2F21" w:rsidRPr="00842260" w14:paraId="737496BF" w14:textId="77777777" w:rsidTr="001A1DFD">
        <w:tc>
          <w:tcPr>
            <w:tcW w:w="705" w:type="pct"/>
            <w:shd w:val="clear" w:color="auto" w:fill="auto"/>
            <w:vAlign w:val="center"/>
          </w:tcPr>
          <w:p w14:paraId="191DAFE4" w14:textId="15AE77A9" w:rsidR="006D2F21" w:rsidRPr="00842260" w:rsidRDefault="006D2F21" w:rsidP="001A33B0">
            <w:pPr>
              <w:pStyle w:val="TableText0"/>
            </w:pPr>
            <w:r w:rsidRPr="00842260">
              <w:t xml:space="preserve">Proportion of </w:t>
            </w:r>
            <w:r w:rsidR="005327DD" w:rsidRPr="00842260">
              <w:t>recurrences that are non-metastatic</w:t>
            </w:r>
          </w:p>
        </w:tc>
        <w:tc>
          <w:tcPr>
            <w:tcW w:w="2829" w:type="pct"/>
            <w:shd w:val="clear" w:color="auto" w:fill="auto"/>
            <w:vAlign w:val="center"/>
          </w:tcPr>
          <w:p w14:paraId="22F17DE5" w14:textId="77777777" w:rsidR="006D2F21" w:rsidRPr="00842260" w:rsidRDefault="006D2F21" w:rsidP="001A1DFD">
            <w:pPr>
              <w:pStyle w:val="TableText0"/>
            </w:pPr>
            <w:r w:rsidRPr="00842260">
              <w:t xml:space="preserve">A constant proportion was assumed, though varied by model arm (ABE + ET: 28%; ET: 26%). The submission has not supported that the differences are statistically significant, and so the approach may not be reasonable. </w:t>
            </w:r>
          </w:p>
        </w:tc>
        <w:tc>
          <w:tcPr>
            <w:tcW w:w="1466" w:type="pct"/>
            <w:shd w:val="clear" w:color="auto" w:fill="auto"/>
            <w:vAlign w:val="center"/>
          </w:tcPr>
          <w:p w14:paraId="25777948" w14:textId="06244FA2" w:rsidR="006D2F21" w:rsidRPr="00842260" w:rsidRDefault="006D2F21" w:rsidP="001A1DFD">
            <w:pPr>
              <w:pStyle w:val="TableText0"/>
            </w:pPr>
            <w:r w:rsidRPr="00842260">
              <w:t xml:space="preserve">Moderate, favours </w:t>
            </w:r>
            <w:proofErr w:type="spellStart"/>
            <w:r w:rsidRPr="00842260">
              <w:t>abemaciclib</w:t>
            </w:r>
            <w:proofErr w:type="spellEnd"/>
            <w:r w:rsidRPr="00842260">
              <w:t>. When the same proportion is applied across both model arms, the ICER increased to $</w:t>
            </w:r>
            <w:r w:rsidR="007012DA" w:rsidRPr="007012DA">
              <w:rPr>
                <w:color w:val="000000"/>
                <w:spacing w:val="53"/>
                <w:shd w:val="solid" w:color="000000" w:fill="000000"/>
                <w:fitText w:val="330" w:id="-1500862713"/>
                <w14:textFill>
                  <w14:solidFill>
                    <w14:srgbClr w14:val="000000">
                      <w14:alpha w14:val="100000"/>
                    </w14:srgbClr>
                  </w14:solidFill>
                </w14:textFill>
              </w:rPr>
              <w:t>|||</w:t>
            </w:r>
            <w:r w:rsidR="007012DA" w:rsidRPr="007012DA">
              <w:rPr>
                <w:color w:val="000000"/>
                <w:spacing w:val="1"/>
                <w:shd w:val="solid" w:color="000000" w:fill="000000"/>
                <w:fitText w:val="330" w:id="-1500862713"/>
                <w14:textFill>
                  <w14:solidFill>
                    <w14:srgbClr w14:val="000000">
                      <w14:alpha w14:val="100000"/>
                    </w14:srgbClr>
                  </w14:solidFill>
                </w14:textFill>
              </w:rPr>
              <w:t>|</w:t>
            </w:r>
            <w:r w:rsidR="00DB3420">
              <w:rPr>
                <w:rFonts w:cs="Arial"/>
                <w:szCs w:val="20"/>
                <w:vertAlign w:val="superscript"/>
              </w:rPr>
              <w:t>1</w:t>
            </w:r>
            <w:r w:rsidRPr="00842260">
              <w:t>.</w:t>
            </w:r>
          </w:p>
        </w:tc>
      </w:tr>
    </w:tbl>
    <w:p w14:paraId="5AC80430" w14:textId="129671BB" w:rsidR="006D2F21" w:rsidRPr="00842260" w:rsidRDefault="006D2F21" w:rsidP="006D2F21">
      <w:pPr>
        <w:pStyle w:val="TableFigureFooter"/>
      </w:pPr>
      <w:r w:rsidRPr="00842260">
        <w:t xml:space="preserve">Source: </w:t>
      </w:r>
      <w:r w:rsidR="00C7505A" w:rsidRPr="00842260">
        <w:t>Constructed during the evaluation.</w:t>
      </w:r>
    </w:p>
    <w:p w14:paraId="3095BDDE" w14:textId="382E1908" w:rsidR="00C7505A" w:rsidRPr="00842260" w:rsidRDefault="00DF7265" w:rsidP="006D2F21">
      <w:pPr>
        <w:pStyle w:val="TableFigureFooter"/>
      </w:pPr>
      <w:r w:rsidRPr="00842260">
        <w:t xml:space="preserve">ABE = </w:t>
      </w:r>
      <w:proofErr w:type="spellStart"/>
      <w:r w:rsidRPr="00842260">
        <w:t>abemaciclib</w:t>
      </w:r>
      <w:proofErr w:type="spellEnd"/>
      <w:r w:rsidRPr="00842260">
        <w:t xml:space="preserve">; </w:t>
      </w:r>
      <w:r w:rsidR="005327DD" w:rsidRPr="00842260">
        <w:t>CDK4/6 = cyclin-dependent kinases 4 and 6; ER-MBC = endocrine-resistant metastatic breast cancer;</w:t>
      </w:r>
      <w:r w:rsidR="00BD689C" w:rsidRPr="00842260">
        <w:t xml:space="preserve"> ESC = Economics Sub Committee;</w:t>
      </w:r>
      <w:r w:rsidR="005327DD" w:rsidRPr="00842260">
        <w:t xml:space="preserve"> </w:t>
      </w:r>
      <w:r w:rsidR="00C7505A" w:rsidRPr="00842260">
        <w:t xml:space="preserve">ES-MBC = endocrine-sensitive metastatic breast cancer; ET = endocrine therapy; HER2 = human epidermal growth factor receptor-2; </w:t>
      </w:r>
      <w:r w:rsidR="005327DD" w:rsidRPr="00842260">
        <w:t xml:space="preserve">ICER = incremental cost-effectiveness ratio; </w:t>
      </w:r>
      <w:r w:rsidR="00C7505A" w:rsidRPr="00842260">
        <w:t xml:space="preserve">IDFS = invasive disease-free survival; LY = life years; </w:t>
      </w:r>
      <w:r w:rsidR="005327DD" w:rsidRPr="00842260">
        <w:t xml:space="preserve">NSAI = non-steroidal aromatase inhibitor; OS = overall survival; </w:t>
      </w:r>
      <w:r w:rsidR="00BD689C" w:rsidRPr="00842260">
        <w:t xml:space="preserve">PBAC = Pharmaceutical Benefits Advisory Committee; </w:t>
      </w:r>
      <w:r w:rsidR="005327DD" w:rsidRPr="00842260">
        <w:t>PFS = progression-free survival; PPS = post-progression survival</w:t>
      </w:r>
      <w:r w:rsidR="00BD689C" w:rsidRPr="00842260">
        <w:t>; PSD = public summary document</w:t>
      </w:r>
      <w:r w:rsidR="005327DD" w:rsidRPr="00842260">
        <w:t>.</w:t>
      </w:r>
    </w:p>
    <w:p w14:paraId="42D993DE" w14:textId="1783D640" w:rsidR="005327DD" w:rsidRDefault="005327DD" w:rsidP="006D2F21">
      <w:pPr>
        <w:pStyle w:val="TableFigureFooter"/>
      </w:pPr>
      <w:r w:rsidRPr="00842260">
        <w:t xml:space="preserve">Note: The base case was revised during the evaluation to correct the per cycle probability of recurrence in the Remission health state, to apply the probability of death in IDFS to the proportion in IDFS rather than invasive disease events, and to apply only one hospitalisation cost per cycle in </w:t>
      </w:r>
      <w:proofErr w:type="spellStart"/>
      <w:r w:rsidRPr="00842260">
        <w:t>abemaciclib</w:t>
      </w:r>
      <w:proofErr w:type="spellEnd"/>
      <w:r w:rsidRPr="00842260">
        <w:t xml:space="preserve"> monitoring. The metastatic health state fixed pay-offs (costs and QALYs) were also revised to apply a discount rate of </w:t>
      </w:r>
      <w:proofErr w:type="gramStart"/>
      <w:r w:rsidR="007012DA" w:rsidRPr="007012DA">
        <w:rPr>
          <w:color w:val="000000"/>
          <w:spacing w:val="37"/>
          <w:shd w:val="solid" w:color="000000" w:fill="000000"/>
          <w:fitText w:val="270" w:id="-1500862712"/>
          <w14:textFill>
            <w14:solidFill>
              <w14:srgbClr w14:val="000000">
                <w14:alpha w14:val="100000"/>
              </w14:srgbClr>
            </w14:solidFill>
          </w14:textFill>
        </w:rPr>
        <w:t xml:space="preserve">|  </w:t>
      </w:r>
      <w:r w:rsidR="007012DA" w:rsidRPr="007012DA">
        <w:rPr>
          <w:color w:val="000000"/>
          <w:spacing w:val="1"/>
          <w:shd w:val="solid" w:color="000000" w:fill="000000"/>
          <w:fitText w:val="270" w:id="-1500862712"/>
          <w14:textFill>
            <w14:solidFill>
              <w14:srgbClr w14:val="000000">
                <w14:alpha w14:val="100000"/>
              </w14:srgbClr>
            </w14:solidFill>
          </w14:textFill>
        </w:rPr>
        <w:t>|</w:t>
      </w:r>
      <w:proofErr w:type="gramEnd"/>
      <w:r w:rsidRPr="00842260">
        <w:t>% × (28/365.25) per cycle, the ES-MBC PPS QALYs and costs were revised based on PPS LYs, rather than PFS1 LYs, and to correct for calculation errors in the ER-MBC PPS and ES-MBC PFS2 weighted treatment costs per cycle.</w:t>
      </w:r>
    </w:p>
    <w:p w14:paraId="5B5F3FEB" w14:textId="77777777" w:rsidR="00DB3420" w:rsidRPr="00DB3420" w:rsidRDefault="00DB3420" w:rsidP="00DB3420">
      <w:pPr>
        <w:pStyle w:val="TableFigureFooter"/>
        <w:rPr>
          <w:i/>
        </w:rPr>
      </w:pPr>
      <w:r w:rsidRPr="00DB3420">
        <w:rPr>
          <w:i/>
        </w:rPr>
        <w:t xml:space="preserve">The redacted values correspond to the following ranges: </w:t>
      </w:r>
    </w:p>
    <w:p w14:paraId="702406F1" w14:textId="09A732B8" w:rsidR="00DB3420" w:rsidRPr="00DB3420" w:rsidRDefault="00DB3420" w:rsidP="00DB3420">
      <w:pPr>
        <w:pStyle w:val="TableFigureFooter"/>
        <w:rPr>
          <w:i/>
        </w:rPr>
      </w:pPr>
      <w:r w:rsidRPr="00DB3420">
        <w:rPr>
          <w:i/>
          <w:vertAlign w:val="superscript"/>
        </w:rPr>
        <w:t>1</w:t>
      </w:r>
      <w:r w:rsidRPr="00DB3420">
        <w:rPr>
          <w:i/>
        </w:rPr>
        <w:t xml:space="preserve"> $15,000 to &lt; $25,000</w:t>
      </w:r>
    </w:p>
    <w:p w14:paraId="4380F9E5" w14:textId="45FFA6A0" w:rsidR="00DB3420" w:rsidRDefault="00DB3420" w:rsidP="00DB3420">
      <w:pPr>
        <w:pStyle w:val="TableFigureFooter"/>
        <w:rPr>
          <w:i/>
        </w:rPr>
      </w:pPr>
      <w:r w:rsidRPr="00DB3420">
        <w:rPr>
          <w:i/>
          <w:vertAlign w:val="superscript"/>
        </w:rPr>
        <w:lastRenderedPageBreak/>
        <w:t>2</w:t>
      </w:r>
      <w:r w:rsidRPr="00DB3420">
        <w:rPr>
          <w:i/>
        </w:rPr>
        <w:t xml:space="preserve"> </w:t>
      </w:r>
      <w:r>
        <w:rPr>
          <w:i/>
        </w:rPr>
        <w:t>$</w:t>
      </w:r>
      <w:r w:rsidRPr="00DB3420">
        <w:rPr>
          <w:i/>
        </w:rPr>
        <w:t>75,000 to &lt; $95,000</w:t>
      </w:r>
      <w:r>
        <w:rPr>
          <w:i/>
        </w:rPr>
        <w:t xml:space="preserve"> </w:t>
      </w:r>
    </w:p>
    <w:p w14:paraId="606891F0" w14:textId="52052DAD" w:rsidR="00DB3420" w:rsidRPr="00DB3420" w:rsidRDefault="00DB3420" w:rsidP="00DB3420">
      <w:pPr>
        <w:pStyle w:val="TableFigureFooter"/>
        <w:rPr>
          <w:i/>
        </w:rPr>
      </w:pPr>
      <w:r w:rsidRPr="00DB3420">
        <w:rPr>
          <w:i/>
          <w:vertAlign w:val="superscript"/>
        </w:rPr>
        <w:t>3</w:t>
      </w:r>
      <w:r w:rsidRPr="00DB3420">
        <w:rPr>
          <w:i/>
        </w:rPr>
        <w:t xml:space="preserve"> $355,000 to &lt; $455,000</w:t>
      </w:r>
    </w:p>
    <w:p w14:paraId="26B38359" w14:textId="267E46EF" w:rsidR="00DB3420" w:rsidRPr="00DB3420" w:rsidRDefault="00DB3420" w:rsidP="00DB3420">
      <w:pPr>
        <w:pStyle w:val="TableFigureFooter"/>
        <w:rPr>
          <w:i/>
        </w:rPr>
      </w:pPr>
      <w:r w:rsidRPr="00DB3420">
        <w:rPr>
          <w:i/>
          <w:vertAlign w:val="superscript"/>
        </w:rPr>
        <w:t>4</w:t>
      </w:r>
      <w:r w:rsidRPr="00DB3420">
        <w:rPr>
          <w:i/>
        </w:rPr>
        <w:t xml:space="preserve"> </w:t>
      </w:r>
      <w:r>
        <w:rPr>
          <w:i/>
        </w:rPr>
        <w:t>$</w:t>
      </w:r>
      <w:r w:rsidRPr="00DB3420">
        <w:rPr>
          <w:i/>
        </w:rPr>
        <w:t>35,000 to &lt; $45,000</w:t>
      </w:r>
    </w:p>
    <w:p w14:paraId="4FC2BB08" w14:textId="7E93B480" w:rsidR="00DB3420" w:rsidRPr="00DB3420" w:rsidRDefault="00DB3420" w:rsidP="00DB3420">
      <w:pPr>
        <w:pStyle w:val="TableFigureFooter"/>
        <w:rPr>
          <w:i/>
        </w:rPr>
      </w:pPr>
      <w:r w:rsidRPr="00DB3420">
        <w:rPr>
          <w:i/>
          <w:vertAlign w:val="superscript"/>
        </w:rPr>
        <w:t>5</w:t>
      </w:r>
      <w:r w:rsidRPr="00DB3420">
        <w:rPr>
          <w:i/>
        </w:rPr>
        <w:t xml:space="preserve"> $25,000 to &lt; $35,000</w:t>
      </w:r>
    </w:p>
    <w:p w14:paraId="7F15950D" w14:textId="0527C953" w:rsidR="00A149A1" w:rsidRPr="00842260" w:rsidRDefault="00A149A1" w:rsidP="00E4613F">
      <w:pPr>
        <w:pStyle w:val="3-BodyText"/>
      </w:pPr>
      <w:r w:rsidRPr="00826D76">
        <w:t xml:space="preserve">Observed IDFS data from </w:t>
      </w:r>
      <w:proofErr w:type="spellStart"/>
      <w:r w:rsidRPr="00826D76">
        <w:t>monarchE</w:t>
      </w:r>
      <w:proofErr w:type="spellEnd"/>
      <w:r w:rsidRPr="00826D76">
        <w:t xml:space="preserve"> were used until month 32, </w:t>
      </w:r>
      <w:r w:rsidR="005B0D9A" w:rsidRPr="00826D76">
        <w:t>after</w:t>
      </w:r>
      <w:r w:rsidR="005B0D9A" w:rsidRPr="00842260">
        <w:t xml:space="preserve"> </w:t>
      </w:r>
      <w:r w:rsidR="009C077F" w:rsidRPr="00842260">
        <w:t xml:space="preserve">which </w:t>
      </w:r>
      <w:r w:rsidR="006D2F21" w:rsidRPr="00842260">
        <w:t xml:space="preserve">data were extrapolated </w:t>
      </w:r>
      <w:r w:rsidR="00B50ADE" w:rsidRPr="00842260">
        <w:t>using jointly fitted parametric models</w:t>
      </w:r>
      <w:r w:rsidR="005B0D9A" w:rsidRPr="00842260">
        <w:t xml:space="preserve">. </w:t>
      </w:r>
      <w:r w:rsidR="005B0D9A" w:rsidRPr="00312AFA">
        <w:rPr>
          <w:iCs/>
        </w:rPr>
        <w:t>At the time of the latest data cut, 10.0% of patients in the trial had experienced an IDFS event. Given the low number of events, the IDFS data were not likely to provide a reliable basis for extrapolation.</w:t>
      </w:r>
      <w:r w:rsidR="00B50ADE" w:rsidRPr="00312AFA">
        <w:rPr>
          <w:iCs/>
        </w:rPr>
        <w:t xml:space="preserve"> </w:t>
      </w:r>
      <w:r w:rsidRPr="00312AFA">
        <w:rPr>
          <w:iCs/>
        </w:rPr>
        <w:t xml:space="preserve">While the models appeared to fit the observed data reasonably well, </w:t>
      </w:r>
      <w:r w:rsidR="005B0D9A" w:rsidRPr="00312AFA">
        <w:rPr>
          <w:iCs/>
        </w:rPr>
        <w:t>the projected estimates varied</w:t>
      </w:r>
      <w:r w:rsidRPr="00312AFA">
        <w:rPr>
          <w:iCs/>
        </w:rPr>
        <w:t xml:space="preserve"> substantially between the different parametric models (</w:t>
      </w:r>
      <w:r w:rsidR="00B50ADE" w:rsidRPr="00312AFA">
        <w:rPr>
          <w:iCs/>
        </w:rPr>
        <w:fldChar w:fldCharType="begin"/>
      </w:r>
      <w:r w:rsidR="00B50ADE" w:rsidRPr="00312AFA">
        <w:rPr>
          <w:iCs/>
        </w:rPr>
        <w:instrText xml:space="preserve"> REF _Ref93247966 \h  \* MERGEFORMAT </w:instrText>
      </w:r>
      <w:r w:rsidR="00B50ADE" w:rsidRPr="00312AFA">
        <w:rPr>
          <w:iCs/>
        </w:rPr>
      </w:r>
      <w:r w:rsidR="00B50ADE" w:rsidRPr="00312AFA">
        <w:rPr>
          <w:iCs/>
        </w:rPr>
        <w:fldChar w:fldCharType="separate"/>
      </w:r>
      <w:r w:rsidR="00053218" w:rsidRPr="00312AFA">
        <w:rPr>
          <w:iCs/>
        </w:rPr>
        <w:t>Figure 5</w:t>
      </w:r>
      <w:r w:rsidR="00B50ADE" w:rsidRPr="00312AFA">
        <w:rPr>
          <w:iCs/>
        </w:rPr>
        <w:fldChar w:fldCharType="end"/>
      </w:r>
      <w:r w:rsidRPr="00312AFA">
        <w:rPr>
          <w:iCs/>
        </w:rPr>
        <w:t xml:space="preserve">). </w:t>
      </w:r>
      <w:r w:rsidR="00794CC2" w:rsidRPr="00312AFA">
        <w:rPr>
          <w:iCs/>
        </w:rPr>
        <w:t xml:space="preserve">The incremental cost-effectiveness ratio (ICER) was sensitive to the parametric model used for IDFS extrapolation. Using the log-logistic model, which projected estimates in the ET arm that were </w:t>
      </w:r>
      <w:proofErr w:type="gramStart"/>
      <w:r w:rsidR="00794CC2" w:rsidRPr="00312AFA">
        <w:rPr>
          <w:iCs/>
        </w:rPr>
        <w:t>similar to</w:t>
      </w:r>
      <w:proofErr w:type="gramEnd"/>
      <w:r w:rsidR="00794CC2" w:rsidRPr="00312AFA">
        <w:rPr>
          <w:iCs/>
        </w:rPr>
        <w:t xml:space="preserve"> external studies for both IDFS at 5 years (Smith 2017)</w:t>
      </w:r>
      <w:r w:rsidR="00794CC2" w:rsidRPr="00842260">
        <w:rPr>
          <w:rStyle w:val="FootnoteReference"/>
          <w:iCs/>
        </w:rPr>
        <w:footnoteReference w:id="6"/>
      </w:r>
      <w:r w:rsidR="00794CC2" w:rsidRPr="00312AFA">
        <w:rPr>
          <w:iCs/>
        </w:rPr>
        <w:t>, and metastatic recurrence at 5−20 years (Pan 2017)</w:t>
      </w:r>
      <w:bookmarkStart w:id="42" w:name="_Ref93473526"/>
      <w:r w:rsidR="006E7D91" w:rsidRPr="00842260">
        <w:rPr>
          <w:rStyle w:val="FootnoteReference"/>
          <w:iCs/>
        </w:rPr>
        <w:footnoteReference w:id="7"/>
      </w:r>
      <w:bookmarkEnd w:id="42"/>
      <w:r w:rsidR="00794CC2" w:rsidRPr="00312AFA">
        <w:rPr>
          <w:iCs/>
        </w:rPr>
        <w:t>, increased the (revised) ICER from</w:t>
      </w:r>
      <w:r w:rsidR="00AA2A1D">
        <w:rPr>
          <w:iCs/>
        </w:rPr>
        <w:t xml:space="preserve"> </w:t>
      </w:r>
      <w:r w:rsidR="00312AFA" w:rsidRPr="00A6252C">
        <w:rPr>
          <w:bCs/>
          <w:iCs/>
        </w:rPr>
        <w:t>$</w:t>
      </w:r>
      <w:r w:rsidR="00312AFA" w:rsidRPr="00312AFA">
        <w:rPr>
          <w:iCs/>
        </w:rPr>
        <w:t>1</w:t>
      </w:r>
      <w:r w:rsidR="00312AFA" w:rsidRPr="00A6252C">
        <w:rPr>
          <w:bCs/>
          <w:iCs/>
        </w:rPr>
        <w:t>5,000 to &lt; $</w:t>
      </w:r>
      <w:r w:rsidR="00312AFA" w:rsidRPr="00312AFA">
        <w:rPr>
          <w:iCs/>
        </w:rPr>
        <w:t>2</w:t>
      </w:r>
      <w:r w:rsidR="00312AFA" w:rsidRPr="00A6252C">
        <w:rPr>
          <w:bCs/>
          <w:iCs/>
        </w:rPr>
        <w:t>5,000</w:t>
      </w:r>
      <w:r w:rsidR="00794CC2" w:rsidRPr="00312AFA">
        <w:rPr>
          <w:iCs/>
        </w:rPr>
        <w:t xml:space="preserve"> to </w:t>
      </w:r>
      <w:r w:rsidR="00312AFA" w:rsidRPr="00312AFA">
        <w:rPr>
          <w:iCs/>
        </w:rPr>
        <w:t>$25,000 to &lt; $35,000</w:t>
      </w:r>
      <w:r w:rsidR="00794CC2" w:rsidRPr="00312AFA">
        <w:rPr>
          <w:iCs/>
        </w:rPr>
        <w:t xml:space="preserve">. </w:t>
      </w:r>
      <w:r w:rsidR="00D50620" w:rsidRPr="00842260">
        <w:t xml:space="preserve">The PSCR stated that the difference in IDFS projections occur later in the modelled time horizon and the proposed shortening of the model time horizon would reduce the impacts of selecting the log-logistic distribution for the purposes of IDFS extrapolation. The ESC </w:t>
      </w:r>
      <w:r w:rsidR="00AB7528" w:rsidRPr="00842260">
        <w:t>considered</w:t>
      </w:r>
      <w:r w:rsidR="00D50620" w:rsidRPr="00842260">
        <w:t xml:space="preserve"> that shortening the time horizon would be necessary</w:t>
      </w:r>
      <w:r w:rsidR="00195AB6" w:rsidRPr="00842260">
        <w:t xml:space="preserve"> as described above (</w:t>
      </w:r>
      <w:r w:rsidR="00A23F28" w:rsidRPr="00842260">
        <w:t xml:space="preserve">paragraph </w:t>
      </w:r>
      <w:r w:rsidR="00FB7DE7" w:rsidRPr="00842260">
        <w:t>6.26</w:t>
      </w:r>
      <w:r w:rsidR="00A61450" w:rsidRPr="00842260">
        <w:t xml:space="preserve">), independent of the parametric model used for extrapolation, but </w:t>
      </w:r>
      <w:r w:rsidR="003D0CE3" w:rsidRPr="00842260">
        <w:t xml:space="preserve">agreed </w:t>
      </w:r>
      <w:r w:rsidR="00A61450" w:rsidRPr="00842260">
        <w:t>it would also</w:t>
      </w:r>
      <w:r w:rsidR="00D50620" w:rsidRPr="00842260">
        <w:t xml:space="preserve"> </w:t>
      </w:r>
      <w:r w:rsidR="00A61450" w:rsidRPr="00842260">
        <w:t xml:space="preserve">reduce </w:t>
      </w:r>
      <w:r w:rsidR="00D50620" w:rsidRPr="00842260">
        <w:t>overestimati</w:t>
      </w:r>
      <w:r w:rsidR="00A61450" w:rsidRPr="00842260">
        <w:t>on of</w:t>
      </w:r>
      <w:r w:rsidR="00D50620" w:rsidRPr="00842260">
        <w:t xml:space="preserve"> the long-term incidence of metastatic recurrence in the ET model arm. </w:t>
      </w:r>
    </w:p>
    <w:p w14:paraId="5EE4106B" w14:textId="3C86DF7E" w:rsidR="00AA50A0" w:rsidRDefault="00AA50A0" w:rsidP="00AA50A0">
      <w:pPr>
        <w:pStyle w:val="TableFigureHeading"/>
      </w:pPr>
      <w:bookmarkStart w:id="43" w:name="_Ref93247966"/>
      <w:r w:rsidRPr="00523060">
        <w:lastRenderedPageBreak/>
        <w:t xml:space="preserve">Figure </w:t>
      </w:r>
      <w:fldSimple w:instr=" SEQ Figure \* ARABIC ">
        <w:r w:rsidR="00053218" w:rsidRPr="00523060">
          <w:rPr>
            <w:noProof/>
          </w:rPr>
          <w:t>5</w:t>
        </w:r>
      </w:fldSimple>
      <w:bookmarkEnd w:id="43"/>
      <w:r w:rsidRPr="00523060">
        <w:t>: Parametric functions used for IDFS extrapolation</w:t>
      </w:r>
    </w:p>
    <w:p w14:paraId="1D38B2ED" w14:textId="2334F2E2" w:rsidR="00363CDF" w:rsidRPr="00363CDF" w:rsidRDefault="00363CDF" w:rsidP="00363CDF">
      <w:pPr>
        <w:pStyle w:val="In-tableHeading"/>
        <w:rPr>
          <w:lang w:val="en-AU"/>
        </w:rPr>
      </w:pPr>
      <w:r w:rsidRPr="00AA1C34">
        <w:rPr>
          <w:noProof/>
          <w:highlight w:val="cyan"/>
        </w:rPr>
        <w:drawing>
          <wp:inline distT="0" distB="0" distL="0" distR="0" wp14:anchorId="41569833" wp14:editId="4529CE6B">
            <wp:extent cx="5400000" cy="3386686"/>
            <wp:effectExtent l="0" t="0" r="0" b="4445"/>
            <wp:docPr id="20" name="Picture 20" descr="Figure 5: Parametric functions used for IDFS extrap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5: Parametric functions used for IDFS extrap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386686"/>
                    </a:xfrm>
                    <a:prstGeom prst="rect">
                      <a:avLst/>
                    </a:prstGeom>
                    <a:noFill/>
                  </pic:spPr>
                </pic:pic>
              </a:graphicData>
            </a:graphic>
          </wp:inline>
        </w:drawing>
      </w:r>
    </w:p>
    <w:p w14:paraId="551FE433" w14:textId="77777777" w:rsidR="00136230" w:rsidRPr="00842260" w:rsidRDefault="00136230" w:rsidP="00136230">
      <w:pPr>
        <w:pStyle w:val="TableFigureFooter"/>
      </w:pPr>
      <w:r w:rsidRPr="00842260">
        <w:t>Source: Constructed during the evaluation from the ‘A6.1_Abemaciclib Section 3 workbook.xlsm’ workbook included in the submission.</w:t>
      </w:r>
    </w:p>
    <w:p w14:paraId="438256A3" w14:textId="77777777" w:rsidR="00136230" w:rsidRPr="00842260" w:rsidRDefault="00136230" w:rsidP="00136230">
      <w:pPr>
        <w:pStyle w:val="TableFigureFooter"/>
      </w:pPr>
      <w:r w:rsidRPr="00842260">
        <w:t xml:space="preserve">ABE = </w:t>
      </w:r>
      <w:proofErr w:type="spellStart"/>
      <w:r w:rsidRPr="00842260">
        <w:t>abemaciclib</w:t>
      </w:r>
      <w:proofErr w:type="spellEnd"/>
      <w:r w:rsidRPr="00842260">
        <w:t>; ET = endocrine therapy; IDFS = invasive disease-free survival; KM = Kaplan-Meier.</w:t>
      </w:r>
    </w:p>
    <w:p w14:paraId="7A428A72" w14:textId="77777777" w:rsidR="00136230" w:rsidRPr="00842260" w:rsidRDefault="00136230" w:rsidP="00136230">
      <w:pPr>
        <w:pStyle w:val="TableFigureFooter"/>
      </w:pPr>
      <w:r w:rsidRPr="00842260">
        <w:t>* Denotes parametric model chosen in the base case analysis.</w:t>
      </w:r>
    </w:p>
    <w:p w14:paraId="0FA3A37E" w14:textId="4063B7DF" w:rsidR="00A149A1" w:rsidRPr="00842260" w:rsidRDefault="00A149A1" w:rsidP="00536C99">
      <w:pPr>
        <w:pStyle w:val="3-BodyText"/>
        <w:spacing w:after="240"/>
      </w:pPr>
      <w:r w:rsidRPr="00842260">
        <w:t xml:space="preserve">As a jointly fitted approach was adopted, the parametric extrapolations </w:t>
      </w:r>
      <w:r w:rsidR="006D2F21" w:rsidRPr="00842260">
        <w:t>include</w:t>
      </w:r>
      <w:r w:rsidR="009C077F" w:rsidRPr="00842260">
        <w:t>d</w:t>
      </w:r>
      <w:r w:rsidRPr="00842260">
        <w:t xml:space="preserve"> an ongoing treatment effect of </w:t>
      </w:r>
      <w:proofErr w:type="spellStart"/>
      <w:r w:rsidRPr="00842260">
        <w:t>abemaciclib</w:t>
      </w:r>
      <w:proofErr w:type="spellEnd"/>
      <w:r w:rsidRPr="00842260">
        <w:t> + ET over ET</w:t>
      </w:r>
      <w:r w:rsidR="00071499" w:rsidRPr="00842260">
        <w:t xml:space="preserve"> alone</w:t>
      </w:r>
      <w:r w:rsidRPr="00842260">
        <w:t xml:space="preserve">. This treatment effect was </w:t>
      </w:r>
      <w:r w:rsidR="006D2F21" w:rsidRPr="00842260">
        <w:t>modelled</w:t>
      </w:r>
      <w:r w:rsidRPr="00842260">
        <w:t xml:space="preserve"> to last for at least eight years, after which, the effect of </w:t>
      </w:r>
      <w:proofErr w:type="spellStart"/>
      <w:r w:rsidRPr="00842260">
        <w:t>abemaciclib</w:t>
      </w:r>
      <w:proofErr w:type="spellEnd"/>
      <w:r w:rsidRPr="00842260">
        <w:t xml:space="preserve"> wane</w:t>
      </w:r>
      <w:r w:rsidR="006D2F21" w:rsidRPr="00842260">
        <w:t>d</w:t>
      </w:r>
      <w:r w:rsidRPr="00842260">
        <w:t xml:space="preserve"> until the extrapolated </w:t>
      </w:r>
      <w:r w:rsidR="00E96E31" w:rsidRPr="00842260">
        <w:t>comparator arm</w:t>
      </w:r>
      <w:r w:rsidRPr="00842260">
        <w:t xml:space="preserve"> IDFS hazard rate equalled background mortality (Year 3</w:t>
      </w:r>
      <w:r w:rsidR="009C077F" w:rsidRPr="00842260">
        <w:t>8</w:t>
      </w:r>
      <w:r w:rsidRPr="00842260">
        <w:t xml:space="preserve">). </w:t>
      </w:r>
      <w:r w:rsidR="006D2F21" w:rsidRPr="00842260">
        <w:t xml:space="preserve">The assumption of an ongoing treatment effect of </w:t>
      </w:r>
      <w:proofErr w:type="spellStart"/>
      <w:r w:rsidR="006D2F21" w:rsidRPr="00842260">
        <w:t>abemaciclib</w:t>
      </w:r>
      <w:proofErr w:type="spellEnd"/>
      <w:r w:rsidR="006D2F21" w:rsidRPr="00842260">
        <w:t xml:space="preserve"> beyond the observed period is not reasonable. T</w:t>
      </w:r>
      <w:r w:rsidRPr="00842260">
        <w:t>hat waning would not begin until eight years was based on the benefit of anastrozole over tamoxifen (</w:t>
      </w:r>
      <w:proofErr w:type="spellStart"/>
      <w:r w:rsidR="00395583" w:rsidRPr="00842260">
        <w:t>Cuzick</w:t>
      </w:r>
      <w:proofErr w:type="spellEnd"/>
      <w:r w:rsidR="00395583" w:rsidRPr="00842260">
        <w:t xml:space="preserve"> 2006</w:t>
      </w:r>
      <w:r w:rsidRPr="00842260">
        <w:t>)</w:t>
      </w:r>
      <w:r w:rsidR="00AC4E45" w:rsidRPr="00842260">
        <w:rPr>
          <w:rStyle w:val="FootnoteReference"/>
        </w:rPr>
        <w:footnoteReference w:id="8"/>
      </w:r>
      <w:r w:rsidRPr="00842260">
        <w:t xml:space="preserve"> which </w:t>
      </w:r>
      <w:r w:rsidR="006D2F21" w:rsidRPr="00842260">
        <w:t>has unlikely applicability</w:t>
      </w:r>
      <w:r w:rsidRPr="00842260">
        <w:t xml:space="preserve"> to the duration of the </w:t>
      </w:r>
      <w:proofErr w:type="spellStart"/>
      <w:r w:rsidRPr="00842260">
        <w:t>abemaciclib</w:t>
      </w:r>
      <w:proofErr w:type="spellEnd"/>
      <w:r w:rsidRPr="00842260">
        <w:t xml:space="preserve"> treatment effect. A comparison of the modelled curves with differing assumptions regarding treatment waning is presented in </w:t>
      </w:r>
      <w:r w:rsidR="00B50ADE" w:rsidRPr="00842260">
        <w:fldChar w:fldCharType="begin"/>
      </w:r>
      <w:r w:rsidR="00B50ADE" w:rsidRPr="00842260">
        <w:instrText xml:space="preserve"> REF _Ref93247977 \h  \* MERGEFORMAT </w:instrText>
      </w:r>
      <w:r w:rsidR="00B50ADE" w:rsidRPr="00842260">
        <w:fldChar w:fldCharType="separate"/>
      </w:r>
      <w:r w:rsidR="00053218" w:rsidRPr="00842260">
        <w:t xml:space="preserve">Figure </w:t>
      </w:r>
      <w:r w:rsidR="00053218">
        <w:t>6</w:t>
      </w:r>
      <w:r w:rsidR="00B50ADE" w:rsidRPr="00842260">
        <w:fldChar w:fldCharType="end"/>
      </w:r>
      <w:r w:rsidRPr="00842260">
        <w:t>.</w:t>
      </w:r>
      <w:r w:rsidR="00580D8F" w:rsidRPr="00842260">
        <w:t xml:space="preserve"> The ICER was highly sensitive to changes in the duration of the treatment effect. </w:t>
      </w:r>
      <w:r w:rsidR="00580D8F" w:rsidRPr="00A25805">
        <w:t xml:space="preserve">Assuming a waning of the effect from the end of the observed data to Year </w:t>
      </w:r>
      <w:r w:rsidR="007D118D" w:rsidRPr="00A25805">
        <w:t xml:space="preserve">7 </w:t>
      </w:r>
      <w:r w:rsidR="00580D8F" w:rsidRPr="00A25805">
        <w:t>increased the ICER</w:t>
      </w:r>
      <w:r w:rsidR="00580D8F" w:rsidRPr="00842260">
        <w:t xml:space="preserve"> to </w:t>
      </w:r>
      <w:r w:rsidR="00842C73" w:rsidRPr="00842C73">
        <w:t>$75,000 to &lt; $95,000</w:t>
      </w:r>
      <w:r w:rsidR="00580D8F" w:rsidRPr="00842260">
        <w:t xml:space="preserve">, while assuming no effect beyond the observed period increased the ICER to </w:t>
      </w:r>
      <w:r w:rsidR="00842C73" w:rsidRPr="00842C73">
        <w:t>$355,000 to &lt; $455,000</w:t>
      </w:r>
      <w:r w:rsidR="00580D8F" w:rsidRPr="00842260">
        <w:t>.</w:t>
      </w:r>
      <w:r w:rsidR="00CE73B7" w:rsidRPr="00842260">
        <w:t xml:space="preserve"> </w:t>
      </w:r>
      <w:r w:rsidR="002652D4" w:rsidRPr="00842260">
        <w:rPr>
          <w:iCs/>
        </w:rPr>
        <w:t xml:space="preserve">The PSCR stated that the duration of </w:t>
      </w:r>
      <w:r w:rsidR="002652D4" w:rsidRPr="00842260">
        <w:t xml:space="preserve">effect reported for anastrozole and tamoxifen reported in the </w:t>
      </w:r>
      <w:proofErr w:type="spellStart"/>
      <w:r w:rsidR="002652D4" w:rsidRPr="00842260">
        <w:t>Arimidex</w:t>
      </w:r>
      <w:proofErr w:type="spellEnd"/>
      <w:r w:rsidR="002652D4" w:rsidRPr="00842260">
        <w:t xml:space="preserve">, Tamoxifen, Alone or in Combination (ATAC) trial supports the assumed ongoing treatment effect of </w:t>
      </w:r>
      <w:proofErr w:type="spellStart"/>
      <w:r w:rsidR="002652D4" w:rsidRPr="00842260">
        <w:t>abemaciclib</w:t>
      </w:r>
      <w:proofErr w:type="spellEnd"/>
      <w:r w:rsidR="002652D4" w:rsidRPr="00842260">
        <w:t xml:space="preserve"> in the bas</w:t>
      </w:r>
      <w:r w:rsidR="00536C99" w:rsidRPr="00842260">
        <w:t>e case of the economic model. However, t</w:t>
      </w:r>
      <w:r w:rsidR="002652D4" w:rsidRPr="00842260">
        <w:t xml:space="preserve">he applicability of </w:t>
      </w:r>
      <w:r w:rsidR="00B92913" w:rsidRPr="00842260">
        <w:t>the ATAC</w:t>
      </w:r>
      <w:r w:rsidR="002652D4" w:rsidRPr="00842260">
        <w:t xml:space="preserve"> trial to </w:t>
      </w:r>
      <w:r w:rsidR="00641BC1" w:rsidRPr="00842260">
        <w:t xml:space="preserve">the </w:t>
      </w:r>
      <w:proofErr w:type="spellStart"/>
      <w:r w:rsidR="002652D4" w:rsidRPr="00842260">
        <w:t>mona</w:t>
      </w:r>
      <w:r w:rsidR="00B92913" w:rsidRPr="00842260">
        <w:t>r</w:t>
      </w:r>
      <w:r w:rsidR="002652D4" w:rsidRPr="00842260">
        <w:t>chE</w:t>
      </w:r>
      <w:proofErr w:type="spellEnd"/>
      <w:r w:rsidR="002652D4" w:rsidRPr="00842260">
        <w:t xml:space="preserve"> </w:t>
      </w:r>
      <w:r w:rsidR="00641BC1" w:rsidRPr="00842260">
        <w:t xml:space="preserve">trial population </w:t>
      </w:r>
      <w:r w:rsidR="002652D4" w:rsidRPr="00842260">
        <w:t>and the duration of tr</w:t>
      </w:r>
      <w:r w:rsidR="00B92913" w:rsidRPr="00842260">
        <w:t xml:space="preserve">eatment effect of </w:t>
      </w:r>
      <w:proofErr w:type="spellStart"/>
      <w:r w:rsidR="00B92913" w:rsidRPr="00842260">
        <w:t>abemaciclib</w:t>
      </w:r>
      <w:proofErr w:type="spellEnd"/>
      <w:r w:rsidR="00B92913" w:rsidRPr="00842260">
        <w:t xml:space="preserve"> are</w:t>
      </w:r>
      <w:r w:rsidR="002652D4" w:rsidRPr="00842260">
        <w:t xml:space="preserve"> un</w:t>
      </w:r>
      <w:r w:rsidR="00EA1F62" w:rsidRPr="00842260">
        <w:t>known</w:t>
      </w:r>
      <w:r w:rsidR="002652D4" w:rsidRPr="00842260">
        <w:t xml:space="preserve">. </w:t>
      </w:r>
      <w:r w:rsidR="00CE73B7" w:rsidRPr="00842260">
        <w:t>The ESC agreed</w:t>
      </w:r>
      <w:r w:rsidR="00B92913" w:rsidRPr="00842260">
        <w:t xml:space="preserve"> </w:t>
      </w:r>
      <w:r w:rsidR="00B92913" w:rsidRPr="00842260">
        <w:lastRenderedPageBreak/>
        <w:t>with the evaluation</w:t>
      </w:r>
      <w:r w:rsidR="00CE73B7" w:rsidRPr="00842260">
        <w:t xml:space="preserve"> that there was no evidence provided in the submission or PSCR to support the duration of treatment effect due to </w:t>
      </w:r>
      <w:proofErr w:type="spellStart"/>
      <w:r w:rsidR="00CE73B7" w:rsidRPr="00842260">
        <w:t>abemaciclib</w:t>
      </w:r>
      <w:proofErr w:type="spellEnd"/>
      <w:r w:rsidR="00CE73B7" w:rsidRPr="00842260">
        <w:t xml:space="preserve"> treatment beyond the observed data. The ESC noted that the ICER is sensitive to changes in this assumption</w:t>
      </w:r>
      <w:r w:rsidR="00B92913" w:rsidRPr="00842260">
        <w:t xml:space="preserve"> and that g</w:t>
      </w:r>
      <w:r w:rsidR="00CE73B7" w:rsidRPr="00842260">
        <w:t xml:space="preserve">iven the lack of data, the ESC advised that waning the treatment effect from 2 to 7 years </w:t>
      </w:r>
      <w:r w:rsidR="002652D4" w:rsidRPr="00842260">
        <w:t>would be</w:t>
      </w:r>
      <w:r w:rsidR="00CE73B7" w:rsidRPr="00842260">
        <w:t xml:space="preserve"> more appropriate than 8 to 38 years.</w:t>
      </w:r>
      <w:r w:rsidR="002E4627" w:rsidRPr="00842260">
        <w:t xml:space="preserve"> </w:t>
      </w:r>
      <w:r w:rsidR="009F2CC7" w:rsidRPr="00842260">
        <w:t xml:space="preserve">The pre-PBAC response maintained that </w:t>
      </w:r>
      <w:r w:rsidR="00125C44" w:rsidRPr="00842260">
        <w:t xml:space="preserve">the piecewise analysis </w:t>
      </w:r>
      <w:r w:rsidR="00BD43C8" w:rsidRPr="00842260">
        <w:t xml:space="preserve">presented in the submission </w:t>
      </w:r>
      <w:r w:rsidR="00125C44" w:rsidRPr="00842260">
        <w:t xml:space="preserve">and </w:t>
      </w:r>
      <w:r w:rsidR="00480CD5" w:rsidRPr="00842260">
        <w:t xml:space="preserve">smoothed hazard rates of IDFS confirm that </w:t>
      </w:r>
      <w:r w:rsidR="0031556E" w:rsidRPr="00842260">
        <w:t xml:space="preserve">the </w:t>
      </w:r>
      <w:r w:rsidR="00480CD5" w:rsidRPr="00842260">
        <w:t xml:space="preserve">treatment effect of </w:t>
      </w:r>
      <w:proofErr w:type="spellStart"/>
      <w:r w:rsidR="00480CD5" w:rsidRPr="00842260">
        <w:t>abemaciclib</w:t>
      </w:r>
      <w:proofErr w:type="spellEnd"/>
      <w:r w:rsidR="00480CD5" w:rsidRPr="00842260">
        <w:t xml:space="preserve"> was maintained at 3 years and </w:t>
      </w:r>
      <w:r w:rsidR="00BD43C8" w:rsidRPr="00842260">
        <w:t>is</w:t>
      </w:r>
      <w:r w:rsidR="00480CD5" w:rsidRPr="00842260">
        <w:t xml:space="preserve"> evidence that </w:t>
      </w:r>
      <w:r w:rsidR="0031556E" w:rsidRPr="00842260">
        <w:t>treatment effect</w:t>
      </w:r>
      <w:r w:rsidR="00480CD5" w:rsidRPr="00842260">
        <w:t xml:space="preserve"> would be maintained long-term</w:t>
      </w:r>
      <w:r w:rsidR="0031556E" w:rsidRPr="00842260">
        <w:t>.</w:t>
      </w:r>
    </w:p>
    <w:p w14:paraId="2CB00988" w14:textId="4B92BB83" w:rsidR="00136230" w:rsidRPr="00842260" w:rsidRDefault="00AA50A0" w:rsidP="00136230">
      <w:pPr>
        <w:pStyle w:val="TableFigureHeading"/>
      </w:pPr>
      <w:bookmarkStart w:id="44" w:name="_Ref93247977"/>
      <w:r w:rsidRPr="00523060">
        <w:t xml:space="preserve">Figure </w:t>
      </w:r>
      <w:fldSimple w:instr=" SEQ Figure \* ARABIC ">
        <w:r w:rsidR="00053218" w:rsidRPr="00523060">
          <w:rPr>
            <w:noProof/>
          </w:rPr>
          <w:t>6</w:t>
        </w:r>
      </w:fldSimple>
      <w:bookmarkEnd w:id="44"/>
      <w:r w:rsidRPr="00523060">
        <w:t xml:space="preserve">: </w:t>
      </w:r>
      <w:r w:rsidR="00136230" w:rsidRPr="00523060">
        <w:t>Effect of assumptions regarding treatment waning on modelled IDFS</w:t>
      </w:r>
    </w:p>
    <w:p w14:paraId="2FEC2DCD" w14:textId="7703342D" w:rsidR="00644897" w:rsidRPr="00842260" w:rsidRDefault="00644897" w:rsidP="00B97C75">
      <w:pPr>
        <w:jc w:val="center"/>
      </w:pPr>
      <w:r w:rsidRPr="00842260">
        <w:rPr>
          <w:noProof/>
        </w:rPr>
        <w:drawing>
          <wp:inline distT="0" distB="0" distL="0" distR="0" wp14:anchorId="0D5B0886" wp14:editId="4BB088FF">
            <wp:extent cx="5400000" cy="3382037"/>
            <wp:effectExtent l="0" t="0" r="0" b="8890"/>
            <wp:docPr id="15" name="Picture 15" descr="Figure 6: Effect of assumptions regarding treatment waning on modelled ID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6: Effect of assumptions regarding treatment waning on modelled IDF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382037"/>
                    </a:xfrm>
                    <a:prstGeom prst="rect">
                      <a:avLst/>
                    </a:prstGeom>
                    <a:noFill/>
                  </pic:spPr>
                </pic:pic>
              </a:graphicData>
            </a:graphic>
          </wp:inline>
        </w:drawing>
      </w:r>
    </w:p>
    <w:p w14:paraId="26DE188C" w14:textId="77777777" w:rsidR="00136230" w:rsidRPr="00842260" w:rsidRDefault="00136230" w:rsidP="00136230">
      <w:pPr>
        <w:pStyle w:val="TableFigureFooter"/>
      </w:pPr>
      <w:r w:rsidRPr="00842260">
        <w:t xml:space="preserve">Source: </w:t>
      </w:r>
      <w:r w:rsidRPr="00842260">
        <w:rPr>
          <w:iCs/>
        </w:rPr>
        <w:t>Constructed during the evaluation from the ‘A6.1_Abemaciclib Section 3 workbook.xlsm’ workbook included in the submission</w:t>
      </w:r>
      <w:r w:rsidRPr="00842260">
        <w:t>.</w:t>
      </w:r>
    </w:p>
    <w:p w14:paraId="31606FED" w14:textId="77777777" w:rsidR="00136230" w:rsidRPr="00842260" w:rsidRDefault="00136230" w:rsidP="00136230">
      <w:pPr>
        <w:pStyle w:val="TableFigureFooter"/>
      </w:pPr>
      <w:r w:rsidRPr="00842260">
        <w:t xml:space="preserve">ABE = </w:t>
      </w:r>
      <w:proofErr w:type="spellStart"/>
      <w:r w:rsidRPr="00842260">
        <w:t>abemaciclib</w:t>
      </w:r>
      <w:proofErr w:type="spellEnd"/>
      <w:r w:rsidRPr="00842260">
        <w:t>; ET = endocrine therapy; IDFS = invasive disease-free survival; KM = Kaplan-Meier.</w:t>
      </w:r>
    </w:p>
    <w:p w14:paraId="472E2901" w14:textId="4C91BBA8" w:rsidR="00E0526E" w:rsidRPr="00842260" w:rsidRDefault="00E0526E" w:rsidP="00E0526E">
      <w:pPr>
        <w:pStyle w:val="3-BodyText"/>
      </w:pPr>
      <w:r w:rsidRPr="00842260">
        <w:t xml:space="preserve">The submission separated metastatic recurrence into two substates based on whether patients were resistant to ET (those who developed metastatic recurrence while on, or within 12 months of completion of, adjuvant ET) or who were sensitive to ET. While the definition of endocrine-resistance was consistent with previous submission to the PBAC (Figure 1, </w:t>
      </w:r>
      <w:proofErr w:type="spellStart"/>
      <w:r w:rsidRPr="00842260">
        <w:t>Ribociclib</w:t>
      </w:r>
      <w:proofErr w:type="spellEnd"/>
      <w:r w:rsidRPr="00842260">
        <w:t xml:space="preserve"> PSD, July 2020 PBAC Meeting), this approach would alter the relative proportion of patients who would be classed as endocrine-resistant and endocrine-sensitive with </w:t>
      </w:r>
      <w:proofErr w:type="spellStart"/>
      <w:r w:rsidRPr="00842260">
        <w:t>abemaciclib</w:t>
      </w:r>
      <w:proofErr w:type="spellEnd"/>
      <w:r w:rsidRPr="00842260">
        <w:t xml:space="preserve"> treatment, due to improved IDFS. This was not supported by </w:t>
      </w:r>
      <w:proofErr w:type="spellStart"/>
      <w:r w:rsidRPr="00842260">
        <w:t>monarchE</w:t>
      </w:r>
      <w:proofErr w:type="spellEnd"/>
      <w:r w:rsidRPr="00842260">
        <w:t xml:space="preserve"> trial data as follow-up was less than 72 months and, by definition, did not observe any endocrine-sensitive recurrences. This may bias in favour of </w:t>
      </w:r>
      <w:proofErr w:type="spellStart"/>
      <w:r w:rsidRPr="00842260">
        <w:t>abemaciclib</w:t>
      </w:r>
      <w:proofErr w:type="spellEnd"/>
      <w:r w:rsidRPr="00842260">
        <w:t xml:space="preserve">, as patients in the model who are endocrine-sensitive are assumed to be associated with fewer costs and more </w:t>
      </w:r>
      <w:r w:rsidR="00920344" w:rsidRPr="00842260">
        <w:t>quality-adjusted life years (</w:t>
      </w:r>
      <w:r w:rsidRPr="00842260">
        <w:t>QALYs</w:t>
      </w:r>
      <w:r w:rsidR="00920344" w:rsidRPr="00842260">
        <w:t>)</w:t>
      </w:r>
      <w:r w:rsidRPr="00842260">
        <w:t xml:space="preserve"> after adjuvant </w:t>
      </w:r>
      <w:proofErr w:type="spellStart"/>
      <w:r w:rsidRPr="00842260">
        <w:t>abemaciclib</w:t>
      </w:r>
      <w:proofErr w:type="spellEnd"/>
      <w:r w:rsidRPr="00842260">
        <w:t> + ET, than if they were modelled as endocrine-resistant.</w:t>
      </w:r>
      <w:r w:rsidR="002338D0" w:rsidRPr="00842260">
        <w:t xml:space="preserve"> No evidence was presented to establish whether the use of </w:t>
      </w:r>
      <w:proofErr w:type="spellStart"/>
      <w:r w:rsidR="002338D0" w:rsidRPr="00842260">
        <w:t>abemaciclib</w:t>
      </w:r>
      <w:proofErr w:type="spellEnd"/>
      <w:r w:rsidR="002338D0" w:rsidRPr="00842260">
        <w:t xml:space="preserve"> would affect the endocrine sensitivity of a metastatic recurrence.</w:t>
      </w:r>
      <w:r w:rsidR="003B0840" w:rsidRPr="00842260">
        <w:t xml:space="preserve"> </w:t>
      </w:r>
      <w:r w:rsidR="003B0840" w:rsidRPr="00842260">
        <w:rPr>
          <w:iCs/>
        </w:rPr>
        <w:t xml:space="preserve">The ESC </w:t>
      </w:r>
      <w:r w:rsidR="004815A4" w:rsidRPr="00842260">
        <w:rPr>
          <w:iCs/>
        </w:rPr>
        <w:t>agreed</w:t>
      </w:r>
      <w:r w:rsidR="00143A50" w:rsidRPr="00842260">
        <w:rPr>
          <w:iCs/>
        </w:rPr>
        <w:t xml:space="preserve"> with </w:t>
      </w:r>
      <w:r w:rsidR="00143A50" w:rsidRPr="00842260">
        <w:rPr>
          <w:iCs/>
        </w:rPr>
        <w:lastRenderedPageBreak/>
        <w:t>the evaluation</w:t>
      </w:r>
      <w:r w:rsidR="003B0840" w:rsidRPr="00842260">
        <w:rPr>
          <w:iCs/>
        </w:rPr>
        <w:t xml:space="preserve"> that the two metastatic recurrence sub-states in the economic model added unwarranted complexity and their inclusion was not well justified.</w:t>
      </w:r>
    </w:p>
    <w:p w14:paraId="7E788B2D" w14:textId="0DD8E71D" w:rsidR="007C50C5" w:rsidRPr="00842260" w:rsidRDefault="007C50C5" w:rsidP="007C50C5">
      <w:pPr>
        <w:pStyle w:val="3-BodyText"/>
      </w:pPr>
      <w:r w:rsidRPr="00842260">
        <w:t xml:space="preserve">Due to limited follow-up in </w:t>
      </w:r>
      <w:r w:rsidR="00070945" w:rsidRPr="00842260">
        <w:rPr>
          <w:iCs/>
        </w:rPr>
        <w:t>the</w:t>
      </w:r>
      <w:r w:rsidR="00070945" w:rsidRPr="00842260">
        <w:t xml:space="preserve"> </w:t>
      </w:r>
      <w:proofErr w:type="spellStart"/>
      <w:r w:rsidRPr="00842260">
        <w:t>monarchE</w:t>
      </w:r>
      <w:proofErr w:type="spellEnd"/>
      <w:r w:rsidR="00070945" w:rsidRPr="00842260">
        <w:t xml:space="preserve"> </w:t>
      </w:r>
      <w:r w:rsidR="00070945" w:rsidRPr="00842260">
        <w:rPr>
          <w:iCs/>
        </w:rPr>
        <w:t>trial</w:t>
      </w:r>
      <w:r w:rsidRPr="00842260">
        <w:t xml:space="preserve">, the submission applied fixed payoffs that represented the expected costs and QALYs in metastatic disease on transition into the health state. These were based on estimates of life years </w:t>
      </w:r>
      <w:r w:rsidR="001D139A" w:rsidRPr="00842260">
        <w:t xml:space="preserve">(LYs) </w:t>
      </w:r>
      <w:r w:rsidRPr="00842260">
        <w:t xml:space="preserve">gained </w:t>
      </w:r>
      <w:r w:rsidR="009C077F" w:rsidRPr="00842260">
        <w:t xml:space="preserve">from analyses </w:t>
      </w:r>
      <w:r w:rsidRPr="00842260">
        <w:t xml:space="preserve">that explored the cost-effectiveness of </w:t>
      </w:r>
      <w:proofErr w:type="spellStart"/>
      <w:r w:rsidRPr="00842260">
        <w:t>abemaciclib</w:t>
      </w:r>
      <w:proofErr w:type="spellEnd"/>
      <w:r w:rsidRPr="00842260">
        <w:t xml:space="preserve"> in the metastatic setting based on the MONARCH-2 and MONARCH-3 trials (and associated network meta-analyses). </w:t>
      </w:r>
      <w:r w:rsidRPr="00842260">
        <w:rPr>
          <w:iCs/>
        </w:rPr>
        <w:t xml:space="preserve">There may be transitivity issues due to the differences in the types of therapy received and patient characteristics between </w:t>
      </w:r>
      <w:proofErr w:type="spellStart"/>
      <w:r w:rsidRPr="00842260">
        <w:rPr>
          <w:iCs/>
        </w:rPr>
        <w:t>monarchE</w:t>
      </w:r>
      <w:proofErr w:type="spellEnd"/>
      <w:r w:rsidRPr="00842260">
        <w:rPr>
          <w:iCs/>
        </w:rPr>
        <w:t xml:space="preserve"> and the metastatic studies. The effect of these transitivity issues on the results of the analysis is unclear. As </w:t>
      </w:r>
      <w:proofErr w:type="spellStart"/>
      <w:r w:rsidRPr="00842260">
        <w:rPr>
          <w:iCs/>
        </w:rPr>
        <w:t>abemaciclib</w:t>
      </w:r>
      <w:proofErr w:type="spellEnd"/>
      <w:r w:rsidRPr="00842260">
        <w:rPr>
          <w:iCs/>
        </w:rPr>
        <w:t xml:space="preserve"> in the metastatic setting was listed </w:t>
      </w:r>
      <w:proofErr w:type="gramStart"/>
      <w:r w:rsidRPr="00842260">
        <w:rPr>
          <w:iCs/>
        </w:rPr>
        <w:t>on the basis of</w:t>
      </w:r>
      <w:proofErr w:type="gramEnd"/>
      <w:r w:rsidRPr="00842260">
        <w:rPr>
          <w:iCs/>
        </w:rPr>
        <w:t xml:space="preserve"> non-inferiority claims to </w:t>
      </w:r>
      <w:proofErr w:type="spellStart"/>
      <w:r w:rsidRPr="00842260">
        <w:rPr>
          <w:iCs/>
        </w:rPr>
        <w:t>ribociclib</w:t>
      </w:r>
      <w:proofErr w:type="spellEnd"/>
      <w:r w:rsidRPr="00842260">
        <w:rPr>
          <w:iCs/>
        </w:rPr>
        <w:t>, the economic analyses based on these trials have not previously been presented to the PBAC.</w:t>
      </w:r>
      <w:r w:rsidRPr="00842260">
        <w:t xml:space="preserve"> </w:t>
      </w:r>
      <w:r w:rsidR="004815A4" w:rsidRPr="00842260">
        <w:rPr>
          <w:iCs/>
        </w:rPr>
        <w:t xml:space="preserve">The PSCR acknowledged there is heterogeneity between the </w:t>
      </w:r>
      <w:proofErr w:type="spellStart"/>
      <w:r w:rsidR="004815A4" w:rsidRPr="00842260">
        <w:rPr>
          <w:iCs/>
        </w:rPr>
        <w:t>monarchE</w:t>
      </w:r>
      <w:proofErr w:type="spellEnd"/>
      <w:r w:rsidR="001A57B4" w:rsidRPr="00842260">
        <w:rPr>
          <w:iCs/>
        </w:rPr>
        <w:t>,</w:t>
      </w:r>
      <w:r w:rsidR="004815A4" w:rsidRPr="00842260">
        <w:rPr>
          <w:iCs/>
        </w:rPr>
        <w:t xml:space="preserve"> MONARCH-2 and MONARCH-3</w:t>
      </w:r>
      <w:r w:rsidR="001A57B4" w:rsidRPr="00842260">
        <w:rPr>
          <w:iCs/>
        </w:rPr>
        <w:t xml:space="preserve"> trials</w:t>
      </w:r>
      <w:r w:rsidR="004815A4" w:rsidRPr="00842260">
        <w:rPr>
          <w:iCs/>
        </w:rPr>
        <w:t xml:space="preserve"> and stated that the economic model was not sensitive to changes in these inputs. </w:t>
      </w:r>
      <w:r w:rsidR="00327794" w:rsidRPr="00842260">
        <w:t>The ESC advised that the two metastatic recurrent substates in the economic model added unwarranted complexity</w:t>
      </w:r>
      <w:r w:rsidR="00B059E7" w:rsidRPr="00842260">
        <w:t xml:space="preserve"> and</w:t>
      </w:r>
      <w:r w:rsidR="004815A4" w:rsidRPr="00842260">
        <w:rPr>
          <w:iCs/>
        </w:rPr>
        <w:t xml:space="preserve"> that the one-off costs and QALYs applied on transition to the metastatic recurrence sub-states</w:t>
      </w:r>
      <w:r w:rsidR="004815A4" w:rsidRPr="00842260">
        <w:t xml:space="preserve"> was not justified due to transitivity issues. The ESC also noted that the analysis </w:t>
      </w:r>
      <w:r w:rsidR="00AB6A02" w:rsidRPr="00842260">
        <w:t>was not based on the most recent data cut.</w:t>
      </w:r>
    </w:p>
    <w:p w14:paraId="71802A5E" w14:textId="52E4BF81" w:rsidR="007C50C5" w:rsidRPr="00842260" w:rsidRDefault="007C50C5" w:rsidP="00A93343">
      <w:pPr>
        <w:pStyle w:val="3-BodyText"/>
      </w:pPr>
      <w:r w:rsidRPr="00842260">
        <w:t xml:space="preserve">Costs and outcomes attributed to metastatic recurrences were assumed to vary by the treatment received in the adjuvant setting, as the submission assumed that patients in the </w:t>
      </w:r>
      <w:proofErr w:type="spellStart"/>
      <w:r w:rsidRPr="00842260">
        <w:t>abemaciclib</w:t>
      </w:r>
      <w:proofErr w:type="spellEnd"/>
      <w:r w:rsidRPr="00842260">
        <w:t xml:space="preserve"> + ET arm would not receive a CDK4/6 inhibitor after metastatic recurrence. </w:t>
      </w:r>
      <w:r w:rsidRPr="00842260">
        <w:rPr>
          <w:iCs/>
        </w:rPr>
        <w:t xml:space="preserve">The modelled ICERs </w:t>
      </w:r>
      <w:r w:rsidR="009C077F" w:rsidRPr="00842260">
        <w:rPr>
          <w:iCs/>
        </w:rPr>
        <w:t xml:space="preserve">for the mix of </w:t>
      </w:r>
      <w:r w:rsidRPr="00842260">
        <w:rPr>
          <w:iCs/>
        </w:rPr>
        <w:t>treatment</w:t>
      </w:r>
      <w:r w:rsidR="009C077F" w:rsidRPr="00842260">
        <w:rPr>
          <w:iCs/>
        </w:rPr>
        <w:t>s received</w:t>
      </w:r>
      <w:r w:rsidRPr="00842260">
        <w:rPr>
          <w:iCs/>
        </w:rPr>
        <w:t xml:space="preserve"> in the metastatic setting were </w:t>
      </w:r>
      <w:r w:rsidR="00395583" w:rsidRPr="00842260">
        <w:rPr>
          <w:iCs/>
        </w:rPr>
        <w:t>calculated</w:t>
      </w:r>
      <w:r w:rsidRPr="00842260">
        <w:rPr>
          <w:iCs/>
        </w:rPr>
        <w:t xml:space="preserve"> during the evaluation</w:t>
      </w:r>
      <w:r w:rsidR="003E1126" w:rsidRPr="00842260">
        <w:rPr>
          <w:iCs/>
        </w:rPr>
        <w:t xml:space="preserve"> (Table 9)</w:t>
      </w:r>
      <w:r w:rsidRPr="00842260">
        <w:rPr>
          <w:iCs/>
        </w:rPr>
        <w:t xml:space="preserve">. </w:t>
      </w:r>
      <w:r w:rsidR="00A93343" w:rsidRPr="00842260">
        <w:rPr>
          <w:iCs/>
        </w:rPr>
        <w:t xml:space="preserve">In endocrine-sensitive recurrences, this </w:t>
      </w:r>
      <w:r w:rsidR="00A93343" w:rsidRPr="00B2760D">
        <w:rPr>
          <w:iCs/>
        </w:rPr>
        <w:t xml:space="preserve">represented a comparison of CDK4/6 inhibitor + non-steroidal aromatase inhibitor (NSAI) </w:t>
      </w:r>
      <w:proofErr w:type="gramStart"/>
      <w:r w:rsidR="00A93343" w:rsidRPr="00B2760D">
        <w:rPr>
          <w:iCs/>
        </w:rPr>
        <w:t>use</w:t>
      </w:r>
      <w:proofErr w:type="gramEnd"/>
      <w:r w:rsidR="00A93343" w:rsidRPr="00B2760D">
        <w:rPr>
          <w:iCs/>
        </w:rPr>
        <w:t xml:space="preserve"> in 85% of patients in the first-line metastatic setting after adjuvant ET to NSAI use in 86% of patients after adjuvant</w:t>
      </w:r>
      <w:r w:rsidR="00A93343" w:rsidRPr="00842260">
        <w:rPr>
          <w:iCs/>
        </w:rPr>
        <w:t xml:space="preserve"> </w:t>
      </w:r>
      <w:proofErr w:type="spellStart"/>
      <w:r w:rsidR="00A93343" w:rsidRPr="00842260">
        <w:rPr>
          <w:iCs/>
        </w:rPr>
        <w:t>abemaciclib</w:t>
      </w:r>
      <w:proofErr w:type="spellEnd"/>
      <w:r w:rsidR="00A93343" w:rsidRPr="00842260">
        <w:rPr>
          <w:iCs/>
        </w:rPr>
        <w:t> + ET. The derived ICER observed (</w:t>
      </w:r>
      <w:r w:rsidR="00842C73" w:rsidRPr="00842C73">
        <w:rPr>
          <w:iCs/>
        </w:rPr>
        <w:t>$155,000 to &lt; $255,000</w:t>
      </w:r>
      <w:r w:rsidR="00A93343" w:rsidRPr="00842260">
        <w:rPr>
          <w:iCs/>
        </w:rPr>
        <w:t xml:space="preserve">) </w:t>
      </w:r>
      <w:r w:rsidRPr="00842260">
        <w:rPr>
          <w:iCs/>
        </w:rPr>
        <w:t>was higher than what the PBAC ha</w:t>
      </w:r>
      <w:r w:rsidR="002D7B29" w:rsidRPr="00842260">
        <w:rPr>
          <w:iCs/>
        </w:rPr>
        <w:t>s</w:t>
      </w:r>
      <w:r w:rsidRPr="00842260">
        <w:rPr>
          <w:iCs/>
        </w:rPr>
        <w:t xml:space="preserve"> previously considered cost-effective ($15,000−$45,000, paragraph 6.10 Palbociclib PSD, March 2018 PBAC Meeting). Therefore, the applied cost-effectiveness of metastatic treatment was not likely to reflect the accepted cost-effectiveness of CDK4/6 inhibitor treatments in this setting.</w:t>
      </w:r>
    </w:p>
    <w:p w14:paraId="5CE63D13" w14:textId="2261747A" w:rsidR="007C50C5" w:rsidRPr="00842260" w:rsidRDefault="008B731C" w:rsidP="007C50C5">
      <w:pPr>
        <w:pStyle w:val="TableFigureHeading"/>
      </w:pPr>
      <w:r w:rsidRPr="00842260">
        <w:lastRenderedPageBreak/>
        <w:t xml:space="preserve">Table </w:t>
      </w:r>
      <w:fldSimple w:instr=" SEQ Table \* ARABIC ">
        <w:r w:rsidR="00053218">
          <w:rPr>
            <w:noProof/>
          </w:rPr>
          <w:t>9</w:t>
        </w:r>
      </w:fldSimple>
      <w:r w:rsidR="007C50C5" w:rsidRPr="00842260">
        <w:rPr>
          <w:rStyle w:val="CommentReference"/>
          <w:b/>
          <w:szCs w:val="24"/>
        </w:rPr>
        <w:t xml:space="preserve">: </w:t>
      </w:r>
      <w:r w:rsidR="007C50C5" w:rsidRPr="00842260">
        <w:t xml:space="preserve">Incremental cost effectiveness of modelled metastatic treatment, with and without adjuvant </w:t>
      </w:r>
      <w:proofErr w:type="spellStart"/>
      <w:r w:rsidR="007C50C5" w:rsidRPr="00842260">
        <w:t>abemaciclib</w:t>
      </w:r>
      <w:proofErr w:type="spellEnd"/>
    </w:p>
    <w:tbl>
      <w:tblPr>
        <w:tblStyle w:val="TableGrid"/>
        <w:tblW w:w="5000" w:type="pct"/>
        <w:tblLook w:val="04A0" w:firstRow="1" w:lastRow="0" w:firstColumn="1" w:lastColumn="0" w:noHBand="0" w:noVBand="1"/>
      </w:tblPr>
      <w:tblGrid>
        <w:gridCol w:w="4048"/>
        <w:gridCol w:w="1663"/>
        <w:gridCol w:w="1659"/>
        <w:gridCol w:w="1647"/>
      </w:tblGrid>
      <w:tr w:rsidR="004256B4" w:rsidRPr="00842260" w14:paraId="03E38DC1" w14:textId="77777777" w:rsidTr="00CE555A">
        <w:tc>
          <w:tcPr>
            <w:tcW w:w="2290" w:type="pct"/>
            <w:tcBorders>
              <w:bottom w:val="single" w:sz="4" w:space="0" w:color="auto"/>
            </w:tcBorders>
            <w:noWrap/>
            <w:hideMark/>
          </w:tcPr>
          <w:p w14:paraId="07C1F585" w14:textId="77777777" w:rsidR="007C50C5" w:rsidRPr="00842260" w:rsidRDefault="007C50C5" w:rsidP="00030579">
            <w:pPr>
              <w:pStyle w:val="TableText0"/>
            </w:pPr>
          </w:p>
        </w:tc>
        <w:tc>
          <w:tcPr>
            <w:tcW w:w="907" w:type="pct"/>
            <w:tcBorders>
              <w:bottom w:val="single" w:sz="4" w:space="0" w:color="auto"/>
            </w:tcBorders>
            <w:noWrap/>
            <w:hideMark/>
          </w:tcPr>
          <w:p w14:paraId="36F4AD35" w14:textId="5E66F148" w:rsidR="007C50C5" w:rsidRPr="00842260" w:rsidRDefault="00CE555A" w:rsidP="00C86E57">
            <w:pPr>
              <w:pStyle w:val="TableText0"/>
              <w:jc w:val="center"/>
              <w:rPr>
                <w:b/>
              </w:rPr>
            </w:pPr>
            <w:r w:rsidRPr="00842260">
              <w:rPr>
                <w:b/>
              </w:rPr>
              <w:t>ET</w:t>
            </w:r>
          </w:p>
        </w:tc>
        <w:tc>
          <w:tcPr>
            <w:tcW w:w="905" w:type="pct"/>
            <w:tcBorders>
              <w:bottom w:val="single" w:sz="4" w:space="0" w:color="auto"/>
            </w:tcBorders>
            <w:noWrap/>
            <w:hideMark/>
          </w:tcPr>
          <w:p w14:paraId="63A5A571" w14:textId="63713E7A" w:rsidR="007C50C5" w:rsidRPr="00842260" w:rsidRDefault="00CE555A" w:rsidP="00C86E57">
            <w:pPr>
              <w:pStyle w:val="TableText0"/>
              <w:jc w:val="center"/>
              <w:rPr>
                <w:b/>
              </w:rPr>
            </w:pPr>
            <w:r w:rsidRPr="00842260">
              <w:rPr>
                <w:b/>
              </w:rPr>
              <w:t>ABE + ET</w:t>
            </w:r>
          </w:p>
        </w:tc>
        <w:tc>
          <w:tcPr>
            <w:tcW w:w="898" w:type="pct"/>
            <w:tcBorders>
              <w:bottom w:val="single" w:sz="4" w:space="0" w:color="auto"/>
            </w:tcBorders>
            <w:noWrap/>
            <w:hideMark/>
          </w:tcPr>
          <w:p w14:paraId="64C8BC10" w14:textId="77777777" w:rsidR="007C50C5" w:rsidRPr="00842260" w:rsidRDefault="007C50C5" w:rsidP="00C86E57">
            <w:pPr>
              <w:pStyle w:val="TableText0"/>
              <w:jc w:val="center"/>
              <w:rPr>
                <w:b/>
              </w:rPr>
            </w:pPr>
            <w:r w:rsidRPr="00842260">
              <w:rPr>
                <w:b/>
              </w:rPr>
              <w:t>Increment</w:t>
            </w:r>
          </w:p>
        </w:tc>
      </w:tr>
      <w:tr w:rsidR="007C50C5" w:rsidRPr="00842260" w14:paraId="79B73389" w14:textId="77777777" w:rsidTr="00030579">
        <w:tc>
          <w:tcPr>
            <w:tcW w:w="5000" w:type="pct"/>
            <w:gridSpan w:val="4"/>
            <w:noWrap/>
            <w:hideMark/>
          </w:tcPr>
          <w:p w14:paraId="4BC1D3B8" w14:textId="77777777" w:rsidR="007C50C5" w:rsidRPr="00842260" w:rsidRDefault="007C50C5" w:rsidP="00030579">
            <w:pPr>
              <w:pStyle w:val="TableText0"/>
            </w:pPr>
            <w:r w:rsidRPr="00842260">
              <w:rPr>
                <w:b/>
              </w:rPr>
              <w:t>Endocrine-resistant metastatic recurrence</w:t>
            </w:r>
          </w:p>
          <w:p w14:paraId="65E412EE" w14:textId="14C1CB50" w:rsidR="007C50C5" w:rsidRPr="00842260" w:rsidRDefault="007C50C5" w:rsidP="00395583">
            <w:pPr>
              <w:pStyle w:val="TableText0"/>
              <w:rPr>
                <w:b/>
              </w:rPr>
            </w:pPr>
            <w:r w:rsidRPr="00842260">
              <w:t xml:space="preserve">Depicts first-line metastatic treatment of </w:t>
            </w:r>
            <w:r w:rsidR="00CE555A" w:rsidRPr="00842260">
              <w:t>predominantly CDK</w:t>
            </w:r>
            <w:r w:rsidR="004256B4" w:rsidRPr="00842260">
              <w:t>4/6 inhibitor</w:t>
            </w:r>
            <w:r w:rsidR="00CE555A" w:rsidRPr="00842260">
              <w:t> + </w:t>
            </w:r>
            <w:proofErr w:type="spellStart"/>
            <w:r w:rsidR="00395583" w:rsidRPr="00842260">
              <w:t>fulvestrant</w:t>
            </w:r>
            <w:proofErr w:type="spellEnd"/>
            <w:r w:rsidR="00CE555A" w:rsidRPr="00842260">
              <w:t xml:space="preserve"> after adjuvant ET compared to a mix </w:t>
            </w:r>
            <w:r w:rsidRPr="00842260">
              <w:t>single-agent therapies (</w:t>
            </w:r>
            <w:r w:rsidR="004256B4" w:rsidRPr="00842260">
              <w:t>exemestane</w:t>
            </w:r>
            <w:r w:rsidRPr="00842260">
              <w:t xml:space="preserve">, </w:t>
            </w:r>
            <w:r w:rsidR="004256B4" w:rsidRPr="00842260">
              <w:t xml:space="preserve">capecitabine </w:t>
            </w:r>
            <w:r w:rsidRPr="00842260">
              <w:t xml:space="preserve">and </w:t>
            </w:r>
            <w:proofErr w:type="spellStart"/>
            <w:r w:rsidR="004256B4" w:rsidRPr="00842260">
              <w:t>fulvestrant</w:t>
            </w:r>
            <w:proofErr w:type="spellEnd"/>
            <w:r w:rsidRPr="00842260">
              <w:t xml:space="preserve">) after adjuvant ABE + ET. </w:t>
            </w:r>
          </w:p>
        </w:tc>
      </w:tr>
      <w:tr w:rsidR="004256B4" w:rsidRPr="00842260" w14:paraId="517EF2FE" w14:textId="77777777" w:rsidTr="007012DA">
        <w:tc>
          <w:tcPr>
            <w:tcW w:w="2290" w:type="pct"/>
            <w:tcBorders>
              <w:bottom w:val="single" w:sz="4" w:space="0" w:color="auto"/>
            </w:tcBorders>
            <w:noWrap/>
            <w:hideMark/>
          </w:tcPr>
          <w:p w14:paraId="04411160" w14:textId="58BB7819" w:rsidR="00CE555A" w:rsidRPr="00842260" w:rsidRDefault="00CE555A" w:rsidP="00CE555A">
            <w:pPr>
              <w:pStyle w:val="TableText0"/>
            </w:pPr>
            <w:r w:rsidRPr="00842260">
              <w:t>Costs</w:t>
            </w:r>
            <w:r w:rsidR="00842C73">
              <w:t xml:space="preserve"> ($)</w:t>
            </w:r>
          </w:p>
        </w:tc>
        <w:tc>
          <w:tcPr>
            <w:tcW w:w="907" w:type="pct"/>
            <w:tcBorders>
              <w:bottom w:val="single" w:sz="4" w:space="0" w:color="auto"/>
            </w:tcBorders>
            <w:shd w:val="solid" w:color="000000" w:fill="000000"/>
            <w:noWrap/>
          </w:tcPr>
          <w:p w14:paraId="4F443411" w14:textId="5A0B37B8" w:rsidR="00CE555A" w:rsidRPr="007012DA" w:rsidRDefault="007012DA" w:rsidP="00C86E57">
            <w:pPr>
              <w:pStyle w:val="TableText0"/>
              <w:jc w:val="center"/>
              <w:rPr>
                <w:vertAlign w:val="superscript"/>
              </w:rPr>
            </w:pPr>
            <w:r w:rsidRPr="007012DA">
              <w:rPr>
                <w:color w:val="000000"/>
                <w14:textFill>
                  <w14:solidFill>
                    <w14:srgbClr w14:val="000000">
                      <w14:alpha w14:val="100000"/>
                    </w14:srgbClr>
                  </w14:solidFill>
                </w14:textFill>
              </w:rPr>
              <w:t>|</w:t>
            </w:r>
          </w:p>
        </w:tc>
        <w:tc>
          <w:tcPr>
            <w:tcW w:w="905" w:type="pct"/>
            <w:tcBorders>
              <w:bottom w:val="single" w:sz="4" w:space="0" w:color="auto"/>
            </w:tcBorders>
            <w:shd w:val="solid" w:color="000000" w:fill="000000"/>
            <w:noWrap/>
          </w:tcPr>
          <w:p w14:paraId="068E3FC1" w14:textId="4518F8D4" w:rsidR="00CE555A" w:rsidRPr="007012DA" w:rsidRDefault="007012DA" w:rsidP="00C86E57">
            <w:pPr>
              <w:pStyle w:val="TableText0"/>
              <w:jc w:val="center"/>
            </w:pPr>
            <w:r w:rsidRPr="007012DA">
              <w:rPr>
                <w:color w:val="000000"/>
                <w14:textFill>
                  <w14:solidFill>
                    <w14:srgbClr w14:val="000000">
                      <w14:alpha w14:val="100000"/>
                    </w14:srgbClr>
                  </w14:solidFill>
                </w14:textFill>
              </w:rPr>
              <w:t>|</w:t>
            </w:r>
          </w:p>
        </w:tc>
        <w:tc>
          <w:tcPr>
            <w:tcW w:w="898" w:type="pct"/>
            <w:tcBorders>
              <w:bottom w:val="single" w:sz="4" w:space="0" w:color="auto"/>
            </w:tcBorders>
            <w:shd w:val="solid" w:color="000000" w:fill="000000"/>
            <w:noWrap/>
            <w:hideMark/>
          </w:tcPr>
          <w:p w14:paraId="1A307ED8" w14:textId="29D942DF" w:rsidR="00CE555A" w:rsidRPr="007012DA" w:rsidRDefault="007012DA" w:rsidP="00C86E57">
            <w:pPr>
              <w:pStyle w:val="TableText0"/>
              <w:jc w:val="center"/>
            </w:pPr>
            <w:r w:rsidRPr="007012DA">
              <w:rPr>
                <w:color w:val="000000"/>
                <w14:textFill>
                  <w14:solidFill>
                    <w14:srgbClr w14:val="000000">
                      <w14:alpha w14:val="100000"/>
                    </w14:srgbClr>
                  </w14:solidFill>
                </w14:textFill>
              </w:rPr>
              <w:t>|</w:t>
            </w:r>
          </w:p>
        </w:tc>
      </w:tr>
      <w:tr w:rsidR="004256B4" w:rsidRPr="00842260" w14:paraId="470FF145" w14:textId="77777777" w:rsidTr="00CE555A">
        <w:tc>
          <w:tcPr>
            <w:tcW w:w="2290" w:type="pct"/>
            <w:tcBorders>
              <w:bottom w:val="single" w:sz="4" w:space="0" w:color="auto"/>
            </w:tcBorders>
            <w:noWrap/>
            <w:hideMark/>
          </w:tcPr>
          <w:p w14:paraId="0E3CE1E7" w14:textId="77777777" w:rsidR="00CE555A" w:rsidRPr="00842260" w:rsidRDefault="00CE555A" w:rsidP="00CE555A">
            <w:pPr>
              <w:pStyle w:val="TableText0"/>
            </w:pPr>
            <w:r w:rsidRPr="00652182">
              <w:t>QALYs</w:t>
            </w:r>
          </w:p>
        </w:tc>
        <w:tc>
          <w:tcPr>
            <w:tcW w:w="907" w:type="pct"/>
            <w:tcBorders>
              <w:bottom w:val="single" w:sz="4" w:space="0" w:color="auto"/>
            </w:tcBorders>
            <w:noWrap/>
          </w:tcPr>
          <w:p w14:paraId="50B31669" w14:textId="0438678D" w:rsidR="00CE555A" w:rsidRPr="00842260" w:rsidRDefault="00CE555A" w:rsidP="00C86E57">
            <w:pPr>
              <w:pStyle w:val="TableText0"/>
              <w:jc w:val="center"/>
            </w:pPr>
            <w:r w:rsidRPr="00842260">
              <w:t>2.417</w:t>
            </w:r>
          </w:p>
        </w:tc>
        <w:tc>
          <w:tcPr>
            <w:tcW w:w="905" w:type="pct"/>
            <w:tcBorders>
              <w:bottom w:val="single" w:sz="4" w:space="0" w:color="auto"/>
            </w:tcBorders>
            <w:noWrap/>
          </w:tcPr>
          <w:p w14:paraId="016F9C88" w14:textId="33546617" w:rsidR="00CE555A" w:rsidRPr="00842260" w:rsidRDefault="00CE555A" w:rsidP="00C86E57">
            <w:pPr>
              <w:pStyle w:val="TableText0"/>
              <w:jc w:val="center"/>
            </w:pPr>
            <w:r w:rsidRPr="00842260">
              <w:t>1.960</w:t>
            </w:r>
          </w:p>
        </w:tc>
        <w:tc>
          <w:tcPr>
            <w:tcW w:w="898" w:type="pct"/>
            <w:tcBorders>
              <w:bottom w:val="single" w:sz="4" w:space="0" w:color="auto"/>
            </w:tcBorders>
            <w:noWrap/>
            <w:hideMark/>
          </w:tcPr>
          <w:p w14:paraId="31D4AD7A" w14:textId="1656B258" w:rsidR="00CE555A" w:rsidRPr="00842260" w:rsidRDefault="00CE555A" w:rsidP="00C86E57">
            <w:pPr>
              <w:pStyle w:val="TableText0"/>
              <w:jc w:val="center"/>
            </w:pPr>
            <w:r w:rsidRPr="00842260">
              <w:t>0.457</w:t>
            </w:r>
          </w:p>
        </w:tc>
      </w:tr>
      <w:tr w:rsidR="004256B4" w:rsidRPr="00842260" w14:paraId="65881159" w14:textId="77777777" w:rsidTr="00CE555A">
        <w:tc>
          <w:tcPr>
            <w:tcW w:w="2290" w:type="pct"/>
            <w:tcBorders>
              <w:bottom w:val="double" w:sz="4" w:space="0" w:color="auto"/>
              <w:right w:val="nil"/>
            </w:tcBorders>
            <w:noWrap/>
            <w:hideMark/>
          </w:tcPr>
          <w:p w14:paraId="49A7C223" w14:textId="289374BF" w:rsidR="00CE555A" w:rsidRPr="00842260" w:rsidRDefault="00CE555A" w:rsidP="00CE555A">
            <w:pPr>
              <w:pStyle w:val="TableText0"/>
              <w:rPr>
                <w:b/>
              </w:rPr>
            </w:pPr>
            <w:r w:rsidRPr="00842260">
              <w:rPr>
                <w:b/>
              </w:rPr>
              <w:t>ICER per additional QALY gained</w:t>
            </w:r>
            <w:r w:rsidR="00842C73">
              <w:rPr>
                <w:b/>
              </w:rPr>
              <w:t xml:space="preserve"> ($)</w:t>
            </w:r>
          </w:p>
        </w:tc>
        <w:tc>
          <w:tcPr>
            <w:tcW w:w="907" w:type="pct"/>
            <w:tcBorders>
              <w:left w:val="nil"/>
              <w:bottom w:val="double" w:sz="4" w:space="0" w:color="auto"/>
              <w:right w:val="nil"/>
            </w:tcBorders>
            <w:noWrap/>
            <w:hideMark/>
          </w:tcPr>
          <w:p w14:paraId="43CFA79C" w14:textId="77777777" w:rsidR="00CE555A" w:rsidRPr="00842260" w:rsidRDefault="00CE555A" w:rsidP="00C86E57">
            <w:pPr>
              <w:pStyle w:val="TableText0"/>
              <w:jc w:val="center"/>
              <w:rPr>
                <w:b/>
              </w:rPr>
            </w:pPr>
          </w:p>
        </w:tc>
        <w:tc>
          <w:tcPr>
            <w:tcW w:w="905" w:type="pct"/>
            <w:tcBorders>
              <w:left w:val="nil"/>
              <w:bottom w:val="double" w:sz="4" w:space="0" w:color="auto"/>
            </w:tcBorders>
            <w:noWrap/>
            <w:hideMark/>
          </w:tcPr>
          <w:p w14:paraId="105DDEEC" w14:textId="77777777" w:rsidR="00CE555A" w:rsidRPr="00842260" w:rsidRDefault="00CE555A" w:rsidP="00C86E57">
            <w:pPr>
              <w:pStyle w:val="TableText0"/>
              <w:jc w:val="center"/>
              <w:rPr>
                <w:b/>
              </w:rPr>
            </w:pPr>
          </w:p>
        </w:tc>
        <w:tc>
          <w:tcPr>
            <w:tcW w:w="898" w:type="pct"/>
            <w:tcBorders>
              <w:bottom w:val="double" w:sz="4" w:space="0" w:color="auto"/>
            </w:tcBorders>
            <w:noWrap/>
            <w:hideMark/>
          </w:tcPr>
          <w:p w14:paraId="7C3DAFA4" w14:textId="77F0E94B" w:rsidR="00CE555A" w:rsidRPr="00842260" w:rsidRDefault="007012DA" w:rsidP="00842C73">
            <w:pPr>
              <w:pStyle w:val="TableText0"/>
              <w:jc w:val="center"/>
              <w:rPr>
                <w:b/>
              </w:rPr>
            </w:pPr>
            <w:r w:rsidRPr="007012DA">
              <w:rPr>
                <w:b/>
                <w:color w:val="000000"/>
                <w:shd w:val="solid" w:color="000000" w:fill="000000"/>
                <w14:textFill>
                  <w14:solidFill>
                    <w14:srgbClr w14:val="000000">
                      <w14:alpha w14:val="100000"/>
                    </w14:srgbClr>
                  </w14:solidFill>
                </w14:textFill>
              </w:rPr>
              <w:t>|</w:t>
            </w:r>
            <w:r w:rsidR="00842C73" w:rsidRPr="00842C73">
              <w:rPr>
                <w:vertAlign w:val="superscript"/>
              </w:rPr>
              <w:t>1</w:t>
            </w:r>
          </w:p>
        </w:tc>
      </w:tr>
      <w:tr w:rsidR="00CE555A" w:rsidRPr="00842260" w14:paraId="45FF0D68" w14:textId="77777777" w:rsidTr="00030579">
        <w:tc>
          <w:tcPr>
            <w:tcW w:w="5000" w:type="pct"/>
            <w:gridSpan w:val="4"/>
            <w:tcBorders>
              <w:top w:val="double" w:sz="4" w:space="0" w:color="auto"/>
            </w:tcBorders>
            <w:noWrap/>
            <w:hideMark/>
          </w:tcPr>
          <w:p w14:paraId="300E7D64" w14:textId="77777777" w:rsidR="00CE555A" w:rsidRPr="00842260" w:rsidRDefault="00CE555A" w:rsidP="00CE555A">
            <w:pPr>
              <w:pStyle w:val="TableText0"/>
            </w:pPr>
            <w:r w:rsidRPr="00842260">
              <w:rPr>
                <w:b/>
              </w:rPr>
              <w:t>Endocrine-sensitive metastatic recurrence</w:t>
            </w:r>
          </w:p>
          <w:p w14:paraId="36ED3B0C" w14:textId="6E088979" w:rsidR="00CE555A" w:rsidRPr="00842260" w:rsidRDefault="00CE555A" w:rsidP="004256B4">
            <w:pPr>
              <w:pStyle w:val="TableText0"/>
              <w:rPr>
                <w:b/>
              </w:rPr>
            </w:pPr>
            <w:r w:rsidRPr="00842260">
              <w:t xml:space="preserve">Depicts first-line metastatic treatment of predominantly </w:t>
            </w:r>
            <w:r w:rsidR="004256B4" w:rsidRPr="00842260">
              <w:t>CDK4/6 inhibitor </w:t>
            </w:r>
            <w:r w:rsidRPr="00842260">
              <w:t>+ NSAI after adjuvant ET compared to predominantly NSAI alone after adjuvant ABE + ET.</w:t>
            </w:r>
          </w:p>
        </w:tc>
      </w:tr>
      <w:tr w:rsidR="004256B4" w:rsidRPr="00842260" w14:paraId="7032DAF3" w14:textId="77777777" w:rsidTr="007012DA">
        <w:tc>
          <w:tcPr>
            <w:tcW w:w="2290" w:type="pct"/>
            <w:tcBorders>
              <w:bottom w:val="single" w:sz="4" w:space="0" w:color="auto"/>
            </w:tcBorders>
            <w:noWrap/>
            <w:hideMark/>
          </w:tcPr>
          <w:p w14:paraId="64B224A6" w14:textId="415654C6" w:rsidR="00CE555A" w:rsidRPr="000D125B" w:rsidRDefault="00CE555A" w:rsidP="00CE555A">
            <w:pPr>
              <w:pStyle w:val="TableText0"/>
            </w:pPr>
            <w:r w:rsidRPr="000D125B">
              <w:t>Costs</w:t>
            </w:r>
            <w:r w:rsidR="00842C73" w:rsidRPr="000D125B">
              <w:t xml:space="preserve"> ($)</w:t>
            </w:r>
          </w:p>
        </w:tc>
        <w:tc>
          <w:tcPr>
            <w:tcW w:w="907" w:type="pct"/>
            <w:tcBorders>
              <w:bottom w:val="single" w:sz="4" w:space="0" w:color="auto"/>
            </w:tcBorders>
            <w:shd w:val="solid" w:color="000000" w:fill="000000"/>
            <w:noWrap/>
          </w:tcPr>
          <w:p w14:paraId="2134D44A" w14:textId="3823A6DC" w:rsidR="00CE555A" w:rsidRPr="007012DA" w:rsidRDefault="007012DA" w:rsidP="00C86E57">
            <w:pPr>
              <w:pStyle w:val="TableText0"/>
              <w:jc w:val="center"/>
            </w:pPr>
            <w:r w:rsidRPr="007012DA">
              <w:rPr>
                <w:color w:val="000000"/>
                <w14:textFill>
                  <w14:solidFill>
                    <w14:srgbClr w14:val="000000">
                      <w14:alpha w14:val="100000"/>
                    </w14:srgbClr>
                  </w14:solidFill>
                </w14:textFill>
              </w:rPr>
              <w:t>|</w:t>
            </w:r>
          </w:p>
        </w:tc>
        <w:tc>
          <w:tcPr>
            <w:tcW w:w="905" w:type="pct"/>
            <w:tcBorders>
              <w:bottom w:val="single" w:sz="4" w:space="0" w:color="auto"/>
            </w:tcBorders>
            <w:shd w:val="solid" w:color="000000" w:fill="000000"/>
            <w:noWrap/>
          </w:tcPr>
          <w:p w14:paraId="02C0E883" w14:textId="644B106A" w:rsidR="00CE555A" w:rsidRPr="007012DA" w:rsidRDefault="007012DA" w:rsidP="00C86E57">
            <w:pPr>
              <w:pStyle w:val="TableText0"/>
              <w:jc w:val="center"/>
            </w:pPr>
            <w:r w:rsidRPr="007012DA">
              <w:rPr>
                <w:color w:val="000000"/>
                <w14:textFill>
                  <w14:solidFill>
                    <w14:srgbClr w14:val="000000">
                      <w14:alpha w14:val="100000"/>
                    </w14:srgbClr>
                  </w14:solidFill>
                </w14:textFill>
              </w:rPr>
              <w:t>|</w:t>
            </w:r>
          </w:p>
        </w:tc>
        <w:tc>
          <w:tcPr>
            <w:tcW w:w="898" w:type="pct"/>
            <w:tcBorders>
              <w:bottom w:val="single" w:sz="4" w:space="0" w:color="auto"/>
            </w:tcBorders>
            <w:shd w:val="solid" w:color="000000" w:fill="000000"/>
            <w:noWrap/>
            <w:hideMark/>
          </w:tcPr>
          <w:p w14:paraId="3DA4A3F6" w14:textId="5B02AD91" w:rsidR="00CE555A" w:rsidRPr="007012DA" w:rsidRDefault="007012DA" w:rsidP="00C86E57">
            <w:pPr>
              <w:pStyle w:val="TableText0"/>
              <w:jc w:val="center"/>
            </w:pPr>
            <w:r w:rsidRPr="007012DA">
              <w:rPr>
                <w:color w:val="000000"/>
                <w14:textFill>
                  <w14:solidFill>
                    <w14:srgbClr w14:val="000000">
                      <w14:alpha w14:val="100000"/>
                    </w14:srgbClr>
                  </w14:solidFill>
                </w14:textFill>
              </w:rPr>
              <w:t>|</w:t>
            </w:r>
          </w:p>
        </w:tc>
      </w:tr>
      <w:tr w:rsidR="004256B4" w:rsidRPr="00842260" w14:paraId="44B08366" w14:textId="77777777" w:rsidTr="00CE555A">
        <w:tc>
          <w:tcPr>
            <w:tcW w:w="2290" w:type="pct"/>
            <w:tcBorders>
              <w:bottom w:val="single" w:sz="4" w:space="0" w:color="auto"/>
            </w:tcBorders>
            <w:noWrap/>
            <w:hideMark/>
          </w:tcPr>
          <w:p w14:paraId="6A06912A" w14:textId="77777777" w:rsidR="00CE555A" w:rsidRPr="000D125B" w:rsidRDefault="00CE555A" w:rsidP="00CE555A">
            <w:pPr>
              <w:pStyle w:val="TableText0"/>
            </w:pPr>
            <w:r w:rsidRPr="000D125B">
              <w:t>QALYs</w:t>
            </w:r>
          </w:p>
        </w:tc>
        <w:tc>
          <w:tcPr>
            <w:tcW w:w="907" w:type="pct"/>
            <w:tcBorders>
              <w:bottom w:val="single" w:sz="4" w:space="0" w:color="auto"/>
            </w:tcBorders>
            <w:noWrap/>
          </w:tcPr>
          <w:p w14:paraId="18FBDFE3" w14:textId="22D11CC8" w:rsidR="00CE555A" w:rsidRPr="00842260" w:rsidRDefault="00CE555A" w:rsidP="00C86E57">
            <w:pPr>
              <w:pStyle w:val="TableText0"/>
              <w:jc w:val="center"/>
            </w:pPr>
            <w:r w:rsidRPr="00842260">
              <w:t>3.238</w:t>
            </w:r>
          </w:p>
        </w:tc>
        <w:tc>
          <w:tcPr>
            <w:tcW w:w="905" w:type="pct"/>
            <w:tcBorders>
              <w:bottom w:val="single" w:sz="4" w:space="0" w:color="auto"/>
            </w:tcBorders>
            <w:noWrap/>
          </w:tcPr>
          <w:p w14:paraId="11C8C2F6" w14:textId="0F201E8B" w:rsidR="00CE555A" w:rsidRPr="00842260" w:rsidRDefault="00CE555A" w:rsidP="00C86E57">
            <w:pPr>
              <w:pStyle w:val="TableText0"/>
              <w:jc w:val="center"/>
            </w:pPr>
            <w:r w:rsidRPr="00842260">
              <w:t>3.031</w:t>
            </w:r>
          </w:p>
        </w:tc>
        <w:tc>
          <w:tcPr>
            <w:tcW w:w="898" w:type="pct"/>
            <w:tcBorders>
              <w:bottom w:val="single" w:sz="4" w:space="0" w:color="auto"/>
            </w:tcBorders>
            <w:noWrap/>
            <w:hideMark/>
          </w:tcPr>
          <w:p w14:paraId="5DEC1362" w14:textId="7833AD97" w:rsidR="00CE555A" w:rsidRPr="00842260" w:rsidRDefault="00CE555A" w:rsidP="00C86E57">
            <w:pPr>
              <w:pStyle w:val="TableText0"/>
              <w:jc w:val="center"/>
            </w:pPr>
            <w:r w:rsidRPr="00842260">
              <w:t>0.207</w:t>
            </w:r>
          </w:p>
        </w:tc>
      </w:tr>
      <w:tr w:rsidR="004256B4" w:rsidRPr="00842260" w14:paraId="322528F3" w14:textId="77777777" w:rsidTr="00CE555A">
        <w:tc>
          <w:tcPr>
            <w:tcW w:w="2290" w:type="pct"/>
            <w:tcBorders>
              <w:right w:val="nil"/>
            </w:tcBorders>
            <w:noWrap/>
            <w:hideMark/>
          </w:tcPr>
          <w:p w14:paraId="42ADB001" w14:textId="5696272D" w:rsidR="00CE555A" w:rsidRPr="00842260" w:rsidRDefault="00CE555A" w:rsidP="00CE555A">
            <w:pPr>
              <w:pStyle w:val="TableText0"/>
              <w:rPr>
                <w:b/>
              </w:rPr>
            </w:pPr>
            <w:r w:rsidRPr="00842260">
              <w:rPr>
                <w:b/>
              </w:rPr>
              <w:t>ICER per additional QALY gained</w:t>
            </w:r>
            <w:r w:rsidR="00842C73">
              <w:rPr>
                <w:b/>
              </w:rPr>
              <w:t xml:space="preserve"> ($)</w:t>
            </w:r>
          </w:p>
        </w:tc>
        <w:tc>
          <w:tcPr>
            <w:tcW w:w="907" w:type="pct"/>
            <w:tcBorders>
              <w:left w:val="nil"/>
              <w:right w:val="nil"/>
            </w:tcBorders>
            <w:noWrap/>
            <w:hideMark/>
          </w:tcPr>
          <w:p w14:paraId="1C45E8F0" w14:textId="77777777" w:rsidR="00CE555A" w:rsidRPr="00842260" w:rsidRDefault="00CE555A" w:rsidP="00C86E57">
            <w:pPr>
              <w:pStyle w:val="TableText0"/>
              <w:jc w:val="center"/>
              <w:rPr>
                <w:b/>
              </w:rPr>
            </w:pPr>
          </w:p>
        </w:tc>
        <w:tc>
          <w:tcPr>
            <w:tcW w:w="905" w:type="pct"/>
            <w:tcBorders>
              <w:left w:val="nil"/>
            </w:tcBorders>
            <w:noWrap/>
            <w:hideMark/>
          </w:tcPr>
          <w:p w14:paraId="4105F91B" w14:textId="77777777" w:rsidR="00CE555A" w:rsidRPr="00842260" w:rsidRDefault="00CE555A" w:rsidP="00C86E57">
            <w:pPr>
              <w:pStyle w:val="TableText0"/>
              <w:jc w:val="center"/>
              <w:rPr>
                <w:b/>
              </w:rPr>
            </w:pPr>
          </w:p>
        </w:tc>
        <w:tc>
          <w:tcPr>
            <w:tcW w:w="898" w:type="pct"/>
            <w:noWrap/>
            <w:hideMark/>
          </w:tcPr>
          <w:p w14:paraId="1D326A4F" w14:textId="3832674E" w:rsidR="00CE555A" w:rsidRPr="00842260" w:rsidRDefault="007012DA" w:rsidP="00C86E57">
            <w:pPr>
              <w:pStyle w:val="TableText0"/>
              <w:jc w:val="center"/>
              <w:rPr>
                <w:b/>
              </w:rPr>
            </w:pPr>
            <w:r w:rsidRPr="007012DA">
              <w:rPr>
                <w:b/>
                <w:color w:val="000000"/>
                <w:shd w:val="solid" w:color="000000" w:fill="000000"/>
                <w14:textFill>
                  <w14:solidFill>
                    <w14:srgbClr w14:val="000000">
                      <w14:alpha w14:val="100000"/>
                    </w14:srgbClr>
                  </w14:solidFill>
                </w14:textFill>
              </w:rPr>
              <w:t>|</w:t>
            </w:r>
            <w:r w:rsidR="00DB3420">
              <w:rPr>
                <w:vertAlign w:val="superscript"/>
              </w:rPr>
              <w:t>2</w:t>
            </w:r>
          </w:p>
        </w:tc>
      </w:tr>
    </w:tbl>
    <w:p w14:paraId="56A0BA5B" w14:textId="77777777" w:rsidR="007C50C5" w:rsidRPr="00842260" w:rsidRDefault="007C50C5" w:rsidP="007C50C5">
      <w:pPr>
        <w:pStyle w:val="TableFigureFooter"/>
        <w:rPr>
          <w:iCs/>
        </w:rPr>
      </w:pPr>
      <w:r w:rsidRPr="00842260">
        <w:t xml:space="preserve">Source: </w:t>
      </w:r>
      <w:r w:rsidRPr="00842260">
        <w:rPr>
          <w:iCs/>
        </w:rPr>
        <w:t>Constructed during the evaluation from the ‘A6.1_Abemaciclib Section 3 workbook.xlsm’ workbook included in the submission.</w:t>
      </w:r>
    </w:p>
    <w:p w14:paraId="6F1A2B38" w14:textId="455D6C79" w:rsidR="007C50C5" w:rsidRPr="00842260" w:rsidRDefault="007C50C5" w:rsidP="007C50C5">
      <w:pPr>
        <w:pStyle w:val="TableFigureFooter"/>
      </w:pPr>
      <w:r w:rsidRPr="00842260">
        <w:t xml:space="preserve">ABE = </w:t>
      </w:r>
      <w:proofErr w:type="spellStart"/>
      <w:r w:rsidRPr="00842260">
        <w:t>abemaciclib</w:t>
      </w:r>
      <w:proofErr w:type="spellEnd"/>
      <w:r w:rsidRPr="00842260">
        <w:t>; CDK</w:t>
      </w:r>
      <w:r w:rsidR="004256B4" w:rsidRPr="00842260">
        <w:t>4/6</w:t>
      </w:r>
      <w:r w:rsidRPr="00842260">
        <w:t xml:space="preserve"> = cyclin-dependent kinases 4 and 6; ET= endocrine therapy; </w:t>
      </w:r>
      <w:r w:rsidR="00D62492" w:rsidRPr="00842260">
        <w:t xml:space="preserve">ICER = incremental cost-effectiveness ratio; </w:t>
      </w:r>
      <w:r w:rsidRPr="00842260">
        <w:t>NSAI = non-steroidal aromatase inhibitor; PFS = progression-free survival; QALY = quality-adjusted life year.</w:t>
      </w:r>
    </w:p>
    <w:p w14:paraId="59F8EE57" w14:textId="21E00DF7" w:rsidR="007C50C5" w:rsidRDefault="007C50C5" w:rsidP="007C50C5">
      <w:pPr>
        <w:pStyle w:val="TableFigureFooter"/>
        <w:rPr>
          <w:iCs/>
        </w:rPr>
      </w:pPr>
      <w:r w:rsidRPr="00842260">
        <w:t xml:space="preserve">Note: </w:t>
      </w:r>
      <w:r w:rsidRPr="00842260">
        <w:rPr>
          <w:iCs/>
        </w:rPr>
        <w:t xml:space="preserve">Estimates were revised during the evaluation to apply a discount rate of </w:t>
      </w:r>
      <w:proofErr w:type="gramStart"/>
      <w:r w:rsidR="007012DA" w:rsidRPr="007012DA">
        <w:rPr>
          <w:iCs/>
          <w:color w:val="000000"/>
          <w:spacing w:val="40"/>
          <w:shd w:val="solid" w:color="000000" w:fill="000000"/>
          <w:fitText w:val="280" w:id="-1500862711"/>
          <w14:textFill>
            <w14:solidFill>
              <w14:srgbClr w14:val="000000">
                <w14:alpha w14:val="100000"/>
              </w14:srgbClr>
            </w14:solidFill>
          </w14:textFill>
        </w:rPr>
        <w:t xml:space="preserve">|  </w:t>
      </w:r>
      <w:r w:rsidR="007012DA" w:rsidRPr="007012DA">
        <w:rPr>
          <w:iCs/>
          <w:color w:val="000000"/>
          <w:spacing w:val="2"/>
          <w:shd w:val="solid" w:color="000000" w:fill="000000"/>
          <w:fitText w:val="280" w:id="-1500862711"/>
          <w14:textFill>
            <w14:solidFill>
              <w14:srgbClr w14:val="000000">
                <w14:alpha w14:val="100000"/>
              </w14:srgbClr>
            </w14:solidFill>
          </w14:textFill>
        </w:rPr>
        <w:t>|</w:t>
      </w:r>
      <w:proofErr w:type="gramEnd"/>
      <w:r w:rsidRPr="00842260">
        <w:rPr>
          <w:iCs/>
        </w:rPr>
        <w:t xml:space="preserve">% × (28/365.25) per cycle. QALYs and costs </w:t>
      </w:r>
      <w:r w:rsidR="004256B4" w:rsidRPr="00842260">
        <w:rPr>
          <w:iCs/>
        </w:rPr>
        <w:t xml:space="preserve">in endocrine-sensitive recurrences </w:t>
      </w:r>
      <w:r w:rsidRPr="00842260">
        <w:rPr>
          <w:iCs/>
        </w:rPr>
        <w:t xml:space="preserve">were also revised based on </w:t>
      </w:r>
      <w:r w:rsidR="004256B4" w:rsidRPr="00842260">
        <w:rPr>
          <w:iCs/>
        </w:rPr>
        <w:t xml:space="preserve">post-progression life years, </w:t>
      </w:r>
      <w:r w:rsidRPr="00842260">
        <w:rPr>
          <w:iCs/>
        </w:rPr>
        <w:t xml:space="preserve">rather than </w:t>
      </w:r>
      <w:r w:rsidR="004256B4" w:rsidRPr="00842260">
        <w:rPr>
          <w:iCs/>
        </w:rPr>
        <w:t>life years estimated in PFS1.</w:t>
      </w:r>
    </w:p>
    <w:p w14:paraId="5809298C" w14:textId="77777777" w:rsidR="00842C73" w:rsidRPr="00842C73" w:rsidRDefault="00842C73" w:rsidP="00842C73">
      <w:pPr>
        <w:pStyle w:val="TableFigureFooter"/>
        <w:rPr>
          <w:i/>
        </w:rPr>
      </w:pPr>
      <w:r w:rsidRPr="00842C73">
        <w:rPr>
          <w:i/>
        </w:rPr>
        <w:t xml:space="preserve">The redacted values correspond to the following ranges: </w:t>
      </w:r>
    </w:p>
    <w:p w14:paraId="728BC948" w14:textId="61169007" w:rsidR="00842C73" w:rsidRPr="00842C73" w:rsidRDefault="00842C73" w:rsidP="00842C73">
      <w:pPr>
        <w:pStyle w:val="TableFigureFooter"/>
        <w:rPr>
          <w:i/>
        </w:rPr>
      </w:pPr>
      <w:r w:rsidRPr="00842C73">
        <w:rPr>
          <w:i/>
          <w:vertAlign w:val="superscript"/>
        </w:rPr>
        <w:t>1</w:t>
      </w:r>
      <w:r w:rsidRPr="00842C73">
        <w:rPr>
          <w:i/>
        </w:rPr>
        <w:t xml:space="preserve"> </w:t>
      </w:r>
      <w:bookmarkStart w:id="45" w:name="_Hlk103077941"/>
      <w:r w:rsidRPr="00842C73">
        <w:rPr>
          <w:i/>
        </w:rPr>
        <w:t>$75,000 to &lt; $95,000</w:t>
      </w:r>
      <w:bookmarkEnd w:id="45"/>
    </w:p>
    <w:p w14:paraId="77B5BECC" w14:textId="21039D6A" w:rsidR="00842C73" w:rsidRPr="00842C73" w:rsidRDefault="00842C73" w:rsidP="00842C73">
      <w:pPr>
        <w:pStyle w:val="TableFigureFooter"/>
        <w:rPr>
          <w:i/>
        </w:rPr>
      </w:pPr>
      <w:r w:rsidRPr="00842C73">
        <w:rPr>
          <w:i/>
          <w:vertAlign w:val="superscript"/>
        </w:rPr>
        <w:t>2</w:t>
      </w:r>
      <w:r w:rsidRPr="00842C73">
        <w:rPr>
          <w:i/>
        </w:rPr>
        <w:t xml:space="preserve"> </w:t>
      </w:r>
      <w:r w:rsidR="00DB3420" w:rsidRPr="00B605B3">
        <w:rPr>
          <w:i/>
        </w:rPr>
        <w:t>$155,000 to &lt; $255,000</w:t>
      </w:r>
    </w:p>
    <w:p w14:paraId="63F3BB71" w14:textId="4B65A11C" w:rsidR="001F4081" w:rsidRPr="00842260" w:rsidRDefault="007C50C5" w:rsidP="00B659C5">
      <w:pPr>
        <w:pStyle w:val="3-BodyText"/>
        <w:spacing w:after="240"/>
        <w:ind w:left="615" w:right="147"/>
      </w:pPr>
      <w:r w:rsidRPr="00657F44">
        <w:rPr>
          <w:iCs/>
        </w:rPr>
        <w:t xml:space="preserve">One of the drivers of the cost-effectiveness of CDK4/6 inhibitors in the metastatic endocrine-sensitive setting was the calibration of OS data after progression on first-line metastatic treatment. The submission reduced the time spent after progression such that the relative gain in OS for CDK4/6 inhibitor + NSAI versus NSAI was 27.5% of the gain in </w:t>
      </w:r>
      <w:r w:rsidR="004256B4" w:rsidRPr="00657F44">
        <w:rPr>
          <w:iCs/>
        </w:rPr>
        <w:t>progression-free survival (PFS)</w:t>
      </w:r>
      <w:r w:rsidRPr="00657F44">
        <w:rPr>
          <w:iCs/>
        </w:rPr>
        <w:t xml:space="preserve">. The basis for this was the </w:t>
      </w:r>
      <w:proofErr w:type="spellStart"/>
      <w:r w:rsidRPr="00657F44">
        <w:rPr>
          <w:iCs/>
        </w:rPr>
        <w:t>palbociclib</w:t>
      </w:r>
      <w:proofErr w:type="spellEnd"/>
      <w:r w:rsidRPr="00657F44">
        <w:rPr>
          <w:iCs/>
        </w:rPr>
        <w:t xml:space="preserve"> PALOMA-1 trial.</w:t>
      </w:r>
      <w:r w:rsidR="00AC4E45" w:rsidRPr="00842260">
        <w:rPr>
          <w:rStyle w:val="FootnoteReference"/>
          <w:iCs/>
        </w:rPr>
        <w:footnoteReference w:id="9"/>
      </w:r>
      <w:r w:rsidRPr="00657F44">
        <w:rPr>
          <w:iCs/>
        </w:rPr>
        <w:t xml:space="preserve"> </w:t>
      </w:r>
      <w:r w:rsidR="00370FAC" w:rsidRPr="00657F44">
        <w:rPr>
          <w:iCs/>
        </w:rPr>
        <w:t xml:space="preserve">Using estimates without calibration reduced the ICER </w:t>
      </w:r>
      <w:r w:rsidR="00E90A7D" w:rsidRPr="00657F44">
        <w:rPr>
          <w:iCs/>
        </w:rPr>
        <w:t xml:space="preserve">for the mix of treatments in endocrine-sensitive recurrences from </w:t>
      </w:r>
      <w:r w:rsidR="00B605B3" w:rsidRPr="00B605B3">
        <w:t>$155,000 to &lt; $255,000</w:t>
      </w:r>
      <w:r w:rsidR="00B605B3" w:rsidRPr="00657F44">
        <w:rPr>
          <w:i/>
          <w:iCs/>
        </w:rPr>
        <w:t xml:space="preserve"> </w:t>
      </w:r>
      <w:r w:rsidR="00370FAC" w:rsidRPr="00657F44">
        <w:rPr>
          <w:iCs/>
        </w:rPr>
        <w:t xml:space="preserve">to </w:t>
      </w:r>
      <w:r w:rsidR="00B605B3" w:rsidRPr="00B605B3">
        <w:t>$</w:t>
      </w:r>
      <w:r w:rsidR="00B605B3">
        <w:t>5</w:t>
      </w:r>
      <w:r w:rsidR="00B605B3" w:rsidRPr="00B605B3">
        <w:t>5,000 to &lt; $</w:t>
      </w:r>
      <w:r w:rsidR="00B605B3">
        <w:t>7</w:t>
      </w:r>
      <w:r w:rsidR="00B605B3" w:rsidRPr="00B605B3">
        <w:t>5,000</w:t>
      </w:r>
      <w:r w:rsidR="00370FAC" w:rsidRPr="00657F44">
        <w:rPr>
          <w:iCs/>
        </w:rPr>
        <w:t>.</w:t>
      </w:r>
      <w:r w:rsidR="000C03D5" w:rsidRPr="00657F44">
        <w:rPr>
          <w:iCs/>
        </w:rPr>
        <w:t xml:space="preserve"> The ESC agreed</w:t>
      </w:r>
      <w:r w:rsidR="00143A50" w:rsidRPr="00657F44">
        <w:rPr>
          <w:iCs/>
        </w:rPr>
        <w:t xml:space="preserve"> with the evaluation</w:t>
      </w:r>
      <w:r w:rsidR="000C03D5" w:rsidRPr="00657F44">
        <w:rPr>
          <w:iCs/>
        </w:rPr>
        <w:t xml:space="preserve"> that the validity of IDFS as a surrogate for OS remains unknown for the proposed patient population.</w:t>
      </w:r>
      <w:r w:rsidR="00657F44" w:rsidRPr="00657F44">
        <w:rPr>
          <w:iCs/>
        </w:rPr>
        <w:t xml:space="preserve"> </w:t>
      </w:r>
      <w:r w:rsidR="00006983" w:rsidRPr="00842260">
        <w:t>The results of the economic analysis are presented in</w:t>
      </w:r>
      <w:r w:rsidR="00D62492" w:rsidRPr="00842260">
        <w:t xml:space="preserve"> </w:t>
      </w:r>
      <w:r w:rsidR="003E1126" w:rsidRPr="00842260">
        <w:t>Table 10</w:t>
      </w:r>
      <w:r w:rsidR="00006983" w:rsidRPr="00842260">
        <w:t>.</w:t>
      </w:r>
      <w:r w:rsidR="009F7724" w:rsidRPr="00657F44">
        <w:rPr>
          <w:iCs/>
        </w:rPr>
        <w:t xml:space="preserve"> Estimates were revised to correct for errors identified during the evaluation. The revised ICER was observed to be lower than that presented in the submission driven by the correction for discounting made to the metastatic health state fixed costs and QALYs, where a </w:t>
      </w:r>
      <w:proofErr w:type="gramStart"/>
      <w:r w:rsidR="007012DA" w:rsidRPr="00791C44">
        <w:rPr>
          <w:iCs/>
          <w:color w:val="000000"/>
          <w:w w:val="15"/>
          <w:shd w:val="solid" w:color="000000" w:fill="000000"/>
          <w:fitText w:val="-20" w:id="-1500862710"/>
          <w14:textFill>
            <w14:solidFill>
              <w14:srgbClr w14:val="000000">
                <w14:alpha w14:val="100000"/>
              </w14:srgbClr>
            </w14:solidFill>
          </w14:textFill>
        </w:rPr>
        <w:t xml:space="preserve">|  </w:t>
      </w:r>
      <w:r w:rsidR="007012DA" w:rsidRPr="00791C44">
        <w:rPr>
          <w:iCs/>
          <w:color w:val="000000"/>
          <w:spacing w:val="-69"/>
          <w:w w:val="15"/>
          <w:shd w:val="solid" w:color="000000" w:fill="000000"/>
          <w:fitText w:val="-20" w:id="-1500862710"/>
          <w14:textFill>
            <w14:solidFill>
              <w14:srgbClr w14:val="000000">
                <w14:alpha w14:val="100000"/>
              </w14:srgbClr>
            </w14:solidFill>
          </w14:textFill>
        </w:rPr>
        <w:t>|</w:t>
      </w:r>
      <w:proofErr w:type="gramEnd"/>
      <w:r w:rsidR="009F7724" w:rsidRPr="00657F44">
        <w:rPr>
          <w:iCs/>
        </w:rPr>
        <w:t>% rate had been applied per cycle, rather than per year.</w:t>
      </w:r>
      <w:r w:rsidR="000C03D5" w:rsidRPr="00657F44">
        <w:rPr>
          <w:iCs/>
        </w:rPr>
        <w:t xml:space="preserve"> </w:t>
      </w:r>
      <w:r w:rsidR="000C03D5" w:rsidRPr="00842260">
        <w:t xml:space="preserve">The PSCR presented an updated economic model and ICER of </w:t>
      </w:r>
      <w:r w:rsidR="00B605B3" w:rsidRPr="00657F44">
        <w:rPr>
          <w:rFonts w:ascii="Arial" w:hAnsi="Arial"/>
          <w:color w:val="333333"/>
          <w:sz w:val="21"/>
          <w:szCs w:val="21"/>
        </w:rPr>
        <w:t xml:space="preserve">$25,000 to &lt; $35,000 </w:t>
      </w:r>
      <w:r w:rsidR="000C03D5" w:rsidRPr="00842260">
        <w:t xml:space="preserve">(originally </w:t>
      </w:r>
      <w:r w:rsidR="00B605B3" w:rsidRPr="00657F44">
        <w:rPr>
          <w:rFonts w:ascii="Arial" w:hAnsi="Arial"/>
          <w:color w:val="333333"/>
          <w:sz w:val="21"/>
          <w:szCs w:val="21"/>
        </w:rPr>
        <w:t>$35,000 to &lt; $45,000</w:t>
      </w:r>
      <w:r w:rsidR="000C03D5" w:rsidRPr="00842260">
        <w:t xml:space="preserve">). </w:t>
      </w:r>
      <w:r w:rsidR="00222D66" w:rsidRPr="00842260">
        <w:t>However, the</w:t>
      </w:r>
      <w:r w:rsidR="000C03D5" w:rsidRPr="00842260">
        <w:t xml:space="preserve"> updated model did not include </w:t>
      </w:r>
      <w:proofErr w:type="gramStart"/>
      <w:r w:rsidR="00143A50" w:rsidRPr="00842260">
        <w:t>a number</w:t>
      </w:r>
      <w:r w:rsidR="00222D66" w:rsidRPr="00842260">
        <w:t xml:space="preserve"> of</w:t>
      </w:r>
      <w:proofErr w:type="gramEnd"/>
      <w:r w:rsidR="00222D66" w:rsidRPr="00842260">
        <w:t xml:space="preserve"> the</w:t>
      </w:r>
      <w:r w:rsidR="000C03D5" w:rsidRPr="00842260">
        <w:t xml:space="preserve"> commentary</w:t>
      </w:r>
      <w:r w:rsidR="00222D66" w:rsidRPr="00842260">
        <w:t>’s</w:t>
      </w:r>
      <w:r w:rsidR="000C03D5" w:rsidRPr="00842260">
        <w:t xml:space="preserve"> revisions</w:t>
      </w:r>
      <w:r w:rsidR="00222D66" w:rsidRPr="00842260">
        <w:t xml:space="preserve"> and correction of errors</w:t>
      </w:r>
      <w:r w:rsidR="000C03D5" w:rsidRPr="00842260">
        <w:t>.</w:t>
      </w:r>
      <w:r w:rsidR="00222D66" w:rsidRPr="00842260">
        <w:t xml:space="preserve"> The PSCR did not agree with the commentary’s changes to discounting or </w:t>
      </w:r>
      <w:r w:rsidR="000A4EE8" w:rsidRPr="00842260">
        <w:t>IDFS probability of death applied to the proportion of patients in IDFS</w:t>
      </w:r>
      <w:r w:rsidR="006D5357" w:rsidRPr="00842260">
        <w:t>; in contrast, t</w:t>
      </w:r>
      <w:r w:rsidR="000A4EE8" w:rsidRPr="00842260">
        <w:t>he submission applied the IDFS probability of death to the proportion of patients with events</w:t>
      </w:r>
      <w:r w:rsidR="00222D66" w:rsidRPr="00842260">
        <w:t xml:space="preserve">. The ESC </w:t>
      </w:r>
      <w:r w:rsidR="000A4EE8" w:rsidRPr="00842260">
        <w:t xml:space="preserve">agreed with the correction of errors made </w:t>
      </w:r>
      <w:r w:rsidR="00143A50" w:rsidRPr="00842260">
        <w:t>in</w:t>
      </w:r>
      <w:r w:rsidR="000A4EE8" w:rsidRPr="00842260">
        <w:t xml:space="preserve"> the commentary.</w:t>
      </w:r>
    </w:p>
    <w:p w14:paraId="2C1B62F3" w14:textId="099EFAAE" w:rsidR="001F4081" w:rsidRPr="00842260" w:rsidRDefault="008B731C" w:rsidP="00BB732D">
      <w:pPr>
        <w:pStyle w:val="TableFigureHeading"/>
      </w:pPr>
      <w:bookmarkStart w:id="46" w:name="_Ref93405945"/>
      <w:r w:rsidRPr="00842260">
        <w:lastRenderedPageBreak/>
        <w:t xml:space="preserve">Table </w:t>
      </w:r>
      <w:fldSimple w:instr=" SEQ Table \* ARABIC ">
        <w:r w:rsidR="00053218">
          <w:rPr>
            <w:noProof/>
          </w:rPr>
          <w:t>10</w:t>
        </w:r>
      </w:fldSimple>
      <w:bookmarkEnd w:id="46"/>
      <w:r w:rsidR="00AA50A0" w:rsidRPr="00842260">
        <w:rPr>
          <w:rStyle w:val="CommentReference"/>
          <w:b/>
          <w:szCs w:val="24"/>
        </w:rPr>
        <w:t xml:space="preserve">: </w:t>
      </w:r>
      <w:r w:rsidR="001F4081" w:rsidRPr="00842260">
        <w:rPr>
          <w:rStyle w:val="CommentReference"/>
          <w:b/>
          <w:szCs w:val="24"/>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24"/>
        <w:gridCol w:w="1731"/>
        <w:gridCol w:w="1731"/>
        <w:gridCol w:w="1731"/>
      </w:tblGrid>
      <w:tr w:rsidR="00924531" w:rsidRPr="00842260" w14:paraId="47170323" w14:textId="77777777" w:rsidTr="007012DA">
        <w:trPr>
          <w:trHeight w:val="339"/>
          <w:tblHeader/>
        </w:trPr>
        <w:tc>
          <w:tcPr>
            <w:tcW w:w="2120" w:type="pct"/>
            <w:tcBorders>
              <w:bottom w:val="single" w:sz="4" w:space="0" w:color="auto"/>
            </w:tcBorders>
            <w:vAlign w:val="center"/>
          </w:tcPr>
          <w:p w14:paraId="1684C702" w14:textId="77777777" w:rsidR="00924531" w:rsidRPr="00842260" w:rsidRDefault="00924531" w:rsidP="008C3917">
            <w:pPr>
              <w:pStyle w:val="In-tableHeading"/>
              <w:rPr>
                <w:lang w:val="en-AU"/>
              </w:rPr>
            </w:pPr>
          </w:p>
        </w:tc>
        <w:tc>
          <w:tcPr>
            <w:tcW w:w="960" w:type="pct"/>
            <w:tcBorders>
              <w:bottom w:val="single" w:sz="4" w:space="0" w:color="auto"/>
            </w:tcBorders>
            <w:vAlign w:val="center"/>
          </w:tcPr>
          <w:p w14:paraId="7ED34534" w14:textId="77777777" w:rsidR="00924531" w:rsidRPr="00842260" w:rsidRDefault="00924531" w:rsidP="008C3917">
            <w:pPr>
              <w:pStyle w:val="In-tableHeading"/>
              <w:jc w:val="center"/>
              <w:rPr>
                <w:lang w:val="en-AU"/>
              </w:rPr>
            </w:pPr>
            <w:r w:rsidRPr="00842260">
              <w:rPr>
                <w:lang w:val="en-AU"/>
              </w:rPr>
              <w:t>ABE + ET</w:t>
            </w:r>
          </w:p>
        </w:tc>
        <w:tc>
          <w:tcPr>
            <w:tcW w:w="960" w:type="pct"/>
            <w:tcBorders>
              <w:bottom w:val="single" w:sz="4" w:space="0" w:color="auto"/>
            </w:tcBorders>
            <w:vAlign w:val="center"/>
          </w:tcPr>
          <w:p w14:paraId="0A12E5EA" w14:textId="77777777" w:rsidR="00924531" w:rsidRPr="00842260" w:rsidRDefault="00924531" w:rsidP="008C3917">
            <w:pPr>
              <w:pStyle w:val="In-tableHeading"/>
              <w:jc w:val="center"/>
              <w:rPr>
                <w:lang w:val="en-AU"/>
              </w:rPr>
            </w:pPr>
            <w:r w:rsidRPr="00842260">
              <w:rPr>
                <w:lang w:val="en-AU"/>
              </w:rPr>
              <w:t>ET</w:t>
            </w:r>
          </w:p>
        </w:tc>
        <w:tc>
          <w:tcPr>
            <w:tcW w:w="960" w:type="pct"/>
            <w:tcBorders>
              <w:bottom w:val="single" w:sz="4" w:space="0" w:color="auto"/>
            </w:tcBorders>
            <w:vAlign w:val="center"/>
          </w:tcPr>
          <w:p w14:paraId="120AE59A" w14:textId="77777777" w:rsidR="00924531" w:rsidRPr="00842260" w:rsidRDefault="00924531" w:rsidP="008C3917">
            <w:pPr>
              <w:pStyle w:val="In-tableHeading"/>
              <w:jc w:val="center"/>
              <w:rPr>
                <w:lang w:val="en-AU"/>
              </w:rPr>
            </w:pPr>
            <w:r w:rsidRPr="00842260">
              <w:rPr>
                <w:lang w:val="en-AU"/>
              </w:rPr>
              <w:t>Increment</w:t>
            </w:r>
          </w:p>
        </w:tc>
      </w:tr>
      <w:tr w:rsidR="00924531" w:rsidRPr="00842260" w14:paraId="4296A09C" w14:textId="77777777" w:rsidTr="007012DA">
        <w:tc>
          <w:tcPr>
            <w:tcW w:w="2120" w:type="pct"/>
            <w:tcBorders>
              <w:bottom w:val="nil"/>
            </w:tcBorders>
            <w:vAlign w:val="center"/>
          </w:tcPr>
          <w:p w14:paraId="58E02669" w14:textId="38789289" w:rsidR="00924531" w:rsidRPr="00842260" w:rsidRDefault="00924531" w:rsidP="008C3917">
            <w:pPr>
              <w:pStyle w:val="TableText0"/>
              <w:rPr>
                <w:rFonts w:ascii="Times" w:hAnsi="Times"/>
              </w:rPr>
            </w:pPr>
            <w:r w:rsidRPr="00842260">
              <w:t>Costs</w:t>
            </w:r>
            <w:r w:rsidR="00B605B3">
              <w:t xml:space="preserve"> ($)</w:t>
            </w:r>
          </w:p>
        </w:tc>
        <w:tc>
          <w:tcPr>
            <w:tcW w:w="960" w:type="pct"/>
            <w:tcBorders>
              <w:bottom w:val="nil"/>
            </w:tcBorders>
            <w:shd w:val="solid" w:color="000000" w:fill="000000"/>
          </w:tcPr>
          <w:p w14:paraId="2A2E7C0A" w14:textId="7062BAD3" w:rsidR="00924531" w:rsidRPr="007012DA" w:rsidRDefault="007012DA" w:rsidP="008C3917">
            <w:pPr>
              <w:pStyle w:val="TableText0"/>
              <w:jc w:val="center"/>
              <w:rPr>
                <w:rFonts w:ascii="Times" w:hAnsi="Times"/>
                <w:vertAlign w:val="superscript"/>
              </w:rPr>
            </w:pPr>
            <w:r w:rsidRPr="007012DA">
              <w:rPr>
                <w:color w:val="000000"/>
                <w14:textFill>
                  <w14:solidFill>
                    <w14:srgbClr w14:val="000000">
                      <w14:alpha w14:val="100000"/>
                    </w14:srgbClr>
                  </w14:solidFill>
                </w14:textFill>
              </w:rPr>
              <w:t>|</w:t>
            </w:r>
          </w:p>
        </w:tc>
        <w:tc>
          <w:tcPr>
            <w:tcW w:w="960" w:type="pct"/>
            <w:tcBorders>
              <w:bottom w:val="nil"/>
            </w:tcBorders>
            <w:shd w:val="solid" w:color="000000" w:fill="000000"/>
          </w:tcPr>
          <w:p w14:paraId="545942B4" w14:textId="0ED9BE69" w:rsidR="00924531" w:rsidRPr="007012DA" w:rsidRDefault="007012DA" w:rsidP="008C3917">
            <w:pPr>
              <w:pStyle w:val="TableText0"/>
              <w:jc w:val="center"/>
              <w:rPr>
                <w:rFonts w:ascii="Times" w:hAnsi="Times"/>
              </w:rPr>
            </w:pPr>
            <w:r w:rsidRPr="007012DA">
              <w:rPr>
                <w:color w:val="000000"/>
                <w14:textFill>
                  <w14:solidFill>
                    <w14:srgbClr w14:val="000000">
                      <w14:alpha w14:val="100000"/>
                    </w14:srgbClr>
                  </w14:solidFill>
                </w14:textFill>
              </w:rPr>
              <w:t>|</w:t>
            </w:r>
          </w:p>
        </w:tc>
        <w:tc>
          <w:tcPr>
            <w:tcW w:w="960" w:type="pct"/>
            <w:tcBorders>
              <w:bottom w:val="nil"/>
            </w:tcBorders>
            <w:shd w:val="solid" w:color="000000" w:fill="000000"/>
          </w:tcPr>
          <w:p w14:paraId="7F60E0A2" w14:textId="16A531F6" w:rsidR="00924531" w:rsidRPr="007012DA" w:rsidRDefault="007012DA" w:rsidP="008C3917">
            <w:pPr>
              <w:pStyle w:val="TableText0"/>
              <w:jc w:val="center"/>
              <w:rPr>
                <w:rFonts w:ascii="Times" w:hAnsi="Times"/>
              </w:rPr>
            </w:pPr>
            <w:r w:rsidRPr="007012DA">
              <w:rPr>
                <w:color w:val="000000"/>
                <w14:textFill>
                  <w14:solidFill>
                    <w14:srgbClr w14:val="000000">
                      <w14:alpha w14:val="100000"/>
                    </w14:srgbClr>
                  </w14:solidFill>
                </w14:textFill>
              </w:rPr>
              <w:t>|</w:t>
            </w:r>
          </w:p>
        </w:tc>
      </w:tr>
      <w:tr w:rsidR="00924531" w:rsidRPr="00842260" w14:paraId="734D4261" w14:textId="77777777" w:rsidTr="007012DA">
        <w:tc>
          <w:tcPr>
            <w:tcW w:w="2120" w:type="pct"/>
            <w:tcBorders>
              <w:top w:val="nil"/>
              <w:bottom w:val="single" w:sz="4" w:space="0" w:color="auto"/>
            </w:tcBorders>
            <w:vAlign w:val="center"/>
          </w:tcPr>
          <w:p w14:paraId="279C60F5" w14:textId="5D46C1D5" w:rsidR="00924531" w:rsidRPr="00842260" w:rsidRDefault="00924531" w:rsidP="008C3917">
            <w:pPr>
              <w:pStyle w:val="TableText0"/>
            </w:pPr>
            <w:r w:rsidRPr="00842260">
              <w:t>Revised</w:t>
            </w:r>
            <w:r w:rsidR="00B605B3">
              <w:t xml:space="preserve"> ($)</w:t>
            </w:r>
          </w:p>
        </w:tc>
        <w:tc>
          <w:tcPr>
            <w:tcW w:w="960" w:type="pct"/>
            <w:tcBorders>
              <w:top w:val="nil"/>
              <w:bottom w:val="single" w:sz="4" w:space="0" w:color="auto"/>
            </w:tcBorders>
            <w:shd w:val="solid" w:color="000000" w:fill="000000"/>
          </w:tcPr>
          <w:p w14:paraId="35405A24" w14:textId="77923EB1" w:rsidR="00924531" w:rsidRPr="007012DA" w:rsidRDefault="007012DA" w:rsidP="008C3917">
            <w:pPr>
              <w:pStyle w:val="TableText0"/>
              <w:jc w:val="center"/>
            </w:pPr>
            <w:r w:rsidRPr="007012DA">
              <w:rPr>
                <w:color w:val="000000"/>
                <w14:textFill>
                  <w14:solidFill>
                    <w14:srgbClr w14:val="000000">
                      <w14:alpha w14:val="100000"/>
                    </w14:srgbClr>
                  </w14:solidFill>
                </w14:textFill>
              </w:rPr>
              <w:t>|</w:t>
            </w:r>
          </w:p>
        </w:tc>
        <w:tc>
          <w:tcPr>
            <w:tcW w:w="960" w:type="pct"/>
            <w:tcBorders>
              <w:top w:val="nil"/>
              <w:bottom w:val="single" w:sz="4" w:space="0" w:color="auto"/>
            </w:tcBorders>
            <w:shd w:val="solid" w:color="000000" w:fill="000000"/>
          </w:tcPr>
          <w:p w14:paraId="00CEE755" w14:textId="45997374" w:rsidR="00924531" w:rsidRPr="007012DA" w:rsidRDefault="007012DA" w:rsidP="008C3917">
            <w:pPr>
              <w:pStyle w:val="TableText0"/>
              <w:jc w:val="center"/>
            </w:pPr>
            <w:r w:rsidRPr="007012DA">
              <w:rPr>
                <w:color w:val="000000"/>
                <w14:textFill>
                  <w14:solidFill>
                    <w14:srgbClr w14:val="000000">
                      <w14:alpha w14:val="100000"/>
                    </w14:srgbClr>
                  </w14:solidFill>
                </w14:textFill>
              </w:rPr>
              <w:t>|</w:t>
            </w:r>
          </w:p>
        </w:tc>
        <w:tc>
          <w:tcPr>
            <w:tcW w:w="960" w:type="pct"/>
            <w:tcBorders>
              <w:top w:val="nil"/>
              <w:bottom w:val="single" w:sz="4" w:space="0" w:color="auto"/>
            </w:tcBorders>
            <w:shd w:val="solid" w:color="000000" w:fill="000000"/>
          </w:tcPr>
          <w:p w14:paraId="1C8D4999" w14:textId="1745BD3B" w:rsidR="00924531" w:rsidRPr="007012DA" w:rsidRDefault="007012DA" w:rsidP="008C3917">
            <w:pPr>
              <w:pStyle w:val="TableText0"/>
              <w:jc w:val="center"/>
            </w:pPr>
            <w:r w:rsidRPr="007012DA">
              <w:rPr>
                <w:color w:val="000000"/>
                <w14:textFill>
                  <w14:solidFill>
                    <w14:srgbClr w14:val="000000">
                      <w14:alpha w14:val="100000"/>
                    </w14:srgbClr>
                  </w14:solidFill>
                </w14:textFill>
              </w:rPr>
              <w:t>|</w:t>
            </w:r>
          </w:p>
        </w:tc>
      </w:tr>
      <w:tr w:rsidR="00924531" w:rsidRPr="00842260" w14:paraId="0149B4D0" w14:textId="77777777" w:rsidTr="008C3917">
        <w:tc>
          <w:tcPr>
            <w:tcW w:w="2120" w:type="pct"/>
            <w:tcBorders>
              <w:bottom w:val="nil"/>
            </w:tcBorders>
            <w:vAlign w:val="center"/>
          </w:tcPr>
          <w:p w14:paraId="75F879BC" w14:textId="77777777" w:rsidR="00924531" w:rsidRPr="00842260" w:rsidRDefault="00924531" w:rsidP="008C3917">
            <w:pPr>
              <w:pStyle w:val="TableText0"/>
            </w:pPr>
            <w:r w:rsidRPr="000D125B">
              <w:t>QALYs</w:t>
            </w:r>
          </w:p>
        </w:tc>
        <w:tc>
          <w:tcPr>
            <w:tcW w:w="960" w:type="pct"/>
            <w:tcBorders>
              <w:bottom w:val="nil"/>
            </w:tcBorders>
          </w:tcPr>
          <w:p w14:paraId="58631882" w14:textId="77777777" w:rsidR="00924531" w:rsidRPr="00842260" w:rsidRDefault="00924531" w:rsidP="008C3917">
            <w:pPr>
              <w:pStyle w:val="TableText0"/>
              <w:jc w:val="center"/>
            </w:pPr>
            <w:r w:rsidRPr="00842260">
              <w:t>9.170</w:t>
            </w:r>
          </w:p>
        </w:tc>
        <w:tc>
          <w:tcPr>
            <w:tcW w:w="960" w:type="pct"/>
            <w:tcBorders>
              <w:bottom w:val="nil"/>
            </w:tcBorders>
          </w:tcPr>
          <w:p w14:paraId="6CB00CC3" w14:textId="77777777" w:rsidR="00924531" w:rsidRPr="00842260" w:rsidRDefault="00924531" w:rsidP="008C3917">
            <w:pPr>
              <w:pStyle w:val="TableText0"/>
              <w:jc w:val="center"/>
            </w:pPr>
            <w:r w:rsidRPr="00842260">
              <w:t>8.482</w:t>
            </w:r>
          </w:p>
        </w:tc>
        <w:tc>
          <w:tcPr>
            <w:tcW w:w="960" w:type="pct"/>
            <w:tcBorders>
              <w:bottom w:val="nil"/>
            </w:tcBorders>
          </w:tcPr>
          <w:p w14:paraId="38E6975E" w14:textId="77777777" w:rsidR="00924531" w:rsidRPr="00842260" w:rsidRDefault="00924531" w:rsidP="008C3917">
            <w:pPr>
              <w:pStyle w:val="TableText0"/>
              <w:jc w:val="center"/>
            </w:pPr>
            <w:r w:rsidRPr="00842260">
              <w:t>0.687</w:t>
            </w:r>
          </w:p>
        </w:tc>
      </w:tr>
      <w:tr w:rsidR="00924531" w:rsidRPr="00842260" w14:paraId="56CC4E7A" w14:textId="77777777" w:rsidTr="008C3917">
        <w:tc>
          <w:tcPr>
            <w:tcW w:w="2120" w:type="pct"/>
            <w:tcBorders>
              <w:top w:val="nil"/>
              <w:bottom w:val="single" w:sz="4" w:space="0" w:color="auto"/>
            </w:tcBorders>
            <w:vAlign w:val="center"/>
          </w:tcPr>
          <w:p w14:paraId="03AA43DE" w14:textId="77777777" w:rsidR="00924531" w:rsidRPr="00842260" w:rsidRDefault="00924531" w:rsidP="008C3917">
            <w:pPr>
              <w:pStyle w:val="TableText0"/>
              <w:rPr>
                <w:rFonts w:ascii="Times" w:hAnsi="Times"/>
              </w:rPr>
            </w:pPr>
            <w:r w:rsidRPr="00842260">
              <w:t>Revised</w:t>
            </w:r>
          </w:p>
        </w:tc>
        <w:tc>
          <w:tcPr>
            <w:tcW w:w="960" w:type="pct"/>
            <w:tcBorders>
              <w:top w:val="nil"/>
              <w:bottom w:val="single" w:sz="4" w:space="0" w:color="auto"/>
            </w:tcBorders>
          </w:tcPr>
          <w:p w14:paraId="35FA46E2" w14:textId="77777777" w:rsidR="00924531" w:rsidRPr="00842260" w:rsidRDefault="00924531" w:rsidP="008C3917">
            <w:pPr>
              <w:pStyle w:val="TableText0"/>
              <w:jc w:val="center"/>
              <w:rPr>
                <w:rFonts w:ascii="Times" w:hAnsi="Times"/>
              </w:rPr>
            </w:pPr>
            <w:r w:rsidRPr="00842260">
              <w:t>9.044</w:t>
            </w:r>
          </w:p>
        </w:tc>
        <w:tc>
          <w:tcPr>
            <w:tcW w:w="960" w:type="pct"/>
            <w:tcBorders>
              <w:top w:val="nil"/>
              <w:bottom w:val="single" w:sz="4" w:space="0" w:color="auto"/>
            </w:tcBorders>
          </w:tcPr>
          <w:p w14:paraId="5D7E2A05" w14:textId="77777777" w:rsidR="00924531" w:rsidRPr="00842260" w:rsidRDefault="00924531" w:rsidP="008C3917">
            <w:pPr>
              <w:pStyle w:val="TableText0"/>
              <w:jc w:val="center"/>
              <w:rPr>
                <w:rFonts w:ascii="Times" w:hAnsi="Times"/>
              </w:rPr>
            </w:pPr>
            <w:r w:rsidRPr="00842260">
              <w:t>8.446</w:t>
            </w:r>
          </w:p>
        </w:tc>
        <w:tc>
          <w:tcPr>
            <w:tcW w:w="960" w:type="pct"/>
            <w:tcBorders>
              <w:top w:val="nil"/>
              <w:bottom w:val="single" w:sz="4" w:space="0" w:color="auto"/>
            </w:tcBorders>
          </w:tcPr>
          <w:p w14:paraId="4C1EDB35" w14:textId="77777777" w:rsidR="00924531" w:rsidRPr="00842260" w:rsidRDefault="00924531" w:rsidP="008C3917">
            <w:pPr>
              <w:pStyle w:val="TableText0"/>
              <w:jc w:val="center"/>
            </w:pPr>
            <w:r w:rsidRPr="00842260">
              <w:t>0.598</w:t>
            </w:r>
          </w:p>
        </w:tc>
      </w:tr>
      <w:tr w:rsidR="00924531" w:rsidRPr="00842260" w14:paraId="25A74E82" w14:textId="77777777" w:rsidTr="008C3917">
        <w:tc>
          <w:tcPr>
            <w:tcW w:w="2120" w:type="pct"/>
            <w:tcBorders>
              <w:bottom w:val="nil"/>
              <w:right w:val="nil"/>
            </w:tcBorders>
            <w:vAlign w:val="center"/>
          </w:tcPr>
          <w:p w14:paraId="76EB906F" w14:textId="6D55E962" w:rsidR="00924531" w:rsidRPr="00842260" w:rsidRDefault="00924531" w:rsidP="008C3917">
            <w:pPr>
              <w:pStyle w:val="TableText0"/>
              <w:rPr>
                <w:rFonts w:ascii="Times" w:hAnsi="Times"/>
                <w:b/>
              </w:rPr>
            </w:pPr>
            <w:r w:rsidRPr="00842260">
              <w:rPr>
                <w:b/>
              </w:rPr>
              <w:t>Incremental cost per additional QALY gained</w:t>
            </w:r>
            <w:r w:rsidR="00B605B3">
              <w:rPr>
                <w:b/>
              </w:rPr>
              <w:t xml:space="preserve"> ($)</w:t>
            </w:r>
          </w:p>
        </w:tc>
        <w:tc>
          <w:tcPr>
            <w:tcW w:w="960" w:type="pct"/>
            <w:tcBorders>
              <w:left w:val="nil"/>
              <w:bottom w:val="nil"/>
              <w:right w:val="nil"/>
            </w:tcBorders>
            <w:vAlign w:val="center"/>
          </w:tcPr>
          <w:p w14:paraId="4610E4AA" w14:textId="77777777" w:rsidR="00924531" w:rsidRPr="00842260" w:rsidRDefault="00924531" w:rsidP="008C3917">
            <w:pPr>
              <w:pStyle w:val="TableText0"/>
              <w:rPr>
                <w:rFonts w:ascii="Times" w:hAnsi="Times"/>
                <w:b/>
              </w:rPr>
            </w:pPr>
          </w:p>
        </w:tc>
        <w:tc>
          <w:tcPr>
            <w:tcW w:w="960" w:type="pct"/>
            <w:tcBorders>
              <w:left w:val="nil"/>
              <w:bottom w:val="nil"/>
            </w:tcBorders>
            <w:vAlign w:val="center"/>
          </w:tcPr>
          <w:p w14:paraId="11212ECB" w14:textId="77777777" w:rsidR="00924531" w:rsidRPr="00842260" w:rsidRDefault="00924531" w:rsidP="008C3917">
            <w:pPr>
              <w:pStyle w:val="TableText0"/>
              <w:rPr>
                <w:rFonts w:ascii="Times" w:hAnsi="Times"/>
                <w:b/>
              </w:rPr>
            </w:pPr>
          </w:p>
        </w:tc>
        <w:tc>
          <w:tcPr>
            <w:tcW w:w="960" w:type="pct"/>
            <w:tcBorders>
              <w:bottom w:val="nil"/>
            </w:tcBorders>
          </w:tcPr>
          <w:p w14:paraId="410CDDD7" w14:textId="4F40E86E" w:rsidR="00924531" w:rsidRPr="00B605B3" w:rsidRDefault="007012DA" w:rsidP="008C3917">
            <w:pPr>
              <w:pStyle w:val="TableText0"/>
              <w:jc w:val="center"/>
              <w:rPr>
                <w:rFonts w:ascii="Times" w:hAnsi="Times"/>
                <w:b/>
                <w:highlight w:val="yellow"/>
              </w:rPr>
            </w:pPr>
            <w:r w:rsidRPr="007012DA">
              <w:rPr>
                <w:b/>
                <w:color w:val="000000"/>
                <w:shd w:val="solid" w:color="000000" w:fill="000000"/>
                <w14:textFill>
                  <w14:solidFill>
                    <w14:srgbClr w14:val="000000">
                      <w14:alpha w14:val="100000"/>
                    </w14:srgbClr>
                  </w14:solidFill>
                </w14:textFill>
              </w:rPr>
              <w:t>|</w:t>
            </w:r>
            <w:r w:rsidR="00657F44">
              <w:rPr>
                <w:vertAlign w:val="superscript"/>
              </w:rPr>
              <w:t>1</w:t>
            </w:r>
          </w:p>
        </w:tc>
      </w:tr>
      <w:tr w:rsidR="00924531" w:rsidRPr="00842260" w14:paraId="70417CA6" w14:textId="77777777" w:rsidTr="008C3917">
        <w:tc>
          <w:tcPr>
            <w:tcW w:w="2120" w:type="pct"/>
            <w:tcBorders>
              <w:top w:val="nil"/>
              <w:right w:val="nil"/>
            </w:tcBorders>
            <w:vAlign w:val="center"/>
          </w:tcPr>
          <w:p w14:paraId="1E7B9D0E" w14:textId="1681C8CC" w:rsidR="00924531" w:rsidRPr="00842260" w:rsidRDefault="00924531" w:rsidP="008C3917">
            <w:pPr>
              <w:pStyle w:val="TableText0"/>
              <w:rPr>
                <w:b/>
              </w:rPr>
            </w:pPr>
            <w:r w:rsidRPr="00842260">
              <w:rPr>
                <w:b/>
              </w:rPr>
              <w:t>Revised</w:t>
            </w:r>
            <w:r w:rsidR="00B605B3">
              <w:rPr>
                <w:b/>
              </w:rPr>
              <w:t xml:space="preserve"> ($)</w:t>
            </w:r>
          </w:p>
        </w:tc>
        <w:tc>
          <w:tcPr>
            <w:tcW w:w="960" w:type="pct"/>
            <w:tcBorders>
              <w:top w:val="nil"/>
              <w:left w:val="nil"/>
              <w:right w:val="nil"/>
            </w:tcBorders>
            <w:vAlign w:val="center"/>
          </w:tcPr>
          <w:p w14:paraId="0744F509" w14:textId="77777777" w:rsidR="00924531" w:rsidRPr="00842260" w:rsidRDefault="00924531" w:rsidP="008C3917">
            <w:pPr>
              <w:pStyle w:val="TableText0"/>
              <w:rPr>
                <w:b/>
              </w:rPr>
            </w:pPr>
          </w:p>
        </w:tc>
        <w:tc>
          <w:tcPr>
            <w:tcW w:w="960" w:type="pct"/>
            <w:tcBorders>
              <w:top w:val="nil"/>
              <w:left w:val="nil"/>
            </w:tcBorders>
            <w:vAlign w:val="center"/>
          </w:tcPr>
          <w:p w14:paraId="7B7910AA" w14:textId="77777777" w:rsidR="00924531" w:rsidRPr="00842260" w:rsidRDefault="00924531" w:rsidP="008C3917">
            <w:pPr>
              <w:pStyle w:val="TableText0"/>
              <w:rPr>
                <w:b/>
              </w:rPr>
            </w:pPr>
          </w:p>
        </w:tc>
        <w:tc>
          <w:tcPr>
            <w:tcW w:w="960" w:type="pct"/>
            <w:tcBorders>
              <w:top w:val="nil"/>
            </w:tcBorders>
          </w:tcPr>
          <w:p w14:paraId="6E814503" w14:textId="2E35C2FB" w:rsidR="00924531" w:rsidRPr="00B605B3" w:rsidRDefault="007012DA" w:rsidP="008C3917">
            <w:pPr>
              <w:pStyle w:val="TableText0"/>
              <w:jc w:val="center"/>
              <w:rPr>
                <w:b/>
                <w:highlight w:val="yellow"/>
              </w:rPr>
            </w:pPr>
            <w:r w:rsidRPr="007012DA">
              <w:rPr>
                <w:b/>
                <w:color w:val="000000"/>
                <w:shd w:val="solid" w:color="000000" w:fill="000000"/>
                <w14:textFill>
                  <w14:solidFill>
                    <w14:srgbClr w14:val="000000">
                      <w14:alpha w14:val="100000"/>
                    </w14:srgbClr>
                  </w14:solidFill>
                </w14:textFill>
              </w:rPr>
              <w:t>|</w:t>
            </w:r>
            <w:r w:rsidR="00657F44">
              <w:rPr>
                <w:vertAlign w:val="superscript"/>
              </w:rPr>
              <w:t>2</w:t>
            </w:r>
          </w:p>
        </w:tc>
      </w:tr>
    </w:tbl>
    <w:p w14:paraId="12DA79DD" w14:textId="77777777" w:rsidR="00924531" w:rsidRPr="00842260" w:rsidRDefault="00924531" w:rsidP="00924531">
      <w:pPr>
        <w:pStyle w:val="TableFigureFooter"/>
      </w:pPr>
      <w:r w:rsidRPr="00842260">
        <w:t>Source: Table 3−60, p226 of the submission and the ‘A6.1_Abemaciclib Section 3 workbook.xlsm’ workbook.</w:t>
      </w:r>
    </w:p>
    <w:p w14:paraId="6281BE24" w14:textId="587CF35D" w:rsidR="00924531" w:rsidRPr="00842260" w:rsidRDefault="00924531" w:rsidP="00924531">
      <w:pPr>
        <w:pStyle w:val="TableFigureFooter"/>
      </w:pPr>
      <w:r w:rsidRPr="00842260">
        <w:t xml:space="preserve">ABE = </w:t>
      </w:r>
      <w:proofErr w:type="spellStart"/>
      <w:r w:rsidRPr="00842260">
        <w:t>abemaciclib</w:t>
      </w:r>
      <w:proofErr w:type="spellEnd"/>
      <w:r w:rsidRPr="00842260">
        <w:t>; ET= endocrine therapy; IDFS = invasive disease-free survival; PFS = progression-free survival; PPS = post-progression survival; QALY = quality-adjusted life year.</w:t>
      </w:r>
    </w:p>
    <w:p w14:paraId="03B4C7CA" w14:textId="38E13DE1" w:rsidR="00924531" w:rsidRDefault="00924531" w:rsidP="00B605B3">
      <w:pPr>
        <w:pStyle w:val="TableFigureFooter"/>
        <w:spacing w:after="0"/>
        <w:rPr>
          <w:iCs/>
        </w:rPr>
      </w:pPr>
      <w:r w:rsidRPr="00842260">
        <w:t xml:space="preserve">Note: </w:t>
      </w:r>
      <w:r w:rsidRPr="00842260">
        <w:rPr>
          <w:iCs/>
        </w:rPr>
        <w:t xml:space="preserve">Analyses were revised during the evaluation to correct the per cycle probability of recurrence in the Remission health state, to apply the probability of death in IDFS to the proportion in IDFS rather than </w:t>
      </w:r>
      <w:r w:rsidR="00920344" w:rsidRPr="00842260">
        <w:rPr>
          <w:iCs/>
        </w:rPr>
        <w:t>invasive disease</w:t>
      </w:r>
      <w:r w:rsidRPr="00842260">
        <w:rPr>
          <w:iCs/>
        </w:rPr>
        <w:t xml:space="preserve"> events, and to apply only one hospitalisation cost per cycle in </w:t>
      </w:r>
      <w:proofErr w:type="spellStart"/>
      <w:r w:rsidRPr="00842260">
        <w:rPr>
          <w:iCs/>
        </w:rPr>
        <w:t>abemaciclib</w:t>
      </w:r>
      <w:proofErr w:type="spellEnd"/>
      <w:r w:rsidRPr="00842260">
        <w:rPr>
          <w:iCs/>
        </w:rPr>
        <w:t xml:space="preserve"> monitoring. The metastatic health state fixed pay-offs (costs and QALYs) were also revised to apply a discount rate of </w:t>
      </w:r>
      <w:proofErr w:type="gramStart"/>
      <w:r w:rsidR="007012DA" w:rsidRPr="007012DA">
        <w:rPr>
          <w:iCs/>
          <w:color w:val="000000"/>
          <w:spacing w:val="37"/>
          <w:shd w:val="solid" w:color="000000" w:fill="000000"/>
          <w:fitText w:val="270" w:id="-1500862709"/>
          <w14:textFill>
            <w14:solidFill>
              <w14:srgbClr w14:val="000000">
                <w14:alpha w14:val="100000"/>
              </w14:srgbClr>
            </w14:solidFill>
          </w14:textFill>
        </w:rPr>
        <w:t xml:space="preserve">|  </w:t>
      </w:r>
      <w:r w:rsidR="007012DA" w:rsidRPr="007012DA">
        <w:rPr>
          <w:iCs/>
          <w:color w:val="000000"/>
          <w:spacing w:val="1"/>
          <w:shd w:val="solid" w:color="000000" w:fill="000000"/>
          <w:fitText w:val="270" w:id="-1500862709"/>
          <w14:textFill>
            <w14:solidFill>
              <w14:srgbClr w14:val="000000">
                <w14:alpha w14:val="100000"/>
              </w14:srgbClr>
            </w14:solidFill>
          </w14:textFill>
        </w:rPr>
        <w:t>|</w:t>
      </w:r>
      <w:proofErr w:type="gramEnd"/>
      <w:r w:rsidRPr="00842260">
        <w:rPr>
          <w:iCs/>
        </w:rPr>
        <w:t xml:space="preserve">% × (28/365.25) per cycle, the </w:t>
      </w:r>
      <w:r w:rsidR="00920344" w:rsidRPr="00842260">
        <w:rPr>
          <w:iCs/>
        </w:rPr>
        <w:t>endocrine-sensitive</w:t>
      </w:r>
      <w:r w:rsidRPr="00842260">
        <w:rPr>
          <w:iCs/>
        </w:rPr>
        <w:t xml:space="preserve"> PPS QALYs and costs were revised based on PPS </w:t>
      </w:r>
      <w:r w:rsidR="00920344" w:rsidRPr="00842260">
        <w:rPr>
          <w:iCs/>
        </w:rPr>
        <w:t>life years</w:t>
      </w:r>
      <w:r w:rsidRPr="00842260">
        <w:rPr>
          <w:iCs/>
        </w:rPr>
        <w:t xml:space="preserve">, rather than PFS1 </w:t>
      </w:r>
      <w:r w:rsidR="00920344" w:rsidRPr="00842260">
        <w:rPr>
          <w:iCs/>
        </w:rPr>
        <w:t>life years</w:t>
      </w:r>
      <w:r w:rsidRPr="00842260">
        <w:rPr>
          <w:iCs/>
        </w:rPr>
        <w:t xml:space="preserve">, and to correct for calculation errors in the </w:t>
      </w:r>
      <w:r w:rsidR="00920344" w:rsidRPr="00842260">
        <w:rPr>
          <w:iCs/>
        </w:rPr>
        <w:t>endocrine-resistant</w:t>
      </w:r>
      <w:r w:rsidRPr="00842260">
        <w:rPr>
          <w:iCs/>
        </w:rPr>
        <w:t xml:space="preserve"> PPS and </w:t>
      </w:r>
      <w:r w:rsidR="00920344" w:rsidRPr="00842260">
        <w:rPr>
          <w:iCs/>
        </w:rPr>
        <w:t xml:space="preserve">endocrine-sensitive </w:t>
      </w:r>
      <w:r w:rsidRPr="00842260">
        <w:rPr>
          <w:iCs/>
        </w:rPr>
        <w:t>PFS2 weighted treatment costs per cycle.</w:t>
      </w:r>
    </w:p>
    <w:p w14:paraId="5FD9041D" w14:textId="77777777" w:rsidR="00B605B3" w:rsidRPr="009A6D58" w:rsidRDefault="00B605B3" w:rsidP="00B605B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37FBA02" w14:textId="3AC1FD89" w:rsidR="00B605B3" w:rsidRPr="009A6D58" w:rsidRDefault="00B605B3" w:rsidP="00B605B3">
      <w:pPr>
        <w:rPr>
          <w:rFonts w:ascii="Arial Narrow" w:hAnsi="Arial Narrow"/>
          <w:i/>
          <w:sz w:val="18"/>
          <w:szCs w:val="18"/>
        </w:rPr>
      </w:pPr>
      <w:r w:rsidRPr="009A6D58">
        <w:rPr>
          <w:rFonts w:ascii="Arial Narrow" w:hAnsi="Arial Narrow"/>
          <w:i/>
          <w:sz w:val="18"/>
          <w:szCs w:val="18"/>
          <w:vertAlign w:val="superscript"/>
        </w:rPr>
        <w:t>1</w:t>
      </w:r>
      <w:r w:rsidR="00657F44">
        <w:rPr>
          <w:rFonts w:ascii="Arial Narrow" w:hAnsi="Arial Narrow"/>
          <w:i/>
          <w:sz w:val="18"/>
          <w:szCs w:val="18"/>
          <w:vertAlign w:val="superscript"/>
        </w:rPr>
        <w:t xml:space="preserve"> </w:t>
      </w:r>
      <w:r w:rsidR="00657F44" w:rsidRPr="00B605B3">
        <w:rPr>
          <w:rFonts w:ascii="Arial Narrow" w:hAnsi="Arial Narrow"/>
          <w:i/>
          <w:sz w:val="18"/>
          <w:szCs w:val="18"/>
        </w:rPr>
        <w:t>$35,000 to &lt; $45,000</w:t>
      </w:r>
      <w:r>
        <w:rPr>
          <w:rFonts w:ascii="Arial Narrow" w:hAnsi="Arial Narrow"/>
          <w:i/>
          <w:sz w:val="18"/>
          <w:szCs w:val="18"/>
        </w:rPr>
        <w:t xml:space="preserve"> </w:t>
      </w:r>
    </w:p>
    <w:p w14:paraId="67310D53" w14:textId="1865AE36" w:rsidR="00B605B3" w:rsidRPr="002B45FB" w:rsidRDefault="00B605B3" w:rsidP="00B910F0">
      <w:pPr>
        <w:spacing w:after="120"/>
        <w:rPr>
          <w:rFonts w:ascii="Arial Narrow" w:hAnsi="Arial Narrow"/>
          <w:i/>
          <w:sz w:val="18"/>
          <w:szCs w:val="18"/>
        </w:rPr>
      </w:pPr>
      <w:r w:rsidRPr="009A6D58">
        <w:rPr>
          <w:rFonts w:ascii="Arial Narrow" w:hAnsi="Arial Narrow"/>
          <w:i/>
          <w:sz w:val="18"/>
          <w:szCs w:val="18"/>
          <w:vertAlign w:val="superscript"/>
        </w:rPr>
        <w:t>2</w:t>
      </w:r>
      <w:r w:rsidR="00657F44">
        <w:rPr>
          <w:rFonts w:ascii="Arial Narrow" w:hAnsi="Arial Narrow"/>
          <w:i/>
          <w:sz w:val="18"/>
          <w:szCs w:val="18"/>
          <w:vertAlign w:val="superscript"/>
        </w:rPr>
        <w:t xml:space="preserve"> </w:t>
      </w:r>
      <w:r w:rsidR="00657F44" w:rsidRPr="00B605B3">
        <w:rPr>
          <w:rFonts w:ascii="Arial Narrow" w:hAnsi="Arial Narrow"/>
          <w:i/>
          <w:sz w:val="18"/>
          <w:szCs w:val="18"/>
        </w:rPr>
        <w:t>$15,000 to &lt; $25,000</w:t>
      </w:r>
      <w:r>
        <w:rPr>
          <w:rFonts w:ascii="Arial Narrow" w:hAnsi="Arial Narrow"/>
          <w:i/>
          <w:sz w:val="18"/>
          <w:szCs w:val="18"/>
        </w:rPr>
        <w:t xml:space="preserve"> </w:t>
      </w:r>
    </w:p>
    <w:p w14:paraId="2671ED22" w14:textId="1909B93E" w:rsidR="00E0526E" w:rsidRPr="002B45FB" w:rsidRDefault="00E0526E" w:rsidP="007C50C5">
      <w:pPr>
        <w:pStyle w:val="3-BodyText"/>
      </w:pPr>
      <w:r w:rsidRPr="002B45FB">
        <w:t xml:space="preserve">Traces for the model results are presented in </w:t>
      </w:r>
      <w:r w:rsidRPr="002B45FB">
        <w:fldChar w:fldCharType="begin"/>
      </w:r>
      <w:r w:rsidRPr="002B45FB">
        <w:instrText xml:space="preserve"> REF _Ref93260829 \h </w:instrText>
      </w:r>
      <w:r w:rsidR="00693B22" w:rsidRPr="002B45FB">
        <w:instrText xml:space="preserve"> \* MERGEFORMAT </w:instrText>
      </w:r>
      <w:r w:rsidRPr="002B45FB">
        <w:fldChar w:fldCharType="separate"/>
      </w:r>
      <w:r w:rsidR="00053218" w:rsidRPr="002B45FB">
        <w:t xml:space="preserve">Figure </w:t>
      </w:r>
      <w:r w:rsidR="00053218" w:rsidRPr="002B45FB">
        <w:rPr>
          <w:noProof/>
        </w:rPr>
        <w:t>7</w:t>
      </w:r>
      <w:r w:rsidRPr="002B45FB">
        <w:fldChar w:fldCharType="end"/>
      </w:r>
      <w:r w:rsidRPr="002B45FB">
        <w:t>. Time spent in IDFS is the key driver of the clinical benefits modelled.</w:t>
      </w:r>
    </w:p>
    <w:p w14:paraId="4536E0AF" w14:textId="36D4DDF8" w:rsidR="00E0526E" w:rsidRPr="000B7847" w:rsidRDefault="00E0526E" w:rsidP="00E0526E">
      <w:pPr>
        <w:pStyle w:val="TableFigureHeading"/>
      </w:pPr>
      <w:bookmarkStart w:id="47" w:name="_Ref93260829"/>
      <w:r w:rsidRPr="000B7847">
        <w:t xml:space="preserve">Figure </w:t>
      </w:r>
      <w:fldSimple w:instr=" SEQ Figure \* ARABIC ">
        <w:r w:rsidR="00053218" w:rsidRPr="000B7847">
          <w:rPr>
            <w:noProof/>
          </w:rPr>
          <w:t>7</w:t>
        </w:r>
      </w:fldSimple>
      <w:bookmarkEnd w:id="47"/>
      <w:r w:rsidRPr="000B7847">
        <w:t>: Model traces over the time horizon</w:t>
      </w:r>
    </w:p>
    <w:p w14:paraId="6556791B" w14:textId="77777777" w:rsidR="00E0526E" w:rsidRPr="000B7847" w:rsidRDefault="00E0526E" w:rsidP="00B97C75">
      <w:pPr>
        <w:pStyle w:val="TableFigureFooter"/>
        <w:jc w:val="center"/>
      </w:pPr>
      <w:r w:rsidRPr="000B7847">
        <w:rPr>
          <w:noProof/>
        </w:rPr>
        <w:drawing>
          <wp:inline distT="0" distB="0" distL="0" distR="0" wp14:anchorId="2E581E48" wp14:editId="75A645B8">
            <wp:extent cx="5400000" cy="3386686"/>
            <wp:effectExtent l="0" t="0" r="0" b="4445"/>
            <wp:docPr id="48" name="Picture 48" descr="Figure 7: Model traces over the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Figure 7: Model traces over the time horiz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386686"/>
                    </a:xfrm>
                    <a:prstGeom prst="rect">
                      <a:avLst/>
                    </a:prstGeom>
                    <a:noFill/>
                  </pic:spPr>
                </pic:pic>
              </a:graphicData>
            </a:graphic>
          </wp:inline>
        </w:drawing>
      </w:r>
    </w:p>
    <w:p w14:paraId="4170F15A" w14:textId="77777777" w:rsidR="00E0526E" w:rsidRPr="000B7847" w:rsidRDefault="00E0526E" w:rsidP="00E0526E">
      <w:pPr>
        <w:pStyle w:val="TableFigureFooter"/>
      </w:pPr>
      <w:r w:rsidRPr="000B7847">
        <w:t xml:space="preserve">Source: </w:t>
      </w:r>
      <w:bookmarkStart w:id="48" w:name="_Hlk104549095"/>
      <w:r w:rsidRPr="000B7847">
        <w:t>Constructed during the evaluation from the ‘A6.1_Abemaciclib Section 3 workbook.xlsm’ workbook included in the submission.</w:t>
      </w:r>
    </w:p>
    <w:bookmarkEnd w:id="48"/>
    <w:p w14:paraId="24E7DCCB" w14:textId="1C15292B" w:rsidR="00E0526E" w:rsidRPr="000B7847" w:rsidRDefault="00E0526E" w:rsidP="00E0526E">
      <w:pPr>
        <w:pStyle w:val="TableFigureFooter"/>
      </w:pPr>
      <w:r w:rsidRPr="000B7847">
        <w:t xml:space="preserve">ABE = </w:t>
      </w:r>
      <w:proofErr w:type="spellStart"/>
      <w:r w:rsidRPr="000B7847">
        <w:t>abemaciclib</w:t>
      </w:r>
      <w:proofErr w:type="spellEnd"/>
      <w:r w:rsidRPr="000B7847">
        <w:t>; ET = endocrine therapy; IDFS = invasive disease-free survival; NMR = non-metastatic recurrence; MBC = metastatic breast cancer.</w:t>
      </w:r>
    </w:p>
    <w:p w14:paraId="6E0E1C14" w14:textId="484D24AE" w:rsidR="00E0526E" w:rsidRPr="00842260" w:rsidRDefault="00E0526E" w:rsidP="00E0526E">
      <w:pPr>
        <w:pStyle w:val="TableFigureFooter"/>
      </w:pPr>
      <w:r w:rsidRPr="000B7847">
        <w:t xml:space="preserve">Note: Analyses were revised during the evaluation to correct the per cycle probability of recurrence in the Remission health state, and to apply the probability of death in IDFS to the proportion in IDFS rather than </w:t>
      </w:r>
      <w:r w:rsidR="00920344" w:rsidRPr="000B7847">
        <w:t>invasive disease</w:t>
      </w:r>
      <w:r w:rsidRPr="000B7847">
        <w:t xml:space="preserve"> events.</w:t>
      </w:r>
    </w:p>
    <w:p w14:paraId="08A44047" w14:textId="760B758D" w:rsidR="00794CC2" w:rsidRPr="00842260" w:rsidRDefault="00794CC2" w:rsidP="007C50C5">
      <w:pPr>
        <w:pStyle w:val="3-BodyText"/>
        <w:rPr>
          <w:iCs/>
        </w:rPr>
      </w:pPr>
      <w:r w:rsidRPr="00842260">
        <w:rPr>
          <w:iCs/>
        </w:rPr>
        <w:t xml:space="preserve">At the 40-year time horizon, the model predicted that 73.3% of patients treated with adjuvant </w:t>
      </w:r>
      <w:proofErr w:type="spellStart"/>
      <w:r w:rsidRPr="00842260">
        <w:rPr>
          <w:iCs/>
        </w:rPr>
        <w:t>abemaciclib</w:t>
      </w:r>
      <w:proofErr w:type="spellEnd"/>
      <w:r w:rsidRPr="00842260">
        <w:rPr>
          <w:iCs/>
        </w:rPr>
        <w:t xml:space="preserve"> + ET and 81.4% of patients treated with adjuvant ET alone would have experienced a metastatic recurrence. </w:t>
      </w:r>
      <w:r w:rsidR="007E48CA" w:rsidRPr="00842260">
        <w:t xml:space="preserve">This is higher than what is reported for </w:t>
      </w:r>
      <w:r w:rsidR="007E48CA" w:rsidRPr="00842260">
        <w:lastRenderedPageBreak/>
        <w:t>breast cancer patients diagnosed in early stages of disease overall (</w:t>
      </w:r>
      <w:r w:rsidR="00FF6CC4" w:rsidRPr="00842260">
        <w:t xml:space="preserve">approximately </w:t>
      </w:r>
      <w:r w:rsidR="007E48CA" w:rsidRPr="00842260">
        <w:t>30%)</w:t>
      </w:r>
      <w:r w:rsidR="00F661D2" w:rsidRPr="00842260">
        <w:t xml:space="preserve"> (paragraph 4.2)</w:t>
      </w:r>
      <w:r w:rsidR="007E48CA" w:rsidRPr="00842260">
        <w:t xml:space="preserve">. Whether </w:t>
      </w:r>
      <w:r w:rsidR="007407C4" w:rsidRPr="00842260">
        <w:t>t</w:t>
      </w:r>
      <w:r w:rsidR="007E48CA" w:rsidRPr="00842260">
        <w:t>his is reflective of patients targeted for high risk of recurrence is unknown. The projections of metastatic recurrence at 20 years may be more appropriate</w:t>
      </w:r>
      <w:r w:rsidR="00FF6CC4" w:rsidRPr="00842260">
        <w:t xml:space="preserve"> given the lack of data to inform projections longer term</w:t>
      </w:r>
      <w:r w:rsidR="007E48CA" w:rsidRPr="00842260">
        <w:t xml:space="preserve">. </w:t>
      </w:r>
      <w:r w:rsidRPr="00842260">
        <w:t>Th</w:t>
      </w:r>
      <w:r w:rsidR="00FF6CC4" w:rsidRPr="00842260">
        <w:t xml:space="preserve">e </w:t>
      </w:r>
      <w:r w:rsidR="008D11CE" w:rsidRPr="00842260">
        <w:t>rates for metastatic recurrence at the 40-year time horizon</w:t>
      </w:r>
      <w:r w:rsidR="00FC78FC" w:rsidRPr="00842260">
        <w:t xml:space="preserve"> </w:t>
      </w:r>
      <w:r w:rsidR="007E48CA" w:rsidRPr="00842260">
        <w:t>also</w:t>
      </w:r>
      <w:r w:rsidR="007E48CA" w:rsidRPr="00842260">
        <w:rPr>
          <w:iCs/>
        </w:rPr>
        <w:t xml:space="preserve"> </w:t>
      </w:r>
      <w:r w:rsidRPr="00842260">
        <w:rPr>
          <w:iCs/>
        </w:rPr>
        <w:t xml:space="preserve">reflected an 8.1% difference in metastatic recurrence between model arms, which was higher than the absolute difference in DRFS observed at the latest data cut of </w:t>
      </w:r>
      <w:r w:rsidR="00070945" w:rsidRPr="00842260">
        <w:t xml:space="preserve">the </w:t>
      </w:r>
      <w:proofErr w:type="spellStart"/>
      <w:r w:rsidRPr="00842260">
        <w:rPr>
          <w:iCs/>
        </w:rPr>
        <w:t>monarchE</w:t>
      </w:r>
      <w:proofErr w:type="spellEnd"/>
      <w:r w:rsidRPr="00842260">
        <w:rPr>
          <w:iCs/>
        </w:rPr>
        <w:t xml:space="preserve"> </w:t>
      </w:r>
      <w:r w:rsidR="00070945" w:rsidRPr="00842260">
        <w:t xml:space="preserve">trial </w:t>
      </w:r>
      <w:r w:rsidRPr="00842260">
        <w:rPr>
          <w:iCs/>
        </w:rPr>
        <w:t xml:space="preserve">(3.0%, </w:t>
      </w:r>
      <w:r w:rsidRPr="00842260">
        <w:rPr>
          <w:iCs/>
        </w:rPr>
        <w:fldChar w:fldCharType="begin"/>
      </w:r>
      <w:r w:rsidRPr="00842260">
        <w:rPr>
          <w:iCs/>
        </w:rPr>
        <w:instrText xml:space="preserve"> REF _Ref92792156 \h  \* MERGEFORMAT </w:instrText>
      </w:r>
      <w:r w:rsidRPr="00842260">
        <w:rPr>
          <w:iCs/>
        </w:rPr>
      </w:r>
      <w:r w:rsidRPr="00842260">
        <w:rPr>
          <w:iCs/>
        </w:rPr>
        <w:fldChar w:fldCharType="separate"/>
      </w:r>
      <w:r w:rsidR="00053218" w:rsidRPr="00053218">
        <w:rPr>
          <w:rFonts w:eastAsiaTheme="majorEastAsia"/>
          <w:iCs/>
        </w:rPr>
        <w:t>Table 4</w:t>
      </w:r>
      <w:r w:rsidRPr="00842260">
        <w:rPr>
          <w:iCs/>
        </w:rPr>
        <w:fldChar w:fldCharType="end"/>
      </w:r>
      <w:r w:rsidRPr="00842260">
        <w:rPr>
          <w:iCs/>
        </w:rPr>
        <w:t xml:space="preserve">). This difference was driven by assumptions regarding the duration of the </w:t>
      </w:r>
      <w:proofErr w:type="spellStart"/>
      <w:r w:rsidRPr="00842260">
        <w:rPr>
          <w:iCs/>
        </w:rPr>
        <w:t>abemaciclib</w:t>
      </w:r>
      <w:proofErr w:type="spellEnd"/>
      <w:r w:rsidRPr="00842260">
        <w:rPr>
          <w:iCs/>
        </w:rPr>
        <w:t xml:space="preserve"> treatment effect, which</w:t>
      </w:r>
      <w:r w:rsidR="00BA5357" w:rsidRPr="00842260">
        <w:rPr>
          <w:iCs/>
        </w:rPr>
        <w:t xml:space="preserve"> the evaluation considered</w:t>
      </w:r>
      <w:r w:rsidRPr="00842260">
        <w:rPr>
          <w:iCs/>
        </w:rPr>
        <w:t xml:space="preserve"> were not reasonable. </w:t>
      </w:r>
      <w:r w:rsidR="006E7D91" w:rsidRPr="00842260">
        <w:rPr>
          <w:iCs/>
        </w:rPr>
        <w:t>Further</w:t>
      </w:r>
      <w:r w:rsidRPr="00842260">
        <w:rPr>
          <w:iCs/>
        </w:rPr>
        <w:t xml:space="preserve">, the Weibull model selected </w:t>
      </w:r>
      <w:r w:rsidR="006E7D91" w:rsidRPr="00842260">
        <w:rPr>
          <w:iCs/>
        </w:rPr>
        <w:t xml:space="preserve">for IDFS extrapolation </w:t>
      </w:r>
      <w:r w:rsidRPr="00842260">
        <w:rPr>
          <w:iCs/>
        </w:rPr>
        <w:t>in the base case may overestimate the incidence of metastatic recurrence in the ET arm</w:t>
      </w:r>
      <w:r w:rsidR="006E7D91" w:rsidRPr="00842260">
        <w:rPr>
          <w:iCs/>
        </w:rPr>
        <w:t xml:space="preserve"> (65.7% at 20 years)</w:t>
      </w:r>
      <w:r w:rsidRPr="00842260">
        <w:rPr>
          <w:iCs/>
        </w:rPr>
        <w:t>, compared to published estimates (</w:t>
      </w:r>
      <w:r w:rsidR="006E7D91" w:rsidRPr="00842260">
        <w:rPr>
          <w:iCs/>
        </w:rPr>
        <w:t xml:space="preserve">52% at 20 years, </w:t>
      </w:r>
      <w:r w:rsidRPr="00842260">
        <w:rPr>
          <w:iCs/>
        </w:rPr>
        <w:t>Pan 2017)</w:t>
      </w:r>
      <w:bookmarkStart w:id="49" w:name="_Ref93473500"/>
      <w:r w:rsidR="007407C4" w:rsidRPr="00842260">
        <w:rPr>
          <w:rStyle w:val="FootnoteReference"/>
          <w:iCs/>
        </w:rPr>
        <w:footnoteReference w:id="10"/>
      </w:r>
      <w:r w:rsidR="007407C4" w:rsidRPr="00842260">
        <w:rPr>
          <w:iCs/>
        </w:rPr>
        <w:t xml:space="preserve"> </w:t>
      </w:r>
      <w:r w:rsidR="00155083" w:rsidRPr="00842260">
        <w:rPr>
          <w:iCs/>
        </w:rPr>
        <w:t xml:space="preserve">and </w:t>
      </w:r>
      <w:r w:rsidR="00BA7154" w:rsidRPr="00842260">
        <w:rPr>
          <w:iCs/>
        </w:rPr>
        <w:t>the estimates used in the financial analysis</w:t>
      </w:r>
      <w:bookmarkEnd w:id="49"/>
      <w:r w:rsidRPr="00842260">
        <w:rPr>
          <w:iCs/>
        </w:rPr>
        <w:t>.</w:t>
      </w:r>
      <w:r w:rsidR="00BA7154" w:rsidRPr="00842260">
        <w:rPr>
          <w:rStyle w:val="FootnoteReference"/>
          <w:iCs/>
        </w:rPr>
        <w:footnoteReference w:id="11"/>
      </w:r>
      <w:r w:rsidRPr="00842260">
        <w:rPr>
          <w:iCs/>
        </w:rPr>
        <w:t xml:space="preserve"> </w:t>
      </w:r>
      <w:r w:rsidR="006E7D91" w:rsidRPr="00842260">
        <w:rPr>
          <w:iCs/>
        </w:rPr>
        <w:t>The log-logistic model provided estimates that were more consistent with these data (52.3% at 20 years).</w:t>
      </w:r>
    </w:p>
    <w:p w14:paraId="7C47B48B" w14:textId="33D48473" w:rsidR="007C50C5" w:rsidRPr="00842260" w:rsidRDefault="009F7724" w:rsidP="007C50C5">
      <w:pPr>
        <w:pStyle w:val="3-BodyText"/>
      </w:pPr>
      <w:r w:rsidRPr="00842260">
        <w:t xml:space="preserve">Disaggregated costs and QALYs are presented in </w:t>
      </w:r>
      <w:r w:rsidR="003E1126" w:rsidRPr="00842260">
        <w:t>Table 11</w:t>
      </w:r>
      <w:r w:rsidR="00D96D4F" w:rsidRPr="00842260">
        <w:t xml:space="preserve"> </w:t>
      </w:r>
      <w:r w:rsidRPr="00842260">
        <w:t xml:space="preserve">for the revised base case. The LYs and QALYs gained were predominantly accrued in the IDFS health state, with a reduction in QALYs related to non-metastatic and metastatic recurrences. This is consistent with the claim that </w:t>
      </w:r>
      <w:proofErr w:type="spellStart"/>
      <w:r w:rsidRPr="00842260">
        <w:t>abemaciclib</w:t>
      </w:r>
      <w:proofErr w:type="spellEnd"/>
      <w:r w:rsidRPr="00842260">
        <w:t xml:space="preserve"> improves IDFS and leads to a reduction in metastatic recurrences. </w:t>
      </w:r>
      <w:r w:rsidRPr="00842260">
        <w:rPr>
          <w:iCs/>
        </w:rPr>
        <w:t>However</w:t>
      </w:r>
      <w:r w:rsidR="001D139A" w:rsidRPr="00842260">
        <w:rPr>
          <w:iCs/>
        </w:rPr>
        <w:t>,</w:t>
      </w:r>
      <w:r w:rsidRPr="00842260">
        <w:rPr>
          <w:iCs/>
        </w:rPr>
        <w:t xml:space="preserve"> due to the approach used to wane the treatment effect of </w:t>
      </w:r>
      <w:proofErr w:type="spellStart"/>
      <w:r w:rsidRPr="00842260">
        <w:rPr>
          <w:iCs/>
        </w:rPr>
        <w:t>abemaciclib</w:t>
      </w:r>
      <w:proofErr w:type="spellEnd"/>
      <w:r w:rsidRPr="00842260">
        <w:rPr>
          <w:iCs/>
        </w:rPr>
        <w:t xml:space="preserve"> beyond the observed period, the LYs and QALYs gained with </w:t>
      </w:r>
      <w:proofErr w:type="spellStart"/>
      <w:r w:rsidRPr="00842260">
        <w:rPr>
          <w:iCs/>
        </w:rPr>
        <w:t>abemaciclib</w:t>
      </w:r>
      <w:proofErr w:type="spellEnd"/>
      <w:r w:rsidRPr="00842260">
        <w:rPr>
          <w:iCs/>
        </w:rPr>
        <w:t xml:space="preserve"> treatment are likely to be overestimated. </w:t>
      </w:r>
      <w:r w:rsidR="007C50C5" w:rsidRPr="00842260">
        <w:rPr>
          <w:iCs/>
        </w:rPr>
        <w:t xml:space="preserve">As shown in </w:t>
      </w:r>
      <w:r w:rsidR="006966FA" w:rsidRPr="00842260">
        <w:rPr>
          <w:iCs/>
        </w:rPr>
        <w:fldChar w:fldCharType="begin"/>
      </w:r>
      <w:r w:rsidR="006966FA" w:rsidRPr="00842260">
        <w:rPr>
          <w:iCs/>
        </w:rPr>
        <w:instrText xml:space="preserve"> REF _Ref93270555 \h  \* MERGEFORMAT </w:instrText>
      </w:r>
      <w:r w:rsidR="006966FA" w:rsidRPr="00842260">
        <w:rPr>
          <w:iCs/>
        </w:rPr>
      </w:r>
      <w:r w:rsidR="006966FA" w:rsidRPr="00842260">
        <w:rPr>
          <w:iCs/>
        </w:rPr>
        <w:fldChar w:fldCharType="separate"/>
      </w:r>
      <w:r w:rsidR="00053218" w:rsidRPr="00053218">
        <w:rPr>
          <w:iCs/>
        </w:rPr>
        <w:t>Figure 8</w:t>
      </w:r>
      <w:r w:rsidR="006966FA" w:rsidRPr="00842260">
        <w:rPr>
          <w:iCs/>
        </w:rPr>
        <w:fldChar w:fldCharType="end"/>
      </w:r>
      <w:r w:rsidR="007C50C5" w:rsidRPr="00842260">
        <w:rPr>
          <w:iCs/>
        </w:rPr>
        <w:t xml:space="preserve">, </w:t>
      </w:r>
      <w:r w:rsidR="007C3E7C" w:rsidRPr="00842260">
        <w:rPr>
          <w:iCs/>
        </w:rPr>
        <w:t>the majority of the LYs</w:t>
      </w:r>
      <w:r w:rsidR="007C50C5" w:rsidRPr="00842260">
        <w:rPr>
          <w:iCs/>
        </w:rPr>
        <w:t xml:space="preserve"> gained with </w:t>
      </w:r>
      <w:proofErr w:type="spellStart"/>
      <w:r w:rsidR="007C50C5" w:rsidRPr="00842260">
        <w:rPr>
          <w:iCs/>
        </w:rPr>
        <w:t>abemaciclib</w:t>
      </w:r>
      <w:proofErr w:type="spellEnd"/>
      <w:r w:rsidR="007C50C5" w:rsidRPr="00842260">
        <w:rPr>
          <w:iCs/>
        </w:rPr>
        <w:t xml:space="preserve"> treatment were accrued in the extrapolated period, particularly beyond 15 years.</w:t>
      </w:r>
      <w:r w:rsidR="007C50C5" w:rsidRPr="00842260">
        <w:t xml:space="preserve"> </w:t>
      </w:r>
    </w:p>
    <w:p w14:paraId="2C756392" w14:textId="51BC2390" w:rsidR="00D86512" w:rsidRPr="00842260" w:rsidRDefault="00D86512" w:rsidP="00D86512">
      <w:pPr>
        <w:pStyle w:val="3-BodyText"/>
      </w:pPr>
      <w:r w:rsidRPr="00842260">
        <w:t xml:space="preserve">The disaggregated costs were driven by the cost of adjuvant </w:t>
      </w:r>
      <w:proofErr w:type="spellStart"/>
      <w:r w:rsidRPr="00842260">
        <w:t>abemaciclib</w:t>
      </w:r>
      <w:proofErr w:type="spellEnd"/>
      <w:r w:rsidRPr="00842260">
        <w:t xml:space="preserve"> treatment and monitoring, with cost-offsets due to a reduction in the treatment of metastatic recurrence. As the modelled reduction in metastatic recurrences may be overestimated, so too may be the modelled cost-offsets related to metastatic recurrence. Further, </w:t>
      </w:r>
      <w:proofErr w:type="gramStart"/>
      <w:r w:rsidRPr="00842260">
        <w:t>a number of</w:t>
      </w:r>
      <w:proofErr w:type="gramEnd"/>
      <w:r w:rsidRPr="00842260">
        <w:t xml:space="preserve"> the costs applied in metastatic recurrence were likely to be overestimated (such as the cost of </w:t>
      </w:r>
      <w:proofErr w:type="spellStart"/>
      <w:r w:rsidRPr="00842260">
        <w:t>fulvestrant</w:t>
      </w:r>
      <w:proofErr w:type="spellEnd"/>
      <w:r w:rsidRPr="00842260">
        <w:t>, electrocardiogram [ECG] and oncologist visits), which would likely further overestimate the cost-offsets modelled.</w:t>
      </w:r>
    </w:p>
    <w:p w14:paraId="39AD2082" w14:textId="5FAFA4C2" w:rsidR="00D86512" w:rsidRPr="00842260" w:rsidRDefault="00D86512" w:rsidP="00D86512">
      <w:pPr>
        <w:pStyle w:val="3-BodyText"/>
      </w:pPr>
      <w:r w:rsidRPr="00842260">
        <w:t xml:space="preserve">Differences in costs and outcomes were observed in the post-progression health states in metastatic recurrence (PPS in endocrine-resistant, and PFS2 and PPS in endocrine-sensitive). </w:t>
      </w:r>
      <w:r w:rsidRPr="00842260">
        <w:rPr>
          <w:iCs/>
        </w:rPr>
        <w:t xml:space="preserve">As first-line treatment with CDK4/6 inhibitors is the current standard of care, it is reasonable for the submission to consider the effects of treatment with and without CDK4/6 inhibitor in the first-line metastatic setting. </w:t>
      </w:r>
      <w:r w:rsidRPr="00842260">
        <w:rPr>
          <w:iCs/>
        </w:rPr>
        <w:lastRenderedPageBreak/>
        <w:t>However, there is no evidence to support whether there would be differences in costs and QALYs in subsequent lines once patients have received a CDK4/6 inhibitor either in the adjuvant or metastatic setting.</w:t>
      </w:r>
    </w:p>
    <w:p w14:paraId="68C9000C" w14:textId="50B13B48" w:rsidR="00E0526E" w:rsidRPr="00842260" w:rsidRDefault="008B731C" w:rsidP="00E0526E">
      <w:pPr>
        <w:pStyle w:val="TableFigureHeading"/>
      </w:pPr>
      <w:bookmarkStart w:id="50" w:name="_Ref93406049"/>
      <w:r w:rsidRPr="00842260">
        <w:t xml:space="preserve">Table </w:t>
      </w:r>
      <w:fldSimple w:instr=" SEQ Table \* ARABIC ">
        <w:r w:rsidR="00053218">
          <w:rPr>
            <w:noProof/>
          </w:rPr>
          <w:t>11</w:t>
        </w:r>
      </w:fldSimple>
      <w:bookmarkEnd w:id="50"/>
      <w:r w:rsidR="00E0526E" w:rsidRPr="00842260">
        <w:rPr>
          <w:rStyle w:val="CommentReference"/>
          <w:b/>
          <w:szCs w:val="24"/>
        </w:rPr>
        <w:t>: Disaggregated costs and outcomes</w:t>
      </w:r>
    </w:p>
    <w:tbl>
      <w:tblPr>
        <w:tblStyle w:val="TableGrid"/>
        <w:tblW w:w="5000" w:type="pct"/>
        <w:tblLayout w:type="fixed"/>
        <w:tblLook w:val="04A0" w:firstRow="1" w:lastRow="0" w:firstColumn="1" w:lastColumn="0" w:noHBand="0" w:noVBand="1"/>
      </w:tblPr>
      <w:tblGrid>
        <w:gridCol w:w="3680"/>
        <w:gridCol w:w="1334"/>
        <w:gridCol w:w="1335"/>
        <w:gridCol w:w="1335"/>
        <w:gridCol w:w="1333"/>
      </w:tblGrid>
      <w:tr w:rsidR="00E0526E" w:rsidRPr="00842260" w14:paraId="163A6149" w14:textId="77777777" w:rsidTr="00030579">
        <w:tc>
          <w:tcPr>
            <w:tcW w:w="2041" w:type="pct"/>
            <w:tcBorders>
              <w:bottom w:val="single" w:sz="4" w:space="0" w:color="auto"/>
            </w:tcBorders>
            <w:noWrap/>
            <w:hideMark/>
          </w:tcPr>
          <w:p w14:paraId="0213CCF1" w14:textId="77777777" w:rsidR="00E0526E" w:rsidRPr="00842260" w:rsidRDefault="00E0526E" w:rsidP="00030579">
            <w:pPr>
              <w:pStyle w:val="TableText0"/>
            </w:pPr>
          </w:p>
        </w:tc>
        <w:tc>
          <w:tcPr>
            <w:tcW w:w="740" w:type="pct"/>
            <w:tcBorders>
              <w:bottom w:val="single" w:sz="4" w:space="0" w:color="auto"/>
            </w:tcBorders>
            <w:noWrap/>
            <w:hideMark/>
          </w:tcPr>
          <w:p w14:paraId="4CA9E156" w14:textId="77777777" w:rsidR="00E0526E" w:rsidRPr="00842260" w:rsidRDefault="00E0526E" w:rsidP="00C86E57">
            <w:pPr>
              <w:pStyle w:val="TableText0"/>
              <w:jc w:val="right"/>
              <w:rPr>
                <w:b/>
              </w:rPr>
            </w:pPr>
            <w:r w:rsidRPr="00842260">
              <w:rPr>
                <w:b/>
              </w:rPr>
              <w:t>ABE + ET</w:t>
            </w:r>
          </w:p>
        </w:tc>
        <w:tc>
          <w:tcPr>
            <w:tcW w:w="740" w:type="pct"/>
            <w:tcBorders>
              <w:bottom w:val="single" w:sz="4" w:space="0" w:color="auto"/>
            </w:tcBorders>
            <w:noWrap/>
            <w:hideMark/>
          </w:tcPr>
          <w:p w14:paraId="2C368B65" w14:textId="77777777" w:rsidR="00E0526E" w:rsidRPr="00842260" w:rsidRDefault="00E0526E" w:rsidP="00C86E57">
            <w:pPr>
              <w:pStyle w:val="TableText0"/>
              <w:jc w:val="right"/>
              <w:rPr>
                <w:b/>
              </w:rPr>
            </w:pPr>
            <w:r w:rsidRPr="00842260">
              <w:rPr>
                <w:b/>
              </w:rPr>
              <w:t>ET</w:t>
            </w:r>
          </w:p>
        </w:tc>
        <w:tc>
          <w:tcPr>
            <w:tcW w:w="740" w:type="pct"/>
            <w:tcBorders>
              <w:bottom w:val="single" w:sz="4" w:space="0" w:color="auto"/>
            </w:tcBorders>
            <w:noWrap/>
            <w:hideMark/>
          </w:tcPr>
          <w:p w14:paraId="438E626E" w14:textId="77777777" w:rsidR="00E0526E" w:rsidRPr="00842260" w:rsidRDefault="00E0526E" w:rsidP="00C86E57">
            <w:pPr>
              <w:pStyle w:val="TableText0"/>
              <w:jc w:val="right"/>
              <w:rPr>
                <w:b/>
              </w:rPr>
            </w:pPr>
            <w:r w:rsidRPr="00842260">
              <w:rPr>
                <w:b/>
              </w:rPr>
              <w:t>Increment</w:t>
            </w:r>
          </w:p>
        </w:tc>
        <w:tc>
          <w:tcPr>
            <w:tcW w:w="739" w:type="pct"/>
            <w:tcBorders>
              <w:bottom w:val="single" w:sz="4" w:space="0" w:color="auto"/>
            </w:tcBorders>
            <w:noWrap/>
            <w:hideMark/>
          </w:tcPr>
          <w:p w14:paraId="4862ED67" w14:textId="77777777" w:rsidR="00E0526E" w:rsidRPr="00842260" w:rsidRDefault="00E0526E" w:rsidP="00C86E57">
            <w:pPr>
              <w:pStyle w:val="TableText0"/>
              <w:jc w:val="right"/>
            </w:pPr>
            <w:r w:rsidRPr="00842260">
              <w:t>%</w:t>
            </w:r>
          </w:p>
        </w:tc>
      </w:tr>
      <w:tr w:rsidR="00DD6700" w:rsidRPr="00842260" w14:paraId="7B266380" w14:textId="77777777" w:rsidTr="00030579">
        <w:tc>
          <w:tcPr>
            <w:tcW w:w="5000" w:type="pct"/>
            <w:gridSpan w:val="5"/>
            <w:tcBorders>
              <w:bottom w:val="single" w:sz="4" w:space="0" w:color="auto"/>
            </w:tcBorders>
            <w:noWrap/>
          </w:tcPr>
          <w:p w14:paraId="710F8320" w14:textId="1F75CDA2" w:rsidR="00DD6700" w:rsidRPr="00842260" w:rsidRDefault="00DD6700" w:rsidP="00030579">
            <w:pPr>
              <w:pStyle w:val="TableText0"/>
              <w:rPr>
                <w:b/>
                <w:bCs w:val="0"/>
              </w:rPr>
            </w:pPr>
            <w:r w:rsidRPr="00842260">
              <w:rPr>
                <w:b/>
                <w:bCs w:val="0"/>
              </w:rPr>
              <w:t>Costs</w:t>
            </w:r>
          </w:p>
        </w:tc>
      </w:tr>
      <w:tr w:rsidR="00E0526E" w:rsidRPr="00842260" w14:paraId="63E10C1D" w14:textId="77777777" w:rsidTr="00030579">
        <w:tc>
          <w:tcPr>
            <w:tcW w:w="5000" w:type="pct"/>
            <w:gridSpan w:val="5"/>
            <w:tcBorders>
              <w:bottom w:val="single" w:sz="4" w:space="0" w:color="auto"/>
            </w:tcBorders>
            <w:noWrap/>
            <w:hideMark/>
          </w:tcPr>
          <w:p w14:paraId="58B2F154" w14:textId="6EBCD086" w:rsidR="00E0526E" w:rsidRPr="00842260" w:rsidRDefault="00E0526E" w:rsidP="00030579">
            <w:pPr>
              <w:pStyle w:val="TableText0"/>
            </w:pPr>
            <w:r w:rsidRPr="00842260">
              <w:t>Drug-related costs (pre-metastatic recurrence)</w:t>
            </w:r>
            <w:r w:rsidR="00657F44">
              <w:t xml:space="preserve"> ($)</w:t>
            </w:r>
          </w:p>
        </w:tc>
      </w:tr>
      <w:tr w:rsidR="00E0526E" w:rsidRPr="00842260" w14:paraId="15E49490" w14:textId="77777777" w:rsidTr="007012DA">
        <w:tc>
          <w:tcPr>
            <w:tcW w:w="2041" w:type="pct"/>
            <w:tcBorders>
              <w:bottom w:val="nil"/>
            </w:tcBorders>
            <w:noWrap/>
            <w:hideMark/>
          </w:tcPr>
          <w:p w14:paraId="4B9AA441" w14:textId="1B5ED883" w:rsidR="00E0526E" w:rsidRPr="00842260" w:rsidRDefault="00E0526E" w:rsidP="00030579">
            <w:pPr>
              <w:pStyle w:val="TableText0"/>
            </w:pPr>
            <w:r w:rsidRPr="00842260">
              <w:t xml:space="preserve">   Adjuvant drug acquisition and monitoring</w:t>
            </w:r>
          </w:p>
        </w:tc>
        <w:tc>
          <w:tcPr>
            <w:tcW w:w="740" w:type="pct"/>
            <w:tcBorders>
              <w:bottom w:val="nil"/>
            </w:tcBorders>
            <w:noWrap/>
          </w:tcPr>
          <w:p w14:paraId="069C24CA" w14:textId="77777777" w:rsidR="00E0526E" w:rsidRPr="00842260" w:rsidRDefault="00E0526E" w:rsidP="00030579">
            <w:pPr>
              <w:pStyle w:val="TableText0"/>
              <w:jc w:val="right"/>
            </w:pPr>
          </w:p>
        </w:tc>
        <w:tc>
          <w:tcPr>
            <w:tcW w:w="740" w:type="pct"/>
            <w:tcBorders>
              <w:bottom w:val="nil"/>
            </w:tcBorders>
            <w:noWrap/>
          </w:tcPr>
          <w:p w14:paraId="2F3BFE53" w14:textId="77777777" w:rsidR="00E0526E" w:rsidRPr="00842260" w:rsidRDefault="00E0526E" w:rsidP="00030579">
            <w:pPr>
              <w:pStyle w:val="TableText0"/>
              <w:jc w:val="right"/>
            </w:pPr>
          </w:p>
        </w:tc>
        <w:tc>
          <w:tcPr>
            <w:tcW w:w="740" w:type="pct"/>
            <w:tcBorders>
              <w:bottom w:val="nil"/>
            </w:tcBorders>
            <w:noWrap/>
          </w:tcPr>
          <w:p w14:paraId="2B987EAF" w14:textId="77777777" w:rsidR="00E0526E" w:rsidRPr="00842260" w:rsidRDefault="00E0526E" w:rsidP="00030579">
            <w:pPr>
              <w:pStyle w:val="TableText0"/>
              <w:jc w:val="right"/>
            </w:pPr>
          </w:p>
        </w:tc>
        <w:tc>
          <w:tcPr>
            <w:tcW w:w="739" w:type="pct"/>
            <w:tcBorders>
              <w:bottom w:val="nil"/>
            </w:tcBorders>
            <w:noWrap/>
            <w:hideMark/>
          </w:tcPr>
          <w:p w14:paraId="1440D2D3" w14:textId="77777777" w:rsidR="00E0526E" w:rsidRPr="00842260" w:rsidRDefault="00E0526E" w:rsidP="00030579">
            <w:pPr>
              <w:pStyle w:val="TableText0"/>
              <w:jc w:val="right"/>
            </w:pPr>
          </w:p>
        </w:tc>
      </w:tr>
      <w:tr w:rsidR="00E0526E" w:rsidRPr="00842260" w14:paraId="563CB1C2" w14:textId="77777777" w:rsidTr="007012DA">
        <w:tc>
          <w:tcPr>
            <w:tcW w:w="2041" w:type="pct"/>
            <w:tcBorders>
              <w:top w:val="nil"/>
              <w:bottom w:val="nil"/>
            </w:tcBorders>
            <w:noWrap/>
            <w:hideMark/>
          </w:tcPr>
          <w:p w14:paraId="7D241CB8" w14:textId="77777777" w:rsidR="00E0526E" w:rsidRPr="00842260" w:rsidRDefault="00E0526E" w:rsidP="00030579">
            <w:pPr>
              <w:pStyle w:val="TableText0"/>
            </w:pPr>
            <w:r w:rsidRPr="00842260">
              <w:t xml:space="preserve">      ABE</w:t>
            </w:r>
          </w:p>
        </w:tc>
        <w:tc>
          <w:tcPr>
            <w:tcW w:w="740" w:type="pct"/>
            <w:tcBorders>
              <w:top w:val="nil"/>
              <w:bottom w:val="nil"/>
            </w:tcBorders>
            <w:shd w:val="solid" w:color="000000" w:fill="000000"/>
            <w:noWrap/>
            <w:hideMark/>
          </w:tcPr>
          <w:p w14:paraId="6D6EB8D3" w14:textId="06486B6B"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noWrap/>
            <w:hideMark/>
          </w:tcPr>
          <w:p w14:paraId="4BB56BC4" w14:textId="77777777" w:rsidR="00E0526E" w:rsidRPr="00657F44" w:rsidRDefault="00E0526E" w:rsidP="00030579">
            <w:pPr>
              <w:pStyle w:val="TableText0"/>
              <w:jc w:val="right"/>
              <w:rPr>
                <w:highlight w:val="yellow"/>
              </w:rPr>
            </w:pPr>
          </w:p>
        </w:tc>
        <w:tc>
          <w:tcPr>
            <w:tcW w:w="740" w:type="pct"/>
            <w:tcBorders>
              <w:top w:val="nil"/>
              <w:bottom w:val="nil"/>
            </w:tcBorders>
            <w:shd w:val="solid" w:color="000000" w:fill="000000"/>
            <w:noWrap/>
            <w:hideMark/>
          </w:tcPr>
          <w:p w14:paraId="09F41473" w14:textId="35C209B1"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39" w:type="pct"/>
            <w:tcBorders>
              <w:top w:val="nil"/>
              <w:bottom w:val="nil"/>
            </w:tcBorders>
            <w:noWrap/>
            <w:hideMark/>
          </w:tcPr>
          <w:p w14:paraId="73C135DF" w14:textId="77777777" w:rsidR="00E0526E" w:rsidRPr="00842260" w:rsidRDefault="00E0526E" w:rsidP="00030579">
            <w:pPr>
              <w:pStyle w:val="TableText0"/>
              <w:jc w:val="right"/>
            </w:pPr>
            <w:r w:rsidRPr="00842260">
              <w:t>295%</w:t>
            </w:r>
          </w:p>
        </w:tc>
      </w:tr>
      <w:tr w:rsidR="00E0526E" w:rsidRPr="00842260" w14:paraId="0CA557F5" w14:textId="77777777" w:rsidTr="007012DA">
        <w:tc>
          <w:tcPr>
            <w:tcW w:w="2041" w:type="pct"/>
            <w:tcBorders>
              <w:top w:val="nil"/>
              <w:bottom w:val="single" w:sz="4" w:space="0" w:color="auto"/>
            </w:tcBorders>
            <w:noWrap/>
            <w:hideMark/>
          </w:tcPr>
          <w:p w14:paraId="717C4228" w14:textId="77777777" w:rsidR="00E0526E" w:rsidRPr="00842260" w:rsidRDefault="00E0526E" w:rsidP="00030579">
            <w:pPr>
              <w:pStyle w:val="TableText0"/>
            </w:pPr>
            <w:r w:rsidRPr="00842260">
              <w:t xml:space="preserve">      ET</w:t>
            </w:r>
          </w:p>
        </w:tc>
        <w:tc>
          <w:tcPr>
            <w:tcW w:w="740" w:type="pct"/>
            <w:tcBorders>
              <w:top w:val="nil"/>
              <w:bottom w:val="single" w:sz="4" w:space="0" w:color="auto"/>
            </w:tcBorders>
            <w:shd w:val="solid" w:color="000000" w:fill="000000"/>
            <w:noWrap/>
            <w:hideMark/>
          </w:tcPr>
          <w:p w14:paraId="4702DAD6" w14:textId="166D142A"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shd w:val="solid" w:color="000000" w:fill="000000"/>
            <w:noWrap/>
            <w:hideMark/>
          </w:tcPr>
          <w:p w14:paraId="53922992" w14:textId="1A9C32DD"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noWrap/>
            <w:hideMark/>
          </w:tcPr>
          <w:p w14:paraId="29519A1C" w14:textId="23107360" w:rsidR="00E0526E" w:rsidRPr="00657F44" w:rsidRDefault="00E0526E" w:rsidP="00030579">
            <w:pPr>
              <w:pStyle w:val="TableText0"/>
              <w:jc w:val="right"/>
              <w:rPr>
                <w:highlight w:val="yellow"/>
              </w:rPr>
            </w:pPr>
            <w:r w:rsidRPr="00657F44">
              <w:t>−</w:t>
            </w:r>
            <w:r w:rsidR="007012DA" w:rsidRPr="007012DA">
              <w:rPr>
                <w:color w:val="000000"/>
                <w:shd w:val="solid" w:color="000000" w:fill="000000"/>
                <w14:textFill>
                  <w14:solidFill>
                    <w14:srgbClr w14:val="000000">
                      <w14:alpha w14:val="100000"/>
                    </w14:srgbClr>
                  </w14:solidFill>
                </w14:textFill>
              </w:rPr>
              <w:t>|</w:t>
            </w:r>
          </w:p>
        </w:tc>
        <w:tc>
          <w:tcPr>
            <w:tcW w:w="739" w:type="pct"/>
            <w:tcBorders>
              <w:top w:val="nil"/>
              <w:bottom w:val="single" w:sz="4" w:space="0" w:color="auto"/>
            </w:tcBorders>
            <w:noWrap/>
            <w:hideMark/>
          </w:tcPr>
          <w:p w14:paraId="3A91F65E" w14:textId="77777777" w:rsidR="00E0526E" w:rsidRPr="00842260" w:rsidRDefault="00E0526E" w:rsidP="00030579">
            <w:pPr>
              <w:pStyle w:val="TableText0"/>
              <w:jc w:val="right"/>
            </w:pPr>
            <w:r w:rsidRPr="00842260">
              <w:t>−1%</w:t>
            </w:r>
          </w:p>
        </w:tc>
      </w:tr>
      <w:tr w:rsidR="00E0526E" w:rsidRPr="00842260" w14:paraId="498E0A7F" w14:textId="77777777" w:rsidTr="007012DA">
        <w:tc>
          <w:tcPr>
            <w:tcW w:w="2041" w:type="pct"/>
            <w:tcBorders>
              <w:bottom w:val="nil"/>
            </w:tcBorders>
            <w:noWrap/>
            <w:hideMark/>
          </w:tcPr>
          <w:p w14:paraId="3E2C0362" w14:textId="77777777" w:rsidR="00E0526E" w:rsidRPr="00842260" w:rsidRDefault="00E0526E" w:rsidP="00030579">
            <w:pPr>
              <w:pStyle w:val="TableText0"/>
            </w:pPr>
            <w:r w:rsidRPr="00842260">
              <w:t xml:space="preserve">   Adjuvant treatment-specific monitoring costs</w:t>
            </w:r>
          </w:p>
        </w:tc>
        <w:tc>
          <w:tcPr>
            <w:tcW w:w="740" w:type="pct"/>
            <w:tcBorders>
              <w:bottom w:val="single" w:sz="4" w:space="0" w:color="auto"/>
            </w:tcBorders>
            <w:shd w:val="solid" w:color="000000" w:fill="000000"/>
            <w:noWrap/>
          </w:tcPr>
          <w:p w14:paraId="398A94FA" w14:textId="5DBD73C8"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single" w:sz="4" w:space="0" w:color="auto"/>
            </w:tcBorders>
            <w:shd w:val="solid" w:color="000000" w:fill="000000"/>
            <w:noWrap/>
          </w:tcPr>
          <w:p w14:paraId="14821483" w14:textId="1175BC03"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single" w:sz="4" w:space="0" w:color="auto"/>
            </w:tcBorders>
            <w:shd w:val="solid" w:color="000000" w:fill="000000"/>
            <w:noWrap/>
          </w:tcPr>
          <w:p w14:paraId="5D59A953" w14:textId="2E78F237"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39" w:type="pct"/>
            <w:tcBorders>
              <w:bottom w:val="nil"/>
            </w:tcBorders>
            <w:noWrap/>
            <w:hideMark/>
          </w:tcPr>
          <w:p w14:paraId="53C1B6C8" w14:textId="77777777" w:rsidR="00E0526E" w:rsidRPr="00842260" w:rsidRDefault="00E0526E" w:rsidP="00030579">
            <w:pPr>
              <w:pStyle w:val="TableText0"/>
              <w:jc w:val="right"/>
            </w:pPr>
            <w:r w:rsidRPr="00842260">
              <w:t>9%</w:t>
            </w:r>
          </w:p>
        </w:tc>
      </w:tr>
      <w:tr w:rsidR="00E0526E" w:rsidRPr="00842260" w14:paraId="29322A52" w14:textId="77777777" w:rsidTr="007012DA">
        <w:tc>
          <w:tcPr>
            <w:tcW w:w="2041" w:type="pct"/>
            <w:tcBorders>
              <w:bottom w:val="single" w:sz="4" w:space="0" w:color="auto"/>
            </w:tcBorders>
            <w:noWrap/>
            <w:hideMark/>
          </w:tcPr>
          <w:p w14:paraId="69357CEE" w14:textId="77777777" w:rsidR="00E0526E" w:rsidRPr="00842260" w:rsidRDefault="00E0526E" w:rsidP="00030579">
            <w:pPr>
              <w:pStyle w:val="TableText0"/>
            </w:pPr>
            <w:r w:rsidRPr="00842260">
              <w:t xml:space="preserve">   Total drug-related costs in NMR</w:t>
            </w:r>
          </w:p>
        </w:tc>
        <w:tc>
          <w:tcPr>
            <w:tcW w:w="740" w:type="pct"/>
            <w:tcBorders>
              <w:top w:val="single" w:sz="4" w:space="0" w:color="auto"/>
              <w:bottom w:val="single" w:sz="4" w:space="0" w:color="auto"/>
            </w:tcBorders>
            <w:shd w:val="solid" w:color="000000" w:fill="000000"/>
            <w:noWrap/>
            <w:hideMark/>
          </w:tcPr>
          <w:p w14:paraId="4406ABA6" w14:textId="05BBC903"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single" w:sz="4" w:space="0" w:color="auto"/>
              <w:bottom w:val="single" w:sz="4" w:space="0" w:color="auto"/>
            </w:tcBorders>
            <w:shd w:val="solid" w:color="000000" w:fill="000000"/>
            <w:noWrap/>
            <w:hideMark/>
          </w:tcPr>
          <w:p w14:paraId="4EF3DC71" w14:textId="1A5D38D0"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single" w:sz="4" w:space="0" w:color="auto"/>
              <w:bottom w:val="single" w:sz="4" w:space="0" w:color="auto"/>
            </w:tcBorders>
            <w:noWrap/>
            <w:hideMark/>
          </w:tcPr>
          <w:p w14:paraId="7C5CAC6B" w14:textId="37325D83" w:rsidR="00E0526E" w:rsidRPr="00657F44" w:rsidRDefault="00E0526E" w:rsidP="00030579">
            <w:pPr>
              <w:pStyle w:val="TableText0"/>
              <w:jc w:val="right"/>
              <w:rPr>
                <w:highlight w:val="yellow"/>
              </w:rPr>
            </w:pPr>
            <w:r w:rsidRPr="00657F44">
              <w:t>−</w:t>
            </w:r>
            <w:r w:rsidR="007012DA" w:rsidRPr="007012DA">
              <w:rPr>
                <w:color w:val="000000"/>
                <w:shd w:val="solid" w:color="000000" w:fill="000000"/>
                <w14:textFill>
                  <w14:solidFill>
                    <w14:srgbClr w14:val="000000">
                      <w14:alpha w14:val="100000"/>
                    </w14:srgbClr>
                  </w14:solidFill>
                </w14:textFill>
              </w:rPr>
              <w:t>|</w:t>
            </w:r>
          </w:p>
        </w:tc>
        <w:tc>
          <w:tcPr>
            <w:tcW w:w="739" w:type="pct"/>
            <w:tcBorders>
              <w:bottom w:val="single" w:sz="4" w:space="0" w:color="auto"/>
            </w:tcBorders>
            <w:noWrap/>
            <w:hideMark/>
          </w:tcPr>
          <w:p w14:paraId="0A4F8F1E" w14:textId="77777777" w:rsidR="00E0526E" w:rsidRPr="00842260" w:rsidRDefault="00E0526E" w:rsidP="00030579">
            <w:pPr>
              <w:pStyle w:val="TableText0"/>
              <w:jc w:val="right"/>
            </w:pPr>
            <w:r w:rsidRPr="00842260">
              <w:t>−0%</w:t>
            </w:r>
          </w:p>
        </w:tc>
      </w:tr>
      <w:tr w:rsidR="00E0526E" w:rsidRPr="00842260" w14:paraId="64931208" w14:textId="77777777" w:rsidTr="00030579">
        <w:tc>
          <w:tcPr>
            <w:tcW w:w="5000" w:type="pct"/>
            <w:gridSpan w:val="5"/>
            <w:tcBorders>
              <w:bottom w:val="single" w:sz="4" w:space="0" w:color="auto"/>
            </w:tcBorders>
            <w:noWrap/>
            <w:hideMark/>
          </w:tcPr>
          <w:p w14:paraId="048E5D04" w14:textId="0FD8FF86" w:rsidR="00E0526E" w:rsidRPr="00842260" w:rsidRDefault="00E0526E" w:rsidP="00030579">
            <w:pPr>
              <w:pStyle w:val="TableText0"/>
            </w:pPr>
            <w:r w:rsidRPr="00842260">
              <w:t>Disease management costs (pre-metastatic recurrence)</w:t>
            </w:r>
            <w:r w:rsidR="00657F44">
              <w:t xml:space="preserve"> ($)</w:t>
            </w:r>
          </w:p>
        </w:tc>
      </w:tr>
      <w:tr w:rsidR="00E0526E" w:rsidRPr="00842260" w14:paraId="1174A0E0" w14:textId="77777777" w:rsidTr="007012DA">
        <w:tc>
          <w:tcPr>
            <w:tcW w:w="2041" w:type="pct"/>
            <w:tcBorders>
              <w:bottom w:val="nil"/>
            </w:tcBorders>
            <w:noWrap/>
            <w:hideMark/>
          </w:tcPr>
          <w:p w14:paraId="7927A3DB" w14:textId="77777777" w:rsidR="00E0526E" w:rsidRPr="00842260" w:rsidRDefault="00E0526E" w:rsidP="00030579">
            <w:pPr>
              <w:pStyle w:val="TableText0"/>
            </w:pPr>
            <w:r w:rsidRPr="00842260">
              <w:t xml:space="preserve">   Invasive disease-free survival</w:t>
            </w:r>
          </w:p>
        </w:tc>
        <w:tc>
          <w:tcPr>
            <w:tcW w:w="740" w:type="pct"/>
            <w:tcBorders>
              <w:bottom w:val="nil"/>
            </w:tcBorders>
            <w:shd w:val="solid" w:color="000000" w:fill="000000"/>
            <w:noWrap/>
            <w:hideMark/>
          </w:tcPr>
          <w:p w14:paraId="00C5F86E" w14:textId="6D3368AF"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nil"/>
            </w:tcBorders>
            <w:shd w:val="solid" w:color="000000" w:fill="000000"/>
            <w:noWrap/>
            <w:hideMark/>
          </w:tcPr>
          <w:p w14:paraId="45D84EC8" w14:textId="5FB8D5D0"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nil"/>
            </w:tcBorders>
            <w:shd w:val="solid" w:color="000000" w:fill="000000"/>
            <w:noWrap/>
            <w:hideMark/>
          </w:tcPr>
          <w:p w14:paraId="165318B0" w14:textId="0604C674"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39" w:type="pct"/>
            <w:tcBorders>
              <w:bottom w:val="nil"/>
            </w:tcBorders>
            <w:noWrap/>
            <w:hideMark/>
          </w:tcPr>
          <w:p w14:paraId="0CE6E890" w14:textId="77777777" w:rsidR="00E0526E" w:rsidRPr="00842260" w:rsidRDefault="00E0526E" w:rsidP="00030579">
            <w:pPr>
              <w:pStyle w:val="TableText0"/>
              <w:jc w:val="right"/>
            </w:pPr>
            <w:r w:rsidRPr="00842260">
              <w:t>1%</w:t>
            </w:r>
          </w:p>
        </w:tc>
      </w:tr>
      <w:tr w:rsidR="00E0526E" w:rsidRPr="00842260" w14:paraId="5F765656" w14:textId="77777777" w:rsidTr="007012DA">
        <w:tc>
          <w:tcPr>
            <w:tcW w:w="2041" w:type="pct"/>
            <w:tcBorders>
              <w:top w:val="nil"/>
              <w:bottom w:val="nil"/>
            </w:tcBorders>
            <w:noWrap/>
            <w:hideMark/>
          </w:tcPr>
          <w:p w14:paraId="424C6C92" w14:textId="77777777" w:rsidR="00E0526E" w:rsidRPr="00842260" w:rsidRDefault="00E0526E" w:rsidP="00030579">
            <w:pPr>
              <w:pStyle w:val="TableText0"/>
            </w:pPr>
            <w:r w:rsidRPr="00842260">
              <w:t xml:space="preserve">   Non-metastatic recurrence</w:t>
            </w:r>
          </w:p>
        </w:tc>
        <w:tc>
          <w:tcPr>
            <w:tcW w:w="740" w:type="pct"/>
            <w:tcBorders>
              <w:top w:val="nil"/>
              <w:bottom w:val="nil"/>
            </w:tcBorders>
            <w:shd w:val="solid" w:color="000000" w:fill="000000"/>
            <w:noWrap/>
            <w:hideMark/>
          </w:tcPr>
          <w:p w14:paraId="08EDE38D" w14:textId="7A2584C6"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shd w:val="solid" w:color="000000" w:fill="000000"/>
            <w:noWrap/>
            <w:hideMark/>
          </w:tcPr>
          <w:p w14:paraId="293F48C7" w14:textId="1BBAEAA1"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noWrap/>
            <w:hideMark/>
          </w:tcPr>
          <w:p w14:paraId="7BD7C8BD" w14:textId="44CEE45E" w:rsidR="00E0526E" w:rsidRPr="00842260" w:rsidRDefault="00E0526E" w:rsidP="00030579">
            <w:pPr>
              <w:pStyle w:val="TableText0"/>
              <w:jc w:val="right"/>
            </w:pPr>
            <w:r w:rsidRPr="00842260">
              <w:t>−</w:t>
            </w:r>
            <w:r w:rsidR="007012DA" w:rsidRPr="007012DA">
              <w:rPr>
                <w:color w:val="000000"/>
                <w:shd w:val="solid" w:color="000000" w:fill="000000"/>
                <w14:textFill>
                  <w14:solidFill>
                    <w14:srgbClr w14:val="000000">
                      <w14:alpha w14:val="100000"/>
                    </w14:srgbClr>
                  </w14:solidFill>
                </w14:textFill>
              </w:rPr>
              <w:t>|</w:t>
            </w:r>
          </w:p>
        </w:tc>
        <w:tc>
          <w:tcPr>
            <w:tcW w:w="739" w:type="pct"/>
            <w:tcBorders>
              <w:top w:val="nil"/>
              <w:bottom w:val="nil"/>
            </w:tcBorders>
            <w:noWrap/>
            <w:hideMark/>
          </w:tcPr>
          <w:p w14:paraId="203D01AF" w14:textId="77777777" w:rsidR="00E0526E" w:rsidRPr="00842260" w:rsidRDefault="00E0526E" w:rsidP="00030579">
            <w:pPr>
              <w:pStyle w:val="TableText0"/>
              <w:jc w:val="right"/>
            </w:pPr>
            <w:r w:rsidRPr="00842260">
              <w:t>−3%</w:t>
            </w:r>
          </w:p>
        </w:tc>
      </w:tr>
      <w:tr w:rsidR="00E0526E" w:rsidRPr="00842260" w14:paraId="4896ECD9" w14:textId="77777777" w:rsidTr="007012DA">
        <w:tc>
          <w:tcPr>
            <w:tcW w:w="2041" w:type="pct"/>
            <w:tcBorders>
              <w:top w:val="nil"/>
              <w:bottom w:val="single" w:sz="4" w:space="0" w:color="auto"/>
            </w:tcBorders>
            <w:noWrap/>
            <w:hideMark/>
          </w:tcPr>
          <w:p w14:paraId="59DB112F" w14:textId="77777777" w:rsidR="00E0526E" w:rsidRPr="00842260" w:rsidRDefault="00E0526E" w:rsidP="00030579">
            <w:pPr>
              <w:pStyle w:val="TableText0"/>
            </w:pPr>
            <w:r w:rsidRPr="00842260">
              <w:t xml:space="preserve">   Remission</w:t>
            </w:r>
          </w:p>
        </w:tc>
        <w:tc>
          <w:tcPr>
            <w:tcW w:w="740" w:type="pct"/>
            <w:tcBorders>
              <w:top w:val="nil"/>
              <w:bottom w:val="single" w:sz="4" w:space="0" w:color="auto"/>
            </w:tcBorders>
            <w:shd w:val="solid" w:color="000000" w:fill="000000"/>
            <w:noWrap/>
            <w:hideMark/>
          </w:tcPr>
          <w:p w14:paraId="442F2026" w14:textId="01F3034B"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shd w:val="solid" w:color="000000" w:fill="000000"/>
            <w:noWrap/>
            <w:hideMark/>
          </w:tcPr>
          <w:p w14:paraId="5EF1371B" w14:textId="289E07E1"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noWrap/>
            <w:hideMark/>
          </w:tcPr>
          <w:p w14:paraId="66DBF6D3" w14:textId="00E9668B" w:rsidR="00E0526E" w:rsidRPr="00842260" w:rsidRDefault="00E0526E" w:rsidP="00030579">
            <w:pPr>
              <w:pStyle w:val="TableText0"/>
              <w:jc w:val="right"/>
            </w:pPr>
            <w:r w:rsidRPr="00842260">
              <w:t>−</w:t>
            </w:r>
            <w:r w:rsidR="007012DA" w:rsidRPr="007012DA">
              <w:rPr>
                <w:color w:val="000000"/>
                <w:shd w:val="solid" w:color="000000" w:fill="000000"/>
                <w14:textFill>
                  <w14:solidFill>
                    <w14:srgbClr w14:val="000000">
                      <w14:alpha w14:val="100000"/>
                    </w14:srgbClr>
                  </w14:solidFill>
                </w14:textFill>
              </w:rPr>
              <w:t>|</w:t>
            </w:r>
          </w:p>
        </w:tc>
        <w:tc>
          <w:tcPr>
            <w:tcW w:w="739" w:type="pct"/>
            <w:tcBorders>
              <w:top w:val="nil"/>
              <w:bottom w:val="single" w:sz="4" w:space="0" w:color="auto"/>
            </w:tcBorders>
            <w:noWrap/>
            <w:hideMark/>
          </w:tcPr>
          <w:p w14:paraId="1F98EBB3" w14:textId="77777777" w:rsidR="00E0526E" w:rsidRPr="00842260" w:rsidRDefault="00E0526E" w:rsidP="00030579">
            <w:pPr>
              <w:pStyle w:val="TableText0"/>
              <w:jc w:val="right"/>
            </w:pPr>
            <w:r w:rsidRPr="00842260">
              <w:t>−0%</w:t>
            </w:r>
          </w:p>
        </w:tc>
      </w:tr>
      <w:tr w:rsidR="00E0526E" w:rsidRPr="00842260" w14:paraId="02FED0FC" w14:textId="77777777" w:rsidTr="007012DA">
        <w:tc>
          <w:tcPr>
            <w:tcW w:w="2041" w:type="pct"/>
            <w:tcBorders>
              <w:bottom w:val="nil"/>
            </w:tcBorders>
            <w:noWrap/>
            <w:hideMark/>
          </w:tcPr>
          <w:p w14:paraId="61090ADC" w14:textId="593AF334" w:rsidR="00E0526E" w:rsidRPr="00842260" w:rsidRDefault="00E0526E" w:rsidP="00030579">
            <w:pPr>
              <w:pStyle w:val="TableText0"/>
            </w:pPr>
            <w:r w:rsidRPr="00842260">
              <w:t>Metastatic recurrence (endocrine-resistant)</w:t>
            </w:r>
            <w:r w:rsidR="00657F44">
              <w:t xml:space="preserve"> ($)</w:t>
            </w:r>
          </w:p>
        </w:tc>
        <w:tc>
          <w:tcPr>
            <w:tcW w:w="740" w:type="pct"/>
            <w:tcBorders>
              <w:bottom w:val="nil"/>
            </w:tcBorders>
            <w:noWrap/>
            <w:hideMark/>
          </w:tcPr>
          <w:p w14:paraId="32F28572" w14:textId="77777777" w:rsidR="00E0526E" w:rsidRPr="00657F44" w:rsidRDefault="00E0526E" w:rsidP="00030579">
            <w:pPr>
              <w:pStyle w:val="TableText0"/>
              <w:jc w:val="right"/>
              <w:rPr>
                <w:highlight w:val="yellow"/>
              </w:rPr>
            </w:pPr>
          </w:p>
        </w:tc>
        <w:tc>
          <w:tcPr>
            <w:tcW w:w="740" w:type="pct"/>
            <w:tcBorders>
              <w:bottom w:val="nil"/>
            </w:tcBorders>
            <w:noWrap/>
            <w:hideMark/>
          </w:tcPr>
          <w:p w14:paraId="1CF632FE" w14:textId="77777777" w:rsidR="00E0526E" w:rsidRPr="00657F44" w:rsidRDefault="00E0526E" w:rsidP="00030579">
            <w:pPr>
              <w:pStyle w:val="TableText0"/>
              <w:jc w:val="right"/>
              <w:rPr>
                <w:highlight w:val="yellow"/>
              </w:rPr>
            </w:pPr>
          </w:p>
        </w:tc>
        <w:tc>
          <w:tcPr>
            <w:tcW w:w="740" w:type="pct"/>
            <w:tcBorders>
              <w:bottom w:val="nil"/>
            </w:tcBorders>
            <w:noWrap/>
            <w:hideMark/>
          </w:tcPr>
          <w:p w14:paraId="2C0F062D" w14:textId="77777777" w:rsidR="00E0526E" w:rsidRPr="00842260" w:rsidRDefault="00E0526E" w:rsidP="00030579">
            <w:pPr>
              <w:pStyle w:val="TableText0"/>
              <w:jc w:val="right"/>
            </w:pPr>
          </w:p>
        </w:tc>
        <w:tc>
          <w:tcPr>
            <w:tcW w:w="739" w:type="pct"/>
            <w:tcBorders>
              <w:bottom w:val="nil"/>
            </w:tcBorders>
            <w:noWrap/>
            <w:hideMark/>
          </w:tcPr>
          <w:p w14:paraId="576CC643" w14:textId="77777777" w:rsidR="00E0526E" w:rsidRPr="00842260" w:rsidRDefault="00E0526E" w:rsidP="00030579">
            <w:pPr>
              <w:pStyle w:val="TableText0"/>
              <w:jc w:val="right"/>
            </w:pPr>
          </w:p>
        </w:tc>
      </w:tr>
      <w:tr w:rsidR="00E0526E" w:rsidRPr="00842260" w14:paraId="5BF85DB0" w14:textId="77777777" w:rsidTr="007012DA">
        <w:tc>
          <w:tcPr>
            <w:tcW w:w="2041" w:type="pct"/>
            <w:tcBorders>
              <w:top w:val="nil"/>
              <w:bottom w:val="nil"/>
            </w:tcBorders>
            <w:noWrap/>
            <w:hideMark/>
          </w:tcPr>
          <w:p w14:paraId="04A40275" w14:textId="77777777" w:rsidR="00E0526E" w:rsidRPr="00842260" w:rsidRDefault="00E0526E" w:rsidP="00030579">
            <w:pPr>
              <w:pStyle w:val="TableText0"/>
            </w:pPr>
            <w:r w:rsidRPr="00842260">
              <w:t xml:space="preserve">   PFS</w:t>
            </w:r>
          </w:p>
        </w:tc>
        <w:tc>
          <w:tcPr>
            <w:tcW w:w="740" w:type="pct"/>
            <w:tcBorders>
              <w:top w:val="nil"/>
              <w:bottom w:val="nil"/>
            </w:tcBorders>
            <w:shd w:val="solid" w:color="000000" w:fill="000000"/>
            <w:noWrap/>
            <w:hideMark/>
          </w:tcPr>
          <w:p w14:paraId="22FEEABF" w14:textId="665EB4C2"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shd w:val="solid" w:color="000000" w:fill="000000"/>
            <w:noWrap/>
            <w:hideMark/>
          </w:tcPr>
          <w:p w14:paraId="28805A40" w14:textId="7C80C55C"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noWrap/>
            <w:hideMark/>
          </w:tcPr>
          <w:p w14:paraId="5F130EAB" w14:textId="1120FC75" w:rsidR="00E0526E" w:rsidRPr="00842260" w:rsidRDefault="00E0526E" w:rsidP="00030579">
            <w:pPr>
              <w:pStyle w:val="TableText0"/>
              <w:jc w:val="right"/>
            </w:pPr>
            <w:r w:rsidRPr="00842260">
              <w:t>−</w:t>
            </w:r>
            <w:r w:rsidR="007012DA" w:rsidRPr="007012DA">
              <w:rPr>
                <w:color w:val="000000"/>
                <w:shd w:val="solid" w:color="000000" w:fill="000000"/>
                <w14:textFill>
                  <w14:solidFill>
                    <w14:srgbClr w14:val="000000">
                      <w14:alpha w14:val="100000"/>
                    </w14:srgbClr>
                  </w14:solidFill>
                </w14:textFill>
              </w:rPr>
              <w:t>|</w:t>
            </w:r>
          </w:p>
        </w:tc>
        <w:tc>
          <w:tcPr>
            <w:tcW w:w="739" w:type="pct"/>
            <w:tcBorders>
              <w:top w:val="nil"/>
              <w:bottom w:val="nil"/>
            </w:tcBorders>
            <w:noWrap/>
            <w:hideMark/>
          </w:tcPr>
          <w:p w14:paraId="7926AE44" w14:textId="77777777" w:rsidR="00E0526E" w:rsidRPr="00842260" w:rsidRDefault="00E0526E" w:rsidP="00030579">
            <w:pPr>
              <w:pStyle w:val="TableText0"/>
              <w:jc w:val="right"/>
            </w:pPr>
            <w:r w:rsidRPr="00842260">
              <w:t>−74%</w:t>
            </w:r>
          </w:p>
        </w:tc>
      </w:tr>
      <w:tr w:rsidR="00E0526E" w:rsidRPr="00842260" w14:paraId="2E4141E8" w14:textId="77777777" w:rsidTr="007012DA">
        <w:tc>
          <w:tcPr>
            <w:tcW w:w="2041" w:type="pct"/>
            <w:tcBorders>
              <w:top w:val="nil"/>
              <w:bottom w:val="single" w:sz="4" w:space="0" w:color="auto"/>
            </w:tcBorders>
            <w:noWrap/>
            <w:hideMark/>
          </w:tcPr>
          <w:p w14:paraId="622F13DC" w14:textId="77777777" w:rsidR="00E0526E" w:rsidRPr="00842260" w:rsidRDefault="00E0526E" w:rsidP="00030579">
            <w:pPr>
              <w:pStyle w:val="TableText0"/>
            </w:pPr>
            <w:r w:rsidRPr="00842260">
              <w:t xml:space="preserve">   PPS</w:t>
            </w:r>
          </w:p>
        </w:tc>
        <w:tc>
          <w:tcPr>
            <w:tcW w:w="740" w:type="pct"/>
            <w:tcBorders>
              <w:top w:val="nil"/>
              <w:bottom w:val="single" w:sz="4" w:space="0" w:color="auto"/>
            </w:tcBorders>
            <w:shd w:val="solid" w:color="000000" w:fill="000000"/>
            <w:noWrap/>
            <w:hideMark/>
          </w:tcPr>
          <w:p w14:paraId="4319C07B" w14:textId="60105FDA"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shd w:val="solid" w:color="000000" w:fill="000000"/>
            <w:noWrap/>
            <w:hideMark/>
          </w:tcPr>
          <w:p w14:paraId="4DF9F531" w14:textId="6A3F9E2A"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noWrap/>
            <w:hideMark/>
          </w:tcPr>
          <w:p w14:paraId="09402FB9" w14:textId="7A09B8BE" w:rsidR="00E0526E" w:rsidRPr="00842260" w:rsidRDefault="00E0526E" w:rsidP="00030579">
            <w:pPr>
              <w:pStyle w:val="TableText0"/>
              <w:jc w:val="right"/>
            </w:pPr>
            <w:r w:rsidRPr="00842260">
              <w:t>−</w:t>
            </w:r>
            <w:r w:rsidR="007012DA" w:rsidRPr="007012DA">
              <w:rPr>
                <w:color w:val="000000"/>
                <w:shd w:val="solid" w:color="000000" w:fill="000000"/>
                <w14:textFill>
                  <w14:solidFill>
                    <w14:srgbClr w14:val="000000">
                      <w14:alpha w14:val="100000"/>
                    </w14:srgbClr>
                  </w14:solidFill>
                </w14:textFill>
              </w:rPr>
              <w:t>|</w:t>
            </w:r>
          </w:p>
        </w:tc>
        <w:tc>
          <w:tcPr>
            <w:tcW w:w="739" w:type="pct"/>
            <w:tcBorders>
              <w:top w:val="nil"/>
              <w:bottom w:val="single" w:sz="4" w:space="0" w:color="auto"/>
            </w:tcBorders>
            <w:noWrap/>
            <w:hideMark/>
          </w:tcPr>
          <w:p w14:paraId="7E73744A" w14:textId="77777777" w:rsidR="00E0526E" w:rsidRPr="00842260" w:rsidRDefault="00E0526E" w:rsidP="00030579">
            <w:pPr>
              <w:pStyle w:val="TableText0"/>
              <w:jc w:val="right"/>
            </w:pPr>
            <w:r w:rsidRPr="00842260">
              <w:t>−16%</w:t>
            </w:r>
          </w:p>
        </w:tc>
      </w:tr>
      <w:tr w:rsidR="00E0526E" w:rsidRPr="00842260" w14:paraId="3BCE8144" w14:textId="77777777" w:rsidTr="007012DA">
        <w:tc>
          <w:tcPr>
            <w:tcW w:w="2041" w:type="pct"/>
            <w:tcBorders>
              <w:bottom w:val="nil"/>
            </w:tcBorders>
            <w:noWrap/>
            <w:hideMark/>
          </w:tcPr>
          <w:p w14:paraId="188A210C" w14:textId="49E01B99" w:rsidR="00E0526E" w:rsidRPr="00842260" w:rsidRDefault="00E0526E" w:rsidP="00030579">
            <w:pPr>
              <w:pStyle w:val="TableText0"/>
            </w:pPr>
            <w:r w:rsidRPr="00842260">
              <w:t>Metastatic recurrence (endocrine-sensitive)</w:t>
            </w:r>
            <w:r w:rsidR="00657F44">
              <w:t xml:space="preserve"> ($)</w:t>
            </w:r>
          </w:p>
        </w:tc>
        <w:tc>
          <w:tcPr>
            <w:tcW w:w="740" w:type="pct"/>
            <w:tcBorders>
              <w:bottom w:val="nil"/>
            </w:tcBorders>
            <w:noWrap/>
            <w:hideMark/>
          </w:tcPr>
          <w:p w14:paraId="062292F1" w14:textId="77777777" w:rsidR="00E0526E" w:rsidRPr="00657F44" w:rsidRDefault="00E0526E" w:rsidP="00030579">
            <w:pPr>
              <w:pStyle w:val="TableText0"/>
              <w:jc w:val="right"/>
              <w:rPr>
                <w:highlight w:val="yellow"/>
              </w:rPr>
            </w:pPr>
          </w:p>
        </w:tc>
        <w:tc>
          <w:tcPr>
            <w:tcW w:w="740" w:type="pct"/>
            <w:tcBorders>
              <w:bottom w:val="nil"/>
            </w:tcBorders>
            <w:noWrap/>
            <w:hideMark/>
          </w:tcPr>
          <w:p w14:paraId="776BE943" w14:textId="77777777" w:rsidR="00E0526E" w:rsidRPr="00657F44" w:rsidRDefault="00E0526E" w:rsidP="00030579">
            <w:pPr>
              <w:pStyle w:val="TableText0"/>
              <w:jc w:val="right"/>
              <w:rPr>
                <w:highlight w:val="yellow"/>
              </w:rPr>
            </w:pPr>
          </w:p>
        </w:tc>
        <w:tc>
          <w:tcPr>
            <w:tcW w:w="740" w:type="pct"/>
            <w:tcBorders>
              <w:bottom w:val="nil"/>
            </w:tcBorders>
            <w:noWrap/>
            <w:hideMark/>
          </w:tcPr>
          <w:p w14:paraId="01E094A6" w14:textId="77777777" w:rsidR="00E0526E" w:rsidRPr="00842260" w:rsidRDefault="00E0526E" w:rsidP="00030579">
            <w:pPr>
              <w:pStyle w:val="TableText0"/>
              <w:jc w:val="right"/>
            </w:pPr>
          </w:p>
        </w:tc>
        <w:tc>
          <w:tcPr>
            <w:tcW w:w="739" w:type="pct"/>
            <w:tcBorders>
              <w:bottom w:val="nil"/>
            </w:tcBorders>
            <w:noWrap/>
            <w:hideMark/>
          </w:tcPr>
          <w:p w14:paraId="1FB34799" w14:textId="77777777" w:rsidR="00E0526E" w:rsidRPr="00842260" w:rsidRDefault="00E0526E" w:rsidP="00030579">
            <w:pPr>
              <w:pStyle w:val="TableText0"/>
              <w:jc w:val="right"/>
            </w:pPr>
          </w:p>
        </w:tc>
      </w:tr>
      <w:tr w:rsidR="00E0526E" w:rsidRPr="00842260" w14:paraId="38777DA5" w14:textId="77777777" w:rsidTr="007012DA">
        <w:tc>
          <w:tcPr>
            <w:tcW w:w="2041" w:type="pct"/>
            <w:tcBorders>
              <w:top w:val="nil"/>
              <w:bottom w:val="nil"/>
            </w:tcBorders>
            <w:noWrap/>
            <w:hideMark/>
          </w:tcPr>
          <w:p w14:paraId="7C41DF85" w14:textId="77777777" w:rsidR="00E0526E" w:rsidRPr="00842260" w:rsidRDefault="00E0526E" w:rsidP="00030579">
            <w:pPr>
              <w:pStyle w:val="TableText0"/>
            </w:pPr>
            <w:r w:rsidRPr="00842260">
              <w:t xml:space="preserve">   PFS1</w:t>
            </w:r>
          </w:p>
        </w:tc>
        <w:tc>
          <w:tcPr>
            <w:tcW w:w="740" w:type="pct"/>
            <w:tcBorders>
              <w:top w:val="nil"/>
              <w:bottom w:val="nil"/>
            </w:tcBorders>
            <w:shd w:val="solid" w:color="000000" w:fill="000000"/>
            <w:noWrap/>
            <w:hideMark/>
          </w:tcPr>
          <w:p w14:paraId="0628FF02" w14:textId="7C0B9DD8"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shd w:val="solid" w:color="000000" w:fill="000000"/>
            <w:noWrap/>
            <w:hideMark/>
          </w:tcPr>
          <w:p w14:paraId="6DCBB5C8" w14:textId="2F7F7F3E"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noWrap/>
            <w:hideMark/>
          </w:tcPr>
          <w:p w14:paraId="3B09B37E" w14:textId="7B939BA2" w:rsidR="00E0526E" w:rsidRPr="00842260" w:rsidRDefault="00E0526E" w:rsidP="00030579">
            <w:pPr>
              <w:pStyle w:val="TableText0"/>
              <w:jc w:val="right"/>
            </w:pPr>
            <w:r w:rsidRPr="00842260">
              <w:t>−</w:t>
            </w:r>
            <w:r w:rsidR="007012DA" w:rsidRPr="007012DA">
              <w:rPr>
                <w:color w:val="000000"/>
                <w:shd w:val="solid" w:color="000000" w:fill="000000"/>
                <w14:textFill>
                  <w14:solidFill>
                    <w14:srgbClr w14:val="000000">
                      <w14:alpha w14:val="100000"/>
                    </w14:srgbClr>
                  </w14:solidFill>
                </w14:textFill>
              </w:rPr>
              <w:t>|</w:t>
            </w:r>
          </w:p>
        </w:tc>
        <w:tc>
          <w:tcPr>
            <w:tcW w:w="739" w:type="pct"/>
            <w:tcBorders>
              <w:top w:val="nil"/>
              <w:bottom w:val="nil"/>
            </w:tcBorders>
            <w:noWrap/>
            <w:hideMark/>
          </w:tcPr>
          <w:p w14:paraId="7E37A9BC" w14:textId="77777777" w:rsidR="00E0526E" w:rsidRPr="00842260" w:rsidRDefault="00E0526E" w:rsidP="00030579">
            <w:pPr>
              <w:pStyle w:val="TableText0"/>
              <w:jc w:val="right"/>
            </w:pPr>
            <w:r w:rsidRPr="00842260">
              <w:t>−115%</w:t>
            </w:r>
          </w:p>
        </w:tc>
      </w:tr>
      <w:tr w:rsidR="00E0526E" w:rsidRPr="00842260" w14:paraId="1589DAB5" w14:textId="77777777" w:rsidTr="007012DA">
        <w:tc>
          <w:tcPr>
            <w:tcW w:w="2041" w:type="pct"/>
            <w:tcBorders>
              <w:top w:val="nil"/>
              <w:bottom w:val="nil"/>
            </w:tcBorders>
            <w:noWrap/>
            <w:hideMark/>
          </w:tcPr>
          <w:p w14:paraId="5B1BEF97" w14:textId="77777777" w:rsidR="00E0526E" w:rsidRPr="00842260" w:rsidRDefault="00E0526E" w:rsidP="00030579">
            <w:pPr>
              <w:pStyle w:val="TableText0"/>
            </w:pPr>
            <w:r w:rsidRPr="00842260">
              <w:t xml:space="preserve">   PFS2</w:t>
            </w:r>
          </w:p>
        </w:tc>
        <w:tc>
          <w:tcPr>
            <w:tcW w:w="740" w:type="pct"/>
            <w:tcBorders>
              <w:top w:val="nil"/>
              <w:bottom w:val="nil"/>
            </w:tcBorders>
            <w:shd w:val="solid" w:color="000000" w:fill="000000"/>
            <w:noWrap/>
            <w:hideMark/>
          </w:tcPr>
          <w:p w14:paraId="59C36D17" w14:textId="62701906"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shd w:val="solid" w:color="000000" w:fill="000000"/>
            <w:noWrap/>
            <w:hideMark/>
          </w:tcPr>
          <w:p w14:paraId="393CE126" w14:textId="0DDF0FAC"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nil"/>
            </w:tcBorders>
            <w:shd w:val="solid" w:color="000000" w:fill="000000"/>
            <w:noWrap/>
            <w:hideMark/>
          </w:tcPr>
          <w:p w14:paraId="6F9647D1" w14:textId="4274C8E0"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39" w:type="pct"/>
            <w:tcBorders>
              <w:top w:val="nil"/>
              <w:bottom w:val="nil"/>
            </w:tcBorders>
            <w:noWrap/>
            <w:hideMark/>
          </w:tcPr>
          <w:p w14:paraId="734E1508" w14:textId="77777777" w:rsidR="00E0526E" w:rsidRPr="00842260" w:rsidRDefault="00E0526E" w:rsidP="00030579">
            <w:pPr>
              <w:pStyle w:val="TableText0"/>
              <w:jc w:val="right"/>
            </w:pPr>
            <w:r w:rsidRPr="00842260">
              <w:t>5%</w:t>
            </w:r>
          </w:p>
        </w:tc>
      </w:tr>
      <w:tr w:rsidR="00E0526E" w:rsidRPr="00842260" w14:paraId="5CB3CF7A" w14:textId="77777777" w:rsidTr="007012DA">
        <w:tc>
          <w:tcPr>
            <w:tcW w:w="2041" w:type="pct"/>
            <w:tcBorders>
              <w:top w:val="nil"/>
              <w:bottom w:val="single" w:sz="4" w:space="0" w:color="auto"/>
            </w:tcBorders>
            <w:noWrap/>
            <w:hideMark/>
          </w:tcPr>
          <w:p w14:paraId="6497FC89" w14:textId="77777777" w:rsidR="00E0526E" w:rsidRPr="00842260" w:rsidRDefault="00E0526E" w:rsidP="00030579">
            <w:pPr>
              <w:pStyle w:val="TableText0"/>
            </w:pPr>
            <w:r w:rsidRPr="00842260">
              <w:t xml:space="preserve">   PPS</w:t>
            </w:r>
          </w:p>
        </w:tc>
        <w:tc>
          <w:tcPr>
            <w:tcW w:w="740" w:type="pct"/>
            <w:tcBorders>
              <w:top w:val="nil"/>
              <w:bottom w:val="single" w:sz="4" w:space="0" w:color="auto"/>
            </w:tcBorders>
            <w:shd w:val="solid" w:color="000000" w:fill="000000"/>
            <w:noWrap/>
            <w:hideMark/>
          </w:tcPr>
          <w:p w14:paraId="35C0091C" w14:textId="6857B616"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shd w:val="solid" w:color="000000" w:fill="000000"/>
            <w:noWrap/>
            <w:hideMark/>
          </w:tcPr>
          <w:p w14:paraId="232A3BE2" w14:textId="18DE35BE"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top w:val="nil"/>
              <w:bottom w:val="single" w:sz="4" w:space="0" w:color="auto"/>
            </w:tcBorders>
            <w:shd w:val="solid" w:color="000000" w:fill="000000"/>
            <w:noWrap/>
            <w:hideMark/>
          </w:tcPr>
          <w:p w14:paraId="2648163C" w14:textId="08FA2AE7"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39" w:type="pct"/>
            <w:tcBorders>
              <w:top w:val="nil"/>
              <w:bottom w:val="single" w:sz="4" w:space="0" w:color="auto"/>
            </w:tcBorders>
            <w:noWrap/>
            <w:hideMark/>
          </w:tcPr>
          <w:p w14:paraId="3689BA10" w14:textId="77777777" w:rsidR="00E0526E" w:rsidRPr="00842260" w:rsidRDefault="00E0526E" w:rsidP="00030579">
            <w:pPr>
              <w:pStyle w:val="TableText0"/>
              <w:jc w:val="right"/>
            </w:pPr>
            <w:r w:rsidRPr="00842260">
              <w:t>1%</w:t>
            </w:r>
          </w:p>
        </w:tc>
      </w:tr>
      <w:tr w:rsidR="00E0526E" w:rsidRPr="00842260" w14:paraId="62236D13" w14:textId="77777777" w:rsidTr="007012DA">
        <w:tc>
          <w:tcPr>
            <w:tcW w:w="2041" w:type="pct"/>
            <w:tcBorders>
              <w:bottom w:val="single" w:sz="4" w:space="0" w:color="auto"/>
            </w:tcBorders>
            <w:noWrap/>
            <w:hideMark/>
          </w:tcPr>
          <w:p w14:paraId="792B6916" w14:textId="6FF7DB55" w:rsidR="00E0526E" w:rsidRPr="00842260" w:rsidRDefault="00E0526E" w:rsidP="00030579">
            <w:pPr>
              <w:pStyle w:val="TableText0"/>
            </w:pPr>
            <w:r w:rsidRPr="00842260">
              <w:t>Terminal care</w:t>
            </w:r>
            <w:r w:rsidR="00657F44">
              <w:t xml:space="preserve"> ($)</w:t>
            </w:r>
          </w:p>
        </w:tc>
        <w:tc>
          <w:tcPr>
            <w:tcW w:w="740" w:type="pct"/>
            <w:tcBorders>
              <w:bottom w:val="single" w:sz="4" w:space="0" w:color="auto"/>
            </w:tcBorders>
            <w:shd w:val="solid" w:color="000000" w:fill="000000"/>
            <w:noWrap/>
            <w:hideMark/>
          </w:tcPr>
          <w:p w14:paraId="116B752B" w14:textId="07D10111"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single" w:sz="4" w:space="0" w:color="auto"/>
            </w:tcBorders>
            <w:shd w:val="solid" w:color="000000" w:fill="000000"/>
            <w:noWrap/>
            <w:hideMark/>
          </w:tcPr>
          <w:p w14:paraId="627AB5FB" w14:textId="096903FD"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single" w:sz="4" w:space="0" w:color="auto"/>
            </w:tcBorders>
            <w:noWrap/>
            <w:hideMark/>
          </w:tcPr>
          <w:p w14:paraId="18A44357" w14:textId="5979A91F" w:rsidR="00E0526E" w:rsidRPr="00842260" w:rsidRDefault="00E0526E" w:rsidP="00030579">
            <w:pPr>
              <w:pStyle w:val="TableText0"/>
              <w:jc w:val="right"/>
            </w:pPr>
            <w:r w:rsidRPr="00842260">
              <w:t>−</w:t>
            </w:r>
            <w:r w:rsidR="007012DA" w:rsidRPr="007012DA">
              <w:rPr>
                <w:color w:val="000000"/>
                <w:shd w:val="solid" w:color="000000" w:fill="000000"/>
                <w14:textFill>
                  <w14:solidFill>
                    <w14:srgbClr w14:val="000000">
                      <w14:alpha w14:val="100000"/>
                    </w14:srgbClr>
                  </w14:solidFill>
                </w14:textFill>
              </w:rPr>
              <w:t>|</w:t>
            </w:r>
          </w:p>
        </w:tc>
        <w:tc>
          <w:tcPr>
            <w:tcW w:w="739" w:type="pct"/>
            <w:tcBorders>
              <w:bottom w:val="single" w:sz="4" w:space="0" w:color="auto"/>
            </w:tcBorders>
            <w:noWrap/>
            <w:hideMark/>
          </w:tcPr>
          <w:p w14:paraId="70B81C52" w14:textId="77777777" w:rsidR="00E0526E" w:rsidRPr="00842260" w:rsidRDefault="00E0526E" w:rsidP="00030579">
            <w:pPr>
              <w:pStyle w:val="TableText0"/>
              <w:jc w:val="right"/>
            </w:pPr>
            <w:r w:rsidRPr="00842260">
              <w:t>−2%</w:t>
            </w:r>
          </w:p>
        </w:tc>
      </w:tr>
      <w:tr w:rsidR="00E0526E" w:rsidRPr="00842260" w14:paraId="0F789BC0" w14:textId="77777777" w:rsidTr="007012DA">
        <w:tc>
          <w:tcPr>
            <w:tcW w:w="2041" w:type="pct"/>
            <w:tcBorders>
              <w:bottom w:val="single" w:sz="4" w:space="0" w:color="auto"/>
            </w:tcBorders>
            <w:noWrap/>
            <w:hideMark/>
          </w:tcPr>
          <w:p w14:paraId="041C5257" w14:textId="3665183C" w:rsidR="00E0526E" w:rsidRPr="00842260" w:rsidRDefault="00E0526E" w:rsidP="00030579">
            <w:pPr>
              <w:pStyle w:val="TableText0"/>
            </w:pPr>
            <w:r w:rsidRPr="00842260">
              <w:t>Adverse events</w:t>
            </w:r>
            <w:r w:rsidR="00657F44">
              <w:t xml:space="preserve"> ($)</w:t>
            </w:r>
          </w:p>
        </w:tc>
        <w:tc>
          <w:tcPr>
            <w:tcW w:w="740" w:type="pct"/>
            <w:tcBorders>
              <w:bottom w:val="single" w:sz="4" w:space="0" w:color="auto"/>
            </w:tcBorders>
            <w:shd w:val="solid" w:color="000000" w:fill="000000"/>
            <w:noWrap/>
          </w:tcPr>
          <w:p w14:paraId="4D8F7E50" w14:textId="0F6626D3"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single" w:sz="4" w:space="0" w:color="auto"/>
            </w:tcBorders>
            <w:shd w:val="solid" w:color="000000" w:fill="000000"/>
            <w:noWrap/>
          </w:tcPr>
          <w:p w14:paraId="14EDB16F" w14:textId="0C6581F7"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40" w:type="pct"/>
            <w:tcBorders>
              <w:bottom w:val="single" w:sz="4" w:space="0" w:color="auto"/>
            </w:tcBorders>
            <w:shd w:val="solid" w:color="000000" w:fill="000000"/>
            <w:noWrap/>
          </w:tcPr>
          <w:p w14:paraId="7DBCB827" w14:textId="4F2163E7" w:rsidR="00E0526E" w:rsidRPr="007012DA" w:rsidRDefault="007012DA" w:rsidP="00030579">
            <w:pPr>
              <w:pStyle w:val="TableText0"/>
              <w:jc w:val="right"/>
            </w:pPr>
            <w:r w:rsidRPr="007012DA">
              <w:rPr>
                <w:color w:val="000000"/>
                <w14:textFill>
                  <w14:solidFill>
                    <w14:srgbClr w14:val="000000">
                      <w14:alpha w14:val="100000"/>
                    </w14:srgbClr>
                  </w14:solidFill>
                </w14:textFill>
              </w:rPr>
              <w:t>|</w:t>
            </w:r>
          </w:p>
        </w:tc>
        <w:tc>
          <w:tcPr>
            <w:tcW w:w="739" w:type="pct"/>
            <w:tcBorders>
              <w:bottom w:val="single" w:sz="4" w:space="0" w:color="auto"/>
            </w:tcBorders>
            <w:noWrap/>
          </w:tcPr>
          <w:p w14:paraId="4BF19F49" w14:textId="77777777" w:rsidR="00E0526E" w:rsidRPr="00842260" w:rsidRDefault="00E0526E" w:rsidP="00030579">
            <w:pPr>
              <w:pStyle w:val="TableText0"/>
              <w:jc w:val="right"/>
            </w:pPr>
            <w:r w:rsidRPr="00842260">
              <w:t>1%</w:t>
            </w:r>
          </w:p>
        </w:tc>
      </w:tr>
      <w:tr w:rsidR="00E0526E" w:rsidRPr="00842260" w14:paraId="31CFB3E3" w14:textId="77777777" w:rsidTr="007012DA">
        <w:tc>
          <w:tcPr>
            <w:tcW w:w="2041" w:type="pct"/>
            <w:tcBorders>
              <w:bottom w:val="double" w:sz="4" w:space="0" w:color="auto"/>
            </w:tcBorders>
            <w:noWrap/>
            <w:hideMark/>
          </w:tcPr>
          <w:p w14:paraId="20FBBB44" w14:textId="715BF499" w:rsidR="00E0526E" w:rsidRPr="00842260" w:rsidRDefault="00E0526E" w:rsidP="00030579">
            <w:pPr>
              <w:pStyle w:val="TableText0"/>
              <w:rPr>
                <w:b/>
              </w:rPr>
            </w:pPr>
            <w:r w:rsidRPr="00842260">
              <w:rPr>
                <w:b/>
              </w:rPr>
              <w:t>Total costs</w:t>
            </w:r>
            <w:r w:rsidR="00657F44">
              <w:rPr>
                <w:b/>
              </w:rPr>
              <w:t xml:space="preserve"> ($)</w:t>
            </w:r>
          </w:p>
        </w:tc>
        <w:tc>
          <w:tcPr>
            <w:tcW w:w="740" w:type="pct"/>
            <w:tcBorders>
              <w:bottom w:val="double" w:sz="4" w:space="0" w:color="auto"/>
            </w:tcBorders>
            <w:shd w:val="solid" w:color="000000" w:fill="000000"/>
            <w:noWrap/>
          </w:tcPr>
          <w:p w14:paraId="744BE11D" w14:textId="3751D343" w:rsidR="00E0526E" w:rsidRPr="007012DA" w:rsidRDefault="007012DA" w:rsidP="00030579">
            <w:pPr>
              <w:pStyle w:val="TableText0"/>
              <w:jc w:val="right"/>
              <w:rPr>
                <w:b/>
              </w:rPr>
            </w:pPr>
            <w:r w:rsidRPr="007012DA">
              <w:rPr>
                <w:b/>
                <w:color w:val="000000"/>
                <w14:textFill>
                  <w14:solidFill>
                    <w14:srgbClr w14:val="000000">
                      <w14:alpha w14:val="100000"/>
                    </w14:srgbClr>
                  </w14:solidFill>
                </w14:textFill>
              </w:rPr>
              <w:t>|</w:t>
            </w:r>
          </w:p>
        </w:tc>
        <w:tc>
          <w:tcPr>
            <w:tcW w:w="740" w:type="pct"/>
            <w:tcBorders>
              <w:bottom w:val="double" w:sz="4" w:space="0" w:color="auto"/>
            </w:tcBorders>
            <w:shd w:val="solid" w:color="000000" w:fill="000000"/>
            <w:noWrap/>
          </w:tcPr>
          <w:p w14:paraId="1E080555" w14:textId="3EF6336C" w:rsidR="00E0526E" w:rsidRPr="007012DA" w:rsidRDefault="007012DA" w:rsidP="00030579">
            <w:pPr>
              <w:pStyle w:val="TableText0"/>
              <w:jc w:val="right"/>
              <w:rPr>
                <w:b/>
              </w:rPr>
            </w:pPr>
            <w:r w:rsidRPr="007012DA">
              <w:rPr>
                <w:b/>
                <w:color w:val="000000"/>
                <w14:textFill>
                  <w14:solidFill>
                    <w14:srgbClr w14:val="000000">
                      <w14:alpha w14:val="100000"/>
                    </w14:srgbClr>
                  </w14:solidFill>
                </w14:textFill>
              </w:rPr>
              <w:t>|</w:t>
            </w:r>
          </w:p>
        </w:tc>
        <w:tc>
          <w:tcPr>
            <w:tcW w:w="740" w:type="pct"/>
            <w:tcBorders>
              <w:bottom w:val="double" w:sz="4" w:space="0" w:color="auto"/>
            </w:tcBorders>
            <w:shd w:val="solid" w:color="000000" w:fill="000000"/>
            <w:noWrap/>
          </w:tcPr>
          <w:p w14:paraId="34C141A8" w14:textId="6FE81C17" w:rsidR="00E0526E" w:rsidRPr="007012DA" w:rsidRDefault="007012DA" w:rsidP="00030579">
            <w:pPr>
              <w:pStyle w:val="TableText0"/>
              <w:jc w:val="right"/>
              <w:rPr>
                <w:b/>
              </w:rPr>
            </w:pPr>
            <w:r w:rsidRPr="007012DA">
              <w:rPr>
                <w:b/>
                <w:color w:val="000000"/>
                <w14:textFill>
                  <w14:solidFill>
                    <w14:srgbClr w14:val="000000">
                      <w14:alpha w14:val="100000"/>
                    </w14:srgbClr>
                  </w14:solidFill>
                </w14:textFill>
              </w:rPr>
              <w:t>|</w:t>
            </w:r>
          </w:p>
        </w:tc>
        <w:tc>
          <w:tcPr>
            <w:tcW w:w="739" w:type="pct"/>
            <w:tcBorders>
              <w:bottom w:val="double" w:sz="4" w:space="0" w:color="auto"/>
            </w:tcBorders>
            <w:noWrap/>
          </w:tcPr>
          <w:p w14:paraId="75009136" w14:textId="77777777" w:rsidR="00E0526E" w:rsidRPr="00842260" w:rsidRDefault="00E0526E" w:rsidP="00030579">
            <w:pPr>
              <w:pStyle w:val="TableText0"/>
              <w:jc w:val="right"/>
              <w:rPr>
                <w:b/>
              </w:rPr>
            </w:pPr>
            <w:r w:rsidRPr="00842260">
              <w:rPr>
                <w:b/>
              </w:rPr>
              <w:t>100%</w:t>
            </w:r>
          </w:p>
        </w:tc>
      </w:tr>
      <w:tr w:rsidR="00E0526E" w:rsidRPr="00842260" w14:paraId="007CEAA6" w14:textId="77777777" w:rsidTr="00030579">
        <w:tc>
          <w:tcPr>
            <w:tcW w:w="2041" w:type="pct"/>
            <w:tcBorders>
              <w:top w:val="double" w:sz="4" w:space="0" w:color="auto"/>
              <w:right w:val="nil"/>
            </w:tcBorders>
            <w:noWrap/>
          </w:tcPr>
          <w:p w14:paraId="0834DB44" w14:textId="77777777" w:rsidR="00E0526E" w:rsidRPr="00842260" w:rsidRDefault="00E0526E" w:rsidP="00030579">
            <w:pPr>
              <w:pStyle w:val="TableText0"/>
              <w:rPr>
                <w:b/>
              </w:rPr>
            </w:pPr>
            <w:r w:rsidRPr="00EC49F6">
              <w:rPr>
                <w:b/>
              </w:rPr>
              <w:t>QALYS</w:t>
            </w:r>
          </w:p>
        </w:tc>
        <w:tc>
          <w:tcPr>
            <w:tcW w:w="740" w:type="pct"/>
            <w:tcBorders>
              <w:top w:val="double" w:sz="4" w:space="0" w:color="auto"/>
              <w:left w:val="nil"/>
              <w:right w:val="nil"/>
            </w:tcBorders>
            <w:noWrap/>
          </w:tcPr>
          <w:p w14:paraId="6ECC8456" w14:textId="77777777" w:rsidR="00E0526E" w:rsidRPr="00842260" w:rsidRDefault="00E0526E" w:rsidP="00030579">
            <w:pPr>
              <w:pStyle w:val="TableText0"/>
              <w:jc w:val="right"/>
              <w:rPr>
                <w:b/>
              </w:rPr>
            </w:pPr>
          </w:p>
        </w:tc>
        <w:tc>
          <w:tcPr>
            <w:tcW w:w="740" w:type="pct"/>
            <w:tcBorders>
              <w:top w:val="double" w:sz="4" w:space="0" w:color="auto"/>
              <w:left w:val="nil"/>
              <w:right w:val="nil"/>
            </w:tcBorders>
            <w:noWrap/>
          </w:tcPr>
          <w:p w14:paraId="36FDBFC5" w14:textId="77777777" w:rsidR="00E0526E" w:rsidRPr="00842260" w:rsidRDefault="00E0526E" w:rsidP="00030579">
            <w:pPr>
              <w:pStyle w:val="TableText0"/>
              <w:jc w:val="right"/>
              <w:rPr>
                <w:b/>
              </w:rPr>
            </w:pPr>
          </w:p>
        </w:tc>
        <w:tc>
          <w:tcPr>
            <w:tcW w:w="740" w:type="pct"/>
            <w:tcBorders>
              <w:top w:val="double" w:sz="4" w:space="0" w:color="auto"/>
              <w:left w:val="nil"/>
              <w:right w:val="nil"/>
            </w:tcBorders>
            <w:noWrap/>
          </w:tcPr>
          <w:p w14:paraId="3FB2AB07" w14:textId="77777777" w:rsidR="00E0526E" w:rsidRPr="00842260" w:rsidRDefault="00E0526E" w:rsidP="00030579">
            <w:pPr>
              <w:pStyle w:val="TableText0"/>
              <w:jc w:val="right"/>
              <w:rPr>
                <w:b/>
              </w:rPr>
            </w:pPr>
          </w:p>
        </w:tc>
        <w:tc>
          <w:tcPr>
            <w:tcW w:w="739" w:type="pct"/>
            <w:tcBorders>
              <w:top w:val="double" w:sz="4" w:space="0" w:color="auto"/>
              <w:left w:val="nil"/>
            </w:tcBorders>
            <w:noWrap/>
          </w:tcPr>
          <w:p w14:paraId="445809CE" w14:textId="77777777" w:rsidR="00E0526E" w:rsidRPr="00842260" w:rsidRDefault="00E0526E" w:rsidP="00030579">
            <w:pPr>
              <w:pStyle w:val="TableText0"/>
              <w:jc w:val="center"/>
              <w:rPr>
                <w:b/>
              </w:rPr>
            </w:pPr>
          </w:p>
        </w:tc>
      </w:tr>
      <w:tr w:rsidR="00E0526E" w:rsidRPr="00842260" w14:paraId="470AA5EF" w14:textId="77777777" w:rsidTr="00030579">
        <w:tc>
          <w:tcPr>
            <w:tcW w:w="2041" w:type="pct"/>
            <w:noWrap/>
            <w:hideMark/>
          </w:tcPr>
          <w:p w14:paraId="5342885E" w14:textId="77777777" w:rsidR="00E0526E" w:rsidRPr="00842260" w:rsidRDefault="00E0526E" w:rsidP="00030579">
            <w:pPr>
              <w:pStyle w:val="TableText0"/>
            </w:pPr>
            <w:r w:rsidRPr="00842260">
              <w:t>Invasive disease-free survival</w:t>
            </w:r>
          </w:p>
        </w:tc>
        <w:tc>
          <w:tcPr>
            <w:tcW w:w="740" w:type="pct"/>
            <w:noWrap/>
            <w:hideMark/>
          </w:tcPr>
          <w:p w14:paraId="3A76627B" w14:textId="77777777" w:rsidR="00E0526E" w:rsidRPr="00842260" w:rsidRDefault="00E0526E" w:rsidP="00030579">
            <w:pPr>
              <w:pStyle w:val="TableText0"/>
              <w:jc w:val="right"/>
            </w:pPr>
            <w:r w:rsidRPr="00842260">
              <w:t>7.426</w:t>
            </w:r>
          </w:p>
        </w:tc>
        <w:tc>
          <w:tcPr>
            <w:tcW w:w="740" w:type="pct"/>
            <w:noWrap/>
            <w:hideMark/>
          </w:tcPr>
          <w:p w14:paraId="6AACCFF0" w14:textId="77777777" w:rsidR="00E0526E" w:rsidRPr="00842260" w:rsidRDefault="00E0526E" w:rsidP="00030579">
            <w:pPr>
              <w:pStyle w:val="TableText0"/>
              <w:jc w:val="right"/>
            </w:pPr>
            <w:r w:rsidRPr="00842260">
              <w:t>6.357</w:t>
            </w:r>
          </w:p>
        </w:tc>
        <w:tc>
          <w:tcPr>
            <w:tcW w:w="740" w:type="pct"/>
            <w:noWrap/>
            <w:hideMark/>
          </w:tcPr>
          <w:p w14:paraId="02B2206E" w14:textId="77777777" w:rsidR="00E0526E" w:rsidRPr="00842260" w:rsidRDefault="00E0526E" w:rsidP="00030579">
            <w:pPr>
              <w:pStyle w:val="TableText0"/>
              <w:jc w:val="right"/>
            </w:pPr>
            <w:r w:rsidRPr="00842260">
              <w:t>1.069</w:t>
            </w:r>
          </w:p>
        </w:tc>
        <w:tc>
          <w:tcPr>
            <w:tcW w:w="739" w:type="pct"/>
            <w:noWrap/>
            <w:hideMark/>
          </w:tcPr>
          <w:p w14:paraId="0692C134" w14:textId="77777777" w:rsidR="00E0526E" w:rsidRPr="00842260" w:rsidRDefault="00E0526E" w:rsidP="00030579">
            <w:pPr>
              <w:pStyle w:val="TableText0"/>
              <w:jc w:val="right"/>
            </w:pPr>
            <w:r w:rsidRPr="00842260">
              <w:t>179%</w:t>
            </w:r>
          </w:p>
        </w:tc>
      </w:tr>
      <w:tr w:rsidR="00E0526E" w:rsidRPr="00842260" w14:paraId="1D0B2765" w14:textId="77777777" w:rsidTr="00030579">
        <w:tc>
          <w:tcPr>
            <w:tcW w:w="2041" w:type="pct"/>
            <w:noWrap/>
            <w:hideMark/>
          </w:tcPr>
          <w:p w14:paraId="7E8C9B93" w14:textId="77777777" w:rsidR="00E0526E" w:rsidRPr="00842260" w:rsidRDefault="00E0526E" w:rsidP="00030579">
            <w:pPr>
              <w:pStyle w:val="TableText0"/>
            </w:pPr>
            <w:r w:rsidRPr="00842260">
              <w:t>Non-metastatic recurrence</w:t>
            </w:r>
          </w:p>
        </w:tc>
        <w:tc>
          <w:tcPr>
            <w:tcW w:w="740" w:type="pct"/>
            <w:noWrap/>
            <w:hideMark/>
          </w:tcPr>
          <w:p w14:paraId="73395E8B" w14:textId="77777777" w:rsidR="00E0526E" w:rsidRPr="00842260" w:rsidRDefault="00E0526E" w:rsidP="00030579">
            <w:pPr>
              <w:pStyle w:val="TableText0"/>
              <w:jc w:val="right"/>
            </w:pPr>
            <w:r w:rsidRPr="00842260">
              <w:t>0.068</w:t>
            </w:r>
          </w:p>
        </w:tc>
        <w:tc>
          <w:tcPr>
            <w:tcW w:w="740" w:type="pct"/>
            <w:noWrap/>
            <w:hideMark/>
          </w:tcPr>
          <w:p w14:paraId="7AECFC58" w14:textId="77777777" w:rsidR="00E0526E" w:rsidRPr="00842260" w:rsidRDefault="00E0526E" w:rsidP="00030579">
            <w:pPr>
              <w:pStyle w:val="TableText0"/>
              <w:jc w:val="right"/>
            </w:pPr>
            <w:r w:rsidRPr="00842260">
              <w:t>0.081</w:t>
            </w:r>
          </w:p>
        </w:tc>
        <w:tc>
          <w:tcPr>
            <w:tcW w:w="740" w:type="pct"/>
            <w:noWrap/>
            <w:hideMark/>
          </w:tcPr>
          <w:p w14:paraId="7099B3ED" w14:textId="77777777" w:rsidR="00E0526E" w:rsidRPr="00842260" w:rsidRDefault="00E0526E" w:rsidP="00030579">
            <w:pPr>
              <w:pStyle w:val="TableText0"/>
              <w:jc w:val="right"/>
            </w:pPr>
            <w:r w:rsidRPr="00842260">
              <w:t>−0.013</w:t>
            </w:r>
          </w:p>
        </w:tc>
        <w:tc>
          <w:tcPr>
            <w:tcW w:w="739" w:type="pct"/>
            <w:noWrap/>
            <w:hideMark/>
          </w:tcPr>
          <w:p w14:paraId="539883F5" w14:textId="77777777" w:rsidR="00E0526E" w:rsidRPr="00842260" w:rsidRDefault="00E0526E" w:rsidP="00030579">
            <w:pPr>
              <w:pStyle w:val="TableText0"/>
              <w:jc w:val="right"/>
            </w:pPr>
            <w:r w:rsidRPr="00842260">
              <w:t>−2%</w:t>
            </w:r>
          </w:p>
        </w:tc>
      </w:tr>
      <w:tr w:rsidR="00E0526E" w:rsidRPr="00842260" w14:paraId="0305026B" w14:textId="77777777" w:rsidTr="00030579">
        <w:tc>
          <w:tcPr>
            <w:tcW w:w="2041" w:type="pct"/>
            <w:tcBorders>
              <w:bottom w:val="single" w:sz="4" w:space="0" w:color="auto"/>
            </w:tcBorders>
            <w:noWrap/>
            <w:hideMark/>
          </w:tcPr>
          <w:p w14:paraId="4FF31BEA" w14:textId="77777777" w:rsidR="00E0526E" w:rsidRPr="00842260" w:rsidRDefault="00E0526E" w:rsidP="00030579">
            <w:pPr>
              <w:pStyle w:val="TableText0"/>
            </w:pPr>
            <w:r w:rsidRPr="00842260">
              <w:t>Remission</w:t>
            </w:r>
          </w:p>
        </w:tc>
        <w:tc>
          <w:tcPr>
            <w:tcW w:w="740" w:type="pct"/>
            <w:tcBorders>
              <w:bottom w:val="single" w:sz="4" w:space="0" w:color="auto"/>
            </w:tcBorders>
            <w:noWrap/>
            <w:hideMark/>
          </w:tcPr>
          <w:p w14:paraId="3C82D220" w14:textId="77777777" w:rsidR="00E0526E" w:rsidRPr="00842260" w:rsidRDefault="00E0526E" w:rsidP="00030579">
            <w:pPr>
              <w:pStyle w:val="TableText0"/>
              <w:jc w:val="right"/>
            </w:pPr>
            <w:r w:rsidRPr="00842260">
              <w:t>0.455</w:t>
            </w:r>
          </w:p>
        </w:tc>
        <w:tc>
          <w:tcPr>
            <w:tcW w:w="740" w:type="pct"/>
            <w:tcBorders>
              <w:bottom w:val="single" w:sz="4" w:space="0" w:color="auto"/>
            </w:tcBorders>
            <w:noWrap/>
            <w:hideMark/>
          </w:tcPr>
          <w:p w14:paraId="01C3E19B" w14:textId="77777777" w:rsidR="00E0526E" w:rsidRPr="00842260" w:rsidRDefault="00E0526E" w:rsidP="00030579">
            <w:pPr>
              <w:pStyle w:val="TableText0"/>
              <w:jc w:val="right"/>
            </w:pPr>
            <w:r w:rsidRPr="00842260">
              <w:t>0.562</w:t>
            </w:r>
          </w:p>
        </w:tc>
        <w:tc>
          <w:tcPr>
            <w:tcW w:w="740" w:type="pct"/>
            <w:tcBorders>
              <w:bottom w:val="single" w:sz="4" w:space="0" w:color="auto"/>
            </w:tcBorders>
            <w:noWrap/>
            <w:hideMark/>
          </w:tcPr>
          <w:p w14:paraId="52B2B1D4" w14:textId="77777777" w:rsidR="00E0526E" w:rsidRPr="00842260" w:rsidRDefault="00E0526E" w:rsidP="00030579">
            <w:pPr>
              <w:pStyle w:val="TableText0"/>
              <w:jc w:val="right"/>
            </w:pPr>
            <w:r w:rsidRPr="00842260">
              <w:t>−0.107</w:t>
            </w:r>
          </w:p>
        </w:tc>
        <w:tc>
          <w:tcPr>
            <w:tcW w:w="739" w:type="pct"/>
            <w:tcBorders>
              <w:bottom w:val="single" w:sz="4" w:space="0" w:color="auto"/>
            </w:tcBorders>
            <w:noWrap/>
            <w:hideMark/>
          </w:tcPr>
          <w:p w14:paraId="2C5CE68A" w14:textId="77777777" w:rsidR="00E0526E" w:rsidRPr="00842260" w:rsidRDefault="00E0526E" w:rsidP="00030579">
            <w:pPr>
              <w:pStyle w:val="TableText0"/>
              <w:jc w:val="right"/>
            </w:pPr>
            <w:r w:rsidRPr="00842260">
              <w:t>−18%</w:t>
            </w:r>
          </w:p>
        </w:tc>
      </w:tr>
      <w:tr w:rsidR="00E0526E" w:rsidRPr="00842260" w14:paraId="6B3213C6" w14:textId="77777777" w:rsidTr="00030579">
        <w:tc>
          <w:tcPr>
            <w:tcW w:w="2041" w:type="pct"/>
            <w:tcBorders>
              <w:bottom w:val="nil"/>
            </w:tcBorders>
            <w:noWrap/>
            <w:hideMark/>
          </w:tcPr>
          <w:p w14:paraId="723A84E1" w14:textId="77777777" w:rsidR="00E0526E" w:rsidRPr="00842260" w:rsidRDefault="00E0526E" w:rsidP="00030579">
            <w:pPr>
              <w:pStyle w:val="TableText0"/>
            </w:pPr>
            <w:r w:rsidRPr="00842260">
              <w:t>Metastatic recurrence (endocrine-resistant)</w:t>
            </w:r>
          </w:p>
        </w:tc>
        <w:tc>
          <w:tcPr>
            <w:tcW w:w="740" w:type="pct"/>
            <w:tcBorders>
              <w:bottom w:val="nil"/>
            </w:tcBorders>
            <w:noWrap/>
            <w:hideMark/>
          </w:tcPr>
          <w:p w14:paraId="4A08ACEB" w14:textId="77777777" w:rsidR="00E0526E" w:rsidRPr="00842260" w:rsidRDefault="00E0526E" w:rsidP="00030579">
            <w:pPr>
              <w:pStyle w:val="TableText0"/>
              <w:jc w:val="right"/>
            </w:pPr>
          </w:p>
        </w:tc>
        <w:tc>
          <w:tcPr>
            <w:tcW w:w="740" w:type="pct"/>
            <w:tcBorders>
              <w:bottom w:val="nil"/>
            </w:tcBorders>
            <w:noWrap/>
            <w:hideMark/>
          </w:tcPr>
          <w:p w14:paraId="49DE839E" w14:textId="77777777" w:rsidR="00E0526E" w:rsidRPr="00842260" w:rsidRDefault="00E0526E" w:rsidP="00030579">
            <w:pPr>
              <w:pStyle w:val="TableText0"/>
              <w:jc w:val="right"/>
            </w:pPr>
          </w:p>
        </w:tc>
        <w:tc>
          <w:tcPr>
            <w:tcW w:w="740" w:type="pct"/>
            <w:tcBorders>
              <w:bottom w:val="nil"/>
            </w:tcBorders>
            <w:noWrap/>
            <w:hideMark/>
          </w:tcPr>
          <w:p w14:paraId="786C32D7" w14:textId="77777777" w:rsidR="00E0526E" w:rsidRPr="00842260" w:rsidRDefault="00E0526E" w:rsidP="00030579">
            <w:pPr>
              <w:pStyle w:val="TableText0"/>
              <w:jc w:val="right"/>
            </w:pPr>
          </w:p>
        </w:tc>
        <w:tc>
          <w:tcPr>
            <w:tcW w:w="739" w:type="pct"/>
            <w:tcBorders>
              <w:bottom w:val="nil"/>
            </w:tcBorders>
            <w:noWrap/>
            <w:hideMark/>
          </w:tcPr>
          <w:p w14:paraId="69E75844" w14:textId="77777777" w:rsidR="00E0526E" w:rsidRPr="00842260" w:rsidRDefault="00E0526E" w:rsidP="00030579">
            <w:pPr>
              <w:pStyle w:val="TableText0"/>
              <w:jc w:val="right"/>
            </w:pPr>
          </w:p>
        </w:tc>
      </w:tr>
      <w:tr w:rsidR="00E0526E" w:rsidRPr="00842260" w14:paraId="73EE2B8B" w14:textId="77777777" w:rsidTr="00030579">
        <w:tc>
          <w:tcPr>
            <w:tcW w:w="2041" w:type="pct"/>
            <w:tcBorders>
              <w:top w:val="nil"/>
              <w:bottom w:val="nil"/>
            </w:tcBorders>
            <w:noWrap/>
            <w:hideMark/>
          </w:tcPr>
          <w:p w14:paraId="7B2D826B" w14:textId="77777777" w:rsidR="00E0526E" w:rsidRPr="00842260" w:rsidRDefault="00E0526E" w:rsidP="00030579">
            <w:pPr>
              <w:pStyle w:val="TableText0"/>
            </w:pPr>
            <w:r w:rsidRPr="00842260">
              <w:t xml:space="preserve">   PFS</w:t>
            </w:r>
          </w:p>
        </w:tc>
        <w:tc>
          <w:tcPr>
            <w:tcW w:w="740" w:type="pct"/>
            <w:tcBorders>
              <w:top w:val="nil"/>
              <w:bottom w:val="nil"/>
            </w:tcBorders>
            <w:noWrap/>
            <w:hideMark/>
          </w:tcPr>
          <w:p w14:paraId="1BF14DDE" w14:textId="77777777" w:rsidR="00E0526E" w:rsidRPr="00842260" w:rsidRDefault="00E0526E" w:rsidP="00030579">
            <w:pPr>
              <w:pStyle w:val="TableText0"/>
              <w:jc w:val="right"/>
            </w:pPr>
            <w:r w:rsidRPr="00842260">
              <w:t>0.121</w:t>
            </w:r>
          </w:p>
        </w:tc>
        <w:tc>
          <w:tcPr>
            <w:tcW w:w="740" w:type="pct"/>
            <w:tcBorders>
              <w:top w:val="nil"/>
              <w:bottom w:val="nil"/>
            </w:tcBorders>
            <w:noWrap/>
            <w:hideMark/>
          </w:tcPr>
          <w:p w14:paraId="1344EF07" w14:textId="77777777" w:rsidR="00E0526E" w:rsidRPr="00842260" w:rsidRDefault="00E0526E" w:rsidP="00030579">
            <w:pPr>
              <w:pStyle w:val="TableText0"/>
              <w:jc w:val="right"/>
            </w:pPr>
            <w:r w:rsidRPr="00842260">
              <w:t>0.289</w:t>
            </w:r>
          </w:p>
        </w:tc>
        <w:tc>
          <w:tcPr>
            <w:tcW w:w="740" w:type="pct"/>
            <w:tcBorders>
              <w:top w:val="nil"/>
              <w:bottom w:val="nil"/>
            </w:tcBorders>
            <w:noWrap/>
            <w:hideMark/>
          </w:tcPr>
          <w:p w14:paraId="5692ADEB" w14:textId="77777777" w:rsidR="00E0526E" w:rsidRPr="00842260" w:rsidRDefault="00E0526E" w:rsidP="00030579">
            <w:pPr>
              <w:pStyle w:val="TableText0"/>
              <w:jc w:val="right"/>
            </w:pPr>
            <w:r w:rsidRPr="00842260">
              <w:t>−0.168</w:t>
            </w:r>
          </w:p>
        </w:tc>
        <w:tc>
          <w:tcPr>
            <w:tcW w:w="739" w:type="pct"/>
            <w:tcBorders>
              <w:top w:val="nil"/>
              <w:bottom w:val="nil"/>
            </w:tcBorders>
            <w:noWrap/>
            <w:hideMark/>
          </w:tcPr>
          <w:p w14:paraId="5426EA0F" w14:textId="77777777" w:rsidR="00E0526E" w:rsidRPr="00842260" w:rsidRDefault="00E0526E" w:rsidP="00030579">
            <w:pPr>
              <w:pStyle w:val="TableText0"/>
              <w:jc w:val="right"/>
            </w:pPr>
            <w:r w:rsidRPr="00842260">
              <w:t>−28%</w:t>
            </w:r>
          </w:p>
        </w:tc>
      </w:tr>
      <w:tr w:rsidR="00E0526E" w:rsidRPr="00842260" w14:paraId="51765F24" w14:textId="77777777" w:rsidTr="00030579">
        <w:tc>
          <w:tcPr>
            <w:tcW w:w="2041" w:type="pct"/>
            <w:tcBorders>
              <w:top w:val="nil"/>
              <w:bottom w:val="single" w:sz="4" w:space="0" w:color="auto"/>
            </w:tcBorders>
            <w:noWrap/>
            <w:hideMark/>
          </w:tcPr>
          <w:p w14:paraId="13097B7E" w14:textId="77777777" w:rsidR="00E0526E" w:rsidRPr="00842260" w:rsidRDefault="00E0526E" w:rsidP="00030579">
            <w:pPr>
              <w:pStyle w:val="TableText0"/>
            </w:pPr>
            <w:r w:rsidRPr="00842260">
              <w:t xml:space="preserve">   PPS</w:t>
            </w:r>
          </w:p>
        </w:tc>
        <w:tc>
          <w:tcPr>
            <w:tcW w:w="740" w:type="pct"/>
            <w:tcBorders>
              <w:top w:val="nil"/>
              <w:bottom w:val="single" w:sz="4" w:space="0" w:color="auto"/>
            </w:tcBorders>
            <w:noWrap/>
            <w:hideMark/>
          </w:tcPr>
          <w:p w14:paraId="6DD35E52" w14:textId="77777777" w:rsidR="00E0526E" w:rsidRPr="00842260" w:rsidRDefault="00E0526E" w:rsidP="00030579">
            <w:pPr>
              <w:pStyle w:val="TableText0"/>
              <w:jc w:val="right"/>
            </w:pPr>
            <w:r w:rsidRPr="00842260">
              <w:t>0.158</w:t>
            </w:r>
          </w:p>
        </w:tc>
        <w:tc>
          <w:tcPr>
            <w:tcW w:w="740" w:type="pct"/>
            <w:tcBorders>
              <w:top w:val="nil"/>
              <w:bottom w:val="single" w:sz="4" w:space="0" w:color="auto"/>
            </w:tcBorders>
            <w:noWrap/>
            <w:hideMark/>
          </w:tcPr>
          <w:p w14:paraId="60D66FEA" w14:textId="77777777" w:rsidR="00E0526E" w:rsidRPr="00842260" w:rsidRDefault="00E0526E" w:rsidP="00030579">
            <w:pPr>
              <w:pStyle w:val="TableText0"/>
              <w:jc w:val="right"/>
            </w:pPr>
            <w:r w:rsidRPr="00842260">
              <w:t>0.207</w:t>
            </w:r>
          </w:p>
        </w:tc>
        <w:tc>
          <w:tcPr>
            <w:tcW w:w="740" w:type="pct"/>
            <w:tcBorders>
              <w:top w:val="nil"/>
              <w:bottom w:val="single" w:sz="4" w:space="0" w:color="auto"/>
            </w:tcBorders>
            <w:noWrap/>
            <w:hideMark/>
          </w:tcPr>
          <w:p w14:paraId="1D90553A" w14:textId="77777777" w:rsidR="00E0526E" w:rsidRPr="00842260" w:rsidRDefault="00E0526E" w:rsidP="00030579">
            <w:pPr>
              <w:pStyle w:val="TableText0"/>
              <w:jc w:val="right"/>
            </w:pPr>
            <w:r w:rsidRPr="00842260">
              <w:t>−0.049</w:t>
            </w:r>
          </w:p>
        </w:tc>
        <w:tc>
          <w:tcPr>
            <w:tcW w:w="739" w:type="pct"/>
            <w:tcBorders>
              <w:top w:val="nil"/>
              <w:bottom w:val="single" w:sz="4" w:space="0" w:color="auto"/>
            </w:tcBorders>
            <w:noWrap/>
            <w:hideMark/>
          </w:tcPr>
          <w:p w14:paraId="45225727" w14:textId="77777777" w:rsidR="00E0526E" w:rsidRPr="00842260" w:rsidRDefault="00E0526E" w:rsidP="00030579">
            <w:pPr>
              <w:pStyle w:val="TableText0"/>
              <w:jc w:val="right"/>
            </w:pPr>
            <w:r w:rsidRPr="00842260">
              <w:t>−8%</w:t>
            </w:r>
          </w:p>
        </w:tc>
      </w:tr>
      <w:tr w:rsidR="00E0526E" w:rsidRPr="00842260" w14:paraId="3299D2D2" w14:textId="77777777" w:rsidTr="00030579">
        <w:tc>
          <w:tcPr>
            <w:tcW w:w="2041" w:type="pct"/>
            <w:tcBorders>
              <w:bottom w:val="nil"/>
            </w:tcBorders>
            <w:noWrap/>
            <w:hideMark/>
          </w:tcPr>
          <w:p w14:paraId="452CB81A" w14:textId="77777777" w:rsidR="00E0526E" w:rsidRPr="00842260" w:rsidRDefault="00E0526E" w:rsidP="00030579">
            <w:pPr>
              <w:pStyle w:val="TableText0"/>
            </w:pPr>
            <w:r w:rsidRPr="00842260">
              <w:t>Metastatic recurrence (endocrine-sensitive)</w:t>
            </w:r>
          </w:p>
        </w:tc>
        <w:tc>
          <w:tcPr>
            <w:tcW w:w="740" w:type="pct"/>
            <w:tcBorders>
              <w:bottom w:val="nil"/>
            </w:tcBorders>
            <w:noWrap/>
            <w:hideMark/>
          </w:tcPr>
          <w:p w14:paraId="5F9F96FC" w14:textId="77777777" w:rsidR="00E0526E" w:rsidRPr="00842260" w:rsidRDefault="00E0526E" w:rsidP="00030579">
            <w:pPr>
              <w:pStyle w:val="TableText0"/>
              <w:jc w:val="right"/>
            </w:pPr>
          </w:p>
        </w:tc>
        <w:tc>
          <w:tcPr>
            <w:tcW w:w="740" w:type="pct"/>
            <w:tcBorders>
              <w:bottom w:val="nil"/>
            </w:tcBorders>
            <w:noWrap/>
            <w:hideMark/>
          </w:tcPr>
          <w:p w14:paraId="08701DB6" w14:textId="77777777" w:rsidR="00E0526E" w:rsidRPr="00842260" w:rsidRDefault="00E0526E" w:rsidP="00030579">
            <w:pPr>
              <w:pStyle w:val="TableText0"/>
              <w:jc w:val="right"/>
            </w:pPr>
          </w:p>
        </w:tc>
        <w:tc>
          <w:tcPr>
            <w:tcW w:w="740" w:type="pct"/>
            <w:tcBorders>
              <w:bottom w:val="nil"/>
            </w:tcBorders>
            <w:noWrap/>
            <w:hideMark/>
          </w:tcPr>
          <w:p w14:paraId="503092A0" w14:textId="77777777" w:rsidR="00E0526E" w:rsidRPr="00842260" w:rsidRDefault="00E0526E" w:rsidP="00030579">
            <w:pPr>
              <w:pStyle w:val="TableText0"/>
              <w:jc w:val="right"/>
            </w:pPr>
          </w:p>
        </w:tc>
        <w:tc>
          <w:tcPr>
            <w:tcW w:w="739" w:type="pct"/>
            <w:tcBorders>
              <w:bottom w:val="nil"/>
            </w:tcBorders>
            <w:noWrap/>
            <w:hideMark/>
          </w:tcPr>
          <w:p w14:paraId="7275F736" w14:textId="77777777" w:rsidR="00E0526E" w:rsidRPr="00842260" w:rsidRDefault="00E0526E" w:rsidP="00030579">
            <w:pPr>
              <w:pStyle w:val="TableText0"/>
              <w:jc w:val="right"/>
            </w:pPr>
          </w:p>
        </w:tc>
      </w:tr>
      <w:tr w:rsidR="00E0526E" w:rsidRPr="00842260" w14:paraId="3FA381A9" w14:textId="77777777" w:rsidTr="00030579">
        <w:tc>
          <w:tcPr>
            <w:tcW w:w="2041" w:type="pct"/>
            <w:tcBorders>
              <w:top w:val="nil"/>
              <w:bottom w:val="nil"/>
            </w:tcBorders>
            <w:noWrap/>
            <w:hideMark/>
          </w:tcPr>
          <w:p w14:paraId="52399409" w14:textId="77777777" w:rsidR="00E0526E" w:rsidRPr="00842260" w:rsidRDefault="00E0526E" w:rsidP="00030579">
            <w:pPr>
              <w:pStyle w:val="TableText0"/>
            </w:pPr>
            <w:r w:rsidRPr="00842260">
              <w:t xml:space="preserve">   PFS1</w:t>
            </w:r>
          </w:p>
        </w:tc>
        <w:tc>
          <w:tcPr>
            <w:tcW w:w="740" w:type="pct"/>
            <w:tcBorders>
              <w:top w:val="nil"/>
              <w:bottom w:val="nil"/>
            </w:tcBorders>
            <w:noWrap/>
            <w:hideMark/>
          </w:tcPr>
          <w:p w14:paraId="05F0FDA2" w14:textId="77777777" w:rsidR="00E0526E" w:rsidRPr="00842260" w:rsidRDefault="00E0526E" w:rsidP="00030579">
            <w:pPr>
              <w:pStyle w:val="TableText0"/>
              <w:jc w:val="right"/>
            </w:pPr>
            <w:r w:rsidRPr="00842260">
              <w:t>0.313</w:t>
            </w:r>
          </w:p>
        </w:tc>
        <w:tc>
          <w:tcPr>
            <w:tcW w:w="740" w:type="pct"/>
            <w:tcBorders>
              <w:top w:val="nil"/>
              <w:bottom w:val="nil"/>
            </w:tcBorders>
            <w:noWrap/>
            <w:hideMark/>
          </w:tcPr>
          <w:p w14:paraId="093ED399" w14:textId="77777777" w:rsidR="00E0526E" w:rsidRPr="00842260" w:rsidRDefault="00E0526E" w:rsidP="00030579">
            <w:pPr>
              <w:pStyle w:val="TableText0"/>
              <w:jc w:val="right"/>
            </w:pPr>
            <w:r w:rsidRPr="00842260">
              <w:t>0.546</w:t>
            </w:r>
          </w:p>
        </w:tc>
        <w:tc>
          <w:tcPr>
            <w:tcW w:w="740" w:type="pct"/>
            <w:tcBorders>
              <w:top w:val="nil"/>
              <w:bottom w:val="nil"/>
            </w:tcBorders>
            <w:noWrap/>
            <w:hideMark/>
          </w:tcPr>
          <w:p w14:paraId="4A483A58" w14:textId="77777777" w:rsidR="00E0526E" w:rsidRPr="00842260" w:rsidRDefault="00E0526E" w:rsidP="00030579">
            <w:pPr>
              <w:pStyle w:val="TableText0"/>
              <w:jc w:val="right"/>
            </w:pPr>
            <w:r w:rsidRPr="00842260">
              <w:t>−0.233</w:t>
            </w:r>
          </w:p>
        </w:tc>
        <w:tc>
          <w:tcPr>
            <w:tcW w:w="739" w:type="pct"/>
            <w:tcBorders>
              <w:top w:val="nil"/>
              <w:bottom w:val="nil"/>
            </w:tcBorders>
            <w:noWrap/>
            <w:hideMark/>
          </w:tcPr>
          <w:p w14:paraId="4FF330C9" w14:textId="77777777" w:rsidR="00E0526E" w:rsidRPr="00842260" w:rsidRDefault="00E0526E" w:rsidP="00030579">
            <w:pPr>
              <w:pStyle w:val="TableText0"/>
              <w:jc w:val="right"/>
            </w:pPr>
            <w:r w:rsidRPr="00842260">
              <w:t>−39%</w:t>
            </w:r>
          </w:p>
        </w:tc>
      </w:tr>
      <w:tr w:rsidR="00E0526E" w:rsidRPr="00842260" w14:paraId="161B78DC" w14:textId="77777777" w:rsidTr="00030579">
        <w:tc>
          <w:tcPr>
            <w:tcW w:w="2041" w:type="pct"/>
            <w:tcBorders>
              <w:top w:val="nil"/>
              <w:bottom w:val="nil"/>
            </w:tcBorders>
            <w:noWrap/>
            <w:hideMark/>
          </w:tcPr>
          <w:p w14:paraId="7EB206C9" w14:textId="77777777" w:rsidR="00E0526E" w:rsidRPr="00842260" w:rsidRDefault="00E0526E" w:rsidP="00030579">
            <w:pPr>
              <w:pStyle w:val="TableText0"/>
            </w:pPr>
            <w:r w:rsidRPr="00842260">
              <w:t xml:space="preserve">   PFS2</w:t>
            </w:r>
          </w:p>
        </w:tc>
        <w:tc>
          <w:tcPr>
            <w:tcW w:w="740" w:type="pct"/>
            <w:tcBorders>
              <w:top w:val="nil"/>
              <w:bottom w:val="nil"/>
            </w:tcBorders>
            <w:noWrap/>
            <w:hideMark/>
          </w:tcPr>
          <w:p w14:paraId="0EBB376C" w14:textId="77777777" w:rsidR="00E0526E" w:rsidRPr="00842260" w:rsidRDefault="00E0526E" w:rsidP="00030579">
            <w:pPr>
              <w:pStyle w:val="TableText0"/>
              <w:jc w:val="right"/>
            </w:pPr>
            <w:r w:rsidRPr="00842260">
              <w:t>0.265</w:t>
            </w:r>
          </w:p>
        </w:tc>
        <w:tc>
          <w:tcPr>
            <w:tcW w:w="740" w:type="pct"/>
            <w:tcBorders>
              <w:top w:val="nil"/>
              <w:bottom w:val="nil"/>
            </w:tcBorders>
            <w:noWrap/>
            <w:hideMark/>
          </w:tcPr>
          <w:p w14:paraId="3F49DB03" w14:textId="77777777" w:rsidR="00E0526E" w:rsidRPr="00842260" w:rsidRDefault="00E0526E" w:rsidP="00030579">
            <w:pPr>
              <w:pStyle w:val="TableText0"/>
              <w:jc w:val="right"/>
            </w:pPr>
            <w:r w:rsidRPr="00842260">
              <w:t>0.170</w:t>
            </w:r>
          </w:p>
        </w:tc>
        <w:tc>
          <w:tcPr>
            <w:tcW w:w="740" w:type="pct"/>
            <w:tcBorders>
              <w:top w:val="nil"/>
              <w:bottom w:val="nil"/>
            </w:tcBorders>
            <w:noWrap/>
            <w:hideMark/>
          </w:tcPr>
          <w:p w14:paraId="0F63E573" w14:textId="77777777" w:rsidR="00E0526E" w:rsidRPr="00842260" w:rsidRDefault="00E0526E" w:rsidP="00030579">
            <w:pPr>
              <w:pStyle w:val="TableText0"/>
              <w:jc w:val="right"/>
            </w:pPr>
            <w:r w:rsidRPr="00842260">
              <w:t>0.096</w:t>
            </w:r>
          </w:p>
        </w:tc>
        <w:tc>
          <w:tcPr>
            <w:tcW w:w="739" w:type="pct"/>
            <w:tcBorders>
              <w:top w:val="nil"/>
              <w:bottom w:val="nil"/>
            </w:tcBorders>
            <w:noWrap/>
            <w:hideMark/>
          </w:tcPr>
          <w:p w14:paraId="06661AB6" w14:textId="77777777" w:rsidR="00E0526E" w:rsidRPr="00842260" w:rsidRDefault="00E0526E" w:rsidP="00030579">
            <w:pPr>
              <w:pStyle w:val="TableText0"/>
              <w:jc w:val="right"/>
            </w:pPr>
            <w:r w:rsidRPr="00842260">
              <w:t>16%</w:t>
            </w:r>
          </w:p>
        </w:tc>
      </w:tr>
      <w:tr w:rsidR="00E0526E" w:rsidRPr="00842260" w14:paraId="29834F52" w14:textId="77777777" w:rsidTr="00030579">
        <w:tc>
          <w:tcPr>
            <w:tcW w:w="2041" w:type="pct"/>
            <w:tcBorders>
              <w:top w:val="nil"/>
            </w:tcBorders>
            <w:noWrap/>
            <w:hideMark/>
          </w:tcPr>
          <w:p w14:paraId="36F84100" w14:textId="77777777" w:rsidR="00E0526E" w:rsidRPr="00842260" w:rsidRDefault="00E0526E" w:rsidP="00030579">
            <w:pPr>
              <w:pStyle w:val="TableText0"/>
            </w:pPr>
            <w:r w:rsidRPr="00842260">
              <w:t xml:space="preserve">   PPS</w:t>
            </w:r>
          </w:p>
        </w:tc>
        <w:tc>
          <w:tcPr>
            <w:tcW w:w="740" w:type="pct"/>
            <w:tcBorders>
              <w:top w:val="nil"/>
            </w:tcBorders>
            <w:noWrap/>
            <w:hideMark/>
          </w:tcPr>
          <w:p w14:paraId="6CE275DD" w14:textId="77777777" w:rsidR="00E0526E" w:rsidRPr="00842260" w:rsidRDefault="00E0526E" w:rsidP="00030579">
            <w:pPr>
              <w:pStyle w:val="TableText0"/>
              <w:jc w:val="right"/>
            </w:pPr>
            <w:r w:rsidRPr="00842260">
              <w:t>0.238</w:t>
            </w:r>
          </w:p>
        </w:tc>
        <w:tc>
          <w:tcPr>
            <w:tcW w:w="740" w:type="pct"/>
            <w:tcBorders>
              <w:top w:val="nil"/>
            </w:tcBorders>
            <w:noWrap/>
            <w:hideMark/>
          </w:tcPr>
          <w:p w14:paraId="46D08975" w14:textId="77777777" w:rsidR="00E0526E" w:rsidRPr="00842260" w:rsidRDefault="00E0526E" w:rsidP="00030579">
            <w:pPr>
              <w:pStyle w:val="TableText0"/>
              <w:jc w:val="right"/>
            </w:pPr>
            <w:r w:rsidRPr="00842260">
              <w:t>0.234</w:t>
            </w:r>
          </w:p>
        </w:tc>
        <w:tc>
          <w:tcPr>
            <w:tcW w:w="740" w:type="pct"/>
            <w:tcBorders>
              <w:top w:val="nil"/>
            </w:tcBorders>
            <w:noWrap/>
            <w:hideMark/>
          </w:tcPr>
          <w:p w14:paraId="4936362E" w14:textId="77777777" w:rsidR="00E0526E" w:rsidRPr="00842260" w:rsidRDefault="00E0526E" w:rsidP="00030579">
            <w:pPr>
              <w:pStyle w:val="TableText0"/>
              <w:jc w:val="right"/>
            </w:pPr>
            <w:r w:rsidRPr="00842260">
              <w:t>0.004</w:t>
            </w:r>
          </w:p>
        </w:tc>
        <w:tc>
          <w:tcPr>
            <w:tcW w:w="739" w:type="pct"/>
            <w:tcBorders>
              <w:top w:val="nil"/>
            </w:tcBorders>
            <w:noWrap/>
            <w:hideMark/>
          </w:tcPr>
          <w:p w14:paraId="3FC95309" w14:textId="77777777" w:rsidR="00E0526E" w:rsidRPr="00842260" w:rsidRDefault="00E0526E" w:rsidP="00030579">
            <w:pPr>
              <w:pStyle w:val="TableText0"/>
              <w:jc w:val="right"/>
            </w:pPr>
            <w:r w:rsidRPr="00842260">
              <w:t>1%</w:t>
            </w:r>
          </w:p>
        </w:tc>
      </w:tr>
      <w:tr w:rsidR="00E0526E" w:rsidRPr="00842260" w14:paraId="57C05E9C" w14:textId="77777777" w:rsidTr="00030579">
        <w:tc>
          <w:tcPr>
            <w:tcW w:w="2041" w:type="pct"/>
            <w:noWrap/>
            <w:hideMark/>
          </w:tcPr>
          <w:p w14:paraId="2D86C878" w14:textId="77777777" w:rsidR="00E0526E" w:rsidRPr="00842260" w:rsidRDefault="00E0526E" w:rsidP="00030579">
            <w:pPr>
              <w:pStyle w:val="TableText0"/>
            </w:pPr>
            <w:r w:rsidRPr="00842260">
              <w:t>Adverse events</w:t>
            </w:r>
          </w:p>
        </w:tc>
        <w:tc>
          <w:tcPr>
            <w:tcW w:w="740" w:type="pct"/>
            <w:noWrap/>
          </w:tcPr>
          <w:p w14:paraId="26C5689B" w14:textId="77777777" w:rsidR="00E0526E" w:rsidRPr="00842260" w:rsidRDefault="00E0526E" w:rsidP="00030579">
            <w:pPr>
              <w:pStyle w:val="TableText0"/>
              <w:jc w:val="right"/>
            </w:pPr>
            <w:r w:rsidRPr="00842260">
              <w:t>−0.001</w:t>
            </w:r>
          </w:p>
        </w:tc>
        <w:tc>
          <w:tcPr>
            <w:tcW w:w="740" w:type="pct"/>
            <w:noWrap/>
          </w:tcPr>
          <w:p w14:paraId="7E4AC0F2" w14:textId="77777777" w:rsidR="00E0526E" w:rsidRPr="00842260" w:rsidRDefault="00E0526E" w:rsidP="00030579">
            <w:pPr>
              <w:pStyle w:val="TableText0"/>
              <w:jc w:val="right"/>
            </w:pPr>
            <w:r w:rsidRPr="00842260">
              <w:t>−0.000</w:t>
            </w:r>
          </w:p>
        </w:tc>
        <w:tc>
          <w:tcPr>
            <w:tcW w:w="740" w:type="pct"/>
            <w:noWrap/>
          </w:tcPr>
          <w:p w14:paraId="14D8FE6D" w14:textId="77777777" w:rsidR="00E0526E" w:rsidRPr="00842260" w:rsidRDefault="00E0526E" w:rsidP="00030579">
            <w:pPr>
              <w:pStyle w:val="TableText0"/>
              <w:jc w:val="right"/>
            </w:pPr>
            <w:r w:rsidRPr="00842260">
              <w:t>−0.000</w:t>
            </w:r>
          </w:p>
        </w:tc>
        <w:tc>
          <w:tcPr>
            <w:tcW w:w="739" w:type="pct"/>
            <w:noWrap/>
          </w:tcPr>
          <w:p w14:paraId="63A54E79" w14:textId="77777777" w:rsidR="00E0526E" w:rsidRPr="00842260" w:rsidRDefault="00E0526E" w:rsidP="00030579">
            <w:pPr>
              <w:pStyle w:val="TableText0"/>
              <w:jc w:val="right"/>
            </w:pPr>
            <w:r w:rsidRPr="00842260">
              <w:t>−0%</w:t>
            </w:r>
          </w:p>
        </w:tc>
      </w:tr>
      <w:tr w:rsidR="00E0526E" w:rsidRPr="00842260" w14:paraId="45EEDF52" w14:textId="77777777" w:rsidTr="00030579">
        <w:tc>
          <w:tcPr>
            <w:tcW w:w="2041" w:type="pct"/>
            <w:noWrap/>
            <w:hideMark/>
          </w:tcPr>
          <w:p w14:paraId="09FA5AAC" w14:textId="77777777" w:rsidR="00E0526E" w:rsidRPr="00842260" w:rsidRDefault="00E0526E" w:rsidP="00030579">
            <w:pPr>
              <w:pStyle w:val="TableText0"/>
              <w:rPr>
                <w:b/>
              </w:rPr>
            </w:pPr>
            <w:r w:rsidRPr="00842260">
              <w:rPr>
                <w:b/>
              </w:rPr>
              <w:t>Total QALYs</w:t>
            </w:r>
          </w:p>
        </w:tc>
        <w:tc>
          <w:tcPr>
            <w:tcW w:w="740" w:type="pct"/>
            <w:noWrap/>
            <w:hideMark/>
          </w:tcPr>
          <w:p w14:paraId="64751D59" w14:textId="77777777" w:rsidR="00E0526E" w:rsidRPr="00842260" w:rsidRDefault="00E0526E" w:rsidP="00030579">
            <w:pPr>
              <w:pStyle w:val="TableText0"/>
              <w:jc w:val="right"/>
              <w:rPr>
                <w:b/>
              </w:rPr>
            </w:pPr>
            <w:r w:rsidRPr="00842260">
              <w:rPr>
                <w:b/>
              </w:rPr>
              <w:t>9.044</w:t>
            </w:r>
          </w:p>
        </w:tc>
        <w:tc>
          <w:tcPr>
            <w:tcW w:w="740" w:type="pct"/>
            <w:noWrap/>
            <w:hideMark/>
          </w:tcPr>
          <w:p w14:paraId="7BF3C741" w14:textId="77777777" w:rsidR="00E0526E" w:rsidRPr="00842260" w:rsidRDefault="00E0526E" w:rsidP="00030579">
            <w:pPr>
              <w:pStyle w:val="TableText0"/>
              <w:jc w:val="right"/>
              <w:rPr>
                <w:b/>
              </w:rPr>
            </w:pPr>
            <w:r w:rsidRPr="00842260">
              <w:rPr>
                <w:b/>
              </w:rPr>
              <w:t>8.446</w:t>
            </w:r>
          </w:p>
        </w:tc>
        <w:tc>
          <w:tcPr>
            <w:tcW w:w="740" w:type="pct"/>
            <w:noWrap/>
            <w:hideMark/>
          </w:tcPr>
          <w:p w14:paraId="52300658" w14:textId="77777777" w:rsidR="00E0526E" w:rsidRPr="00842260" w:rsidRDefault="00E0526E" w:rsidP="00030579">
            <w:pPr>
              <w:pStyle w:val="TableText0"/>
              <w:jc w:val="right"/>
              <w:rPr>
                <w:b/>
              </w:rPr>
            </w:pPr>
            <w:r w:rsidRPr="00842260">
              <w:rPr>
                <w:b/>
              </w:rPr>
              <w:t>0.598</w:t>
            </w:r>
          </w:p>
        </w:tc>
        <w:tc>
          <w:tcPr>
            <w:tcW w:w="739" w:type="pct"/>
            <w:noWrap/>
            <w:hideMark/>
          </w:tcPr>
          <w:p w14:paraId="17703005" w14:textId="77777777" w:rsidR="00E0526E" w:rsidRPr="00842260" w:rsidRDefault="00E0526E" w:rsidP="00030579">
            <w:pPr>
              <w:pStyle w:val="TableText0"/>
              <w:jc w:val="right"/>
              <w:rPr>
                <w:b/>
              </w:rPr>
            </w:pPr>
            <w:r w:rsidRPr="00842260">
              <w:rPr>
                <w:b/>
              </w:rPr>
              <w:t>100%</w:t>
            </w:r>
          </w:p>
        </w:tc>
      </w:tr>
    </w:tbl>
    <w:p w14:paraId="4690FF63" w14:textId="77777777" w:rsidR="00A2267C" w:rsidRPr="00842260" w:rsidRDefault="00A2267C" w:rsidP="00A2267C">
      <w:pPr>
        <w:pStyle w:val="TableFigureFooter"/>
      </w:pPr>
      <w:r w:rsidRPr="00842260">
        <w:t>Source: Table 3−58, p224 of the submission and the ‘A6.1_Abemaciclib Section 3 workbook.xlsm’ workbook.</w:t>
      </w:r>
    </w:p>
    <w:p w14:paraId="34921633" w14:textId="6B9FEFA2" w:rsidR="00A2267C" w:rsidRPr="00842260" w:rsidRDefault="00A2267C" w:rsidP="00A2267C">
      <w:pPr>
        <w:pStyle w:val="TableFigureFooter"/>
      </w:pPr>
      <w:r w:rsidRPr="00842260">
        <w:t xml:space="preserve">ABE = </w:t>
      </w:r>
      <w:proofErr w:type="spellStart"/>
      <w:r w:rsidRPr="00842260">
        <w:t>abemaciclib</w:t>
      </w:r>
      <w:proofErr w:type="spellEnd"/>
      <w:r w:rsidRPr="00842260">
        <w:t>; ET= endocrine therapy; IDFS = invasive disease-free survival; NMR = non-metastatic recurrence; PFS = progression-free survival; PPS = post-progression survival; QALY = quality-adjusted life year.</w:t>
      </w:r>
    </w:p>
    <w:p w14:paraId="5D513164" w14:textId="38B8A164" w:rsidR="00172AA1" w:rsidRPr="00842260" w:rsidRDefault="00A2267C" w:rsidP="00E0526E">
      <w:pPr>
        <w:pStyle w:val="TableFigureFooter"/>
      </w:pPr>
      <w:r w:rsidRPr="00842260">
        <w:t xml:space="preserve">Note: Analyses were revised during the evaluation to correct the per cycle probability of recurrence in the Remission health state, to apply the probability of death in IDFS to the proportion in IDFS rather than invasive disease events, and to apply only one hospitalisation cost per cycle in </w:t>
      </w:r>
      <w:proofErr w:type="spellStart"/>
      <w:r w:rsidRPr="00842260">
        <w:t>abemaciclib</w:t>
      </w:r>
      <w:proofErr w:type="spellEnd"/>
      <w:r w:rsidRPr="00842260">
        <w:t xml:space="preserve"> monitoring. The metastatic health state fixed pay-offs (costs and QALYs) were also revised to apply a discount rate of </w:t>
      </w:r>
      <w:proofErr w:type="gramStart"/>
      <w:r w:rsidR="007012DA" w:rsidRPr="007012DA">
        <w:rPr>
          <w:color w:val="000000"/>
          <w:spacing w:val="37"/>
          <w:shd w:val="solid" w:color="000000" w:fill="000000"/>
          <w:fitText w:val="270" w:id="-1500862464"/>
          <w14:textFill>
            <w14:solidFill>
              <w14:srgbClr w14:val="000000">
                <w14:alpha w14:val="100000"/>
              </w14:srgbClr>
            </w14:solidFill>
          </w14:textFill>
        </w:rPr>
        <w:t xml:space="preserve">|  </w:t>
      </w:r>
      <w:r w:rsidR="007012DA" w:rsidRPr="007012DA">
        <w:rPr>
          <w:color w:val="000000"/>
          <w:spacing w:val="1"/>
          <w:shd w:val="solid" w:color="000000" w:fill="000000"/>
          <w:fitText w:val="270" w:id="-1500862464"/>
          <w14:textFill>
            <w14:solidFill>
              <w14:srgbClr w14:val="000000">
                <w14:alpha w14:val="100000"/>
              </w14:srgbClr>
            </w14:solidFill>
          </w14:textFill>
        </w:rPr>
        <w:t>|</w:t>
      </w:r>
      <w:proofErr w:type="gramEnd"/>
      <w:r w:rsidRPr="00842260">
        <w:t>% × (28/365.25) per cycle, the endocrine-sensitive PPS QALYs and costs were revised based on PPS life years, rather than PFS1 life years, and to correct for calculation errors in the endocrine-resistant PPS and endocrine-sensitive PFS2 weighted treatment costs per cycle</w:t>
      </w:r>
      <w:r w:rsidR="00F102D0" w:rsidRPr="00842260">
        <w:t>.</w:t>
      </w:r>
    </w:p>
    <w:p w14:paraId="7D36E361" w14:textId="6B83AD6A" w:rsidR="00E0526E" w:rsidRPr="000B7847" w:rsidRDefault="00E0526E" w:rsidP="00E0526E">
      <w:pPr>
        <w:pStyle w:val="TableFigureHeading"/>
      </w:pPr>
      <w:bookmarkStart w:id="51" w:name="_Ref93270555"/>
      <w:r w:rsidRPr="000B7847">
        <w:lastRenderedPageBreak/>
        <w:t xml:space="preserve">Figure </w:t>
      </w:r>
      <w:fldSimple w:instr=" SEQ Figure \* ARABIC ">
        <w:r w:rsidR="00053218" w:rsidRPr="000B7847">
          <w:rPr>
            <w:noProof/>
          </w:rPr>
          <w:t>8</w:t>
        </w:r>
      </w:fldSimple>
      <w:bookmarkEnd w:id="51"/>
      <w:r w:rsidRPr="000B7847">
        <w:t>: Cumulative life years gained over the time horizon of the model (undiscounted)</w:t>
      </w:r>
    </w:p>
    <w:p w14:paraId="3DBE04C9" w14:textId="77777777" w:rsidR="00E0526E" w:rsidRPr="000B7847" w:rsidRDefault="00E0526E" w:rsidP="00B97C75">
      <w:pPr>
        <w:jc w:val="center"/>
      </w:pPr>
      <w:r w:rsidRPr="000B7847">
        <w:rPr>
          <w:noProof/>
        </w:rPr>
        <w:drawing>
          <wp:inline distT="0" distB="0" distL="0" distR="0" wp14:anchorId="51EF1B75" wp14:editId="3C73EC58">
            <wp:extent cx="5400000" cy="3140367"/>
            <wp:effectExtent l="0" t="0" r="0" b="3175"/>
            <wp:docPr id="49" name="Picture 49" descr="Figure 8: Cumulative life year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Figure 8: Cumulative life years gained over the time horizon of the model (undiscoun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140367"/>
                    </a:xfrm>
                    <a:prstGeom prst="rect">
                      <a:avLst/>
                    </a:prstGeom>
                    <a:noFill/>
                  </pic:spPr>
                </pic:pic>
              </a:graphicData>
            </a:graphic>
          </wp:inline>
        </w:drawing>
      </w:r>
    </w:p>
    <w:p w14:paraId="3DCA794C" w14:textId="77777777" w:rsidR="00E0526E" w:rsidRPr="000B7847" w:rsidRDefault="00E0526E" w:rsidP="00E0526E">
      <w:pPr>
        <w:pStyle w:val="TableFigureFooter"/>
      </w:pPr>
      <w:r w:rsidRPr="000B7847">
        <w:t>Source: Constructed during the evaluation from the ‘A6.1_Abemaciclib Section 3 workbook.xlsm’ workbook included in the submission.</w:t>
      </w:r>
    </w:p>
    <w:p w14:paraId="1B9C3021" w14:textId="4DB48E14" w:rsidR="00E0526E" w:rsidRPr="00842260" w:rsidRDefault="00E0526E" w:rsidP="00E0526E">
      <w:pPr>
        <w:pStyle w:val="TableFigureFooter"/>
      </w:pPr>
      <w:r w:rsidRPr="000B7847">
        <w:t xml:space="preserve">ABE = </w:t>
      </w:r>
      <w:proofErr w:type="spellStart"/>
      <w:r w:rsidRPr="000B7847">
        <w:t>abemaciclib</w:t>
      </w:r>
      <w:proofErr w:type="spellEnd"/>
      <w:r w:rsidRPr="000B7847">
        <w:t xml:space="preserve">; ET= endocrine therapy; IDFS = invasive </w:t>
      </w:r>
      <w:proofErr w:type="gramStart"/>
      <w:r w:rsidRPr="000B7847">
        <w:t>disease free</w:t>
      </w:r>
      <w:proofErr w:type="gramEnd"/>
      <w:r w:rsidRPr="000B7847">
        <w:t xml:space="preserve"> survival; KM = Kaplan-Meier.</w:t>
      </w:r>
    </w:p>
    <w:p w14:paraId="7DE7DC4F" w14:textId="2C43E2E6" w:rsidR="009E4E97" w:rsidRPr="00842260" w:rsidRDefault="009E4E97" w:rsidP="009E4E97">
      <w:pPr>
        <w:pStyle w:val="3-BodyText"/>
      </w:pPr>
      <w:r w:rsidRPr="00842260">
        <w:rPr>
          <w:iCs/>
        </w:rPr>
        <w:t xml:space="preserve">The number of recurrence events and resulting number of recurrences avoided by </w:t>
      </w:r>
      <w:proofErr w:type="spellStart"/>
      <w:r w:rsidRPr="00842260">
        <w:rPr>
          <w:iCs/>
        </w:rPr>
        <w:t>abemaciclib</w:t>
      </w:r>
      <w:proofErr w:type="spellEnd"/>
      <w:r w:rsidRPr="00842260">
        <w:rPr>
          <w:iCs/>
        </w:rPr>
        <w:t xml:space="preserve"> treatment in combination with ET compared with ET alone</w:t>
      </w:r>
      <w:r w:rsidR="00D86512" w:rsidRPr="00842260">
        <w:rPr>
          <w:iCs/>
        </w:rPr>
        <w:t xml:space="preserve"> for the trial duration and the </w:t>
      </w:r>
      <w:r w:rsidR="003B035B" w:rsidRPr="00842260">
        <w:rPr>
          <w:iCs/>
        </w:rPr>
        <w:t>submission</w:t>
      </w:r>
      <w:r w:rsidR="00D86512" w:rsidRPr="00842260">
        <w:rPr>
          <w:iCs/>
        </w:rPr>
        <w:t xml:space="preserve">’s time horizon of the economic evaluation are presented in </w:t>
      </w:r>
      <w:r w:rsidR="003E1126" w:rsidRPr="00842260">
        <w:rPr>
          <w:iCs/>
        </w:rPr>
        <w:t xml:space="preserve">Table 12 </w:t>
      </w:r>
      <w:r w:rsidR="00D86512" w:rsidRPr="00842260">
        <w:rPr>
          <w:iCs/>
        </w:rPr>
        <w:t xml:space="preserve">(undiscounted). The revised base case ICER largely relies on avoiding metastatic recurrence in 8% of patients over a 40-year time horizon. Over the 40-year time horizon the model estimated that each patient treated with </w:t>
      </w:r>
      <w:proofErr w:type="spellStart"/>
      <w:r w:rsidR="00D86512" w:rsidRPr="00842260">
        <w:rPr>
          <w:iCs/>
        </w:rPr>
        <w:t>abemaciclib</w:t>
      </w:r>
      <w:proofErr w:type="spellEnd"/>
      <w:r w:rsidR="00D86512" w:rsidRPr="00842260">
        <w:rPr>
          <w:iCs/>
        </w:rPr>
        <w:t xml:space="preserve"> gained 2.087 life years (208.7 per 100 patients, undiscounted). Thus, there were 38.0 (208.7/5.5) life years gained per recurrence avoided or 25.8 (208.7/8.1) life years gained per metastatic recurrence avoided.</w:t>
      </w:r>
      <w:r w:rsidR="002A5FF9" w:rsidRPr="00842260">
        <w:rPr>
          <w:iCs/>
        </w:rPr>
        <w:t xml:space="preserve"> The ESC considered these estimates to be implausibly high.</w:t>
      </w:r>
    </w:p>
    <w:p w14:paraId="4104F247" w14:textId="0E42C331" w:rsidR="009E4E97" w:rsidRPr="00842260" w:rsidRDefault="008B731C" w:rsidP="00791C44">
      <w:pPr>
        <w:pStyle w:val="TableFigureHeading"/>
        <w:rPr>
          <w:iCs/>
        </w:rPr>
      </w:pPr>
      <w:bookmarkStart w:id="52" w:name="_Ref95469507"/>
      <w:bookmarkStart w:id="53" w:name="_Hlk95468300"/>
      <w:r w:rsidRPr="00842260">
        <w:lastRenderedPageBreak/>
        <w:t xml:space="preserve">Table </w:t>
      </w:r>
      <w:fldSimple w:instr=" SEQ Table \* ARABIC ">
        <w:r w:rsidR="00053218">
          <w:rPr>
            <w:noProof/>
          </w:rPr>
          <w:t>12</w:t>
        </w:r>
      </w:fldSimple>
      <w:bookmarkEnd w:id="52"/>
      <w:r w:rsidR="009E4E97" w:rsidRPr="00842260">
        <w:rPr>
          <w:rStyle w:val="CommentReference"/>
          <w:b/>
          <w:iCs/>
          <w:szCs w:val="24"/>
        </w:rPr>
        <w:t xml:space="preserve">: </w:t>
      </w:r>
      <w:r w:rsidR="009E4E97" w:rsidRPr="00842260">
        <w:rPr>
          <w:iCs/>
        </w:rPr>
        <w:t>Recurrence events (undiscounted), commentary revised base case</w:t>
      </w:r>
    </w:p>
    <w:tbl>
      <w:tblPr>
        <w:tblStyle w:val="TableGrid"/>
        <w:tblW w:w="0" w:type="auto"/>
        <w:tblLook w:val="04A0" w:firstRow="1" w:lastRow="0" w:firstColumn="1" w:lastColumn="0" w:noHBand="0" w:noVBand="1"/>
      </w:tblPr>
      <w:tblGrid>
        <w:gridCol w:w="4390"/>
        <w:gridCol w:w="1346"/>
        <w:gridCol w:w="1347"/>
        <w:gridCol w:w="1933"/>
      </w:tblGrid>
      <w:tr w:rsidR="009E4E97" w:rsidRPr="00842260" w14:paraId="2CD3BB6C" w14:textId="77777777" w:rsidTr="004D07FD">
        <w:tc>
          <w:tcPr>
            <w:tcW w:w="4390" w:type="dxa"/>
            <w:vAlign w:val="center"/>
          </w:tcPr>
          <w:p w14:paraId="75CF74BE" w14:textId="77777777" w:rsidR="009E4E97" w:rsidRPr="00842260" w:rsidRDefault="009E4E97" w:rsidP="00791C44">
            <w:pPr>
              <w:pStyle w:val="TableText0"/>
              <w:rPr>
                <w:b/>
                <w:iCs/>
              </w:rPr>
            </w:pPr>
            <w:r w:rsidRPr="00842260">
              <w:rPr>
                <w:b/>
                <w:iCs/>
              </w:rPr>
              <w:t>Recurrence event</w:t>
            </w:r>
          </w:p>
        </w:tc>
        <w:tc>
          <w:tcPr>
            <w:tcW w:w="1346" w:type="dxa"/>
            <w:vAlign w:val="center"/>
          </w:tcPr>
          <w:p w14:paraId="32BE8CE4" w14:textId="77777777" w:rsidR="009E4E97" w:rsidRPr="00842260" w:rsidRDefault="009E4E97" w:rsidP="00791C44">
            <w:pPr>
              <w:pStyle w:val="TableText0"/>
              <w:jc w:val="center"/>
              <w:rPr>
                <w:b/>
                <w:iCs/>
              </w:rPr>
            </w:pPr>
            <w:r w:rsidRPr="00842260">
              <w:rPr>
                <w:b/>
                <w:iCs/>
              </w:rPr>
              <w:t>ABE + ET</w:t>
            </w:r>
          </w:p>
        </w:tc>
        <w:tc>
          <w:tcPr>
            <w:tcW w:w="1347" w:type="dxa"/>
            <w:vAlign w:val="center"/>
          </w:tcPr>
          <w:p w14:paraId="532FE802" w14:textId="77777777" w:rsidR="009E4E97" w:rsidRPr="00842260" w:rsidRDefault="009E4E97" w:rsidP="00791C44">
            <w:pPr>
              <w:pStyle w:val="TableText0"/>
              <w:jc w:val="center"/>
              <w:rPr>
                <w:b/>
                <w:iCs/>
              </w:rPr>
            </w:pPr>
            <w:r w:rsidRPr="00842260">
              <w:rPr>
                <w:b/>
                <w:iCs/>
              </w:rPr>
              <w:t>ET</w:t>
            </w:r>
          </w:p>
        </w:tc>
        <w:tc>
          <w:tcPr>
            <w:tcW w:w="1933" w:type="dxa"/>
            <w:vAlign w:val="center"/>
          </w:tcPr>
          <w:p w14:paraId="6FE4851E" w14:textId="77777777" w:rsidR="009E4E97" w:rsidRPr="00842260" w:rsidRDefault="009E4E97" w:rsidP="00791C44">
            <w:pPr>
              <w:pStyle w:val="TableText0"/>
              <w:jc w:val="center"/>
              <w:rPr>
                <w:b/>
                <w:iCs/>
              </w:rPr>
            </w:pPr>
            <w:r w:rsidRPr="00842260">
              <w:rPr>
                <w:b/>
                <w:iCs/>
              </w:rPr>
              <w:t>Incremental outcome (per 100 patients)</w:t>
            </w:r>
          </w:p>
        </w:tc>
      </w:tr>
      <w:tr w:rsidR="009E4E97" w:rsidRPr="00842260" w14:paraId="6E536A44" w14:textId="77777777" w:rsidTr="004D07FD">
        <w:tc>
          <w:tcPr>
            <w:tcW w:w="4390" w:type="dxa"/>
            <w:tcBorders>
              <w:bottom w:val="single" w:sz="4" w:space="0" w:color="auto"/>
            </w:tcBorders>
            <w:vAlign w:val="center"/>
          </w:tcPr>
          <w:p w14:paraId="51C9EAE3" w14:textId="77777777" w:rsidR="009E4E97" w:rsidRPr="00842260" w:rsidRDefault="009E4E97" w:rsidP="00791C44">
            <w:pPr>
              <w:pStyle w:val="TableText0"/>
              <w:rPr>
                <w:iCs/>
              </w:rPr>
            </w:pPr>
            <w:r w:rsidRPr="00842260">
              <w:rPr>
                <w:iCs/>
              </w:rPr>
              <w:t>LYG</w:t>
            </w:r>
          </w:p>
        </w:tc>
        <w:tc>
          <w:tcPr>
            <w:tcW w:w="1346" w:type="dxa"/>
            <w:tcBorders>
              <w:bottom w:val="single" w:sz="4" w:space="0" w:color="auto"/>
            </w:tcBorders>
            <w:vAlign w:val="center"/>
          </w:tcPr>
          <w:p w14:paraId="4A44D956" w14:textId="77777777" w:rsidR="009E4E97" w:rsidRPr="00842260" w:rsidRDefault="009E4E97" w:rsidP="00791C44">
            <w:pPr>
              <w:pStyle w:val="TableText0"/>
              <w:jc w:val="center"/>
              <w:rPr>
                <w:iCs/>
              </w:rPr>
            </w:pPr>
            <w:r w:rsidRPr="00842260">
              <w:rPr>
                <w:iCs/>
              </w:rPr>
              <w:t>19.933</w:t>
            </w:r>
          </w:p>
        </w:tc>
        <w:tc>
          <w:tcPr>
            <w:tcW w:w="1347" w:type="dxa"/>
            <w:tcBorders>
              <w:bottom w:val="single" w:sz="4" w:space="0" w:color="auto"/>
            </w:tcBorders>
            <w:vAlign w:val="center"/>
          </w:tcPr>
          <w:p w14:paraId="4E528E09" w14:textId="77777777" w:rsidR="009E4E97" w:rsidRPr="00842260" w:rsidRDefault="009E4E97" w:rsidP="00791C44">
            <w:pPr>
              <w:pStyle w:val="TableText0"/>
              <w:jc w:val="center"/>
              <w:rPr>
                <w:iCs/>
              </w:rPr>
            </w:pPr>
            <w:r w:rsidRPr="00842260">
              <w:rPr>
                <w:iCs/>
              </w:rPr>
              <w:t>17.846</w:t>
            </w:r>
          </w:p>
        </w:tc>
        <w:tc>
          <w:tcPr>
            <w:tcW w:w="1933" w:type="dxa"/>
            <w:tcBorders>
              <w:bottom w:val="single" w:sz="4" w:space="0" w:color="auto"/>
            </w:tcBorders>
            <w:vAlign w:val="center"/>
          </w:tcPr>
          <w:p w14:paraId="501FC849" w14:textId="77777777" w:rsidR="009E4E97" w:rsidRPr="00842260" w:rsidRDefault="009E4E97" w:rsidP="00791C44">
            <w:pPr>
              <w:pStyle w:val="TableText0"/>
              <w:jc w:val="center"/>
              <w:rPr>
                <w:iCs/>
              </w:rPr>
            </w:pPr>
            <w:r w:rsidRPr="00842260">
              <w:rPr>
                <w:iCs/>
              </w:rPr>
              <w:t>2.087 (208.7 per 100 patients)</w:t>
            </w:r>
          </w:p>
        </w:tc>
      </w:tr>
      <w:tr w:rsidR="009E4E97" w:rsidRPr="00842260" w14:paraId="5A94CAAF" w14:textId="77777777" w:rsidTr="004D07FD">
        <w:tc>
          <w:tcPr>
            <w:tcW w:w="4390" w:type="dxa"/>
            <w:tcBorders>
              <w:right w:val="nil"/>
            </w:tcBorders>
          </w:tcPr>
          <w:p w14:paraId="11209310" w14:textId="77777777" w:rsidR="009E4E97" w:rsidRPr="00842260" w:rsidRDefault="009E4E97" w:rsidP="00791C44">
            <w:pPr>
              <w:pStyle w:val="TableText0"/>
              <w:rPr>
                <w:b/>
                <w:iCs/>
              </w:rPr>
            </w:pPr>
            <w:proofErr w:type="spellStart"/>
            <w:r w:rsidRPr="00842260">
              <w:rPr>
                <w:b/>
                <w:iCs/>
              </w:rPr>
              <w:t>monarchE</w:t>
            </w:r>
            <w:proofErr w:type="spellEnd"/>
            <w:r w:rsidRPr="00842260">
              <w:rPr>
                <w:b/>
                <w:iCs/>
              </w:rPr>
              <w:t>, April 2021 data cut</w:t>
            </w:r>
          </w:p>
        </w:tc>
        <w:tc>
          <w:tcPr>
            <w:tcW w:w="1346" w:type="dxa"/>
            <w:tcBorders>
              <w:left w:val="nil"/>
              <w:right w:val="nil"/>
            </w:tcBorders>
          </w:tcPr>
          <w:p w14:paraId="29B69711" w14:textId="77777777" w:rsidR="009E4E97" w:rsidRPr="00842260" w:rsidRDefault="009E4E97" w:rsidP="00791C44">
            <w:pPr>
              <w:pStyle w:val="TableText0"/>
              <w:jc w:val="center"/>
              <w:rPr>
                <w:b/>
                <w:iCs/>
              </w:rPr>
            </w:pPr>
          </w:p>
        </w:tc>
        <w:tc>
          <w:tcPr>
            <w:tcW w:w="1347" w:type="dxa"/>
            <w:tcBorders>
              <w:left w:val="nil"/>
              <w:right w:val="nil"/>
            </w:tcBorders>
          </w:tcPr>
          <w:p w14:paraId="5CCE413D" w14:textId="77777777" w:rsidR="009E4E97" w:rsidRPr="00842260" w:rsidRDefault="009E4E97" w:rsidP="00791C44">
            <w:pPr>
              <w:pStyle w:val="TableText0"/>
              <w:jc w:val="center"/>
              <w:rPr>
                <w:b/>
                <w:iCs/>
              </w:rPr>
            </w:pPr>
          </w:p>
        </w:tc>
        <w:tc>
          <w:tcPr>
            <w:tcW w:w="1933" w:type="dxa"/>
            <w:tcBorders>
              <w:left w:val="nil"/>
            </w:tcBorders>
          </w:tcPr>
          <w:p w14:paraId="6FA9A7BC" w14:textId="77777777" w:rsidR="009E4E97" w:rsidRPr="00842260" w:rsidRDefault="009E4E97" w:rsidP="00791C44">
            <w:pPr>
              <w:pStyle w:val="TableText0"/>
              <w:jc w:val="center"/>
              <w:rPr>
                <w:b/>
                <w:iCs/>
              </w:rPr>
            </w:pPr>
          </w:p>
        </w:tc>
      </w:tr>
      <w:tr w:rsidR="009E4E97" w:rsidRPr="00842260" w14:paraId="241DA560" w14:textId="77777777" w:rsidTr="004D07FD">
        <w:tc>
          <w:tcPr>
            <w:tcW w:w="4390" w:type="dxa"/>
          </w:tcPr>
          <w:p w14:paraId="1930914A" w14:textId="77777777" w:rsidR="009E4E97" w:rsidRPr="00842260" w:rsidRDefault="009E4E97" w:rsidP="00791C44">
            <w:pPr>
              <w:pStyle w:val="TableText0"/>
              <w:rPr>
                <w:iCs/>
              </w:rPr>
            </w:pPr>
            <w:r w:rsidRPr="00842260">
              <w:rPr>
                <w:iCs/>
              </w:rPr>
              <w:t>Non-metastatic recurrence</w:t>
            </w:r>
          </w:p>
        </w:tc>
        <w:tc>
          <w:tcPr>
            <w:tcW w:w="1346" w:type="dxa"/>
          </w:tcPr>
          <w:p w14:paraId="77428511" w14:textId="77777777" w:rsidR="009E4E97" w:rsidRPr="00842260" w:rsidRDefault="009E4E97" w:rsidP="00791C44">
            <w:pPr>
              <w:pStyle w:val="TableText0"/>
              <w:jc w:val="center"/>
              <w:rPr>
                <w:iCs/>
              </w:rPr>
            </w:pPr>
            <w:r w:rsidRPr="00842260">
              <w:rPr>
                <w:iCs/>
              </w:rPr>
              <w:t>2.1%</w:t>
            </w:r>
          </w:p>
        </w:tc>
        <w:tc>
          <w:tcPr>
            <w:tcW w:w="1347" w:type="dxa"/>
          </w:tcPr>
          <w:p w14:paraId="4DF7DE6D" w14:textId="77777777" w:rsidR="009E4E97" w:rsidRPr="00842260" w:rsidRDefault="009E4E97" w:rsidP="00791C44">
            <w:pPr>
              <w:pStyle w:val="TableText0"/>
              <w:jc w:val="center"/>
              <w:rPr>
                <w:iCs/>
              </w:rPr>
            </w:pPr>
            <w:r w:rsidRPr="00842260">
              <w:rPr>
                <w:iCs/>
              </w:rPr>
              <w:t>2.8%</w:t>
            </w:r>
          </w:p>
        </w:tc>
        <w:tc>
          <w:tcPr>
            <w:tcW w:w="1933" w:type="dxa"/>
          </w:tcPr>
          <w:p w14:paraId="391CE22D" w14:textId="77777777" w:rsidR="009E4E97" w:rsidRPr="00842260" w:rsidRDefault="009E4E97" w:rsidP="00791C44">
            <w:pPr>
              <w:pStyle w:val="TableText0"/>
              <w:jc w:val="center"/>
              <w:rPr>
                <w:iCs/>
              </w:rPr>
            </w:pPr>
            <w:r w:rsidRPr="00842260">
              <w:rPr>
                <w:iCs/>
              </w:rPr>
              <w:t>−0.7</w:t>
            </w:r>
          </w:p>
        </w:tc>
      </w:tr>
      <w:tr w:rsidR="009E4E97" w:rsidRPr="00842260" w14:paraId="0C067A72" w14:textId="77777777" w:rsidTr="004D07FD">
        <w:tc>
          <w:tcPr>
            <w:tcW w:w="4390" w:type="dxa"/>
          </w:tcPr>
          <w:p w14:paraId="205E233A" w14:textId="77777777" w:rsidR="009E4E97" w:rsidRPr="00842260" w:rsidRDefault="009E4E97" w:rsidP="00791C44">
            <w:pPr>
              <w:pStyle w:val="TableText0"/>
              <w:rPr>
                <w:iCs/>
              </w:rPr>
            </w:pPr>
            <w:r w:rsidRPr="00842260">
              <w:rPr>
                <w:iCs/>
              </w:rPr>
              <w:t>Metastatic recurrence</w:t>
            </w:r>
          </w:p>
        </w:tc>
        <w:tc>
          <w:tcPr>
            <w:tcW w:w="1346" w:type="dxa"/>
          </w:tcPr>
          <w:p w14:paraId="567A2942" w14:textId="77777777" w:rsidR="009E4E97" w:rsidRPr="00842260" w:rsidRDefault="009E4E97" w:rsidP="00791C44">
            <w:pPr>
              <w:pStyle w:val="TableText0"/>
              <w:jc w:val="center"/>
              <w:rPr>
                <w:iCs/>
              </w:rPr>
            </w:pPr>
            <w:r w:rsidRPr="00842260">
              <w:rPr>
                <w:iCs/>
              </w:rPr>
              <w:t>5.6%</w:t>
            </w:r>
          </w:p>
        </w:tc>
        <w:tc>
          <w:tcPr>
            <w:tcW w:w="1347" w:type="dxa"/>
          </w:tcPr>
          <w:p w14:paraId="278DA3DE" w14:textId="77777777" w:rsidR="009E4E97" w:rsidRPr="00842260" w:rsidRDefault="009E4E97" w:rsidP="00791C44">
            <w:pPr>
              <w:pStyle w:val="TableText0"/>
              <w:jc w:val="center"/>
              <w:rPr>
                <w:iCs/>
              </w:rPr>
            </w:pPr>
            <w:r w:rsidRPr="00842260">
              <w:rPr>
                <w:iCs/>
              </w:rPr>
              <w:t>8.7%</w:t>
            </w:r>
          </w:p>
        </w:tc>
        <w:tc>
          <w:tcPr>
            <w:tcW w:w="1933" w:type="dxa"/>
          </w:tcPr>
          <w:p w14:paraId="7FD43BC9" w14:textId="77777777" w:rsidR="009E4E97" w:rsidRPr="00842260" w:rsidRDefault="009E4E97" w:rsidP="00791C44">
            <w:pPr>
              <w:pStyle w:val="TableText0"/>
              <w:jc w:val="center"/>
              <w:rPr>
                <w:iCs/>
              </w:rPr>
            </w:pPr>
            <w:r w:rsidRPr="00842260">
              <w:rPr>
                <w:iCs/>
              </w:rPr>
              <w:t>−3.1</w:t>
            </w:r>
          </w:p>
        </w:tc>
      </w:tr>
      <w:tr w:rsidR="009E4E97" w:rsidRPr="00842260" w14:paraId="2D5627A0" w14:textId="77777777" w:rsidTr="004D07FD">
        <w:tc>
          <w:tcPr>
            <w:tcW w:w="4390" w:type="dxa"/>
          </w:tcPr>
          <w:p w14:paraId="6F941498" w14:textId="77777777" w:rsidR="009E4E97" w:rsidRPr="00842260" w:rsidRDefault="009E4E97" w:rsidP="00791C44">
            <w:pPr>
              <w:pStyle w:val="TableText0"/>
              <w:rPr>
                <w:iCs/>
              </w:rPr>
            </w:pPr>
            <w:r w:rsidRPr="00842260">
              <w:rPr>
                <w:iCs/>
              </w:rPr>
              <w:t>Any recurrence</w:t>
            </w:r>
          </w:p>
        </w:tc>
        <w:tc>
          <w:tcPr>
            <w:tcW w:w="1346" w:type="dxa"/>
          </w:tcPr>
          <w:p w14:paraId="1EE6F95E" w14:textId="77777777" w:rsidR="009E4E97" w:rsidRPr="00842260" w:rsidRDefault="009E4E97" w:rsidP="00791C44">
            <w:pPr>
              <w:pStyle w:val="TableText0"/>
              <w:jc w:val="center"/>
              <w:rPr>
                <w:b/>
                <w:iCs/>
              </w:rPr>
            </w:pPr>
            <w:r w:rsidRPr="00842260">
              <w:rPr>
                <w:iCs/>
              </w:rPr>
              <w:t>7.7%</w:t>
            </w:r>
          </w:p>
        </w:tc>
        <w:tc>
          <w:tcPr>
            <w:tcW w:w="1347" w:type="dxa"/>
          </w:tcPr>
          <w:p w14:paraId="1DF93F3A" w14:textId="77777777" w:rsidR="009E4E97" w:rsidRPr="00842260" w:rsidRDefault="009E4E97" w:rsidP="00791C44">
            <w:pPr>
              <w:pStyle w:val="TableText0"/>
              <w:jc w:val="center"/>
              <w:rPr>
                <w:b/>
                <w:iCs/>
              </w:rPr>
            </w:pPr>
            <w:r w:rsidRPr="00842260">
              <w:rPr>
                <w:iCs/>
              </w:rPr>
              <w:t>11.4%</w:t>
            </w:r>
          </w:p>
        </w:tc>
        <w:tc>
          <w:tcPr>
            <w:tcW w:w="1933" w:type="dxa"/>
          </w:tcPr>
          <w:p w14:paraId="7DFB50C2" w14:textId="77777777" w:rsidR="009E4E97" w:rsidRPr="00842260" w:rsidRDefault="009E4E97" w:rsidP="00791C44">
            <w:pPr>
              <w:pStyle w:val="TableText0"/>
              <w:jc w:val="center"/>
              <w:rPr>
                <w:b/>
                <w:iCs/>
              </w:rPr>
            </w:pPr>
            <w:r w:rsidRPr="00842260">
              <w:rPr>
                <w:iCs/>
              </w:rPr>
              <w:t>−3.7</w:t>
            </w:r>
          </w:p>
        </w:tc>
      </w:tr>
      <w:tr w:rsidR="009E4E97" w:rsidRPr="00842260" w14:paraId="08D3EF4A" w14:textId="77777777" w:rsidTr="004D07FD">
        <w:tc>
          <w:tcPr>
            <w:tcW w:w="4390" w:type="dxa"/>
            <w:tcBorders>
              <w:right w:val="nil"/>
            </w:tcBorders>
          </w:tcPr>
          <w:p w14:paraId="5D3AF66C" w14:textId="77777777" w:rsidR="009E4E97" w:rsidRPr="00842260" w:rsidRDefault="009E4E97" w:rsidP="00791C44">
            <w:pPr>
              <w:pStyle w:val="TableText0"/>
              <w:rPr>
                <w:b/>
                <w:iCs/>
              </w:rPr>
            </w:pPr>
            <w:r w:rsidRPr="00842260">
              <w:rPr>
                <w:b/>
                <w:iCs/>
              </w:rPr>
              <w:t>Model time horizon (40 years)</w:t>
            </w:r>
          </w:p>
        </w:tc>
        <w:tc>
          <w:tcPr>
            <w:tcW w:w="1346" w:type="dxa"/>
            <w:tcBorders>
              <w:left w:val="nil"/>
              <w:right w:val="nil"/>
            </w:tcBorders>
          </w:tcPr>
          <w:p w14:paraId="3A0C6A25" w14:textId="77777777" w:rsidR="009E4E97" w:rsidRPr="00842260" w:rsidRDefault="009E4E97" w:rsidP="00791C44">
            <w:pPr>
              <w:pStyle w:val="TableText0"/>
              <w:jc w:val="center"/>
              <w:rPr>
                <w:b/>
                <w:iCs/>
              </w:rPr>
            </w:pPr>
          </w:p>
        </w:tc>
        <w:tc>
          <w:tcPr>
            <w:tcW w:w="1347" w:type="dxa"/>
            <w:tcBorders>
              <w:left w:val="nil"/>
              <w:right w:val="nil"/>
            </w:tcBorders>
          </w:tcPr>
          <w:p w14:paraId="0950F047" w14:textId="77777777" w:rsidR="009E4E97" w:rsidRPr="00842260" w:rsidRDefault="009E4E97" w:rsidP="00791C44">
            <w:pPr>
              <w:pStyle w:val="TableText0"/>
              <w:jc w:val="center"/>
              <w:rPr>
                <w:b/>
                <w:iCs/>
              </w:rPr>
            </w:pPr>
          </w:p>
        </w:tc>
        <w:tc>
          <w:tcPr>
            <w:tcW w:w="1933" w:type="dxa"/>
            <w:tcBorders>
              <w:left w:val="nil"/>
            </w:tcBorders>
          </w:tcPr>
          <w:p w14:paraId="011E7750" w14:textId="77777777" w:rsidR="009E4E97" w:rsidRPr="00842260" w:rsidRDefault="009E4E97" w:rsidP="00791C44">
            <w:pPr>
              <w:pStyle w:val="TableText0"/>
              <w:jc w:val="center"/>
              <w:rPr>
                <w:b/>
                <w:iCs/>
              </w:rPr>
            </w:pPr>
          </w:p>
        </w:tc>
      </w:tr>
      <w:tr w:rsidR="009E4E97" w:rsidRPr="00842260" w14:paraId="61B0B927" w14:textId="77777777" w:rsidTr="004D07FD">
        <w:tc>
          <w:tcPr>
            <w:tcW w:w="4390" w:type="dxa"/>
          </w:tcPr>
          <w:p w14:paraId="458F9857" w14:textId="77777777" w:rsidR="009E4E97" w:rsidRPr="00842260" w:rsidRDefault="009E4E97" w:rsidP="00791C44">
            <w:pPr>
              <w:pStyle w:val="TableText0"/>
              <w:rPr>
                <w:iCs/>
              </w:rPr>
            </w:pPr>
            <w:r w:rsidRPr="00842260">
              <w:rPr>
                <w:iCs/>
              </w:rPr>
              <w:t>Non-metastatic recurrence</w:t>
            </w:r>
          </w:p>
        </w:tc>
        <w:tc>
          <w:tcPr>
            <w:tcW w:w="1346" w:type="dxa"/>
          </w:tcPr>
          <w:p w14:paraId="30D41843" w14:textId="77777777" w:rsidR="009E4E97" w:rsidRPr="00842260" w:rsidRDefault="009E4E97" w:rsidP="00791C44">
            <w:pPr>
              <w:pStyle w:val="TableText0"/>
              <w:jc w:val="center"/>
              <w:rPr>
                <w:iCs/>
              </w:rPr>
            </w:pPr>
            <w:r w:rsidRPr="00842260">
              <w:rPr>
                <w:iCs/>
              </w:rPr>
              <w:t>24.1%</w:t>
            </w:r>
          </w:p>
        </w:tc>
        <w:tc>
          <w:tcPr>
            <w:tcW w:w="1347" w:type="dxa"/>
          </w:tcPr>
          <w:p w14:paraId="53B38B9E" w14:textId="77777777" w:rsidR="009E4E97" w:rsidRPr="00842260" w:rsidRDefault="009E4E97" w:rsidP="00791C44">
            <w:pPr>
              <w:pStyle w:val="TableText0"/>
              <w:jc w:val="center"/>
              <w:rPr>
                <w:iCs/>
              </w:rPr>
            </w:pPr>
            <w:r w:rsidRPr="00842260">
              <w:rPr>
                <w:iCs/>
              </w:rPr>
              <w:t>23.4%</w:t>
            </w:r>
          </w:p>
        </w:tc>
        <w:tc>
          <w:tcPr>
            <w:tcW w:w="1933" w:type="dxa"/>
          </w:tcPr>
          <w:p w14:paraId="2A001EF7" w14:textId="77777777" w:rsidR="009E4E97" w:rsidRPr="00842260" w:rsidRDefault="009E4E97" w:rsidP="00791C44">
            <w:pPr>
              <w:pStyle w:val="TableText0"/>
              <w:jc w:val="center"/>
              <w:rPr>
                <w:iCs/>
              </w:rPr>
            </w:pPr>
            <w:r w:rsidRPr="00842260">
              <w:rPr>
                <w:iCs/>
              </w:rPr>
              <w:t>0.7</w:t>
            </w:r>
          </w:p>
        </w:tc>
      </w:tr>
      <w:tr w:rsidR="009E4E97" w:rsidRPr="00842260" w14:paraId="4D58C70B" w14:textId="77777777" w:rsidTr="004D07FD">
        <w:tc>
          <w:tcPr>
            <w:tcW w:w="4390" w:type="dxa"/>
          </w:tcPr>
          <w:p w14:paraId="53BBFBB0" w14:textId="77777777" w:rsidR="009E4E97" w:rsidRPr="00842260" w:rsidRDefault="009E4E97" w:rsidP="00791C44">
            <w:pPr>
              <w:pStyle w:val="TableText0"/>
              <w:rPr>
                <w:iCs/>
              </w:rPr>
            </w:pPr>
            <w:r w:rsidRPr="00842260">
              <w:rPr>
                <w:iCs/>
              </w:rPr>
              <w:t>Metastatic recurrence</w:t>
            </w:r>
          </w:p>
        </w:tc>
        <w:tc>
          <w:tcPr>
            <w:tcW w:w="1346" w:type="dxa"/>
          </w:tcPr>
          <w:p w14:paraId="6DB365B4" w14:textId="77777777" w:rsidR="009E4E97" w:rsidRPr="00842260" w:rsidRDefault="009E4E97" w:rsidP="00791C44">
            <w:pPr>
              <w:pStyle w:val="TableText0"/>
              <w:jc w:val="center"/>
              <w:rPr>
                <w:iCs/>
              </w:rPr>
            </w:pPr>
            <w:r w:rsidRPr="00842260">
              <w:rPr>
                <w:iCs/>
              </w:rPr>
              <w:t>73.3%</w:t>
            </w:r>
          </w:p>
        </w:tc>
        <w:tc>
          <w:tcPr>
            <w:tcW w:w="1347" w:type="dxa"/>
          </w:tcPr>
          <w:p w14:paraId="16519145" w14:textId="77777777" w:rsidR="009E4E97" w:rsidRPr="00842260" w:rsidRDefault="009E4E97" w:rsidP="00791C44">
            <w:pPr>
              <w:pStyle w:val="TableText0"/>
              <w:jc w:val="center"/>
              <w:rPr>
                <w:iCs/>
              </w:rPr>
            </w:pPr>
            <w:r w:rsidRPr="00842260">
              <w:rPr>
                <w:iCs/>
              </w:rPr>
              <w:t>81.4%</w:t>
            </w:r>
          </w:p>
        </w:tc>
        <w:tc>
          <w:tcPr>
            <w:tcW w:w="1933" w:type="dxa"/>
          </w:tcPr>
          <w:p w14:paraId="523EC6AD" w14:textId="77777777" w:rsidR="009E4E97" w:rsidRPr="00842260" w:rsidRDefault="009E4E97" w:rsidP="00791C44">
            <w:pPr>
              <w:pStyle w:val="TableText0"/>
              <w:jc w:val="center"/>
              <w:rPr>
                <w:iCs/>
              </w:rPr>
            </w:pPr>
            <w:r w:rsidRPr="00842260">
              <w:rPr>
                <w:iCs/>
              </w:rPr>
              <w:t>−8.1</w:t>
            </w:r>
          </w:p>
        </w:tc>
      </w:tr>
      <w:tr w:rsidR="009E4E97" w:rsidRPr="00842260" w14:paraId="66AA8405" w14:textId="77777777" w:rsidTr="004D07FD">
        <w:tc>
          <w:tcPr>
            <w:tcW w:w="4390" w:type="dxa"/>
          </w:tcPr>
          <w:p w14:paraId="61D8D5EC" w14:textId="77777777" w:rsidR="009E4E97" w:rsidRPr="00842260" w:rsidRDefault="009E4E97" w:rsidP="00791C44">
            <w:pPr>
              <w:pStyle w:val="TableText0"/>
              <w:rPr>
                <w:iCs/>
              </w:rPr>
            </w:pPr>
            <w:r w:rsidRPr="00842260">
              <w:rPr>
                <w:iCs/>
              </w:rPr>
              <w:t xml:space="preserve">  From IDFS</w:t>
            </w:r>
          </w:p>
        </w:tc>
        <w:tc>
          <w:tcPr>
            <w:tcW w:w="1346" w:type="dxa"/>
          </w:tcPr>
          <w:p w14:paraId="5693B246" w14:textId="77777777" w:rsidR="009E4E97" w:rsidRPr="00842260" w:rsidRDefault="009E4E97" w:rsidP="00791C44">
            <w:pPr>
              <w:pStyle w:val="TableText0"/>
              <w:jc w:val="center"/>
              <w:rPr>
                <w:iCs/>
              </w:rPr>
            </w:pPr>
            <w:r w:rsidRPr="00842260">
              <w:rPr>
                <w:iCs/>
              </w:rPr>
              <w:t>60.6%</w:t>
            </w:r>
          </w:p>
        </w:tc>
        <w:tc>
          <w:tcPr>
            <w:tcW w:w="1347" w:type="dxa"/>
          </w:tcPr>
          <w:p w14:paraId="7B2B04B6" w14:textId="77777777" w:rsidR="009E4E97" w:rsidRPr="00842260" w:rsidRDefault="009E4E97" w:rsidP="00791C44">
            <w:pPr>
              <w:pStyle w:val="TableText0"/>
              <w:jc w:val="center"/>
              <w:rPr>
                <w:iCs/>
              </w:rPr>
            </w:pPr>
            <w:r w:rsidRPr="00842260">
              <w:rPr>
                <w:iCs/>
              </w:rPr>
              <w:t>66.7%</w:t>
            </w:r>
          </w:p>
        </w:tc>
        <w:tc>
          <w:tcPr>
            <w:tcW w:w="1933" w:type="dxa"/>
          </w:tcPr>
          <w:p w14:paraId="3C60BFCA" w14:textId="77777777" w:rsidR="009E4E97" w:rsidRPr="00842260" w:rsidRDefault="009E4E97" w:rsidP="00791C44">
            <w:pPr>
              <w:pStyle w:val="TableText0"/>
              <w:jc w:val="center"/>
              <w:rPr>
                <w:iCs/>
              </w:rPr>
            </w:pPr>
            <w:r w:rsidRPr="00842260">
              <w:rPr>
                <w:iCs/>
              </w:rPr>
              <w:t>−6.1</w:t>
            </w:r>
          </w:p>
        </w:tc>
      </w:tr>
      <w:tr w:rsidR="009E4E97" w:rsidRPr="00842260" w14:paraId="662CA587" w14:textId="77777777" w:rsidTr="004D07FD">
        <w:tc>
          <w:tcPr>
            <w:tcW w:w="4390" w:type="dxa"/>
          </w:tcPr>
          <w:p w14:paraId="36979347" w14:textId="77777777" w:rsidR="009E4E97" w:rsidRPr="00842260" w:rsidRDefault="009E4E97" w:rsidP="00791C44">
            <w:pPr>
              <w:pStyle w:val="TableText0"/>
              <w:rPr>
                <w:iCs/>
              </w:rPr>
            </w:pPr>
            <w:r w:rsidRPr="00842260">
              <w:rPr>
                <w:iCs/>
              </w:rPr>
              <w:t xml:space="preserve">  From Remission (following non-metastatic recurrence)</w:t>
            </w:r>
          </w:p>
        </w:tc>
        <w:tc>
          <w:tcPr>
            <w:tcW w:w="1346" w:type="dxa"/>
          </w:tcPr>
          <w:p w14:paraId="6FF9CE00" w14:textId="77777777" w:rsidR="009E4E97" w:rsidRPr="00842260" w:rsidRDefault="009E4E97" w:rsidP="00791C44">
            <w:pPr>
              <w:pStyle w:val="TableText0"/>
              <w:jc w:val="center"/>
              <w:rPr>
                <w:iCs/>
              </w:rPr>
            </w:pPr>
            <w:r w:rsidRPr="00842260">
              <w:rPr>
                <w:iCs/>
              </w:rPr>
              <w:t>12.7%</w:t>
            </w:r>
          </w:p>
        </w:tc>
        <w:tc>
          <w:tcPr>
            <w:tcW w:w="1347" w:type="dxa"/>
          </w:tcPr>
          <w:p w14:paraId="5D60D394" w14:textId="77777777" w:rsidR="009E4E97" w:rsidRPr="00842260" w:rsidRDefault="009E4E97" w:rsidP="00791C44">
            <w:pPr>
              <w:pStyle w:val="TableText0"/>
              <w:jc w:val="center"/>
              <w:rPr>
                <w:iCs/>
              </w:rPr>
            </w:pPr>
            <w:r w:rsidRPr="00842260">
              <w:rPr>
                <w:iCs/>
              </w:rPr>
              <w:t>14.7%</w:t>
            </w:r>
          </w:p>
        </w:tc>
        <w:tc>
          <w:tcPr>
            <w:tcW w:w="1933" w:type="dxa"/>
          </w:tcPr>
          <w:p w14:paraId="66A1BF16" w14:textId="77777777" w:rsidR="009E4E97" w:rsidRPr="00842260" w:rsidRDefault="009E4E97" w:rsidP="00791C44">
            <w:pPr>
              <w:pStyle w:val="TableText0"/>
              <w:jc w:val="center"/>
              <w:rPr>
                <w:iCs/>
              </w:rPr>
            </w:pPr>
            <w:r w:rsidRPr="00842260">
              <w:rPr>
                <w:iCs/>
              </w:rPr>
              <w:t>−1.9</w:t>
            </w:r>
          </w:p>
        </w:tc>
      </w:tr>
      <w:tr w:rsidR="009E4E97" w:rsidRPr="00842260" w14:paraId="0FD7275E" w14:textId="77777777" w:rsidTr="004D07FD">
        <w:tc>
          <w:tcPr>
            <w:tcW w:w="4390" w:type="dxa"/>
          </w:tcPr>
          <w:p w14:paraId="59D71385" w14:textId="77777777" w:rsidR="009E4E97" w:rsidRPr="00842260" w:rsidRDefault="009E4E97" w:rsidP="00791C44">
            <w:pPr>
              <w:pStyle w:val="TableText0"/>
              <w:rPr>
                <w:iCs/>
              </w:rPr>
            </w:pPr>
            <w:r w:rsidRPr="00842260">
              <w:rPr>
                <w:iCs/>
              </w:rPr>
              <w:t xml:space="preserve">Any recurrence </w:t>
            </w:r>
            <w:r w:rsidRPr="00842260">
              <w:rPr>
                <w:iCs/>
                <w:vertAlign w:val="superscript"/>
              </w:rPr>
              <w:t>a</w:t>
            </w:r>
          </w:p>
        </w:tc>
        <w:tc>
          <w:tcPr>
            <w:tcW w:w="1346" w:type="dxa"/>
          </w:tcPr>
          <w:p w14:paraId="2B14A93D" w14:textId="77777777" w:rsidR="009E4E97" w:rsidRPr="00842260" w:rsidRDefault="009E4E97" w:rsidP="00791C44">
            <w:pPr>
              <w:pStyle w:val="TableText0"/>
              <w:jc w:val="center"/>
              <w:rPr>
                <w:iCs/>
              </w:rPr>
            </w:pPr>
            <w:r w:rsidRPr="00842260">
              <w:rPr>
                <w:iCs/>
              </w:rPr>
              <w:t>84.7%</w:t>
            </w:r>
          </w:p>
        </w:tc>
        <w:tc>
          <w:tcPr>
            <w:tcW w:w="1347" w:type="dxa"/>
          </w:tcPr>
          <w:p w14:paraId="52AD4D6B" w14:textId="77777777" w:rsidR="009E4E97" w:rsidRPr="00842260" w:rsidRDefault="009E4E97" w:rsidP="00791C44">
            <w:pPr>
              <w:pStyle w:val="TableText0"/>
              <w:jc w:val="center"/>
              <w:rPr>
                <w:iCs/>
              </w:rPr>
            </w:pPr>
            <w:r w:rsidRPr="00842260">
              <w:rPr>
                <w:iCs/>
              </w:rPr>
              <w:t>90.2%</w:t>
            </w:r>
          </w:p>
        </w:tc>
        <w:tc>
          <w:tcPr>
            <w:tcW w:w="1933" w:type="dxa"/>
          </w:tcPr>
          <w:p w14:paraId="5D7FEDEB" w14:textId="77777777" w:rsidR="009E4E97" w:rsidRPr="00842260" w:rsidRDefault="009E4E97" w:rsidP="00791C44">
            <w:pPr>
              <w:pStyle w:val="TableText0"/>
              <w:jc w:val="center"/>
              <w:rPr>
                <w:iCs/>
              </w:rPr>
            </w:pPr>
            <w:r w:rsidRPr="00842260">
              <w:rPr>
                <w:iCs/>
              </w:rPr>
              <w:t>−5.5</w:t>
            </w:r>
          </w:p>
        </w:tc>
      </w:tr>
    </w:tbl>
    <w:p w14:paraId="4C0DF034" w14:textId="77777777" w:rsidR="009E4E97" w:rsidRPr="00842260" w:rsidRDefault="009E4E97" w:rsidP="00791C44">
      <w:pPr>
        <w:pStyle w:val="TableFigureFooter"/>
        <w:keepNext/>
        <w:rPr>
          <w:iCs/>
        </w:rPr>
      </w:pPr>
      <w:r w:rsidRPr="00842260">
        <w:rPr>
          <w:iCs/>
        </w:rPr>
        <w:t xml:space="preserve">Source: Table JPCF.8.6, p156 of the April 2021 </w:t>
      </w:r>
      <w:proofErr w:type="spellStart"/>
      <w:r w:rsidRPr="00842260">
        <w:rPr>
          <w:iCs/>
        </w:rPr>
        <w:t>monarchE</w:t>
      </w:r>
      <w:proofErr w:type="spellEnd"/>
      <w:r w:rsidRPr="00842260">
        <w:rPr>
          <w:iCs/>
        </w:rPr>
        <w:t xml:space="preserve"> CSR and the ‘A6.1_Abemaciclib Section 3 workbook.xlsm’ workbook included in the submission.</w:t>
      </w:r>
    </w:p>
    <w:p w14:paraId="4DC4D76D" w14:textId="11654CDA" w:rsidR="009E4E97" w:rsidRPr="00842260" w:rsidRDefault="009E4E97" w:rsidP="00791C44">
      <w:pPr>
        <w:pStyle w:val="TableFigureFooter"/>
        <w:keepNext/>
        <w:rPr>
          <w:iCs/>
        </w:rPr>
      </w:pPr>
      <w:r w:rsidRPr="00842260">
        <w:rPr>
          <w:iCs/>
        </w:rPr>
        <w:t xml:space="preserve">ABE = </w:t>
      </w:r>
      <w:proofErr w:type="spellStart"/>
      <w:r w:rsidRPr="00842260">
        <w:rPr>
          <w:iCs/>
        </w:rPr>
        <w:t>abemaciclib</w:t>
      </w:r>
      <w:proofErr w:type="spellEnd"/>
      <w:r w:rsidRPr="00842260">
        <w:rPr>
          <w:iCs/>
        </w:rPr>
        <w:t>; ET = endocrine therapy</w:t>
      </w:r>
      <w:r w:rsidR="008A04E9" w:rsidRPr="00842260">
        <w:rPr>
          <w:iCs/>
        </w:rPr>
        <w:t>; IDFS =</w:t>
      </w:r>
      <w:r w:rsidR="008A04E9" w:rsidRPr="00842260">
        <w:t xml:space="preserve"> invasive </w:t>
      </w:r>
      <w:proofErr w:type="gramStart"/>
      <w:r w:rsidR="008A04E9" w:rsidRPr="00842260">
        <w:t>disease free</w:t>
      </w:r>
      <w:proofErr w:type="gramEnd"/>
      <w:r w:rsidR="008A04E9" w:rsidRPr="00842260">
        <w:t xml:space="preserve"> survival;</w:t>
      </w:r>
      <w:r w:rsidR="008A04E9" w:rsidRPr="00842260">
        <w:rPr>
          <w:iCs/>
        </w:rPr>
        <w:t xml:space="preserve"> LYG = life years gained</w:t>
      </w:r>
      <w:r w:rsidRPr="00842260">
        <w:rPr>
          <w:iCs/>
        </w:rPr>
        <w:t>.</w:t>
      </w:r>
    </w:p>
    <w:p w14:paraId="6EB3C551" w14:textId="63BAFD19" w:rsidR="009E4E97" w:rsidRPr="00842260" w:rsidRDefault="009E4E97" w:rsidP="00791C44">
      <w:pPr>
        <w:pStyle w:val="TableFigureFooter"/>
        <w:keepNext/>
        <w:rPr>
          <w:iCs/>
        </w:rPr>
      </w:pPr>
      <w:proofErr w:type="spellStart"/>
      <w:r w:rsidRPr="00842260">
        <w:rPr>
          <w:iCs/>
          <w:vertAlign w:val="superscript"/>
        </w:rPr>
        <w:t>a</w:t>
      </w:r>
      <w:proofErr w:type="spellEnd"/>
      <w:r w:rsidRPr="00842260">
        <w:rPr>
          <w:iCs/>
        </w:rPr>
        <w:t xml:space="preserve"> Any recurrence is not the sum of non-metastatic and metastatic recurrences, as patients who experience a non-metastatic recurrence could later develop a metastatic recurrence</w:t>
      </w:r>
      <w:bookmarkEnd w:id="53"/>
      <w:r w:rsidRPr="00842260">
        <w:rPr>
          <w:iCs/>
        </w:rPr>
        <w:t>.</w:t>
      </w:r>
    </w:p>
    <w:p w14:paraId="6C6132C1" w14:textId="12CF6A1C" w:rsidR="009F7724" w:rsidRPr="00842260" w:rsidRDefault="00D23D11" w:rsidP="009F7724">
      <w:pPr>
        <w:pStyle w:val="3-BodyText"/>
        <w:rPr>
          <w:iCs/>
        </w:rPr>
      </w:pPr>
      <w:r w:rsidRPr="00842260">
        <w:t xml:space="preserve">The results of key sensitivity analyses are summarised </w:t>
      </w:r>
      <w:r w:rsidR="00714A47" w:rsidRPr="00842260">
        <w:t>in</w:t>
      </w:r>
      <w:r w:rsidR="003E1126" w:rsidRPr="00842260">
        <w:t xml:space="preserve"> Table 13</w:t>
      </w:r>
      <w:r w:rsidRPr="00842260">
        <w:t>.</w:t>
      </w:r>
      <w:r w:rsidR="009F7724" w:rsidRPr="00842260">
        <w:t xml:space="preserve"> </w:t>
      </w:r>
      <w:r w:rsidR="009F7724" w:rsidRPr="00842260">
        <w:rPr>
          <w:iCs/>
        </w:rPr>
        <w:t>The analyses were observed to be sensitive to changes in estimates that affect the proportion of patients that transition to the metastatic recurrence health states, including IDFS parametric model selection, duration of the treatment effect and proportion of invasive disease events that were non-metastatic (where the same estimate has been applied across both model arms).</w:t>
      </w:r>
    </w:p>
    <w:p w14:paraId="46C3B63B" w14:textId="3A267104" w:rsidR="00BD7523" w:rsidRPr="00842260" w:rsidRDefault="00BD7523" w:rsidP="00BD7523">
      <w:pPr>
        <w:pStyle w:val="3-BodyText"/>
        <w:rPr>
          <w:iCs/>
        </w:rPr>
      </w:pPr>
      <w:r w:rsidRPr="00842260">
        <w:rPr>
          <w:iCs/>
        </w:rPr>
        <w:t xml:space="preserve">The submission presented an analysis where some use of a CDK4/6 inhibitor could occur on metastatic recurrence following adjuvant </w:t>
      </w:r>
      <w:proofErr w:type="spellStart"/>
      <w:r w:rsidRPr="00842260">
        <w:rPr>
          <w:iCs/>
        </w:rPr>
        <w:t>abemaciclib</w:t>
      </w:r>
      <w:proofErr w:type="spellEnd"/>
      <w:r w:rsidRPr="00842260">
        <w:rPr>
          <w:iCs/>
        </w:rPr>
        <w:t xml:space="preserve"> treatment. The ICER was sensitive to this change, however this analysis assumed that outcomes with metastatic CDK4/6 inhibitors were independent of the treatment received in the adjuvant setting. Thus, modelled effect of CDK4/6 inhibitors following adjuvant </w:t>
      </w:r>
      <w:proofErr w:type="spellStart"/>
      <w:r w:rsidRPr="00842260">
        <w:rPr>
          <w:iCs/>
        </w:rPr>
        <w:t>abemaciclib</w:t>
      </w:r>
      <w:proofErr w:type="spellEnd"/>
      <w:r w:rsidRPr="00842260">
        <w:rPr>
          <w:iCs/>
        </w:rPr>
        <w:t xml:space="preserve"> may be an overestimate. There is currently no evidence to support the use of a CDK4/6 inhibitor following disease recurrence on a prior CDK4/6 inhibitor.</w:t>
      </w:r>
    </w:p>
    <w:p w14:paraId="5D32DDF5" w14:textId="6FCA6CCF" w:rsidR="00BD7523" w:rsidRPr="00842260" w:rsidRDefault="00BD7523" w:rsidP="00BD7523">
      <w:pPr>
        <w:pStyle w:val="3-BodyText"/>
        <w:rPr>
          <w:rFonts w:eastAsia="Calibri"/>
          <w:iCs/>
          <w:szCs w:val="20"/>
        </w:rPr>
      </w:pPr>
      <w:r w:rsidRPr="00842260">
        <w:rPr>
          <w:iCs/>
        </w:rPr>
        <w:t>The submission did not present multivariate analyses. These were conducted during the evaluation, varying, in a stepped manner, plausible alternate estimates that affect the proportion of patients that transition to the metastatic recurrence health states (</w:t>
      </w:r>
      <w:r w:rsidRPr="00842260">
        <w:rPr>
          <w:iCs/>
        </w:rPr>
        <w:fldChar w:fldCharType="begin"/>
      </w:r>
      <w:r w:rsidRPr="00842260">
        <w:rPr>
          <w:iCs/>
        </w:rPr>
        <w:instrText xml:space="preserve"> REF _Ref93249654 \h  \* MERGEFORMAT </w:instrText>
      </w:r>
      <w:r w:rsidRPr="00842260">
        <w:rPr>
          <w:iCs/>
        </w:rPr>
      </w:r>
      <w:r w:rsidRPr="00842260">
        <w:rPr>
          <w:iCs/>
        </w:rPr>
        <w:fldChar w:fldCharType="separate"/>
      </w:r>
      <w:r w:rsidR="00053218" w:rsidRPr="00053218">
        <w:rPr>
          <w:iCs/>
        </w:rPr>
        <w:t>Table 13</w:t>
      </w:r>
      <w:r w:rsidRPr="00842260">
        <w:rPr>
          <w:iCs/>
        </w:rPr>
        <w:fldChar w:fldCharType="end"/>
      </w:r>
      <w:r w:rsidRPr="00842260">
        <w:rPr>
          <w:iCs/>
        </w:rPr>
        <w:t>). The ICER was observed to substantially increase with these combined changes.</w:t>
      </w:r>
    </w:p>
    <w:p w14:paraId="031325BD" w14:textId="52D0F091" w:rsidR="00BD7523" w:rsidRPr="00842260" w:rsidRDefault="00BD7523" w:rsidP="008D11CE">
      <w:pPr>
        <w:pStyle w:val="3-BodyText"/>
        <w:rPr>
          <w:rFonts w:eastAsia="Calibri"/>
          <w:iCs/>
          <w:szCs w:val="20"/>
        </w:rPr>
      </w:pPr>
      <w:r w:rsidRPr="00842260">
        <w:rPr>
          <w:iCs/>
        </w:rPr>
        <w:t>Additional steps were performed modifying key drivers of costs in the metastatic recurrence health states (such as the cost applied of ECG and oncologist visits) and the use of the estimates in endocrine-sensitive recurrences without calibration. In the univariate analyses, these were observed to have low-to-moderate effects on the ICER, however with the reduction in the modelled difference in metastatic recurrence (through analyses #2, #3 and #4), the effect of these changes on the ICER was more substantial.</w:t>
      </w:r>
    </w:p>
    <w:p w14:paraId="7EC1EAD7" w14:textId="3CBBCD33" w:rsidR="00CE0B5F" w:rsidRPr="00842260" w:rsidRDefault="008B731C" w:rsidP="00CE0B5F">
      <w:pPr>
        <w:pStyle w:val="TableFigureHeading"/>
      </w:pPr>
      <w:bookmarkStart w:id="54" w:name="_Ref99003545"/>
      <w:bookmarkStart w:id="55" w:name="_Ref93249654"/>
      <w:r w:rsidRPr="00842260">
        <w:lastRenderedPageBreak/>
        <w:t xml:space="preserve">Table </w:t>
      </w:r>
      <w:fldSimple w:instr=" SEQ Table \* ARABIC ">
        <w:r w:rsidR="00053218">
          <w:rPr>
            <w:noProof/>
          </w:rPr>
          <w:t>13</w:t>
        </w:r>
      </w:fldSimple>
      <w:bookmarkEnd w:id="54"/>
      <w:bookmarkEnd w:id="55"/>
      <w:r w:rsidR="00AA50A0" w:rsidRPr="00842260">
        <w:rPr>
          <w:rStyle w:val="CommentReference"/>
          <w:b/>
          <w:szCs w:val="24"/>
        </w:rPr>
        <w:t xml:space="preserve">: </w:t>
      </w:r>
      <w:r w:rsidR="00CE0B5F" w:rsidRPr="00842260">
        <w:t>Key sensitivity analyses</w:t>
      </w:r>
    </w:p>
    <w:tbl>
      <w:tblPr>
        <w:tblStyle w:val="Summarybox1"/>
        <w:tblW w:w="5000" w:type="pct"/>
        <w:tblLayout w:type="fixed"/>
        <w:tblLook w:val="04A0" w:firstRow="1" w:lastRow="0" w:firstColumn="1" w:lastColumn="0" w:noHBand="0" w:noVBand="1"/>
      </w:tblPr>
      <w:tblGrid>
        <w:gridCol w:w="5527"/>
        <w:gridCol w:w="896"/>
        <w:gridCol w:w="801"/>
        <w:gridCol w:w="992"/>
        <w:gridCol w:w="801"/>
      </w:tblGrid>
      <w:tr w:rsidR="00CE0B5F" w:rsidRPr="00842260" w14:paraId="00086ED3" w14:textId="77777777" w:rsidTr="007012DA">
        <w:trPr>
          <w:tblHeader/>
        </w:trPr>
        <w:tc>
          <w:tcPr>
            <w:tcW w:w="3065" w:type="pct"/>
            <w:noWrap/>
            <w:hideMark/>
          </w:tcPr>
          <w:p w14:paraId="705B2C85" w14:textId="77777777" w:rsidR="00CE0B5F" w:rsidRPr="00842260" w:rsidRDefault="00CE0B5F" w:rsidP="008C3917">
            <w:pPr>
              <w:pStyle w:val="TableText0"/>
              <w:rPr>
                <w:b/>
                <w:lang w:eastAsia="en-AU"/>
              </w:rPr>
            </w:pPr>
          </w:p>
        </w:tc>
        <w:tc>
          <w:tcPr>
            <w:tcW w:w="497" w:type="pct"/>
            <w:tcBorders>
              <w:bottom w:val="single" w:sz="4" w:space="0" w:color="auto"/>
            </w:tcBorders>
            <w:noWrap/>
            <w:vAlign w:val="center"/>
            <w:hideMark/>
          </w:tcPr>
          <w:p w14:paraId="74C7D23D" w14:textId="43BD308B" w:rsidR="00CE0B5F" w:rsidRPr="00842260" w:rsidRDefault="00CE0B5F" w:rsidP="008C3917">
            <w:pPr>
              <w:pStyle w:val="TableText0"/>
              <w:jc w:val="center"/>
              <w:rPr>
                <w:b/>
                <w:lang w:eastAsia="en-AU"/>
              </w:rPr>
            </w:pPr>
            <w:r w:rsidRPr="00842260">
              <w:rPr>
                <w:b/>
                <w:lang w:eastAsia="en-AU"/>
              </w:rPr>
              <w:t>Inc. cost</w:t>
            </w:r>
            <w:r w:rsidR="005029D4">
              <w:rPr>
                <w:b/>
                <w:lang w:eastAsia="en-AU"/>
              </w:rPr>
              <w:t xml:space="preserve"> ($)</w:t>
            </w:r>
          </w:p>
        </w:tc>
        <w:tc>
          <w:tcPr>
            <w:tcW w:w="444" w:type="pct"/>
            <w:noWrap/>
            <w:vAlign w:val="center"/>
            <w:hideMark/>
          </w:tcPr>
          <w:p w14:paraId="30D96BF7" w14:textId="77777777" w:rsidR="00CE0B5F" w:rsidRPr="00842260" w:rsidRDefault="00CE0B5F" w:rsidP="008C3917">
            <w:pPr>
              <w:pStyle w:val="TableText0"/>
              <w:jc w:val="center"/>
              <w:rPr>
                <w:b/>
                <w:lang w:eastAsia="en-AU"/>
              </w:rPr>
            </w:pPr>
            <w:r w:rsidRPr="00842260">
              <w:rPr>
                <w:b/>
                <w:lang w:eastAsia="en-AU"/>
              </w:rPr>
              <w:t>Inc. QALYs</w:t>
            </w:r>
          </w:p>
        </w:tc>
        <w:tc>
          <w:tcPr>
            <w:tcW w:w="550" w:type="pct"/>
            <w:noWrap/>
            <w:vAlign w:val="center"/>
            <w:hideMark/>
          </w:tcPr>
          <w:p w14:paraId="200FBBAC" w14:textId="78DDE494" w:rsidR="00CE0B5F" w:rsidRPr="00842260" w:rsidRDefault="00CE0B5F" w:rsidP="008C3917">
            <w:pPr>
              <w:pStyle w:val="TableText0"/>
              <w:jc w:val="center"/>
              <w:rPr>
                <w:b/>
                <w:lang w:eastAsia="en-AU"/>
              </w:rPr>
            </w:pPr>
            <w:r w:rsidRPr="00842260">
              <w:rPr>
                <w:b/>
                <w:lang w:eastAsia="en-AU"/>
              </w:rPr>
              <w:t>ICER</w:t>
            </w:r>
            <w:r w:rsidR="005029D4">
              <w:rPr>
                <w:b/>
                <w:lang w:eastAsia="en-AU"/>
              </w:rPr>
              <w:t xml:space="preserve"> ($)</w:t>
            </w:r>
          </w:p>
        </w:tc>
        <w:tc>
          <w:tcPr>
            <w:tcW w:w="444" w:type="pct"/>
            <w:noWrap/>
            <w:vAlign w:val="center"/>
            <w:hideMark/>
          </w:tcPr>
          <w:p w14:paraId="169F8044" w14:textId="77777777" w:rsidR="00CE0B5F" w:rsidRPr="00842260" w:rsidRDefault="00CE0B5F" w:rsidP="008C3917">
            <w:pPr>
              <w:pStyle w:val="TableText0"/>
              <w:jc w:val="center"/>
              <w:rPr>
                <w:b/>
                <w:lang w:eastAsia="en-AU"/>
              </w:rPr>
            </w:pPr>
            <w:r w:rsidRPr="00842260">
              <w:rPr>
                <w:b/>
                <w:lang w:eastAsia="en-AU"/>
              </w:rPr>
              <w:t>%</w:t>
            </w:r>
          </w:p>
        </w:tc>
      </w:tr>
      <w:tr w:rsidR="00CE0B5F" w:rsidRPr="00842260" w14:paraId="4FB6AB72" w14:textId="77777777" w:rsidTr="007012DA">
        <w:trPr>
          <w:tblHeader/>
        </w:trPr>
        <w:tc>
          <w:tcPr>
            <w:tcW w:w="3065" w:type="pct"/>
            <w:tcBorders>
              <w:bottom w:val="single" w:sz="4" w:space="0" w:color="auto"/>
            </w:tcBorders>
            <w:noWrap/>
            <w:hideMark/>
          </w:tcPr>
          <w:p w14:paraId="5E903804" w14:textId="18DD1ED5" w:rsidR="00CE0B5F" w:rsidRPr="00842260" w:rsidRDefault="00CE0B5F" w:rsidP="008C3917">
            <w:pPr>
              <w:pStyle w:val="TableText0"/>
              <w:rPr>
                <w:b/>
                <w:lang w:eastAsia="en-AU"/>
              </w:rPr>
            </w:pPr>
            <w:r w:rsidRPr="00842260">
              <w:rPr>
                <w:b/>
                <w:lang w:eastAsia="en-AU"/>
              </w:rPr>
              <w:t>Base case</w:t>
            </w:r>
            <w:r w:rsidR="009F266C" w:rsidRPr="00842260">
              <w:rPr>
                <w:b/>
                <w:lang w:eastAsia="en-AU"/>
              </w:rPr>
              <w:t xml:space="preserve"> (evaluator corrected)</w:t>
            </w:r>
          </w:p>
        </w:tc>
        <w:tc>
          <w:tcPr>
            <w:tcW w:w="497" w:type="pct"/>
            <w:tcBorders>
              <w:bottom w:val="single" w:sz="4" w:space="0" w:color="auto"/>
            </w:tcBorders>
            <w:shd w:val="solid" w:color="000000" w:fill="000000"/>
            <w:noWrap/>
            <w:hideMark/>
          </w:tcPr>
          <w:p w14:paraId="5DC1E777" w14:textId="4989256A" w:rsidR="00CE0B5F" w:rsidRPr="007012DA" w:rsidRDefault="007012DA" w:rsidP="008C3917">
            <w:pPr>
              <w:pStyle w:val="TableText0"/>
              <w:jc w:val="right"/>
              <w:rPr>
                <w:b/>
                <w:lang w:eastAsia="en-AU"/>
              </w:rPr>
            </w:pPr>
            <w:r w:rsidRPr="007012DA">
              <w:rPr>
                <w:rFonts w:hint="eastAsia"/>
                <w:b/>
                <w:color w:val="000000"/>
                <w:w w:val="33"/>
                <w:fitText w:val="150" w:id="-1500862463"/>
                <w:lang w:eastAsia="en-AU"/>
                <w14:textFill>
                  <w14:solidFill>
                    <w14:srgbClr w14:val="000000">
                      <w14:alpha w14:val="100000"/>
                    </w14:srgbClr>
                  </w14:solidFill>
                </w14:textFill>
              </w:rPr>
              <w:t xml:space="preserve">　</w:t>
            </w:r>
            <w:r w:rsidRPr="007012DA">
              <w:rPr>
                <w:b/>
                <w:color w:val="000000"/>
                <w:w w:val="33"/>
                <w:fitText w:val="150" w:id="-1500862463"/>
                <w:lang w:eastAsia="en-AU"/>
                <w14:textFill>
                  <w14:solidFill>
                    <w14:srgbClr w14:val="000000">
                      <w14:alpha w14:val="100000"/>
                    </w14:srgbClr>
                  </w14:solidFill>
                </w14:textFill>
              </w:rPr>
              <w:t>|</w:t>
            </w:r>
            <w:r w:rsidRPr="007012DA">
              <w:rPr>
                <w:rFonts w:hint="eastAsia"/>
                <w:b/>
                <w:color w:val="000000"/>
                <w:w w:val="33"/>
                <w:fitText w:val="150" w:id="-1500862463"/>
                <w:lang w:eastAsia="en-AU"/>
                <w14:textFill>
                  <w14:solidFill>
                    <w14:srgbClr w14:val="000000">
                      <w14:alpha w14:val="100000"/>
                    </w14:srgbClr>
                  </w14:solidFill>
                </w14:textFill>
              </w:rPr>
              <w:t xml:space="preserve">　</w:t>
            </w:r>
          </w:p>
        </w:tc>
        <w:tc>
          <w:tcPr>
            <w:tcW w:w="444" w:type="pct"/>
            <w:tcBorders>
              <w:bottom w:val="single" w:sz="4" w:space="0" w:color="auto"/>
            </w:tcBorders>
            <w:noWrap/>
            <w:hideMark/>
          </w:tcPr>
          <w:p w14:paraId="72D9AAED" w14:textId="77777777" w:rsidR="00CE0B5F" w:rsidRPr="00842260" w:rsidRDefault="00CE0B5F" w:rsidP="008C3917">
            <w:pPr>
              <w:pStyle w:val="TableText0"/>
              <w:jc w:val="right"/>
              <w:rPr>
                <w:b/>
                <w:lang w:eastAsia="en-AU"/>
              </w:rPr>
            </w:pPr>
            <w:r w:rsidRPr="00842260">
              <w:rPr>
                <w:b/>
                <w:lang w:eastAsia="en-AU"/>
              </w:rPr>
              <w:t>0.598</w:t>
            </w:r>
          </w:p>
        </w:tc>
        <w:tc>
          <w:tcPr>
            <w:tcW w:w="550" w:type="pct"/>
            <w:tcBorders>
              <w:bottom w:val="single" w:sz="4" w:space="0" w:color="auto"/>
            </w:tcBorders>
            <w:noWrap/>
            <w:hideMark/>
          </w:tcPr>
          <w:p w14:paraId="237F391D" w14:textId="6FF0BCB5" w:rsidR="00CE0B5F" w:rsidRPr="005029D4" w:rsidRDefault="007012DA" w:rsidP="008C3917">
            <w:pPr>
              <w:pStyle w:val="TableText0"/>
              <w:jc w:val="right"/>
              <w:rPr>
                <w:b/>
                <w:highlight w:val="yellow"/>
                <w:vertAlign w:val="superscript"/>
                <w:lang w:eastAsia="en-AU"/>
              </w:rPr>
            </w:pPr>
            <w:r w:rsidRPr="007012DA">
              <w:rPr>
                <w:rFonts w:hint="eastAsia"/>
                <w:b/>
                <w:color w:val="000000"/>
                <w:w w:val="26"/>
                <w:shd w:val="solid" w:color="000000" w:fill="000000"/>
                <w:fitText w:val="120" w:id="-1500862462"/>
                <w:lang w:eastAsia="en-AU"/>
                <w14:textFill>
                  <w14:solidFill>
                    <w14:srgbClr w14:val="000000">
                      <w14:alpha w14:val="100000"/>
                    </w14:srgbClr>
                  </w14:solidFill>
                </w14:textFill>
              </w:rPr>
              <w:t xml:space="preserve">　</w:t>
            </w:r>
            <w:r w:rsidRPr="007012DA">
              <w:rPr>
                <w:b/>
                <w:color w:val="000000"/>
                <w:w w:val="26"/>
                <w:shd w:val="solid" w:color="000000" w:fill="000000"/>
                <w:fitText w:val="120" w:id="-1500862462"/>
                <w:lang w:eastAsia="en-AU"/>
                <w14:textFill>
                  <w14:solidFill>
                    <w14:srgbClr w14:val="000000">
                      <w14:alpha w14:val="100000"/>
                    </w14:srgbClr>
                  </w14:solidFill>
                </w14:textFill>
              </w:rPr>
              <w:t>|</w:t>
            </w:r>
            <w:r w:rsidRPr="007012DA">
              <w:rPr>
                <w:rFonts w:hint="eastAsia"/>
                <w:b/>
                <w:color w:val="000000"/>
                <w:spacing w:val="4"/>
                <w:w w:val="26"/>
                <w:shd w:val="solid" w:color="000000" w:fill="000000"/>
                <w:fitText w:val="120" w:id="-1500862462"/>
                <w:lang w:eastAsia="en-AU"/>
                <w14:textFill>
                  <w14:solidFill>
                    <w14:srgbClr w14:val="000000">
                      <w14:alpha w14:val="100000"/>
                    </w14:srgbClr>
                  </w14:solidFill>
                </w14:textFill>
              </w:rPr>
              <w:t xml:space="preserve">　</w:t>
            </w:r>
            <w:r w:rsidR="005029D4" w:rsidRPr="005029D4">
              <w:rPr>
                <w:b/>
                <w:vertAlign w:val="superscript"/>
                <w:lang w:eastAsia="en-AU"/>
              </w:rPr>
              <w:t>1</w:t>
            </w:r>
          </w:p>
        </w:tc>
        <w:tc>
          <w:tcPr>
            <w:tcW w:w="444" w:type="pct"/>
            <w:tcBorders>
              <w:bottom w:val="single" w:sz="4" w:space="0" w:color="auto"/>
            </w:tcBorders>
            <w:noWrap/>
            <w:hideMark/>
          </w:tcPr>
          <w:p w14:paraId="62BEE07B" w14:textId="77777777" w:rsidR="00CE0B5F" w:rsidRPr="00842260" w:rsidRDefault="00CE0B5F" w:rsidP="008C3917">
            <w:pPr>
              <w:pStyle w:val="TableText0"/>
              <w:jc w:val="right"/>
              <w:rPr>
                <w:b/>
                <w:lang w:eastAsia="en-AU"/>
              </w:rPr>
            </w:pPr>
          </w:p>
        </w:tc>
      </w:tr>
      <w:tr w:rsidR="00CE0B5F" w:rsidRPr="00842260" w14:paraId="61A40D3F" w14:textId="77777777" w:rsidTr="007012DA">
        <w:tc>
          <w:tcPr>
            <w:tcW w:w="3065" w:type="pct"/>
            <w:tcBorders>
              <w:bottom w:val="nil"/>
            </w:tcBorders>
            <w:noWrap/>
            <w:hideMark/>
          </w:tcPr>
          <w:p w14:paraId="2DDC094F" w14:textId="77777777" w:rsidR="00CE0B5F" w:rsidRPr="00842260" w:rsidRDefault="00CE0B5F" w:rsidP="008C3917">
            <w:pPr>
              <w:pStyle w:val="TableText0"/>
              <w:rPr>
                <w:lang w:eastAsia="en-AU"/>
              </w:rPr>
            </w:pPr>
            <w:r w:rsidRPr="00842260">
              <w:rPr>
                <w:lang w:eastAsia="en-AU"/>
              </w:rPr>
              <w:t>Time horizon (base case: 40 years)</w:t>
            </w:r>
          </w:p>
        </w:tc>
        <w:tc>
          <w:tcPr>
            <w:tcW w:w="497" w:type="pct"/>
            <w:tcBorders>
              <w:bottom w:val="nil"/>
            </w:tcBorders>
            <w:noWrap/>
            <w:hideMark/>
          </w:tcPr>
          <w:p w14:paraId="6D5DEDD1"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47796E20" w14:textId="77777777" w:rsidR="00CE0B5F" w:rsidRPr="00842260" w:rsidRDefault="00CE0B5F" w:rsidP="008C3917">
            <w:pPr>
              <w:pStyle w:val="TableText0"/>
              <w:jc w:val="right"/>
              <w:rPr>
                <w:lang w:eastAsia="en-AU"/>
              </w:rPr>
            </w:pPr>
          </w:p>
        </w:tc>
        <w:tc>
          <w:tcPr>
            <w:tcW w:w="550" w:type="pct"/>
            <w:tcBorders>
              <w:bottom w:val="nil"/>
            </w:tcBorders>
            <w:noWrap/>
            <w:hideMark/>
          </w:tcPr>
          <w:p w14:paraId="18829D91"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65E37247" w14:textId="77777777" w:rsidR="00CE0B5F" w:rsidRPr="00842260" w:rsidRDefault="00CE0B5F" w:rsidP="008C3917">
            <w:pPr>
              <w:pStyle w:val="TableText0"/>
              <w:jc w:val="right"/>
              <w:rPr>
                <w:lang w:eastAsia="en-AU"/>
              </w:rPr>
            </w:pPr>
          </w:p>
        </w:tc>
      </w:tr>
      <w:tr w:rsidR="00CE0B5F" w:rsidRPr="00842260" w14:paraId="1B04746F" w14:textId="77777777" w:rsidTr="007012DA">
        <w:tc>
          <w:tcPr>
            <w:tcW w:w="3065" w:type="pct"/>
            <w:tcBorders>
              <w:top w:val="nil"/>
              <w:bottom w:val="nil"/>
            </w:tcBorders>
            <w:noWrap/>
            <w:hideMark/>
          </w:tcPr>
          <w:p w14:paraId="6B3B1A76" w14:textId="77777777" w:rsidR="00CE0B5F" w:rsidRPr="00842260" w:rsidRDefault="00CE0B5F" w:rsidP="00040FA2">
            <w:pPr>
              <w:pStyle w:val="TableText0"/>
              <w:numPr>
                <w:ilvl w:val="0"/>
                <w:numId w:val="10"/>
              </w:numPr>
              <w:ind w:left="447" w:hanging="283"/>
              <w:rPr>
                <w:lang w:eastAsia="en-AU"/>
              </w:rPr>
            </w:pPr>
            <w:r w:rsidRPr="00842260">
              <w:rPr>
                <w:lang w:eastAsia="en-AU"/>
              </w:rPr>
              <w:t xml:space="preserve">20 years </w:t>
            </w:r>
            <w:r w:rsidRPr="00842260">
              <w:rPr>
                <w:b/>
                <w:lang w:eastAsia="en-AU"/>
              </w:rPr>
              <w:t>(#1)</w:t>
            </w:r>
          </w:p>
        </w:tc>
        <w:tc>
          <w:tcPr>
            <w:tcW w:w="497" w:type="pct"/>
            <w:tcBorders>
              <w:top w:val="nil"/>
              <w:bottom w:val="single" w:sz="4" w:space="0" w:color="auto"/>
            </w:tcBorders>
            <w:shd w:val="solid" w:color="000000" w:fill="000000"/>
            <w:noWrap/>
            <w:hideMark/>
          </w:tcPr>
          <w:p w14:paraId="557302B9" w14:textId="4A1C3144" w:rsidR="00CE0B5F" w:rsidRPr="007012DA" w:rsidRDefault="007012DA" w:rsidP="008C3917">
            <w:pPr>
              <w:pStyle w:val="TableText0"/>
              <w:jc w:val="right"/>
              <w:rPr>
                <w:lang w:eastAsia="en-AU"/>
              </w:rPr>
            </w:pPr>
            <w:r w:rsidRPr="007012DA">
              <w:rPr>
                <w:rFonts w:hint="eastAsia"/>
                <w:color w:val="000000"/>
                <w:w w:val="20"/>
                <w:fitText w:val="90" w:id="-1500862461"/>
                <w:lang w:eastAsia="en-AU"/>
                <w14:textFill>
                  <w14:solidFill>
                    <w14:srgbClr w14:val="000000">
                      <w14:alpha w14:val="100000"/>
                    </w14:srgbClr>
                  </w14:solidFill>
                </w14:textFill>
              </w:rPr>
              <w:t xml:space="preserve">　</w:t>
            </w:r>
            <w:r w:rsidRPr="007012DA">
              <w:rPr>
                <w:color w:val="000000"/>
                <w:w w:val="20"/>
                <w:fitText w:val="90" w:id="-1500862461"/>
                <w:lang w:eastAsia="en-AU"/>
                <w14:textFill>
                  <w14:solidFill>
                    <w14:srgbClr w14:val="000000">
                      <w14:alpha w14:val="100000"/>
                    </w14:srgbClr>
                  </w14:solidFill>
                </w14:textFill>
              </w:rPr>
              <w:t>|</w:t>
            </w:r>
            <w:r w:rsidRPr="007012DA">
              <w:rPr>
                <w:rFonts w:hint="eastAsia"/>
                <w:color w:val="000000"/>
                <w:w w:val="20"/>
                <w:fitText w:val="90" w:id="-1500862461"/>
                <w:lang w:eastAsia="en-AU"/>
                <w14:textFill>
                  <w14:solidFill>
                    <w14:srgbClr w14:val="000000">
                      <w14:alpha w14:val="100000"/>
                    </w14:srgbClr>
                  </w14:solidFill>
                </w14:textFill>
              </w:rPr>
              <w:t xml:space="preserve">　</w:t>
            </w:r>
          </w:p>
        </w:tc>
        <w:tc>
          <w:tcPr>
            <w:tcW w:w="444" w:type="pct"/>
            <w:tcBorders>
              <w:top w:val="nil"/>
              <w:bottom w:val="nil"/>
            </w:tcBorders>
            <w:noWrap/>
            <w:hideMark/>
          </w:tcPr>
          <w:p w14:paraId="383C55BD" w14:textId="77777777" w:rsidR="00CE0B5F" w:rsidRPr="00842260" w:rsidRDefault="00CE0B5F" w:rsidP="008C3917">
            <w:pPr>
              <w:pStyle w:val="TableText0"/>
              <w:jc w:val="right"/>
              <w:rPr>
                <w:lang w:eastAsia="en-AU"/>
              </w:rPr>
            </w:pPr>
            <w:r w:rsidRPr="00842260">
              <w:rPr>
                <w:lang w:eastAsia="en-AU"/>
              </w:rPr>
              <w:t>0.350</w:t>
            </w:r>
          </w:p>
        </w:tc>
        <w:tc>
          <w:tcPr>
            <w:tcW w:w="550" w:type="pct"/>
            <w:tcBorders>
              <w:top w:val="nil"/>
              <w:bottom w:val="nil"/>
            </w:tcBorders>
            <w:noWrap/>
            <w:hideMark/>
          </w:tcPr>
          <w:p w14:paraId="7DB20807" w14:textId="1FD06CCA" w:rsidR="00CE0B5F" w:rsidRPr="005029D4" w:rsidRDefault="007012DA" w:rsidP="008C3917">
            <w:pPr>
              <w:pStyle w:val="TableText0"/>
              <w:jc w:val="right"/>
              <w:rPr>
                <w:highlight w:val="yellow"/>
                <w:vertAlign w:val="superscript"/>
                <w:lang w:eastAsia="en-AU"/>
              </w:rPr>
            </w:pPr>
            <w:r w:rsidRPr="007012DA">
              <w:rPr>
                <w:rFonts w:hint="eastAsia"/>
                <w:color w:val="000000"/>
                <w:w w:val="15"/>
                <w:shd w:val="solid" w:color="000000" w:fill="000000"/>
                <w:fitText w:val="50" w:id="-1500862460"/>
                <w:lang w:eastAsia="en-AU"/>
                <w14:textFill>
                  <w14:solidFill>
                    <w14:srgbClr w14:val="000000">
                      <w14:alpha w14:val="100000"/>
                    </w14:srgbClr>
                  </w14:solidFill>
                </w14:textFill>
              </w:rPr>
              <w:t xml:space="preserve">　</w:t>
            </w:r>
            <w:r w:rsidRPr="007012DA">
              <w:rPr>
                <w:color w:val="000000"/>
                <w:w w:val="15"/>
                <w:shd w:val="solid" w:color="000000" w:fill="000000"/>
                <w:fitText w:val="50" w:id="-1500862460"/>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60"/>
                <w:lang w:eastAsia="en-AU"/>
                <w14:textFill>
                  <w14:solidFill>
                    <w14:srgbClr w14:val="000000">
                      <w14:alpha w14:val="100000"/>
                    </w14:srgbClr>
                  </w14:solidFill>
                </w14:textFill>
              </w:rPr>
              <w:t xml:space="preserve">　</w:t>
            </w:r>
            <w:r w:rsidR="005029D4" w:rsidRPr="005029D4">
              <w:rPr>
                <w:vertAlign w:val="superscript"/>
                <w:lang w:eastAsia="en-AU"/>
              </w:rPr>
              <w:t>2</w:t>
            </w:r>
          </w:p>
        </w:tc>
        <w:tc>
          <w:tcPr>
            <w:tcW w:w="444" w:type="pct"/>
            <w:tcBorders>
              <w:top w:val="nil"/>
              <w:bottom w:val="nil"/>
            </w:tcBorders>
            <w:noWrap/>
            <w:hideMark/>
          </w:tcPr>
          <w:p w14:paraId="31EAE29D" w14:textId="77777777" w:rsidR="00CE0B5F" w:rsidRPr="00842260" w:rsidRDefault="00CE0B5F" w:rsidP="008C3917">
            <w:pPr>
              <w:pStyle w:val="TableText0"/>
              <w:jc w:val="right"/>
              <w:rPr>
                <w:lang w:eastAsia="en-AU"/>
              </w:rPr>
            </w:pPr>
            <w:r w:rsidRPr="00842260">
              <w:rPr>
                <w:lang w:eastAsia="en-AU"/>
              </w:rPr>
              <w:t>90%</w:t>
            </w:r>
          </w:p>
        </w:tc>
      </w:tr>
      <w:tr w:rsidR="00CE0B5F" w:rsidRPr="00842260" w14:paraId="4756F492" w14:textId="77777777" w:rsidTr="007012DA">
        <w:tc>
          <w:tcPr>
            <w:tcW w:w="3065" w:type="pct"/>
            <w:tcBorders>
              <w:bottom w:val="nil"/>
            </w:tcBorders>
            <w:noWrap/>
            <w:hideMark/>
          </w:tcPr>
          <w:p w14:paraId="3ADBFE58" w14:textId="77777777" w:rsidR="00CE0B5F" w:rsidRPr="00842260" w:rsidRDefault="00CE0B5F" w:rsidP="008C3917">
            <w:pPr>
              <w:pStyle w:val="TableText0"/>
              <w:rPr>
                <w:lang w:eastAsia="en-AU"/>
              </w:rPr>
            </w:pPr>
            <w:r w:rsidRPr="00842260">
              <w:rPr>
                <w:lang w:eastAsia="en-AU"/>
              </w:rPr>
              <w:t>IDFS extrapolation (base case: Weibull)</w:t>
            </w:r>
          </w:p>
        </w:tc>
        <w:tc>
          <w:tcPr>
            <w:tcW w:w="497" w:type="pct"/>
            <w:tcBorders>
              <w:top w:val="single" w:sz="4" w:space="0" w:color="auto"/>
              <w:bottom w:val="nil"/>
            </w:tcBorders>
            <w:noWrap/>
            <w:hideMark/>
          </w:tcPr>
          <w:p w14:paraId="24B94984"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734614BB" w14:textId="77777777" w:rsidR="00CE0B5F" w:rsidRPr="00842260" w:rsidRDefault="00CE0B5F" w:rsidP="008C3917">
            <w:pPr>
              <w:pStyle w:val="TableText0"/>
              <w:jc w:val="right"/>
              <w:rPr>
                <w:lang w:eastAsia="en-AU"/>
              </w:rPr>
            </w:pPr>
          </w:p>
        </w:tc>
        <w:tc>
          <w:tcPr>
            <w:tcW w:w="550" w:type="pct"/>
            <w:tcBorders>
              <w:bottom w:val="nil"/>
            </w:tcBorders>
            <w:noWrap/>
            <w:hideMark/>
          </w:tcPr>
          <w:p w14:paraId="62964A95"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3AB831B0" w14:textId="77777777" w:rsidR="00CE0B5F" w:rsidRPr="00842260" w:rsidRDefault="00CE0B5F" w:rsidP="008C3917">
            <w:pPr>
              <w:pStyle w:val="TableText0"/>
              <w:jc w:val="right"/>
              <w:rPr>
                <w:lang w:eastAsia="en-AU"/>
              </w:rPr>
            </w:pPr>
          </w:p>
        </w:tc>
      </w:tr>
      <w:tr w:rsidR="00CE0B5F" w:rsidRPr="00842260" w14:paraId="241DA82B" w14:textId="77777777" w:rsidTr="007012DA">
        <w:tc>
          <w:tcPr>
            <w:tcW w:w="3065" w:type="pct"/>
            <w:tcBorders>
              <w:top w:val="nil"/>
              <w:bottom w:val="nil"/>
            </w:tcBorders>
            <w:noWrap/>
            <w:hideMark/>
          </w:tcPr>
          <w:p w14:paraId="6DF15163" w14:textId="77777777" w:rsidR="00CE0B5F" w:rsidRPr="00842260" w:rsidRDefault="00CE0B5F" w:rsidP="00040FA2">
            <w:pPr>
              <w:pStyle w:val="TableText0"/>
              <w:numPr>
                <w:ilvl w:val="0"/>
                <w:numId w:val="10"/>
              </w:numPr>
              <w:ind w:left="447" w:hanging="283"/>
              <w:rPr>
                <w:lang w:eastAsia="en-AU"/>
              </w:rPr>
            </w:pPr>
            <w:r w:rsidRPr="00842260">
              <w:rPr>
                <w:lang w:eastAsia="en-AU"/>
              </w:rPr>
              <w:t>Exponential</w:t>
            </w:r>
          </w:p>
        </w:tc>
        <w:tc>
          <w:tcPr>
            <w:tcW w:w="497" w:type="pct"/>
            <w:tcBorders>
              <w:top w:val="nil"/>
              <w:bottom w:val="nil"/>
            </w:tcBorders>
            <w:shd w:val="solid" w:color="000000" w:fill="000000"/>
            <w:noWrap/>
            <w:hideMark/>
          </w:tcPr>
          <w:p w14:paraId="5DCC46B0" w14:textId="626239EC" w:rsidR="00CE0B5F" w:rsidRPr="007012DA" w:rsidRDefault="007012DA" w:rsidP="008C3917">
            <w:pPr>
              <w:pStyle w:val="TableText0"/>
              <w:jc w:val="right"/>
              <w:rPr>
                <w:lang w:eastAsia="en-AU"/>
              </w:rPr>
            </w:pPr>
            <w:r w:rsidRPr="007012DA">
              <w:rPr>
                <w:rFonts w:hint="eastAsia"/>
                <w:color w:val="000000"/>
                <w:w w:val="20"/>
                <w:fitText w:val="90" w:id="-1500862459"/>
                <w:lang w:eastAsia="en-AU"/>
                <w14:textFill>
                  <w14:solidFill>
                    <w14:srgbClr w14:val="000000">
                      <w14:alpha w14:val="100000"/>
                    </w14:srgbClr>
                  </w14:solidFill>
                </w14:textFill>
              </w:rPr>
              <w:t xml:space="preserve">　</w:t>
            </w:r>
            <w:r w:rsidRPr="007012DA">
              <w:rPr>
                <w:color w:val="000000"/>
                <w:w w:val="20"/>
                <w:fitText w:val="90" w:id="-1500862459"/>
                <w:lang w:eastAsia="en-AU"/>
                <w14:textFill>
                  <w14:solidFill>
                    <w14:srgbClr w14:val="000000">
                      <w14:alpha w14:val="100000"/>
                    </w14:srgbClr>
                  </w14:solidFill>
                </w14:textFill>
              </w:rPr>
              <w:t>|</w:t>
            </w:r>
            <w:r w:rsidRPr="007012DA">
              <w:rPr>
                <w:rFonts w:hint="eastAsia"/>
                <w:color w:val="000000"/>
                <w:w w:val="20"/>
                <w:fitText w:val="90" w:id="-1500862459"/>
                <w:lang w:eastAsia="en-AU"/>
                <w14:textFill>
                  <w14:solidFill>
                    <w14:srgbClr w14:val="000000">
                      <w14:alpha w14:val="100000"/>
                    </w14:srgbClr>
                  </w14:solidFill>
                </w14:textFill>
              </w:rPr>
              <w:t xml:space="preserve">　</w:t>
            </w:r>
          </w:p>
        </w:tc>
        <w:tc>
          <w:tcPr>
            <w:tcW w:w="444" w:type="pct"/>
            <w:tcBorders>
              <w:top w:val="nil"/>
              <w:bottom w:val="nil"/>
            </w:tcBorders>
            <w:noWrap/>
            <w:hideMark/>
          </w:tcPr>
          <w:p w14:paraId="00C0B45E" w14:textId="77777777" w:rsidR="00CE0B5F" w:rsidRPr="00842260" w:rsidRDefault="00CE0B5F" w:rsidP="008C3917">
            <w:pPr>
              <w:pStyle w:val="TableText0"/>
              <w:jc w:val="right"/>
              <w:rPr>
                <w:lang w:eastAsia="en-AU"/>
              </w:rPr>
            </w:pPr>
            <w:r w:rsidRPr="00842260">
              <w:rPr>
                <w:lang w:eastAsia="en-AU"/>
              </w:rPr>
              <w:t>0.634</w:t>
            </w:r>
          </w:p>
        </w:tc>
        <w:tc>
          <w:tcPr>
            <w:tcW w:w="550" w:type="pct"/>
            <w:tcBorders>
              <w:top w:val="nil"/>
              <w:bottom w:val="nil"/>
            </w:tcBorders>
            <w:noWrap/>
            <w:hideMark/>
          </w:tcPr>
          <w:p w14:paraId="7BD4393C" w14:textId="2A9C8D89"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8"/>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8"/>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8"/>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nil"/>
            </w:tcBorders>
            <w:noWrap/>
            <w:hideMark/>
          </w:tcPr>
          <w:p w14:paraId="17A4B0C1" w14:textId="77777777" w:rsidR="00CE0B5F" w:rsidRPr="00842260" w:rsidRDefault="00CE0B5F" w:rsidP="008C3917">
            <w:pPr>
              <w:pStyle w:val="TableText0"/>
              <w:jc w:val="right"/>
              <w:rPr>
                <w:lang w:eastAsia="en-AU"/>
              </w:rPr>
            </w:pPr>
            <w:r w:rsidRPr="00842260">
              <w:rPr>
                <w:lang w:eastAsia="en-AU"/>
              </w:rPr>
              <w:t>21%</w:t>
            </w:r>
          </w:p>
        </w:tc>
      </w:tr>
      <w:tr w:rsidR="00CE0B5F" w:rsidRPr="00842260" w14:paraId="41089582" w14:textId="77777777" w:rsidTr="007012DA">
        <w:tc>
          <w:tcPr>
            <w:tcW w:w="3065" w:type="pct"/>
            <w:tcBorders>
              <w:top w:val="nil"/>
              <w:bottom w:val="nil"/>
            </w:tcBorders>
            <w:noWrap/>
            <w:hideMark/>
          </w:tcPr>
          <w:p w14:paraId="16421C93" w14:textId="77777777" w:rsidR="00CE0B5F" w:rsidRPr="00842260" w:rsidRDefault="00CE0B5F" w:rsidP="00040FA2">
            <w:pPr>
              <w:pStyle w:val="TableText0"/>
              <w:numPr>
                <w:ilvl w:val="0"/>
                <w:numId w:val="10"/>
              </w:numPr>
              <w:ind w:left="447" w:hanging="283"/>
              <w:rPr>
                <w:lang w:eastAsia="en-AU"/>
              </w:rPr>
            </w:pPr>
            <w:r w:rsidRPr="00842260">
              <w:rPr>
                <w:lang w:eastAsia="en-AU"/>
              </w:rPr>
              <w:t xml:space="preserve">Log-logistic </w:t>
            </w:r>
            <w:r w:rsidRPr="00842260">
              <w:rPr>
                <w:b/>
                <w:lang w:eastAsia="en-AU"/>
              </w:rPr>
              <w:t>(#3)</w:t>
            </w:r>
          </w:p>
        </w:tc>
        <w:tc>
          <w:tcPr>
            <w:tcW w:w="497" w:type="pct"/>
            <w:tcBorders>
              <w:top w:val="nil"/>
              <w:bottom w:val="single" w:sz="4" w:space="0" w:color="auto"/>
            </w:tcBorders>
            <w:shd w:val="solid" w:color="000000" w:fill="000000"/>
            <w:noWrap/>
            <w:hideMark/>
          </w:tcPr>
          <w:p w14:paraId="014EE815" w14:textId="7AEF06F5" w:rsidR="00CE0B5F" w:rsidRPr="007012DA" w:rsidRDefault="007012DA" w:rsidP="008C3917">
            <w:pPr>
              <w:pStyle w:val="TableText0"/>
              <w:jc w:val="right"/>
              <w:rPr>
                <w:lang w:eastAsia="en-AU"/>
              </w:rPr>
            </w:pPr>
            <w:r w:rsidRPr="007012DA">
              <w:rPr>
                <w:rFonts w:hint="eastAsia"/>
                <w:color w:val="000000"/>
                <w:w w:val="20"/>
                <w:fitText w:val="90" w:id="-1500862457"/>
                <w:lang w:eastAsia="en-AU"/>
                <w14:textFill>
                  <w14:solidFill>
                    <w14:srgbClr w14:val="000000">
                      <w14:alpha w14:val="100000"/>
                    </w14:srgbClr>
                  </w14:solidFill>
                </w14:textFill>
              </w:rPr>
              <w:t xml:space="preserve">　</w:t>
            </w:r>
            <w:r w:rsidRPr="007012DA">
              <w:rPr>
                <w:color w:val="000000"/>
                <w:w w:val="20"/>
                <w:fitText w:val="90" w:id="-1500862457"/>
                <w:lang w:eastAsia="en-AU"/>
                <w14:textFill>
                  <w14:solidFill>
                    <w14:srgbClr w14:val="000000">
                      <w14:alpha w14:val="100000"/>
                    </w14:srgbClr>
                  </w14:solidFill>
                </w14:textFill>
              </w:rPr>
              <w:t>|</w:t>
            </w:r>
            <w:r w:rsidRPr="007012DA">
              <w:rPr>
                <w:rFonts w:hint="eastAsia"/>
                <w:color w:val="000000"/>
                <w:w w:val="20"/>
                <w:fitText w:val="90" w:id="-1500862457"/>
                <w:lang w:eastAsia="en-AU"/>
                <w14:textFill>
                  <w14:solidFill>
                    <w14:srgbClr w14:val="000000">
                      <w14:alpha w14:val="100000"/>
                    </w14:srgbClr>
                  </w14:solidFill>
                </w14:textFill>
              </w:rPr>
              <w:t xml:space="preserve">　</w:t>
            </w:r>
          </w:p>
        </w:tc>
        <w:tc>
          <w:tcPr>
            <w:tcW w:w="444" w:type="pct"/>
            <w:tcBorders>
              <w:top w:val="nil"/>
              <w:bottom w:val="nil"/>
            </w:tcBorders>
            <w:noWrap/>
            <w:hideMark/>
          </w:tcPr>
          <w:p w14:paraId="4B2A1557" w14:textId="77777777" w:rsidR="00CE0B5F" w:rsidRPr="00842260" w:rsidRDefault="00CE0B5F" w:rsidP="008C3917">
            <w:pPr>
              <w:pStyle w:val="TableText0"/>
              <w:jc w:val="right"/>
              <w:rPr>
                <w:lang w:eastAsia="en-AU"/>
              </w:rPr>
            </w:pPr>
            <w:r w:rsidRPr="00842260">
              <w:rPr>
                <w:lang w:eastAsia="en-AU"/>
              </w:rPr>
              <w:t>0.502</w:t>
            </w:r>
          </w:p>
        </w:tc>
        <w:tc>
          <w:tcPr>
            <w:tcW w:w="550" w:type="pct"/>
            <w:tcBorders>
              <w:top w:val="nil"/>
              <w:bottom w:val="nil"/>
            </w:tcBorders>
            <w:noWrap/>
            <w:hideMark/>
          </w:tcPr>
          <w:p w14:paraId="28818ECA" w14:textId="38D8FE50"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6"/>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6"/>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6"/>
                <w:lang w:eastAsia="en-AU"/>
                <w14:textFill>
                  <w14:solidFill>
                    <w14:srgbClr w14:val="000000">
                      <w14:alpha w14:val="100000"/>
                    </w14:srgbClr>
                  </w14:solidFill>
                </w14:textFill>
              </w:rPr>
              <w:t xml:space="preserve">　</w:t>
            </w:r>
            <w:r w:rsidR="005029D4">
              <w:rPr>
                <w:vertAlign w:val="superscript"/>
                <w:lang w:eastAsia="en-AU"/>
              </w:rPr>
              <w:t>3</w:t>
            </w:r>
          </w:p>
        </w:tc>
        <w:tc>
          <w:tcPr>
            <w:tcW w:w="444" w:type="pct"/>
            <w:tcBorders>
              <w:top w:val="nil"/>
              <w:bottom w:val="nil"/>
            </w:tcBorders>
            <w:noWrap/>
            <w:hideMark/>
          </w:tcPr>
          <w:p w14:paraId="0D4F94B5" w14:textId="77777777" w:rsidR="00CE0B5F" w:rsidRPr="00842260" w:rsidRDefault="00CE0B5F" w:rsidP="008C3917">
            <w:pPr>
              <w:pStyle w:val="TableText0"/>
              <w:jc w:val="right"/>
              <w:rPr>
                <w:lang w:eastAsia="en-AU"/>
              </w:rPr>
            </w:pPr>
            <w:r w:rsidRPr="00842260">
              <w:rPr>
                <w:lang w:eastAsia="en-AU"/>
              </w:rPr>
              <w:t>62%</w:t>
            </w:r>
          </w:p>
        </w:tc>
      </w:tr>
      <w:tr w:rsidR="00CE0B5F" w:rsidRPr="00842260" w14:paraId="79286AB6" w14:textId="77777777" w:rsidTr="007012DA">
        <w:tc>
          <w:tcPr>
            <w:tcW w:w="3065" w:type="pct"/>
            <w:tcBorders>
              <w:bottom w:val="nil"/>
            </w:tcBorders>
            <w:noWrap/>
            <w:hideMark/>
          </w:tcPr>
          <w:p w14:paraId="0F4999EE" w14:textId="77777777" w:rsidR="00CE0B5F" w:rsidRPr="00842260" w:rsidRDefault="00CE0B5F" w:rsidP="008C3917">
            <w:pPr>
              <w:pStyle w:val="TableText0"/>
              <w:rPr>
                <w:lang w:eastAsia="en-AU"/>
              </w:rPr>
            </w:pPr>
            <w:r w:rsidRPr="00842260">
              <w:rPr>
                <w:lang w:eastAsia="en-AU"/>
              </w:rPr>
              <w:t>Treatment waning (base case: from Year 8 to Year 38)</w:t>
            </w:r>
          </w:p>
        </w:tc>
        <w:tc>
          <w:tcPr>
            <w:tcW w:w="497" w:type="pct"/>
            <w:tcBorders>
              <w:top w:val="single" w:sz="4" w:space="0" w:color="auto"/>
              <w:bottom w:val="nil"/>
            </w:tcBorders>
            <w:noWrap/>
            <w:hideMark/>
          </w:tcPr>
          <w:p w14:paraId="15A30AEB"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2AE6897A" w14:textId="77777777" w:rsidR="00CE0B5F" w:rsidRPr="00842260" w:rsidRDefault="00CE0B5F" w:rsidP="008C3917">
            <w:pPr>
              <w:pStyle w:val="TableText0"/>
              <w:jc w:val="right"/>
              <w:rPr>
                <w:lang w:eastAsia="en-AU"/>
              </w:rPr>
            </w:pPr>
          </w:p>
        </w:tc>
        <w:tc>
          <w:tcPr>
            <w:tcW w:w="550" w:type="pct"/>
            <w:tcBorders>
              <w:bottom w:val="nil"/>
            </w:tcBorders>
            <w:noWrap/>
            <w:hideMark/>
          </w:tcPr>
          <w:p w14:paraId="6934D852"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2B5BBB2D" w14:textId="77777777" w:rsidR="00CE0B5F" w:rsidRPr="00842260" w:rsidRDefault="00CE0B5F" w:rsidP="008C3917">
            <w:pPr>
              <w:pStyle w:val="TableText0"/>
              <w:jc w:val="right"/>
              <w:rPr>
                <w:lang w:eastAsia="en-AU"/>
              </w:rPr>
            </w:pPr>
          </w:p>
        </w:tc>
      </w:tr>
      <w:tr w:rsidR="00CE0B5F" w:rsidRPr="00842260" w14:paraId="1D585D07" w14:textId="77777777" w:rsidTr="007012DA">
        <w:tc>
          <w:tcPr>
            <w:tcW w:w="3065" w:type="pct"/>
            <w:tcBorders>
              <w:top w:val="nil"/>
              <w:bottom w:val="nil"/>
            </w:tcBorders>
            <w:noWrap/>
            <w:hideMark/>
          </w:tcPr>
          <w:p w14:paraId="60D38CF7" w14:textId="77777777" w:rsidR="00CE0B5F" w:rsidRPr="00842260" w:rsidRDefault="00CE0B5F" w:rsidP="00040FA2">
            <w:pPr>
              <w:pStyle w:val="TableText0"/>
              <w:numPr>
                <w:ilvl w:val="0"/>
                <w:numId w:val="10"/>
              </w:numPr>
              <w:ind w:left="447" w:hanging="283"/>
              <w:rPr>
                <w:lang w:eastAsia="en-AU"/>
              </w:rPr>
            </w:pPr>
            <w:r w:rsidRPr="00842260">
              <w:rPr>
                <w:lang w:eastAsia="en-AU"/>
              </w:rPr>
              <w:t>Year 7 to Year 10</w:t>
            </w:r>
          </w:p>
        </w:tc>
        <w:tc>
          <w:tcPr>
            <w:tcW w:w="497" w:type="pct"/>
            <w:tcBorders>
              <w:top w:val="nil"/>
              <w:bottom w:val="nil"/>
            </w:tcBorders>
            <w:shd w:val="solid" w:color="000000" w:fill="000000"/>
            <w:noWrap/>
            <w:hideMark/>
          </w:tcPr>
          <w:p w14:paraId="2ED3CAA8" w14:textId="00360064" w:rsidR="00CE0B5F" w:rsidRPr="007012DA" w:rsidRDefault="007012DA" w:rsidP="008C3917">
            <w:pPr>
              <w:pStyle w:val="TableText0"/>
              <w:jc w:val="right"/>
              <w:rPr>
                <w:lang w:eastAsia="en-AU"/>
              </w:rPr>
            </w:pPr>
            <w:r w:rsidRPr="007012DA">
              <w:rPr>
                <w:rFonts w:hint="eastAsia"/>
                <w:color w:val="000000"/>
                <w:w w:val="20"/>
                <w:fitText w:val="90" w:id="-1500862455"/>
                <w:lang w:eastAsia="en-AU"/>
                <w14:textFill>
                  <w14:solidFill>
                    <w14:srgbClr w14:val="000000">
                      <w14:alpha w14:val="100000"/>
                    </w14:srgbClr>
                  </w14:solidFill>
                </w14:textFill>
              </w:rPr>
              <w:t xml:space="preserve">　</w:t>
            </w:r>
            <w:r w:rsidRPr="007012DA">
              <w:rPr>
                <w:color w:val="000000"/>
                <w:w w:val="20"/>
                <w:fitText w:val="90" w:id="-1500862455"/>
                <w:lang w:eastAsia="en-AU"/>
                <w14:textFill>
                  <w14:solidFill>
                    <w14:srgbClr w14:val="000000">
                      <w14:alpha w14:val="100000"/>
                    </w14:srgbClr>
                  </w14:solidFill>
                </w14:textFill>
              </w:rPr>
              <w:t>|</w:t>
            </w:r>
            <w:r w:rsidRPr="007012DA">
              <w:rPr>
                <w:rFonts w:hint="eastAsia"/>
                <w:color w:val="000000"/>
                <w:w w:val="20"/>
                <w:fitText w:val="90" w:id="-1500862455"/>
                <w:lang w:eastAsia="en-AU"/>
                <w14:textFill>
                  <w14:solidFill>
                    <w14:srgbClr w14:val="000000">
                      <w14:alpha w14:val="100000"/>
                    </w14:srgbClr>
                  </w14:solidFill>
                </w14:textFill>
              </w:rPr>
              <w:t xml:space="preserve">　</w:t>
            </w:r>
          </w:p>
        </w:tc>
        <w:tc>
          <w:tcPr>
            <w:tcW w:w="444" w:type="pct"/>
            <w:tcBorders>
              <w:top w:val="nil"/>
              <w:bottom w:val="nil"/>
            </w:tcBorders>
            <w:noWrap/>
            <w:hideMark/>
          </w:tcPr>
          <w:p w14:paraId="0E124A3A" w14:textId="77777777" w:rsidR="00CE0B5F" w:rsidRPr="00842260" w:rsidRDefault="00CE0B5F" w:rsidP="008C3917">
            <w:pPr>
              <w:pStyle w:val="TableText0"/>
              <w:jc w:val="right"/>
              <w:rPr>
                <w:lang w:eastAsia="en-AU"/>
              </w:rPr>
            </w:pPr>
            <w:r w:rsidRPr="00842260">
              <w:rPr>
                <w:lang w:eastAsia="en-AU"/>
              </w:rPr>
              <w:t>0.344</w:t>
            </w:r>
          </w:p>
        </w:tc>
        <w:tc>
          <w:tcPr>
            <w:tcW w:w="550" w:type="pct"/>
            <w:tcBorders>
              <w:top w:val="nil"/>
              <w:bottom w:val="nil"/>
            </w:tcBorders>
            <w:noWrap/>
            <w:hideMark/>
          </w:tcPr>
          <w:p w14:paraId="6EB65993" w14:textId="6CC59643"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4"/>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4"/>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4"/>
                <w:lang w:eastAsia="en-AU"/>
                <w14:textFill>
                  <w14:solidFill>
                    <w14:srgbClr w14:val="000000">
                      <w14:alpha w14:val="100000"/>
                    </w14:srgbClr>
                  </w14:solidFill>
                </w14:textFill>
              </w:rPr>
              <w:t xml:space="preserve">　</w:t>
            </w:r>
            <w:r w:rsidR="005029D4" w:rsidRPr="005029D4">
              <w:rPr>
                <w:vertAlign w:val="superscript"/>
                <w:lang w:eastAsia="en-AU"/>
              </w:rPr>
              <w:t>2</w:t>
            </w:r>
          </w:p>
        </w:tc>
        <w:tc>
          <w:tcPr>
            <w:tcW w:w="444" w:type="pct"/>
            <w:tcBorders>
              <w:top w:val="nil"/>
              <w:bottom w:val="nil"/>
            </w:tcBorders>
            <w:noWrap/>
            <w:hideMark/>
          </w:tcPr>
          <w:p w14:paraId="649759AE" w14:textId="77777777" w:rsidR="00CE0B5F" w:rsidRPr="00842260" w:rsidRDefault="00CE0B5F" w:rsidP="008C3917">
            <w:pPr>
              <w:pStyle w:val="TableText0"/>
              <w:jc w:val="right"/>
              <w:rPr>
                <w:lang w:eastAsia="en-AU"/>
              </w:rPr>
            </w:pPr>
            <w:r w:rsidRPr="00842260">
              <w:rPr>
                <w:lang w:eastAsia="en-AU"/>
              </w:rPr>
              <w:t>92%</w:t>
            </w:r>
          </w:p>
        </w:tc>
      </w:tr>
      <w:tr w:rsidR="00645B7A" w:rsidRPr="00842260" w14:paraId="010B4320" w14:textId="77777777" w:rsidTr="007012DA">
        <w:tc>
          <w:tcPr>
            <w:tcW w:w="3065" w:type="pct"/>
            <w:tcBorders>
              <w:top w:val="nil"/>
              <w:bottom w:val="nil"/>
            </w:tcBorders>
            <w:noWrap/>
            <w:hideMark/>
          </w:tcPr>
          <w:p w14:paraId="61F58FD6" w14:textId="53283A1C" w:rsidR="00645B7A" w:rsidRPr="00842260" w:rsidRDefault="00645B7A" w:rsidP="00040FA2">
            <w:pPr>
              <w:pStyle w:val="TableText0"/>
              <w:numPr>
                <w:ilvl w:val="0"/>
                <w:numId w:val="10"/>
              </w:numPr>
              <w:ind w:left="447" w:hanging="283"/>
              <w:rPr>
                <w:lang w:eastAsia="en-AU"/>
              </w:rPr>
            </w:pPr>
            <w:r w:rsidRPr="00842260">
              <w:rPr>
                <w:lang w:eastAsia="en-AU"/>
              </w:rPr>
              <w:t xml:space="preserve">From end of observed period (month 42) to Year 7 </w:t>
            </w:r>
            <w:r w:rsidRPr="00842260">
              <w:rPr>
                <w:b/>
                <w:lang w:eastAsia="en-AU"/>
              </w:rPr>
              <w:t>(#2)</w:t>
            </w:r>
          </w:p>
        </w:tc>
        <w:tc>
          <w:tcPr>
            <w:tcW w:w="497" w:type="pct"/>
            <w:tcBorders>
              <w:top w:val="nil"/>
              <w:bottom w:val="nil"/>
            </w:tcBorders>
            <w:shd w:val="solid" w:color="000000" w:fill="000000"/>
            <w:noWrap/>
            <w:hideMark/>
          </w:tcPr>
          <w:p w14:paraId="249BEAB9" w14:textId="5291F04B" w:rsidR="00645B7A" w:rsidRPr="007012DA" w:rsidRDefault="007012DA" w:rsidP="00645B7A">
            <w:pPr>
              <w:pStyle w:val="TableText0"/>
              <w:jc w:val="right"/>
              <w:rPr>
                <w:lang w:eastAsia="en-AU"/>
              </w:rPr>
            </w:pPr>
            <w:r w:rsidRPr="007012DA">
              <w:rPr>
                <w:rFonts w:hint="eastAsia"/>
                <w:color w:val="000000"/>
                <w:w w:val="20"/>
                <w:fitText w:val="90" w:id="-1500862453"/>
                <w14:textFill>
                  <w14:solidFill>
                    <w14:srgbClr w14:val="000000">
                      <w14:alpha w14:val="100000"/>
                    </w14:srgbClr>
                  </w14:solidFill>
                </w14:textFill>
              </w:rPr>
              <w:t xml:space="preserve">　</w:t>
            </w:r>
            <w:r w:rsidRPr="007012DA">
              <w:rPr>
                <w:color w:val="000000"/>
                <w:w w:val="20"/>
                <w:fitText w:val="90" w:id="-1500862453"/>
                <w14:textFill>
                  <w14:solidFill>
                    <w14:srgbClr w14:val="000000">
                      <w14:alpha w14:val="100000"/>
                    </w14:srgbClr>
                  </w14:solidFill>
                </w14:textFill>
              </w:rPr>
              <w:t>|</w:t>
            </w:r>
            <w:r w:rsidRPr="007012DA">
              <w:rPr>
                <w:rFonts w:hint="eastAsia"/>
                <w:color w:val="000000"/>
                <w:w w:val="20"/>
                <w:fitText w:val="90" w:id="-1500862453"/>
                <w14:textFill>
                  <w14:solidFill>
                    <w14:srgbClr w14:val="000000">
                      <w14:alpha w14:val="100000"/>
                    </w14:srgbClr>
                  </w14:solidFill>
                </w14:textFill>
              </w:rPr>
              <w:t xml:space="preserve">　</w:t>
            </w:r>
          </w:p>
        </w:tc>
        <w:tc>
          <w:tcPr>
            <w:tcW w:w="444" w:type="pct"/>
            <w:tcBorders>
              <w:top w:val="nil"/>
              <w:bottom w:val="nil"/>
            </w:tcBorders>
            <w:noWrap/>
            <w:hideMark/>
          </w:tcPr>
          <w:p w14:paraId="0C8876DA" w14:textId="5AC24475" w:rsidR="00645B7A" w:rsidRPr="00842260" w:rsidRDefault="00645B7A" w:rsidP="00645B7A">
            <w:pPr>
              <w:pStyle w:val="TableText0"/>
              <w:jc w:val="right"/>
              <w:rPr>
                <w:lang w:eastAsia="en-AU"/>
              </w:rPr>
            </w:pPr>
            <w:r w:rsidRPr="00842260">
              <w:t>0.166</w:t>
            </w:r>
          </w:p>
        </w:tc>
        <w:tc>
          <w:tcPr>
            <w:tcW w:w="550" w:type="pct"/>
            <w:tcBorders>
              <w:top w:val="nil"/>
              <w:bottom w:val="nil"/>
            </w:tcBorders>
            <w:noWrap/>
            <w:hideMark/>
          </w:tcPr>
          <w:p w14:paraId="6A445326" w14:textId="57EF0B9A" w:rsidR="00645B7A" w:rsidRPr="005029D4" w:rsidRDefault="007012DA" w:rsidP="00645B7A">
            <w:pPr>
              <w:pStyle w:val="TableText0"/>
              <w:jc w:val="right"/>
              <w:rPr>
                <w:highlight w:val="yellow"/>
                <w:lang w:eastAsia="en-AU"/>
              </w:rPr>
            </w:pPr>
            <w:r w:rsidRPr="007012DA">
              <w:rPr>
                <w:rFonts w:hint="eastAsia"/>
                <w:color w:val="000000"/>
                <w:w w:val="15"/>
                <w:shd w:val="solid" w:color="000000" w:fill="000000"/>
                <w:fitText w:val="50" w:id="-1500862452"/>
                <w14:textFill>
                  <w14:solidFill>
                    <w14:srgbClr w14:val="000000">
                      <w14:alpha w14:val="100000"/>
                    </w14:srgbClr>
                  </w14:solidFill>
                </w14:textFill>
              </w:rPr>
              <w:t xml:space="preserve">　</w:t>
            </w:r>
            <w:r w:rsidRPr="007012DA">
              <w:rPr>
                <w:color w:val="000000"/>
                <w:w w:val="15"/>
                <w:shd w:val="solid" w:color="000000" w:fill="000000"/>
                <w:fitText w:val="50" w:id="-1500862452"/>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2"/>
                <w14:textFill>
                  <w14:solidFill>
                    <w14:srgbClr w14:val="000000">
                      <w14:alpha w14:val="100000"/>
                    </w14:srgbClr>
                  </w14:solidFill>
                </w14:textFill>
              </w:rPr>
              <w:t xml:space="preserve">　</w:t>
            </w:r>
            <w:r w:rsidR="005029D4">
              <w:rPr>
                <w:vertAlign w:val="superscript"/>
                <w:lang w:eastAsia="en-AU"/>
              </w:rPr>
              <w:t>4</w:t>
            </w:r>
          </w:p>
        </w:tc>
        <w:tc>
          <w:tcPr>
            <w:tcW w:w="444" w:type="pct"/>
            <w:tcBorders>
              <w:top w:val="nil"/>
              <w:bottom w:val="nil"/>
            </w:tcBorders>
            <w:noWrap/>
            <w:hideMark/>
          </w:tcPr>
          <w:p w14:paraId="5A36BD5B" w14:textId="3AA30946" w:rsidR="00645B7A" w:rsidRPr="00842260" w:rsidRDefault="00645B7A" w:rsidP="00645B7A">
            <w:pPr>
              <w:pStyle w:val="TableText0"/>
              <w:jc w:val="right"/>
              <w:rPr>
                <w:lang w:eastAsia="en-AU"/>
              </w:rPr>
            </w:pPr>
            <w:r w:rsidRPr="00842260">
              <w:t>321%</w:t>
            </w:r>
          </w:p>
        </w:tc>
      </w:tr>
      <w:tr w:rsidR="00CE0B5F" w:rsidRPr="00842260" w14:paraId="09116F09" w14:textId="77777777" w:rsidTr="007012DA">
        <w:tc>
          <w:tcPr>
            <w:tcW w:w="3065" w:type="pct"/>
            <w:tcBorders>
              <w:top w:val="nil"/>
              <w:bottom w:val="single" w:sz="4" w:space="0" w:color="auto"/>
            </w:tcBorders>
            <w:noWrap/>
            <w:hideMark/>
          </w:tcPr>
          <w:p w14:paraId="281AC7CB" w14:textId="77777777" w:rsidR="00CE0B5F" w:rsidRPr="00842260" w:rsidRDefault="00CE0B5F" w:rsidP="00040FA2">
            <w:pPr>
              <w:pStyle w:val="TableText0"/>
              <w:numPr>
                <w:ilvl w:val="0"/>
                <w:numId w:val="10"/>
              </w:numPr>
              <w:ind w:left="447" w:hanging="283"/>
              <w:rPr>
                <w:lang w:eastAsia="en-AU"/>
              </w:rPr>
            </w:pPr>
            <w:r w:rsidRPr="00842260">
              <w:rPr>
                <w:lang w:eastAsia="en-AU"/>
              </w:rPr>
              <w:t>No effect beyond the observed period (month 42)</w:t>
            </w:r>
          </w:p>
        </w:tc>
        <w:tc>
          <w:tcPr>
            <w:tcW w:w="497" w:type="pct"/>
            <w:tcBorders>
              <w:top w:val="nil"/>
              <w:bottom w:val="single" w:sz="4" w:space="0" w:color="auto"/>
            </w:tcBorders>
            <w:shd w:val="solid" w:color="000000" w:fill="000000"/>
            <w:noWrap/>
            <w:hideMark/>
          </w:tcPr>
          <w:p w14:paraId="266F6DD2" w14:textId="00C4F8E6" w:rsidR="00CE0B5F" w:rsidRPr="007012DA" w:rsidRDefault="007012DA" w:rsidP="008C3917">
            <w:pPr>
              <w:pStyle w:val="TableText0"/>
              <w:jc w:val="right"/>
              <w:rPr>
                <w:lang w:eastAsia="en-AU"/>
              </w:rPr>
            </w:pPr>
            <w:r w:rsidRPr="007012DA">
              <w:rPr>
                <w:rFonts w:hint="eastAsia"/>
                <w:color w:val="000000"/>
                <w:w w:val="20"/>
                <w:fitText w:val="90" w:id="-1500862451"/>
                <w:lang w:eastAsia="en-AU"/>
                <w14:textFill>
                  <w14:solidFill>
                    <w14:srgbClr w14:val="000000">
                      <w14:alpha w14:val="100000"/>
                    </w14:srgbClr>
                  </w14:solidFill>
                </w14:textFill>
              </w:rPr>
              <w:t xml:space="preserve">　</w:t>
            </w:r>
            <w:r w:rsidRPr="007012DA">
              <w:rPr>
                <w:color w:val="000000"/>
                <w:w w:val="20"/>
                <w:fitText w:val="90" w:id="-1500862451"/>
                <w:lang w:eastAsia="en-AU"/>
                <w14:textFill>
                  <w14:solidFill>
                    <w14:srgbClr w14:val="000000">
                      <w14:alpha w14:val="100000"/>
                    </w14:srgbClr>
                  </w14:solidFill>
                </w14:textFill>
              </w:rPr>
              <w:t>|</w:t>
            </w:r>
            <w:r w:rsidRPr="007012DA">
              <w:rPr>
                <w:rFonts w:hint="eastAsia"/>
                <w:color w:val="000000"/>
                <w:w w:val="20"/>
                <w:fitText w:val="90" w:id="-1500862451"/>
                <w:lang w:eastAsia="en-AU"/>
                <w14:textFill>
                  <w14:solidFill>
                    <w14:srgbClr w14:val="000000">
                      <w14:alpha w14:val="100000"/>
                    </w14:srgbClr>
                  </w14:solidFill>
                </w14:textFill>
              </w:rPr>
              <w:t xml:space="preserve">　</w:t>
            </w:r>
          </w:p>
        </w:tc>
        <w:tc>
          <w:tcPr>
            <w:tcW w:w="444" w:type="pct"/>
            <w:tcBorders>
              <w:top w:val="nil"/>
              <w:bottom w:val="single" w:sz="4" w:space="0" w:color="auto"/>
            </w:tcBorders>
            <w:noWrap/>
            <w:hideMark/>
          </w:tcPr>
          <w:p w14:paraId="1BD4E3AD" w14:textId="77777777" w:rsidR="00CE0B5F" w:rsidRPr="00842260" w:rsidRDefault="00CE0B5F" w:rsidP="008C3917">
            <w:pPr>
              <w:pStyle w:val="TableText0"/>
              <w:jc w:val="right"/>
              <w:rPr>
                <w:lang w:eastAsia="en-AU"/>
              </w:rPr>
            </w:pPr>
            <w:r w:rsidRPr="00842260">
              <w:rPr>
                <w:lang w:eastAsia="en-AU"/>
              </w:rPr>
              <w:t>0.040</w:t>
            </w:r>
          </w:p>
        </w:tc>
        <w:tc>
          <w:tcPr>
            <w:tcW w:w="550" w:type="pct"/>
            <w:tcBorders>
              <w:top w:val="nil"/>
              <w:bottom w:val="single" w:sz="4" w:space="0" w:color="auto"/>
            </w:tcBorders>
            <w:noWrap/>
            <w:hideMark/>
          </w:tcPr>
          <w:p w14:paraId="512F1F87" w14:textId="57D6EBE2"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0"/>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0"/>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0"/>
                <w:lang w:eastAsia="en-AU"/>
                <w14:textFill>
                  <w14:solidFill>
                    <w14:srgbClr w14:val="000000">
                      <w14:alpha w14:val="100000"/>
                    </w14:srgbClr>
                  </w14:solidFill>
                </w14:textFill>
              </w:rPr>
              <w:t xml:space="preserve">　</w:t>
            </w:r>
            <w:r w:rsidR="005029D4">
              <w:rPr>
                <w:vertAlign w:val="superscript"/>
                <w:lang w:eastAsia="en-AU"/>
              </w:rPr>
              <w:t>5</w:t>
            </w:r>
          </w:p>
        </w:tc>
        <w:tc>
          <w:tcPr>
            <w:tcW w:w="444" w:type="pct"/>
            <w:tcBorders>
              <w:top w:val="nil"/>
              <w:bottom w:val="single" w:sz="4" w:space="0" w:color="auto"/>
            </w:tcBorders>
            <w:noWrap/>
            <w:hideMark/>
          </w:tcPr>
          <w:p w14:paraId="17D95EAA" w14:textId="77777777" w:rsidR="00CE0B5F" w:rsidRPr="00842260" w:rsidRDefault="00CE0B5F" w:rsidP="008C3917">
            <w:pPr>
              <w:pStyle w:val="TableText0"/>
              <w:jc w:val="right"/>
              <w:rPr>
                <w:lang w:eastAsia="en-AU"/>
              </w:rPr>
            </w:pPr>
            <w:r w:rsidRPr="00842260">
              <w:rPr>
                <w:lang w:eastAsia="en-AU"/>
              </w:rPr>
              <w:t>1717%</w:t>
            </w:r>
          </w:p>
        </w:tc>
      </w:tr>
      <w:tr w:rsidR="00BA39F4" w:rsidRPr="00842260" w14:paraId="099958B8" w14:textId="77777777" w:rsidTr="007012DA">
        <w:tc>
          <w:tcPr>
            <w:tcW w:w="3065" w:type="pct"/>
            <w:noWrap/>
            <w:hideMark/>
          </w:tcPr>
          <w:p w14:paraId="137D28E7" w14:textId="77777777" w:rsidR="00BA39F4" w:rsidRPr="00842260" w:rsidRDefault="00BA39F4" w:rsidP="00337B8E">
            <w:pPr>
              <w:pStyle w:val="TableText0"/>
              <w:rPr>
                <w:lang w:eastAsia="en-AU"/>
              </w:rPr>
            </w:pPr>
            <w:r w:rsidRPr="00842260">
              <w:rPr>
                <w:lang w:eastAsia="en-AU"/>
              </w:rPr>
              <w:t>Age at model entry (base case: 52.1 years), 61.4 years</w:t>
            </w:r>
          </w:p>
        </w:tc>
        <w:tc>
          <w:tcPr>
            <w:tcW w:w="497" w:type="pct"/>
            <w:shd w:val="solid" w:color="000000" w:fill="000000"/>
            <w:noWrap/>
            <w:hideMark/>
          </w:tcPr>
          <w:p w14:paraId="4396D712" w14:textId="337C1B69" w:rsidR="00BA39F4" w:rsidRPr="007012DA" w:rsidRDefault="007012DA" w:rsidP="00337B8E">
            <w:pPr>
              <w:pStyle w:val="TableText0"/>
              <w:jc w:val="right"/>
              <w:rPr>
                <w:lang w:eastAsia="en-AU"/>
              </w:rPr>
            </w:pPr>
            <w:r w:rsidRPr="007012DA">
              <w:rPr>
                <w:rFonts w:hint="eastAsia"/>
                <w:color w:val="000000"/>
                <w:w w:val="20"/>
                <w:fitText w:val="90" w:id="-1500862449"/>
                <w:lang w:eastAsia="en-AU"/>
                <w14:textFill>
                  <w14:solidFill>
                    <w14:srgbClr w14:val="000000">
                      <w14:alpha w14:val="100000"/>
                    </w14:srgbClr>
                  </w14:solidFill>
                </w14:textFill>
              </w:rPr>
              <w:t xml:space="preserve">　</w:t>
            </w:r>
            <w:r w:rsidRPr="007012DA">
              <w:rPr>
                <w:color w:val="000000"/>
                <w:w w:val="20"/>
                <w:fitText w:val="90" w:id="-1500862449"/>
                <w:lang w:eastAsia="en-AU"/>
                <w14:textFill>
                  <w14:solidFill>
                    <w14:srgbClr w14:val="000000">
                      <w14:alpha w14:val="100000"/>
                    </w14:srgbClr>
                  </w14:solidFill>
                </w14:textFill>
              </w:rPr>
              <w:t>|</w:t>
            </w:r>
            <w:r w:rsidRPr="007012DA">
              <w:rPr>
                <w:rFonts w:hint="eastAsia"/>
                <w:color w:val="000000"/>
                <w:w w:val="20"/>
                <w:fitText w:val="90" w:id="-1500862449"/>
                <w:lang w:eastAsia="en-AU"/>
                <w14:textFill>
                  <w14:solidFill>
                    <w14:srgbClr w14:val="000000">
                      <w14:alpha w14:val="100000"/>
                    </w14:srgbClr>
                  </w14:solidFill>
                </w14:textFill>
              </w:rPr>
              <w:t xml:space="preserve">　</w:t>
            </w:r>
          </w:p>
        </w:tc>
        <w:tc>
          <w:tcPr>
            <w:tcW w:w="444" w:type="pct"/>
            <w:noWrap/>
            <w:hideMark/>
          </w:tcPr>
          <w:p w14:paraId="0CC5AD60" w14:textId="77777777" w:rsidR="00BA39F4" w:rsidRPr="00842260" w:rsidRDefault="00BA39F4" w:rsidP="00337B8E">
            <w:pPr>
              <w:pStyle w:val="TableText0"/>
              <w:jc w:val="right"/>
              <w:rPr>
                <w:lang w:eastAsia="en-AU"/>
              </w:rPr>
            </w:pPr>
            <w:r w:rsidRPr="00842260">
              <w:rPr>
                <w:lang w:eastAsia="en-AU"/>
              </w:rPr>
              <w:t>0.496</w:t>
            </w:r>
          </w:p>
        </w:tc>
        <w:tc>
          <w:tcPr>
            <w:tcW w:w="550" w:type="pct"/>
            <w:noWrap/>
            <w:hideMark/>
          </w:tcPr>
          <w:p w14:paraId="1698FB91" w14:textId="5212C177" w:rsidR="00BA39F4" w:rsidRPr="005029D4" w:rsidRDefault="007012DA" w:rsidP="00337B8E">
            <w:pPr>
              <w:pStyle w:val="TableText0"/>
              <w:jc w:val="right"/>
              <w:rPr>
                <w:highlight w:val="yellow"/>
                <w:lang w:eastAsia="en-AU"/>
              </w:rPr>
            </w:pPr>
            <w:r w:rsidRPr="007012DA">
              <w:rPr>
                <w:rFonts w:hint="eastAsia"/>
                <w:color w:val="000000"/>
                <w:w w:val="15"/>
                <w:shd w:val="solid" w:color="000000" w:fill="000000"/>
                <w:fitText w:val="50" w:id="-1500862448"/>
                <w:lang w:eastAsia="en-AU"/>
                <w14:textFill>
                  <w14:solidFill>
                    <w14:srgbClr w14:val="000000">
                      <w14:alpha w14:val="100000"/>
                    </w14:srgbClr>
                  </w14:solidFill>
                </w14:textFill>
              </w:rPr>
              <w:t xml:space="preserve">　</w:t>
            </w:r>
            <w:r w:rsidRPr="007012DA">
              <w:rPr>
                <w:color w:val="000000"/>
                <w:w w:val="15"/>
                <w:shd w:val="solid" w:color="000000" w:fill="000000"/>
                <w:fitText w:val="50" w:id="-1500862448"/>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48"/>
                <w:lang w:eastAsia="en-AU"/>
                <w14:textFill>
                  <w14:solidFill>
                    <w14:srgbClr w14:val="000000">
                      <w14:alpha w14:val="100000"/>
                    </w14:srgbClr>
                  </w14:solidFill>
                </w14:textFill>
              </w:rPr>
              <w:t xml:space="preserve">　</w:t>
            </w:r>
            <w:r w:rsidR="005029D4">
              <w:rPr>
                <w:vertAlign w:val="superscript"/>
                <w:lang w:eastAsia="en-AU"/>
              </w:rPr>
              <w:t>3</w:t>
            </w:r>
          </w:p>
        </w:tc>
        <w:tc>
          <w:tcPr>
            <w:tcW w:w="444" w:type="pct"/>
            <w:noWrap/>
            <w:hideMark/>
          </w:tcPr>
          <w:p w14:paraId="05F7AC4A" w14:textId="77777777" w:rsidR="00BA39F4" w:rsidRPr="00842260" w:rsidRDefault="00BA39F4" w:rsidP="00337B8E">
            <w:pPr>
              <w:pStyle w:val="TableText0"/>
              <w:jc w:val="right"/>
              <w:rPr>
                <w:lang w:eastAsia="en-AU"/>
              </w:rPr>
            </w:pPr>
            <w:r w:rsidRPr="00842260">
              <w:rPr>
                <w:lang w:eastAsia="en-AU"/>
              </w:rPr>
              <w:t>31%</w:t>
            </w:r>
          </w:p>
        </w:tc>
      </w:tr>
      <w:tr w:rsidR="00CE0B5F" w:rsidRPr="00842260" w14:paraId="7CE49DEA" w14:textId="77777777" w:rsidTr="007012DA">
        <w:tc>
          <w:tcPr>
            <w:tcW w:w="3065" w:type="pct"/>
            <w:tcBorders>
              <w:bottom w:val="nil"/>
            </w:tcBorders>
            <w:noWrap/>
            <w:hideMark/>
          </w:tcPr>
          <w:p w14:paraId="72C31FCC" w14:textId="5F4549F6" w:rsidR="00CE0B5F" w:rsidRPr="00842260" w:rsidRDefault="00CE0B5F" w:rsidP="008C3917">
            <w:pPr>
              <w:pStyle w:val="TableText0"/>
              <w:rPr>
                <w:lang w:eastAsia="en-AU"/>
              </w:rPr>
            </w:pPr>
            <w:r w:rsidRPr="00842260">
              <w:rPr>
                <w:lang w:eastAsia="en-AU"/>
              </w:rPr>
              <w:t>Proportion of NMR (base case: ABE</w:t>
            </w:r>
            <w:r w:rsidR="00F102D0" w:rsidRPr="00842260">
              <w:rPr>
                <w:lang w:eastAsia="en-AU"/>
              </w:rPr>
              <w:t> </w:t>
            </w:r>
            <w:r w:rsidRPr="00842260">
              <w:rPr>
                <w:lang w:eastAsia="en-AU"/>
              </w:rPr>
              <w:t>+</w:t>
            </w:r>
            <w:r w:rsidR="00F102D0" w:rsidRPr="00842260">
              <w:rPr>
                <w:lang w:eastAsia="en-AU"/>
              </w:rPr>
              <w:t> </w:t>
            </w:r>
            <w:r w:rsidRPr="00842260">
              <w:rPr>
                <w:lang w:eastAsia="en-AU"/>
              </w:rPr>
              <w:t>ET: 28%, ET: 26%)</w:t>
            </w:r>
          </w:p>
        </w:tc>
        <w:tc>
          <w:tcPr>
            <w:tcW w:w="497" w:type="pct"/>
            <w:tcBorders>
              <w:bottom w:val="nil"/>
            </w:tcBorders>
            <w:noWrap/>
            <w:hideMark/>
          </w:tcPr>
          <w:p w14:paraId="42A7C427"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391CED80" w14:textId="77777777" w:rsidR="00CE0B5F" w:rsidRPr="00842260" w:rsidRDefault="00CE0B5F" w:rsidP="008C3917">
            <w:pPr>
              <w:pStyle w:val="TableText0"/>
              <w:jc w:val="right"/>
              <w:rPr>
                <w:lang w:eastAsia="en-AU"/>
              </w:rPr>
            </w:pPr>
          </w:p>
        </w:tc>
        <w:tc>
          <w:tcPr>
            <w:tcW w:w="550" w:type="pct"/>
            <w:tcBorders>
              <w:bottom w:val="nil"/>
            </w:tcBorders>
            <w:noWrap/>
            <w:hideMark/>
          </w:tcPr>
          <w:p w14:paraId="25D01F78" w14:textId="77777777" w:rsidR="00CE0B5F" w:rsidRPr="005029D4" w:rsidRDefault="00CE0B5F" w:rsidP="008C3917">
            <w:pPr>
              <w:pStyle w:val="TableText0"/>
              <w:jc w:val="right"/>
              <w:rPr>
                <w:highlight w:val="yellow"/>
                <w:lang w:eastAsia="en-AU"/>
              </w:rPr>
            </w:pPr>
          </w:p>
        </w:tc>
        <w:tc>
          <w:tcPr>
            <w:tcW w:w="444" w:type="pct"/>
            <w:tcBorders>
              <w:bottom w:val="nil"/>
            </w:tcBorders>
            <w:noWrap/>
            <w:hideMark/>
          </w:tcPr>
          <w:p w14:paraId="3C53FB83" w14:textId="77777777" w:rsidR="00CE0B5F" w:rsidRPr="00842260" w:rsidRDefault="00CE0B5F" w:rsidP="008C3917">
            <w:pPr>
              <w:pStyle w:val="TableText0"/>
              <w:jc w:val="right"/>
              <w:rPr>
                <w:lang w:eastAsia="en-AU"/>
              </w:rPr>
            </w:pPr>
          </w:p>
        </w:tc>
      </w:tr>
      <w:tr w:rsidR="00CE0B5F" w:rsidRPr="00842260" w14:paraId="17DE8A91" w14:textId="77777777" w:rsidTr="007012DA">
        <w:tc>
          <w:tcPr>
            <w:tcW w:w="3065" w:type="pct"/>
            <w:tcBorders>
              <w:top w:val="nil"/>
              <w:bottom w:val="nil"/>
            </w:tcBorders>
            <w:noWrap/>
            <w:hideMark/>
          </w:tcPr>
          <w:p w14:paraId="698B053A" w14:textId="77777777" w:rsidR="00CE0B5F" w:rsidRPr="00842260" w:rsidRDefault="00CE0B5F" w:rsidP="00040FA2">
            <w:pPr>
              <w:pStyle w:val="TableText0"/>
              <w:numPr>
                <w:ilvl w:val="0"/>
                <w:numId w:val="10"/>
              </w:numPr>
              <w:ind w:left="447" w:hanging="283"/>
              <w:rPr>
                <w:lang w:eastAsia="en-AU"/>
              </w:rPr>
            </w:pPr>
            <w:r w:rsidRPr="00842260">
              <w:rPr>
                <w:lang w:eastAsia="en-AU"/>
              </w:rPr>
              <w:t xml:space="preserve">27% both arms (average across all patients in </w:t>
            </w:r>
            <w:proofErr w:type="spellStart"/>
            <w:r w:rsidRPr="00842260">
              <w:rPr>
                <w:lang w:eastAsia="en-AU"/>
              </w:rPr>
              <w:t>monarchE</w:t>
            </w:r>
            <w:proofErr w:type="spellEnd"/>
            <w:r w:rsidRPr="00842260">
              <w:rPr>
                <w:lang w:eastAsia="en-AU"/>
              </w:rPr>
              <w:t xml:space="preserve">) </w:t>
            </w:r>
            <w:r w:rsidRPr="00842260">
              <w:rPr>
                <w:b/>
                <w:lang w:eastAsia="en-AU"/>
              </w:rPr>
              <w:t>(#4)</w:t>
            </w:r>
          </w:p>
        </w:tc>
        <w:tc>
          <w:tcPr>
            <w:tcW w:w="497" w:type="pct"/>
            <w:tcBorders>
              <w:top w:val="nil"/>
              <w:bottom w:val="single" w:sz="4" w:space="0" w:color="auto"/>
            </w:tcBorders>
            <w:shd w:val="solid" w:color="000000" w:fill="000000"/>
            <w:noWrap/>
            <w:hideMark/>
          </w:tcPr>
          <w:p w14:paraId="15547F94" w14:textId="248C7629" w:rsidR="00CE0B5F" w:rsidRPr="007012DA" w:rsidRDefault="007012DA" w:rsidP="008C3917">
            <w:pPr>
              <w:pStyle w:val="TableText0"/>
              <w:jc w:val="right"/>
              <w:rPr>
                <w:lang w:eastAsia="en-AU"/>
              </w:rPr>
            </w:pPr>
            <w:r w:rsidRPr="007012DA">
              <w:rPr>
                <w:rFonts w:hint="eastAsia"/>
                <w:color w:val="000000"/>
                <w:w w:val="20"/>
                <w:fitText w:val="90" w:id="-1500862464"/>
                <w:lang w:eastAsia="en-AU"/>
                <w14:textFill>
                  <w14:solidFill>
                    <w14:srgbClr w14:val="000000">
                      <w14:alpha w14:val="100000"/>
                    </w14:srgbClr>
                  </w14:solidFill>
                </w14:textFill>
              </w:rPr>
              <w:t xml:space="preserve">　</w:t>
            </w:r>
            <w:r w:rsidRPr="007012DA">
              <w:rPr>
                <w:color w:val="000000"/>
                <w:w w:val="20"/>
                <w:fitText w:val="90" w:id="-1500862464"/>
                <w:lang w:eastAsia="en-AU"/>
                <w14:textFill>
                  <w14:solidFill>
                    <w14:srgbClr w14:val="000000">
                      <w14:alpha w14:val="100000"/>
                    </w14:srgbClr>
                  </w14:solidFill>
                </w14:textFill>
              </w:rPr>
              <w:t>|</w:t>
            </w:r>
            <w:r w:rsidRPr="007012DA">
              <w:rPr>
                <w:rFonts w:hint="eastAsia"/>
                <w:color w:val="000000"/>
                <w:w w:val="20"/>
                <w:fitText w:val="90" w:id="-1500862464"/>
                <w:lang w:eastAsia="en-AU"/>
                <w14:textFill>
                  <w14:solidFill>
                    <w14:srgbClr w14:val="000000">
                      <w14:alpha w14:val="100000"/>
                    </w14:srgbClr>
                  </w14:solidFill>
                </w14:textFill>
              </w:rPr>
              <w:t xml:space="preserve">　</w:t>
            </w:r>
          </w:p>
        </w:tc>
        <w:tc>
          <w:tcPr>
            <w:tcW w:w="444" w:type="pct"/>
            <w:tcBorders>
              <w:top w:val="nil"/>
              <w:bottom w:val="nil"/>
            </w:tcBorders>
            <w:noWrap/>
            <w:hideMark/>
          </w:tcPr>
          <w:p w14:paraId="65AF0DC1" w14:textId="77777777" w:rsidR="00CE0B5F" w:rsidRPr="00842260" w:rsidRDefault="00CE0B5F" w:rsidP="008C3917">
            <w:pPr>
              <w:pStyle w:val="TableText0"/>
              <w:jc w:val="right"/>
              <w:rPr>
                <w:lang w:eastAsia="en-AU"/>
              </w:rPr>
            </w:pPr>
            <w:r w:rsidRPr="00842260">
              <w:rPr>
                <w:lang w:eastAsia="en-AU"/>
              </w:rPr>
              <w:t>0.565</w:t>
            </w:r>
          </w:p>
        </w:tc>
        <w:tc>
          <w:tcPr>
            <w:tcW w:w="550" w:type="pct"/>
            <w:tcBorders>
              <w:top w:val="nil"/>
              <w:bottom w:val="nil"/>
            </w:tcBorders>
            <w:noWrap/>
            <w:hideMark/>
          </w:tcPr>
          <w:p w14:paraId="07AF9FC6" w14:textId="05353923"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63"/>
                <w:lang w:eastAsia="en-AU"/>
                <w14:textFill>
                  <w14:solidFill>
                    <w14:srgbClr w14:val="000000">
                      <w14:alpha w14:val="100000"/>
                    </w14:srgbClr>
                  </w14:solidFill>
                </w14:textFill>
              </w:rPr>
              <w:t xml:space="preserve">　</w:t>
            </w:r>
            <w:r w:rsidRPr="007012DA">
              <w:rPr>
                <w:color w:val="000000"/>
                <w:w w:val="15"/>
                <w:shd w:val="solid" w:color="000000" w:fill="000000"/>
                <w:fitText w:val="50" w:id="-1500862463"/>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63"/>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nil"/>
            </w:tcBorders>
            <w:noWrap/>
            <w:hideMark/>
          </w:tcPr>
          <w:p w14:paraId="77912FAA" w14:textId="77777777" w:rsidR="00CE0B5F" w:rsidRPr="00842260" w:rsidRDefault="00CE0B5F" w:rsidP="008C3917">
            <w:pPr>
              <w:pStyle w:val="TableText0"/>
              <w:jc w:val="right"/>
              <w:rPr>
                <w:lang w:eastAsia="en-AU"/>
              </w:rPr>
            </w:pPr>
            <w:r w:rsidRPr="00842260">
              <w:rPr>
                <w:lang w:eastAsia="en-AU"/>
              </w:rPr>
              <w:t>9%</w:t>
            </w:r>
          </w:p>
        </w:tc>
      </w:tr>
      <w:tr w:rsidR="00CE0B5F" w:rsidRPr="00842260" w14:paraId="76CB757A" w14:textId="77777777" w:rsidTr="007012DA">
        <w:tc>
          <w:tcPr>
            <w:tcW w:w="3065" w:type="pct"/>
            <w:tcBorders>
              <w:bottom w:val="nil"/>
              <w:right w:val="single" w:sz="4" w:space="0" w:color="auto"/>
            </w:tcBorders>
            <w:noWrap/>
          </w:tcPr>
          <w:p w14:paraId="22348CC9" w14:textId="77777777" w:rsidR="00CE0B5F" w:rsidRPr="00842260" w:rsidRDefault="00CE0B5F" w:rsidP="008C3917">
            <w:pPr>
              <w:pStyle w:val="TableText0"/>
              <w:rPr>
                <w:lang w:eastAsia="en-AU"/>
              </w:rPr>
            </w:pPr>
            <w:r w:rsidRPr="00842260">
              <w:rPr>
                <w:lang w:eastAsia="en-AU"/>
              </w:rPr>
              <w:t>Costs</w:t>
            </w:r>
          </w:p>
        </w:tc>
        <w:tc>
          <w:tcPr>
            <w:tcW w:w="497" w:type="pct"/>
            <w:tcBorders>
              <w:top w:val="single" w:sz="4" w:space="0" w:color="auto"/>
              <w:left w:val="single" w:sz="4" w:space="0" w:color="auto"/>
              <w:bottom w:val="nil"/>
              <w:right w:val="single" w:sz="4" w:space="0" w:color="auto"/>
            </w:tcBorders>
            <w:noWrap/>
          </w:tcPr>
          <w:p w14:paraId="5509C173" w14:textId="77777777" w:rsidR="00CE0B5F" w:rsidRPr="005029D4" w:rsidRDefault="00CE0B5F" w:rsidP="008C3917">
            <w:pPr>
              <w:pStyle w:val="TableText0"/>
              <w:jc w:val="right"/>
              <w:rPr>
                <w:highlight w:val="yellow"/>
                <w:lang w:eastAsia="en-AU"/>
              </w:rPr>
            </w:pPr>
          </w:p>
        </w:tc>
        <w:tc>
          <w:tcPr>
            <w:tcW w:w="444" w:type="pct"/>
            <w:tcBorders>
              <w:left w:val="single" w:sz="4" w:space="0" w:color="auto"/>
              <w:bottom w:val="nil"/>
              <w:right w:val="single" w:sz="4" w:space="0" w:color="auto"/>
            </w:tcBorders>
            <w:noWrap/>
          </w:tcPr>
          <w:p w14:paraId="724F4F16" w14:textId="77777777" w:rsidR="00CE0B5F" w:rsidRPr="00842260" w:rsidRDefault="00CE0B5F" w:rsidP="008C3917">
            <w:pPr>
              <w:pStyle w:val="TableText0"/>
              <w:jc w:val="right"/>
              <w:rPr>
                <w:lang w:eastAsia="en-AU"/>
              </w:rPr>
            </w:pPr>
          </w:p>
        </w:tc>
        <w:tc>
          <w:tcPr>
            <w:tcW w:w="550" w:type="pct"/>
            <w:tcBorders>
              <w:left w:val="single" w:sz="4" w:space="0" w:color="auto"/>
              <w:bottom w:val="nil"/>
              <w:right w:val="single" w:sz="4" w:space="0" w:color="auto"/>
            </w:tcBorders>
            <w:noWrap/>
          </w:tcPr>
          <w:p w14:paraId="6799F7ED" w14:textId="77777777" w:rsidR="00CE0B5F" w:rsidRPr="005029D4" w:rsidRDefault="00CE0B5F" w:rsidP="008C3917">
            <w:pPr>
              <w:pStyle w:val="TableText0"/>
              <w:jc w:val="right"/>
              <w:rPr>
                <w:highlight w:val="yellow"/>
                <w:lang w:eastAsia="en-AU"/>
              </w:rPr>
            </w:pPr>
          </w:p>
        </w:tc>
        <w:tc>
          <w:tcPr>
            <w:tcW w:w="444" w:type="pct"/>
            <w:tcBorders>
              <w:left w:val="single" w:sz="4" w:space="0" w:color="auto"/>
              <w:bottom w:val="nil"/>
            </w:tcBorders>
            <w:noWrap/>
          </w:tcPr>
          <w:p w14:paraId="18C91F88" w14:textId="77777777" w:rsidR="00CE0B5F" w:rsidRPr="00842260" w:rsidRDefault="00CE0B5F" w:rsidP="008C3917">
            <w:pPr>
              <w:pStyle w:val="TableText0"/>
              <w:jc w:val="right"/>
              <w:rPr>
                <w:lang w:eastAsia="en-AU"/>
              </w:rPr>
            </w:pPr>
          </w:p>
        </w:tc>
      </w:tr>
      <w:tr w:rsidR="00CE0B5F" w:rsidRPr="00842260" w14:paraId="3071E1E6" w14:textId="77777777" w:rsidTr="007012DA">
        <w:tc>
          <w:tcPr>
            <w:tcW w:w="3065" w:type="pct"/>
            <w:tcBorders>
              <w:top w:val="nil"/>
              <w:bottom w:val="nil"/>
            </w:tcBorders>
            <w:noWrap/>
          </w:tcPr>
          <w:p w14:paraId="7666B7B0" w14:textId="0B25B04A" w:rsidR="00CE0B5F" w:rsidRPr="00890808" w:rsidRDefault="00CE0B5F" w:rsidP="00040FA2">
            <w:pPr>
              <w:pStyle w:val="TableText0"/>
              <w:numPr>
                <w:ilvl w:val="0"/>
                <w:numId w:val="10"/>
              </w:numPr>
              <w:ind w:left="447" w:hanging="283"/>
              <w:rPr>
                <w:lang w:eastAsia="en-AU"/>
              </w:rPr>
            </w:pPr>
            <w:r w:rsidRPr="00890808">
              <w:rPr>
                <w:lang w:eastAsia="en-AU"/>
              </w:rPr>
              <w:t>ECG costs (base case: $421.20), $32.55</w:t>
            </w:r>
            <w:r w:rsidR="00F102D0" w:rsidRPr="00890808">
              <w:rPr>
                <w:lang w:eastAsia="en-AU"/>
              </w:rPr>
              <w:t xml:space="preserve"> </w:t>
            </w:r>
            <w:r w:rsidR="00F102D0" w:rsidRPr="00890808">
              <w:rPr>
                <w:vertAlign w:val="superscript"/>
                <w:lang w:eastAsia="en-AU"/>
              </w:rPr>
              <w:t>a</w:t>
            </w:r>
            <w:r w:rsidRPr="00890808">
              <w:rPr>
                <w:vertAlign w:val="superscript"/>
                <w:lang w:eastAsia="en-AU"/>
              </w:rPr>
              <w:t xml:space="preserve"> </w:t>
            </w:r>
            <w:r w:rsidRPr="00890808">
              <w:rPr>
                <w:b/>
                <w:lang w:eastAsia="en-AU"/>
              </w:rPr>
              <w:t>(#5)</w:t>
            </w:r>
          </w:p>
        </w:tc>
        <w:tc>
          <w:tcPr>
            <w:tcW w:w="497" w:type="pct"/>
            <w:tcBorders>
              <w:top w:val="nil"/>
              <w:bottom w:val="nil"/>
            </w:tcBorders>
            <w:shd w:val="solid" w:color="000000" w:fill="000000"/>
            <w:noWrap/>
          </w:tcPr>
          <w:p w14:paraId="5DA1CA34" w14:textId="0F217188" w:rsidR="00CE0B5F" w:rsidRPr="007012DA" w:rsidRDefault="007012DA" w:rsidP="008C3917">
            <w:pPr>
              <w:pStyle w:val="TableText0"/>
              <w:jc w:val="right"/>
              <w:rPr>
                <w:lang w:eastAsia="en-AU"/>
              </w:rPr>
            </w:pPr>
            <w:r w:rsidRPr="007012DA">
              <w:rPr>
                <w:rFonts w:hint="eastAsia"/>
                <w:color w:val="000000"/>
                <w:w w:val="20"/>
                <w:fitText w:val="90" w:id="-1500862462"/>
                <w:lang w:eastAsia="en-AU"/>
                <w14:textFill>
                  <w14:solidFill>
                    <w14:srgbClr w14:val="000000">
                      <w14:alpha w14:val="100000"/>
                    </w14:srgbClr>
                  </w14:solidFill>
                </w14:textFill>
              </w:rPr>
              <w:t xml:space="preserve">　</w:t>
            </w:r>
            <w:r w:rsidRPr="007012DA">
              <w:rPr>
                <w:color w:val="000000"/>
                <w:w w:val="20"/>
                <w:fitText w:val="90" w:id="-1500862462"/>
                <w:lang w:eastAsia="en-AU"/>
                <w14:textFill>
                  <w14:solidFill>
                    <w14:srgbClr w14:val="000000">
                      <w14:alpha w14:val="100000"/>
                    </w14:srgbClr>
                  </w14:solidFill>
                </w14:textFill>
              </w:rPr>
              <w:t>|</w:t>
            </w:r>
            <w:r w:rsidRPr="007012DA">
              <w:rPr>
                <w:rFonts w:hint="eastAsia"/>
                <w:color w:val="000000"/>
                <w:w w:val="20"/>
                <w:fitText w:val="90" w:id="-1500862462"/>
                <w:lang w:eastAsia="en-AU"/>
                <w14:textFill>
                  <w14:solidFill>
                    <w14:srgbClr w14:val="000000">
                      <w14:alpha w14:val="100000"/>
                    </w14:srgbClr>
                  </w14:solidFill>
                </w14:textFill>
              </w:rPr>
              <w:t xml:space="preserve">　</w:t>
            </w:r>
          </w:p>
        </w:tc>
        <w:tc>
          <w:tcPr>
            <w:tcW w:w="444" w:type="pct"/>
            <w:tcBorders>
              <w:top w:val="nil"/>
              <w:bottom w:val="nil"/>
            </w:tcBorders>
            <w:noWrap/>
          </w:tcPr>
          <w:p w14:paraId="22D7230E" w14:textId="77777777" w:rsidR="00CE0B5F" w:rsidRPr="00842260" w:rsidRDefault="00CE0B5F" w:rsidP="008C3917">
            <w:pPr>
              <w:pStyle w:val="TableText0"/>
              <w:jc w:val="right"/>
              <w:rPr>
                <w:lang w:eastAsia="en-AU"/>
              </w:rPr>
            </w:pPr>
            <w:r w:rsidRPr="00842260">
              <w:rPr>
                <w:lang w:eastAsia="en-AU"/>
              </w:rPr>
              <w:t>0.598</w:t>
            </w:r>
          </w:p>
        </w:tc>
        <w:tc>
          <w:tcPr>
            <w:tcW w:w="550" w:type="pct"/>
            <w:tcBorders>
              <w:top w:val="nil"/>
              <w:bottom w:val="nil"/>
            </w:tcBorders>
            <w:noWrap/>
          </w:tcPr>
          <w:p w14:paraId="326894B9" w14:textId="1CCBF919"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61"/>
                <w:lang w:eastAsia="en-AU"/>
                <w14:textFill>
                  <w14:solidFill>
                    <w14:srgbClr w14:val="000000">
                      <w14:alpha w14:val="100000"/>
                    </w14:srgbClr>
                  </w14:solidFill>
                </w14:textFill>
              </w:rPr>
              <w:t xml:space="preserve">　</w:t>
            </w:r>
            <w:r w:rsidRPr="007012DA">
              <w:rPr>
                <w:color w:val="000000"/>
                <w:w w:val="15"/>
                <w:shd w:val="solid" w:color="000000" w:fill="000000"/>
                <w:fitText w:val="50" w:id="-1500862461"/>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61"/>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nil"/>
            </w:tcBorders>
            <w:noWrap/>
          </w:tcPr>
          <w:p w14:paraId="711E3F5E" w14:textId="77777777" w:rsidR="00CE0B5F" w:rsidRPr="00842260" w:rsidRDefault="00CE0B5F" w:rsidP="008C3917">
            <w:pPr>
              <w:pStyle w:val="TableText0"/>
              <w:jc w:val="right"/>
              <w:rPr>
                <w:lang w:eastAsia="en-AU"/>
              </w:rPr>
            </w:pPr>
            <w:r w:rsidRPr="00842260">
              <w:rPr>
                <w:lang w:eastAsia="en-AU"/>
              </w:rPr>
              <w:t>9%</w:t>
            </w:r>
          </w:p>
        </w:tc>
      </w:tr>
      <w:tr w:rsidR="00CE0B5F" w:rsidRPr="00842260" w14:paraId="48038165" w14:textId="77777777" w:rsidTr="007012DA">
        <w:tc>
          <w:tcPr>
            <w:tcW w:w="3065" w:type="pct"/>
            <w:tcBorders>
              <w:top w:val="nil"/>
              <w:bottom w:val="nil"/>
            </w:tcBorders>
            <w:noWrap/>
          </w:tcPr>
          <w:p w14:paraId="1BF40C00" w14:textId="6766CF18" w:rsidR="00CE0B5F" w:rsidRPr="00890808" w:rsidRDefault="00CE0B5F" w:rsidP="00040FA2">
            <w:pPr>
              <w:pStyle w:val="TableText0"/>
              <w:numPr>
                <w:ilvl w:val="0"/>
                <w:numId w:val="10"/>
              </w:numPr>
              <w:ind w:left="447" w:hanging="283"/>
              <w:rPr>
                <w:lang w:eastAsia="en-AU"/>
              </w:rPr>
            </w:pPr>
            <w:proofErr w:type="spellStart"/>
            <w:r w:rsidRPr="00890808">
              <w:rPr>
                <w:lang w:eastAsia="en-AU"/>
              </w:rPr>
              <w:t>Fulvestrant</w:t>
            </w:r>
            <w:proofErr w:type="spellEnd"/>
            <w:r w:rsidRPr="00890808">
              <w:rPr>
                <w:lang w:eastAsia="en-AU"/>
              </w:rPr>
              <w:t xml:space="preserve"> cost (base case: $345.77), $261.10</w:t>
            </w:r>
            <w:r w:rsidR="00F102D0" w:rsidRPr="00890808">
              <w:rPr>
                <w:lang w:eastAsia="en-AU"/>
              </w:rPr>
              <w:t xml:space="preserve"> </w:t>
            </w:r>
            <w:r w:rsidR="00F102D0" w:rsidRPr="00890808">
              <w:rPr>
                <w:vertAlign w:val="superscript"/>
                <w:lang w:eastAsia="en-AU"/>
              </w:rPr>
              <w:t>b</w:t>
            </w:r>
            <w:r w:rsidRPr="00890808">
              <w:rPr>
                <w:lang w:eastAsia="en-AU"/>
              </w:rPr>
              <w:t xml:space="preserve"> </w:t>
            </w:r>
            <w:r w:rsidRPr="00890808">
              <w:rPr>
                <w:b/>
                <w:lang w:eastAsia="en-AU"/>
              </w:rPr>
              <w:t>(#5)</w:t>
            </w:r>
          </w:p>
        </w:tc>
        <w:tc>
          <w:tcPr>
            <w:tcW w:w="497" w:type="pct"/>
            <w:tcBorders>
              <w:top w:val="nil"/>
              <w:bottom w:val="nil"/>
            </w:tcBorders>
            <w:shd w:val="solid" w:color="000000" w:fill="000000"/>
            <w:noWrap/>
          </w:tcPr>
          <w:p w14:paraId="7C7D0E80" w14:textId="3000E6FD" w:rsidR="00CE0B5F" w:rsidRPr="007012DA" w:rsidRDefault="007012DA" w:rsidP="008C3917">
            <w:pPr>
              <w:pStyle w:val="TableText0"/>
              <w:jc w:val="right"/>
            </w:pPr>
            <w:r w:rsidRPr="007012DA">
              <w:rPr>
                <w:rFonts w:hint="eastAsia"/>
                <w:color w:val="000000"/>
                <w:w w:val="20"/>
                <w:fitText w:val="90" w:id="-1500862460"/>
                <w14:textFill>
                  <w14:solidFill>
                    <w14:srgbClr w14:val="000000">
                      <w14:alpha w14:val="100000"/>
                    </w14:srgbClr>
                  </w14:solidFill>
                </w14:textFill>
              </w:rPr>
              <w:t xml:space="preserve">　</w:t>
            </w:r>
            <w:r w:rsidRPr="007012DA">
              <w:rPr>
                <w:color w:val="000000"/>
                <w:w w:val="20"/>
                <w:fitText w:val="90" w:id="-1500862460"/>
                <w14:textFill>
                  <w14:solidFill>
                    <w14:srgbClr w14:val="000000">
                      <w14:alpha w14:val="100000"/>
                    </w14:srgbClr>
                  </w14:solidFill>
                </w14:textFill>
              </w:rPr>
              <w:t>|</w:t>
            </w:r>
            <w:r w:rsidRPr="007012DA">
              <w:rPr>
                <w:rFonts w:hint="eastAsia"/>
                <w:color w:val="000000"/>
                <w:w w:val="20"/>
                <w:fitText w:val="90" w:id="-1500862460"/>
                <w14:textFill>
                  <w14:solidFill>
                    <w14:srgbClr w14:val="000000">
                      <w14:alpha w14:val="100000"/>
                    </w14:srgbClr>
                  </w14:solidFill>
                </w14:textFill>
              </w:rPr>
              <w:t xml:space="preserve">　</w:t>
            </w:r>
          </w:p>
        </w:tc>
        <w:tc>
          <w:tcPr>
            <w:tcW w:w="444" w:type="pct"/>
            <w:tcBorders>
              <w:top w:val="nil"/>
              <w:bottom w:val="nil"/>
            </w:tcBorders>
            <w:noWrap/>
          </w:tcPr>
          <w:p w14:paraId="64A22EAC" w14:textId="77777777" w:rsidR="00CE0B5F" w:rsidRPr="00842260" w:rsidRDefault="00CE0B5F" w:rsidP="008C3917">
            <w:pPr>
              <w:pStyle w:val="TableText0"/>
              <w:jc w:val="right"/>
            </w:pPr>
            <w:r w:rsidRPr="00842260">
              <w:t>0.598</w:t>
            </w:r>
          </w:p>
        </w:tc>
        <w:tc>
          <w:tcPr>
            <w:tcW w:w="550" w:type="pct"/>
            <w:tcBorders>
              <w:top w:val="nil"/>
              <w:bottom w:val="nil"/>
            </w:tcBorders>
            <w:noWrap/>
          </w:tcPr>
          <w:p w14:paraId="3CE56529" w14:textId="32847C20" w:rsidR="00CE0B5F" w:rsidRPr="005029D4" w:rsidRDefault="007012DA" w:rsidP="008C3917">
            <w:pPr>
              <w:pStyle w:val="TableText0"/>
              <w:jc w:val="right"/>
              <w:rPr>
                <w:highlight w:val="yellow"/>
              </w:rPr>
            </w:pPr>
            <w:r w:rsidRPr="007012DA">
              <w:rPr>
                <w:rFonts w:hint="eastAsia"/>
                <w:color w:val="000000"/>
                <w:w w:val="15"/>
                <w:shd w:val="solid" w:color="000000" w:fill="000000"/>
                <w:fitText w:val="50" w:id="-1500862459"/>
                <w14:textFill>
                  <w14:solidFill>
                    <w14:srgbClr w14:val="000000">
                      <w14:alpha w14:val="100000"/>
                    </w14:srgbClr>
                  </w14:solidFill>
                </w14:textFill>
              </w:rPr>
              <w:t xml:space="preserve">　</w:t>
            </w:r>
            <w:r w:rsidRPr="007012DA">
              <w:rPr>
                <w:color w:val="000000"/>
                <w:w w:val="15"/>
                <w:shd w:val="solid" w:color="000000" w:fill="000000"/>
                <w:fitText w:val="50" w:id="-1500862459"/>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9"/>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nil"/>
            </w:tcBorders>
            <w:noWrap/>
          </w:tcPr>
          <w:p w14:paraId="4766A638" w14:textId="77777777" w:rsidR="00CE0B5F" w:rsidRPr="00842260" w:rsidRDefault="00CE0B5F" w:rsidP="008C3917">
            <w:pPr>
              <w:pStyle w:val="TableText0"/>
              <w:jc w:val="right"/>
            </w:pPr>
            <w:r w:rsidRPr="00842260">
              <w:t>2%</w:t>
            </w:r>
          </w:p>
        </w:tc>
      </w:tr>
      <w:tr w:rsidR="00CE0B5F" w:rsidRPr="00842260" w14:paraId="22D0D298" w14:textId="77777777" w:rsidTr="007012DA">
        <w:tc>
          <w:tcPr>
            <w:tcW w:w="3065" w:type="pct"/>
            <w:tcBorders>
              <w:top w:val="nil"/>
              <w:bottom w:val="single" w:sz="4" w:space="0" w:color="auto"/>
            </w:tcBorders>
            <w:noWrap/>
          </w:tcPr>
          <w:p w14:paraId="4987CB5E" w14:textId="12777D03" w:rsidR="00CE0B5F" w:rsidRPr="00890808" w:rsidRDefault="00CE0B5F" w:rsidP="00040FA2">
            <w:pPr>
              <w:pStyle w:val="TableText0"/>
              <w:numPr>
                <w:ilvl w:val="0"/>
                <w:numId w:val="10"/>
              </w:numPr>
              <w:ind w:left="447" w:hanging="283"/>
              <w:rPr>
                <w:lang w:eastAsia="en-AU"/>
              </w:rPr>
            </w:pPr>
            <w:r w:rsidRPr="00890808">
              <w:rPr>
                <w:lang w:eastAsia="en-AU"/>
              </w:rPr>
              <w:t>Oncologist cost in public setting (base case: $447), $82.55</w:t>
            </w:r>
            <w:r w:rsidR="00F102D0" w:rsidRPr="00890808">
              <w:rPr>
                <w:lang w:eastAsia="en-AU"/>
              </w:rPr>
              <w:t xml:space="preserve"> </w:t>
            </w:r>
            <w:r w:rsidR="00F102D0" w:rsidRPr="00890808">
              <w:rPr>
                <w:vertAlign w:val="superscript"/>
                <w:lang w:eastAsia="en-AU"/>
              </w:rPr>
              <w:t>c</w:t>
            </w:r>
            <w:r w:rsidRPr="00890808">
              <w:rPr>
                <w:lang w:eastAsia="en-AU"/>
              </w:rPr>
              <w:t xml:space="preserve"> </w:t>
            </w:r>
            <w:r w:rsidRPr="00890808">
              <w:rPr>
                <w:b/>
                <w:lang w:eastAsia="en-AU"/>
              </w:rPr>
              <w:t>(#5)</w:t>
            </w:r>
          </w:p>
        </w:tc>
        <w:tc>
          <w:tcPr>
            <w:tcW w:w="497" w:type="pct"/>
            <w:tcBorders>
              <w:top w:val="nil"/>
              <w:bottom w:val="single" w:sz="4" w:space="0" w:color="auto"/>
            </w:tcBorders>
            <w:shd w:val="solid" w:color="000000" w:fill="000000"/>
            <w:noWrap/>
          </w:tcPr>
          <w:p w14:paraId="7991C084" w14:textId="5C812856" w:rsidR="00CE0B5F" w:rsidRPr="007012DA" w:rsidRDefault="007012DA" w:rsidP="008C3917">
            <w:pPr>
              <w:pStyle w:val="TableText0"/>
              <w:jc w:val="right"/>
              <w:rPr>
                <w:lang w:eastAsia="en-AU"/>
              </w:rPr>
            </w:pPr>
            <w:r w:rsidRPr="007012DA">
              <w:rPr>
                <w:rFonts w:hint="eastAsia"/>
                <w:color w:val="000000"/>
                <w:w w:val="20"/>
                <w:fitText w:val="90" w:id="-1500862458"/>
                <w:lang w:eastAsia="en-AU"/>
                <w14:textFill>
                  <w14:solidFill>
                    <w14:srgbClr w14:val="000000">
                      <w14:alpha w14:val="100000"/>
                    </w14:srgbClr>
                  </w14:solidFill>
                </w14:textFill>
              </w:rPr>
              <w:t xml:space="preserve">　</w:t>
            </w:r>
            <w:r w:rsidRPr="007012DA">
              <w:rPr>
                <w:color w:val="000000"/>
                <w:w w:val="20"/>
                <w:fitText w:val="90" w:id="-1500862458"/>
                <w:lang w:eastAsia="en-AU"/>
                <w14:textFill>
                  <w14:solidFill>
                    <w14:srgbClr w14:val="000000">
                      <w14:alpha w14:val="100000"/>
                    </w14:srgbClr>
                  </w14:solidFill>
                </w14:textFill>
              </w:rPr>
              <w:t>|</w:t>
            </w:r>
            <w:r w:rsidRPr="007012DA">
              <w:rPr>
                <w:rFonts w:hint="eastAsia"/>
                <w:color w:val="000000"/>
                <w:w w:val="20"/>
                <w:fitText w:val="90" w:id="-1500862458"/>
                <w:lang w:eastAsia="en-AU"/>
                <w14:textFill>
                  <w14:solidFill>
                    <w14:srgbClr w14:val="000000">
                      <w14:alpha w14:val="100000"/>
                    </w14:srgbClr>
                  </w14:solidFill>
                </w14:textFill>
              </w:rPr>
              <w:t xml:space="preserve">　</w:t>
            </w:r>
          </w:p>
        </w:tc>
        <w:tc>
          <w:tcPr>
            <w:tcW w:w="444" w:type="pct"/>
            <w:tcBorders>
              <w:top w:val="nil"/>
              <w:bottom w:val="single" w:sz="4" w:space="0" w:color="auto"/>
            </w:tcBorders>
            <w:noWrap/>
          </w:tcPr>
          <w:p w14:paraId="67939351" w14:textId="77777777" w:rsidR="00CE0B5F" w:rsidRPr="00842260" w:rsidRDefault="00CE0B5F" w:rsidP="008C3917">
            <w:pPr>
              <w:pStyle w:val="TableText0"/>
              <w:jc w:val="right"/>
              <w:rPr>
                <w:lang w:eastAsia="en-AU"/>
              </w:rPr>
            </w:pPr>
            <w:r w:rsidRPr="00842260">
              <w:rPr>
                <w:lang w:eastAsia="en-AU"/>
              </w:rPr>
              <w:t>0.598</w:t>
            </w:r>
          </w:p>
        </w:tc>
        <w:tc>
          <w:tcPr>
            <w:tcW w:w="550" w:type="pct"/>
            <w:tcBorders>
              <w:top w:val="nil"/>
              <w:bottom w:val="single" w:sz="4" w:space="0" w:color="auto"/>
            </w:tcBorders>
            <w:noWrap/>
          </w:tcPr>
          <w:p w14:paraId="238784F0" w14:textId="232C6263"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7"/>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7"/>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7"/>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single" w:sz="4" w:space="0" w:color="auto"/>
            </w:tcBorders>
            <w:noWrap/>
          </w:tcPr>
          <w:p w14:paraId="21039DFE" w14:textId="77777777" w:rsidR="00CE0B5F" w:rsidRPr="00842260" w:rsidRDefault="00CE0B5F" w:rsidP="008C3917">
            <w:pPr>
              <w:pStyle w:val="TableText0"/>
              <w:jc w:val="right"/>
              <w:rPr>
                <w:lang w:eastAsia="en-AU"/>
              </w:rPr>
            </w:pPr>
            <w:r w:rsidRPr="00842260">
              <w:rPr>
                <w:lang w:eastAsia="en-AU"/>
              </w:rPr>
              <w:t>7%</w:t>
            </w:r>
          </w:p>
        </w:tc>
      </w:tr>
      <w:tr w:rsidR="00143471" w:rsidRPr="00842260" w14:paraId="3FBFB49F" w14:textId="77777777" w:rsidTr="007012DA">
        <w:tc>
          <w:tcPr>
            <w:tcW w:w="3065" w:type="pct"/>
            <w:noWrap/>
            <w:hideMark/>
          </w:tcPr>
          <w:p w14:paraId="1A37D84C" w14:textId="4A0097E0" w:rsidR="00143471" w:rsidRPr="00842260" w:rsidRDefault="00143471" w:rsidP="00143471">
            <w:pPr>
              <w:pStyle w:val="TableText0"/>
              <w:rPr>
                <w:lang w:eastAsia="en-AU"/>
              </w:rPr>
            </w:pPr>
            <w:r w:rsidRPr="00842260">
              <w:rPr>
                <w:lang w:eastAsia="en-AU"/>
              </w:rPr>
              <w:t xml:space="preserve">CDK4/6 inhibitor market share in the first-line metastatic setting (base case: None after adjuvant </w:t>
            </w:r>
            <w:proofErr w:type="spellStart"/>
            <w:r w:rsidRPr="00842260">
              <w:rPr>
                <w:lang w:eastAsia="en-AU"/>
              </w:rPr>
              <w:t>abemaciclib</w:t>
            </w:r>
            <w:proofErr w:type="spellEnd"/>
            <w:r w:rsidRPr="00842260">
              <w:rPr>
                <w:lang w:eastAsia="en-AU"/>
              </w:rPr>
              <w:t xml:space="preserve">), some CDK4/6 inhibitor use after adjuvant </w:t>
            </w:r>
            <w:proofErr w:type="spellStart"/>
            <w:r w:rsidRPr="00842260">
              <w:rPr>
                <w:lang w:eastAsia="en-AU"/>
              </w:rPr>
              <w:t>abemaciclib</w:t>
            </w:r>
            <w:proofErr w:type="spellEnd"/>
          </w:p>
        </w:tc>
        <w:tc>
          <w:tcPr>
            <w:tcW w:w="497" w:type="pct"/>
            <w:shd w:val="solid" w:color="000000" w:fill="000000"/>
            <w:noWrap/>
            <w:hideMark/>
          </w:tcPr>
          <w:p w14:paraId="6B71A5A3" w14:textId="15D5B374" w:rsidR="00143471" w:rsidRPr="007012DA" w:rsidRDefault="007012DA" w:rsidP="00254685">
            <w:pPr>
              <w:pStyle w:val="TableText0"/>
              <w:keepNext w:val="0"/>
              <w:jc w:val="right"/>
              <w:rPr>
                <w:lang w:eastAsia="en-AU"/>
              </w:rPr>
            </w:pPr>
            <w:r w:rsidRPr="007012DA">
              <w:rPr>
                <w:rFonts w:hint="eastAsia"/>
                <w:color w:val="000000"/>
                <w:w w:val="20"/>
                <w:fitText w:val="90" w:id="-1500862456"/>
                <w14:textFill>
                  <w14:solidFill>
                    <w14:srgbClr w14:val="000000">
                      <w14:alpha w14:val="100000"/>
                    </w14:srgbClr>
                  </w14:solidFill>
                </w14:textFill>
              </w:rPr>
              <w:t xml:space="preserve">　</w:t>
            </w:r>
            <w:r w:rsidRPr="007012DA">
              <w:rPr>
                <w:color w:val="000000"/>
                <w:w w:val="20"/>
                <w:fitText w:val="90" w:id="-1500862456"/>
                <w14:textFill>
                  <w14:solidFill>
                    <w14:srgbClr w14:val="000000">
                      <w14:alpha w14:val="100000"/>
                    </w14:srgbClr>
                  </w14:solidFill>
                </w14:textFill>
              </w:rPr>
              <w:t>|</w:t>
            </w:r>
            <w:r w:rsidRPr="007012DA">
              <w:rPr>
                <w:rFonts w:hint="eastAsia"/>
                <w:color w:val="000000"/>
                <w:w w:val="20"/>
                <w:fitText w:val="90" w:id="-1500862456"/>
                <w14:textFill>
                  <w14:solidFill>
                    <w14:srgbClr w14:val="000000">
                      <w14:alpha w14:val="100000"/>
                    </w14:srgbClr>
                  </w14:solidFill>
                </w14:textFill>
              </w:rPr>
              <w:t xml:space="preserve">　</w:t>
            </w:r>
          </w:p>
        </w:tc>
        <w:tc>
          <w:tcPr>
            <w:tcW w:w="444" w:type="pct"/>
            <w:noWrap/>
            <w:hideMark/>
          </w:tcPr>
          <w:p w14:paraId="01EC49BE" w14:textId="77777777" w:rsidR="00143471" w:rsidRPr="00842260" w:rsidRDefault="00143471" w:rsidP="00254685">
            <w:pPr>
              <w:pStyle w:val="TableText0"/>
              <w:keepNext w:val="0"/>
              <w:jc w:val="right"/>
              <w:rPr>
                <w:lang w:eastAsia="en-AU"/>
              </w:rPr>
            </w:pPr>
            <w:r w:rsidRPr="00842260">
              <w:t>0.547</w:t>
            </w:r>
          </w:p>
        </w:tc>
        <w:tc>
          <w:tcPr>
            <w:tcW w:w="550" w:type="pct"/>
            <w:noWrap/>
            <w:hideMark/>
          </w:tcPr>
          <w:p w14:paraId="60D5A44F" w14:textId="33675237" w:rsidR="00143471" w:rsidRPr="005029D4" w:rsidRDefault="007012DA" w:rsidP="00254685">
            <w:pPr>
              <w:pStyle w:val="TableText0"/>
              <w:keepNext w:val="0"/>
              <w:jc w:val="right"/>
              <w:rPr>
                <w:highlight w:val="yellow"/>
                <w:lang w:eastAsia="en-AU"/>
              </w:rPr>
            </w:pPr>
            <w:r w:rsidRPr="007012DA">
              <w:rPr>
                <w:rFonts w:hint="eastAsia"/>
                <w:color w:val="000000"/>
                <w:w w:val="15"/>
                <w:shd w:val="solid" w:color="000000" w:fill="000000"/>
                <w:fitText w:val="50" w:id="-1500862455"/>
                <w14:textFill>
                  <w14:solidFill>
                    <w14:srgbClr w14:val="000000">
                      <w14:alpha w14:val="100000"/>
                    </w14:srgbClr>
                  </w14:solidFill>
                </w14:textFill>
              </w:rPr>
              <w:t xml:space="preserve">　</w:t>
            </w:r>
            <w:r w:rsidRPr="007012DA">
              <w:rPr>
                <w:color w:val="000000"/>
                <w:w w:val="15"/>
                <w:shd w:val="solid" w:color="000000" w:fill="000000"/>
                <w:fitText w:val="50" w:id="-1500862455"/>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5"/>
                <w14:textFill>
                  <w14:solidFill>
                    <w14:srgbClr w14:val="000000">
                      <w14:alpha w14:val="100000"/>
                    </w14:srgbClr>
                  </w14:solidFill>
                </w14:textFill>
              </w:rPr>
              <w:t xml:space="preserve">　</w:t>
            </w:r>
            <w:r w:rsidR="005029D4">
              <w:rPr>
                <w:vertAlign w:val="superscript"/>
                <w:lang w:eastAsia="en-AU"/>
              </w:rPr>
              <w:t>3</w:t>
            </w:r>
          </w:p>
        </w:tc>
        <w:tc>
          <w:tcPr>
            <w:tcW w:w="444" w:type="pct"/>
            <w:noWrap/>
            <w:hideMark/>
          </w:tcPr>
          <w:p w14:paraId="7F0D63EF" w14:textId="77777777" w:rsidR="00143471" w:rsidRPr="00842260" w:rsidRDefault="00143471" w:rsidP="00254685">
            <w:pPr>
              <w:pStyle w:val="TableText0"/>
              <w:keepNext w:val="0"/>
              <w:jc w:val="right"/>
              <w:rPr>
                <w:lang w:eastAsia="en-AU"/>
              </w:rPr>
            </w:pPr>
            <w:r w:rsidRPr="00842260">
              <w:t>43%</w:t>
            </w:r>
          </w:p>
        </w:tc>
      </w:tr>
      <w:tr w:rsidR="00CE0B5F" w:rsidRPr="00842260" w14:paraId="416F8F32" w14:textId="77777777" w:rsidTr="007012DA">
        <w:tc>
          <w:tcPr>
            <w:tcW w:w="3065" w:type="pct"/>
            <w:tcBorders>
              <w:top w:val="single" w:sz="4" w:space="0" w:color="auto"/>
              <w:bottom w:val="nil"/>
            </w:tcBorders>
            <w:noWrap/>
          </w:tcPr>
          <w:p w14:paraId="14431D3A" w14:textId="41F48FBB" w:rsidR="00CE0B5F" w:rsidRPr="00842260" w:rsidRDefault="00F102D0" w:rsidP="008C3917">
            <w:pPr>
              <w:pStyle w:val="TableText0"/>
              <w:rPr>
                <w:lang w:eastAsia="en-AU"/>
              </w:rPr>
            </w:pPr>
            <w:r w:rsidRPr="00842260">
              <w:rPr>
                <w:lang w:eastAsia="en-AU"/>
              </w:rPr>
              <w:t>E</w:t>
            </w:r>
            <w:r w:rsidR="00CE0B5F" w:rsidRPr="00842260">
              <w:rPr>
                <w:lang w:eastAsia="en-AU"/>
              </w:rPr>
              <w:t>ndocrine resistance</w:t>
            </w:r>
            <w:r w:rsidRPr="00842260">
              <w:rPr>
                <w:lang w:eastAsia="en-AU"/>
              </w:rPr>
              <w:t xml:space="preserve"> status in metastatic recurrence</w:t>
            </w:r>
          </w:p>
        </w:tc>
        <w:tc>
          <w:tcPr>
            <w:tcW w:w="497" w:type="pct"/>
            <w:tcBorders>
              <w:top w:val="single" w:sz="4" w:space="0" w:color="auto"/>
              <w:bottom w:val="nil"/>
            </w:tcBorders>
            <w:noWrap/>
          </w:tcPr>
          <w:p w14:paraId="6DC5011A" w14:textId="77777777" w:rsidR="00CE0B5F" w:rsidRPr="005029D4" w:rsidRDefault="00CE0B5F" w:rsidP="008C3917">
            <w:pPr>
              <w:pStyle w:val="TableText0"/>
              <w:jc w:val="right"/>
              <w:rPr>
                <w:highlight w:val="yellow"/>
                <w:lang w:eastAsia="en-AU"/>
              </w:rPr>
            </w:pPr>
          </w:p>
        </w:tc>
        <w:tc>
          <w:tcPr>
            <w:tcW w:w="444" w:type="pct"/>
            <w:tcBorders>
              <w:top w:val="single" w:sz="4" w:space="0" w:color="auto"/>
              <w:bottom w:val="nil"/>
            </w:tcBorders>
            <w:noWrap/>
          </w:tcPr>
          <w:p w14:paraId="39C823C7" w14:textId="77777777" w:rsidR="00CE0B5F" w:rsidRPr="00842260" w:rsidRDefault="00CE0B5F" w:rsidP="008C3917">
            <w:pPr>
              <w:pStyle w:val="TableText0"/>
              <w:jc w:val="right"/>
              <w:rPr>
                <w:lang w:eastAsia="en-AU"/>
              </w:rPr>
            </w:pPr>
          </w:p>
        </w:tc>
        <w:tc>
          <w:tcPr>
            <w:tcW w:w="550" w:type="pct"/>
            <w:tcBorders>
              <w:top w:val="single" w:sz="4" w:space="0" w:color="auto"/>
              <w:bottom w:val="nil"/>
            </w:tcBorders>
            <w:noWrap/>
          </w:tcPr>
          <w:p w14:paraId="4E116155" w14:textId="77777777" w:rsidR="00CE0B5F" w:rsidRPr="005029D4" w:rsidRDefault="00CE0B5F" w:rsidP="008C3917">
            <w:pPr>
              <w:pStyle w:val="TableText0"/>
              <w:jc w:val="right"/>
              <w:rPr>
                <w:highlight w:val="yellow"/>
                <w:lang w:eastAsia="en-AU"/>
              </w:rPr>
            </w:pPr>
          </w:p>
        </w:tc>
        <w:tc>
          <w:tcPr>
            <w:tcW w:w="444" w:type="pct"/>
            <w:tcBorders>
              <w:top w:val="single" w:sz="4" w:space="0" w:color="auto"/>
              <w:bottom w:val="nil"/>
            </w:tcBorders>
            <w:noWrap/>
          </w:tcPr>
          <w:p w14:paraId="0BCFE421" w14:textId="77777777" w:rsidR="00CE0B5F" w:rsidRPr="00842260" w:rsidRDefault="00CE0B5F" w:rsidP="008C3917">
            <w:pPr>
              <w:pStyle w:val="TableText0"/>
              <w:jc w:val="right"/>
              <w:rPr>
                <w:lang w:eastAsia="en-AU"/>
              </w:rPr>
            </w:pPr>
          </w:p>
        </w:tc>
      </w:tr>
      <w:tr w:rsidR="00CE0B5F" w:rsidRPr="00842260" w14:paraId="020791F1" w14:textId="77777777" w:rsidTr="007012DA">
        <w:tc>
          <w:tcPr>
            <w:tcW w:w="3065" w:type="pct"/>
            <w:tcBorders>
              <w:top w:val="nil"/>
              <w:bottom w:val="nil"/>
            </w:tcBorders>
            <w:noWrap/>
          </w:tcPr>
          <w:p w14:paraId="6FD53665" w14:textId="7B6D1110" w:rsidR="00CE0B5F" w:rsidRPr="00842260" w:rsidRDefault="00CE0B5F" w:rsidP="00040FA2">
            <w:pPr>
              <w:pStyle w:val="TableText0"/>
              <w:numPr>
                <w:ilvl w:val="0"/>
                <w:numId w:val="10"/>
              </w:numPr>
              <w:ind w:left="447" w:hanging="283"/>
              <w:rPr>
                <w:lang w:eastAsia="en-AU"/>
              </w:rPr>
            </w:pPr>
            <w:r w:rsidRPr="00842260">
              <w:rPr>
                <w:lang w:eastAsia="en-AU"/>
              </w:rPr>
              <w:t xml:space="preserve">All </w:t>
            </w:r>
            <w:r w:rsidR="00F102D0" w:rsidRPr="00842260">
              <w:rPr>
                <w:lang w:eastAsia="en-AU"/>
              </w:rPr>
              <w:t>endocrine-sensitive</w:t>
            </w:r>
          </w:p>
        </w:tc>
        <w:tc>
          <w:tcPr>
            <w:tcW w:w="497" w:type="pct"/>
            <w:tcBorders>
              <w:top w:val="nil"/>
              <w:bottom w:val="nil"/>
            </w:tcBorders>
            <w:shd w:val="solid" w:color="000000" w:fill="000000"/>
            <w:noWrap/>
          </w:tcPr>
          <w:p w14:paraId="6194BA99" w14:textId="1AEE21AE" w:rsidR="00CE0B5F" w:rsidRPr="007012DA" w:rsidRDefault="007012DA" w:rsidP="008C3917">
            <w:pPr>
              <w:pStyle w:val="TableText0"/>
              <w:jc w:val="right"/>
              <w:rPr>
                <w:lang w:eastAsia="en-AU"/>
              </w:rPr>
            </w:pPr>
            <w:r w:rsidRPr="007012DA">
              <w:rPr>
                <w:rFonts w:hint="eastAsia"/>
                <w:color w:val="000000"/>
                <w:w w:val="20"/>
                <w:fitText w:val="90" w:id="-1500862454"/>
                <w:lang w:eastAsia="en-AU"/>
                <w14:textFill>
                  <w14:solidFill>
                    <w14:srgbClr w14:val="000000">
                      <w14:alpha w14:val="100000"/>
                    </w14:srgbClr>
                  </w14:solidFill>
                </w14:textFill>
              </w:rPr>
              <w:t xml:space="preserve">　</w:t>
            </w:r>
            <w:r w:rsidRPr="007012DA">
              <w:rPr>
                <w:color w:val="000000"/>
                <w:w w:val="20"/>
                <w:fitText w:val="90" w:id="-1500862454"/>
                <w:lang w:eastAsia="en-AU"/>
                <w14:textFill>
                  <w14:solidFill>
                    <w14:srgbClr w14:val="000000">
                      <w14:alpha w14:val="100000"/>
                    </w14:srgbClr>
                  </w14:solidFill>
                </w14:textFill>
              </w:rPr>
              <w:t>|</w:t>
            </w:r>
            <w:r w:rsidRPr="007012DA">
              <w:rPr>
                <w:rFonts w:hint="eastAsia"/>
                <w:color w:val="000000"/>
                <w:w w:val="20"/>
                <w:fitText w:val="90" w:id="-1500862454"/>
                <w:lang w:eastAsia="en-AU"/>
                <w14:textFill>
                  <w14:solidFill>
                    <w14:srgbClr w14:val="000000">
                      <w14:alpha w14:val="100000"/>
                    </w14:srgbClr>
                  </w14:solidFill>
                </w14:textFill>
              </w:rPr>
              <w:t xml:space="preserve">　</w:t>
            </w:r>
          </w:p>
        </w:tc>
        <w:tc>
          <w:tcPr>
            <w:tcW w:w="444" w:type="pct"/>
            <w:tcBorders>
              <w:top w:val="nil"/>
              <w:bottom w:val="nil"/>
            </w:tcBorders>
            <w:noWrap/>
          </w:tcPr>
          <w:p w14:paraId="21C76DCE" w14:textId="77777777" w:rsidR="00CE0B5F" w:rsidRPr="00842260" w:rsidRDefault="00CE0B5F" w:rsidP="008C3917">
            <w:pPr>
              <w:pStyle w:val="TableText0"/>
              <w:jc w:val="right"/>
              <w:rPr>
                <w:lang w:eastAsia="en-AU"/>
              </w:rPr>
            </w:pPr>
            <w:r w:rsidRPr="00842260">
              <w:rPr>
                <w:lang w:eastAsia="en-AU"/>
              </w:rPr>
              <w:t>0.582</w:t>
            </w:r>
          </w:p>
        </w:tc>
        <w:tc>
          <w:tcPr>
            <w:tcW w:w="550" w:type="pct"/>
            <w:tcBorders>
              <w:top w:val="nil"/>
              <w:bottom w:val="nil"/>
            </w:tcBorders>
            <w:noWrap/>
          </w:tcPr>
          <w:p w14:paraId="7ACC32BA" w14:textId="0D0F3A3D"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3"/>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3"/>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3"/>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nil"/>
            </w:tcBorders>
            <w:noWrap/>
          </w:tcPr>
          <w:p w14:paraId="06C300EF" w14:textId="77777777" w:rsidR="00CE0B5F" w:rsidRPr="00842260" w:rsidRDefault="00CE0B5F" w:rsidP="008C3917">
            <w:pPr>
              <w:pStyle w:val="TableText0"/>
              <w:jc w:val="right"/>
              <w:rPr>
                <w:lang w:eastAsia="en-AU"/>
              </w:rPr>
            </w:pPr>
            <w:r w:rsidRPr="00842260">
              <w:rPr>
                <w:lang w:eastAsia="en-AU"/>
              </w:rPr>
              <w:t>1%</w:t>
            </w:r>
          </w:p>
        </w:tc>
      </w:tr>
      <w:tr w:rsidR="00CE0B5F" w:rsidRPr="00842260" w14:paraId="07534E34" w14:textId="77777777" w:rsidTr="007012DA">
        <w:tc>
          <w:tcPr>
            <w:tcW w:w="3065" w:type="pct"/>
            <w:tcBorders>
              <w:top w:val="nil"/>
              <w:bottom w:val="single" w:sz="4" w:space="0" w:color="auto"/>
            </w:tcBorders>
            <w:noWrap/>
          </w:tcPr>
          <w:p w14:paraId="7776781B" w14:textId="27309D2A" w:rsidR="00CE0B5F" w:rsidRPr="00842260" w:rsidRDefault="00CE0B5F" w:rsidP="00040FA2">
            <w:pPr>
              <w:pStyle w:val="TableText0"/>
              <w:numPr>
                <w:ilvl w:val="0"/>
                <w:numId w:val="10"/>
              </w:numPr>
              <w:ind w:left="447" w:hanging="283"/>
              <w:rPr>
                <w:lang w:eastAsia="en-AU"/>
              </w:rPr>
            </w:pPr>
            <w:r w:rsidRPr="00842260">
              <w:rPr>
                <w:lang w:eastAsia="en-AU"/>
              </w:rPr>
              <w:t xml:space="preserve">All </w:t>
            </w:r>
            <w:r w:rsidR="00F102D0" w:rsidRPr="00842260">
              <w:rPr>
                <w:lang w:eastAsia="en-AU"/>
              </w:rPr>
              <w:t>endocrine-resistant</w:t>
            </w:r>
          </w:p>
        </w:tc>
        <w:tc>
          <w:tcPr>
            <w:tcW w:w="497" w:type="pct"/>
            <w:tcBorders>
              <w:top w:val="nil"/>
              <w:bottom w:val="single" w:sz="4" w:space="0" w:color="auto"/>
            </w:tcBorders>
            <w:shd w:val="solid" w:color="000000" w:fill="000000"/>
            <w:noWrap/>
          </w:tcPr>
          <w:p w14:paraId="16EA8E70" w14:textId="0F6EC050" w:rsidR="00CE0B5F" w:rsidRPr="007012DA" w:rsidRDefault="007012DA" w:rsidP="008C3917">
            <w:pPr>
              <w:pStyle w:val="TableText0"/>
              <w:jc w:val="right"/>
              <w:rPr>
                <w:lang w:eastAsia="en-AU"/>
              </w:rPr>
            </w:pPr>
            <w:r w:rsidRPr="007012DA">
              <w:rPr>
                <w:rFonts w:hint="eastAsia"/>
                <w:color w:val="000000"/>
                <w:w w:val="20"/>
                <w:fitText w:val="90" w:id="-1500862452"/>
                <w:lang w:eastAsia="en-AU"/>
                <w14:textFill>
                  <w14:solidFill>
                    <w14:srgbClr w14:val="000000">
                      <w14:alpha w14:val="100000"/>
                    </w14:srgbClr>
                  </w14:solidFill>
                </w14:textFill>
              </w:rPr>
              <w:t xml:space="preserve">　</w:t>
            </w:r>
            <w:r w:rsidRPr="007012DA">
              <w:rPr>
                <w:color w:val="000000"/>
                <w:w w:val="20"/>
                <w:fitText w:val="90" w:id="-1500862452"/>
                <w:lang w:eastAsia="en-AU"/>
                <w14:textFill>
                  <w14:solidFill>
                    <w14:srgbClr w14:val="000000">
                      <w14:alpha w14:val="100000"/>
                    </w14:srgbClr>
                  </w14:solidFill>
                </w14:textFill>
              </w:rPr>
              <w:t>|</w:t>
            </w:r>
            <w:r w:rsidRPr="007012DA">
              <w:rPr>
                <w:rFonts w:hint="eastAsia"/>
                <w:color w:val="000000"/>
                <w:w w:val="20"/>
                <w:fitText w:val="90" w:id="-1500862452"/>
                <w:lang w:eastAsia="en-AU"/>
                <w14:textFill>
                  <w14:solidFill>
                    <w14:srgbClr w14:val="000000">
                      <w14:alpha w14:val="100000"/>
                    </w14:srgbClr>
                  </w14:solidFill>
                </w14:textFill>
              </w:rPr>
              <w:t xml:space="preserve">　</w:t>
            </w:r>
          </w:p>
        </w:tc>
        <w:tc>
          <w:tcPr>
            <w:tcW w:w="444" w:type="pct"/>
            <w:tcBorders>
              <w:top w:val="nil"/>
              <w:bottom w:val="single" w:sz="4" w:space="0" w:color="auto"/>
            </w:tcBorders>
            <w:noWrap/>
          </w:tcPr>
          <w:p w14:paraId="3F671503" w14:textId="77777777" w:rsidR="00CE0B5F" w:rsidRPr="00842260" w:rsidRDefault="00CE0B5F" w:rsidP="008C3917">
            <w:pPr>
              <w:pStyle w:val="TableText0"/>
              <w:jc w:val="right"/>
              <w:rPr>
                <w:lang w:eastAsia="en-AU"/>
              </w:rPr>
            </w:pPr>
            <w:r w:rsidRPr="00842260">
              <w:rPr>
                <w:lang w:eastAsia="en-AU"/>
              </w:rPr>
              <w:t>0.550</w:t>
            </w:r>
          </w:p>
        </w:tc>
        <w:tc>
          <w:tcPr>
            <w:tcW w:w="550" w:type="pct"/>
            <w:tcBorders>
              <w:top w:val="nil"/>
              <w:bottom w:val="single" w:sz="4" w:space="0" w:color="auto"/>
            </w:tcBorders>
            <w:noWrap/>
          </w:tcPr>
          <w:p w14:paraId="709DE203" w14:textId="34CE83A5"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51"/>
                <w:lang w:eastAsia="en-AU"/>
                <w14:textFill>
                  <w14:solidFill>
                    <w14:srgbClr w14:val="000000">
                      <w14:alpha w14:val="100000"/>
                    </w14:srgbClr>
                  </w14:solidFill>
                </w14:textFill>
              </w:rPr>
              <w:t xml:space="preserve">　</w:t>
            </w:r>
            <w:r w:rsidRPr="007012DA">
              <w:rPr>
                <w:color w:val="000000"/>
                <w:w w:val="15"/>
                <w:shd w:val="solid" w:color="000000" w:fill="000000"/>
                <w:fitText w:val="50" w:id="-1500862451"/>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1"/>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nil"/>
              <w:bottom w:val="single" w:sz="4" w:space="0" w:color="auto"/>
            </w:tcBorders>
            <w:noWrap/>
          </w:tcPr>
          <w:p w14:paraId="73F489B1" w14:textId="77777777" w:rsidR="00CE0B5F" w:rsidRPr="00842260" w:rsidRDefault="00CE0B5F" w:rsidP="008C3917">
            <w:pPr>
              <w:pStyle w:val="TableText0"/>
              <w:jc w:val="right"/>
              <w:rPr>
                <w:lang w:eastAsia="en-AU"/>
              </w:rPr>
            </w:pPr>
            <w:r w:rsidRPr="00842260">
              <w:rPr>
                <w:lang w:eastAsia="en-AU"/>
              </w:rPr>
              <w:t>19%</w:t>
            </w:r>
          </w:p>
        </w:tc>
      </w:tr>
      <w:tr w:rsidR="00CE0B5F" w:rsidRPr="00842260" w14:paraId="1BEAEA34" w14:textId="77777777" w:rsidTr="007012DA">
        <w:tc>
          <w:tcPr>
            <w:tcW w:w="3065" w:type="pct"/>
            <w:tcBorders>
              <w:top w:val="single" w:sz="4" w:space="0" w:color="auto"/>
              <w:bottom w:val="single" w:sz="4" w:space="0" w:color="auto"/>
            </w:tcBorders>
            <w:noWrap/>
          </w:tcPr>
          <w:p w14:paraId="21EBE0F5" w14:textId="7349B7FC" w:rsidR="00CE0B5F" w:rsidRPr="00842260" w:rsidRDefault="00CE0B5F" w:rsidP="00F102D0">
            <w:pPr>
              <w:pStyle w:val="TableText0"/>
              <w:rPr>
                <w:lang w:eastAsia="en-AU"/>
              </w:rPr>
            </w:pPr>
            <w:r w:rsidRPr="00842260">
              <w:rPr>
                <w:lang w:eastAsia="en-AU"/>
              </w:rPr>
              <w:t xml:space="preserve">Use uncalibrated </w:t>
            </w:r>
            <w:proofErr w:type="gramStart"/>
            <w:r w:rsidR="00F102D0" w:rsidRPr="00842260">
              <w:rPr>
                <w:lang w:eastAsia="en-AU"/>
              </w:rPr>
              <w:t>endocrine-sensitive</w:t>
            </w:r>
            <w:proofErr w:type="gramEnd"/>
            <w:r w:rsidRPr="00842260">
              <w:rPr>
                <w:lang w:eastAsia="en-AU"/>
              </w:rPr>
              <w:t xml:space="preserve"> PFS2 and PPS LY estimates</w:t>
            </w:r>
            <w:r w:rsidR="00F102D0" w:rsidRPr="00842260">
              <w:rPr>
                <w:lang w:eastAsia="en-AU"/>
              </w:rPr>
              <w:t xml:space="preserve"> </w:t>
            </w:r>
            <w:r w:rsidR="00F102D0" w:rsidRPr="00842260">
              <w:rPr>
                <w:vertAlign w:val="superscript"/>
                <w:lang w:eastAsia="en-AU"/>
              </w:rPr>
              <w:t>d</w:t>
            </w:r>
            <w:r w:rsidRPr="00842260">
              <w:rPr>
                <w:lang w:eastAsia="en-AU"/>
              </w:rPr>
              <w:t xml:space="preserve"> </w:t>
            </w:r>
            <w:r w:rsidRPr="00842260">
              <w:rPr>
                <w:b/>
                <w:lang w:eastAsia="en-AU"/>
              </w:rPr>
              <w:t>(#6)</w:t>
            </w:r>
          </w:p>
        </w:tc>
        <w:tc>
          <w:tcPr>
            <w:tcW w:w="497" w:type="pct"/>
            <w:tcBorders>
              <w:top w:val="single" w:sz="4" w:space="0" w:color="auto"/>
              <w:bottom w:val="single" w:sz="4" w:space="0" w:color="auto"/>
            </w:tcBorders>
            <w:shd w:val="solid" w:color="000000" w:fill="000000"/>
            <w:noWrap/>
          </w:tcPr>
          <w:p w14:paraId="7121D617" w14:textId="0ACA8B2B" w:rsidR="00CE0B5F" w:rsidRPr="007012DA" w:rsidRDefault="007012DA" w:rsidP="008C3917">
            <w:pPr>
              <w:pStyle w:val="TableText0"/>
              <w:jc w:val="right"/>
              <w:rPr>
                <w:lang w:eastAsia="en-AU"/>
              </w:rPr>
            </w:pPr>
            <w:r w:rsidRPr="007012DA">
              <w:rPr>
                <w:rFonts w:hint="eastAsia"/>
                <w:color w:val="000000"/>
                <w:w w:val="20"/>
                <w:fitText w:val="90" w:id="-1500862450"/>
                <w:lang w:eastAsia="en-AU"/>
                <w14:textFill>
                  <w14:solidFill>
                    <w14:srgbClr w14:val="000000">
                      <w14:alpha w14:val="100000"/>
                    </w14:srgbClr>
                  </w14:solidFill>
                </w14:textFill>
              </w:rPr>
              <w:t xml:space="preserve">　</w:t>
            </w:r>
            <w:r w:rsidRPr="007012DA">
              <w:rPr>
                <w:color w:val="000000"/>
                <w:w w:val="20"/>
                <w:fitText w:val="90" w:id="-1500862450"/>
                <w:lang w:eastAsia="en-AU"/>
                <w14:textFill>
                  <w14:solidFill>
                    <w14:srgbClr w14:val="000000">
                      <w14:alpha w14:val="100000"/>
                    </w14:srgbClr>
                  </w14:solidFill>
                </w14:textFill>
              </w:rPr>
              <w:t>|</w:t>
            </w:r>
            <w:r w:rsidRPr="007012DA">
              <w:rPr>
                <w:rFonts w:hint="eastAsia"/>
                <w:color w:val="000000"/>
                <w:w w:val="20"/>
                <w:fitText w:val="90" w:id="-1500862450"/>
                <w:lang w:eastAsia="en-AU"/>
                <w14:textFill>
                  <w14:solidFill>
                    <w14:srgbClr w14:val="000000">
                      <w14:alpha w14:val="100000"/>
                    </w14:srgbClr>
                  </w14:solidFill>
                </w14:textFill>
              </w:rPr>
              <w:t xml:space="preserve">　</w:t>
            </w:r>
          </w:p>
        </w:tc>
        <w:tc>
          <w:tcPr>
            <w:tcW w:w="444" w:type="pct"/>
            <w:tcBorders>
              <w:top w:val="single" w:sz="4" w:space="0" w:color="auto"/>
              <w:bottom w:val="single" w:sz="4" w:space="0" w:color="auto"/>
            </w:tcBorders>
            <w:noWrap/>
          </w:tcPr>
          <w:p w14:paraId="3A1F2E50" w14:textId="77777777" w:rsidR="00CE0B5F" w:rsidRPr="00842260" w:rsidRDefault="00CE0B5F" w:rsidP="008C3917">
            <w:pPr>
              <w:pStyle w:val="TableText0"/>
              <w:jc w:val="right"/>
              <w:rPr>
                <w:lang w:eastAsia="en-AU"/>
              </w:rPr>
            </w:pPr>
            <w:r w:rsidRPr="00842260">
              <w:rPr>
                <w:lang w:eastAsia="en-AU"/>
              </w:rPr>
              <w:t>0.464</w:t>
            </w:r>
          </w:p>
        </w:tc>
        <w:tc>
          <w:tcPr>
            <w:tcW w:w="550" w:type="pct"/>
            <w:tcBorders>
              <w:top w:val="single" w:sz="4" w:space="0" w:color="auto"/>
              <w:bottom w:val="single" w:sz="4" w:space="0" w:color="auto"/>
            </w:tcBorders>
            <w:noWrap/>
          </w:tcPr>
          <w:p w14:paraId="59407393" w14:textId="00986539" w:rsidR="00CE0B5F" w:rsidRPr="005029D4" w:rsidRDefault="007012DA" w:rsidP="008C3917">
            <w:pPr>
              <w:pStyle w:val="TableText0"/>
              <w:jc w:val="right"/>
              <w:rPr>
                <w:highlight w:val="yellow"/>
                <w:lang w:eastAsia="en-AU"/>
              </w:rPr>
            </w:pPr>
            <w:r w:rsidRPr="007012DA">
              <w:rPr>
                <w:rFonts w:hint="eastAsia"/>
                <w:color w:val="000000"/>
                <w:w w:val="15"/>
                <w:shd w:val="solid" w:color="000000" w:fill="000000"/>
                <w:fitText w:val="50" w:id="-1500862449"/>
                <w:lang w:eastAsia="en-AU"/>
                <w14:textFill>
                  <w14:solidFill>
                    <w14:srgbClr w14:val="000000">
                      <w14:alpha w14:val="100000"/>
                    </w14:srgbClr>
                  </w14:solidFill>
                </w14:textFill>
              </w:rPr>
              <w:t xml:space="preserve">　</w:t>
            </w:r>
            <w:r w:rsidRPr="007012DA">
              <w:rPr>
                <w:color w:val="000000"/>
                <w:w w:val="15"/>
                <w:shd w:val="solid" w:color="000000" w:fill="000000"/>
                <w:fitText w:val="50" w:id="-1500862449"/>
                <w:lang w:eastAsia="en-AU"/>
                <w14:textFill>
                  <w14:solidFill>
                    <w14:srgbClr w14:val="000000">
                      <w14:alpha w14:val="100000"/>
                    </w14:srgbClr>
                  </w14:solidFill>
                </w14:textFill>
              </w:rPr>
              <w:t>|</w:t>
            </w:r>
            <w:r w:rsidRPr="007012DA">
              <w:rPr>
                <w:rFonts w:hint="eastAsia"/>
                <w:color w:val="000000"/>
                <w:spacing w:val="-15"/>
                <w:w w:val="15"/>
                <w:shd w:val="solid" w:color="000000" w:fill="000000"/>
                <w:fitText w:val="50" w:id="-1500862449"/>
                <w:lang w:eastAsia="en-AU"/>
                <w14:textFill>
                  <w14:solidFill>
                    <w14:srgbClr w14:val="000000">
                      <w14:alpha w14:val="100000"/>
                    </w14:srgbClr>
                  </w14:solidFill>
                </w14:textFill>
              </w:rPr>
              <w:t xml:space="preserve">　</w:t>
            </w:r>
            <w:r w:rsidR="005029D4">
              <w:rPr>
                <w:vertAlign w:val="superscript"/>
                <w:lang w:eastAsia="en-AU"/>
              </w:rPr>
              <w:t>1</w:t>
            </w:r>
          </w:p>
        </w:tc>
        <w:tc>
          <w:tcPr>
            <w:tcW w:w="444" w:type="pct"/>
            <w:tcBorders>
              <w:top w:val="single" w:sz="4" w:space="0" w:color="auto"/>
              <w:bottom w:val="single" w:sz="4" w:space="0" w:color="auto"/>
            </w:tcBorders>
            <w:noWrap/>
          </w:tcPr>
          <w:p w14:paraId="189EB74E" w14:textId="77777777" w:rsidR="00CE0B5F" w:rsidRPr="00842260" w:rsidRDefault="00CE0B5F" w:rsidP="008C3917">
            <w:pPr>
              <w:pStyle w:val="TableText0"/>
              <w:jc w:val="right"/>
              <w:rPr>
                <w:lang w:eastAsia="en-AU"/>
              </w:rPr>
            </w:pPr>
            <w:r w:rsidRPr="00842260">
              <w:rPr>
                <w:lang w:eastAsia="en-AU"/>
              </w:rPr>
              <w:t>15%</w:t>
            </w:r>
          </w:p>
        </w:tc>
      </w:tr>
      <w:tr w:rsidR="00CE0B5F" w:rsidRPr="00842260" w14:paraId="512DE209" w14:textId="77777777" w:rsidTr="007012DA">
        <w:tc>
          <w:tcPr>
            <w:tcW w:w="3065" w:type="pct"/>
            <w:tcBorders>
              <w:top w:val="single" w:sz="4" w:space="0" w:color="auto"/>
              <w:bottom w:val="single" w:sz="4" w:space="0" w:color="auto"/>
              <w:right w:val="nil"/>
            </w:tcBorders>
            <w:noWrap/>
          </w:tcPr>
          <w:p w14:paraId="1E278F94" w14:textId="77777777" w:rsidR="00CE0B5F" w:rsidRPr="00842260" w:rsidRDefault="00CE0B5F" w:rsidP="008C3917">
            <w:pPr>
              <w:pStyle w:val="TableText0"/>
              <w:rPr>
                <w:b/>
              </w:rPr>
            </w:pPr>
            <w:r w:rsidRPr="00842260">
              <w:rPr>
                <w:b/>
              </w:rPr>
              <w:t>Multivariate analyses</w:t>
            </w:r>
          </w:p>
        </w:tc>
        <w:tc>
          <w:tcPr>
            <w:tcW w:w="497" w:type="pct"/>
            <w:tcBorders>
              <w:top w:val="single" w:sz="4" w:space="0" w:color="auto"/>
              <w:left w:val="nil"/>
              <w:bottom w:val="single" w:sz="4" w:space="0" w:color="auto"/>
              <w:right w:val="nil"/>
            </w:tcBorders>
            <w:noWrap/>
          </w:tcPr>
          <w:p w14:paraId="6EBBED91" w14:textId="77777777" w:rsidR="00CE0B5F" w:rsidRPr="005029D4" w:rsidRDefault="00CE0B5F" w:rsidP="008C3917">
            <w:pPr>
              <w:pStyle w:val="TableText0"/>
              <w:jc w:val="right"/>
              <w:rPr>
                <w:b/>
                <w:highlight w:val="yellow"/>
              </w:rPr>
            </w:pPr>
          </w:p>
        </w:tc>
        <w:tc>
          <w:tcPr>
            <w:tcW w:w="444" w:type="pct"/>
            <w:tcBorders>
              <w:top w:val="single" w:sz="4" w:space="0" w:color="auto"/>
              <w:left w:val="nil"/>
              <w:bottom w:val="single" w:sz="4" w:space="0" w:color="auto"/>
              <w:right w:val="nil"/>
            </w:tcBorders>
            <w:noWrap/>
          </w:tcPr>
          <w:p w14:paraId="3A95B47C" w14:textId="77777777" w:rsidR="00CE0B5F" w:rsidRPr="00842260" w:rsidRDefault="00CE0B5F" w:rsidP="008C3917">
            <w:pPr>
              <w:pStyle w:val="TableText0"/>
              <w:jc w:val="right"/>
              <w:rPr>
                <w:b/>
              </w:rPr>
            </w:pPr>
          </w:p>
        </w:tc>
        <w:tc>
          <w:tcPr>
            <w:tcW w:w="550" w:type="pct"/>
            <w:tcBorders>
              <w:top w:val="single" w:sz="4" w:space="0" w:color="auto"/>
              <w:left w:val="nil"/>
              <w:bottom w:val="single" w:sz="4" w:space="0" w:color="auto"/>
              <w:right w:val="nil"/>
            </w:tcBorders>
            <w:noWrap/>
          </w:tcPr>
          <w:p w14:paraId="1C39C69A" w14:textId="77777777" w:rsidR="00CE0B5F" w:rsidRPr="005029D4" w:rsidRDefault="00CE0B5F" w:rsidP="008C3917">
            <w:pPr>
              <w:pStyle w:val="TableText0"/>
              <w:jc w:val="right"/>
              <w:rPr>
                <w:b/>
                <w:highlight w:val="yellow"/>
              </w:rPr>
            </w:pPr>
          </w:p>
        </w:tc>
        <w:tc>
          <w:tcPr>
            <w:tcW w:w="444" w:type="pct"/>
            <w:tcBorders>
              <w:top w:val="single" w:sz="4" w:space="0" w:color="auto"/>
              <w:left w:val="nil"/>
              <w:bottom w:val="single" w:sz="4" w:space="0" w:color="auto"/>
            </w:tcBorders>
            <w:noWrap/>
          </w:tcPr>
          <w:p w14:paraId="6F84B558" w14:textId="77777777" w:rsidR="00CE0B5F" w:rsidRPr="00842260" w:rsidRDefault="00CE0B5F" w:rsidP="008C3917">
            <w:pPr>
              <w:pStyle w:val="TableText0"/>
              <w:jc w:val="right"/>
              <w:rPr>
                <w:b/>
              </w:rPr>
            </w:pPr>
          </w:p>
        </w:tc>
      </w:tr>
      <w:tr w:rsidR="00BA39F4" w:rsidRPr="00842260" w14:paraId="732BB8FD" w14:textId="77777777" w:rsidTr="007012DA">
        <w:tc>
          <w:tcPr>
            <w:tcW w:w="3065" w:type="pct"/>
            <w:tcBorders>
              <w:top w:val="single" w:sz="4" w:space="0" w:color="auto"/>
              <w:bottom w:val="nil"/>
            </w:tcBorders>
            <w:noWrap/>
          </w:tcPr>
          <w:p w14:paraId="684550DA" w14:textId="77777777" w:rsidR="00BA39F4" w:rsidRPr="00842260" w:rsidRDefault="00BA39F4" w:rsidP="00BA39F4">
            <w:pPr>
              <w:pStyle w:val="TableText0"/>
            </w:pPr>
            <w:r w:rsidRPr="00842260">
              <w:t>#1 AND #2</w:t>
            </w:r>
          </w:p>
        </w:tc>
        <w:tc>
          <w:tcPr>
            <w:tcW w:w="497" w:type="pct"/>
            <w:tcBorders>
              <w:top w:val="single" w:sz="4" w:space="0" w:color="auto"/>
              <w:bottom w:val="nil"/>
            </w:tcBorders>
            <w:shd w:val="solid" w:color="000000" w:fill="000000"/>
            <w:noWrap/>
          </w:tcPr>
          <w:p w14:paraId="463BB661" w14:textId="3696BF98" w:rsidR="00BA39F4" w:rsidRPr="007012DA" w:rsidRDefault="007012DA" w:rsidP="00BA39F4">
            <w:pPr>
              <w:pStyle w:val="TableText0"/>
              <w:jc w:val="right"/>
            </w:pPr>
            <w:r w:rsidRPr="007012DA">
              <w:rPr>
                <w:rFonts w:hint="eastAsia"/>
                <w:color w:val="000000"/>
                <w:w w:val="20"/>
                <w:fitText w:val="90" w:id="-1500862448"/>
                <w14:textFill>
                  <w14:solidFill>
                    <w14:srgbClr w14:val="000000">
                      <w14:alpha w14:val="100000"/>
                    </w14:srgbClr>
                  </w14:solidFill>
                </w14:textFill>
              </w:rPr>
              <w:t xml:space="preserve">　</w:t>
            </w:r>
            <w:r w:rsidRPr="007012DA">
              <w:rPr>
                <w:color w:val="000000"/>
                <w:w w:val="20"/>
                <w:fitText w:val="90" w:id="-1500862448"/>
                <w14:textFill>
                  <w14:solidFill>
                    <w14:srgbClr w14:val="000000">
                      <w14:alpha w14:val="100000"/>
                    </w14:srgbClr>
                  </w14:solidFill>
                </w14:textFill>
              </w:rPr>
              <w:t>|</w:t>
            </w:r>
            <w:r w:rsidRPr="007012DA">
              <w:rPr>
                <w:rFonts w:hint="eastAsia"/>
                <w:color w:val="000000"/>
                <w:w w:val="20"/>
                <w:fitText w:val="90" w:id="-1500862448"/>
                <w14:textFill>
                  <w14:solidFill>
                    <w14:srgbClr w14:val="000000">
                      <w14:alpha w14:val="100000"/>
                    </w14:srgbClr>
                  </w14:solidFill>
                </w14:textFill>
              </w:rPr>
              <w:t xml:space="preserve">　</w:t>
            </w:r>
          </w:p>
        </w:tc>
        <w:tc>
          <w:tcPr>
            <w:tcW w:w="444" w:type="pct"/>
            <w:tcBorders>
              <w:top w:val="single" w:sz="4" w:space="0" w:color="auto"/>
              <w:bottom w:val="nil"/>
            </w:tcBorders>
            <w:noWrap/>
          </w:tcPr>
          <w:p w14:paraId="7BD07263" w14:textId="02C44158" w:rsidR="00BA39F4" w:rsidRPr="00842260" w:rsidRDefault="00BA39F4" w:rsidP="00BA39F4">
            <w:pPr>
              <w:pStyle w:val="TableText0"/>
              <w:jc w:val="right"/>
            </w:pPr>
            <w:r w:rsidRPr="00842260">
              <w:t>0.130</w:t>
            </w:r>
          </w:p>
        </w:tc>
        <w:tc>
          <w:tcPr>
            <w:tcW w:w="550" w:type="pct"/>
            <w:tcBorders>
              <w:top w:val="single" w:sz="4" w:space="0" w:color="auto"/>
              <w:bottom w:val="nil"/>
            </w:tcBorders>
            <w:noWrap/>
          </w:tcPr>
          <w:p w14:paraId="06C1474A" w14:textId="54FAD88C" w:rsidR="00BA39F4" w:rsidRPr="005029D4" w:rsidRDefault="007012DA" w:rsidP="00BA39F4">
            <w:pPr>
              <w:pStyle w:val="TableText0"/>
              <w:jc w:val="right"/>
              <w:rPr>
                <w:highlight w:val="yellow"/>
              </w:rPr>
            </w:pPr>
            <w:r w:rsidRPr="007012DA">
              <w:rPr>
                <w:rFonts w:hint="eastAsia"/>
                <w:color w:val="000000"/>
                <w:w w:val="15"/>
                <w:shd w:val="solid" w:color="000000" w:fill="000000"/>
                <w:fitText w:val="50" w:id="-1500862464"/>
                <w14:textFill>
                  <w14:solidFill>
                    <w14:srgbClr w14:val="000000">
                      <w14:alpha w14:val="100000"/>
                    </w14:srgbClr>
                  </w14:solidFill>
                </w14:textFill>
              </w:rPr>
              <w:t xml:space="preserve">　</w:t>
            </w:r>
            <w:r w:rsidRPr="007012DA">
              <w:rPr>
                <w:color w:val="000000"/>
                <w:w w:val="15"/>
                <w:shd w:val="solid" w:color="000000" w:fill="000000"/>
                <w:fitText w:val="50" w:id="-1500862464"/>
                <w14:textFill>
                  <w14:solidFill>
                    <w14:srgbClr w14:val="000000">
                      <w14:alpha w14:val="100000"/>
                    </w14:srgbClr>
                  </w14:solidFill>
                </w14:textFill>
              </w:rPr>
              <w:t>|</w:t>
            </w:r>
            <w:r w:rsidRPr="007012DA">
              <w:rPr>
                <w:rFonts w:hint="eastAsia"/>
                <w:color w:val="000000"/>
                <w:spacing w:val="-15"/>
                <w:w w:val="15"/>
                <w:shd w:val="solid" w:color="000000" w:fill="000000"/>
                <w:fitText w:val="50" w:id="-1500862464"/>
                <w14:textFill>
                  <w14:solidFill>
                    <w14:srgbClr w14:val="000000">
                      <w14:alpha w14:val="100000"/>
                    </w14:srgbClr>
                  </w14:solidFill>
                </w14:textFill>
              </w:rPr>
              <w:t xml:space="preserve">　</w:t>
            </w:r>
            <w:r w:rsidR="005029D4">
              <w:rPr>
                <w:vertAlign w:val="superscript"/>
                <w:lang w:eastAsia="en-AU"/>
              </w:rPr>
              <w:t>6</w:t>
            </w:r>
          </w:p>
        </w:tc>
        <w:tc>
          <w:tcPr>
            <w:tcW w:w="444" w:type="pct"/>
            <w:tcBorders>
              <w:top w:val="single" w:sz="4" w:space="0" w:color="auto"/>
              <w:bottom w:val="nil"/>
            </w:tcBorders>
            <w:noWrap/>
          </w:tcPr>
          <w:p w14:paraId="3FD89728" w14:textId="6EC8EADB" w:rsidR="00BA39F4" w:rsidRPr="00842260" w:rsidRDefault="00BA39F4" w:rsidP="00BA39F4">
            <w:pPr>
              <w:pStyle w:val="TableText0"/>
              <w:jc w:val="right"/>
            </w:pPr>
            <w:r w:rsidRPr="00842260">
              <w:t>504%</w:t>
            </w:r>
          </w:p>
        </w:tc>
      </w:tr>
      <w:tr w:rsidR="00BA39F4" w:rsidRPr="00842260" w14:paraId="6A312FAD" w14:textId="77777777" w:rsidTr="007012DA">
        <w:tc>
          <w:tcPr>
            <w:tcW w:w="3065" w:type="pct"/>
            <w:tcBorders>
              <w:top w:val="nil"/>
              <w:bottom w:val="nil"/>
            </w:tcBorders>
            <w:noWrap/>
          </w:tcPr>
          <w:p w14:paraId="6F64AB7B" w14:textId="77777777" w:rsidR="00BA39F4" w:rsidRPr="00842260" w:rsidRDefault="00BA39F4" w:rsidP="00BA39F4">
            <w:pPr>
              <w:pStyle w:val="TableText0"/>
            </w:pPr>
            <w:r w:rsidRPr="00842260">
              <w:t>#1, #2 AND #3</w:t>
            </w:r>
          </w:p>
        </w:tc>
        <w:tc>
          <w:tcPr>
            <w:tcW w:w="497" w:type="pct"/>
            <w:tcBorders>
              <w:top w:val="nil"/>
              <w:bottom w:val="nil"/>
            </w:tcBorders>
            <w:shd w:val="solid" w:color="000000" w:fill="000000"/>
            <w:noWrap/>
          </w:tcPr>
          <w:p w14:paraId="04138B58" w14:textId="1B97E98D" w:rsidR="00BA39F4" w:rsidRPr="007012DA" w:rsidRDefault="007012DA" w:rsidP="00BA39F4">
            <w:pPr>
              <w:pStyle w:val="TableText0"/>
              <w:jc w:val="right"/>
            </w:pPr>
            <w:r w:rsidRPr="007012DA">
              <w:rPr>
                <w:rFonts w:hint="eastAsia"/>
                <w:color w:val="000000"/>
                <w:w w:val="20"/>
                <w:fitText w:val="90" w:id="-1500862463"/>
                <w14:textFill>
                  <w14:solidFill>
                    <w14:srgbClr w14:val="000000">
                      <w14:alpha w14:val="100000"/>
                    </w14:srgbClr>
                  </w14:solidFill>
                </w14:textFill>
              </w:rPr>
              <w:t xml:space="preserve">　</w:t>
            </w:r>
            <w:r w:rsidRPr="007012DA">
              <w:rPr>
                <w:color w:val="000000"/>
                <w:w w:val="20"/>
                <w:fitText w:val="90" w:id="-1500862463"/>
                <w14:textFill>
                  <w14:solidFill>
                    <w14:srgbClr w14:val="000000">
                      <w14:alpha w14:val="100000"/>
                    </w14:srgbClr>
                  </w14:solidFill>
                </w14:textFill>
              </w:rPr>
              <w:t>|</w:t>
            </w:r>
            <w:r w:rsidRPr="007012DA">
              <w:rPr>
                <w:rFonts w:hint="eastAsia"/>
                <w:color w:val="000000"/>
                <w:w w:val="20"/>
                <w:fitText w:val="90" w:id="-1500862463"/>
                <w14:textFill>
                  <w14:solidFill>
                    <w14:srgbClr w14:val="000000">
                      <w14:alpha w14:val="100000"/>
                    </w14:srgbClr>
                  </w14:solidFill>
                </w14:textFill>
              </w:rPr>
              <w:t xml:space="preserve">　</w:t>
            </w:r>
          </w:p>
        </w:tc>
        <w:tc>
          <w:tcPr>
            <w:tcW w:w="444" w:type="pct"/>
            <w:tcBorders>
              <w:top w:val="nil"/>
              <w:bottom w:val="nil"/>
            </w:tcBorders>
            <w:noWrap/>
          </w:tcPr>
          <w:p w14:paraId="7CD5539B" w14:textId="5AF053A1" w:rsidR="00BA39F4" w:rsidRPr="00842260" w:rsidRDefault="00BA39F4" w:rsidP="00BA39F4">
            <w:pPr>
              <w:pStyle w:val="TableText0"/>
              <w:jc w:val="right"/>
            </w:pPr>
            <w:r w:rsidRPr="00842260">
              <w:t>0.146</w:t>
            </w:r>
          </w:p>
        </w:tc>
        <w:tc>
          <w:tcPr>
            <w:tcW w:w="550" w:type="pct"/>
            <w:tcBorders>
              <w:top w:val="nil"/>
              <w:bottom w:val="nil"/>
            </w:tcBorders>
            <w:noWrap/>
          </w:tcPr>
          <w:p w14:paraId="1EF55AB2" w14:textId="73A307F0" w:rsidR="00BA39F4" w:rsidRPr="005029D4" w:rsidRDefault="007012DA" w:rsidP="00BA39F4">
            <w:pPr>
              <w:pStyle w:val="TableText0"/>
              <w:jc w:val="right"/>
              <w:rPr>
                <w:highlight w:val="yellow"/>
              </w:rPr>
            </w:pPr>
            <w:r w:rsidRPr="007012DA">
              <w:rPr>
                <w:rFonts w:hint="eastAsia"/>
                <w:color w:val="000000"/>
                <w:w w:val="15"/>
                <w:shd w:val="solid" w:color="000000" w:fill="000000"/>
                <w:fitText w:val="50" w:id="-1500862462"/>
                <w14:textFill>
                  <w14:solidFill>
                    <w14:srgbClr w14:val="000000">
                      <w14:alpha w14:val="100000"/>
                    </w14:srgbClr>
                  </w14:solidFill>
                </w14:textFill>
              </w:rPr>
              <w:t xml:space="preserve">　</w:t>
            </w:r>
            <w:r w:rsidRPr="007012DA">
              <w:rPr>
                <w:color w:val="000000"/>
                <w:w w:val="15"/>
                <w:shd w:val="solid" w:color="000000" w:fill="000000"/>
                <w:fitText w:val="50" w:id="-1500862462"/>
                <w14:textFill>
                  <w14:solidFill>
                    <w14:srgbClr w14:val="000000">
                      <w14:alpha w14:val="100000"/>
                    </w14:srgbClr>
                  </w14:solidFill>
                </w14:textFill>
              </w:rPr>
              <w:t>|</w:t>
            </w:r>
            <w:r w:rsidRPr="007012DA">
              <w:rPr>
                <w:rFonts w:hint="eastAsia"/>
                <w:color w:val="000000"/>
                <w:spacing w:val="-15"/>
                <w:w w:val="15"/>
                <w:shd w:val="solid" w:color="000000" w:fill="000000"/>
                <w:fitText w:val="50" w:id="-1500862462"/>
                <w14:textFill>
                  <w14:solidFill>
                    <w14:srgbClr w14:val="000000">
                      <w14:alpha w14:val="100000"/>
                    </w14:srgbClr>
                  </w14:solidFill>
                </w14:textFill>
              </w:rPr>
              <w:t xml:space="preserve">　</w:t>
            </w:r>
            <w:r w:rsidR="005029D4">
              <w:rPr>
                <w:vertAlign w:val="superscript"/>
                <w:lang w:eastAsia="en-AU"/>
              </w:rPr>
              <w:t>6</w:t>
            </w:r>
          </w:p>
        </w:tc>
        <w:tc>
          <w:tcPr>
            <w:tcW w:w="444" w:type="pct"/>
            <w:tcBorders>
              <w:top w:val="nil"/>
              <w:bottom w:val="nil"/>
            </w:tcBorders>
            <w:noWrap/>
          </w:tcPr>
          <w:p w14:paraId="45A51C08" w14:textId="2CE6BD36" w:rsidR="00BA39F4" w:rsidRPr="00842260" w:rsidRDefault="00BA39F4" w:rsidP="00BA39F4">
            <w:pPr>
              <w:pStyle w:val="TableText0"/>
              <w:jc w:val="right"/>
            </w:pPr>
            <w:r w:rsidRPr="00842260">
              <w:t>548%</w:t>
            </w:r>
          </w:p>
        </w:tc>
      </w:tr>
      <w:tr w:rsidR="00BA39F4" w:rsidRPr="00842260" w14:paraId="796F5A19" w14:textId="77777777" w:rsidTr="007012DA">
        <w:tc>
          <w:tcPr>
            <w:tcW w:w="3065" w:type="pct"/>
            <w:tcBorders>
              <w:top w:val="nil"/>
              <w:bottom w:val="nil"/>
            </w:tcBorders>
            <w:noWrap/>
          </w:tcPr>
          <w:p w14:paraId="7BFEF8B4" w14:textId="77777777" w:rsidR="00BA39F4" w:rsidRPr="00842260" w:rsidRDefault="00BA39F4" w:rsidP="00BA39F4">
            <w:pPr>
              <w:pStyle w:val="TableText0"/>
            </w:pPr>
            <w:r w:rsidRPr="00842260">
              <w:t>#1, #2, #3 AND #4</w:t>
            </w:r>
          </w:p>
        </w:tc>
        <w:tc>
          <w:tcPr>
            <w:tcW w:w="497" w:type="pct"/>
            <w:tcBorders>
              <w:top w:val="nil"/>
              <w:bottom w:val="nil"/>
            </w:tcBorders>
            <w:shd w:val="solid" w:color="000000" w:fill="000000"/>
            <w:noWrap/>
          </w:tcPr>
          <w:p w14:paraId="7F981111" w14:textId="2152F688" w:rsidR="00BA39F4" w:rsidRPr="007012DA" w:rsidRDefault="007012DA" w:rsidP="00BA39F4">
            <w:pPr>
              <w:pStyle w:val="TableText0"/>
              <w:jc w:val="right"/>
            </w:pPr>
            <w:r w:rsidRPr="007012DA">
              <w:rPr>
                <w:rFonts w:hint="eastAsia"/>
                <w:color w:val="000000"/>
                <w:w w:val="20"/>
                <w:fitText w:val="90" w:id="-1500862461"/>
                <w14:textFill>
                  <w14:solidFill>
                    <w14:srgbClr w14:val="000000">
                      <w14:alpha w14:val="100000"/>
                    </w14:srgbClr>
                  </w14:solidFill>
                </w14:textFill>
              </w:rPr>
              <w:t xml:space="preserve">　</w:t>
            </w:r>
            <w:r w:rsidRPr="007012DA">
              <w:rPr>
                <w:color w:val="000000"/>
                <w:w w:val="20"/>
                <w:fitText w:val="90" w:id="-1500862461"/>
                <w14:textFill>
                  <w14:solidFill>
                    <w14:srgbClr w14:val="000000">
                      <w14:alpha w14:val="100000"/>
                    </w14:srgbClr>
                  </w14:solidFill>
                </w14:textFill>
              </w:rPr>
              <w:t>|</w:t>
            </w:r>
            <w:r w:rsidRPr="007012DA">
              <w:rPr>
                <w:rFonts w:hint="eastAsia"/>
                <w:color w:val="000000"/>
                <w:w w:val="20"/>
                <w:fitText w:val="90" w:id="-1500862461"/>
                <w14:textFill>
                  <w14:solidFill>
                    <w14:srgbClr w14:val="000000">
                      <w14:alpha w14:val="100000"/>
                    </w14:srgbClr>
                  </w14:solidFill>
                </w14:textFill>
              </w:rPr>
              <w:t xml:space="preserve">　</w:t>
            </w:r>
          </w:p>
        </w:tc>
        <w:tc>
          <w:tcPr>
            <w:tcW w:w="444" w:type="pct"/>
            <w:tcBorders>
              <w:top w:val="nil"/>
              <w:bottom w:val="nil"/>
            </w:tcBorders>
            <w:noWrap/>
          </w:tcPr>
          <w:p w14:paraId="07D3A6CD" w14:textId="47987F46" w:rsidR="00BA39F4" w:rsidRPr="00842260" w:rsidRDefault="00BA39F4" w:rsidP="00BA39F4">
            <w:pPr>
              <w:pStyle w:val="TableText0"/>
              <w:jc w:val="right"/>
            </w:pPr>
            <w:r w:rsidRPr="00842260">
              <w:t>0.128</w:t>
            </w:r>
          </w:p>
        </w:tc>
        <w:tc>
          <w:tcPr>
            <w:tcW w:w="550" w:type="pct"/>
            <w:tcBorders>
              <w:top w:val="nil"/>
              <w:bottom w:val="nil"/>
            </w:tcBorders>
            <w:noWrap/>
          </w:tcPr>
          <w:p w14:paraId="5DB2B00E" w14:textId="08AEF9AC" w:rsidR="00BA39F4" w:rsidRPr="005029D4" w:rsidRDefault="007012DA" w:rsidP="00BA39F4">
            <w:pPr>
              <w:pStyle w:val="TableText0"/>
              <w:jc w:val="right"/>
              <w:rPr>
                <w:highlight w:val="yellow"/>
              </w:rPr>
            </w:pPr>
            <w:r w:rsidRPr="007012DA">
              <w:rPr>
                <w:rFonts w:hint="eastAsia"/>
                <w:color w:val="000000"/>
                <w:w w:val="15"/>
                <w:shd w:val="solid" w:color="000000" w:fill="000000"/>
                <w:fitText w:val="50" w:id="-1500862460"/>
                <w14:textFill>
                  <w14:solidFill>
                    <w14:srgbClr w14:val="000000">
                      <w14:alpha w14:val="100000"/>
                    </w14:srgbClr>
                  </w14:solidFill>
                </w14:textFill>
              </w:rPr>
              <w:t xml:space="preserve">　</w:t>
            </w:r>
            <w:r w:rsidRPr="007012DA">
              <w:rPr>
                <w:color w:val="000000"/>
                <w:w w:val="15"/>
                <w:shd w:val="solid" w:color="000000" w:fill="000000"/>
                <w:fitText w:val="50" w:id="-1500862460"/>
                <w14:textFill>
                  <w14:solidFill>
                    <w14:srgbClr w14:val="000000">
                      <w14:alpha w14:val="100000"/>
                    </w14:srgbClr>
                  </w14:solidFill>
                </w14:textFill>
              </w:rPr>
              <w:t>|</w:t>
            </w:r>
            <w:r w:rsidRPr="007012DA">
              <w:rPr>
                <w:rFonts w:hint="eastAsia"/>
                <w:color w:val="000000"/>
                <w:spacing w:val="-15"/>
                <w:w w:val="15"/>
                <w:shd w:val="solid" w:color="000000" w:fill="000000"/>
                <w:fitText w:val="50" w:id="-1500862460"/>
                <w14:textFill>
                  <w14:solidFill>
                    <w14:srgbClr w14:val="000000">
                      <w14:alpha w14:val="100000"/>
                    </w14:srgbClr>
                  </w14:solidFill>
                </w14:textFill>
              </w:rPr>
              <w:t xml:space="preserve">　</w:t>
            </w:r>
            <w:r w:rsidR="005029D4">
              <w:rPr>
                <w:vertAlign w:val="superscript"/>
                <w:lang w:eastAsia="en-AU"/>
              </w:rPr>
              <w:t>7</w:t>
            </w:r>
          </w:p>
        </w:tc>
        <w:tc>
          <w:tcPr>
            <w:tcW w:w="444" w:type="pct"/>
            <w:tcBorders>
              <w:top w:val="nil"/>
              <w:bottom w:val="nil"/>
            </w:tcBorders>
            <w:noWrap/>
          </w:tcPr>
          <w:p w14:paraId="2B190206" w14:textId="2AF57897" w:rsidR="00BA39F4" w:rsidRPr="00842260" w:rsidRDefault="00BA39F4" w:rsidP="00BA39F4">
            <w:pPr>
              <w:pStyle w:val="TableText0"/>
              <w:jc w:val="right"/>
            </w:pPr>
            <w:r w:rsidRPr="00842260">
              <w:t>656%</w:t>
            </w:r>
          </w:p>
        </w:tc>
      </w:tr>
      <w:tr w:rsidR="00BA39F4" w:rsidRPr="00842260" w14:paraId="2AEB40F0" w14:textId="77777777" w:rsidTr="007012DA">
        <w:tc>
          <w:tcPr>
            <w:tcW w:w="3065" w:type="pct"/>
            <w:tcBorders>
              <w:top w:val="nil"/>
              <w:bottom w:val="nil"/>
            </w:tcBorders>
            <w:noWrap/>
          </w:tcPr>
          <w:p w14:paraId="3FE05A95" w14:textId="77777777" w:rsidR="00BA39F4" w:rsidRPr="00842260" w:rsidRDefault="00BA39F4" w:rsidP="00BA39F4">
            <w:pPr>
              <w:pStyle w:val="TableText0"/>
            </w:pPr>
            <w:r w:rsidRPr="00842260">
              <w:t>#1, #2, #3, #4 AND #5</w:t>
            </w:r>
          </w:p>
        </w:tc>
        <w:tc>
          <w:tcPr>
            <w:tcW w:w="497" w:type="pct"/>
            <w:tcBorders>
              <w:top w:val="nil"/>
              <w:bottom w:val="nil"/>
            </w:tcBorders>
            <w:shd w:val="solid" w:color="000000" w:fill="000000"/>
            <w:noWrap/>
          </w:tcPr>
          <w:p w14:paraId="1CFFD661" w14:textId="3893B2CE" w:rsidR="00BA39F4" w:rsidRPr="007012DA" w:rsidRDefault="007012DA" w:rsidP="00BA39F4">
            <w:pPr>
              <w:pStyle w:val="TableText0"/>
              <w:jc w:val="right"/>
            </w:pPr>
            <w:r w:rsidRPr="007012DA">
              <w:rPr>
                <w:rFonts w:hint="eastAsia"/>
                <w:color w:val="000000"/>
                <w:w w:val="20"/>
                <w:fitText w:val="90" w:id="-1500862459"/>
                <w14:textFill>
                  <w14:solidFill>
                    <w14:srgbClr w14:val="000000">
                      <w14:alpha w14:val="100000"/>
                    </w14:srgbClr>
                  </w14:solidFill>
                </w14:textFill>
              </w:rPr>
              <w:t xml:space="preserve">　</w:t>
            </w:r>
            <w:r w:rsidRPr="007012DA">
              <w:rPr>
                <w:color w:val="000000"/>
                <w:w w:val="20"/>
                <w:fitText w:val="90" w:id="-1500862459"/>
                <w14:textFill>
                  <w14:solidFill>
                    <w14:srgbClr w14:val="000000">
                      <w14:alpha w14:val="100000"/>
                    </w14:srgbClr>
                  </w14:solidFill>
                </w14:textFill>
              </w:rPr>
              <w:t>|</w:t>
            </w:r>
            <w:r w:rsidRPr="007012DA">
              <w:rPr>
                <w:rFonts w:hint="eastAsia"/>
                <w:color w:val="000000"/>
                <w:w w:val="20"/>
                <w:fitText w:val="90" w:id="-1500862459"/>
                <w14:textFill>
                  <w14:solidFill>
                    <w14:srgbClr w14:val="000000">
                      <w14:alpha w14:val="100000"/>
                    </w14:srgbClr>
                  </w14:solidFill>
                </w14:textFill>
              </w:rPr>
              <w:t xml:space="preserve">　</w:t>
            </w:r>
          </w:p>
        </w:tc>
        <w:tc>
          <w:tcPr>
            <w:tcW w:w="444" w:type="pct"/>
            <w:tcBorders>
              <w:top w:val="nil"/>
              <w:bottom w:val="nil"/>
            </w:tcBorders>
            <w:noWrap/>
          </w:tcPr>
          <w:p w14:paraId="1DD00F52" w14:textId="0E86A22F" w:rsidR="00BA39F4" w:rsidRPr="00842260" w:rsidRDefault="00BA39F4" w:rsidP="00BA39F4">
            <w:pPr>
              <w:pStyle w:val="TableText0"/>
              <w:jc w:val="right"/>
            </w:pPr>
            <w:r w:rsidRPr="00842260">
              <w:t>0.128</w:t>
            </w:r>
          </w:p>
        </w:tc>
        <w:tc>
          <w:tcPr>
            <w:tcW w:w="550" w:type="pct"/>
            <w:tcBorders>
              <w:top w:val="nil"/>
              <w:bottom w:val="nil"/>
            </w:tcBorders>
            <w:noWrap/>
          </w:tcPr>
          <w:p w14:paraId="51E88C96" w14:textId="61BDB334" w:rsidR="00BA39F4" w:rsidRPr="005029D4" w:rsidRDefault="007012DA" w:rsidP="00BA39F4">
            <w:pPr>
              <w:pStyle w:val="TableText0"/>
              <w:jc w:val="right"/>
              <w:rPr>
                <w:highlight w:val="yellow"/>
              </w:rPr>
            </w:pPr>
            <w:r w:rsidRPr="007012DA">
              <w:rPr>
                <w:rFonts w:hint="eastAsia"/>
                <w:color w:val="000000"/>
                <w:w w:val="15"/>
                <w:shd w:val="solid" w:color="000000" w:fill="000000"/>
                <w:fitText w:val="50" w:id="-1500862458"/>
                <w14:textFill>
                  <w14:solidFill>
                    <w14:srgbClr w14:val="000000">
                      <w14:alpha w14:val="100000"/>
                    </w14:srgbClr>
                  </w14:solidFill>
                </w14:textFill>
              </w:rPr>
              <w:t xml:space="preserve">　</w:t>
            </w:r>
            <w:r w:rsidRPr="007012DA">
              <w:rPr>
                <w:color w:val="000000"/>
                <w:w w:val="15"/>
                <w:shd w:val="solid" w:color="000000" w:fill="000000"/>
                <w:fitText w:val="50" w:id="-1500862458"/>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8"/>
                <w14:textFill>
                  <w14:solidFill>
                    <w14:srgbClr w14:val="000000">
                      <w14:alpha w14:val="100000"/>
                    </w14:srgbClr>
                  </w14:solidFill>
                </w14:textFill>
              </w:rPr>
              <w:t xml:space="preserve">　</w:t>
            </w:r>
            <w:r w:rsidR="005029D4">
              <w:rPr>
                <w:vertAlign w:val="superscript"/>
                <w:lang w:eastAsia="en-AU"/>
              </w:rPr>
              <w:t>8</w:t>
            </w:r>
          </w:p>
        </w:tc>
        <w:tc>
          <w:tcPr>
            <w:tcW w:w="444" w:type="pct"/>
            <w:tcBorders>
              <w:top w:val="nil"/>
              <w:bottom w:val="nil"/>
            </w:tcBorders>
            <w:noWrap/>
          </w:tcPr>
          <w:p w14:paraId="6166417D" w14:textId="262006A2" w:rsidR="00BA39F4" w:rsidRPr="00842260" w:rsidRDefault="00BA39F4" w:rsidP="00BA39F4">
            <w:pPr>
              <w:pStyle w:val="TableText0"/>
              <w:jc w:val="right"/>
            </w:pPr>
            <w:r w:rsidRPr="00842260">
              <w:t>716%</w:t>
            </w:r>
          </w:p>
        </w:tc>
      </w:tr>
      <w:tr w:rsidR="00BA39F4" w:rsidRPr="00842260" w14:paraId="4CC20EC5" w14:textId="77777777" w:rsidTr="007012DA">
        <w:tc>
          <w:tcPr>
            <w:tcW w:w="3065" w:type="pct"/>
            <w:tcBorders>
              <w:top w:val="nil"/>
              <w:bottom w:val="single" w:sz="4" w:space="0" w:color="auto"/>
            </w:tcBorders>
            <w:noWrap/>
          </w:tcPr>
          <w:p w14:paraId="1E26F994" w14:textId="77777777" w:rsidR="00BA39F4" w:rsidRPr="00842260" w:rsidRDefault="00BA39F4" w:rsidP="00BA39F4">
            <w:pPr>
              <w:pStyle w:val="TableText0"/>
            </w:pPr>
            <w:r w:rsidRPr="00842260">
              <w:t>#1, #2, #3, #4, #5 AND #6</w:t>
            </w:r>
          </w:p>
        </w:tc>
        <w:tc>
          <w:tcPr>
            <w:tcW w:w="497" w:type="pct"/>
            <w:tcBorders>
              <w:top w:val="nil"/>
              <w:bottom w:val="single" w:sz="4" w:space="0" w:color="auto"/>
            </w:tcBorders>
            <w:shd w:val="solid" w:color="000000" w:fill="000000"/>
            <w:noWrap/>
          </w:tcPr>
          <w:p w14:paraId="584153B1" w14:textId="4A62D338" w:rsidR="00BA39F4" w:rsidRPr="007012DA" w:rsidRDefault="007012DA" w:rsidP="00BA39F4">
            <w:pPr>
              <w:pStyle w:val="TableText0"/>
              <w:jc w:val="right"/>
            </w:pPr>
            <w:r w:rsidRPr="007012DA">
              <w:rPr>
                <w:rFonts w:hint="eastAsia"/>
                <w:color w:val="000000"/>
                <w:w w:val="20"/>
                <w:fitText w:val="90" w:id="-1500862457"/>
                <w14:textFill>
                  <w14:solidFill>
                    <w14:srgbClr w14:val="000000">
                      <w14:alpha w14:val="100000"/>
                    </w14:srgbClr>
                  </w14:solidFill>
                </w14:textFill>
              </w:rPr>
              <w:t xml:space="preserve">　</w:t>
            </w:r>
            <w:r w:rsidRPr="007012DA">
              <w:rPr>
                <w:color w:val="000000"/>
                <w:w w:val="20"/>
                <w:fitText w:val="90" w:id="-1500862457"/>
                <w14:textFill>
                  <w14:solidFill>
                    <w14:srgbClr w14:val="000000">
                      <w14:alpha w14:val="100000"/>
                    </w14:srgbClr>
                  </w14:solidFill>
                </w14:textFill>
              </w:rPr>
              <w:t>|</w:t>
            </w:r>
            <w:r w:rsidRPr="007012DA">
              <w:rPr>
                <w:rFonts w:hint="eastAsia"/>
                <w:color w:val="000000"/>
                <w:w w:val="20"/>
                <w:fitText w:val="90" w:id="-1500862457"/>
                <w14:textFill>
                  <w14:solidFill>
                    <w14:srgbClr w14:val="000000">
                      <w14:alpha w14:val="100000"/>
                    </w14:srgbClr>
                  </w14:solidFill>
                </w14:textFill>
              </w:rPr>
              <w:t xml:space="preserve">　</w:t>
            </w:r>
          </w:p>
        </w:tc>
        <w:tc>
          <w:tcPr>
            <w:tcW w:w="444" w:type="pct"/>
            <w:tcBorders>
              <w:top w:val="nil"/>
              <w:bottom w:val="single" w:sz="4" w:space="0" w:color="auto"/>
            </w:tcBorders>
            <w:noWrap/>
          </w:tcPr>
          <w:p w14:paraId="5D349E97" w14:textId="111D3007" w:rsidR="00BA39F4" w:rsidRPr="00842260" w:rsidRDefault="00BA39F4" w:rsidP="00BA39F4">
            <w:pPr>
              <w:pStyle w:val="TableText0"/>
              <w:jc w:val="right"/>
            </w:pPr>
            <w:r w:rsidRPr="00842260">
              <w:t>0.045</w:t>
            </w:r>
          </w:p>
        </w:tc>
        <w:tc>
          <w:tcPr>
            <w:tcW w:w="550" w:type="pct"/>
            <w:tcBorders>
              <w:top w:val="nil"/>
              <w:bottom w:val="single" w:sz="4" w:space="0" w:color="auto"/>
            </w:tcBorders>
            <w:noWrap/>
          </w:tcPr>
          <w:p w14:paraId="46B4F945" w14:textId="0A1FCC1F" w:rsidR="00BA39F4" w:rsidRPr="005029D4" w:rsidRDefault="007012DA" w:rsidP="00BA39F4">
            <w:pPr>
              <w:pStyle w:val="TableText0"/>
              <w:jc w:val="right"/>
              <w:rPr>
                <w:highlight w:val="yellow"/>
              </w:rPr>
            </w:pPr>
            <w:r w:rsidRPr="007012DA">
              <w:rPr>
                <w:rFonts w:hint="eastAsia"/>
                <w:color w:val="000000"/>
                <w:w w:val="15"/>
                <w:shd w:val="solid" w:color="000000" w:fill="000000"/>
                <w:fitText w:val="50" w:id="-1500862456"/>
                <w14:textFill>
                  <w14:solidFill>
                    <w14:srgbClr w14:val="000000">
                      <w14:alpha w14:val="100000"/>
                    </w14:srgbClr>
                  </w14:solidFill>
                </w14:textFill>
              </w:rPr>
              <w:t xml:space="preserve">　</w:t>
            </w:r>
            <w:r w:rsidRPr="007012DA">
              <w:rPr>
                <w:color w:val="000000"/>
                <w:w w:val="15"/>
                <w:shd w:val="solid" w:color="000000" w:fill="000000"/>
                <w:fitText w:val="50" w:id="-1500862456"/>
                <w14:textFill>
                  <w14:solidFill>
                    <w14:srgbClr w14:val="000000">
                      <w14:alpha w14:val="100000"/>
                    </w14:srgbClr>
                  </w14:solidFill>
                </w14:textFill>
              </w:rPr>
              <w:t>|</w:t>
            </w:r>
            <w:r w:rsidRPr="007012DA">
              <w:rPr>
                <w:rFonts w:hint="eastAsia"/>
                <w:color w:val="000000"/>
                <w:spacing w:val="-15"/>
                <w:w w:val="15"/>
                <w:shd w:val="solid" w:color="000000" w:fill="000000"/>
                <w:fitText w:val="50" w:id="-1500862456"/>
                <w14:textFill>
                  <w14:solidFill>
                    <w14:srgbClr w14:val="000000">
                      <w14:alpha w14:val="100000"/>
                    </w14:srgbClr>
                  </w14:solidFill>
                </w14:textFill>
              </w:rPr>
              <w:t xml:space="preserve">　</w:t>
            </w:r>
            <w:r w:rsidR="005029D4">
              <w:rPr>
                <w:vertAlign w:val="superscript"/>
                <w:lang w:eastAsia="en-AU"/>
              </w:rPr>
              <w:t>5</w:t>
            </w:r>
          </w:p>
        </w:tc>
        <w:tc>
          <w:tcPr>
            <w:tcW w:w="444" w:type="pct"/>
            <w:tcBorders>
              <w:top w:val="nil"/>
              <w:bottom w:val="single" w:sz="4" w:space="0" w:color="auto"/>
            </w:tcBorders>
            <w:noWrap/>
          </w:tcPr>
          <w:p w14:paraId="27CBB3EB" w14:textId="35AB3D29" w:rsidR="00BA39F4" w:rsidRPr="00842260" w:rsidRDefault="00BA39F4" w:rsidP="00BA39F4">
            <w:pPr>
              <w:pStyle w:val="TableText0"/>
              <w:jc w:val="right"/>
            </w:pPr>
            <w:r w:rsidRPr="00842260">
              <w:t>2169%</w:t>
            </w:r>
          </w:p>
        </w:tc>
      </w:tr>
    </w:tbl>
    <w:p w14:paraId="4BBD7195" w14:textId="3534650F" w:rsidR="00CE0B5F" w:rsidRPr="00842260" w:rsidRDefault="00F102D0" w:rsidP="00CE0B5F">
      <w:pPr>
        <w:pStyle w:val="TableFigureFooter"/>
      </w:pPr>
      <w:r w:rsidRPr="00842260">
        <w:t>Source: Adapted from Table 3−61, p229 of the submission and the ‘A6.1_Abemaciclib Section 3 workbook.xlsm’ workbook.</w:t>
      </w:r>
    </w:p>
    <w:p w14:paraId="3615BD54" w14:textId="1550ABD1" w:rsidR="00F102D0" w:rsidRPr="00842260" w:rsidRDefault="00F102D0" w:rsidP="00CE0B5F">
      <w:pPr>
        <w:pStyle w:val="TableFigureFooter"/>
      </w:pPr>
      <w:r w:rsidRPr="00842260">
        <w:t xml:space="preserve">ABE = </w:t>
      </w:r>
      <w:proofErr w:type="spellStart"/>
      <w:r w:rsidRPr="00842260">
        <w:t>abemaciclib</w:t>
      </w:r>
      <w:proofErr w:type="spellEnd"/>
      <w:r w:rsidRPr="00842260">
        <w:t>; ECG = electrocardiogram; ET = endocrine therapy; ICER = incremental cost-effectiveness</w:t>
      </w:r>
      <w:r w:rsidR="00714A47" w:rsidRPr="00842260">
        <w:t xml:space="preserve"> ratio</w:t>
      </w:r>
      <w:r w:rsidRPr="00842260">
        <w:t xml:space="preserve">; IDFS = invasive disease-free survival; </w:t>
      </w:r>
      <w:r w:rsidR="00062995" w:rsidRPr="00842260">
        <w:rPr>
          <w:iCs/>
        </w:rPr>
        <w:t xml:space="preserve">Inc. = incremental; </w:t>
      </w:r>
      <w:r w:rsidRPr="00842260">
        <w:t>LY = life years; NMR = non-metastatic recurrence; PFS = progression-free survival; PPS = post-progression survival; QALY = quality-adjusted life year.</w:t>
      </w:r>
    </w:p>
    <w:p w14:paraId="448F39A0" w14:textId="6971ECAB" w:rsidR="00F102D0" w:rsidRPr="00842260" w:rsidRDefault="00F102D0" w:rsidP="00CE0B5F">
      <w:pPr>
        <w:pStyle w:val="TableFigureFooter"/>
      </w:pPr>
      <w:r w:rsidRPr="00842260">
        <w:rPr>
          <w:vertAlign w:val="superscript"/>
        </w:rPr>
        <w:t>a</w:t>
      </w:r>
      <w:r w:rsidRPr="00842260">
        <w:t xml:space="preserve"> </w:t>
      </w:r>
      <w:proofErr w:type="gramStart"/>
      <w:r w:rsidRPr="00842260">
        <w:t>Based on</w:t>
      </w:r>
      <w:proofErr w:type="gramEnd"/>
      <w:r w:rsidRPr="00842260">
        <w:t xml:space="preserve"> MBS item 11704</w:t>
      </w:r>
    </w:p>
    <w:p w14:paraId="52914CE3" w14:textId="7FB80630" w:rsidR="00F102D0" w:rsidRPr="00842260" w:rsidRDefault="00F102D0" w:rsidP="00CE0B5F">
      <w:pPr>
        <w:pStyle w:val="TableFigureFooter"/>
      </w:pPr>
      <w:r w:rsidRPr="00842260">
        <w:rPr>
          <w:vertAlign w:val="superscript"/>
        </w:rPr>
        <w:t>b</w:t>
      </w:r>
      <w:r w:rsidRPr="00842260">
        <w:t xml:space="preserve"> Current dispensed price for the maximum quantity</w:t>
      </w:r>
    </w:p>
    <w:p w14:paraId="51D26BB4" w14:textId="4854BE98" w:rsidR="00F102D0" w:rsidRPr="00842260" w:rsidRDefault="00F102D0" w:rsidP="00CE0B5F">
      <w:pPr>
        <w:pStyle w:val="TableFigureFooter"/>
      </w:pPr>
      <w:r w:rsidRPr="00842260">
        <w:rPr>
          <w:vertAlign w:val="superscript"/>
        </w:rPr>
        <w:t>c</w:t>
      </w:r>
      <w:r w:rsidRPr="00842260">
        <w:t xml:space="preserve"> </w:t>
      </w:r>
      <w:proofErr w:type="gramStart"/>
      <w:r w:rsidRPr="00842260">
        <w:t>The</w:t>
      </w:r>
      <w:proofErr w:type="gramEnd"/>
      <w:r w:rsidRPr="00842260">
        <w:t xml:space="preserve"> submission source the cost from the direct cost component of the Tier 2 2042 Medical Oncology (Consultation), however pharmacy costs contributed to the bulk of this cost. The direct ward medical component cost was $82.55.</w:t>
      </w:r>
    </w:p>
    <w:p w14:paraId="7620A076" w14:textId="19B2A3E6" w:rsidR="00F102D0" w:rsidRDefault="00F102D0" w:rsidP="005029D4">
      <w:pPr>
        <w:pStyle w:val="TableFigureFooter"/>
        <w:spacing w:after="0"/>
      </w:pPr>
      <w:r w:rsidRPr="00842260">
        <w:rPr>
          <w:vertAlign w:val="superscript"/>
        </w:rPr>
        <w:t>d</w:t>
      </w:r>
      <w:r w:rsidRPr="00842260">
        <w:t xml:space="preserve"> </w:t>
      </w:r>
      <w:proofErr w:type="gramStart"/>
      <w:r w:rsidRPr="00842260">
        <w:t>From</w:t>
      </w:r>
      <w:proofErr w:type="gramEnd"/>
      <w:r w:rsidRPr="00842260">
        <w:t xml:space="preserve"> the ‘Monarch 3 Global CEM_v1_30Sept21v2.xlsm’ workbook.</w:t>
      </w:r>
    </w:p>
    <w:p w14:paraId="28E3964E" w14:textId="77777777" w:rsidR="005029D4" w:rsidRPr="005029D4" w:rsidRDefault="005029D4" w:rsidP="005029D4">
      <w:pPr>
        <w:rPr>
          <w:rFonts w:ascii="Arial Narrow" w:hAnsi="Arial Narrow"/>
          <w:i/>
          <w:sz w:val="18"/>
          <w:szCs w:val="18"/>
        </w:rPr>
      </w:pPr>
      <w:r w:rsidRPr="005029D4">
        <w:rPr>
          <w:rFonts w:ascii="Arial Narrow" w:hAnsi="Arial Narrow"/>
          <w:i/>
          <w:sz w:val="18"/>
          <w:szCs w:val="18"/>
        </w:rPr>
        <w:t xml:space="preserve">The redacted values correspond to the following ranges: </w:t>
      </w:r>
    </w:p>
    <w:p w14:paraId="3E09E64F" w14:textId="6295DE67" w:rsidR="005029D4" w:rsidRPr="005029D4" w:rsidRDefault="005029D4" w:rsidP="005029D4">
      <w:pPr>
        <w:rPr>
          <w:rFonts w:ascii="Arial Narrow" w:hAnsi="Arial Narrow"/>
          <w:i/>
          <w:sz w:val="18"/>
          <w:szCs w:val="18"/>
        </w:rPr>
      </w:pPr>
      <w:r w:rsidRPr="005029D4">
        <w:rPr>
          <w:rFonts w:ascii="Arial Narrow" w:hAnsi="Arial Narrow"/>
          <w:i/>
          <w:sz w:val="18"/>
          <w:szCs w:val="18"/>
          <w:vertAlign w:val="superscript"/>
        </w:rPr>
        <w:t>1</w:t>
      </w:r>
      <w:r w:rsidRPr="005029D4">
        <w:rPr>
          <w:rFonts w:ascii="Arial Narrow" w:hAnsi="Arial Narrow"/>
          <w:i/>
          <w:sz w:val="18"/>
          <w:szCs w:val="18"/>
        </w:rPr>
        <w:t xml:space="preserve"> </w:t>
      </w:r>
      <w:bookmarkStart w:id="56" w:name="_Hlk103088724"/>
      <w:r w:rsidRPr="005029D4">
        <w:rPr>
          <w:rFonts w:ascii="Arial Narrow" w:hAnsi="Arial Narrow"/>
          <w:i/>
          <w:sz w:val="18"/>
          <w:szCs w:val="18"/>
        </w:rPr>
        <w:t>$15,000 to &lt; $25,000</w:t>
      </w:r>
      <w:bookmarkEnd w:id="56"/>
    </w:p>
    <w:p w14:paraId="1CD5327A" w14:textId="181ACC71" w:rsidR="005029D4" w:rsidRPr="005029D4" w:rsidRDefault="005029D4" w:rsidP="005029D4">
      <w:pPr>
        <w:rPr>
          <w:rFonts w:ascii="Arial Narrow" w:hAnsi="Arial Narrow"/>
          <w:i/>
          <w:sz w:val="18"/>
          <w:szCs w:val="18"/>
        </w:rPr>
      </w:pPr>
      <w:r w:rsidRPr="005029D4">
        <w:rPr>
          <w:rFonts w:ascii="Arial Narrow" w:hAnsi="Arial Narrow"/>
          <w:i/>
          <w:sz w:val="18"/>
          <w:szCs w:val="18"/>
          <w:vertAlign w:val="superscript"/>
        </w:rPr>
        <w:t>2</w:t>
      </w:r>
      <w:r w:rsidRPr="005029D4">
        <w:rPr>
          <w:rFonts w:ascii="Arial Narrow" w:hAnsi="Arial Narrow"/>
          <w:i/>
          <w:sz w:val="18"/>
          <w:szCs w:val="18"/>
        </w:rPr>
        <w:t xml:space="preserve"> $35,000 to &lt; $45,000</w:t>
      </w:r>
    </w:p>
    <w:p w14:paraId="39FE3AA0" w14:textId="160631D5" w:rsidR="005029D4" w:rsidRPr="005029D4" w:rsidRDefault="005029D4" w:rsidP="005029D4">
      <w:pPr>
        <w:rPr>
          <w:rFonts w:ascii="Arial Narrow" w:hAnsi="Arial Narrow"/>
          <w:i/>
          <w:sz w:val="18"/>
          <w:szCs w:val="18"/>
        </w:rPr>
      </w:pPr>
      <w:r w:rsidRPr="005029D4">
        <w:rPr>
          <w:rFonts w:ascii="Arial Narrow" w:hAnsi="Arial Narrow"/>
          <w:i/>
          <w:sz w:val="18"/>
          <w:szCs w:val="18"/>
          <w:vertAlign w:val="superscript"/>
        </w:rPr>
        <w:t>3</w:t>
      </w:r>
      <w:r w:rsidRPr="005029D4">
        <w:rPr>
          <w:rFonts w:ascii="Arial Narrow" w:hAnsi="Arial Narrow"/>
          <w:i/>
          <w:sz w:val="18"/>
          <w:szCs w:val="18"/>
        </w:rPr>
        <w:t xml:space="preserve"> $</w:t>
      </w:r>
      <w:r>
        <w:rPr>
          <w:rFonts w:ascii="Arial Narrow" w:hAnsi="Arial Narrow"/>
          <w:i/>
          <w:sz w:val="18"/>
          <w:szCs w:val="18"/>
        </w:rPr>
        <w:t>2</w:t>
      </w:r>
      <w:r w:rsidRPr="005029D4">
        <w:rPr>
          <w:rFonts w:ascii="Arial Narrow" w:hAnsi="Arial Narrow"/>
          <w:i/>
          <w:sz w:val="18"/>
          <w:szCs w:val="18"/>
        </w:rPr>
        <w:t>5,000 to &lt; $</w:t>
      </w:r>
      <w:r>
        <w:rPr>
          <w:rFonts w:ascii="Arial Narrow" w:hAnsi="Arial Narrow"/>
          <w:i/>
          <w:sz w:val="18"/>
          <w:szCs w:val="18"/>
        </w:rPr>
        <w:t>3</w:t>
      </w:r>
      <w:r w:rsidRPr="005029D4">
        <w:rPr>
          <w:rFonts w:ascii="Arial Narrow" w:hAnsi="Arial Narrow"/>
          <w:i/>
          <w:sz w:val="18"/>
          <w:szCs w:val="18"/>
        </w:rPr>
        <w:t>5,000</w:t>
      </w:r>
    </w:p>
    <w:p w14:paraId="691BF0D4" w14:textId="2A07D6FA" w:rsidR="005029D4" w:rsidRPr="005029D4" w:rsidRDefault="005029D4" w:rsidP="005029D4">
      <w:pPr>
        <w:rPr>
          <w:rFonts w:ascii="Arial Narrow" w:hAnsi="Arial Narrow"/>
          <w:i/>
          <w:sz w:val="18"/>
          <w:szCs w:val="18"/>
        </w:rPr>
      </w:pPr>
      <w:r w:rsidRPr="005029D4">
        <w:rPr>
          <w:rFonts w:ascii="Arial Narrow" w:hAnsi="Arial Narrow"/>
          <w:i/>
          <w:sz w:val="18"/>
          <w:szCs w:val="18"/>
          <w:vertAlign w:val="superscript"/>
        </w:rPr>
        <w:t>4</w:t>
      </w:r>
      <w:r w:rsidRPr="005029D4">
        <w:rPr>
          <w:rFonts w:ascii="Arial Narrow" w:hAnsi="Arial Narrow"/>
          <w:i/>
          <w:sz w:val="18"/>
          <w:szCs w:val="18"/>
        </w:rPr>
        <w:t xml:space="preserve"> $75,000 to &lt; $95,000</w:t>
      </w:r>
    </w:p>
    <w:p w14:paraId="6FF2D3A6" w14:textId="68FCC58B" w:rsidR="005029D4" w:rsidRPr="005029D4" w:rsidRDefault="005029D4" w:rsidP="005029D4">
      <w:pPr>
        <w:rPr>
          <w:rFonts w:ascii="Arial Narrow" w:hAnsi="Arial Narrow"/>
          <w:i/>
          <w:sz w:val="18"/>
          <w:szCs w:val="18"/>
        </w:rPr>
      </w:pPr>
      <w:r w:rsidRPr="005029D4">
        <w:rPr>
          <w:rFonts w:ascii="Arial Narrow" w:hAnsi="Arial Narrow"/>
          <w:i/>
          <w:sz w:val="18"/>
          <w:szCs w:val="18"/>
          <w:vertAlign w:val="superscript"/>
        </w:rPr>
        <w:t>5</w:t>
      </w:r>
      <w:r w:rsidRPr="005029D4">
        <w:rPr>
          <w:rFonts w:ascii="Arial Narrow" w:hAnsi="Arial Narrow"/>
          <w:i/>
          <w:sz w:val="18"/>
          <w:szCs w:val="18"/>
        </w:rPr>
        <w:t xml:space="preserve"> $355,000 to &lt; $455,000</w:t>
      </w:r>
    </w:p>
    <w:p w14:paraId="51AE70F4" w14:textId="3258EB42" w:rsidR="005029D4" w:rsidRPr="005029D4" w:rsidRDefault="005029D4" w:rsidP="005029D4">
      <w:pPr>
        <w:rPr>
          <w:rFonts w:ascii="Arial Narrow" w:hAnsi="Arial Narrow"/>
          <w:i/>
          <w:sz w:val="18"/>
          <w:szCs w:val="18"/>
        </w:rPr>
      </w:pPr>
      <w:r w:rsidRPr="005029D4">
        <w:rPr>
          <w:rFonts w:ascii="Arial Narrow" w:hAnsi="Arial Narrow"/>
          <w:i/>
          <w:sz w:val="18"/>
          <w:szCs w:val="18"/>
          <w:vertAlign w:val="superscript"/>
        </w:rPr>
        <w:t>6</w:t>
      </w:r>
      <w:r w:rsidRPr="005029D4">
        <w:rPr>
          <w:rFonts w:ascii="Arial Narrow" w:hAnsi="Arial Narrow"/>
          <w:i/>
          <w:sz w:val="18"/>
          <w:szCs w:val="18"/>
        </w:rPr>
        <w:t xml:space="preserve"> $115,000 to &lt; $135,000</w:t>
      </w:r>
    </w:p>
    <w:p w14:paraId="754666D3" w14:textId="6979B5C7" w:rsidR="005029D4" w:rsidRPr="005029D4" w:rsidRDefault="005029D4" w:rsidP="00CE0B5F">
      <w:pPr>
        <w:pStyle w:val="TableFigureFooter"/>
        <w:rPr>
          <w:i/>
          <w:vertAlign w:val="superscript"/>
        </w:rPr>
      </w:pPr>
      <w:r w:rsidRPr="005029D4">
        <w:rPr>
          <w:i/>
          <w:vertAlign w:val="superscript"/>
        </w:rPr>
        <w:t xml:space="preserve">7 </w:t>
      </w:r>
      <w:r w:rsidRPr="005029D4">
        <w:rPr>
          <w:i/>
        </w:rPr>
        <w:t>$135,000 to &lt; $155,000</w:t>
      </w:r>
    </w:p>
    <w:p w14:paraId="01347464" w14:textId="29C89CEA" w:rsidR="005029D4" w:rsidRPr="005029D4" w:rsidRDefault="005029D4" w:rsidP="00CE0B5F">
      <w:pPr>
        <w:pStyle w:val="TableFigureFooter"/>
        <w:rPr>
          <w:i/>
          <w:vertAlign w:val="superscript"/>
        </w:rPr>
      </w:pPr>
      <w:r w:rsidRPr="005029D4">
        <w:rPr>
          <w:i/>
          <w:vertAlign w:val="superscript"/>
        </w:rPr>
        <w:t xml:space="preserve">8 </w:t>
      </w:r>
      <w:r w:rsidRPr="005029D4">
        <w:rPr>
          <w:i/>
        </w:rPr>
        <w:t>$155,000 to &lt; $255,000</w:t>
      </w:r>
    </w:p>
    <w:p w14:paraId="31C6FCE3" w14:textId="68C9707C" w:rsidR="00645551" w:rsidRPr="00842260" w:rsidRDefault="00645551" w:rsidP="00D65AEA">
      <w:pPr>
        <w:pStyle w:val="3-BodyText"/>
      </w:pPr>
      <w:r w:rsidRPr="00842260">
        <w:t xml:space="preserve">Given the uncertainties identified during the evaluation regarding the modelling of the treatment benefit of </w:t>
      </w:r>
      <w:proofErr w:type="spellStart"/>
      <w:r w:rsidRPr="00842260">
        <w:t>abemaciclib</w:t>
      </w:r>
      <w:proofErr w:type="spellEnd"/>
      <w:r w:rsidRPr="00842260">
        <w:t xml:space="preserve"> in the base case, the estimated LYs gained per recurrence o</w:t>
      </w:r>
      <w:r w:rsidR="009F266C" w:rsidRPr="00842260">
        <w:t>r metastatic recurrence avoided</w:t>
      </w:r>
      <w:r w:rsidRPr="00842260">
        <w:t xml:space="preserve"> ha</w:t>
      </w:r>
      <w:r w:rsidR="008D11CE" w:rsidRPr="00842260">
        <w:t>ve</w:t>
      </w:r>
      <w:r w:rsidRPr="00842260">
        <w:t xml:space="preserve"> been presented for the key </w:t>
      </w:r>
      <w:r w:rsidRPr="00842260">
        <w:lastRenderedPageBreak/>
        <w:t>sensitivity analyses</w:t>
      </w:r>
      <w:r w:rsidR="00B55965" w:rsidRPr="00842260">
        <w:t xml:space="preserve"> (</w:t>
      </w:r>
      <w:r w:rsidR="003E1126" w:rsidRPr="00842260">
        <w:t>Table 14</w:t>
      </w:r>
      <w:r w:rsidR="00B55965" w:rsidRPr="00842260">
        <w:t>)</w:t>
      </w:r>
      <w:r w:rsidRPr="00842260">
        <w:t>.</w:t>
      </w:r>
      <w:r w:rsidR="00B55965" w:rsidRPr="00842260">
        <w:t xml:space="preserve"> The LYs gained per metastatic recurrence avoided was sensitive to the model time horizon and the treatment effect waning. When the time horizon is 20 years and treatment effect wanes from the end of the observed period (month 42) to year 7, the LYs assumed to be gained per metastatic recurrence</w:t>
      </w:r>
      <w:r w:rsidR="008D11CE" w:rsidRPr="00842260">
        <w:t xml:space="preserve"> avoided</w:t>
      </w:r>
      <w:r w:rsidR="00B55965" w:rsidRPr="00842260">
        <w:t xml:space="preserve"> reduces from 25.8 years (revised commentary base case) to 6.1 years.</w:t>
      </w:r>
    </w:p>
    <w:p w14:paraId="6577E39E" w14:textId="4BFA5512" w:rsidR="00645551" w:rsidRPr="00842260" w:rsidRDefault="008B731C" w:rsidP="00645551">
      <w:pPr>
        <w:pStyle w:val="TableFigureHeading"/>
        <w:rPr>
          <w:iCs/>
        </w:rPr>
      </w:pPr>
      <w:bookmarkStart w:id="57" w:name="_Ref95470835"/>
      <w:r w:rsidRPr="00842260">
        <w:t xml:space="preserve">Table </w:t>
      </w:r>
      <w:fldSimple w:instr=" SEQ Table \* ARABIC ">
        <w:r w:rsidR="00053218">
          <w:rPr>
            <w:noProof/>
          </w:rPr>
          <w:t>14</w:t>
        </w:r>
      </w:fldSimple>
      <w:bookmarkEnd w:id="57"/>
      <w:r w:rsidR="00645551" w:rsidRPr="00842260">
        <w:rPr>
          <w:rStyle w:val="CommentReference"/>
          <w:b/>
          <w:iCs/>
          <w:szCs w:val="24"/>
        </w:rPr>
        <w:t xml:space="preserve">: </w:t>
      </w:r>
      <w:r w:rsidR="00645551" w:rsidRPr="00842260">
        <w:rPr>
          <w:iCs/>
        </w:rPr>
        <w:t>Life years gained per recurrence avoided in key sensitivity analyses</w:t>
      </w:r>
    </w:p>
    <w:tbl>
      <w:tblPr>
        <w:tblStyle w:val="TableGrid"/>
        <w:tblW w:w="5000" w:type="pct"/>
        <w:tblLayout w:type="fixed"/>
        <w:tblLook w:val="04A0" w:firstRow="1" w:lastRow="0" w:firstColumn="1" w:lastColumn="0" w:noHBand="0" w:noVBand="1"/>
      </w:tblPr>
      <w:tblGrid>
        <w:gridCol w:w="3398"/>
        <w:gridCol w:w="849"/>
        <w:gridCol w:w="1277"/>
        <w:gridCol w:w="1275"/>
        <w:gridCol w:w="1134"/>
        <w:gridCol w:w="1084"/>
      </w:tblGrid>
      <w:tr w:rsidR="00645551" w:rsidRPr="00842260" w14:paraId="0C3FF63C" w14:textId="77777777" w:rsidTr="00C86E57">
        <w:trPr>
          <w:trHeight w:val="255"/>
        </w:trPr>
        <w:tc>
          <w:tcPr>
            <w:tcW w:w="1884" w:type="pct"/>
            <w:noWrap/>
            <w:hideMark/>
          </w:tcPr>
          <w:p w14:paraId="43641265" w14:textId="77777777" w:rsidR="00645551" w:rsidRPr="00842260" w:rsidRDefault="00645551" w:rsidP="004D07FD">
            <w:pPr>
              <w:pStyle w:val="TableText0"/>
              <w:rPr>
                <w:b/>
              </w:rPr>
            </w:pPr>
          </w:p>
        </w:tc>
        <w:tc>
          <w:tcPr>
            <w:tcW w:w="471" w:type="pct"/>
            <w:vAlign w:val="center"/>
          </w:tcPr>
          <w:p w14:paraId="7122790A" w14:textId="50BFCF49" w:rsidR="00645551" w:rsidRPr="004B257F" w:rsidRDefault="00645551" w:rsidP="00C86E57">
            <w:pPr>
              <w:pStyle w:val="TableText0"/>
              <w:jc w:val="center"/>
              <w:rPr>
                <w:b/>
              </w:rPr>
            </w:pPr>
            <w:r w:rsidRPr="004B257F">
              <w:rPr>
                <w:b/>
              </w:rPr>
              <w:t>LYG</w:t>
            </w:r>
          </w:p>
        </w:tc>
        <w:tc>
          <w:tcPr>
            <w:tcW w:w="708" w:type="pct"/>
            <w:vAlign w:val="center"/>
          </w:tcPr>
          <w:p w14:paraId="528A785B" w14:textId="77777777" w:rsidR="00645551" w:rsidRPr="00842260" w:rsidRDefault="00645551" w:rsidP="00C86E57">
            <w:pPr>
              <w:pStyle w:val="TableText0"/>
              <w:jc w:val="center"/>
              <w:rPr>
                <w:b/>
              </w:rPr>
            </w:pPr>
            <w:r w:rsidRPr="00842260">
              <w:rPr>
                <w:b/>
              </w:rPr>
              <w:t>Difference in any recurrence</w:t>
            </w:r>
          </w:p>
        </w:tc>
        <w:tc>
          <w:tcPr>
            <w:tcW w:w="707" w:type="pct"/>
            <w:vAlign w:val="center"/>
          </w:tcPr>
          <w:p w14:paraId="2538217D" w14:textId="77777777" w:rsidR="00645551" w:rsidRPr="00842260" w:rsidRDefault="00645551" w:rsidP="00C86E57">
            <w:pPr>
              <w:pStyle w:val="TableText0"/>
              <w:jc w:val="center"/>
              <w:rPr>
                <w:b/>
              </w:rPr>
            </w:pPr>
            <w:r w:rsidRPr="00842260">
              <w:rPr>
                <w:b/>
              </w:rPr>
              <w:t>Difference in metastatic recurrence</w:t>
            </w:r>
          </w:p>
        </w:tc>
        <w:tc>
          <w:tcPr>
            <w:tcW w:w="629" w:type="pct"/>
            <w:vAlign w:val="center"/>
          </w:tcPr>
          <w:p w14:paraId="7569777F" w14:textId="77777777" w:rsidR="00645551" w:rsidRPr="00842260" w:rsidRDefault="00645551" w:rsidP="00C86E57">
            <w:pPr>
              <w:pStyle w:val="TableText0"/>
              <w:jc w:val="center"/>
              <w:rPr>
                <w:b/>
              </w:rPr>
            </w:pPr>
            <w:r w:rsidRPr="00842260">
              <w:rPr>
                <w:b/>
              </w:rPr>
              <w:t>LYG per recurrence avoided</w:t>
            </w:r>
          </w:p>
        </w:tc>
        <w:tc>
          <w:tcPr>
            <w:tcW w:w="601" w:type="pct"/>
            <w:noWrap/>
            <w:vAlign w:val="center"/>
            <w:hideMark/>
          </w:tcPr>
          <w:p w14:paraId="6A1A4117" w14:textId="77777777" w:rsidR="00645551" w:rsidRPr="00842260" w:rsidRDefault="00645551" w:rsidP="00C86E57">
            <w:pPr>
              <w:pStyle w:val="TableText0"/>
              <w:jc w:val="center"/>
              <w:rPr>
                <w:b/>
              </w:rPr>
            </w:pPr>
            <w:r w:rsidRPr="00842260">
              <w:rPr>
                <w:b/>
              </w:rPr>
              <w:t>LYG per metastatic recurrence avoided</w:t>
            </w:r>
          </w:p>
        </w:tc>
      </w:tr>
      <w:tr w:rsidR="00645551" w:rsidRPr="00842260" w14:paraId="33CC4521" w14:textId="77777777" w:rsidTr="00C86E57">
        <w:trPr>
          <w:trHeight w:val="255"/>
        </w:trPr>
        <w:tc>
          <w:tcPr>
            <w:tcW w:w="1884" w:type="pct"/>
            <w:noWrap/>
            <w:hideMark/>
          </w:tcPr>
          <w:p w14:paraId="0CD61E56" w14:textId="77777777" w:rsidR="00645551" w:rsidRPr="00842260" w:rsidRDefault="00645551" w:rsidP="004D07FD">
            <w:pPr>
              <w:pStyle w:val="TableText0"/>
            </w:pPr>
            <w:r w:rsidRPr="00842260">
              <w:t>Revised base case</w:t>
            </w:r>
          </w:p>
        </w:tc>
        <w:tc>
          <w:tcPr>
            <w:tcW w:w="471" w:type="pct"/>
          </w:tcPr>
          <w:p w14:paraId="0D56881C" w14:textId="77777777" w:rsidR="00645551" w:rsidRPr="004B257F" w:rsidRDefault="00645551" w:rsidP="004D07FD">
            <w:pPr>
              <w:pStyle w:val="TableText0"/>
              <w:jc w:val="center"/>
            </w:pPr>
            <w:r w:rsidRPr="004B257F">
              <w:t>2.087</w:t>
            </w:r>
          </w:p>
        </w:tc>
        <w:tc>
          <w:tcPr>
            <w:tcW w:w="708" w:type="pct"/>
          </w:tcPr>
          <w:p w14:paraId="4BB05CDC" w14:textId="77777777" w:rsidR="00645551" w:rsidRPr="00842260" w:rsidRDefault="00645551" w:rsidP="004D07FD">
            <w:pPr>
              <w:pStyle w:val="TableText0"/>
              <w:jc w:val="center"/>
            </w:pPr>
            <w:r w:rsidRPr="00842260">
              <w:t>−0.055</w:t>
            </w:r>
          </w:p>
        </w:tc>
        <w:tc>
          <w:tcPr>
            <w:tcW w:w="707" w:type="pct"/>
          </w:tcPr>
          <w:p w14:paraId="47E730B9" w14:textId="77777777" w:rsidR="00645551" w:rsidRPr="00842260" w:rsidRDefault="00645551" w:rsidP="004D07FD">
            <w:pPr>
              <w:pStyle w:val="TableText0"/>
              <w:jc w:val="center"/>
            </w:pPr>
            <w:r w:rsidRPr="00842260">
              <w:t>−0.081</w:t>
            </w:r>
          </w:p>
        </w:tc>
        <w:tc>
          <w:tcPr>
            <w:tcW w:w="629" w:type="pct"/>
          </w:tcPr>
          <w:p w14:paraId="0B450A05" w14:textId="77777777" w:rsidR="00645551" w:rsidRPr="00842260" w:rsidRDefault="00645551" w:rsidP="004D07FD">
            <w:pPr>
              <w:pStyle w:val="TableText0"/>
              <w:jc w:val="center"/>
            </w:pPr>
            <w:r w:rsidRPr="00842260">
              <w:t>38.0</w:t>
            </w:r>
          </w:p>
        </w:tc>
        <w:tc>
          <w:tcPr>
            <w:tcW w:w="601" w:type="pct"/>
            <w:noWrap/>
            <w:hideMark/>
          </w:tcPr>
          <w:p w14:paraId="729E0900" w14:textId="77777777" w:rsidR="00645551" w:rsidRPr="00842260" w:rsidRDefault="00645551" w:rsidP="004D07FD">
            <w:pPr>
              <w:pStyle w:val="TableText0"/>
              <w:jc w:val="center"/>
            </w:pPr>
            <w:r w:rsidRPr="00842260">
              <w:t>25.8</w:t>
            </w:r>
          </w:p>
        </w:tc>
      </w:tr>
      <w:tr w:rsidR="00645551" w:rsidRPr="00842260" w14:paraId="3C26BA0F" w14:textId="77777777" w:rsidTr="00C86E57">
        <w:trPr>
          <w:trHeight w:val="255"/>
        </w:trPr>
        <w:tc>
          <w:tcPr>
            <w:tcW w:w="1884" w:type="pct"/>
            <w:noWrap/>
            <w:hideMark/>
          </w:tcPr>
          <w:p w14:paraId="516C5E1A" w14:textId="46B9C18A" w:rsidR="002E6E97" w:rsidRPr="00842260" w:rsidRDefault="002E6E97" w:rsidP="002E6E97">
            <w:pPr>
              <w:pStyle w:val="TableText0"/>
            </w:pPr>
            <w:r w:rsidRPr="00842260">
              <w:t>Time horizon (base case: 40 years)</w:t>
            </w:r>
          </w:p>
          <w:p w14:paraId="3E84CDD8" w14:textId="7A37BA83" w:rsidR="00645551" w:rsidRPr="00842260" w:rsidRDefault="00645551" w:rsidP="00EE3C84">
            <w:pPr>
              <w:pStyle w:val="TableText0"/>
              <w:numPr>
                <w:ilvl w:val="0"/>
                <w:numId w:val="10"/>
              </w:numPr>
              <w:ind w:left="174" w:hanging="142"/>
            </w:pPr>
            <w:r w:rsidRPr="00842260">
              <w:t>20 year</w:t>
            </w:r>
            <w:r w:rsidR="002E6E97" w:rsidRPr="00842260">
              <w:t>s</w:t>
            </w:r>
            <w:r w:rsidR="009511D7" w:rsidRPr="00842260">
              <w:t xml:space="preserve"> </w:t>
            </w:r>
            <w:r w:rsidR="009511D7" w:rsidRPr="00842260">
              <w:rPr>
                <w:b/>
              </w:rPr>
              <w:t>(#1)</w:t>
            </w:r>
          </w:p>
        </w:tc>
        <w:tc>
          <w:tcPr>
            <w:tcW w:w="471" w:type="pct"/>
            <w:vAlign w:val="center"/>
          </w:tcPr>
          <w:p w14:paraId="07D99C8E" w14:textId="77777777" w:rsidR="00645551" w:rsidRPr="004B257F" w:rsidRDefault="00645551" w:rsidP="004D07FD">
            <w:pPr>
              <w:pStyle w:val="TableText0"/>
              <w:jc w:val="center"/>
            </w:pPr>
            <w:r w:rsidRPr="004B257F">
              <w:t>0.825</w:t>
            </w:r>
          </w:p>
        </w:tc>
        <w:tc>
          <w:tcPr>
            <w:tcW w:w="708" w:type="pct"/>
            <w:vAlign w:val="center"/>
          </w:tcPr>
          <w:p w14:paraId="4257B932" w14:textId="77777777" w:rsidR="00645551" w:rsidRPr="00842260" w:rsidRDefault="00645551" w:rsidP="004D07FD">
            <w:pPr>
              <w:pStyle w:val="TableText0"/>
              <w:jc w:val="center"/>
            </w:pPr>
            <w:r w:rsidRPr="00842260">
              <w:t>−0.115</w:t>
            </w:r>
          </w:p>
        </w:tc>
        <w:tc>
          <w:tcPr>
            <w:tcW w:w="707" w:type="pct"/>
            <w:vAlign w:val="center"/>
          </w:tcPr>
          <w:p w14:paraId="3A688330" w14:textId="77777777" w:rsidR="00645551" w:rsidRPr="00842260" w:rsidRDefault="00645551" w:rsidP="004D07FD">
            <w:pPr>
              <w:pStyle w:val="TableText0"/>
              <w:jc w:val="center"/>
            </w:pPr>
            <w:r w:rsidRPr="00842260">
              <w:t>−0.122</w:t>
            </w:r>
          </w:p>
        </w:tc>
        <w:tc>
          <w:tcPr>
            <w:tcW w:w="629" w:type="pct"/>
            <w:vAlign w:val="center"/>
          </w:tcPr>
          <w:p w14:paraId="567DA1FA" w14:textId="77777777" w:rsidR="00645551" w:rsidRPr="00842260" w:rsidRDefault="00645551" w:rsidP="004D07FD">
            <w:pPr>
              <w:pStyle w:val="TableText0"/>
              <w:jc w:val="center"/>
            </w:pPr>
            <w:r w:rsidRPr="00842260">
              <w:t>7.2</w:t>
            </w:r>
          </w:p>
        </w:tc>
        <w:tc>
          <w:tcPr>
            <w:tcW w:w="601" w:type="pct"/>
            <w:noWrap/>
            <w:vAlign w:val="center"/>
            <w:hideMark/>
          </w:tcPr>
          <w:p w14:paraId="2CBBCFFC" w14:textId="77777777" w:rsidR="00645551" w:rsidRPr="00842260" w:rsidRDefault="00645551" w:rsidP="004D07FD">
            <w:pPr>
              <w:pStyle w:val="TableText0"/>
              <w:jc w:val="center"/>
            </w:pPr>
            <w:r w:rsidRPr="00842260">
              <w:t>6.8</w:t>
            </w:r>
          </w:p>
        </w:tc>
      </w:tr>
      <w:tr w:rsidR="00645551" w:rsidRPr="00842260" w14:paraId="6FAE8771" w14:textId="77777777" w:rsidTr="00C86E57">
        <w:trPr>
          <w:trHeight w:val="255"/>
        </w:trPr>
        <w:tc>
          <w:tcPr>
            <w:tcW w:w="1884" w:type="pct"/>
            <w:noWrap/>
            <w:hideMark/>
          </w:tcPr>
          <w:p w14:paraId="05E23BE2" w14:textId="77777777" w:rsidR="002E6E97" w:rsidRPr="00C32691" w:rsidRDefault="002E6E97" w:rsidP="002E6E97">
            <w:pPr>
              <w:pStyle w:val="TableText0"/>
            </w:pPr>
            <w:r w:rsidRPr="00C32691">
              <w:t>Treatment waning (base case: from Year 8 to Year 38)</w:t>
            </w:r>
          </w:p>
          <w:p w14:paraId="34BC9E2D" w14:textId="1788EEB1" w:rsidR="00645551" w:rsidRPr="00C32691" w:rsidRDefault="002E6E97" w:rsidP="00EE3C84">
            <w:pPr>
              <w:pStyle w:val="TableText0"/>
              <w:numPr>
                <w:ilvl w:val="0"/>
                <w:numId w:val="10"/>
              </w:numPr>
              <w:ind w:left="174" w:hanging="142"/>
            </w:pPr>
            <w:r w:rsidRPr="00C32691">
              <w:t>F</w:t>
            </w:r>
            <w:r w:rsidR="00645551" w:rsidRPr="00C32691">
              <w:t>rom end of observed period (month 42) to Year 7</w:t>
            </w:r>
            <w:r w:rsidR="009511D7" w:rsidRPr="00C32691">
              <w:t xml:space="preserve"> </w:t>
            </w:r>
            <w:r w:rsidR="009511D7" w:rsidRPr="00C32691">
              <w:rPr>
                <w:b/>
              </w:rPr>
              <w:t>(#2)</w:t>
            </w:r>
          </w:p>
        </w:tc>
        <w:tc>
          <w:tcPr>
            <w:tcW w:w="471" w:type="pct"/>
            <w:vAlign w:val="center"/>
          </w:tcPr>
          <w:p w14:paraId="430CFE30" w14:textId="77777777" w:rsidR="00645551" w:rsidRPr="004B257F" w:rsidRDefault="00645551" w:rsidP="004D07FD">
            <w:pPr>
              <w:pStyle w:val="TableText0"/>
              <w:jc w:val="center"/>
            </w:pPr>
            <w:r w:rsidRPr="004B257F">
              <w:t>0.462</w:t>
            </w:r>
          </w:p>
        </w:tc>
        <w:tc>
          <w:tcPr>
            <w:tcW w:w="708" w:type="pct"/>
            <w:vAlign w:val="center"/>
          </w:tcPr>
          <w:p w14:paraId="6480491C" w14:textId="77777777" w:rsidR="00645551" w:rsidRPr="00842260" w:rsidRDefault="00645551" w:rsidP="004D07FD">
            <w:pPr>
              <w:pStyle w:val="TableText0"/>
              <w:jc w:val="center"/>
            </w:pPr>
            <w:r w:rsidRPr="00842260">
              <w:t>−0.012</w:t>
            </w:r>
          </w:p>
        </w:tc>
        <w:tc>
          <w:tcPr>
            <w:tcW w:w="707" w:type="pct"/>
            <w:vAlign w:val="center"/>
          </w:tcPr>
          <w:p w14:paraId="28819090" w14:textId="77777777" w:rsidR="00645551" w:rsidRPr="00842260" w:rsidRDefault="00645551" w:rsidP="004D07FD">
            <w:pPr>
              <w:pStyle w:val="TableText0"/>
              <w:jc w:val="center"/>
            </w:pPr>
            <w:r w:rsidRPr="00842260">
              <w:t>−0.039</w:t>
            </w:r>
          </w:p>
        </w:tc>
        <w:tc>
          <w:tcPr>
            <w:tcW w:w="629" w:type="pct"/>
            <w:vAlign w:val="center"/>
          </w:tcPr>
          <w:p w14:paraId="0D93B28B" w14:textId="77777777" w:rsidR="00645551" w:rsidRPr="00842260" w:rsidRDefault="00645551" w:rsidP="004D07FD">
            <w:pPr>
              <w:pStyle w:val="TableText0"/>
              <w:jc w:val="center"/>
            </w:pPr>
            <w:r w:rsidRPr="00842260">
              <w:t>38.5</w:t>
            </w:r>
          </w:p>
        </w:tc>
        <w:tc>
          <w:tcPr>
            <w:tcW w:w="601" w:type="pct"/>
            <w:noWrap/>
            <w:vAlign w:val="center"/>
            <w:hideMark/>
          </w:tcPr>
          <w:p w14:paraId="763523E2" w14:textId="77777777" w:rsidR="00645551" w:rsidRPr="00842260" w:rsidRDefault="00645551" w:rsidP="004D07FD">
            <w:pPr>
              <w:pStyle w:val="TableText0"/>
              <w:jc w:val="center"/>
            </w:pPr>
            <w:r w:rsidRPr="00842260">
              <w:t>11.7</w:t>
            </w:r>
          </w:p>
        </w:tc>
      </w:tr>
      <w:tr w:rsidR="00645551" w:rsidRPr="00842260" w14:paraId="08914B53" w14:textId="77777777" w:rsidTr="00C86E57">
        <w:trPr>
          <w:trHeight w:val="255"/>
        </w:trPr>
        <w:tc>
          <w:tcPr>
            <w:tcW w:w="1884" w:type="pct"/>
            <w:noWrap/>
            <w:hideMark/>
          </w:tcPr>
          <w:p w14:paraId="165F2D25" w14:textId="6CA3FE32" w:rsidR="002E6E97" w:rsidRPr="00842260" w:rsidRDefault="002E6E97" w:rsidP="002E6E97">
            <w:pPr>
              <w:pStyle w:val="TableText0"/>
            </w:pPr>
            <w:r w:rsidRPr="00842260">
              <w:t>IDFS extrapolation (base case: Weibull)</w:t>
            </w:r>
          </w:p>
          <w:p w14:paraId="158EDB16" w14:textId="72056542" w:rsidR="00645551" w:rsidRPr="00842260" w:rsidRDefault="002E6E97" w:rsidP="00EE3C84">
            <w:pPr>
              <w:pStyle w:val="TableText0"/>
              <w:numPr>
                <w:ilvl w:val="0"/>
                <w:numId w:val="10"/>
              </w:numPr>
              <w:ind w:left="174" w:hanging="142"/>
            </w:pPr>
            <w:r w:rsidRPr="00842260">
              <w:t>L</w:t>
            </w:r>
            <w:r w:rsidR="00645551" w:rsidRPr="00842260">
              <w:t>og-logistic distribution</w:t>
            </w:r>
            <w:r w:rsidR="009511D7" w:rsidRPr="00842260">
              <w:t xml:space="preserve"> </w:t>
            </w:r>
            <w:r w:rsidR="009511D7" w:rsidRPr="00842260">
              <w:rPr>
                <w:b/>
              </w:rPr>
              <w:t>(#3)</w:t>
            </w:r>
          </w:p>
        </w:tc>
        <w:tc>
          <w:tcPr>
            <w:tcW w:w="471" w:type="pct"/>
            <w:vAlign w:val="center"/>
          </w:tcPr>
          <w:p w14:paraId="24779729" w14:textId="77777777" w:rsidR="00645551" w:rsidRPr="004B257F" w:rsidRDefault="00645551" w:rsidP="004D07FD">
            <w:pPr>
              <w:pStyle w:val="TableText0"/>
              <w:jc w:val="center"/>
            </w:pPr>
            <w:r w:rsidRPr="004B257F">
              <w:t>1.827</w:t>
            </w:r>
          </w:p>
        </w:tc>
        <w:tc>
          <w:tcPr>
            <w:tcW w:w="708" w:type="pct"/>
            <w:vAlign w:val="center"/>
          </w:tcPr>
          <w:p w14:paraId="1AEED444" w14:textId="77777777" w:rsidR="00645551" w:rsidRPr="00842260" w:rsidRDefault="00645551" w:rsidP="004D07FD">
            <w:pPr>
              <w:pStyle w:val="TableText0"/>
              <w:jc w:val="center"/>
            </w:pPr>
            <w:r w:rsidRPr="00842260">
              <w:t>−0.068</w:t>
            </w:r>
          </w:p>
        </w:tc>
        <w:tc>
          <w:tcPr>
            <w:tcW w:w="707" w:type="pct"/>
            <w:vAlign w:val="center"/>
          </w:tcPr>
          <w:p w14:paraId="5751FC69" w14:textId="77777777" w:rsidR="00645551" w:rsidRPr="00842260" w:rsidRDefault="00645551" w:rsidP="004D07FD">
            <w:pPr>
              <w:pStyle w:val="TableText0"/>
              <w:jc w:val="center"/>
            </w:pPr>
            <w:r w:rsidRPr="00842260">
              <w:t>−0.085</w:t>
            </w:r>
          </w:p>
        </w:tc>
        <w:tc>
          <w:tcPr>
            <w:tcW w:w="629" w:type="pct"/>
            <w:vAlign w:val="center"/>
          </w:tcPr>
          <w:p w14:paraId="7F4D1B76" w14:textId="77777777" w:rsidR="00645551" w:rsidRPr="00842260" w:rsidRDefault="00645551" w:rsidP="004D07FD">
            <w:pPr>
              <w:pStyle w:val="TableText0"/>
              <w:jc w:val="center"/>
            </w:pPr>
            <w:r w:rsidRPr="00842260">
              <w:t>27.1</w:t>
            </w:r>
          </w:p>
        </w:tc>
        <w:tc>
          <w:tcPr>
            <w:tcW w:w="601" w:type="pct"/>
            <w:noWrap/>
            <w:vAlign w:val="center"/>
            <w:hideMark/>
          </w:tcPr>
          <w:p w14:paraId="4C237D78" w14:textId="77777777" w:rsidR="00645551" w:rsidRPr="00842260" w:rsidRDefault="00645551" w:rsidP="004D07FD">
            <w:pPr>
              <w:pStyle w:val="TableText0"/>
              <w:jc w:val="center"/>
            </w:pPr>
            <w:r w:rsidRPr="00842260">
              <w:t>21.6</w:t>
            </w:r>
          </w:p>
        </w:tc>
      </w:tr>
      <w:tr w:rsidR="00645551" w:rsidRPr="00842260" w14:paraId="4D2C7C07" w14:textId="77777777" w:rsidTr="00C86E57">
        <w:trPr>
          <w:trHeight w:val="255"/>
        </w:trPr>
        <w:tc>
          <w:tcPr>
            <w:tcW w:w="1884" w:type="pct"/>
            <w:noWrap/>
            <w:hideMark/>
          </w:tcPr>
          <w:p w14:paraId="1C064A37" w14:textId="77777777" w:rsidR="002E6E97" w:rsidRPr="00842260" w:rsidRDefault="002E6E97" w:rsidP="002E6E97">
            <w:pPr>
              <w:pStyle w:val="TableText0"/>
            </w:pPr>
            <w:r w:rsidRPr="00842260">
              <w:t>Proportion of NMR (base case: ABE + ET: 28%, ET: 26%)</w:t>
            </w:r>
          </w:p>
          <w:p w14:paraId="490363C0" w14:textId="6A261253" w:rsidR="00645551" w:rsidRPr="00842260" w:rsidRDefault="00645551" w:rsidP="00EE3C84">
            <w:pPr>
              <w:pStyle w:val="TableText0"/>
              <w:numPr>
                <w:ilvl w:val="0"/>
                <w:numId w:val="10"/>
              </w:numPr>
              <w:ind w:left="174" w:hanging="142"/>
            </w:pPr>
            <w:r w:rsidRPr="00842260">
              <w:t>The same proportion across both arms</w:t>
            </w:r>
            <w:r w:rsidR="009511D7" w:rsidRPr="00842260">
              <w:t xml:space="preserve"> </w:t>
            </w:r>
            <w:r w:rsidR="009511D7" w:rsidRPr="00842260">
              <w:rPr>
                <w:b/>
              </w:rPr>
              <w:t>(#4)</w:t>
            </w:r>
          </w:p>
        </w:tc>
        <w:tc>
          <w:tcPr>
            <w:tcW w:w="471" w:type="pct"/>
            <w:vAlign w:val="center"/>
          </w:tcPr>
          <w:p w14:paraId="2216AA39" w14:textId="77777777" w:rsidR="00645551" w:rsidRPr="004B257F" w:rsidRDefault="00645551" w:rsidP="004D07FD">
            <w:pPr>
              <w:pStyle w:val="TableText0"/>
              <w:jc w:val="center"/>
            </w:pPr>
            <w:r w:rsidRPr="004B257F">
              <w:t>1.978</w:t>
            </w:r>
          </w:p>
        </w:tc>
        <w:tc>
          <w:tcPr>
            <w:tcW w:w="708" w:type="pct"/>
            <w:vAlign w:val="center"/>
          </w:tcPr>
          <w:p w14:paraId="5A8D0EA5" w14:textId="77777777" w:rsidR="00645551" w:rsidRPr="00842260" w:rsidRDefault="00645551" w:rsidP="004D07FD">
            <w:pPr>
              <w:pStyle w:val="TableText0"/>
              <w:jc w:val="center"/>
            </w:pPr>
            <w:r w:rsidRPr="00842260">
              <w:t>−0.055</w:t>
            </w:r>
          </w:p>
        </w:tc>
        <w:tc>
          <w:tcPr>
            <w:tcW w:w="707" w:type="pct"/>
            <w:vAlign w:val="center"/>
          </w:tcPr>
          <w:p w14:paraId="7077A3C9" w14:textId="77777777" w:rsidR="00645551" w:rsidRPr="00842260" w:rsidRDefault="00645551" w:rsidP="004D07FD">
            <w:pPr>
              <w:pStyle w:val="TableText0"/>
              <w:jc w:val="center"/>
            </w:pPr>
            <w:r w:rsidRPr="00842260">
              <w:t>−0.072</w:t>
            </w:r>
          </w:p>
        </w:tc>
        <w:tc>
          <w:tcPr>
            <w:tcW w:w="629" w:type="pct"/>
            <w:vAlign w:val="center"/>
          </w:tcPr>
          <w:p w14:paraId="38D339AD" w14:textId="77777777" w:rsidR="00645551" w:rsidRPr="00842260" w:rsidRDefault="00645551" w:rsidP="004D07FD">
            <w:pPr>
              <w:pStyle w:val="TableText0"/>
              <w:jc w:val="center"/>
            </w:pPr>
            <w:r w:rsidRPr="00842260">
              <w:t>36.0</w:t>
            </w:r>
          </w:p>
        </w:tc>
        <w:tc>
          <w:tcPr>
            <w:tcW w:w="601" w:type="pct"/>
            <w:noWrap/>
            <w:vAlign w:val="center"/>
            <w:hideMark/>
          </w:tcPr>
          <w:p w14:paraId="1A586BCE" w14:textId="77777777" w:rsidR="00645551" w:rsidRPr="00842260" w:rsidRDefault="00645551" w:rsidP="004D07FD">
            <w:pPr>
              <w:pStyle w:val="TableText0"/>
              <w:jc w:val="center"/>
            </w:pPr>
            <w:r w:rsidRPr="00842260">
              <w:t>27.6</w:t>
            </w:r>
          </w:p>
        </w:tc>
      </w:tr>
      <w:tr w:rsidR="00645551" w:rsidRPr="00842260" w14:paraId="4E9B112D" w14:textId="77777777" w:rsidTr="00C86E57">
        <w:trPr>
          <w:trHeight w:val="255"/>
        </w:trPr>
        <w:tc>
          <w:tcPr>
            <w:tcW w:w="1884" w:type="pct"/>
            <w:noWrap/>
            <w:hideMark/>
          </w:tcPr>
          <w:p w14:paraId="1BA3C198" w14:textId="3612EBF4" w:rsidR="002E6E97" w:rsidRPr="00C32691" w:rsidRDefault="000D2CE5" w:rsidP="002E6E97">
            <w:pPr>
              <w:pStyle w:val="TableText0"/>
            </w:pPr>
            <w:r w:rsidRPr="00C32691">
              <w:t xml:space="preserve">Costs (base case: ECG $421.20; </w:t>
            </w:r>
            <w:proofErr w:type="spellStart"/>
            <w:r w:rsidRPr="00C32691">
              <w:t>fulvestrant</w:t>
            </w:r>
            <w:proofErr w:type="spellEnd"/>
            <w:r w:rsidRPr="00C32691">
              <w:t xml:space="preserve"> $345.77; oncologist visits $447)</w:t>
            </w:r>
          </w:p>
          <w:p w14:paraId="3E9EE93E" w14:textId="4C827E5C" w:rsidR="00645551" w:rsidRPr="00842260" w:rsidRDefault="00645551" w:rsidP="00EE3C84">
            <w:pPr>
              <w:pStyle w:val="TableText0"/>
              <w:numPr>
                <w:ilvl w:val="0"/>
                <w:numId w:val="10"/>
              </w:numPr>
              <w:ind w:left="174" w:hanging="142"/>
            </w:pPr>
            <w:r w:rsidRPr="00C32691">
              <w:t>ECG</w:t>
            </w:r>
            <w:r w:rsidR="000D2CE5" w:rsidRPr="00C32691">
              <w:t xml:space="preserve"> ($32.55)</w:t>
            </w:r>
            <w:r w:rsidRPr="00C32691">
              <w:t xml:space="preserve">, </w:t>
            </w:r>
            <w:proofErr w:type="spellStart"/>
            <w:r w:rsidRPr="00C32691">
              <w:t>fulvestrant</w:t>
            </w:r>
            <w:proofErr w:type="spellEnd"/>
            <w:r w:rsidR="000D2CE5" w:rsidRPr="00C32691">
              <w:t xml:space="preserve"> ($261.10)</w:t>
            </w:r>
            <w:r w:rsidRPr="00C32691">
              <w:t xml:space="preserve"> and oncologist visits</w:t>
            </w:r>
            <w:r w:rsidR="000D2CE5" w:rsidRPr="00C32691">
              <w:t xml:space="preserve"> ($82.55)</w:t>
            </w:r>
            <w:r w:rsidR="009511D7" w:rsidRPr="00C32691">
              <w:t xml:space="preserve"> </w:t>
            </w:r>
            <w:r w:rsidR="009511D7" w:rsidRPr="00C32691">
              <w:rPr>
                <w:b/>
              </w:rPr>
              <w:t>(#5)</w:t>
            </w:r>
          </w:p>
        </w:tc>
        <w:tc>
          <w:tcPr>
            <w:tcW w:w="471" w:type="pct"/>
            <w:vAlign w:val="center"/>
          </w:tcPr>
          <w:p w14:paraId="7166BB0C" w14:textId="77777777" w:rsidR="00645551" w:rsidRPr="004B257F" w:rsidRDefault="00645551" w:rsidP="004D07FD">
            <w:pPr>
              <w:pStyle w:val="TableText0"/>
              <w:jc w:val="center"/>
            </w:pPr>
            <w:r w:rsidRPr="004B257F">
              <w:t>2.087</w:t>
            </w:r>
          </w:p>
        </w:tc>
        <w:tc>
          <w:tcPr>
            <w:tcW w:w="708" w:type="pct"/>
            <w:vAlign w:val="center"/>
          </w:tcPr>
          <w:p w14:paraId="0D22BF29" w14:textId="77777777" w:rsidR="00645551" w:rsidRPr="00842260" w:rsidRDefault="00645551" w:rsidP="004D07FD">
            <w:pPr>
              <w:pStyle w:val="TableText0"/>
              <w:jc w:val="center"/>
            </w:pPr>
            <w:r w:rsidRPr="00842260">
              <w:t>−0.055</w:t>
            </w:r>
          </w:p>
        </w:tc>
        <w:tc>
          <w:tcPr>
            <w:tcW w:w="707" w:type="pct"/>
            <w:vAlign w:val="center"/>
          </w:tcPr>
          <w:p w14:paraId="090C4EDB" w14:textId="77777777" w:rsidR="00645551" w:rsidRPr="00842260" w:rsidRDefault="00645551" w:rsidP="004D07FD">
            <w:pPr>
              <w:pStyle w:val="TableText0"/>
              <w:jc w:val="center"/>
            </w:pPr>
            <w:r w:rsidRPr="00842260">
              <w:t>−0.081</w:t>
            </w:r>
          </w:p>
        </w:tc>
        <w:tc>
          <w:tcPr>
            <w:tcW w:w="629" w:type="pct"/>
            <w:vAlign w:val="center"/>
          </w:tcPr>
          <w:p w14:paraId="3839DB8F" w14:textId="77777777" w:rsidR="00645551" w:rsidRPr="00842260" w:rsidRDefault="00645551" w:rsidP="004D07FD">
            <w:pPr>
              <w:pStyle w:val="TableText0"/>
              <w:jc w:val="center"/>
            </w:pPr>
            <w:r w:rsidRPr="00842260">
              <w:t>38.0</w:t>
            </w:r>
          </w:p>
        </w:tc>
        <w:tc>
          <w:tcPr>
            <w:tcW w:w="601" w:type="pct"/>
            <w:noWrap/>
            <w:vAlign w:val="center"/>
            <w:hideMark/>
          </w:tcPr>
          <w:p w14:paraId="1EA8D90A" w14:textId="77777777" w:rsidR="00645551" w:rsidRPr="00842260" w:rsidRDefault="00645551" w:rsidP="004D07FD">
            <w:pPr>
              <w:pStyle w:val="TableText0"/>
              <w:jc w:val="center"/>
            </w:pPr>
            <w:r w:rsidRPr="00842260">
              <w:t>25.8</w:t>
            </w:r>
          </w:p>
        </w:tc>
      </w:tr>
      <w:tr w:rsidR="00645551" w:rsidRPr="00842260" w14:paraId="289142DD" w14:textId="77777777" w:rsidTr="00C86E57">
        <w:trPr>
          <w:trHeight w:val="255"/>
        </w:trPr>
        <w:tc>
          <w:tcPr>
            <w:tcW w:w="1884" w:type="pct"/>
            <w:tcBorders>
              <w:bottom w:val="single" w:sz="4" w:space="0" w:color="auto"/>
            </w:tcBorders>
            <w:noWrap/>
            <w:hideMark/>
          </w:tcPr>
          <w:p w14:paraId="2DEEBC32" w14:textId="58D65952" w:rsidR="00645551" w:rsidRPr="00842260" w:rsidRDefault="00645551" w:rsidP="002E6E97">
            <w:pPr>
              <w:pStyle w:val="TableText0"/>
            </w:pPr>
            <w:r w:rsidRPr="00842260">
              <w:t xml:space="preserve">Uncalibrated </w:t>
            </w:r>
            <w:proofErr w:type="gramStart"/>
            <w:r w:rsidRPr="00842260">
              <w:t>endocrine-sensitive</w:t>
            </w:r>
            <w:proofErr w:type="gramEnd"/>
            <w:r w:rsidRPr="00842260">
              <w:t xml:space="preserve"> PFS2 and PPS LY estimates</w:t>
            </w:r>
            <w:r w:rsidR="009511D7" w:rsidRPr="00842260">
              <w:t xml:space="preserve"> </w:t>
            </w:r>
            <w:r w:rsidR="009511D7" w:rsidRPr="00842260">
              <w:rPr>
                <w:b/>
              </w:rPr>
              <w:t>(#6)</w:t>
            </w:r>
          </w:p>
        </w:tc>
        <w:tc>
          <w:tcPr>
            <w:tcW w:w="471" w:type="pct"/>
            <w:tcBorders>
              <w:bottom w:val="single" w:sz="4" w:space="0" w:color="auto"/>
            </w:tcBorders>
            <w:vAlign w:val="center"/>
          </w:tcPr>
          <w:p w14:paraId="3AB6A3A1" w14:textId="77777777" w:rsidR="00645551" w:rsidRPr="004B257F" w:rsidRDefault="00645551" w:rsidP="004D07FD">
            <w:pPr>
              <w:pStyle w:val="TableText0"/>
              <w:jc w:val="center"/>
            </w:pPr>
            <w:r w:rsidRPr="004B257F">
              <w:t>1.678</w:t>
            </w:r>
          </w:p>
        </w:tc>
        <w:tc>
          <w:tcPr>
            <w:tcW w:w="708" w:type="pct"/>
            <w:tcBorders>
              <w:bottom w:val="single" w:sz="4" w:space="0" w:color="auto"/>
            </w:tcBorders>
            <w:vAlign w:val="center"/>
          </w:tcPr>
          <w:p w14:paraId="0BB02CAF" w14:textId="77777777" w:rsidR="00645551" w:rsidRPr="00842260" w:rsidRDefault="00645551" w:rsidP="004D07FD">
            <w:pPr>
              <w:pStyle w:val="TableText0"/>
              <w:jc w:val="center"/>
            </w:pPr>
            <w:r w:rsidRPr="00842260">
              <w:t>−0.055</w:t>
            </w:r>
          </w:p>
        </w:tc>
        <w:tc>
          <w:tcPr>
            <w:tcW w:w="707" w:type="pct"/>
            <w:tcBorders>
              <w:bottom w:val="single" w:sz="4" w:space="0" w:color="auto"/>
            </w:tcBorders>
            <w:vAlign w:val="center"/>
          </w:tcPr>
          <w:p w14:paraId="00AEFD36" w14:textId="77777777" w:rsidR="00645551" w:rsidRPr="00842260" w:rsidRDefault="00645551" w:rsidP="004D07FD">
            <w:pPr>
              <w:pStyle w:val="TableText0"/>
              <w:jc w:val="center"/>
            </w:pPr>
            <w:r w:rsidRPr="00842260">
              <w:t>−0.081</w:t>
            </w:r>
          </w:p>
        </w:tc>
        <w:tc>
          <w:tcPr>
            <w:tcW w:w="629" w:type="pct"/>
            <w:tcBorders>
              <w:bottom w:val="single" w:sz="4" w:space="0" w:color="auto"/>
            </w:tcBorders>
            <w:vAlign w:val="center"/>
          </w:tcPr>
          <w:p w14:paraId="5434A69B" w14:textId="77777777" w:rsidR="00645551" w:rsidRPr="00842260" w:rsidRDefault="00645551" w:rsidP="004D07FD">
            <w:pPr>
              <w:pStyle w:val="TableText0"/>
              <w:jc w:val="center"/>
            </w:pPr>
            <w:r w:rsidRPr="00842260">
              <w:t>30.5</w:t>
            </w:r>
          </w:p>
        </w:tc>
        <w:tc>
          <w:tcPr>
            <w:tcW w:w="601" w:type="pct"/>
            <w:tcBorders>
              <w:bottom w:val="single" w:sz="4" w:space="0" w:color="auto"/>
            </w:tcBorders>
            <w:noWrap/>
            <w:vAlign w:val="center"/>
            <w:hideMark/>
          </w:tcPr>
          <w:p w14:paraId="02E865AD" w14:textId="77777777" w:rsidR="00645551" w:rsidRPr="00842260" w:rsidRDefault="00645551" w:rsidP="004D07FD">
            <w:pPr>
              <w:pStyle w:val="TableText0"/>
              <w:jc w:val="center"/>
            </w:pPr>
            <w:r w:rsidRPr="00842260">
              <w:t>20.8</w:t>
            </w:r>
          </w:p>
        </w:tc>
      </w:tr>
      <w:tr w:rsidR="00645551" w:rsidRPr="00842260" w14:paraId="36455455" w14:textId="77777777" w:rsidTr="00C86E57">
        <w:trPr>
          <w:trHeight w:val="255"/>
        </w:trPr>
        <w:tc>
          <w:tcPr>
            <w:tcW w:w="1884" w:type="pct"/>
            <w:tcBorders>
              <w:bottom w:val="single" w:sz="4" w:space="0" w:color="auto"/>
              <w:right w:val="nil"/>
            </w:tcBorders>
            <w:noWrap/>
            <w:hideMark/>
          </w:tcPr>
          <w:p w14:paraId="67BEE7C9" w14:textId="77777777" w:rsidR="00645551" w:rsidRPr="00842260" w:rsidRDefault="00645551" w:rsidP="004D07FD">
            <w:pPr>
              <w:pStyle w:val="TableText0"/>
            </w:pPr>
            <w:r w:rsidRPr="00842260">
              <w:t>Multivariate analysis</w:t>
            </w:r>
          </w:p>
        </w:tc>
        <w:tc>
          <w:tcPr>
            <w:tcW w:w="471" w:type="pct"/>
            <w:tcBorders>
              <w:left w:val="nil"/>
              <w:bottom w:val="single" w:sz="4" w:space="0" w:color="auto"/>
              <w:right w:val="nil"/>
            </w:tcBorders>
          </w:tcPr>
          <w:p w14:paraId="21CEF026" w14:textId="77777777" w:rsidR="00645551" w:rsidRPr="004B257F" w:rsidRDefault="00645551" w:rsidP="004D07FD">
            <w:pPr>
              <w:pStyle w:val="TableText0"/>
              <w:jc w:val="center"/>
            </w:pPr>
          </w:p>
        </w:tc>
        <w:tc>
          <w:tcPr>
            <w:tcW w:w="708" w:type="pct"/>
            <w:tcBorders>
              <w:left w:val="nil"/>
              <w:bottom w:val="single" w:sz="4" w:space="0" w:color="auto"/>
              <w:right w:val="nil"/>
            </w:tcBorders>
          </w:tcPr>
          <w:p w14:paraId="1ADFAB63" w14:textId="77777777" w:rsidR="00645551" w:rsidRPr="00842260" w:rsidRDefault="00645551" w:rsidP="004D07FD">
            <w:pPr>
              <w:pStyle w:val="TableText0"/>
              <w:jc w:val="center"/>
            </w:pPr>
          </w:p>
        </w:tc>
        <w:tc>
          <w:tcPr>
            <w:tcW w:w="707" w:type="pct"/>
            <w:tcBorders>
              <w:left w:val="nil"/>
              <w:bottom w:val="single" w:sz="4" w:space="0" w:color="auto"/>
              <w:right w:val="nil"/>
            </w:tcBorders>
          </w:tcPr>
          <w:p w14:paraId="11BEB6AE" w14:textId="77777777" w:rsidR="00645551" w:rsidRPr="00842260" w:rsidRDefault="00645551" w:rsidP="004D07FD">
            <w:pPr>
              <w:pStyle w:val="TableText0"/>
              <w:jc w:val="center"/>
            </w:pPr>
          </w:p>
        </w:tc>
        <w:tc>
          <w:tcPr>
            <w:tcW w:w="629" w:type="pct"/>
            <w:tcBorders>
              <w:left w:val="nil"/>
              <w:bottom w:val="single" w:sz="4" w:space="0" w:color="auto"/>
              <w:right w:val="nil"/>
            </w:tcBorders>
          </w:tcPr>
          <w:p w14:paraId="5C72F026" w14:textId="77777777" w:rsidR="00645551" w:rsidRPr="00842260" w:rsidRDefault="00645551" w:rsidP="004D07FD">
            <w:pPr>
              <w:pStyle w:val="TableText0"/>
              <w:jc w:val="center"/>
            </w:pPr>
          </w:p>
        </w:tc>
        <w:tc>
          <w:tcPr>
            <w:tcW w:w="601" w:type="pct"/>
            <w:tcBorders>
              <w:left w:val="nil"/>
              <w:bottom w:val="single" w:sz="4" w:space="0" w:color="auto"/>
              <w:right w:val="single" w:sz="4" w:space="0" w:color="auto"/>
            </w:tcBorders>
            <w:noWrap/>
            <w:hideMark/>
          </w:tcPr>
          <w:p w14:paraId="4073D1D3" w14:textId="77777777" w:rsidR="00645551" w:rsidRPr="00842260" w:rsidRDefault="00645551" w:rsidP="004D07FD">
            <w:pPr>
              <w:pStyle w:val="TableText0"/>
              <w:jc w:val="center"/>
            </w:pPr>
          </w:p>
        </w:tc>
      </w:tr>
      <w:tr w:rsidR="00645551" w:rsidRPr="00842260" w14:paraId="7FEDB359" w14:textId="77777777" w:rsidTr="00C86E57">
        <w:trPr>
          <w:trHeight w:val="255"/>
        </w:trPr>
        <w:tc>
          <w:tcPr>
            <w:tcW w:w="1884" w:type="pct"/>
            <w:tcBorders>
              <w:bottom w:val="nil"/>
            </w:tcBorders>
            <w:noWrap/>
            <w:hideMark/>
          </w:tcPr>
          <w:p w14:paraId="1CC12210" w14:textId="77777777" w:rsidR="00645551" w:rsidRPr="00842260" w:rsidRDefault="00645551" w:rsidP="004D07FD">
            <w:pPr>
              <w:pStyle w:val="TableText0"/>
            </w:pPr>
            <w:r w:rsidRPr="00842260">
              <w:t>#1 AND #2</w:t>
            </w:r>
          </w:p>
        </w:tc>
        <w:tc>
          <w:tcPr>
            <w:tcW w:w="471" w:type="pct"/>
            <w:tcBorders>
              <w:bottom w:val="nil"/>
            </w:tcBorders>
          </w:tcPr>
          <w:p w14:paraId="384489D8" w14:textId="77777777" w:rsidR="00645551" w:rsidRPr="004B257F" w:rsidRDefault="00645551" w:rsidP="004D07FD">
            <w:pPr>
              <w:pStyle w:val="TableText0"/>
              <w:jc w:val="center"/>
            </w:pPr>
            <w:r w:rsidRPr="004B257F">
              <w:t>0.289</w:t>
            </w:r>
          </w:p>
        </w:tc>
        <w:tc>
          <w:tcPr>
            <w:tcW w:w="708" w:type="pct"/>
            <w:tcBorders>
              <w:bottom w:val="nil"/>
            </w:tcBorders>
          </w:tcPr>
          <w:p w14:paraId="3868E8A1" w14:textId="77777777" w:rsidR="00645551" w:rsidRPr="00842260" w:rsidRDefault="00645551" w:rsidP="004D07FD">
            <w:pPr>
              <w:pStyle w:val="TableText0"/>
              <w:jc w:val="center"/>
            </w:pPr>
            <w:r w:rsidRPr="00842260">
              <w:t>−0.026</w:t>
            </w:r>
          </w:p>
        </w:tc>
        <w:tc>
          <w:tcPr>
            <w:tcW w:w="707" w:type="pct"/>
            <w:tcBorders>
              <w:bottom w:val="nil"/>
            </w:tcBorders>
          </w:tcPr>
          <w:p w14:paraId="2BB13511" w14:textId="77777777" w:rsidR="00645551" w:rsidRPr="00842260" w:rsidRDefault="00645551" w:rsidP="004D07FD">
            <w:pPr>
              <w:pStyle w:val="TableText0"/>
              <w:jc w:val="center"/>
            </w:pPr>
            <w:r w:rsidRPr="00842260">
              <w:t>−0.047</w:t>
            </w:r>
          </w:p>
        </w:tc>
        <w:tc>
          <w:tcPr>
            <w:tcW w:w="629" w:type="pct"/>
            <w:tcBorders>
              <w:bottom w:val="nil"/>
            </w:tcBorders>
          </w:tcPr>
          <w:p w14:paraId="484D9914" w14:textId="77777777" w:rsidR="00645551" w:rsidRPr="00842260" w:rsidRDefault="00645551" w:rsidP="004D07FD">
            <w:pPr>
              <w:pStyle w:val="TableText0"/>
              <w:jc w:val="center"/>
            </w:pPr>
            <w:r w:rsidRPr="00842260">
              <w:t>11.0</w:t>
            </w:r>
          </w:p>
        </w:tc>
        <w:tc>
          <w:tcPr>
            <w:tcW w:w="601" w:type="pct"/>
            <w:tcBorders>
              <w:bottom w:val="nil"/>
            </w:tcBorders>
            <w:noWrap/>
            <w:hideMark/>
          </w:tcPr>
          <w:p w14:paraId="63F66E2D" w14:textId="77777777" w:rsidR="00645551" w:rsidRPr="00842260" w:rsidRDefault="00645551" w:rsidP="004D07FD">
            <w:pPr>
              <w:pStyle w:val="TableText0"/>
              <w:jc w:val="center"/>
            </w:pPr>
            <w:r w:rsidRPr="00842260">
              <w:t>6.1</w:t>
            </w:r>
          </w:p>
        </w:tc>
      </w:tr>
      <w:tr w:rsidR="00645551" w:rsidRPr="00842260" w14:paraId="6E793703" w14:textId="77777777" w:rsidTr="00C86E57">
        <w:trPr>
          <w:trHeight w:val="255"/>
        </w:trPr>
        <w:tc>
          <w:tcPr>
            <w:tcW w:w="1884" w:type="pct"/>
            <w:tcBorders>
              <w:top w:val="nil"/>
              <w:bottom w:val="nil"/>
            </w:tcBorders>
            <w:noWrap/>
            <w:hideMark/>
          </w:tcPr>
          <w:p w14:paraId="5D0658F6" w14:textId="77777777" w:rsidR="00645551" w:rsidRPr="00842260" w:rsidRDefault="00645551" w:rsidP="004D07FD">
            <w:pPr>
              <w:pStyle w:val="TableText0"/>
            </w:pPr>
            <w:r w:rsidRPr="00842260">
              <w:t>#1, #2 AND #3</w:t>
            </w:r>
          </w:p>
        </w:tc>
        <w:tc>
          <w:tcPr>
            <w:tcW w:w="471" w:type="pct"/>
            <w:tcBorders>
              <w:top w:val="nil"/>
              <w:bottom w:val="nil"/>
            </w:tcBorders>
          </w:tcPr>
          <w:p w14:paraId="578FCA7B" w14:textId="77777777" w:rsidR="00645551" w:rsidRPr="004B257F" w:rsidRDefault="00645551" w:rsidP="004D07FD">
            <w:pPr>
              <w:pStyle w:val="TableText0"/>
              <w:jc w:val="center"/>
            </w:pPr>
            <w:r w:rsidRPr="004B257F">
              <w:t>0.334</w:t>
            </w:r>
          </w:p>
        </w:tc>
        <w:tc>
          <w:tcPr>
            <w:tcW w:w="708" w:type="pct"/>
            <w:tcBorders>
              <w:top w:val="nil"/>
              <w:bottom w:val="nil"/>
            </w:tcBorders>
          </w:tcPr>
          <w:p w14:paraId="4257A6DA" w14:textId="77777777" w:rsidR="00645551" w:rsidRPr="00842260" w:rsidRDefault="00645551" w:rsidP="004D07FD">
            <w:pPr>
              <w:pStyle w:val="TableText0"/>
              <w:jc w:val="center"/>
            </w:pPr>
            <w:r w:rsidRPr="00842260">
              <w:t>−0.038</w:t>
            </w:r>
          </w:p>
        </w:tc>
        <w:tc>
          <w:tcPr>
            <w:tcW w:w="707" w:type="pct"/>
            <w:tcBorders>
              <w:top w:val="nil"/>
              <w:bottom w:val="nil"/>
            </w:tcBorders>
          </w:tcPr>
          <w:p w14:paraId="37A8CEB0" w14:textId="77777777" w:rsidR="00645551" w:rsidRPr="00842260" w:rsidRDefault="00645551" w:rsidP="004D07FD">
            <w:pPr>
              <w:pStyle w:val="TableText0"/>
              <w:jc w:val="center"/>
            </w:pPr>
            <w:r w:rsidRPr="00842260">
              <w:t>−0.052</w:t>
            </w:r>
          </w:p>
        </w:tc>
        <w:tc>
          <w:tcPr>
            <w:tcW w:w="629" w:type="pct"/>
            <w:tcBorders>
              <w:top w:val="nil"/>
              <w:bottom w:val="nil"/>
            </w:tcBorders>
          </w:tcPr>
          <w:p w14:paraId="620E1971" w14:textId="77777777" w:rsidR="00645551" w:rsidRPr="00842260" w:rsidRDefault="00645551" w:rsidP="004D07FD">
            <w:pPr>
              <w:pStyle w:val="TableText0"/>
              <w:jc w:val="center"/>
            </w:pPr>
            <w:r w:rsidRPr="00842260">
              <w:t>8.8</w:t>
            </w:r>
          </w:p>
        </w:tc>
        <w:tc>
          <w:tcPr>
            <w:tcW w:w="601" w:type="pct"/>
            <w:tcBorders>
              <w:top w:val="nil"/>
              <w:bottom w:val="nil"/>
            </w:tcBorders>
            <w:noWrap/>
            <w:hideMark/>
          </w:tcPr>
          <w:p w14:paraId="51F2E648" w14:textId="77777777" w:rsidR="00645551" w:rsidRPr="00842260" w:rsidRDefault="00645551" w:rsidP="004D07FD">
            <w:pPr>
              <w:pStyle w:val="TableText0"/>
              <w:jc w:val="center"/>
            </w:pPr>
            <w:r w:rsidRPr="00842260">
              <w:t>6.4</w:t>
            </w:r>
          </w:p>
        </w:tc>
      </w:tr>
      <w:tr w:rsidR="00645551" w:rsidRPr="00842260" w14:paraId="144F7D15" w14:textId="77777777" w:rsidTr="00C86E57">
        <w:trPr>
          <w:trHeight w:val="255"/>
        </w:trPr>
        <w:tc>
          <w:tcPr>
            <w:tcW w:w="1884" w:type="pct"/>
            <w:tcBorders>
              <w:top w:val="nil"/>
              <w:bottom w:val="nil"/>
            </w:tcBorders>
            <w:noWrap/>
            <w:hideMark/>
          </w:tcPr>
          <w:p w14:paraId="3B406CA5" w14:textId="77777777" w:rsidR="00645551" w:rsidRPr="00842260" w:rsidRDefault="00645551" w:rsidP="004D07FD">
            <w:pPr>
              <w:pStyle w:val="TableText0"/>
            </w:pPr>
            <w:r w:rsidRPr="00842260">
              <w:t>#1, #2, #3 AND #4</w:t>
            </w:r>
          </w:p>
        </w:tc>
        <w:tc>
          <w:tcPr>
            <w:tcW w:w="471" w:type="pct"/>
            <w:tcBorders>
              <w:top w:val="nil"/>
              <w:bottom w:val="nil"/>
            </w:tcBorders>
          </w:tcPr>
          <w:p w14:paraId="3194C7D7" w14:textId="77777777" w:rsidR="00645551" w:rsidRPr="004B257F" w:rsidRDefault="00645551" w:rsidP="004D07FD">
            <w:pPr>
              <w:pStyle w:val="TableText0"/>
              <w:jc w:val="center"/>
            </w:pPr>
            <w:r w:rsidRPr="004B257F">
              <w:t>0.294</w:t>
            </w:r>
          </w:p>
        </w:tc>
        <w:tc>
          <w:tcPr>
            <w:tcW w:w="708" w:type="pct"/>
            <w:tcBorders>
              <w:top w:val="nil"/>
              <w:bottom w:val="nil"/>
            </w:tcBorders>
          </w:tcPr>
          <w:p w14:paraId="33C34B0A" w14:textId="77777777" w:rsidR="00645551" w:rsidRPr="00842260" w:rsidRDefault="00645551" w:rsidP="004D07FD">
            <w:pPr>
              <w:pStyle w:val="TableText0"/>
              <w:jc w:val="center"/>
            </w:pPr>
            <w:r w:rsidRPr="00842260">
              <w:t>−0.038</w:t>
            </w:r>
          </w:p>
        </w:tc>
        <w:tc>
          <w:tcPr>
            <w:tcW w:w="707" w:type="pct"/>
            <w:tcBorders>
              <w:top w:val="nil"/>
              <w:bottom w:val="nil"/>
            </w:tcBorders>
          </w:tcPr>
          <w:p w14:paraId="6622807E" w14:textId="77777777" w:rsidR="00645551" w:rsidRPr="00842260" w:rsidRDefault="00645551" w:rsidP="004D07FD">
            <w:pPr>
              <w:pStyle w:val="TableText0"/>
              <w:jc w:val="center"/>
            </w:pPr>
            <w:r w:rsidRPr="00842260">
              <w:t>−0.044</w:t>
            </w:r>
          </w:p>
        </w:tc>
        <w:tc>
          <w:tcPr>
            <w:tcW w:w="629" w:type="pct"/>
            <w:tcBorders>
              <w:top w:val="nil"/>
              <w:bottom w:val="nil"/>
            </w:tcBorders>
          </w:tcPr>
          <w:p w14:paraId="54A85503" w14:textId="77777777" w:rsidR="00645551" w:rsidRPr="00842260" w:rsidRDefault="00645551" w:rsidP="004D07FD">
            <w:pPr>
              <w:pStyle w:val="TableText0"/>
              <w:jc w:val="center"/>
            </w:pPr>
            <w:r w:rsidRPr="00842260">
              <w:t>7.7</w:t>
            </w:r>
          </w:p>
        </w:tc>
        <w:tc>
          <w:tcPr>
            <w:tcW w:w="601" w:type="pct"/>
            <w:tcBorders>
              <w:top w:val="nil"/>
              <w:bottom w:val="nil"/>
            </w:tcBorders>
            <w:noWrap/>
            <w:hideMark/>
          </w:tcPr>
          <w:p w14:paraId="58D23BDD" w14:textId="77777777" w:rsidR="00645551" w:rsidRPr="00842260" w:rsidRDefault="00645551" w:rsidP="004D07FD">
            <w:pPr>
              <w:pStyle w:val="TableText0"/>
              <w:jc w:val="center"/>
            </w:pPr>
            <w:r w:rsidRPr="00842260">
              <w:t>6.8</w:t>
            </w:r>
          </w:p>
        </w:tc>
      </w:tr>
      <w:tr w:rsidR="00645551" w:rsidRPr="00842260" w14:paraId="1E376D81" w14:textId="77777777" w:rsidTr="00C86E57">
        <w:trPr>
          <w:trHeight w:val="255"/>
        </w:trPr>
        <w:tc>
          <w:tcPr>
            <w:tcW w:w="1884" w:type="pct"/>
            <w:tcBorders>
              <w:top w:val="nil"/>
              <w:bottom w:val="nil"/>
            </w:tcBorders>
            <w:noWrap/>
            <w:hideMark/>
          </w:tcPr>
          <w:p w14:paraId="487E4267" w14:textId="77777777" w:rsidR="00645551" w:rsidRPr="00842260" w:rsidRDefault="00645551" w:rsidP="004D07FD">
            <w:pPr>
              <w:pStyle w:val="TableText0"/>
            </w:pPr>
            <w:r w:rsidRPr="00842260">
              <w:t>#1, #2, #3, #4 AND #5</w:t>
            </w:r>
          </w:p>
        </w:tc>
        <w:tc>
          <w:tcPr>
            <w:tcW w:w="471" w:type="pct"/>
            <w:tcBorders>
              <w:top w:val="nil"/>
              <w:bottom w:val="nil"/>
            </w:tcBorders>
          </w:tcPr>
          <w:p w14:paraId="2EC656F7" w14:textId="77777777" w:rsidR="00645551" w:rsidRPr="004B257F" w:rsidRDefault="00645551" w:rsidP="004D07FD">
            <w:pPr>
              <w:pStyle w:val="TableText0"/>
              <w:jc w:val="center"/>
            </w:pPr>
            <w:r w:rsidRPr="004B257F">
              <w:t>0.294</w:t>
            </w:r>
          </w:p>
        </w:tc>
        <w:tc>
          <w:tcPr>
            <w:tcW w:w="708" w:type="pct"/>
            <w:tcBorders>
              <w:top w:val="nil"/>
              <w:bottom w:val="nil"/>
            </w:tcBorders>
          </w:tcPr>
          <w:p w14:paraId="0A030AA4" w14:textId="77777777" w:rsidR="00645551" w:rsidRPr="00842260" w:rsidRDefault="00645551" w:rsidP="004D07FD">
            <w:pPr>
              <w:pStyle w:val="TableText0"/>
              <w:jc w:val="center"/>
            </w:pPr>
            <w:r w:rsidRPr="00842260">
              <w:t>−0.038</w:t>
            </w:r>
          </w:p>
        </w:tc>
        <w:tc>
          <w:tcPr>
            <w:tcW w:w="707" w:type="pct"/>
            <w:tcBorders>
              <w:top w:val="nil"/>
              <w:bottom w:val="nil"/>
            </w:tcBorders>
          </w:tcPr>
          <w:p w14:paraId="31BBDEF1" w14:textId="77777777" w:rsidR="00645551" w:rsidRPr="00842260" w:rsidRDefault="00645551" w:rsidP="004D07FD">
            <w:pPr>
              <w:pStyle w:val="TableText0"/>
              <w:jc w:val="center"/>
            </w:pPr>
            <w:r w:rsidRPr="00842260">
              <w:t>−0.044</w:t>
            </w:r>
          </w:p>
        </w:tc>
        <w:tc>
          <w:tcPr>
            <w:tcW w:w="629" w:type="pct"/>
            <w:tcBorders>
              <w:top w:val="nil"/>
              <w:bottom w:val="nil"/>
            </w:tcBorders>
          </w:tcPr>
          <w:p w14:paraId="0F648138" w14:textId="77777777" w:rsidR="00645551" w:rsidRPr="00842260" w:rsidRDefault="00645551" w:rsidP="004D07FD">
            <w:pPr>
              <w:pStyle w:val="TableText0"/>
              <w:jc w:val="center"/>
            </w:pPr>
            <w:r w:rsidRPr="00842260">
              <w:t>7.7</w:t>
            </w:r>
          </w:p>
        </w:tc>
        <w:tc>
          <w:tcPr>
            <w:tcW w:w="601" w:type="pct"/>
            <w:tcBorders>
              <w:top w:val="nil"/>
              <w:bottom w:val="nil"/>
            </w:tcBorders>
            <w:noWrap/>
            <w:hideMark/>
          </w:tcPr>
          <w:p w14:paraId="1DBE07A1" w14:textId="77777777" w:rsidR="00645551" w:rsidRPr="00842260" w:rsidRDefault="00645551" w:rsidP="004D07FD">
            <w:pPr>
              <w:pStyle w:val="TableText0"/>
              <w:jc w:val="center"/>
            </w:pPr>
            <w:r w:rsidRPr="00842260">
              <w:t>6.8</w:t>
            </w:r>
          </w:p>
        </w:tc>
      </w:tr>
      <w:tr w:rsidR="00645551" w:rsidRPr="00842260" w14:paraId="572A3BC0" w14:textId="77777777" w:rsidTr="00C86E57">
        <w:trPr>
          <w:trHeight w:val="255"/>
        </w:trPr>
        <w:tc>
          <w:tcPr>
            <w:tcW w:w="1884" w:type="pct"/>
            <w:tcBorders>
              <w:top w:val="nil"/>
              <w:bottom w:val="nil"/>
            </w:tcBorders>
            <w:noWrap/>
            <w:hideMark/>
          </w:tcPr>
          <w:p w14:paraId="4F70A250" w14:textId="77777777" w:rsidR="00645551" w:rsidRPr="00842260" w:rsidRDefault="00645551" w:rsidP="004D07FD">
            <w:pPr>
              <w:pStyle w:val="TableText0"/>
            </w:pPr>
            <w:r w:rsidRPr="00842260">
              <w:t>#1, #2, #3, #4, #5 AND #6</w:t>
            </w:r>
          </w:p>
        </w:tc>
        <w:tc>
          <w:tcPr>
            <w:tcW w:w="471" w:type="pct"/>
            <w:tcBorders>
              <w:top w:val="nil"/>
              <w:bottom w:val="nil"/>
            </w:tcBorders>
          </w:tcPr>
          <w:p w14:paraId="2F0FB699" w14:textId="77777777" w:rsidR="00645551" w:rsidRPr="004B257F" w:rsidRDefault="00645551" w:rsidP="004D07FD">
            <w:pPr>
              <w:pStyle w:val="TableText0"/>
              <w:jc w:val="center"/>
            </w:pPr>
            <w:r w:rsidRPr="004B257F">
              <w:t>0.080</w:t>
            </w:r>
          </w:p>
        </w:tc>
        <w:tc>
          <w:tcPr>
            <w:tcW w:w="708" w:type="pct"/>
            <w:tcBorders>
              <w:top w:val="nil"/>
              <w:bottom w:val="nil"/>
            </w:tcBorders>
          </w:tcPr>
          <w:p w14:paraId="08DCD5C4" w14:textId="77777777" w:rsidR="00645551" w:rsidRPr="00842260" w:rsidRDefault="00645551" w:rsidP="004D07FD">
            <w:pPr>
              <w:pStyle w:val="TableText0"/>
              <w:jc w:val="center"/>
            </w:pPr>
            <w:r w:rsidRPr="00842260">
              <w:t>−0.038</w:t>
            </w:r>
          </w:p>
        </w:tc>
        <w:tc>
          <w:tcPr>
            <w:tcW w:w="707" w:type="pct"/>
            <w:tcBorders>
              <w:top w:val="nil"/>
              <w:bottom w:val="nil"/>
            </w:tcBorders>
          </w:tcPr>
          <w:p w14:paraId="1B016CF0" w14:textId="77777777" w:rsidR="00645551" w:rsidRPr="00842260" w:rsidRDefault="00645551" w:rsidP="004D07FD">
            <w:pPr>
              <w:pStyle w:val="TableText0"/>
              <w:jc w:val="center"/>
            </w:pPr>
            <w:r w:rsidRPr="00842260">
              <w:t>−0.044</w:t>
            </w:r>
          </w:p>
        </w:tc>
        <w:tc>
          <w:tcPr>
            <w:tcW w:w="629" w:type="pct"/>
            <w:tcBorders>
              <w:top w:val="nil"/>
              <w:bottom w:val="nil"/>
            </w:tcBorders>
          </w:tcPr>
          <w:p w14:paraId="20BCF786" w14:textId="77777777" w:rsidR="00645551" w:rsidRPr="00842260" w:rsidRDefault="00645551" w:rsidP="004D07FD">
            <w:pPr>
              <w:pStyle w:val="TableText0"/>
              <w:jc w:val="center"/>
            </w:pPr>
            <w:r w:rsidRPr="00842260">
              <w:t>2.1</w:t>
            </w:r>
          </w:p>
        </w:tc>
        <w:tc>
          <w:tcPr>
            <w:tcW w:w="601" w:type="pct"/>
            <w:tcBorders>
              <w:top w:val="nil"/>
              <w:bottom w:val="nil"/>
            </w:tcBorders>
            <w:noWrap/>
            <w:hideMark/>
          </w:tcPr>
          <w:p w14:paraId="0C709C56" w14:textId="77777777" w:rsidR="00645551" w:rsidRPr="00842260" w:rsidRDefault="00645551" w:rsidP="004D07FD">
            <w:pPr>
              <w:pStyle w:val="TableText0"/>
              <w:jc w:val="center"/>
            </w:pPr>
            <w:r w:rsidRPr="00842260">
              <w:t>1.8</w:t>
            </w:r>
          </w:p>
        </w:tc>
      </w:tr>
      <w:tr w:rsidR="00645551" w:rsidRPr="00842260" w14:paraId="76D9706E" w14:textId="77777777" w:rsidTr="00C86E57">
        <w:trPr>
          <w:trHeight w:val="255"/>
        </w:trPr>
        <w:tc>
          <w:tcPr>
            <w:tcW w:w="1884" w:type="pct"/>
            <w:tcBorders>
              <w:top w:val="nil"/>
            </w:tcBorders>
            <w:noWrap/>
            <w:hideMark/>
          </w:tcPr>
          <w:p w14:paraId="0A430A8C" w14:textId="77777777" w:rsidR="00645551" w:rsidRPr="00842260" w:rsidRDefault="00645551" w:rsidP="004D07FD">
            <w:pPr>
              <w:pStyle w:val="TableText0"/>
            </w:pPr>
            <w:r w:rsidRPr="00842260">
              <w:t>#2, #3, #4, #5 AND #6</w:t>
            </w:r>
          </w:p>
        </w:tc>
        <w:tc>
          <w:tcPr>
            <w:tcW w:w="471" w:type="pct"/>
            <w:tcBorders>
              <w:top w:val="nil"/>
            </w:tcBorders>
          </w:tcPr>
          <w:p w14:paraId="48F84F83" w14:textId="77777777" w:rsidR="00645551" w:rsidRPr="004B257F" w:rsidRDefault="00645551" w:rsidP="004D07FD">
            <w:pPr>
              <w:pStyle w:val="TableText0"/>
              <w:jc w:val="center"/>
            </w:pPr>
            <w:r w:rsidRPr="004B257F">
              <w:t>0.350</w:t>
            </w:r>
          </w:p>
        </w:tc>
        <w:tc>
          <w:tcPr>
            <w:tcW w:w="708" w:type="pct"/>
            <w:tcBorders>
              <w:top w:val="nil"/>
            </w:tcBorders>
          </w:tcPr>
          <w:p w14:paraId="790F2655" w14:textId="77777777" w:rsidR="00645551" w:rsidRPr="00842260" w:rsidRDefault="00645551" w:rsidP="004D07FD">
            <w:pPr>
              <w:pStyle w:val="TableText0"/>
              <w:jc w:val="center"/>
            </w:pPr>
            <w:r w:rsidRPr="00842260">
              <w:t>−0.027</w:t>
            </w:r>
          </w:p>
        </w:tc>
        <w:tc>
          <w:tcPr>
            <w:tcW w:w="707" w:type="pct"/>
            <w:tcBorders>
              <w:top w:val="nil"/>
            </w:tcBorders>
          </w:tcPr>
          <w:p w14:paraId="553E9199" w14:textId="77777777" w:rsidR="00645551" w:rsidRPr="00842260" w:rsidRDefault="00645551" w:rsidP="004D07FD">
            <w:pPr>
              <w:pStyle w:val="TableText0"/>
              <w:jc w:val="center"/>
            </w:pPr>
            <w:r w:rsidRPr="00842260">
              <w:t>−0.039</w:t>
            </w:r>
          </w:p>
        </w:tc>
        <w:tc>
          <w:tcPr>
            <w:tcW w:w="629" w:type="pct"/>
            <w:tcBorders>
              <w:top w:val="nil"/>
            </w:tcBorders>
          </w:tcPr>
          <w:p w14:paraId="5C648B33" w14:textId="77777777" w:rsidR="00645551" w:rsidRPr="00842260" w:rsidRDefault="00645551" w:rsidP="004D07FD">
            <w:pPr>
              <w:pStyle w:val="TableText0"/>
              <w:jc w:val="center"/>
            </w:pPr>
            <w:r w:rsidRPr="00842260">
              <w:t>13.1</w:t>
            </w:r>
          </w:p>
        </w:tc>
        <w:tc>
          <w:tcPr>
            <w:tcW w:w="601" w:type="pct"/>
            <w:tcBorders>
              <w:top w:val="nil"/>
            </w:tcBorders>
            <w:noWrap/>
            <w:hideMark/>
          </w:tcPr>
          <w:p w14:paraId="183CFD98" w14:textId="77777777" w:rsidR="00645551" w:rsidRPr="00842260" w:rsidRDefault="00645551" w:rsidP="004D07FD">
            <w:pPr>
              <w:pStyle w:val="TableText0"/>
              <w:jc w:val="center"/>
            </w:pPr>
            <w:r w:rsidRPr="00842260">
              <w:t>8.9</w:t>
            </w:r>
          </w:p>
        </w:tc>
      </w:tr>
    </w:tbl>
    <w:p w14:paraId="0EBB1F5B" w14:textId="77777777" w:rsidR="00645551" w:rsidRPr="00842260" w:rsidRDefault="00645551" w:rsidP="00645551">
      <w:pPr>
        <w:pStyle w:val="TableFigureFooter"/>
        <w:rPr>
          <w:iCs/>
        </w:rPr>
      </w:pPr>
      <w:r w:rsidRPr="00842260">
        <w:rPr>
          <w:iCs/>
        </w:rPr>
        <w:t>Source: Constructed during the evaluation from the ‘A6.1_Abemaciclib Section 3 workbook.xlsm’ workbook included in the submission.</w:t>
      </w:r>
    </w:p>
    <w:p w14:paraId="51B25D7E" w14:textId="2C65ACDC" w:rsidR="00645551" w:rsidRPr="00842260" w:rsidRDefault="00DF7265" w:rsidP="00645551">
      <w:pPr>
        <w:pStyle w:val="TableFigureFooter"/>
        <w:rPr>
          <w:iCs/>
        </w:rPr>
      </w:pPr>
      <w:r w:rsidRPr="00842260">
        <w:rPr>
          <w:iCs/>
        </w:rPr>
        <w:t xml:space="preserve">ABE = </w:t>
      </w:r>
      <w:proofErr w:type="spellStart"/>
      <w:r w:rsidRPr="00842260">
        <w:rPr>
          <w:iCs/>
        </w:rPr>
        <w:t>abemaciclib</w:t>
      </w:r>
      <w:proofErr w:type="spellEnd"/>
      <w:r w:rsidRPr="00842260">
        <w:rPr>
          <w:iCs/>
        </w:rPr>
        <w:t xml:space="preserve">; </w:t>
      </w:r>
      <w:r w:rsidR="00645551" w:rsidRPr="00842260">
        <w:rPr>
          <w:iCs/>
        </w:rPr>
        <w:t xml:space="preserve">ECG = electrocardiogram; ICER = incremental cost-effectiveness ratio; IDFS = invasive disease-free survival; LY = life years; LYG = life years gained; </w:t>
      </w:r>
      <w:r w:rsidR="002E6E97" w:rsidRPr="00842260">
        <w:rPr>
          <w:iCs/>
        </w:rPr>
        <w:t xml:space="preserve">NMR = non-metastatic recurrence; </w:t>
      </w:r>
      <w:r w:rsidR="00645551" w:rsidRPr="00842260">
        <w:rPr>
          <w:iCs/>
        </w:rPr>
        <w:t>PFS = progression-free survival; PPS = post-progression survival</w:t>
      </w:r>
      <w:r w:rsidR="000660A6" w:rsidRPr="00842260">
        <w:rPr>
          <w:iCs/>
        </w:rPr>
        <w:t>.</w:t>
      </w:r>
    </w:p>
    <w:p w14:paraId="5EE5CA5E" w14:textId="445673C2" w:rsidR="00BA4B28" w:rsidRPr="00842260" w:rsidRDefault="00BA4B28" w:rsidP="00BA4B28">
      <w:pPr>
        <w:pStyle w:val="3-BodyText"/>
      </w:pPr>
      <w:bookmarkStart w:id="58" w:name="_Toc22897646"/>
      <w:bookmarkStart w:id="59" w:name="_Toc93502908"/>
      <w:r w:rsidRPr="00842260">
        <w:t xml:space="preserve">The PBAC recommended the revised base case according to the evaluation and ESC advice (ICER of </w:t>
      </w:r>
      <w:r w:rsidR="000E573E" w:rsidRPr="000E573E">
        <w:rPr>
          <w:iCs/>
        </w:rPr>
        <w:t>$15,000 to &lt; $25,000</w:t>
      </w:r>
      <w:r w:rsidR="000E573E">
        <w:rPr>
          <w:i/>
        </w:rPr>
        <w:t xml:space="preserve"> </w:t>
      </w:r>
      <w:r w:rsidRPr="00842260">
        <w:t xml:space="preserve">per QALY), noting the ICER rose with </w:t>
      </w:r>
      <w:r w:rsidR="00DC357C" w:rsidRPr="00842260">
        <w:t>realistic</w:t>
      </w:r>
      <w:r w:rsidRPr="00842260">
        <w:t xml:space="preserve"> parameters</w:t>
      </w:r>
      <w:r w:rsidR="00DC357C" w:rsidRPr="00842260">
        <w:t xml:space="preserve"> for key drivers of the model (</w:t>
      </w:r>
      <w:r w:rsidR="008B731C" w:rsidRPr="00842260">
        <w:fldChar w:fldCharType="begin"/>
      </w:r>
      <w:r w:rsidR="008B731C" w:rsidRPr="00842260">
        <w:instrText xml:space="preserve"> REF _Ref99003545 \h </w:instrText>
      </w:r>
      <w:r w:rsidR="008B731C" w:rsidRPr="00842260">
        <w:fldChar w:fldCharType="separate"/>
      </w:r>
      <w:r w:rsidR="00053218" w:rsidRPr="00842260">
        <w:t xml:space="preserve">Table </w:t>
      </w:r>
      <w:r w:rsidR="00053218">
        <w:rPr>
          <w:noProof/>
        </w:rPr>
        <w:t>13</w:t>
      </w:r>
      <w:r w:rsidR="008B731C" w:rsidRPr="00842260">
        <w:fldChar w:fldCharType="end"/>
      </w:r>
      <w:r w:rsidR="008B731C" w:rsidRPr="00842260">
        <w:t>)</w:t>
      </w:r>
      <w:r w:rsidRPr="00842260">
        <w:t xml:space="preserve">. </w:t>
      </w:r>
    </w:p>
    <w:p w14:paraId="472842D7" w14:textId="1B67243C" w:rsidR="00C25D9C" w:rsidRPr="00842260" w:rsidRDefault="00C25D9C" w:rsidP="008325B0">
      <w:pPr>
        <w:pStyle w:val="4-SubsectionHeading"/>
      </w:pPr>
      <w:r w:rsidRPr="00842260">
        <w:t>Drug cost/patient/course</w:t>
      </w:r>
      <w:bookmarkEnd w:id="58"/>
      <w:bookmarkEnd w:id="59"/>
    </w:p>
    <w:p w14:paraId="525BD917" w14:textId="31A8A67D" w:rsidR="00C06FC8" w:rsidRPr="00842260" w:rsidRDefault="00C06FC8" w:rsidP="00C06FC8">
      <w:pPr>
        <w:pStyle w:val="3-BodyText"/>
        <w:rPr>
          <w:iCs/>
        </w:rPr>
      </w:pPr>
      <w:r w:rsidRPr="00842260">
        <w:rPr>
          <w:iCs/>
        </w:rPr>
        <w:t xml:space="preserve">The per patient cost of </w:t>
      </w:r>
      <w:proofErr w:type="spellStart"/>
      <w:r w:rsidRPr="00842260">
        <w:rPr>
          <w:iCs/>
        </w:rPr>
        <w:t>abemaciclib</w:t>
      </w:r>
      <w:proofErr w:type="spellEnd"/>
      <w:r w:rsidRPr="00842260">
        <w:rPr>
          <w:iCs/>
        </w:rPr>
        <w:t xml:space="preserve"> + ET and ET </w:t>
      </w:r>
      <w:r w:rsidR="005B58F3" w:rsidRPr="00842260">
        <w:t xml:space="preserve">alone </w:t>
      </w:r>
      <w:r w:rsidRPr="00842260">
        <w:rPr>
          <w:iCs/>
        </w:rPr>
        <w:t xml:space="preserve">used in </w:t>
      </w:r>
      <w:r w:rsidR="005B58F3" w:rsidRPr="00842260">
        <w:t xml:space="preserve">the </w:t>
      </w:r>
      <w:proofErr w:type="spellStart"/>
      <w:r w:rsidRPr="00842260">
        <w:rPr>
          <w:iCs/>
        </w:rPr>
        <w:t>monarchE</w:t>
      </w:r>
      <w:proofErr w:type="spellEnd"/>
      <w:r w:rsidR="005B58F3" w:rsidRPr="00842260">
        <w:rPr>
          <w:iCs/>
        </w:rPr>
        <w:t xml:space="preserve"> </w:t>
      </w:r>
      <w:r w:rsidR="005B58F3" w:rsidRPr="00842260">
        <w:t>trial</w:t>
      </w:r>
      <w:r w:rsidRPr="00842260">
        <w:rPr>
          <w:iCs/>
        </w:rPr>
        <w:t xml:space="preserve">, the </w:t>
      </w:r>
      <w:r w:rsidR="005B58F3" w:rsidRPr="00842260">
        <w:t>economic</w:t>
      </w:r>
      <w:r w:rsidR="005B58F3" w:rsidRPr="00842260">
        <w:rPr>
          <w:iCs/>
        </w:rPr>
        <w:t xml:space="preserve"> </w:t>
      </w:r>
      <w:r w:rsidRPr="00842260">
        <w:rPr>
          <w:iCs/>
        </w:rPr>
        <w:t>model</w:t>
      </w:r>
      <w:r w:rsidR="005B58F3" w:rsidRPr="00842260">
        <w:rPr>
          <w:iCs/>
        </w:rPr>
        <w:t>,</w:t>
      </w:r>
      <w:r w:rsidRPr="00842260">
        <w:rPr>
          <w:iCs/>
        </w:rPr>
        <w:t xml:space="preserve"> and </w:t>
      </w:r>
      <w:r w:rsidR="005B58F3" w:rsidRPr="00842260">
        <w:t xml:space="preserve">the </w:t>
      </w:r>
      <w:r w:rsidRPr="00842260">
        <w:rPr>
          <w:iCs/>
        </w:rPr>
        <w:t>financial analysis, are presented in</w:t>
      </w:r>
      <w:r w:rsidR="003E1126" w:rsidRPr="00842260">
        <w:rPr>
          <w:iCs/>
        </w:rPr>
        <w:t xml:space="preserve"> Table 15</w:t>
      </w:r>
      <w:r w:rsidRPr="00842260">
        <w:rPr>
          <w:iCs/>
        </w:rPr>
        <w:t xml:space="preserve">. Patients can receive up to two years of </w:t>
      </w:r>
      <w:proofErr w:type="spellStart"/>
      <w:r w:rsidRPr="00842260">
        <w:rPr>
          <w:iCs/>
        </w:rPr>
        <w:t>abemaciclib</w:t>
      </w:r>
      <w:proofErr w:type="spellEnd"/>
      <w:r w:rsidRPr="00842260">
        <w:rPr>
          <w:iCs/>
        </w:rPr>
        <w:t xml:space="preserve"> treatment. The average duration of treatment modelled was 19.4 months (equivalent to 21.1 28-day cycles). At the proposed effective DPMQ per pack of </w:t>
      </w:r>
      <w:proofErr w:type="spellStart"/>
      <w:r w:rsidRPr="00842260">
        <w:rPr>
          <w:iCs/>
        </w:rPr>
        <w:t>abemaciclib</w:t>
      </w:r>
      <w:proofErr w:type="spellEnd"/>
      <w:r w:rsidRPr="00842260">
        <w:rPr>
          <w:iCs/>
        </w:rPr>
        <w:t xml:space="preserve"> ($</w:t>
      </w:r>
      <w:proofErr w:type="gramStart"/>
      <w:r w:rsidR="007012DA" w:rsidRPr="00791C44">
        <w:rPr>
          <w:iCs/>
          <w:color w:val="000000"/>
          <w:w w:val="15"/>
          <w:shd w:val="solid" w:color="000000" w:fill="000000"/>
          <w:fitText w:val="-20" w:id="-1500862455"/>
          <w14:textFill>
            <w14:solidFill>
              <w14:srgbClr w14:val="000000">
                <w14:alpha w14:val="100000"/>
              </w14:srgbClr>
            </w14:solidFill>
          </w14:textFill>
        </w:rPr>
        <w:t xml:space="preserve">|  </w:t>
      </w:r>
      <w:r w:rsidR="007012DA" w:rsidRPr="00791C44">
        <w:rPr>
          <w:iCs/>
          <w:color w:val="000000"/>
          <w:spacing w:val="-69"/>
          <w:w w:val="15"/>
          <w:shd w:val="solid" w:color="000000" w:fill="000000"/>
          <w:fitText w:val="-20" w:id="-1500862455"/>
          <w14:textFill>
            <w14:solidFill>
              <w14:srgbClr w14:val="000000">
                <w14:alpha w14:val="100000"/>
              </w14:srgbClr>
            </w14:solidFill>
          </w14:textFill>
        </w:rPr>
        <w:t>|</w:t>
      </w:r>
      <w:proofErr w:type="gramEnd"/>
      <w:r w:rsidRPr="00842260">
        <w:rPr>
          <w:iCs/>
        </w:rPr>
        <w:t xml:space="preserve">), the total average treatment course cost </w:t>
      </w:r>
      <w:r w:rsidRPr="00842260">
        <w:rPr>
          <w:iCs/>
        </w:rPr>
        <w:lastRenderedPageBreak/>
        <w:t>was estimated to be $</w:t>
      </w:r>
      <w:r w:rsidR="007012DA" w:rsidRPr="00791C44">
        <w:rPr>
          <w:iCs/>
          <w:color w:val="000000"/>
          <w:w w:val="15"/>
          <w:shd w:val="solid" w:color="000000" w:fill="000000"/>
          <w:fitText w:val="-20" w:id="-1500862454"/>
          <w14:textFill>
            <w14:solidFill>
              <w14:srgbClr w14:val="000000">
                <w14:alpha w14:val="100000"/>
              </w14:srgbClr>
            </w14:solidFill>
          </w14:textFill>
        </w:rPr>
        <w:t xml:space="preserve">|  </w:t>
      </w:r>
      <w:r w:rsidR="007012DA" w:rsidRPr="00791C44">
        <w:rPr>
          <w:iCs/>
          <w:color w:val="000000"/>
          <w:spacing w:val="-69"/>
          <w:w w:val="15"/>
          <w:shd w:val="solid" w:color="000000" w:fill="000000"/>
          <w:fitText w:val="-20" w:id="-1500862454"/>
          <w14:textFill>
            <w14:solidFill>
              <w14:srgbClr w14:val="000000">
                <w14:alpha w14:val="100000"/>
              </w14:srgbClr>
            </w14:solidFill>
          </w14:textFill>
        </w:rPr>
        <w:t>|</w:t>
      </w:r>
      <w:r w:rsidRPr="00842260">
        <w:rPr>
          <w:iCs/>
        </w:rPr>
        <w:t>.</w:t>
      </w:r>
      <w:r w:rsidR="007D118D" w:rsidRPr="00842260">
        <w:rPr>
          <w:iCs/>
        </w:rPr>
        <w:t xml:space="preserve"> This was lower than the treatment cost per course applied in the financial estimates ($</w:t>
      </w:r>
      <w:proofErr w:type="gramStart"/>
      <w:r w:rsidR="007012DA" w:rsidRPr="00791C44">
        <w:rPr>
          <w:iCs/>
          <w:color w:val="000000"/>
          <w:w w:val="15"/>
          <w:shd w:val="solid" w:color="000000" w:fill="000000"/>
          <w:fitText w:val="-20" w:id="-1500862453"/>
          <w14:textFill>
            <w14:solidFill>
              <w14:srgbClr w14:val="000000">
                <w14:alpha w14:val="100000"/>
              </w14:srgbClr>
            </w14:solidFill>
          </w14:textFill>
        </w:rPr>
        <w:t xml:space="preserve">|  </w:t>
      </w:r>
      <w:r w:rsidR="007012DA" w:rsidRPr="00791C44">
        <w:rPr>
          <w:iCs/>
          <w:color w:val="000000"/>
          <w:spacing w:val="-69"/>
          <w:w w:val="15"/>
          <w:shd w:val="solid" w:color="000000" w:fill="000000"/>
          <w:fitText w:val="-20" w:id="-1500862453"/>
          <w14:textFill>
            <w14:solidFill>
              <w14:srgbClr w14:val="000000">
                <w14:alpha w14:val="100000"/>
              </w14:srgbClr>
            </w14:solidFill>
          </w14:textFill>
        </w:rPr>
        <w:t>|</w:t>
      </w:r>
      <w:proofErr w:type="gramEnd"/>
      <w:r w:rsidR="007D118D" w:rsidRPr="00842260">
        <w:rPr>
          <w:iCs/>
        </w:rPr>
        <w:t xml:space="preserve">) where all patients were assumed to receive the maximum amount of </w:t>
      </w:r>
      <w:proofErr w:type="spellStart"/>
      <w:r w:rsidR="007D118D" w:rsidRPr="00842260">
        <w:rPr>
          <w:iCs/>
        </w:rPr>
        <w:t>abemaciclib</w:t>
      </w:r>
      <w:proofErr w:type="spellEnd"/>
      <w:r w:rsidR="007D118D" w:rsidRPr="00842260">
        <w:rPr>
          <w:iCs/>
        </w:rPr>
        <w:t xml:space="preserve"> (two years treatment, assuming 100% compliance).</w:t>
      </w:r>
    </w:p>
    <w:p w14:paraId="5787B8CE" w14:textId="21D3FC8B" w:rsidR="00C06FC8" w:rsidRPr="00842260" w:rsidRDefault="00C06FC8" w:rsidP="00C06FC8">
      <w:pPr>
        <w:pStyle w:val="3-BodyText"/>
        <w:rPr>
          <w:iCs/>
        </w:rPr>
      </w:pPr>
      <w:r w:rsidRPr="00842260">
        <w:rPr>
          <w:iCs/>
        </w:rPr>
        <w:t xml:space="preserve">Patients in the model were assumed to receive up to five years of ET, with or without </w:t>
      </w:r>
      <w:proofErr w:type="spellStart"/>
      <w:r w:rsidRPr="00842260">
        <w:rPr>
          <w:iCs/>
        </w:rPr>
        <w:t>abemaciclib</w:t>
      </w:r>
      <w:proofErr w:type="spellEnd"/>
      <w:r w:rsidRPr="00842260">
        <w:rPr>
          <w:iCs/>
        </w:rPr>
        <w:t xml:space="preserve"> use. </w:t>
      </w:r>
      <w:bookmarkStart w:id="60" w:name="_Hlk104484660"/>
      <w:r w:rsidRPr="00842260">
        <w:rPr>
          <w:iCs/>
        </w:rPr>
        <w:t>The av</w:t>
      </w:r>
      <w:r w:rsidRPr="00E70C24">
        <w:rPr>
          <w:iCs/>
        </w:rPr>
        <w:t xml:space="preserve">erage duration of </w:t>
      </w:r>
      <w:r w:rsidR="00E70C24" w:rsidRPr="00E70C24">
        <w:rPr>
          <w:iCs/>
        </w:rPr>
        <w:t xml:space="preserve">ET </w:t>
      </w:r>
      <w:r w:rsidRPr="00E70C24">
        <w:rPr>
          <w:iCs/>
        </w:rPr>
        <w:t xml:space="preserve">treatment modelled with adjuvant </w:t>
      </w:r>
      <w:proofErr w:type="spellStart"/>
      <w:r w:rsidRPr="00E70C24">
        <w:rPr>
          <w:iCs/>
        </w:rPr>
        <w:t>abemaciclib</w:t>
      </w:r>
      <w:proofErr w:type="spellEnd"/>
      <w:r w:rsidR="00E70C24" w:rsidRPr="00E70C24">
        <w:rPr>
          <w:iCs/>
        </w:rPr>
        <w:t xml:space="preserve"> in the </w:t>
      </w:r>
      <w:proofErr w:type="spellStart"/>
      <w:r w:rsidR="00E70C24" w:rsidRPr="00E70C24">
        <w:rPr>
          <w:iCs/>
        </w:rPr>
        <w:t>abemaciclib</w:t>
      </w:r>
      <w:proofErr w:type="spellEnd"/>
      <w:r w:rsidR="00E70C24">
        <w:rPr>
          <w:iCs/>
        </w:rPr>
        <w:t xml:space="preserve"> in combination with ET arm</w:t>
      </w:r>
      <w:r w:rsidRPr="00842260">
        <w:rPr>
          <w:iCs/>
        </w:rPr>
        <w:t xml:space="preserve"> was </w:t>
      </w:r>
      <w:bookmarkEnd w:id="60"/>
      <w:r w:rsidR="00363CDF">
        <w:rPr>
          <w:iCs/>
        </w:rPr>
        <w:t>45.6 months (</w:t>
      </w:r>
      <w:r w:rsidRPr="00842260">
        <w:rPr>
          <w:iCs/>
        </w:rPr>
        <w:t>equivalent to 49.5 28-day cycles). The average cost per cycle of ET was estimated to be $</w:t>
      </w:r>
      <w:proofErr w:type="gramStart"/>
      <w:r w:rsidR="007012DA" w:rsidRPr="00221FDB">
        <w:rPr>
          <w:iCs/>
          <w:color w:val="000000"/>
          <w:w w:val="15"/>
          <w:shd w:val="solid" w:color="000000" w:fill="000000"/>
          <w:fitText w:val="-20" w:id="-1500862451"/>
          <w14:textFill>
            <w14:solidFill>
              <w14:srgbClr w14:val="000000">
                <w14:alpha w14:val="100000"/>
              </w14:srgbClr>
            </w14:solidFill>
          </w14:textFill>
        </w:rPr>
        <w:t xml:space="preserve">|  </w:t>
      </w:r>
      <w:r w:rsidR="007012DA" w:rsidRPr="00221FDB">
        <w:rPr>
          <w:iCs/>
          <w:color w:val="000000"/>
          <w:spacing w:val="-69"/>
          <w:w w:val="15"/>
          <w:shd w:val="solid" w:color="000000" w:fill="000000"/>
          <w:fitText w:val="-20" w:id="-1500862451"/>
          <w14:textFill>
            <w14:solidFill>
              <w14:srgbClr w14:val="000000">
                <w14:alpha w14:val="100000"/>
              </w14:srgbClr>
            </w14:solidFill>
          </w14:textFill>
        </w:rPr>
        <w:t>|</w:t>
      </w:r>
      <w:proofErr w:type="gramEnd"/>
      <w:r w:rsidRPr="00842260">
        <w:rPr>
          <w:iCs/>
        </w:rPr>
        <w:t xml:space="preserve">, and so the treatment course cost of ET with </w:t>
      </w:r>
      <w:proofErr w:type="spellStart"/>
      <w:r w:rsidRPr="00842260">
        <w:rPr>
          <w:iCs/>
        </w:rPr>
        <w:t>abemaciclib</w:t>
      </w:r>
      <w:proofErr w:type="spellEnd"/>
      <w:r w:rsidRPr="00842260">
        <w:rPr>
          <w:iCs/>
        </w:rPr>
        <w:t xml:space="preserve"> was estimated to be $</w:t>
      </w:r>
      <w:r w:rsidR="007012DA" w:rsidRPr="00221FDB">
        <w:rPr>
          <w:iCs/>
          <w:color w:val="000000"/>
          <w:w w:val="15"/>
          <w:shd w:val="solid" w:color="000000" w:fill="000000"/>
          <w:fitText w:val="-20" w:id="-1500862450"/>
          <w14:textFill>
            <w14:solidFill>
              <w14:srgbClr w14:val="000000">
                <w14:alpha w14:val="100000"/>
              </w14:srgbClr>
            </w14:solidFill>
          </w14:textFill>
        </w:rPr>
        <w:t xml:space="preserve">|  </w:t>
      </w:r>
      <w:r w:rsidR="007012DA" w:rsidRPr="00221FDB">
        <w:rPr>
          <w:iCs/>
          <w:color w:val="000000"/>
          <w:spacing w:val="-69"/>
          <w:w w:val="15"/>
          <w:shd w:val="solid" w:color="000000" w:fill="000000"/>
          <w:fitText w:val="-20" w:id="-1500862450"/>
          <w14:textFill>
            <w14:solidFill>
              <w14:srgbClr w14:val="000000">
                <w14:alpha w14:val="100000"/>
              </w14:srgbClr>
            </w14:solidFill>
          </w14:textFill>
        </w:rPr>
        <w:t>|</w:t>
      </w:r>
      <w:r w:rsidRPr="00842260">
        <w:rPr>
          <w:iCs/>
        </w:rPr>
        <w:t xml:space="preserve">. The total costs per course of adjuvant </w:t>
      </w:r>
      <w:proofErr w:type="spellStart"/>
      <w:r w:rsidR="00503464" w:rsidRPr="00842260">
        <w:rPr>
          <w:iCs/>
        </w:rPr>
        <w:t>abemaciclib</w:t>
      </w:r>
      <w:proofErr w:type="spellEnd"/>
      <w:r w:rsidR="00503464" w:rsidRPr="00842260">
        <w:rPr>
          <w:iCs/>
        </w:rPr>
        <w:t> + ET</w:t>
      </w:r>
      <w:r w:rsidRPr="00842260">
        <w:rPr>
          <w:iCs/>
        </w:rPr>
        <w:t xml:space="preserve"> was therefore $</w:t>
      </w:r>
      <w:proofErr w:type="gramStart"/>
      <w:r w:rsidR="007012DA" w:rsidRPr="00221FDB">
        <w:rPr>
          <w:iCs/>
          <w:color w:val="000000"/>
          <w:w w:val="15"/>
          <w:shd w:val="solid" w:color="000000" w:fill="000000"/>
          <w:fitText w:val="-20" w:id="-1500862449"/>
          <w14:textFill>
            <w14:solidFill>
              <w14:srgbClr w14:val="000000">
                <w14:alpha w14:val="100000"/>
              </w14:srgbClr>
            </w14:solidFill>
          </w14:textFill>
        </w:rPr>
        <w:t xml:space="preserve">|  </w:t>
      </w:r>
      <w:r w:rsidR="007012DA" w:rsidRPr="00221FDB">
        <w:rPr>
          <w:iCs/>
          <w:color w:val="000000"/>
          <w:spacing w:val="-69"/>
          <w:w w:val="15"/>
          <w:shd w:val="solid" w:color="000000" w:fill="000000"/>
          <w:fitText w:val="-20" w:id="-1500862449"/>
          <w14:textFill>
            <w14:solidFill>
              <w14:srgbClr w14:val="000000">
                <w14:alpha w14:val="100000"/>
              </w14:srgbClr>
            </w14:solidFill>
          </w14:textFill>
        </w:rPr>
        <w:t>|</w:t>
      </w:r>
      <w:proofErr w:type="gramEnd"/>
      <w:r w:rsidRPr="00842260">
        <w:rPr>
          <w:iCs/>
        </w:rPr>
        <w:t>.</w:t>
      </w:r>
    </w:p>
    <w:p w14:paraId="171D1923" w14:textId="415164E5" w:rsidR="003D7A10" w:rsidRPr="00842260" w:rsidRDefault="00C06FC8" w:rsidP="00AF62E3">
      <w:pPr>
        <w:pStyle w:val="3-BodyText"/>
        <w:rPr>
          <w:iCs/>
        </w:rPr>
      </w:pPr>
      <w:r w:rsidRPr="00842260">
        <w:rPr>
          <w:iCs/>
        </w:rPr>
        <w:t xml:space="preserve">The average duration of ET modelled without </w:t>
      </w:r>
      <w:proofErr w:type="spellStart"/>
      <w:r w:rsidRPr="00842260">
        <w:rPr>
          <w:iCs/>
        </w:rPr>
        <w:t>abemaciclib</w:t>
      </w:r>
      <w:proofErr w:type="spellEnd"/>
      <w:r w:rsidRPr="00842260">
        <w:rPr>
          <w:iCs/>
        </w:rPr>
        <w:t xml:space="preserve"> was 48.8 months (equivalent to 53.1 28-day cycles). The treatment course cost of ET was therefore estimated to be $</w:t>
      </w:r>
      <w:proofErr w:type="gramStart"/>
      <w:r w:rsidR="007012DA" w:rsidRPr="00221FDB">
        <w:rPr>
          <w:iCs/>
          <w:color w:val="000000"/>
          <w:w w:val="15"/>
          <w:shd w:val="solid" w:color="000000" w:fill="000000"/>
          <w:fitText w:val="-20" w:id="-1500862448"/>
          <w14:textFill>
            <w14:solidFill>
              <w14:srgbClr w14:val="000000">
                <w14:alpha w14:val="100000"/>
              </w14:srgbClr>
            </w14:solidFill>
          </w14:textFill>
        </w:rPr>
        <w:t xml:space="preserve">|  </w:t>
      </w:r>
      <w:r w:rsidR="007012DA" w:rsidRPr="00221FDB">
        <w:rPr>
          <w:iCs/>
          <w:color w:val="000000"/>
          <w:spacing w:val="-69"/>
          <w:w w:val="15"/>
          <w:shd w:val="solid" w:color="000000" w:fill="000000"/>
          <w:fitText w:val="-20" w:id="-1500862448"/>
          <w14:textFill>
            <w14:solidFill>
              <w14:srgbClr w14:val="000000">
                <w14:alpha w14:val="100000"/>
              </w14:srgbClr>
            </w14:solidFill>
          </w14:textFill>
        </w:rPr>
        <w:t>|</w:t>
      </w:r>
      <w:proofErr w:type="gramEnd"/>
      <w:r w:rsidRPr="00842260">
        <w:rPr>
          <w:iCs/>
        </w:rPr>
        <w:t>.</w:t>
      </w:r>
    </w:p>
    <w:p w14:paraId="51691BD3" w14:textId="5FEA8E41" w:rsidR="00494207" w:rsidRPr="00842260" w:rsidRDefault="008B731C" w:rsidP="00BB732D">
      <w:pPr>
        <w:pStyle w:val="TableFigureHeading"/>
        <w:rPr>
          <w:rStyle w:val="CommentReference"/>
          <w:b/>
          <w:iCs/>
          <w:szCs w:val="24"/>
        </w:rPr>
      </w:pPr>
      <w:bookmarkStart w:id="61" w:name="_Ref93275404"/>
      <w:r w:rsidRPr="00842260">
        <w:t xml:space="preserve">Table </w:t>
      </w:r>
      <w:fldSimple w:instr=" SEQ Table \* ARABIC ">
        <w:r w:rsidR="00053218">
          <w:rPr>
            <w:noProof/>
          </w:rPr>
          <w:t>15</w:t>
        </w:r>
      </w:fldSimple>
      <w:bookmarkEnd w:id="61"/>
      <w:r w:rsidR="00221BE0" w:rsidRPr="00842260">
        <w:rPr>
          <w:rStyle w:val="CommentReference"/>
          <w:b/>
          <w:szCs w:val="24"/>
        </w:rPr>
        <w:t>: Medicine costs per patient for ABE + ET and ET</w:t>
      </w:r>
      <w:r w:rsidR="005B58F3" w:rsidRPr="00842260">
        <w:rPr>
          <w:rStyle w:val="CommentReference"/>
          <w:b/>
          <w:szCs w:val="24"/>
        </w:rPr>
        <w:t xml:space="preserve"> </w:t>
      </w:r>
      <w:r w:rsidR="005B58F3" w:rsidRPr="00842260">
        <w:rPr>
          <w:rStyle w:val="CommentReference"/>
          <w:b/>
          <w:iCs/>
          <w:szCs w:val="24"/>
        </w:rPr>
        <w:t>alone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7"/>
        <w:gridCol w:w="1418"/>
        <w:gridCol w:w="1418"/>
        <w:gridCol w:w="1417"/>
        <w:gridCol w:w="1069"/>
        <w:gridCol w:w="1069"/>
        <w:gridCol w:w="1069"/>
      </w:tblGrid>
      <w:tr w:rsidR="00221BE0" w:rsidRPr="00842260" w14:paraId="21AC90BD" w14:textId="77777777" w:rsidTr="00221BE0">
        <w:trPr>
          <w:cantSplit/>
          <w:tblHeader/>
          <w:jc w:val="center"/>
        </w:trPr>
        <w:tc>
          <w:tcPr>
            <w:tcW w:w="863" w:type="pct"/>
            <w:shd w:val="clear" w:color="auto" w:fill="auto"/>
            <w:vAlign w:val="center"/>
          </w:tcPr>
          <w:p w14:paraId="485D48B1" w14:textId="77777777" w:rsidR="00494207" w:rsidRPr="00842260" w:rsidRDefault="00494207" w:rsidP="00BB732D">
            <w:pPr>
              <w:pStyle w:val="In-tableHeading"/>
              <w:jc w:val="center"/>
              <w:rPr>
                <w:lang w:val="en-AU"/>
              </w:rPr>
            </w:pPr>
          </w:p>
        </w:tc>
        <w:tc>
          <w:tcPr>
            <w:tcW w:w="786" w:type="pct"/>
            <w:shd w:val="clear" w:color="auto" w:fill="auto"/>
            <w:vAlign w:val="center"/>
          </w:tcPr>
          <w:p w14:paraId="3DBA7C60" w14:textId="5700C734" w:rsidR="00494207" w:rsidRPr="00842260" w:rsidRDefault="00D64A95" w:rsidP="00BB732D">
            <w:pPr>
              <w:pStyle w:val="In-tableHeading"/>
              <w:jc w:val="center"/>
              <w:rPr>
                <w:lang w:val="en-AU"/>
              </w:rPr>
            </w:pPr>
            <w:r w:rsidRPr="00842260">
              <w:rPr>
                <w:lang w:val="en-AU"/>
              </w:rPr>
              <w:t>ABE + ET</w:t>
            </w:r>
          </w:p>
          <w:p w14:paraId="3642530E" w14:textId="4DDA9611" w:rsidR="00494207" w:rsidRPr="00842260" w:rsidRDefault="00D64A95" w:rsidP="00D64A95">
            <w:pPr>
              <w:pStyle w:val="In-tableHeading"/>
              <w:jc w:val="center"/>
              <w:rPr>
                <w:lang w:val="en-AU"/>
              </w:rPr>
            </w:pPr>
            <w:proofErr w:type="spellStart"/>
            <w:r w:rsidRPr="00842260">
              <w:rPr>
                <w:lang w:val="en-AU"/>
              </w:rPr>
              <w:t>monarchE</w:t>
            </w:r>
            <w:proofErr w:type="spellEnd"/>
          </w:p>
        </w:tc>
        <w:tc>
          <w:tcPr>
            <w:tcW w:w="786" w:type="pct"/>
            <w:shd w:val="clear" w:color="auto" w:fill="auto"/>
            <w:vAlign w:val="center"/>
          </w:tcPr>
          <w:p w14:paraId="2979144F" w14:textId="595073AD" w:rsidR="00494207" w:rsidRPr="00842260" w:rsidRDefault="00D64A95" w:rsidP="00BB732D">
            <w:pPr>
              <w:pStyle w:val="In-tableHeading"/>
              <w:jc w:val="center"/>
              <w:rPr>
                <w:lang w:val="en-AU"/>
              </w:rPr>
            </w:pPr>
            <w:r w:rsidRPr="00842260">
              <w:rPr>
                <w:lang w:val="en-AU"/>
              </w:rPr>
              <w:t>ABE + ET</w:t>
            </w:r>
          </w:p>
          <w:p w14:paraId="250CD479" w14:textId="77777777" w:rsidR="00494207" w:rsidRPr="00842260" w:rsidRDefault="00494207" w:rsidP="00BB732D">
            <w:pPr>
              <w:pStyle w:val="In-tableHeading"/>
              <w:jc w:val="center"/>
              <w:rPr>
                <w:lang w:val="en-AU"/>
              </w:rPr>
            </w:pPr>
            <w:r w:rsidRPr="00842260">
              <w:rPr>
                <w:lang w:val="en-AU"/>
              </w:rPr>
              <w:t>Model</w:t>
            </w:r>
          </w:p>
        </w:tc>
        <w:tc>
          <w:tcPr>
            <w:tcW w:w="786" w:type="pct"/>
            <w:shd w:val="clear" w:color="auto" w:fill="auto"/>
            <w:vAlign w:val="center"/>
          </w:tcPr>
          <w:p w14:paraId="783FDB27" w14:textId="1C33A7E7" w:rsidR="00494207" w:rsidRPr="00842260" w:rsidRDefault="00D64A95" w:rsidP="00BB732D">
            <w:pPr>
              <w:pStyle w:val="In-tableHeading"/>
              <w:jc w:val="center"/>
              <w:rPr>
                <w:lang w:val="en-AU"/>
              </w:rPr>
            </w:pPr>
            <w:r w:rsidRPr="00842260">
              <w:rPr>
                <w:lang w:val="en-AU"/>
              </w:rPr>
              <w:t>ABE + ET</w:t>
            </w:r>
          </w:p>
          <w:p w14:paraId="44C76606" w14:textId="77777777" w:rsidR="00494207" w:rsidRPr="00842260" w:rsidRDefault="00494207" w:rsidP="00BB732D">
            <w:pPr>
              <w:pStyle w:val="In-tableHeading"/>
              <w:jc w:val="center"/>
              <w:rPr>
                <w:lang w:val="en-AU"/>
              </w:rPr>
            </w:pPr>
            <w:r w:rsidRPr="00842260">
              <w:rPr>
                <w:lang w:val="en-AU"/>
              </w:rPr>
              <w:t>Financial estimates</w:t>
            </w:r>
          </w:p>
        </w:tc>
        <w:tc>
          <w:tcPr>
            <w:tcW w:w="593" w:type="pct"/>
            <w:shd w:val="clear" w:color="auto" w:fill="auto"/>
            <w:vAlign w:val="center"/>
          </w:tcPr>
          <w:p w14:paraId="30A1BB96" w14:textId="6351BC7A" w:rsidR="00494207" w:rsidRPr="00842260" w:rsidRDefault="00D64A95" w:rsidP="00BB732D">
            <w:pPr>
              <w:pStyle w:val="In-tableHeading"/>
              <w:jc w:val="center"/>
              <w:rPr>
                <w:lang w:val="en-AU"/>
              </w:rPr>
            </w:pPr>
            <w:r w:rsidRPr="00842260">
              <w:rPr>
                <w:lang w:val="en-AU"/>
              </w:rPr>
              <w:t>ET</w:t>
            </w:r>
          </w:p>
          <w:p w14:paraId="47A6474D" w14:textId="1ECCD113" w:rsidR="00494207" w:rsidRPr="00842260" w:rsidRDefault="00D64A95" w:rsidP="00BB732D">
            <w:pPr>
              <w:pStyle w:val="In-tableHeading"/>
              <w:jc w:val="center"/>
              <w:rPr>
                <w:lang w:val="en-AU"/>
              </w:rPr>
            </w:pPr>
            <w:proofErr w:type="spellStart"/>
            <w:r w:rsidRPr="00842260">
              <w:rPr>
                <w:lang w:val="en-AU"/>
              </w:rPr>
              <w:t>monarchE</w:t>
            </w:r>
            <w:proofErr w:type="spellEnd"/>
          </w:p>
        </w:tc>
        <w:tc>
          <w:tcPr>
            <w:tcW w:w="593" w:type="pct"/>
            <w:shd w:val="clear" w:color="auto" w:fill="auto"/>
            <w:vAlign w:val="center"/>
          </w:tcPr>
          <w:p w14:paraId="510A3EB2" w14:textId="00715535" w:rsidR="00494207" w:rsidRPr="00842260" w:rsidRDefault="00D64A95" w:rsidP="00BB732D">
            <w:pPr>
              <w:pStyle w:val="In-tableHeading"/>
              <w:jc w:val="center"/>
              <w:rPr>
                <w:lang w:val="en-AU"/>
              </w:rPr>
            </w:pPr>
            <w:r w:rsidRPr="00842260">
              <w:rPr>
                <w:lang w:val="en-AU"/>
              </w:rPr>
              <w:t>ET</w:t>
            </w:r>
          </w:p>
          <w:p w14:paraId="111417D2" w14:textId="39210412" w:rsidR="00494207" w:rsidRPr="00842260" w:rsidRDefault="00494207" w:rsidP="00BB732D">
            <w:pPr>
              <w:pStyle w:val="In-tableHeading"/>
              <w:jc w:val="center"/>
              <w:rPr>
                <w:lang w:val="en-AU"/>
              </w:rPr>
            </w:pPr>
            <w:r w:rsidRPr="00842260">
              <w:rPr>
                <w:lang w:val="en-AU"/>
              </w:rPr>
              <w:t>Model</w:t>
            </w:r>
          </w:p>
        </w:tc>
        <w:tc>
          <w:tcPr>
            <w:tcW w:w="593" w:type="pct"/>
          </w:tcPr>
          <w:p w14:paraId="4AE28F02" w14:textId="3FAA6581" w:rsidR="00494207" w:rsidRPr="00842260" w:rsidRDefault="00D64A95" w:rsidP="00BB732D">
            <w:pPr>
              <w:pStyle w:val="In-tableHeading"/>
              <w:jc w:val="center"/>
              <w:rPr>
                <w:lang w:val="en-AU"/>
              </w:rPr>
            </w:pPr>
            <w:r w:rsidRPr="00842260">
              <w:rPr>
                <w:lang w:val="en-AU"/>
              </w:rPr>
              <w:t>ET</w:t>
            </w:r>
          </w:p>
          <w:p w14:paraId="709510A5" w14:textId="77777777" w:rsidR="00494207" w:rsidRPr="00842260" w:rsidRDefault="00494207" w:rsidP="00BB732D">
            <w:pPr>
              <w:pStyle w:val="In-tableHeading"/>
              <w:jc w:val="center"/>
              <w:rPr>
                <w:lang w:val="en-AU"/>
              </w:rPr>
            </w:pPr>
            <w:r w:rsidRPr="00842260">
              <w:rPr>
                <w:lang w:val="en-AU"/>
              </w:rPr>
              <w:t>Financial estimates</w:t>
            </w:r>
          </w:p>
        </w:tc>
      </w:tr>
      <w:tr w:rsidR="00221BE0" w:rsidRPr="00842260" w14:paraId="0B84FE33" w14:textId="77777777" w:rsidTr="007012DA">
        <w:trPr>
          <w:cantSplit/>
          <w:jc w:val="center"/>
        </w:trPr>
        <w:tc>
          <w:tcPr>
            <w:tcW w:w="863" w:type="pct"/>
            <w:shd w:val="clear" w:color="auto" w:fill="auto"/>
            <w:vAlign w:val="center"/>
          </w:tcPr>
          <w:p w14:paraId="49111F6C" w14:textId="0558A90B" w:rsidR="00494207" w:rsidRPr="00842260" w:rsidRDefault="00494207" w:rsidP="00BB732D">
            <w:pPr>
              <w:pStyle w:val="TableText0"/>
            </w:pPr>
            <w:r w:rsidRPr="00842260">
              <w:t>Mean duration</w:t>
            </w:r>
            <w:r w:rsidR="00D64A95" w:rsidRPr="00842260">
              <w:t xml:space="preserve"> </w:t>
            </w:r>
            <w:r w:rsidR="00D64A95" w:rsidRPr="00842260">
              <w:br/>
              <w:t>(28-day cycles)</w:t>
            </w:r>
          </w:p>
        </w:tc>
        <w:tc>
          <w:tcPr>
            <w:tcW w:w="786" w:type="pct"/>
            <w:shd w:val="clear" w:color="auto" w:fill="auto"/>
            <w:vAlign w:val="center"/>
          </w:tcPr>
          <w:p w14:paraId="4023E10C" w14:textId="551DC397" w:rsidR="00494207" w:rsidRPr="00842260" w:rsidRDefault="00D64A95" w:rsidP="00221BE0">
            <w:pPr>
              <w:pStyle w:val="TableText0"/>
              <w:jc w:val="center"/>
            </w:pPr>
            <w:r w:rsidRPr="00842260">
              <w:t>ABE</w:t>
            </w:r>
            <w:r w:rsidR="00221BE0" w:rsidRPr="00842260">
              <w:t xml:space="preserve">: </w:t>
            </w:r>
            <w:r w:rsidRPr="00842260">
              <w:t>20.6</w:t>
            </w:r>
            <w:r w:rsidR="00221BE0" w:rsidRPr="00842260">
              <w:t xml:space="preserve"> </w:t>
            </w:r>
            <w:r w:rsidR="00221BE0" w:rsidRPr="00842260">
              <w:rPr>
                <w:vertAlign w:val="superscript"/>
              </w:rPr>
              <w:t>a</w:t>
            </w:r>
          </w:p>
          <w:p w14:paraId="30EF57C3" w14:textId="3B15D486" w:rsidR="00D64A95" w:rsidRPr="00842260" w:rsidRDefault="00D64A95" w:rsidP="00221BE0">
            <w:pPr>
              <w:pStyle w:val="TableText0"/>
              <w:jc w:val="center"/>
            </w:pPr>
            <w:r w:rsidRPr="00842260">
              <w:t>ET: 22.6</w:t>
            </w:r>
            <w:r w:rsidR="00221BE0" w:rsidRPr="00842260">
              <w:t xml:space="preserve"> </w:t>
            </w:r>
            <w:r w:rsidR="00221BE0" w:rsidRPr="00842260">
              <w:rPr>
                <w:vertAlign w:val="superscript"/>
              </w:rPr>
              <w:t>b</w:t>
            </w:r>
          </w:p>
        </w:tc>
        <w:tc>
          <w:tcPr>
            <w:tcW w:w="786" w:type="pct"/>
            <w:shd w:val="clear" w:color="auto" w:fill="auto"/>
            <w:vAlign w:val="center"/>
          </w:tcPr>
          <w:p w14:paraId="6862FD87" w14:textId="77777777" w:rsidR="00494207" w:rsidRPr="00842260" w:rsidRDefault="00D64A95" w:rsidP="00221BE0">
            <w:pPr>
              <w:pStyle w:val="TableText0"/>
              <w:jc w:val="center"/>
            </w:pPr>
            <w:r w:rsidRPr="00842260">
              <w:t>ABE: 21.1</w:t>
            </w:r>
          </w:p>
          <w:p w14:paraId="6906B266" w14:textId="64EEAE0F" w:rsidR="00D64A95" w:rsidRPr="00842260" w:rsidRDefault="00D64A95" w:rsidP="00221BE0">
            <w:pPr>
              <w:pStyle w:val="TableText0"/>
              <w:jc w:val="center"/>
            </w:pPr>
            <w:r w:rsidRPr="00842260">
              <w:t>ET: 49.5</w:t>
            </w:r>
          </w:p>
        </w:tc>
        <w:tc>
          <w:tcPr>
            <w:tcW w:w="786" w:type="pct"/>
            <w:shd w:val="clear" w:color="auto" w:fill="auto"/>
            <w:vAlign w:val="center"/>
          </w:tcPr>
          <w:p w14:paraId="31F10872" w14:textId="77777777" w:rsidR="00494207" w:rsidRPr="00842260" w:rsidRDefault="00D64A95" w:rsidP="00221BE0">
            <w:pPr>
              <w:pStyle w:val="TableText0"/>
              <w:jc w:val="center"/>
            </w:pPr>
            <w:r w:rsidRPr="00842260">
              <w:t>ABE: 26.1</w:t>
            </w:r>
          </w:p>
          <w:p w14:paraId="40F6D5BC" w14:textId="5DEE19CA" w:rsidR="00D64A95" w:rsidRPr="00842260" w:rsidRDefault="00D64A95" w:rsidP="00221BE0">
            <w:pPr>
              <w:pStyle w:val="TableText0"/>
              <w:jc w:val="center"/>
            </w:pPr>
            <w:r w:rsidRPr="00842260">
              <w:t>ET: NE</w:t>
            </w:r>
          </w:p>
        </w:tc>
        <w:tc>
          <w:tcPr>
            <w:tcW w:w="593" w:type="pct"/>
            <w:tcBorders>
              <w:bottom w:val="single" w:sz="4" w:space="0" w:color="auto"/>
            </w:tcBorders>
            <w:shd w:val="clear" w:color="auto" w:fill="auto"/>
            <w:vAlign w:val="center"/>
          </w:tcPr>
          <w:p w14:paraId="58726F9A" w14:textId="1A6805B1" w:rsidR="00494207" w:rsidRPr="00842260" w:rsidRDefault="00D64A95" w:rsidP="00C86E57">
            <w:pPr>
              <w:pStyle w:val="TableText0"/>
              <w:jc w:val="center"/>
            </w:pPr>
            <w:r w:rsidRPr="00842260">
              <w:t>23.2</w:t>
            </w:r>
            <w:r w:rsidR="00221BE0" w:rsidRPr="00842260">
              <w:t xml:space="preserve"> </w:t>
            </w:r>
            <w:r w:rsidR="00221BE0" w:rsidRPr="00842260">
              <w:rPr>
                <w:vertAlign w:val="superscript"/>
              </w:rPr>
              <w:t>c</w:t>
            </w:r>
          </w:p>
        </w:tc>
        <w:tc>
          <w:tcPr>
            <w:tcW w:w="593" w:type="pct"/>
            <w:tcBorders>
              <w:bottom w:val="single" w:sz="4" w:space="0" w:color="auto"/>
            </w:tcBorders>
            <w:shd w:val="clear" w:color="auto" w:fill="auto"/>
            <w:vAlign w:val="center"/>
          </w:tcPr>
          <w:p w14:paraId="39304CC6" w14:textId="1E480744" w:rsidR="00494207" w:rsidRPr="00842260" w:rsidRDefault="00D64A95" w:rsidP="00C86E57">
            <w:pPr>
              <w:pStyle w:val="TableText0"/>
              <w:jc w:val="center"/>
            </w:pPr>
            <w:r w:rsidRPr="00842260">
              <w:t>53.1</w:t>
            </w:r>
          </w:p>
        </w:tc>
        <w:tc>
          <w:tcPr>
            <w:tcW w:w="593" w:type="pct"/>
            <w:vAlign w:val="center"/>
          </w:tcPr>
          <w:p w14:paraId="0CFE1C01" w14:textId="71C7B993" w:rsidR="00494207" w:rsidRPr="00842260" w:rsidRDefault="00221BE0" w:rsidP="00C86E57">
            <w:pPr>
              <w:pStyle w:val="TableText0"/>
              <w:jc w:val="center"/>
            </w:pPr>
            <w:r w:rsidRPr="00842260">
              <w:t>NE</w:t>
            </w:r>
          </w:p>
        </w:tc>
      </w:tr>
      <w:tr w:rsidR="00221BE0" w:rsidRPr="00842260" w14:paraId="455F2922" w14:textId="77777777" w:rsidTr="007012DA">
        <w:trPr>
          <w:cantSplit/>
          <w:jc w:val="center"/>
        </w:trPr>
        <w:tc>
          <w:tcPr>
            <w:tcW w:w="863" w:type="pct"/>
            <w:shd w:val="clear" w:color="auto" w:fill="auto"/>
            <w:vAlign w:val="center"/>
          </w:tcPr>
          <w:p w14:paraId="0818A7F9" w14:textId="3E28C097" w:rsidR="00494207" w:rsidRPr="00842260" w:rsidRDefault="00494207" w:rsidP="00D64A95">
            <w:pPr>
              <w:pStyle w:val="TableText0"/>
            </w:pPr>
            <w:r w:rsidRPr="00842260">
              <w:t>Cost/patient/</w:t>
            </w:r>
            <w:r w:rsidR="00221BE0" w:rsidRPr="00842260">
              <w:br/>
            </w:r>
            <w:r w:rsidR="00D64A95" w:rsidRPr="00842260">
              <w:t>28-day cycle</w:t>
            </w:r>
            <w:r w:rsidR="00E524A4">
              <w:t xml:space="preserve"> ($)</w:t>
            </w:r>
          </w:p>
        </w:tc>
        <w:tc>
          <w:tcPr>
            <w:tcW w:w="786" w:type="pct"/>
            <w:shd w:val="clear" w:color="auto" w:fill="auto"/>
            <w:vAlign w:val="center"/>
          </w:tcPr>
          <w:p w14:paraId="5DE0FBA2" w14:textId="4AF6A9DE" w:rsidR="00D64A95" w:rsidRPr="00842260" w:rsidRDefault="00D64A95" w:rsidP="00221BE0">
            <w:pPr>
              <w:pStyle w:val="TableText0"/>
              <w:jc w:val="center"/>
            </w:pPr>
            <w:r w:rsidRPr="00842260">
              <w:t xml:space="preserve">ABE: </w:t>
            </w:r>
            <w:r w:rsidR="007012DA" w:rsidRPr="007012DA">
              <w:rPr>
                <w:rFonts w:hint="eastAsia"/>
                <w:color w:val="000000"/>
                <w:w w:val="18"/>
                <w:shd w:val="solid" w:color="000000" w:fill="000000"/>
                <w:fitText w:val="80" w:id="-1500862464"/>
                <w14:textFill>
                  <w14:solidFill>
                    <w14:srgbClr w14:val="000000">
                      <w14:alpha w14:val="100000"/>
                    </w14:srgbClr>
                  </w14:solidFill>
                </w14:textFill>
              </w:rPr>
              <w:t xml:space="preserve">　</w:t>
            </w:r>
            <w:r w:rsidR="007012DA" w:rsidRPr="007012DA">
              <w:rPr>
                <w:color w:val="000000"/>
                <w:w w:val="18"/>
                <w:shd w:val="solid" w:color="000000" w:fill="000000"/>
                <w:fitText w:val="80" w:id="-1500862464"/>
                <w14:textFill>
                  <w14:solidFill>
                    <w14:srgbClr w14:val="000000">
                      <w14:alpha w14:val="100000"/>
                    </w14:srgbClr>
                  </w14:solidFill>
                </w14:textFill>
              </w:rPr>
              <w:t>|</w:t>
            </w:r>
            <w:r w:rsidR="007012DA" w:rsidRPr="007012DA">
              <w:rPr>
                <w:rFonts w:hint="eastAsia"/>
                <w:color w:val="000000"/>
                <w:w w:val="18"/>
                <w:shd w:val="solid" w:color="000000" w:fill="000000"/>
                <w:fitText w:val="80" w:id="-1500862464"/>
                <w14:textFill>
                  <w14:solidFill>
                    <w14:srgbClr w14:val="000000">
                      <w14:alpha w14:val="100000"/>
                    </w14:srgbClr>
                  </w14:solidFill>
                </w14:textFill>
              </w:rPr>
              <w:t xml:space="preserve">　</w:t>
            </w:r>
          </w:p>
          <w:p w14:paraId="34F0ACD6" w14:textId="20449247" w:rsidR="00494207" w:rsidRPr="00842260" w:rsidRDefault="00D64A95" w:rsidP="00221BE0">
            <w:pPr>
              <w:pStyle w:val="TableText0"/>
              <w:jc w:val="center"/>
            </w:pPr>
            <w:r w:rsidRPr="00842260">
              <w:t xml:space="preserve">ET: </w:t>
            </w:r>
            <w:r w:rsidR="007012DA" w:rsidRPr="00221FDB">
              <w:rPr>
                <w:rFonts w:hint="eastAsia"/>
                <w:color w:val="000000"/>
                <w:w w:val="15"/>
                <w:shd w:val="solid" w:color="000000" w:fill="000000"/>
                <w:fitText w:val="20" w:id="-1500862463"/>
                <w14:textFill>
                  <w14:solidFill>
                    <w14:srgbClr w14:val="000000">
                      <w14:alpha w14:val="100000"/>
                    </w14:srgbClr>
                  </w14:solidFill>
                </w14:textFill>
              </w:rPr>
              <w:t xml:space="preserve">　</w:t>
            </w:r>
            <w:r w:rsidR="007012DA" w:rsidRPr="00221FDB">
              <w:rPr>
                <w:color w:val="000000"/>
                <w:w w:val="15"/>
                <w:shd w:val="solid" w:color="000000" w:fill="000000"/>
                <w:fitText w:val="20" w:id="-1500862463"/>
                <w14:textFill>
                  <w14:solidFill>
                    <w14:srgbClr w14:val="000000">
                      <w14:alpha w14:val="100000"/>
                    </w14:srgbClr>
                  </w14:solidFill>
                </w14:textFill>
              </w:rPr>
              <w:t>|</w:t>
            </w:r>
            <w:r w:rsidR="007012DA" w:rsidRPr="00221FDB">
              <w:rPr>
                <w:rFonts w:hint="eastAsia"/>
                <w:color w:val="000000"/>
                <w:spacing w:val="-45"/>
                <w:w w:val="15"/>
                <w:shd w:val="solid" w:color="000000" w:fill="000000"/>
                <w:fitText w:val="20" w:id="-1500862463"/>
                <w14:textFill>
                  <w14:solidFill>
                    <w14:srgbClr w14:val="000000">
                      <w14:alpha w14:val="100000"/>
                    </w14:srgbClr>
                  </w14:solidFill>
                </w14:textFill>
              </w:rPr>
              <w:t xml:space="preserve">　</w:t>
            </w:r>
          </w:p>
        </w:tc>
        <w:tc>
          <w:tcPr>
            <w:tcW w:w="786" w:type="pct"/>
            <w:shd w:val="clear" w:color="auto" w:fill="auto"/>
            <w:vAlign w:val="center"/>
          </w:tcPr>
          <w:p w14:paraId="6757DACB" w14:textId="39B99F81" w:rsidR="00494207" w:rsidRPr="00842260" w:rsidRDefault="00D64A95" w:rsidP="00221BE0">
            <w:pPr>
              <w:pStyle w:val="TableText0"/>
              <w:jc w:val="center"/>
            </w:pPr>
            <w:r w:rsidRPr="00842260">
              <w:t xml:space="preserve">ABE: </w:t>
            </w:r>
            <w:r w:rsidR="007012DA" w:rsidRPr="007012DA">
              <w:rPr>
                <w:rFonts w:hint="eastAsia"/>
                <w:color w:val="000000"/>
                <w:w w:val="18"/>
                <w:shd w:val="solid" w:color="000000" w:fill="000000"/>
                <w:fitText w:val="80" w:id="-1500862462"/>
                <w14:textFill>
                  <w14:solidFill>
                    <w14:srgbClr w14:val="000000">
                      <w14:alpha w14:val="100000"/>
                    </w14:srgbClr>
                  </w14:solidFill>
                </w14:textFill>
              </w:rPr>
              <w:t xml:space="preserve">　</w:t>
            </w:r>
            <w:r w:rsidR="007012DA" w:rsidRPr="007012DA">
              <w:rPr>
                <w:color w:val="000000"/>
                <w:w w:val="18"/>
                <w:shd w:val="solid" w:color="000000" w:fill="000000"/>
                <w:fitText w:val="80" w:id="-1500862462"/>
                <w14:textFill>
                  <w14:solidFill>
                    <w14:srgbClr w14:val="000000">
                      <w14:alpha w14:val="100000"/>
                    </w14:srgbClr>
                  </w14:solidFill>
                </w14:textFill>
              </w:rPr>
              <w:t>|</w:t>
            </w:r>
            <w:r w:rsidR="007012DA" w:rsidRPr="007012DA">
              <w:rPr>
                <w:rFonts w:hint="eastAsia"/>
                <w:color w:val="000000"/>
                <w:w w:val="18"/>
                <w:shd w:val="solid" w:color="000000" w:fill="000000"/>
                <w:fitText w:val="80" w:id="-1500862462"/>
                <w14:textFill>
                  <w14:solidFill>
                    <w14:srgbClr w14:val="000000">
                      <w14:alpha w14:val="100000"/>
                    </w14:srgbClr>
                  </w14:solidFill>
                </w14:textFill>
              </w:rPr>
              <w:t xml:space="preserve">　</w:t>
            </w:r>
          </w:p>
          <w:p w14:paraId="10235C1F" w14:textId="3C268B54" w:rsidR="00D64A95" w:rsidRPr="00842260" w:rsidRDefault="00D64A95" w:rsidP="00221BE0">
            <w:pPr>
              <w:pStyle w:val="TableText0"/>
              <w:jc w:val="center"/>
            </w:pPr>
            <w:r w:rsidRPr="00842260">
              <w:t xml:space="preserve">ET: </w:t>
            </w:r>
            <w:r w:rsidR="007012DA" w:rsidRPr="00221FDB">
              <w:rPr>
                <w:rFonts w:hint="eastAsia"/>
                <w:color w:val="000000"/>
                <w:w w:val="15"/>
                <w:shd w:val="solid" w:color="000000" w:fill="000000"/>
                <w:fitText w:val="20" w:id="-1500862461"/>
                <w14:textFill>
                  <w14:solidFill>
                    <w14:srgbClr w14:val="000000">
                      <w14:alpha w14:val="100000"/>
                    </w14:srgbClr>
                  </w14:solidFill>
                </w14:textFill>
              </w:rPr>
              <w:t xml:space="preserve">　</w:t>
            </w:r>
            <w:r w:rsidR="007012DA" w:rsidRPr="00221FDB">
              <w:rPr>
                <w:color w:val="000000"/>
                <w:w w:val="15"/>
                <w:shd w:val="solid" w:color="000000" w:fill="000000"/>
                <w:fitText w:val="20" w:id="-1500862461"/>
                <w14:textFill>
                  <w14:solidFill>
                    <w14:srgbClr w14:val="000000">
                      <w14:alpha w14:val="100000"/>
                    </w14:srgbClr>
                  </w14:solidFill>
                </w14:textFill>
              </w:rPr>
              <w:t>|</w:t>
            </w:r>
            <w:r w:rsidR="007012DA" w:rsidRPr="00221FDB">
              <w:rPr>
                <w:rFonts w:hint="eastAsia"/>
                <w:color w:val="000000"/>
                <w:spacing w:val="-45"/>
                <w:w w:val="15"/>
                <w:shd w:val="solid" w:color="000000" w:fill="000000"/>
                <w:fitText w:val="20" w:id="-1500862461"/>
                <w14:textFill>
                  <w14:solidFill>
                    <w14:srgbClr w14:val="000000">
                      <w14:alpha w14:val="100000"/>
                    </w14:srgbClr>
                  </w14:solidFill>
                </w14:textFill>
              </w:rPr>
              <w:t xml:space="preserve">　</w:t>
            </w:r>
          </w:p>
        </w:tc>
        <w:tc>
          <w:tcPr>
            <w:tcW w:w="786" w:type="pct"/>
            <w:shd w:val="clear" w:color="auto" w:fill="auto"/>
            <w:vAlign w:val="center"/>
          </w:tcPr>
          <w:p w14:paraId="2E3E5029" w14:textId="532FB73D" w:rsidR="00494207" w:rsidRPr="00842260" w:rsidRDefault="00D64A95" w:rsidP="00221BE0">
            <w:pPr>
              <w:pStyle w:val="TableText0"/>
              <w:jc w:val="center"/>
            </w:pPr>
            <w:r w:rsidRPr="00842260">
              <w:t xml:space="preserve">ABE: </w:t>
            </w:r>
            <w:r w:rsidR="007012DA" w:rsidRPr="007012DA">
              <w:rPr>
                <w:rFonts w:hint="eastAsia"/>
                <w:color w:val="000000"/>
                <w:w w:val="18"/>
                <w:shd w:val="solid" w:color="000000" w:fill="000000"/>
                <w:fitText w:val="80" w:id="-1500862460"/>
                <w14:textFill>
                  <w14:solidFill>
                    <w14:srgbClr w14:val="000000">
                      <w14:alpha w14:val="100000"/>
                    </w14:srgbClr>
                  </w14:solidFill>
                </w14:textFill>
              </w:rPr>
              <w:t xml:space="preserve">　</w:t>
            </w:r>
            <w:r w:rsidR="007012DA" w:rsidRPr="007012DA">
              <w:rPr>
                <w:color w:val="000000"/>
                <w:w w:val="18"/>
                <w:shd w:val="solid" w:color="000000" w:fill="000000"/>
                <w:fitText w:val="80" w:id="-1500862460"/>
                <w14:textFill>
                  <w14:solidFill>
                    <w14:srgbClr w14:val="000000">
                      <w14:alpha w14:val="100000"/>
                    </w14:srgbClr>
                  </w14:solidFill>
                </w14:textFill>
              </w:rPr>
              <w:t>|</w:t>
            </w:r>
            <w:r w:rsidR="007012DA" w:rsidRPr="007012DA">
              <w:rPr>
                <w:rFonts w:hint="eastAsia"/>
                <w:color w:val="000000"/>
                <w:w w:val="18"/>
                <w:shd w:val="solid" w:color="000000" w:fill="000000"/>
                <w:fitText w:val="80" w:id="-1500862460"/>
                <w14:textFill>
                  <w14:solidFill>
                    <w14:srgbClr w14:val="000000">
                      <w14:alpha w14:val="100000"/>
                    </w14:srgbClr>
                  </w14:solidFill>
                </w14:textFill>
              </w:rPr>
              <w:t xml:space="preserve">　</w:t>
            </w:r>
          </w:p>
          <w:p w14:paraId="3791C497" w14:textId="130646C3" w:rsidR="00D64A95" w:rsidRPr="00842260" w:rsidRDefault="00D64A95" w:rsidP="00221BE0">
            <w:pPr>
              <w:pStyle w:val="TableText0"/>
              <w:jc w:val="center"/>
            </w:pPr>
            <w:r w:rsidRPr="00842260">
              <w:t>ET: NE</w:t>
            </w:r>
          </w:p>
        </w:tc>
        <w:tc>
          <w:tcPr>
            <w:tcW w:w="593" w:type="pct"/>
            <w:tcBorders>
              <w:bottom w:val="single" w:sz="4" w:space="0" w:color="auto"/>
            </w:tcBorders>
            <w:shd w:val="solid" w:color="000000" w:fill="000000"/>
            <w:vAlign w:val="center"/>
          </w:tcPr>
          <w:p w14:paraId="6E2F9897" w14:textId="5E9FDCCA" w:rsidR="00494207" w:rsidRPr="007012DA" w:rsidRDefault="007012DA" w:rsidP="00C86E57">
            <w:pPr>
              <w:pStyle w:val="TableText0"/>
              <w:jc w:val="center"/>
            </w:pPr>
            <w:r w:rsidRPr="007012DA">
              <w:rPr>
                <w:rFonts w:hint="eastAsia"/>
                <w:color w:val="000000"/>
                <w:w w:val="15"/>
                <w:fitText w:val="40" w:id="-1500862459"/>
                <w14:textFill>
                  <w14:solidFill>
                    <w14:srgbClr w14:val="000000">
                      <w14:alpha w14:val="100000"/>
                    </w14:srgbClr>
                  </w14:solidFill>
                </w14:textFill>
              </w:rPr>
              <w:t xml:space="preserve">　</w:t>
            </w:r>
            <w:r w:rsidRPr="007012DA">
              <w:rPr>
                <w:color w:val="000000"/>
                <w:w w:val="15"/>
                <w:fitText w:val="40" w:id="-1500862459"/>
                <w14:textFill>
                  <w14:solidFill>
                    <w14:srgbClr w14:val="000000">
                      <w14:alpha w14:val="100000"/>
                    </w14:srgbClr>
                  </w14:solidFill>
                </w14:textFill>
              </w:rPr>
              <w:t>|</w:t>
            </w:r>
            <w:r w:rsidRPr="007012DA">
              <w:rPr>
                <w:rFonts w:hint="eastAsia"/>
                <w:color w:val="000000"/>
                <w:spacing w:val="-25"/>
                <w:w w:val="15"/>
                <w:fitText w:val="40" w:id="-1500862459"/>
                <w14:textFill>
                  <w14:solidFill>
                    <w14:srgbClr w14:val="000000">
                      <w14:alpha w14:val="100000"/>
                    </w14:srgbClr>
                  </w14:solidFill>
                </w14:textFill>
              </w:rPr>
              <w:t xml:space="preserve">　</w:t>
            </w:r>
          </w:p>
        </w:tc>
        <w:tc>
          <w:tcPr>
            <w:tcW w:w="593" w:type="pct"/>
            <w:tcBorders>
              <w:bottom w:val="single" w:sz="4" w:space="0" w:color="auto"/>
            </w:tcBorders>
            <w:shd w:val="solid" w:color="000000" w:fill="000000"/>
            <w:vAlign w:val="center"/>
          </w:tcPr>
          <w:p w14:paraId="32FDBA7D" w14:textId="55EB0503" w:rsidR="00494207" w:rsidRPr="007012DA" w:rsidRDefault="007012DA" w:rsidP="00C86E57">
            <w:pPr>
              <w:pStyle w:val="TableText0"/>
              <w:jc w:val="center"/>
            </w:pPr>
            <w:r w:rsidRPr="007012DA">
              <w:rPr>
                <w:rFonts w:hint="eastAsia"/>
                <w:color w:val="000000"/>
                <w:w w:val="15"/>
                <w:fitText w:val="40" w:id="-1500862458"/>
                <w14:textFill>
                  <w14:solidFill>
                    <w14:srgbClr w14:val="000000">
                      <w14:alpha w14:val="100000"/>
                    </w14:srgbClr>
                  </w14:solidFill>
                </w14:textFill>
              </w:rPr>
              <w:t xml:space="preserve">　</w:t>
            </w:r>
            <w:r w:rsidRPr="007012DA">
              <w:rPr>
                <w:color w:val="000000"/>
                <w:w w:val="15"/>
                <w:fitText w:val="40" w:id="-1500862458"/>
                <w14:textFill>
                  <w14:solidFill>
                    <w14:srgbClr w14:val="000000">
                      <w14:alpha w14:val="100000"/>
                    </w14:srgbClr>
                  </w14:solidFill>
                </w14:textFill>
              </w:rPr>
              <w:t>|</w:t>
            </w:r>
            <w:r w:rsidRPr="007012DA">
              <w:rPr>
                <w:rFonts w:hint="eastAsia"/>
                <w:color w:val="000000"/>
                <w:spacing w:val="-25"/>
                <w:w w:val="15"/>
                <w:fitText w:val="40" w:id="-1500862458"/>
                <w14:textFill>
                  <w14:solidFill>
                    <w14:srgbClr w14:val="000000">
                      <w14:alpha w14:val="100000"/>
                    </w14:srgbClr>
                  </w14:solidFill>
                </w14:textFill>
              </w:rPr>
              <w:t xml:space="preserve">　</w:t>
            </w:r>
          </w:p>
        </w:tc>
        <w:tc>
          <w:tcPr>
            <w:tcW w:w="593" w:type="pct"/>
            <w:vAlign w:val="center"/>
          </w:tcPr>
          <w:p w14:paraId="4AE81AF6" w14:textId="08B84596" w:rsidR="00494207" w:rsidRPr="00842260" w:rsidRDefault="00221BE0" w:rsidP="00C86E57">
            <w:pPr>
              <w:pStyle w:val="TableText0"/>
              <w:jc w:val="center"/>
            </w:pPr>
            <w:r w:rsidRPr="00842260">
              <w:t>NE</w:t>
            </w:r>
          </w:p>
        </w:tc>
      </w:tr>
      <w:tr w:rsidR="00221BE0" w:rsidRPr="00842260" w14:paraId="06512171" w14:textId="77777777" w:rsidTr="007012DA">
        <w:trPr>
          <w:cantSplit/>
          <w:jc w:val="center"/>
        </w:trPr>
        <w:tc>
          <w:tcPr>
            <w:tcW w:w="863" w:type="pct"/>
            <w:shd w:val="clear" w:color="auto" w:fill="auto"/>
            <w:vAlign w:val="center"/>
          </w:tcPr>
          <w:p w14:paraId="6EB9C80D" w14:textId="17F1B78D" w:rsidR="00494207" w:rsidRPr="00842260" w:rsidRDefault="00D64A95" w:rsidP="00D64A95">
            <w:pPr>
              <w:pStyle w:val="TableText0"/>
            </w:pPr>
            <w:r w:rsidRPr="00842260">
              <w:t>Cost/patient</w:t>
            </w:r>
            <w:r w:rsidR="00494207" w:rsidRPr="00842260">
              <w:t>/course</w:t>
            </w:r>
            <w:r w:rsidR="00E524A4">
              <w:t xml:space="preserve"> ($)</w:t>
            </w:r>
          </w:p>
        </w:tc>
        <w:tc>
          <w:tcPr>
            <w:tcW w:w="786" w:type="pct"/>
            <w:shd w:val="clear" w:color="auto" w:fill="auto"/>
            <w:vAlign w:val="center"/>
          </w:tcPr>
          <w:p w14:paraId="023E632E" w14:textId="016DD041" w:rsidR="00D64A95" w:rsidRPr="00842260" w:rsidRDefault="00D64A95" w:rsidP="00221BE0">
            <w:pPr>
              <w:pStyle w:val="TableText0"/>
              <w:jc w:val="center"/>
            </w:pPr>
            <w:r w:rsidRPr="00842260">
              <w:t xml:space="preserve">ABE: </w:t>
            </w:r>
            <w:r w:rsidR="007012DA" w:rsidRPr="007012DA">
              <w:rPr>
                <w:rFonts w:hint="eastAsia"/>
                <w:color w:val="000000"/>
                <w:w w:val="18"/>
                <w:shd w:val="solid" w:color="000000" w:fill="000000"/>
                <w:fitText w:val="80" w:id="-1500862457"/>
                <w14:textFill>
                  <w14:solidFill>
                    <w14:srgbClr w14:val="000000">
                      <w14:alpha w14:val="100000"/>
                    </w14:srgbClr>
                  </w14:solidFill>
                </w14:textFill>
              </w:rPr>
              <w:t xml:space="preserve">　</w:t>
            </w:r>
            <w:r w:rsidR="007012DA" w:rsidRPr="007012DA">
              <w:rPr>
                <w:color w:val="000000"/>
                <w:w w:val="18"/>
                <w:shd w:val="solid" w:color="000000" w:fill="000000"/>
                <w:fitText w:val="80" w:id="-1500862457"/>
                <w14:textFill>
                  <w14:solidFill>
                    <w14:srgbClr w14:val="000000">
                      <w14:alpha w14:val="100000"/>
                    </w14:srgbClr>
                  </w14:solidFill>
                </w14:textFill>
              </w:rPr>
              <w:t>|</w:t>
            </w:r>
            <w:r w:rsidR="007012DA" w:rsidRPr="007012DA">
              <w:rPr>
                <w:rFonts w:hint="eastAsia"/>
                <w:color w:val="000000"/>
                <w:w w:val="18"/>
                <w:shd w:val="solid" w:color="000000" w:fill="000000"/>
                <w:fitText w:val="80" w:id="-1500862457"/>
                <w14:textFill>
                  <w14:solidFill>
                    <w14:srgbClr w14:val="000000">
                      <w14:alpha w14:val="100000"/>
                    </w14:srgbClr>
                  </w14:solidFill>
                </w14:textFill>
              </w:rPr>
              <w:t xml:space="preserve">　</w:t>
            </w:r>
          </w:p>
          <w:p w14:paraId="6E988AE5" w14:textId="481CACE1" w:rsidR="00D64A95" w:rsidRPr="00842260" w:rsidRDefault="00D64A95" w:rsidP="00221BE0">
            <w:pPr>
              <w:pStyle w:val="TableText0"/>
              <w:jc w:val="center"/>
            </w:pPr>
            <w:r w:rsidRPr="00842260">
              <w:t xml:space="preserve">ET: </w:t>
            </w:r>
            <w:r w:rsidR="007012DA" w:rsidRPr="00221FDB">
              <w:rPr>
                <w:rFonts w:hint="eastAsia"/>
                <w:color w:val="000000"/>
                <w:w w:val="15"/>
                <w:shd w:val="solid" w:color="000000" w:fill="000000"/>
                <w:fitText w:val="20" w:id="-1500862456"/>
                <w14:textFill>
                  <w14:solidFill>
                    <w14:srgbClr w14:val="000000">
                      <w14:alpha w14:val="100000"/>
                    </w14:srgbClr>
                  </w14:solidFill>
                </w14:textFill>
              </w:rPr>
              <w:t xml:space="preserve">　</w:t>
            </w:r>
            <w:r w:rsidR="007012DA" w:rsidRPr="00221FDB">
              <w:rPr>
                <w:color w:val="000000"/>
                <w:w w:val="15"/>
                <w:shd w:val="solid" w:color="000000" w:fill="000000"/>
                <w:fitText w:val="20" w:id="-1500862456"/>
                <w14:textFill>
                  <w14:solidFill>
                    <w14:srgbClr w14:val="000000">
                      <w14:alpha w14:val="100000"/>
                    </w14:srgbClr>
                  </w14:solidFill>
                </w14:textFill>
              </w:rPr>
              <w:t>|</w:t>
            </w:r>
            <w:r w:rsidR="007012DA" w:rsidRPr="00221FDB">
              <w:rPr>
                <w:rFonts w:hint="eastAsia"/>
                <w:color w:val="000000"/>
                <w:spacing w:val="-45"/>
                <w:w w:val="15"/>
                <w:shd w:val="solid" w:color="000000" w:fill="000000"/>
                <w:fitText w:val="20" w:id="-1500862456"/>
                <w14:textFill>
                  <w14:solidFill>
                    <w14:srgbClr w14:val="000000">
                      <w14:alpha w14:val="100000"/>
                    </w14:srgbClr>
                  </w14:solidFill>
                </w14:textFill>
              </w:rPr>
              <w:t xml:space="preserve">　</w:t>
            </w:r>
          </w:p>
          <w:p w14:paraId="683C9E98" w14:textId="7BB8BAB5" w:rsidR="00494207" w:rsidRPr="00842260" w:rsidRDefault="00221BE0" w:rsidP="00221BE0">
            <w:pPr>
              <w:pStyle w:val="TableText0"/>
              <w:jc w:val="center"/>
            </w:pPr>
            <w:r w:rsidRPr="00842260">
              <w:t>ABE+ET</w:t>
            </w:r>
            <w:r w:rsidR="00D64A95" w:rsidRPr="00842260">
              <w:t xml:space="preserve">: </w:t>
            </w:r>
            <w:r w:rsidR="007012DA" w:rsidRPr="007012DA">
              <w:rPr>
                <w:color w:val="000000"/>
                <w:spacing w:val="51"/>
                <w:shd w:val="solid" w:color="000000" w:fill="000000"/>
                <w:fitText w:val="230" w:id="-1500862455"/>
                <w14:textFill>
                  <w14:solidFill>
                    <w14:srgbClr w14:val="000000">
                      <w14:alpha w14:val="100000"/>
                    </w14:srgbClr>
                  </w14:solidFill>
                </w14:textFill>
              </w:rPr>
              <w:t>||</w:t>
            </w:r>
            <w:r w:rsidR="007012DA" w:rsidRPr="007012DA">
              <w:rPr>
                <w:color w:val="000000"/>
                <w:spacing w:val="1"/>
                <w:shd w:val="solid" w:color="000000" w:fill="000000"/>
                <w:fitText w:val="230" w:id="-1500862455"/>
                <w14:textFill>
                  <w14:solidFill>
                    <w14:srgbClr w14:val="000000">
                      <w14:alpha w14:val="100000"/>
                    </w14:srgbClr>
                  </w14:solidFill>
                </w14:textFill>
              </w:rPr>
              <w:t>|</w:t>
            </w:r>
          </w:p>
        </w:tc>
        <w:tc>
          <w:tcPr>
            <w:tcW w:w="786" w:type="pct"/>
            <w:shd w:val="clear" w:color="auto" w:fill="auto"/>
            <w:vAlign w:val="center"/>
          </w:tcPr>
          <w:p w14:paraId="51A024F2" w14:textId="599CF154" w:rsidR="00D64A95" w:rsidRPr="00842260" w:rsidRDefault="00D64A95" w:rsidP="00221BE0">
            <w:pPr>
              <w:pStyle w:val="TableText0"/>
              <w:jc w:val="center"/>
            </w:pPr>
            <w:r w:rsidRPr="00842260">
              <w:t xml:space="preserve">ABE: </w:t>
            </w:r>
            <w:r w:rsidR="007012DA" w:rsidRPr="007012DA">
              <w:rPr>
                <w:rFonts w:hint="eastAsia"/>
                <w:color w:val="000000"/>
                <w:w w:val="18"/>
                <w:shd w:val="solid" w:color="000000" w:fill="000000"/>
                <w:fitText w:val="80" w:id="-1500862454"/>
                <w14:textFill>
                  <w14:solidFill>
                    <w14:srgbClr w14:val="000000">
                      <w14:alpha w14:val="100000"/>
                    </w14:srgbClr>
                  </w14:solidFill>
                </w14:textFill>
              </w:rPr>
              <w:t xml:space="preserve">　</w:t>
            </w:r>
            <w:r w:rsidR="007012DA" w:rsidRPr="007012DA">
              <w:rPr>
                <w:color w:val="000000"/>
                <w:w w:val="18"/>
                <w:shd w:val="solid" w:color="000000" w:fill="000000"/>
                <w:fitText w:val="80" w:id="-1500862454"/>
                <w14:textFill>
                  <w14:solidFill>
                    <w14:srgbClr w14:val="000000">
                      <w14:alpha w14:val="100000"/>
                    </w14:srgbClr>
                  </w14:solidFill>
                </w14:textFill>
              </w:rPr>
              <w:t>|</w:t>
            </w:r>
            <w:r w:rsidR="007012DA" w:rsidRPr="007012DA">
              <w:rPr>
                <w:rFonts w:hint="eastAsia"/>
                <w:color w:val="000000"/>
                <w:w w:val="18"/>
                <w:shd w:val="solid" w:color="000000" w:fill="000000"/>
                <w:fitText w:val="80" w:id="-1500862454"/>
                <w14:textFill>
                  <w14:solidFill>
                    <w14:srgbClr w14:val="000000">
                      <w14:alpha w14:val="100000"/>
                    </w14:srgbClr>
                  </w14:solidFill>
                </w14:textFill>
              </w:rPr>
              <w:t xml:space="preserve">　</w:t>
            </w:r>
          </w:p>
          <w:p w14:paraId="0E847242" w14:textId="4C68D0B0" w:rsidR="00D64A95" w:rsidRPr="00842260" w:rsidRDefault="00D64A95" w:rsidP="00221BE0">
            <w:pPr>
              <w:pStyle w:val="TableText0"/>
              <w:jc w:val="center"/>
            </w:pPr>
            <w:r w:rsidRPr="00842260">
              <w:t xml:space="preserve">ET: </w:t>
            </w:r>
            <w:r w:rsidR="007012DA" w:rsidRPr="00221FDB">
              <w:rPr>
                <w:rFonts w:hint="eastAsia"/>
                <w:color w:val="000000"/>
                <w:w w:val="15"/>
                <w:shd w:val="solid" w:color="000000" w:fill="000000"/>
                <w:fitText w:val="20" w:id="-1500862453"/>
                <w14:textFill>
                  <w14:solidFill>
                    <w14:srgbClr w14:val="000000">
                      <w14:alpha w14:val="100000"/>
                    </w14:srgbClr>
                  </w14:solidFill>
                </w14:textFill>
              </w:rPr>
              <w:t xml:space="preserve">　</w:t>
            </w:r>
            <w:r w:rsidR="007012DA" w:rsidRPr="00221FDB">
              <w:rPr>
                <w:color w:val="000000"/>
                <w:w w:val="15"/>
                <w:shd w:val="solid" w:color="000000" w:fill="000000"/>
                <w:fitText w:val="20" w:id="-1500862453"/>
                <w14:textFill>
                  <w14:solidFill>
                    <w14:srgbClr w14:val="000000">
                      <w14:alpha w14:val="100000"/>
                    </w14:srgbClr>
                  </w14:solidFill>
                </w14:textFill>
              </w:rPr>
              <w:t>|</w:t>
            </w:r>
            <w:r w:rsidR="007012DA" w:rsidRPr="00221FDB">
              <w:rPr>
                <w:rFonts w:hint="eastAsia"/>
                <w:color w:val="000000"/>
                <w:spacing w:val="-45"/>
                <w:w w:val="15"/>
                <w:shd w:val="solid" w:color="000000" w:fill="000000"/>
                <w:fitText w:val="20" w:id="-1500862453"/>
                <w14:textFill>
                  <w14:solidFill>
                    <w14:srgbClr w14:val="000000">
                      <w14:alpha w14:val="100000"/>
                    </w14:srgbClr>
                  </w14:solidFill>
                </w14:textFill>
              </w:rPr>
              <w:t xml:space="preserve">　</w:t>
            </w:r>
          </w:p>
          <w:p w14:paraId="789D216E" w14:textId="1B7B9B18" w:rsidR="00494207" w:rsidRPr="00842260" w:rsidRDefault="00D64A95" w:rsidP="00221BE0">
            <w:pPr>
              <w:pStyle w:val="TableText0"/>
              <w:jc w:val="center"/>
            </w:pPr>
            <w:r w:rsidRPr="00842260">
              <w:t xml:space="preserve">ABE+ET: </w:t>
            </w:r>
            <w:r w:rsidR="007012DA" w:rsidRPr="007012DA">
              <w:rPr>
                <w:color w:val="000000"/>
                <w:spacing w:val="51"/>
                <w:shd w:val="solid" w:color="000000" w:fill="000000"/>
                <w:fitText w:val="230" w:id="-1500862452"/>
                <w14:textFill>
                  <w14:solidFill>
                    <w14:srgbClr w14:val="000000">
                      <w14:alpha w14:val="100000"/>
                    </w14:srgbClr>
                  </w14:solidFill>
                </w14:textFill>
              </w:rPr>
              <w:t>||</w:t>
            </w:r>
            <w:r w:rsidR="007012DA" w:rsidRPr="007012DA">
              <w:rPr>
                <w:color w:val="000000"/>
                <w:spacing w:val="1"/>
                <w:shd w:val="solid" w:color="000000" w:fill="000000"/>
                <w:fitText w:val="230" w:id="-1500862452"/>
                <w14:textFill>
                  <w14:solidFill>
                    <w14:srgbClr w14:val="000000">
                      <w14:alpha w14:val="100000"/>
                    </w14:srgbClr>
                  </w14:solidFill>
                </w14:textFill>
              </w:rPr>
              <w:t>|</w:t>
            </w:r>
          </w:p>
        </w:tc>
        <w:tc>
          <w:tcPr>
            <w:tcW w:w="786" w:type="pct"/>
            <w:shd w:val="clear" w:color="auto" w:fill="auto"/>
            <w:vAlign w:val="center"/>
          </w:tcPr>
          <w:p w14:paraId="2592B116" w14:textId="171888CF" w:rsidR="00494207" w:rsidRPr="00842260" w:rsidRDefault="00D64A95" w:rsidP="00221BE0">
            <w:pPr>
              <w:pStyle w:val="TableText0"/>
              <w:jc w:val="center"/>
            </w:pPr>
            <w:r w:rsidRPr="00842260">
              <w:t xml:space="preserve">ABE: </w:t>
            </w:r>
            <w:r w:rsidR="007012DA" w:rsidRPr="007012DA">
              <w:rPr>
                <w:rFonts w:hint="eastAsia"/>
                <w:color w:val="000000"/>
                <w:w w:val="18"/>
                <w:shd w:val="solid" w:color="000000" w:fill="000000"/>
                <w:fitText w:val="80" w:id="-1500862451"/>
                <w14:textFill>
                  <w14:solidFill>
                    <w14:srgbClr w14:val="000000">
                      <w14:alpha w14:val="100000"/>
                    </w14:srgbClr>
                  </w14:solidFill>
                </w14:textFill>
              </w:rPr>
              <w:t xml:space="preserve">　</w:t>
            </w:r>
            <w:r w:rsidR="007012DA" w:rsidRPr="007012DA">
              <w:rPr>
                <w:color w:val="000000"/>
                <w:w w:val="18"/>
                <w:shd w:val="solid" w:color="000000" w:fill="000000"/>
                <w:fitText w:val="80" w:id="-1500862451"/>
                <w14:textFill>
                  <w14:solidFill>
                    <w14:srgbClr w14:val="000000">
                      <w14:alpha w14:val="100000"/>
                    </w14:srgbClr>
                  </w14:solidFill>
                </w14:textFill>
              </w:rPr>
              <w:t>|</w:t>
            </w:r>
            <w:r w:rsidR="007012DA" w:rsidRPr="007012DA">
              <w:rPr>
                <w:rFonts w:hint="eastAsia"/>
                <w:color w:val="000000"/>
                <w:w w:val="18"/>
                <w:shd w:val="solid" w:color="000000" w:fill="000000"/>
                <w:fitText w:val="80" w:id="-1500862451"/>
                <w14:textFill>
                  <w14:solidFill>
                    <w14:srgbClr w14:val="000000">
                      <w14:alpha w14:val="100000"/>
                    </w14:srgbClr>
                  </w14:solidFill>
                </w14:textFill>
              </w:rPr>
              <w:t xml:space="preserve">　</w:t>
            </w:r>
          </w:p>
          <w:p w14:paraId="53B36202" w14:textId="0C03B586" w:rsidR="00D64A95" w:rsidRPr="00842260" w:rsidRDefault="00D64A95" w:rsidP="00221BE0">
            <w:pPr>
              <w:pStyle w:val="TableText0"/>
              <w:jc w:val="center"/>
            </w:pPr>
            <w:r w:rsidRPr="00842260">
              <w:t>ET: NE</w:t>
            </w:r>
          </w:p>
          <w:p w14:paraId="3F186E99" w14:textId="66F9FC2F" w:rsidR="00D64A95" w:rsidRPr="00842260" w:rsidRDefault="00D64A95" w:rsidP="00221BE0">
            <w:pPr>
              <w:pStyle w:val="TableText0"/>
              <w:jc w:val="center"/>
            </w:pPr>
            <w:r w:rsidRPr="00842260">
              <w:t>ABE+ET: NE</w:t>
            </w:r>
          </w:p>
        </w:tc>
        <w:tc>
          <w:tcPr>
            <w:tcW w:w="593" w:type="pct"/>
            <w:shd w:val="solid" w:color="000000" w:fill="000000"/>
            <w:vAlign w:val="center"/>
          </w:tcPr>
          <w:p w14:paraId="2757C451" w14:textId="278A2A34" w:rsidR="00494207" w:rsidRPr="007012DA" w:rsidRDefault="007012DA" w:rsidP="00221BE0">
            <w:pPr>
              <w:pStyle w:val="TableText0"/>
              <w:jc w:val="center"/>
            </w:pPr>
            <w:r w:rsidRPr="007012DA">
              <w:rPr>
                <w:rFonts w:hint="eastAsia"/>
                <w:color w:val="000000"/>
                <w:w w:val="15"/>
                <w:fitText w:val="40" w:id="-1500862450"/>
                <w14:textFill>
                  <w14:solidFill>
                    <w14:srgbClr w14:val="000000">
                      <w14:alpha w14:val="100000"/>
                    </w14:srgbClr>
                  </w14:solidFill>
                </w14:textFill>
              </w:rPr>
              <w:t xml:space="preserve">　</w:t>
            </w:r>
            <w:r w:rsidRPr="007012DA">
              <w:rPr>
                <w:color w:val="000000"/>
                <w:w w:val="15"/>
                <w:fitText w:val="40" w:id="-1500862450"/>
                <w14:textFill>
                  <w14:solidFill>
                    <w14:srgbClr w14:val="000000">
                      <w14:alpha w14:val="100000"/>
                    </w14:srgbClr>
                  </w14:solidFill>
                </w14:textFill>
              </w:rPr>
              <w:t>|</w:t>
            </w:r>
            <w:r w:rsidRPr="007012DA">
              <w:rPr>
                <w:rFonts w:hint="eastAsia"/>
                <w:color w:val="000000"/>
                <w:spacing w:val="-25"/>
                <w:w w:val="15"/>
                <w:fitText w:val="40" w:id="-1500862450"/>
                <w14:textFill>
                  <w14:solidFill>
                    <w14:srgbClr w14:val="000000">
                      <w14:alpha w14:val="100000"/>
                    </w14:srgbClr>
                  </w14:solidFill>
                </w14:textFill>
              </w:rPr>
              <w:t xml:space="preserve">　</w:t>
            </w:r>
          </w:p>
        </w:tc>
        <w:tc>
          <w:tcPr>
            <w:tcW w:w="593" w:type="pct"/>
            <w:shd w:val="solid" w:color="000000" w:fill="000000"/>
            <w:vAlign w:val="center"/>
          </w:tcPr>
          <w:p w14:paraId="6D131E01" w14:textId="27AE81E4" w:rsidR="00494207" w:rsidRPr="007012DA" w:rsidRDefault="007012DA" w:rsidP="00221BE0">
            <w:pPr>
              <w:pStyle w:val="TableText0"/>
              <w:jc w:val="center"/>
            </w:pPr>
            <w:r w:rsidRPr="007012DA">
              <w:rPr>
                <w:rFonts w:hint="eastAsia"/>
                <w:color w:val="000000"/>
                <w:w w:val="15"/>
                <w:fitText w:val="40" w:id="-1500862449"/>
                <w14:textFill>
                  <w14:solidFill>
                    <w14:srgbClr w14:val="000000">
                      <w14:alpha w14:val="100000"/>
                    </w14:srgbClr>
                  </w14:solidFill>
                </w14:textFill>
              </w:rPr>
              <w:t xml:space="preserve">　</w:t>
            </w:r>
            <w:r w:rsidRPr="007012DA">
              <w:rPr>
                <w:color w:val="000000"/>
                <w:w w:val="15"/>
                <w:fitText w:val="40" w:id="-1500862449"/>
                <w14:textFill>
                  <w14:solidFill>
                    <w14:srgbClr w14:val="000000">
                      <w14:alpha w14:val="100000"/>
                    </w14:srgbClr>
                  </w14:solidFill>
                </w14:textFill>
              </w:rPr>
              <w:t>|</w:t>
            </w:r>
            <w:r w:rsidRPr="007012DA">
              <w:rPr>
                <w:rFonts w:hint="eastAsia"/>
                <w:color w:val="000000"/>
                <w:spacing w:val="-25"/>
                <w:w w:val="15"/>
                <w:fitText w:val="40" w:id="-1500862449"/>
                <w14:textFill>
                  <w14:solidFill>
                    <w14:srgbClr w14:val="000000">
                      <w14:alpha w14:val="100000"/>
                    </w14:srgbClr>
                  </w14:solidFill>
                </w14:textFill>
              </w:rPr>
              <w:t xml:space="preserve">　</w:t>
            </w:r>
          </w:p>
        </w:tc>
        <w:tc>
          <w:tcPr>
            <w:tcW w:w="593" w:type="pct"/>
            <w:vAlign w:val="center"/>
          </w:tcPr>
          <w:p w14:paraId="1173109D" w14:textId="17B5E15F" w:rsidR="00494207" w:rsidRPr="00842260" w:rsidRDefault="00221BE0" w:rsidP="00221BE0">
            <w:pPr>
              <w:pStyle w:val="TableText0"/>
              <w:jc w:val="center"/>
            </w:pPr>
            <w:r w:rsidRPr="00842260">
              <w:t>NE</w:t>
            </w:r>
          </w:p>
        </w:tc>
      </w:tr>
    </w:tbl>
    <w:p w14:paraId="717CADAF" w14:textId="6207C285" w:rsidR="00494207" w:rsidRPr="00842260" w:rsidRDefault="00494207" w:rsidP="00C94053">
      <w:pPr>
        <w:pStyle w:val="TableFigureFooter"/>
      </w:pPr>
      <w:r w:rsidRPr="00842260">
        <w:t xml:space="preserve">Source: </w:t>
      </w:r>
      <w:r w:rsidR="00221BE0" w:rsidRPr="00842260">
        <w:t xml:space="preserve">Constructed during the evaluation from Section 3.8.1, p221 of the submission and Table JPCF.4.3, p26 of the </w:t>
      </w:r>
      <w:proofErr w:type="spellStart"/>
      <w:r w:rsidR="00221BE0" w:rsidRPr="00842260">
        <w:t>monarchE</w:t>
      </w:r>
      <w:proofErr w:type="spellEnd"/>
      <w:r w:rsidR="00221BE0" w:rsidRPr="00842260">
        <w:t xml:space="preserve"> April 2021 CSR.</w:t>
      </w:r>
    </w:p>
    <w:p w14:paraId="5EBE5928" w14:textId="4A7460C7" w:rsidR="00221BE0" w:rsidRPr="00842260" w:rsidRDefault="00221BE0" w:rsidP="00C94053">
      <w:pPr>
        <w:pStyle w:val="TableFigureFooter"/>
      </w:pPr>
      <w:r w:rsidRPr="00842260">
        <w:t xml:space="preserve">ABE = </w:t>
      </w:r>
      <w:proofErr w:type="spellStart"/>
      <w:r w:rsidRPr="00842260">
        <w:t>abemaciclib</w:t>
      </w:r>
      <w:proofErr w:type="spellEnd"/>
      <w:r w:rsidRPr="00842260">
        <w:t>; ET = endocrine therapy; NE = not estimated.</w:t>
      </w:r>
    </w:p>
    <w:p w14:paraId="60519D1C" w14:textId="329051D8" w:rsidR="00221BE0" w:rsidRPr="00842260" w:rsidRDefault="00221BE0" w:rsidP="00C94053">
      <w:pPr>
        <w:pStyle w:val="TableFigureFooter"/>
      </w:pPr>
      <w:r w:rsidRPr="00842260">
        <w:rPr>
          <w:vertAlign w:val="superscript"/>
        </w:rPr>
        <w:t>a</w:t>
      </w:r>
      <w:r w:rsidRPr="00842260">
        <w:t xml:space="preserve"> Mean duration of treatment was 82.32 weeks at the April 2021 data cut.</w:t>
      </w:r>
    </w:p>
    <w:p w14:paraId="73C7D3C1" w14:textId="01273F5A" w:rsidR="00221BE0" w:rsidRPr="00842260" w:rsidRDefault="00221BE0" w:rsidP="00C94053">
      <w:pPr>
        <w:pStyle w:val="TableFigureFooter"/>
      </w:pPr>
      <w:r w:rsidRPr="00842260">
        <w:rPr>
          <w:vertAlign w:val="superscript"/>
        </w:rPr>
        <w:t>b</w:t>
      </w:r>
      <w:r w:rsidRPr="00842260">
        <w:t xml:space="preserve"> Mean duration of treatment was 90.56 weeks at the April 2021 data cut.</w:t>
      </w:r>
    </w:p>
    <w:p w14:paraId="23A1F6C0" w14:textId="380E104B" w:rsidR="00221BE0" w:rsidRPr="00842260" w:rsidRDefault="00221BE0" w:rsidP="00C94053">
      <w:pPr>
        <w:pStyle w:val="TableFigureFooter"/>
      </w:pPr>
      <w:r w:rsidRPr="00842260">
        <w:rPr>
          <w:vertAlign w:val="superscript"/>
        </w:rPr>
        <w:t>c</w:t>
      </w:r>
      <w:r w:rsidRPr="00842260">
        <w:t xml:space="preserve"> Mean duration of treatment was 92.68 weeks at the April 2021 data cut.</w:t>
      </w:r>
    </w:p>
    <w:p w14:paraId="268768EF" w14:textId="3626F292" w:rsidR="00B60939" w:rsidRPr="00842260" w:rsidRDefault="00B60939" w:rsidP="002B05A1">
      <w:pPr>
        <w:pStyle w:val="4-SubsectionHeading"/>
      </w:pPr>
      <w:bookmarkStart w:id="62" w:name="_Toc22897647"/>
      <w:bookmarkStart w:id="63" w:name="_Toc93502909"/>
      <w:r w:rsidRPr="00842260">
        <w:t>Estimated PBS usage &amp; financial implications</w:t>
      </w:r>
      <w:bookmarkEnd w:id="62"/>
      <w:bookmarkEnd w:id="63"/>
    </w:p>
    <w:p w14:paraId="107075A5" w14:textId="09B3EE42" w:rsidR="006542F6" w:rsidRPr="00842260" w:rsidRDefault="006542F6" w:rsidP="006542F6">
      <w:pPr>
        <w:pStyle w:val="3-BodyText"/>
      </w:pPr>
      <w:bookmarkStart w:id="64" w:name="_Toc22897648"/>
      <w:bookmarkStart w:id="65" w:name="_Toc22898860"/>
      <w:bookmarkStart w:id="66" w:name="_Toc93502910"/>
      <w:bookmarkStart w:id="67" w:name="_Toc22897649"/>
      <w:bookmarkStart w:id="68" w:name="_Toc22898861"/>
      <w:bookmarkStart w:id="69" w:name="_Toc22897650"/>
      <w:r w:rsidRPr="00842260">
        <w:t xml:space="preserve">This submission </w:t>
      </w:r>
      <w:r w:rsidR="00A41B74" w:rsidRPr="00842260">
        <w:t>was</w:t>
      </w:r>
      <w:r w:rsidRPr="00842260">
        <w:t xml:space="preserve"> considered by DUSC. </w:t>
      </w:r>
    </w:p>
    <w:p w14:paraId="455DE1E7" w14:textId="72C189FB" w:rsidR="006542F6" w:rsidRPr="00842260" w:rsidRDefault="006542F6" w:rsidP="006542F6">
      <w:pPr>
        <w:pStyle w:val="3-BodyText"/>
        <w:snapToGrid w:val="0"/>
      </w:pPr>
      <w:r w:rsidRPr="00842260">
        <w:t xml:space="preserve">The submission took an epidemiological approach to estimate the extent of use and the financial implications associated with the requested PBS listing of </w:t>
      </w:r>
      <w:proofErr w:type="spellStart"/>
      <w:r w:rsidRPr="00842260">
        <w:t>abemaciclib</w:t>
      </w:r>
      <w:proofErr w:type="spellEnd"/>
      <w:r w:rsidRPr="00842260">
        <w:t xml:space="preserve">. The key inputs in the financial analysis and their data sources are summarised in </w:t>
      </w:r>
      <w:r w:rsidRPr="00842260">
        <w:fldChar w:fldCharType="begin"/>
      </w:r>
      <w:r w:rsidRPr="00842260">
        <w:instrText xml:space="preserve"> REF _Ref93408492 \h  \* MERGEFORMAT </w:instrText>
      </w:r>
      <w:r w:rsidRPr="00842260">
        <w:fldChar w:fldCharType="separate"/>
      </w:r>
      <w:r w:rsidR="00053218" w:rsidRPr="00842260">
        <w:t xml:space="preserve">Table </w:t>
      </w:r>
      <w:r w:rsidR="00053218">
        <w:t>16</w:t>
      </w:r>
      <w:r w:rsidRPr="00842260">
        <w:fldChar w:fldCharType="end"/>
      </w:r>
      <w:r w:rsidRPr="00842260">
        <w:t>.</w:t>
      </w:r>
    </w:p>
    <w:p w14:paraId="3DB04624" w14:textId="6B750B3A" w:rsidR="006542F6" w:rsidRPr="00842260" w:rsidRDefault="006542F6" w:rsidP="006542F6">
      <w:pPr>
        <w:pStyle w:val="TableFigureHeading"/>
        <w:rPr>
          <w:rStyle w:val="CommentReference"/>
          <w:b/>
          <w:bCs w:val="0"/>
        </w:rPr>
      </w:pPr>
      <w:bookmarkStart w:id="70" w:name="_Ref93408492"/>
      <w:r w:rsidRPr="00842260">
        <w:lastRenderedPageBreak/>
        <w:t xml:space="preserve">Table </w:t>
      </w:r>
      <w:fldSimple w:instr=" SEQ Table \* ARABIC ">
        <w:r w:rsidR="00053218">
          <w:rPr>
            <w:noProof/>
          </w:rPr>
          <w:t>16</w:t>
        </w:r>
      </w:fldSimple>
      <w:bookmarkEnd w:id="70"/>
      <w:r w:rsidRPr="00842260">
        <w:rPr>
          <w:rStyle w:val="CommentReference"/>
        </w:rPr>
        <w:t>:</w:t>
      </w:r>
      <w:r w:rsidRPr="00842260">
        <w:rPr>
          <w:rStyle w:val="CommentReference"/>
          <w:b/>
          <w:bCs w:val="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4025"/>
        <w:gridCol w:w="3053"/>
      </w:tblGrid>
      <w:tr w:rsidR="006542F6" w:rsidRPr="00842260" w14:paraId="0D6C9CB1" w14:textId="77777777" w:rsidTr="006542F6">
        <w:trPr>
          <w:tblHeader/>
        </w:trPr>
        <w:tc>
          <w:tcPr>
            <w:tcW w:w="1075" w:type="pct"/>
            <w:tcBorders>
              <w:top w:val="single" w:sz="4" w:space="0" w:color="auto"/>
              <w:left w:val="single" w:sz="4" w:space="0" w:color="auto"/>
              <w:bottom w:val="single" w:sz="4" w:space="0" w:color="auto"/>
              <w:right w:val="single" w:sz="4" w:space="0" w:color="auto"/>
            </w:tcBorders>
            <w:vAlign w:val="center"/>
            <w:hideMark/>
          </w:tcPr>
          <w:p w14:paraId="2E7FAA25" w14:textId="77777777" w:rsidR="006542F6" w:rsidRPr="00842260" w:rsidRDefault="006542F6">
            <w:pPr>
              <w:pStyle w:val="In-tableHeading"/>
              <w:rPr>
                <w:lang w:val="en-AU"/>
              </w:rPr>
            </w:pPr>
            <w:r w:rsidRPr="00842260">
              <w:rPr>
                <w:lang w:val="en-AU"/>
              </w:rPr>
              <w:t>Parameter</w:t>
            </w:r>
          </w:p>
        </w:tc>
        <w:tc>
          <w:tcPr>
            <w:tcW w:w="2232" w:type="pct"/>
            <w:tcBorders>
              <w:top w:val="single" w:sz="4" w:space="0" w:color="auto"/>
              <w:left w:val="single" w:sz="4" w:space="0" w:color="auto"/>
              <w:bottom w:val="single" w:sz="4" w:space="0" w:color="auto"/>
              <w:right w:val="single" w:sz="4" w:space="0" w:color="auto"/>
            </w:tcBorders>
            <w:vAlign w:val="center"/>
            <w:hideMark/>
          </w:tcPr>
          <w:p w14:paraId="72AF29D3" w14:textId="77777777" w:rsidR="006542F6" w:rsidRPr="00842260" w:rsidRDefault="006542F6">
            <w:pPr>
              <w:pStyle w:val="In-tableHeading"/>
              <w:jc w:val="center"/>
              <w:rPr>
                <w:lang w:val="en-AU"/>
              </w:rPr>
            </w:pPr>
            <w:r w:rsidRPr="00842260">
              <w:rPr>
                <w:lang w:val="en-AU"/>
              </w:rPr>
              <w:t>Value applied and source</w:t>
            </w:r>
          </w:p>
        </w:tc>
        <w:tc>
          <w:tcPr>
            <w:tcW w:w="1693" w:type="pct"/>
            <w:tcBorders>
              <w:top w:val="single" w:sz="4" w:space="0" w:color="auto"/>
              <w:left w:val="single" w:sz="4" w:space="0" w:color="auto"/>
              <w:bottom w:val="single" w:sz="4" w:space="0" w:color="auto"/>
              <w:right w:val="single" w:sz="4" w:space="0" w:color="auto"/>
            </w:tcBorders>
            <w:vAlign w:val="center"/>
            <w:hideMark/>
          </w:tcPr>
          <w:p w14:paraId="44E4826E" w14:textId="7A3FC641" w:rsidR="006542F6" w:rsidRPr="00842260" w:rsidRDefault="00871B7A" w:rsidP="00871B7A">
            <w:pPr>
              <w:pStyle w:val="In-tableHeading"/>
              <w:jc w:val="center"/>
              <w:rPr>
                <w:lang w:val="en-AU"/>
              </w:rPr>
            </w:pPr>
            <w:r w:rsidRPr="00842260">
              <w:rPr>
                <w:lang w:val="en-AU"/>
              </w:rPr>
              <w:t>Evaluation c</w:t>
            </w:r>
            <w:r w:rsidR="006542F6" w:rsidRPr="00842260">
              <w:rPr>
                <w:lang w:val="en-AU"/>
              </w:rPr>
              <w:t>omment</w:t>
            </w:r>
          </w:p>
        </w:tc>
      </w:tr>
      <w:tr w:rsidR="006542F6" w:rsidRPr="00842260" w14:paraId="738295B2"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1AC3E6E7" w14:textId="77777777" w:rsidR="006542F6" w:rsidRPr="00842260" w:rsidRDefault="006542F6">
            <w:pPr>
              <w:pStyle w:val="TableText0"/>
            </w:pPr>
            <w:r w:rsidRPr="00842260">
              <w:t>Incidence of breast cancer</w:t>
            </w:r>
          </w:p>
        </w:tc>
        <w:tc>
          <w:tcPr>
            <w:tcW w:w="2232" w:type="pct"/>
            <w:tcBorders>
              <w:top w:val="single" w:sz="4" w:space="0" w:color="auto"/>
              <w:left w:val="single" w:sz="4" w:space="0" w:color="auto"/>
              <w:bottom w:val="single" w:sz="4" w:space="0" w:color="auto"/>
              <w:right w:val="single" w:sz="4" w:space="0" w:color="auto"/>
            </w:tcBorders>
            <w:vAlign w:val="center"/>
            <w:hideMark/>
          </w:tcPr>
          <w:p w14:paraId="687DF306" w14:textId="77777777" w:rsidR="006542F6" w:rsidRPr="00842260" w:rsidRDefault="006542F6">
            <w:pPr>
              <w:pStyle w:val="TableText0"/>
            </w:pPr>
            <w:r w:rsidRPr="00842260">
              <w:t>21,159 in Year 1 of listing, increasing to 24,955 in Year 6</w:t>
            </w:r>
          </w:p>
          <w:p w14:paraId="42E1157B" w14:textId="77777777" w:rsidR="006542F6" w:rsidRPr="00842260" w:rsidRDefault="006542F6">
            <w:pPr>
              <w:pStyle w:val="TableText0"/>
            </w:pPr>
            <w:proofErr w:type="spellStart"/>
            <w:r w:rsidRPr="00842260">
              <w:t>BreastScreen</w:t>
            </w:r>
            <w:proofErr w:type="spellEnd"/>
            <w:r w:rsidRPr="00842260">
              <w:t xml:space="preserve"> Australia monitoring report (AIHW 2020), assuming a linear projection</w:t>
            </w:r>
          </w:p>
        </w:tc>
        <w:tc>
          <w:tcPr>
            <w:tcW w:w="1693" w:type="pct"/>
            <w:tcBorders>
              <w:top w:val="single" w:sz="4" w:space="0" w:color="auto"/>
              <w:left w:val="single" w:sz="4" w:space="0" w:color="auto"/>
              <w:bottom w:val="single" w:sz="4" w:space="0" w:color="auto"/>
              <w:right w:val="single" w:sz="4" w:space="0" w:color="auto"/>
            </w:tcBorders>
            <w:vAlign w:val="center"/>
            <w:hideMark/>
          </w:tcPr>
          <w:p w14:paraId="5001E387" w14:textId="77777777" w:rsidR="006542F6" w:rsidRPr="00842260" w:rsidRDefault="006542F6">
            <w:pPr>
              <w:pStyle w:val="TableText0"/>
            </w:pPr>
            <w:r w:rsidRPr="00842260">
              <w:t>Appropriate data source</w:t>
            </w:r>
          </w:p>
        </w:tc>
      </w:tr>
      <w:tr w:rsidR="006542F6" w:rsidRPr="00842260" w14:paraId="1F746412"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73B5BDD4" w14:textId="77777777" w:rsidR="006542F6" w:rsidRPr="00842260" w:rsidRDefault="006542F6">
            <w:pPr>
              <w:pStyle w:val="TableText0"/>
            </w:pPr>
            <w:r w:rsidRPr="00842260">
              <w:t>Excluding inflammatory breast cancer</w:t>
            </w:r>
          </w:p>
        </w:tc>
        <w:tc>
          <w:tcPr>
            <w:tcW w:w="2232" w:type="pct"/>
            <w:tcBorders>
              <w:top w:val="single" w:sz="4" w:space="0" w:color="auto"/>
              <w:left w:val="single" w:sz="4" w:space="0" w:color="auto"/>
              <w:bottom w:val="single" w:sz="4" w:space="0" w:color="auto"/>
              <w:right w:val="single" w:sz="4" w:space="0" w:color="auto"/>
            </w:tcBorders>
            <w:vAlign w:val="center"/>
            <w:hideMark/>
          </w:tcPr>
          <w:p w14:paraId="1E406B13" w14:textId="0AA03D2B" w:rsidR="006542F6" w:rsidRPr="00842260" w:rsidRDefault="006542F6">
            <w:pPr>
              <w:pStyle w:val="TableText0"/>
            </w:pPr>
            <w:r w:rsidRPr="00842260">
              <w:t>98% (</w:t>
            </w:r>
            <w:proofErr w:type="gramStart"/>
            <w:r w:rsidRPr="00842260">
              <w:t>i.e.</w:t>
            </w:r>
            <w:proofErr w:type="gramEnd"/>
            <w:r w:rsidRPr="00842260">
              <w:t xml:space="preserve"> 2% inflammatory breast cancer)</w:t>
            </w:r>
          </w:p>
          <w:p w14:paraId="28587186" w14:textId="77777777" w:rsidR="006542F6" w:rsidRPr="00842260" w:rsidRDefault="006542F6">
            <w:pPr>
              <w:pStyle w:val="TableText0"/>
            </w:pPr>
            <w:r w:rsidRPr="00842260">
              <w:t>National Breast Cancer Centre 2007</w:t>
            </w:r>
          </w:p>
        </w:tc>
        <w:tc>
          <w:tcPr>
            <w:tcW w:w="1693" w:type="pct"/>
            <w:tcBorders>
              <w:top w:val="single" w:sz="4" w:space="0" w:color="auto"/>
              <w:left w:val="single" w:sz="4" w:space="0" w:color="auto"/>
              <w:bottom w:val="single" w:sz="4" w:space="0" w:color="auto"/>
              <w:right w:val="single" w:sz="4" w:space="0" w:color="auto"/>
            </w:tcBorders>
            <w:vAlign w:val="center"/>
            <w:hideMark/>
          </w:tcPr>
          <w:p w14:paraId="6407EF4E" w14:textId="77777777" w:rsidR="006542F6" w:rsidRPr="00842260" w:rsidRDefault="006542F6">
            <w:pPr>
              <w:pStyle w:val="TableText0"/>
            </w:pPr>
            <w:r w:rsidRPr="00842260">
              <w:t xml:space="preserve">The proposed PBS listing did not exclude inflammatory breast cancer. This, however, would have a negligible impact on the net PBS/RPBS costs. </w:t>
            </w:r>
          </w:p>
        </w:tc>
      </w:tr>
      <w:tr w:rsidR="006542F6" w:rsidRPr="00842260" w14:paraId="36D94F22"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4F2FCD1F" w14:textId="77777777" w:rsidR="006542F6" w:rsidRPr="00842260" w:rsidRDefault="006542F6">
            <w:pPr>
              <w:pStyle w:val="TableText0"/>
            </w:pPr>
            <w:r w:rsidRPr="00842260">
              <w:t>% incident breast cancer cases of Stage 1-3</w:t>
            </w:r>
          </w:p>
        </w:tc>
        <w:tc>
          <w:tcPr>
            <w:tcW w:w="2232" w:type="pct"/>
            <w:tcBorders>
              <w:top w:val="single" w:sz="4" w:space="0" w:color="auto"/>
              <w:left w:val="single" w:sz="4" w:space="0" w:color="auto"/>
              <w:bottom w:val="single" w:sz="4" w:space="0" w:color="auto"/>
              <w:right w:val="single" w:sz="4" w:space="0" w:color="auto"/>
            </w:tcBorders>
            <w:vAlign w:val="center"/>
            <w:hideMark/>
          </w:tcPr>
          <w:p w14:paraId="77DCFC25" w14:textId="77777777" w:rsidR="006542F6" w:rsidRPr="00842260" w:rsidRDefault="006542F6">
            <w:pPr>
              <w:pStyle w:val="TableText0"/>
            </w:pPr>
            <w:r w:rsidRPr="00842260">
              <w:t>95.3%</w:t>
            </w:r>
          </w:p>
          <w:p w14:paraId="73C20821" w14:textId="77777777" w:rsidR="006542F6" w:rsidRPr="00842260" w:rsidRDefault="006542F6">
            <w:pPr>
              <w:pStyle w:val="TableText0"/>
            </w:pPr>
            <w:r w:rsidRPr="00842260">
              <w:t>NCCI data on distribution of cancer stage (2018)</w:t>
            </w:r>
          </w:p>
        </w:tc>
        <w:tc>
          <w:tcPr>
            <w:tcW w:w="1693" w:type="pct"/>
            <w:tcBorders>
              <w:top w:val="single" w:sz="4" w:space="0" w:color="auto"/>
              <w:left w:val="single" w:sz="4" w:space="0" w:color="auto"/>
              <w:bottom w:val="single" w:sz="4" w:space="0" w:color="auto"/>
              <w:right w:val="single" w:sz="4" w:space="0" w:color="auto"/>
            </w:tcBorders>
            <w:vAlign w:val="center"/>
            <w:hideMark/>
          </w:tcPr>
          <w:p w14:paraId="75BEE161" w14:textId="77777777" w:rsidR="006542F6" w:rsidRPr="00842260" w:rsidRDefault="006542F6">
            <w:pPr>
              <w:pStyle w:val="TableText0"/>
            </w:pPr>
            <w:r w:rsidRPr="00842260">
              <w:t>Appropriate data source</w:t>
            </w:r>
          </w:p>
        </w:tc>
      </w:tr>
      <w:tr w:rsidR="006542F6" w:rsidRPr="00842260" w14:paraId="1B025023"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49BD9FCC" w14:textId="77777777" w:rsidR="006542F6" w:rsidRPr="00842260" w:rsidRDefault="006542F6">
            <w:pPr>
              <w:pStyle w:val="TableText0"/>
            </w:pPr>
            <w:r w:rsidRPr="00842260">
              <w:t>% HR+/HER2-</w:t>
            </w:r>
          </w:p>
        </w:tc>
        <w:tc>
          <w:tcPr>
            <w:tcW w:w="2232" w:type="pct"/>
            <w:tcBorders>
              <w:top w:val="single" w:sz="4" w:space="0" w:color="auto"/>
              <w:left w:val="single" w:sz="4" w:space="0" w:color="auto"/>
              <w:bottom w:val="single" w:sz="4" w:space="0" w:color="auto"/>
              <w:right w:val="single" w:sz="4" w:space="0" w:color="auto"/>
            </w:tcBorders>
            <w:vAlign w:val="center"/>
            <w:hideMark/>
          </w:tcPr>
          <w:p w14:paraId="0AA823CA" w14:textId="77777777" w:rsidR="006542F6" w:rsidRPr="00842260" w:rsidRDefault="006542F6">
            <w:pPr>
              <w:pStyle w:val="TableText0"/>
            </w:pPr>
            <w:r w:rsidRPr="00842260">
              <w:t>70%</w:t>
            </w:r>
          </w:p>
          <w:p w14:paraId="6F71A537" w14:textId="77777777" w:rsidR="006542F6" w:rsidRPr="00842260" w:rsidRDefault="006542F6">
            <w:pPr>
              <w:pStyle w:val="TableText0"/>
            </w:pPr>
            <w:proofErr w:type="spellStart"/>
            <w:r w:rsidRPr="00842260">
              <w:t>Everolimus</w:t>
            </w:r>
            <w:proofErr w:type="spellEnd"/>
            <w:r w:rsidRPr="00842260">
              <w:t xml:space="preserve"> PSD, March 2013 PBAC meeting</w:t>
            </w:r>
          </w:p>
        </w:tc>
        <w:tc>
          <w:tcPr>
            <w:tcW w:w="1693" w:type="pct"/>
            <w:tcBorders>
              <w:top w:val="single" w:sz="4" w:space="0" w:color="auto"/>
              <w:left w:val="single" w:sz="4" w:space="0" w:color="auto"/>
              <w:bottom w:val="single" w:sz="4" w:space="0" w:color="auto"/>
              <w:right w:val="single" w:sz="4" w:space="0" w:color="auto"/>
            </w:tcBorders>
            <w:vAlign w:val="center"/>
            <w:hideMark/>
          </w:tcPr>
          <w:p w14:paraId="75DC2EF4" w14:textId="77777777" w:rsidR="006542F6" w:rsidRPr="00842260" w:rsidRDefault="006542F6">
            <w:pPr>
              <w:pStyle w:val="TableText0"/>
            </w:pPr>
            <w:r w:rsidRPr="00842260">
              <w:t>Reasonable estimate</w:t>
            </w:r>
          </w:p>
        </w:tc>
      </w:tr>
      <w:tr w:rsidR="006542F6" w:rsidRPr="00842260" w14:paraId="21776ABE"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42C90E2E" w14:textId="77777777" w:rsidR="006542F6" w:rsidRPr="00842260" w:rsidRDefault="006542F6">
            <w:pPr>
              <w:pStyle w:val="TableText0"/>
            </w:pPr>
            <w:r w:rsidRPr="00842260">
              <w:t>% node-positive early breast cancer</w:t>
            </w:r>
          </w:p>
        </w:tc>
        <w:tc>
          <w:tcPr>
            <w:tcW w:w="2232" w:type="pct"/>
            <w:tcBorders>
              <w:top w:val="single" w:sz="4" w:space="0" w:color="auto"/>
              <w:left w:val="single" w:sz="4" w:space="0" w:color="auto"/>
              <w:bottom w:val="single" w:sz="4" w:space="0" w:color="auto"/>
              <w:right w:val="single" w:sz="4" w:space="0" w:color="auto"/>
            </w:tcBorders>
            <w:vAlign w:val="center"/>
            <w:hideMark/>
          </w:tcPr>
          <w:p w14:paraId="3631CEC8" w14:textId="77777777" w:rsidR="006542F6" w:rsidRPr="00E70C24" w:rsidRDefault="006542F6">
            <w:pPr>
              <w:pStyle w:val="TableText0"/>
            </w:pPr>
            <w:r w:rsidRPr="00E70C24">
              <w:t xml:space="preserve">24.6% </w:t>
            </w:r>
          </w:p>
          <w:p w14:paraId="2FD6A0DB" w14:textId="77777777" w:rsidR="006542F6" w:rsidRPr="00E70C24" w:rsidRDefault="006542F6">
            <w:pPr>
              <w:pStyle w:val="TableText0"/>
            </w:pPr>
            <w:r w:rsidRPr="00E70C24">
              <w:t>US SEER Registries Research Data</w:t>
            </w:r>
          </w:p>
        </w:tc>
        <w:tc>
          <w:tcPr>
            <w:tcW w:w="1693" w:type="pct"/>
            <w:vMerge w:val="restart"/>
            <w:tcBorders>
              <w:top w:val="single" w:sz="4" w:space="0" w:color="auto"/>
              <w:left w:val="single" w:sz="4" w:space="0" w:color="auto"/>
              <w:bottom w:val="single" w:sz="4" w:space="0" w:color="auto"/>
              <w:right w:val="single" w:sz="4" w:space="0" w:color="auto"/>
            </w:tcBorders>
            <w:vAlign w:val="center"/>
            <w:hideMark/>
          </w:tcPr>
          <w:p w14:paraId="57E5AF00" w14:textId="2ED58DCB" w:rsidR="006542F6" w:rsidRPr="00E70C24" w:rsidRDefault="00E70C24">
            <w:pPr>
              <w:pStyle w:val="TableText0"/>
            </w:pPr>
            <w:r w:rsidRPr="00E70C24">
              <w:t>I</w:t>
            </w:r>
            <w:r w:rsidR="006542F6" w:rsidRPr="00E70C24">
              <w:t xml:space="preserve">nformation on the commissioned SEER analysis </w:t>
            </w:r>
            <w:proofErr w:type="gramStart"/>
            <w:r w:rsidR="006542F6" w:rsidRPr="00E70C24">
              <w:t>was  provided</w:t>
            </w:r>
            <w:proofErr w:type="gramEnd"/>
            <w:r w:rsidRPr="00E70C24">
              <w:t xml:space="preserve"> with the PSCR</w:t>
            </w:r>
            <w:r w:rsidR="006542F6" w:rsidRPr="00E70C24">
              <w:t xml:space="preserve">.  </w:t>
            </w:r>
          </w:p>
        </w:tc>
      </w:tr>
      <w:tr w:rsidR="006542F6" w:rsidRPr="00842260" w14:paraId="2112B48F"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7D46C965" w14:textId="77777777" w:rsidR="006542F6" w:rsidRPr="00842260" w:rsidRDefault="006542F6">
            <w:pPr>
              <w:pStyle w:val="TableText0"/>
            </w:pPr>
            <w:r w:rsidRPr="00842260">
              <w:t>% meeting high risk criteria</w:t>
            </w:r>
          </w:p>
        </w:tc>
        <w:tc>
          <w:tcPr>
            <w:tcW w:w="2232" w:type="pct"/>
            <w:tcBorders>
              <w:top w:val="single" w:sz="4" w:space="0" w:color="auto"/>
              <w:left w:val="single" w:sz="4" w:space="0" w:color="auto"/>
              <w:bottom w:val="single" w:sz="4" w:space="0" w:color="auto"/>
              <w:right w:val="single" w:sz="4" w:space="0" w:color="auto"/>
            </w:tcBorders>
            <w:vAlign w:val="center"/>
            <w:hideMark/>
          </w:tcPr>
          <w:p w14:paraId="1FA927BF" w14:textId="77777777" w:rsidR="006542F6" w:rsidRPr="00E70C24" w:rsidRDefault="006542F6">
            <w:pPr>
              <w:pStyle w:val="TableText0"/>
            </w:pPr>
            <w:r w:rsidRPr="00E70C24">
              <w:t xml:space="preserve">48.8% </w:t>
            </w:r>
          </w:p>
          <w:p w14:paraId="37668E33" w14:textId="77777777" w:rsidR="006542F6" w:rsidRPr="00E70C24" w:rsidRDefault="006542F6">
            <w:pPr>
              <w:pStyle w:val="TableText0"/>
            </w:pPr>
            <w:r w:rsidRPr="00E70C24">
              <w:t>US SEER Registries Research Data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9FCC3" w14:textId="77777777" w:rsidR="006542F6" w:rsidRPr="00E70C24" w:rsidRDefault="006542F6">
            <w:pPr>
              <w:jc w:val="left"/>
              <w:rPr>
                <w:rFonts w:ascii="Arial Narrow" w:eastAsiaTheme="majorEastAsia" w:hAnsi="Arial Narrow" w:cstheme="majorBidi"/>
                <w:bCs/>
                <w:sz w:val="20"/>
              </w:rPr>
            </w:pPr>
          </w:p>
        </w:tc>
      </w:tr>
      <w:tr w:rsidR="006542F6" w:rsidRPr="00842260" w14:paraId="4BA9CC24" w14:textId="77777777" w:rsidTr="006542F6">
        <w:trPr>
          <w:trHeight w:val="558"/>
        </w:trPr>
        <w:tc>
          <w:tcPr>
            <w:tcW w:w="1075" w:type="pct"/>
            <w:tcBorders>
              <w:top w:val="single" w:sz="4" w:space="0" w:color="auto"/>
              <w:left w:val="single" w:sz="4" w:space="0" w:color="auto"/>
              <w:bottom w:val="single" w:sz="4" w:space="0" w:color="auto"/>
              <w:right w:val="single" w:sz="4" w:space="0" w:color="auto"/>
            </w:tcBorders>
            <w:vAlign w:val="center"/>
            <w:hideMark/>
          </w:tcPr>
          <w:p w14:paraId="65A5A531" w14:textId="77777777" w:rsidR="006542F6" w:rsidRPr="00842260" w:rsidRDefault="006542F6">
            <w:pPr>
              <w:pStyle w:val="TableText0"/>
            </w:pPr>
            <w:r w:rsidRPr="00842260">
              <w:t xml:space="preserve">Uptake rate </w:t>
            </w:r>
            <w:proofErr w:type="spellStart"/>
            <w:r w:rsidRPr="00842260">
              <w:t>abemaciclib</w:t>
            </w:r>
            <w:proofErr w:type="spellEnd"/>
          </w:p>
        </w:tc>
        <w:tc>
          <w:tcPr>
            <w:tcW w:w="2232" w:type="pct"/>
            <w:tcBorders>
              <w:top w:val="single" w:sz="4" w:space="0" w:color="auto"/>
              <w:left w:val="single" w:sz="4" w:space="0" w:color="auto"/>
              <w:bottom w:val="single" w:sz="4" w:space="0" w:color="auto"/>
              <w:right w:val="single" w:sz="4" w:space="0" w:color="auto"/>
            </w:tcBorders>
            <w:vAlign w:val="center"/>
            <w:hideMark/>
          </w:tcPr>
          <w:p w14:paraId="1EBF4170" w14:textId="5926835D" w:rsidR="006542F6" w:rsidRPr="00842260" w:rsidRDefault="00363CDF">
            <w:pPr>
              <w:pStyle w:val="TableText0"/>
            </w:pPr>
            <w:r w:rsidRPr="00363CDF">
              <w:rPr>
                <w:rFonts w:hint="eastAsia"/>
                <w:color w:val="000000"/>
                <w:w w:val="20"/>
                <w:shd w:val="solid" w:color="000000" w:fill="000000"/>
                <w:fitText w:val="92" w:id="-1495652352"/>
                <w14:textFill>
                  <w14:solidFill>
                    <w14:srgbClr w14:val="000000">
                      <w14:alpha w14:val="100000"/>
                    </w14:srgbClr>
                  </w14:solidFill>
                </w14:textFill>
              </w:rPr>
              <w:t xml:space="preserve">　</w:t>
            </w:r>
            <w:r w:rsidRPr="00363CDF">
              <w:rPr>
                <w:color w:val="000000"/>
                <w:w w:val="20"/>
                <w:shd w:val="solid" w:color="000000" w:fill="000000"/>
                <w:fitText w:val="92" w:id="-1495652352"/>
                <w14:textFill>
                  <w14:solidFill>
                    <w14:srgbClr w14:val="000000">
                      <w14:alpha w14:val="100000"/>
                    </w14:srgbClr>
                  </w14:solidFill>
                </w14:textFill>
              </w:rPr>
              <w:t>|</w:t>
            </w:r>
            <w:r w:rsidRPr="00363CDF">
              <w:rPr>
                <w:rFonts w:hint="eastAsia"/>
                <w:color w:val="000000"/>
                <w:w w:val="20"/>
                <w:shd w:val="solid" w:color="000000" w:fill="000000"/>
                <w:fitText w:val="92" w:id="-1495652352"/>
                <w14:textFill>
                  <w14:solidFill>
                    <w14:srgbClr w14:val="000000">
                      <w14:alpha w14:val="100000"/>
                    </w14:srgbClr>
                  </w14:solidFill>
                </w14:textFill>
              </w:rPr>
              <w:t xml:space="preserve">　</w:t>
            </w:r>
            <w:r w:rsidR="006542F6" w:rsidRPr="00842260">
              <w:t xml:space="preserve">% in Year 1, increasing </w:t>
            </w:r>
            <w:proofErr w:type="gramStart"/>
            <w:r w:rsidR="006542F6" w:rsidRPr="00842260">
              <w:t xml:space="preserve">to </w:t>
            </w:r>
            <w:r w:rsidRPr="00363CDF">
              <w:rPr>
                <w:rFonts w:hint="eastAsia"/>
                <w:color w:val="000000"/>
                <w:w w:val="20"/>
                <w:shd w:val="solid" w:color="000000" w:fill="000000"/>
                <w:fitText w:val="92" w:id="-1495652351"/>
                <w14:textFill>
                  <w14:solidFill>
                    <w14:srgbClr w14:val="000000">
                      <w14:alpha w14:val="100000"/>
                    </w14:srgbClr>
                  </w14:solidFill>
                </w14:textFill>
              </w:rPr>
              <w:t xml:space="preserve">　</w:t>
            </w:r>
            <w:r w:rsidRPr="00363CDF">
              <w:rPr>
                <w:color w:val="000000"/>
                <w:w w:val="20"/>
                <w:shd w:val="solid" w:color="000000" w:fill="000000"/>
                <w:fitText w:val="92" w:id="-1495652351"/>
                <w14:textFill>
                  <w14:solidFill>
                    <w14:srgbClr w14:val="000000">
                      <w14:alpha w14:val="100000"/>
                    </w14:srgbClr>
                  </w14:solidFill>
                </w14:textFill>
              </w:rPr>
              <w:t>|</w:t>
            </w:r>
            <w:proofErr w:type="gramEnd"/>
            <w:r w:rsidRPr="00363CDF">
              <w:rPr>
                <w:rFonts w:hint="eastAsia"/>
                <w:color w:val="000000"/>
                <w:w w:val="20"/>
                <w:shd w:val="solid" w:color="000000" w:fill="000000"/>
                <w:fitText w:val="92" w:id="-1495652351"/>
                <w14:textFill>
                  <w14:solidFill>
                    <w14:srgbClr w14:val="000000">
                      <w14:alpha w14:val="100000"/>
                    </w14:srgbClr>
                  </w14:solidFill>
                </w14:textFill>
              </w:rPr>
              <w:t xml:space="preserve">　</w:t>
            </w:r>
            <w:r w:rsidR="006542F6" w:rsidRPr="00842260">
              <w:t>% in Years 3-6</w:t>
            </w:r>
          </w:p>
          <w:p w14:paraId="2A3E2A19" w14:textId="77777777" w:rsidR="006542F6" w:rsidRPr="00842260" w:rsidRDefault="006542F6">
            <w:pPr>
              <w:pStyle w:val="TableText0"/>
            </w:pPr>
            <w:r w:rsidRPr="00842260">
              <w:t>Previous PBAC advice on the uptake of trastuzumab emtansine (PSD, November 2019 PBAC meeting)</w:t>
            </w:r>
          </w:p>
        </w:tc>
        <w:tc>
          <w:tcPr>
            <w:tcW w:w="1693" w:type="pct"/>
            <w:tcBorders>
              <w:top w:val="single" w:sz="4" w:space="0" w:color="auto"/>
              <w:left w:val="single" w:sz="4" w:space="0" w:color="auto"/>
              <w:bottom w:val="single" w:sz="4" w:space="0" w:color="auto"/>
              <w:right w:val="single" w:sz="4" w:space="0" w:color="auto"/>
            </w:tcBorders>
            <w:vAlign w:val="center"/>
            <w:hideMark/>
          </w:tcPr>
          <w:p w14:paraId="2DE1D4B4" w14:textId="77777777" w:rsidR="006542F6" w:rsidRPr="00842260" w:rsidRDefault="006542F6">
            <w:pPr>
              <w:pStyle w:val="TableText0"/>
            </w:pPr>
            <w:r w:rsidRPr="00842260">
              <w:t xml:space="preserve">The uptake of trastuzumab emtansine might not be applicable to </w:t>
            </w:r>
            <w:proofErr w:type="spellStart"/>
            <w:r w:rsidRPr="00842260">
              <w:t>abemaciclib</w:t>
            </w:r>
            <w:proofErr w:type="spellEnd"/>
            <w:r w:rsidRPr="00842260">
              <w:t xml:space="preserve"> given the differential approach (epidemiological vs. modified market share) taken by the two financial analyses, as well as the safety profile of </w:t>
            </w:r>
            <w:proofErr w:type="spellStart"/>
            <w:r w:rsidRPr="00842260">
              <w:t>abemaciclib</w:t>
            </w:r>
            <w:proofErr w:type="spellEnd"/>
            <w:r w:rsidRPr="00842260">
              <w:t xml:space="preserve">. </w:t>
            </w:r>
          </w:p>
        </w:tc>
      </w:tr>
      <w:tr w:rsidR="006542F6" w:rsidRPr="00842260" w14:paraId="0DA2DC7A"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4C09573F" w14:textId="77777777" w:rsidR="006542F6" w:rsidRPr="00842260" w:rsidRDefault="006542F6">
            <w:pPr>
              <w:pStyle w:val="TableText0"/>
            </w:pPr>
            <w:r w:rsidRPr="00842260">
              <w:t>Treatment duration</w:t>
            </w:r>
          </w:p>
        </w:tc>
        <w:tc>
          <w:tcPr>
            <w:tcW w:w="2232" w:type="pct"/>
            <w:tcBorders>
              <w:top w:val="single" w:sz="4" w:space="0" w:color="auto"/>
              <w:left w:val="single" w:sz="4" w:space="0" w:color="auto"/>
              <w:bottom w:val="single" w:sz="4" w:space="0" w:color="auto"/>
              <w:right w:val="single" w:sz="4" w:space="0" w:color="auto"/>
            </w:tcBorders>
            <w:vAlign w:val="center"/>
            <w:hideMark/>
          </w:tcPr>
          <w:p w14:paraId="1D64E162" w14:textId="77777777" w:rsidR="006542F6" w:rsidRPr="00842260" w:rsidRDefault="006542F6">
            <w:pPr>
              <w:pStyle w:val="TableText0"/>
            </w:pPr>
            <w:r w:rsidRPr="00842260">
              <w:t>2 years</w:t>
            </w:r>
          </w:p>
          <w:p w14:paraId="422729BE" w14:textId="77777777" w:rsidR="006542F6" w:rsidRPr="00842260" w:rsidRDefault="006542F6">
            <w:pPr>
              <w:pStyle w:val="TableText0"/>
            </w:pPr>
            <w:r w:rsidRPr="00842260">
              <w:t>Median treatment duration in the clinical trial</w:t>
            </w:r>
          </w:p>
        </w:tc>
        <w:tc>
          <w:tcPr>
            <w:tcW w:w="1693" w:type="pct"/>
            <w:tcBorders>
              <w:top w:val="single" w:sz="4" w:space="0" w:color="auto"/>
              <w:left w:val="single" w:sz="4" w:space="0" w:color="auto"/>
              <w:bottom w:val="single" w:sz="4" w:space="0" w:color="auto"/>
              <w:right w:val="single" w:sz="4" w:space="0" w:color="auto"/>
            </w:tcBorders>
            <w:vAlign w:val="center"/>
            <w:hideMark/>
          </w:tcPr>
          <w:p w14:paraId="73794040" w14:textId="77777777" w:rsidR="006542F6" w:rsidRPr="00842260" w:rsidRDefault="006542F6">
            <w:pPr>
              <w:pStyle w:val="TableText0"/>
            </w:pPr>
            <w:r w:rsidRPr="00842260">
              <w:t>Represents the maximum treatment duration as specified in the proposed listing.</w:t>
            </w:r>
          </w:p>
        </w:tc>
      </w:tr>
      <w:tr w:rsidR="006542F6" w:rsidRPr="00842260" w14:paraId="7833CCDD"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3BF0E64C" w14:textId="77777777" w:rsidR="006542F6" w:rsidRPr="00842260" w:rsidRDefault="006542F6">
            <w:pPr>
              <w:pStyle w:val="TableText0"/>
            </w:pPr>
            <w:r w:rsidRPr="00842260">
              <w:t>Compliance</w:t>
            </w:r>
          </w:p>
        </w:tc>
        <w:tc>
          <w:tcPr>
            <w:tcW w:w="2232" w:type="pct"/>
            <w:tcBorders>
              <w:top w:val="single" w:sz="4" w:space="0" w:color="auto"/>
              <w:left w:val="single" w:sz="4" w:space="0" w:color="auto"/>
              <w:bottom w:val="single" w:sz="4" w:space="0" w:color="auto"/>
              <w:right w:val="single" w:sz="4" w:space="0" w:color="auto"/>
            </w:tcBorders>
            <w:vAlign w:val="center"/>
            <w:hideMark/>
          </w:tcPr>
          <w:p w14:paraId="23BFD15F" w14:textId="77777777" w:rsidR="006542F6" w:rsidRPr="00842260" w:rsidRDefault="006542F6">
            <w:pPr>
              <w:pStyle w:val="TableText0"/>
            </w:pPr>
            <w:r w:rsidRPr="00842260">
              <w:t>100%</w:t>
            </w:r>
          </w:p>
          <w:p w14:paraId="10CFE23C" w14:textId="77777777" w:rsidR="006542F6" w:rsidRPr="00842260" w:rsidRDefault="006542F6">
            <w:pPr>
              <w:pStyle w:val="TableText0"/>
            </w:pPr>
            <w:r w:rsidRPr="00842260">
              <w:t>Assumption</w:t>
            </w:r>
          </w:p>
        </w:tc>
        <w:tc>
          <w:tcPr>
            <w:tcW w:w="1693" w:type="pct"/>
            <w:tcBorders>
              <w:top w:val="single" w:sz="4" w:space="0" w:color="auto"/>
              <w:left w:val="single" w:sz="4" w:space="0" w:color="auto"/>
              <w:bottom w:val="single" w:sz="4" w:space="0" w:color="auto"/>
              <w:right w:val="single" w:sz="4" w:space="0" w:color="auto"/>
            </w:tcBorders>
            <w:vAlign w:val="center"/>
            <w:hideMark/>
          </w:tcPr>
          <w:p w14:paraId="1226DE88" w14:textId="77777777" w:rsidR="006542F6" w:rsidRPr="00842260" w:rsidRDefault="006542F6">
            <w:pPr>
              <w:pStyle w:val="TableText0"/>
            </w:pPr>
            <w:r w:rsidRPr="00842260">
              <w:t xml:space="preserve">The mean compliance was 99.3% in the </w:t>
            </w:r>
            <w:proofErr w:type="spellStart"/>
            <w:r w:rsidRPr="00842260">
              <w:t>abemaciclib</w:t>
            </w:r>
            <w:proofErr w:type="spellEnd"/>
            <w:r w:rsidRPr="00842260">
              <w:t xml:space="preserve"> arm of Trial </w:t>
            </w:r>
            <w:proofErr w:type="spellStart"/>
            <w:r w:rsidRPr="00842260">
              <w:t>monarchE</w:t>
            </w:r>
            <w:proofErr w:type="spellEnd"/>
            <w:r w:rsidRPr="00842260">
              <w:t>.</w:t>
            </w:r>
          </w:p>
        </w:tc>
      </w:tr>
      <w:tr w:rsidR="006542F6" w:rsidRPr="00842260" w14:paraId="5ED7B412"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764722BB" w14:textId="77777777" w:rsidR="006542F6" w:rsidRPr="00842260" w:rsidRDefault="006542F6">
            <w:pPr>
              <w:pStyle w:val="TableText0"/>
            </w:pPr>
            <w:r w:rsidRPr="00842260">
              <w:t xml:space="preserve">Utilisation across </w:t>
            </w:r>
            <w:proofErr w:type="spellStart"/>
            <w:r w:rsidRPr="00842260">
              <w:t>abemaciclib</w:t>
            </w:r>
            <w:proofErr w:type="spellEnd"/>
            <w:r w:rsidRPr="00842260">
              <w:t xml:space="preserve"> dose forms (150mg vs. 100mg vs. 50mg)</w:t>
            </w:r>
          </w:p>
        </w:tc>
        <w:tc>
          <w:tcPr>
            <w:tcW w:w="2232" w:type="pct"/>
            <w:tcBorders>
              <w:top w:val="single" w:sz="4" w:space="0" w:color="auto"/>
              <w:left w:val="single" w:sz="4" w:space="0" w:color="auto"/>
              <w:bottom w:val="single" w:sz="4" w:space="0" w:color="auto"/>
              <w:right w:val="single" w:sz="4" w:space="0" w:color="auto"/>
            </w:tcBorders>
            <w:vAlign w:val="center"/>
            <w:hideMark/>
          </w:tcPr>
          <w:p w14:paraId="220C683B" w14:textId="77777777" w:rsidR="006542F6" w:rsidRPr="00842260" w:rsidRDefault="006542F6">
            <w:pPr>
              <w:pStyle w:val="TableText0"/>
            </w:pPr>
            <w:r w:rsidRPr="00842260">
              <w:t>53%:36%:11%</w:t>
            </w:r>
          </w:p>
          <w:p w14:paraId="5107627E" w14:textId="77777777" w:rsidR="006542F6" w:rsidRPr="00842260" w:rsidRDefault="006542F6">
            <w:pPr>
              <w:pStyle w:val="TableText0"/>
            </w:pPr>
            <w:r w:rsidRPr="00842260">
              <w:t xml:space="preserve">PBS script data July 2020 - July 2021, for </w:t>
            </w:r>
            <w:proofErr w:type="spellStart"/>
            <w:r w:rsidRPr="00842260">
              <w:t>abemaciclib</w:t>
            </w:r>
            <w:proofErr w:type="spellEnd"/>
            <w:r w:rsidRPr="00842260">
              <w:t xml:space="preserve"> PBS items relating to locally advanced or metastatic HR+/HER2- breast cancer</w:t>
            </w:r>
          </w:p>
        </w:tc>
        <w:tc>
          <w:tcPr>
            <w:tcW w:w="1693" w:type="pct"/>
            <w:tcBorders>
              <w:top w:val="single" w:sz="4" w:space="0" w:color="auto"/>
              <w:left w:val="single" w:sz="4" w:space="0" w:color="auto"/>
              <w:bottom w:val="single" w:sz="4" w:space="0" w:color="auto"/>
              <w:right w:val="single" w:sz="4" w:space="0" w:color="auto"/>
            </w:tcBorders>
            <w:vAlign w:val="center"/>
            <w:hideMark/>
          </w:tcPr>
          <w:p w14:paraId="235A6B6B" w14:textId="77777777" w:rsidR="006542F6" w:rsidRPr="00842260" w:rsidRDefault="006542F6">
            <w:pPr>
              <w:pStyle w:val="TableText0"/>
            </w:pPr>
            <w:r w:rsidRPr="00842260">
              <w:t xml:space="preserve">The change in the distribution of various </w:t>
            </w:r>
            <w:proofErr w:type="spellStart"/>
            <w:r w:rsidRPr="00842260">
              <w:t>abemaciclib</w:t>
            </w:r>
            <w:proofErr w:type="spellEnd"/>
            <w:r w:rsidRPr="00842260">
              <w:t xml:space="preserve"> doses would not affect the results given the proposed flat pricing. </w:t>
            </w:r>
          </w:p>
        </w:tc>
      </w:tr>
      <w:tr w:rsidR="006542F6" w:rsidRPr="00842260" w14:paraId="045C6187" w14:textId="77777777" w:rsidTr="006542F6">
        <w:tc>
          <w:tcPr>
            <w:tcW w:w="1075" w:type="pct"/>
            <w:tcBorders>
              <w:top w:val="single" w:sz="4" w:space="0" w:color="auto"/>
              <w:left w:val="single" w:sz="4" w:space="0" w:color="auto"/>
              <w:bottom w:val="single" w:sz="4" w:space="0" w:color="auto"/>
              <w:right w:val="single" w:sz="4" w:space="0" w:color="auto"/>
            </w:tcBorders>
            <w:vAlign w:val="center"/>
            <w:hideMark/>
          </w:tcPr>
          <w:p w14:paraId="14240C54" w14:textId="77777777" w:rsidR="006542F6" w:rsidRPr="00842260" w:rsidRDefault="006542F6">
            <w:pPr>
              <w:pStyle w:val="TableText0"/>
            </w:pPr>
            <w:proofErr w:type="spellStart"/>
            <w:r w:rsidRPr="00842260">
              <w:t>Abemaciclib</w:t>
            </w:r>
            <w:proofErr w:type="spellEnd"/>
            <w:r w:rsidRPr="00842260">
              <w:t xml:space="preserve"> (150mg, 100mg, or 50mg, 56 tablets)</w:t>
            </w:r>
          </w:p>
        </w:tc>
        <w:tc>
          <w:tcPr>
            <w:tcW w:w="2232" w:type="pct"/>
            <w:tcBorders>
              <w:top w:val="single" w:sz="4" w:space="0" w:color="auto"/>
              <w:left w:val="single" w:sz="4" w:space="0" w:color="auto"/>
              <w:bottom w:val="single" w:sz="4" w:space="0" w:color="auto"/>
              <w:right w:val="single" w:sz="4" w:space="0" w:color="auto"/>
            </w:tcBorders>
            <w:vAlign w:val="center"/>
            <w:hideMark/>
          </w:tcPr>
          <w:p w14:paraId="45F9BAAC" w14:textId="79EB4E57" w:rsidR="006542F6" w:rsidRPr="00842260" w:rsidRDefault="006542F6">
            <w:pPr>
              <w:pStyle w:val="TableText0"/>
            </w:pPr>
            <w:r w:rsidRPr="00842260">
              <w:t>$</w:t>
            </w:r>
            <w:r w:rsidR="007012DA" w:rsidRPr="007012DA">
              <w:rPr>
                <w:color w:val="000000"/>
                <w:spacing w:val="53"/>
                <w:shd w:val="solid" w:color="000000" w:fill="000000"/>
                <w:fitText w:val="330" w:id="-1500862448"/>
                <w14:textFill>
                  <w14:solidFill>
                    <w14:srgbClr w14:val="000000">
                      <w14:alpha w14:val="100000"/>
                    </w14:srgbClr>
                  </w14:solidFill>
                </w14:textFill>
              </w:rPr>
              <w:t>|||</w:t>
            </w:r>
            <w:r w:rsidR="007012DA" w:rsidRPr="007012DA">
              <w:rPr>
                <w:color w:val="000000"/>
                <w:spacing w:val="1"/>
                <w:shd w:val="solid" w:color="000000" w:fill="000000"/>
                <w:fitText w:val="330" w:id="-1500862448"/>
                <w14:textFill>
                  <w14:solidFill>
                    <w14:srgbClr w14:val="000000">
                      <w14:alpha w14:val="100000"/>
                    </w14:srgbClr>
                  </w14:solidFill>
                </w14:textFill>
              </w:rPr>
              <w:t>|</w:t>
            </w:r>
            <w:r w:rsidRPr="00842260">
              <w:t xml:space="preserve"> (flat pricing)</w:t>
            </w:r>
          </w:p>
          <w:p w14:paraId="187B2F41" w14:textId="77777777" w:rsidR="006542F6" w:rsidRPr="00842260" w:rsidRDefault="006542F6">
            <w:pPr>
              <w:pStyle w:val="TableText0"/>
            </w:pPr>
            <w:r w:rsidRPr="00842260">
              <w:t xml:space="preserve">Requested effective price </w:t>
            </w:r>
          </w:p>
        </w:tc>
        <w:tc>
          <w:tcPr>
            <w:tcW w:w="1693" w:type="pct"/>
            <w:tcBorders>
              <w:top w:val="single" w:sz="4" w:space="0" w:color="auto"/>
              <w:left w:val="single" w:sz="4" w:space="0" w:color="auto"/>
              <w:bottom w:val="single" w:sz="4" w:space="0" w:color="auto"/>
              <w:right w:val="single" w:sz="4" w:space="0" w:color="auto"/>
            </w:tcBorders>
            <w:vAlign w:val="center"/>
            <w:hideMark/>
          </w:tcPr>
          <w:p w14:paraId="48D09120" w14:textId="77777777" w:rsidR="006542F6" w:rsidRPr="00842260" w:rsidRDefault="006542F6">
            <w:pPr>
              <w:pStyle w:val="TableText0"/>
            </w:pPr>
            <w:r w:rsidRPr="00842260">
              <w:t>Appropriate</w:t>
            </w:r>
          </w:p>
        </w:tc>
      </w:tr>
      <w:tr w:rsidR="006542F6" w:rsidRPr="00842260" w14:paraId="6AF5A4E9" w14:textId="77777777" w:rsidTr="006542F6">
        <w:trPr>
          <w:trHeight w:val="688"/>
        </w:trPr>
        <w:tc>
          <w:tcPr>
            <w:tcW w:w="1075" w:type="pct"/>
            <w:tcBorders>
              <w:top w:val="single" w:sz="4" w:space="0" w:color="auto"/>
              <w:left w:val="single" w:sz="4" w:space="0" w:color="auto"/>
              <w:bottom w:val="single" w:sz="4" w:space="0" w:color="auto"/>
              <w:right w:val="single" w:sz="4" w:space="0" w:color="auto"/>
            </w:tcBorders>
            <w:vAlign w:val="center"/>
            <w:hideMark/>
          </w:tcPr>
          <w:p w14:paraId="671636E8" w14:textId="77777777" w:rsidR="006542F6" w:rsidRPr="00842260" w:rsidRDefault="006542F6">
            <w:pPr>
              <w:pStyle w:val="TableText0"/>
            </w:pPr>
            <w:r w:rsidRPr="00842260">
              <w:t>Patient co-payment</w:t>
            </w:r>
          </w:p>
        </w:tc>
        <w:tc>
          <w:tcPr>
            <w:tcW w:w="2232" w:type="pct"/>
            <w:tcBorders>
              <w:top w:val="single" w:sz="4" w:space="0" w:color="auto"/>
              <w:left w:val="single" w:sz="4" w:space="0" w:color="auto"/>
              <w:bottom w:val="single" w:sz="4" w:space="0" w:color="auto"/>
              <w:right w:val="single" w:sz="4" w:space="0" w:color="auto"/>
            </w:tcBorders>
            <w:vAlign w:val="center"/>
            <w:hideMark/>
          </w:tcPr>
          <w:p w14:paraId="5A454B54" w14:textId="77777777" w:rsidR="006542F6" w:rsidRPr="00842260" w:rsidRDefault="006542F6">
            <w:pPr>
              <w:pStyle w:val="TableText0"/>
            </w:pPr>
            <w:r w:rsidRPr="00842260">
              <w:t>PBS: $29.46 (99.6%)</w:t>
            </w:r>
          </w:p>
          <w:p w14:paraId="2F67C8AF" w14:textId="77777777" w:rsidR="006542F6" w:rsidRPr="00842260" w:rsidRDefault="006542F6">
            <w:pPr>
              <w:pStyle w:val="TableText0"/>
            </w:pPr>
            <w:r w:rsidRPr="00842260">
              <w:t>RPBS: $6.60 (0.4%)</w:t>
            </w:r>
          </w:p>
          <w:p w14:paraId="3B8A9C05" w14:textId="77777777" w:rsidR="006542F6" w:rsidRPr="00842260" w:rsidRDefault="006542F6">
            <w:pPr>
              <w:pStyle w:val="TableText0"/>
            </w:pPr>
            <w:r w:rsidRPr="00842260">
              <w:t>Medicare data on trastuzumab for early HER2+ breast cancer in 2021</w:t>
            </w:r>
          </w:p>
        </w:tc>
        <w:tc>
          <w:tcPr>
            <w:tcW w:w="1693" w:type="pct"/>
            <w:tcBorders>
              <w:top w:val="single" w:sz="4" w:space="0" w:color="auto"/>
              <w:left w:val="single" w:sz="4" w:space="0" w:color="auto"/>
              <w:bottom w:val="single" w:sz="4" w:space="0" w:color="auto"/>
              <w:right w:val="single" w:sz="4" w:space="0" w:color="auto"/>
            </w:tcBorders>
            <w:vAlign w:val="center"/>
            <w:hideMark/>
          </w:tcPr>
          <w:p w14:paraId="4F90395E" w14:textId="77777777" w:rsidR="006542F6" w:rsidRPr="00842260" w:rsidRDefault="006542F6">
            <w:pPr>
              <w:pStyle w:val="TableText0"/>
            </w:pPr>
            <w:r w:rsidRPr="00842260">
              <w:t>Reasonable</w:t>
            </w:r>
          </w:p>
        </w:tc>
      </w:tr>
    </w:tbl>
    <w:p w14:paraId="6CC46FB5" w14:textId="77777777" w:rsidR="006542F6" w:rsidRPr="00842260" w:rsidRDefault="006542F6" w:rsidP="006542F6">
      <w:pPr>
        <w:pStyle w:val="TableFigureFooter"/>
      </w:pPr>
      <w:r w:rsidRPr="00842260">
        <w:t>Source: Information provided in Section 4.1, pp232-235 of the submission.</w:t>
      </w:r>
    </w:p>
    <w:p w14:paraId="46FE76B4" w14:textId="521EB7A8" w:rsidR="006542F6" w:rsidRPr="00842260" w:rsidRDefault="006542F6" w:rsidP="006542F6">
      <w:pPr>
        <w:pStyle w:val="TableFigureFooter"/>
      </w:pPr>
      <w:r w:rsidRPr="00842260">
        <w:t xml:space="preserve">AIHW = Australian Institute of Health and Welfare; HER2+ = human epidermal growth factor receptor 2 positive; HER2- = human epidermal growth factor receptor 2 negative; HR+ = hormone receptor positive; NCCI = National Cancer Control Indicators, PBAC = Pharmaceutical Benefits Advisory Committee; PBS = Pharmaceutical Benefits Scheme; </w:t>
      </w:r>
      <w:r w:rsidR="00E70C24">
        <w:t xml:space="preserve">PSCR = pre-Sub-Committee response; </w:t>
      </w:r>
      <w:r w:rsidRPr="00842260">
        <w:t>PSD = public summary document; RPBS = Repatriation Pharmaceutical Benefits Scheme; SEER = Surveillance, Epidemiology and End Results</w:t>
      </w:r>
      <w:r w:rsidR="00357F5A" w:rsidRPr="00842260">
        <w:t>.</w:t>
      </w:r>
    </w:p>
    <w:p w14:paraId="2B1CAC49" w14:textId="49E10C56" w:rsidR="006542F6" w:rsidRPr="00842260" w:rsidRDefault="006542F6" w:rsidP="006542F6">
      <w:pPr>
        <w:pStyle w:val="3-BodyText"/>
        <w:snapToGrid w:val="0"/>
      </w:pPr>
      <w:r w:rsidRPr="00842260">
        <w:t xml:space="preserve">The estimated use and financial impacts of listing </w:t>
      </w:r>
      <w:proofErr w:type="spellStart"/>
      <w:r w:rsidRPr="00842260">
        <w:t>abemaciclib</w:t>
      </w:r>
      <w:proofErr w:type="spellEnd"/>
      <w:r w:rsidRPr="00842260">
        <w:t xml:space="preserve"> are summarised in </w:t>
      </w:r>
      <w:r w:rsidRPr="00842260">
        <w:fldChar w:fldCharType="begin"/>
      </w:r>
      <w:r w:rsidRPr="00842260">
        <w:instrText xml:space="preserve"> REF _Ref93408921 \h  \* MERGEFORMAT </w:instrText>
      </w:r>
      <w:r w:rsidRPr="00842260">
        <w:fldChar w:fldCharType="separate"/>
      </w:r>
      <w:r w:rsidR="00053218" w:rsidRPr="00842260">
        <w:t xml:space="preserve">Table </w:t>
      </w:r>
      <w:r w:rsidR="00053218">
        <w:t>17</w:t>
      </w:r>
      <w:r w:rsidRPr="00842260">
        <w:fldChar w:fldCharType="end"/>
      </w:r>
      <w:r w:rsidRPr="00842260">
        <w:t>.</w:t>
      </w:r>
    </w:p>
    <w:p w14:paraId="060A3EA5" w14:textId="67771A03" w:rsidR="006542F6" w:rsidRPr="00842260" w:rsidRDefault="006542F6" w:rsidP="006542F6">
      <w:pPr>
        <w:pStyle w:val="TableFigureHeading"/>
      </w:pPr>
      <w:bookmarkStart w:id="71" w:name="_Ref93408921"/>
      <w:r w:rsidRPr="00842260">
        <w:lastRenderedPageBreak/>
        <w:t xml:space="preserve">Table </w:t>
      </w:r>
      <w:fldSimple w:instr=" SEQ Table \* ARABIC ">
        <w:r w:rsidR="00053218">
          <w:rPr>
            <w:noProof/>
          </w:rPr>
          <w:t>17</w:t>
        </w:r>
      </w:fldSimple>
      <w:bookmarkEnd w:id="71"/>
      <w:r w:rsidRPr="00842260">
        <w:rPr>
          <w:rStyle w:val="CommentReference"/>
          <w:b/>
          <w:bCs w:val="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2"/>
        <w:gridCol w:w="1003"/>
        <w:gridCol w:w="997"/>
        <w:gridCol w:w="1003"/>
        <w:gridCol w:w="1003"/>
        <w:gridCol w:w="1003"/>
        <w:gridCol w:w="1006"/>
      </w:tblGrid>
      <w:tr w:rsidR="006542F6" w:rsidRPr="00842260" w14:paraId="327A2F2F" w14:textId="77777777" w:rsidTr="004638FD">
        <w:trPr>
          <w:tblHeader/>
        </w:trPr>
        <w:tc>
          <w:tcPr>
            <w:tcW w:w="1665" w:type="pct"/>
            <w:tcBorders>
              <w:top w:val="single" w:sz="4" w:space="0" w:color="auto"/>
              <w:left w:val="single" w:sz="4" w:space="0" w:color="auto"/>
              <w:bottom w:val="single" w:sz="4" w:space="0" w:color="auto"/>
              <w:right w:val="single" w:sz="4" w:space="0" w:color="auto"/>
            </w:tcBorders>
            <w:vAlign w:val="center"/>
          </w:tcPr>
          <w:p w14:paraId="5211F66A" w14:textId="77777777" w:rsidR="006542F6" w:rsidRPr="00842260" w:rsidRDefault="006542F6">
            <w:pPr>
              <w:pStyle w:val="In-tableHeading"/>
              <w:jc w:val="center"/>
              <w:rPr>
                <w:lang w:val="en-AU"/>
              </w:rPr>
            </w:pPr>
          </w:p>
        </w:tc>
        <w:tc>
          <w:tcPr>
            <w:tcW w:w="556" w:type="pct"/>
            <w:tcBorders>
              <w:top w:val="single" w:sz="4" w:space="0" w:color="auto"/>
              <w:left w:val="single" w:sz="4" w:space="0" w:color="auto"/>
              <w:bottom w:val="single" w:sz="4" w:space="0" w:color="auto"/>
              <w:right w:val="single" w:sz="4" w:space="0" w:color="auto"/>
            </w:tcBorders>
            <w:vAlign w:val="center"/>
            <w:hideMark/>
          </w:tcPr>
          <w:p w14:paraId="16271C5F" w14:textId="77777777" w:rsidR="006542F6" w:rsidRPr="00842260" w:rsidRDefault="006542F6">
            <w:pPr>
              <w:pStyle w:val="In-tableHeading"/>
              <w:jc w:val="center"/>
              <w:rPr>
                <w:lang w:val="en-AU"/>
              </w:rPr>
            </w:pPr>
            <w:r w:rsidRPr="00842260">
              <w:rPr>
                <w:lang w:val="en-AU"/>
              </w:rPr>
              <w:t>Year 1</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783682" w14:textId="77777777" w:rsidR="006542F6" w:rsidRPr="00842260" w:rsidRDefault="006542F6">
            <w:pPr>
              <w:pStyle w:val="In-tableHeading"/>
              <w:jc w:val="center"/>
              <w:rPr>
                <w:lang w:val="en-AU"/>
              </w:rPr>
            </w:pPr>
            <w:r w:rsidRPr="00842260">
              <w:rPr>
                <w:lang w:val="en-AU"/>
              </w:rPr>
              <w:t>Year 2</w:t>
            </w:r>
          </w:p>
        </w:tc>
        <w:tc>
          <w:tcPr>
            <w:tcW w:w="556" w:type="pct"/>
            <w:tcBorders>
              <w:top w:val="single" w:sz="4" w:space="0" w:color="auto"/>
              <w:left w:val="single" w:sz="4" w:space="0" w:color="auto"/>
              <w:bottom w:val="single" w:sz="4" w:space="0" w:color="auto"/>
              <w:right w:val="single" w:sz="4" w:space="0" w:color="auto"/>
            </w:tcBorders>
            <w:vAlign w:val="center"/>
            <w:hideMark/>
          </w:tcPr>
          <w:p w14:paraId="1FD01CCE" w14:textId="77777777" w:rsidR="006542F6" w:rsidRPr="00842260" w:rsidRDefault="006542F6">
            <w:pPr>
              <w:pStyle w:val="In-tableHeading"/>
              <w:jc w:val="center"/>
              <w:rPr>
                <w:lang w:val="en-AU"/>
              </w:rPr>
            </w:pPr>
            <w:r w:rsidRPr="00842260">
              <w:rPr>
                <w:lang w:val="en-AU"/>
              </w:rPr>
              <w:t>Year 3</w:t>
            </w:r>
          </w:p>
        </w:tc>
        <w:tc>
          <w:tcPr>
            <w:tcW w:w="556" w:type="pct"/>
            <w:tcBorders>
              <w:top w:val="single" w:sz="4" w:space="0" w:color="auto"/>
              <w:left w:val="single" w:sz="4" w:space="0" w:color="auto"/>
              <w:bottom w:val="single" w:sz="4" w:space="0" w:color="auto"/>
              <w:right w:val="single" w:sz="4" w:space="0" w:color="auto"/>
            </w:tcBorders>
            <w:vAlign w:val="center"/>
            <w:hideMark/>
          </w:tcPr>
          <w:p w14:paraId="0DEDBCD1" w14:textId="77777777" w:rsidR="006542F6" w:rsidRPr="00842260" w:rsidRDefault="006542F6">
            <w:pPr>
              <w:pStyle w:val="In-tableHeading"/>
              <w:jc w:val="center"/>
              <w:rPr>
                <w:lang w:val="en-AU"/>
              </w:rPr>
            </w:pPr>
            <w:r w:rsidRPr="00842260">
              <w:rPr>
                <w:lang w:val="en-AU"/>
              </w:rPr>
              <w:t>Year 4</w:t>
            </w:r>
          </w:p>
        </w:tc>
        <w:tc>
          <w:tcPr>
            <w:tcW w:w="556" w:type="pct"/>
            <w:tcBorders>
              <w:top w:val="single" w:sz="4" w:space="0" w:color="auto"/>
              <w:left w:val="single" w:sz="4" w:space="0" w:color="auto"/>
              <w:bottom w:val="single" w:sz="4" w:space="0" w:color="auto"/>
              <w:right w:val="single" w:sz="4" w:space="0" w:color="auto"/>
            </w:tcBorders>
            <w:vAlign w:val="center"/>
            <w:hideMark/>
          </w:tcPr>
          <w:p w14:paraId="74715751" w14:textId="77777777" w:rsidR="006542F6" w:rsidRPr="00842260" w:rsidRDefault="006542F6">
            <w:pPr>
              <w:pStyle w:val="In-tableHeading"/>
              <w:jc w:val="center"/>
              <w:rPr>
                <w:lang w:val="en-AU"/>
              </w:rPr>
            </w:pPr>
            <w:r w:rsidRPr="00842260">
              <w:rPr>
                <w:lang w:val="en-AU"/>
              </w:rPr>
              <w:t>Year 5</w:t>
            </w:r>
          </w:p>
        </w:tc>
        <w:tc>
          <w:tcPr>
            <w:tcW w:w="558" w:type="pct"/>
            <w:tcBorders>
              <w:top w:val="single" w:sz="4" w:space="0" w:color="auto"/>
              <w:left w:val="single" w:sz="4" w:space="0" w:color="auto"/>
              <w:bottom w:val="single" w:sz="4" w:space="0" w:color="auto"/>
              <w:right w:val="single" w:sz="4" w:space="0" w:color="auto"/>
            </w:tcBorders>
            <w:hideMark/>
          </w:tcPr>
          <w:p w14:paraId="3B2FC3E0" w14:textId="77777777" w:rsidR="006542F6" w:rsidRPr="00842260" w:rsidRDefault="006542F6">
            <w:pPr>
              <w:pStyle w:val="In-tableHeading"/>
              <w:jc w:val="center"/>
              <w:rPr>
                <w:lang w:val="en-AU"/>
              </w:rPr>
            </w:pPr>
            <w:r w:rsidRPr="00842260">
              <w:rPr>
                <w:lang w:val="en-AU"/>
              </w:rPr>
              <w:t>Year 6</w:t>
            </w:r>
          </w:p>
        </w:tc>
      </w:tr>
      <w:tr w:rsidR="006542F6" w:rsidRPr="00842260" w14:paraId="4AE114D4" w14:textId="77777777" w:rsidTr="004638F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470EA81" w14:textId="77777777" w:rsidR="006542F6" w:rsidRPr="00842260" w:rsidRDefault="006542F6">
            <w:pPr>
              <w:pStyle w:val="In-tableHeading"/>
              <w:rPr>
                <w:bCs/>
                <w:color w:val="000000"/>
                <w:lang w:val="en-AU"/>
              </w:rPr>
            </w:pPr>
            <w:r w:rsidRPr="00842260">
              <w:rPr>
                <w:bCs/>
                <w:color w:val="000000"/>
                <w:lang w:val="en-AU"/>
              </w:rPr>
              <w:t>Estimated extent of use</w:t>
            </w:r>
          </w:p>
        </w:tc>
      </w:tr>
      <w:tr w:rsidR="006542F6" w:rsidRPr="00842260" w14:paraId="5A5858D5"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37E8EB2C" w14:textId="77777777" w:rsidR="006542F6" w:rsidRPr="00842260" w:rsidRDefault="006542F6">
            <w:pPr>
              <w:pStyle w:val="TableText0"/>
              <w:rPr>
                <w:rFonts w:ascii="Times" w:hAnsi="Times"/>
                <w:vertAlign w:val="superscript"/>
              </w:rPr>
            </w:pPr>
            <w:r w:rsidRPr="00842260">
              <w:t xml:space="preserve">Number of patients </w:t>
            </w:r>
            <w:proofErr w:type="spellStart"/>
            <w:r w:rsidRPr="00842260">
              <w:t>treated</w:t>
            </w:r>
            <w:r w:rsidRPr="00842260">
              <w:rPr>
                <w:vertAlign w:val="superscript"/>
              </w:rPr>
              <w:t>a</w:t>
            </w:r>
            <w:proofErr w:type="spellEnd"/>
          </w:p>
        </w:tc>
        <w:tc>
          <w:tcPr>
            <w:tcW w:w="556" w:type="pct"/>
            <w:tcBorders>
              <w:top w:val="single" w:sz="4" w:space="0" w:color="auto"/>
              <w:left w:val="single" w:sz="4" w:space="0" w:color="auto"/>
              <w:bottom w:val="single" w:sz="4" w:space="0" w:color="auto"/>
              <w:right w:val="single" w:sz="4" w:space="0" w:color="auto"/>
            </w:tcBorders>
            <w:hideMark/>
          </w:tcPr>
          <w:p w14:paraId="7D92CEDF" w14:textId="3A58E80C" w:rsidR="006542F6" w:rsidRPr="00E524A4" w:rsidRDefault="007012DA">
            <w:pPr>
              <w:pStyle w:val="TableText0"/>
              <w:jc w:val="center"/>
              <w:rPr>
                <w:color w:val="000000"/>
                <w:highlight w:val="yellow"/>
                <w:vertAlign w:val="superscript"/>
              </w:rPr>
            </w:pPr>
            <w:r w:rsidRPr="007012DA">
              <w:rPr>
                <w:rFonts w:hint="eastAsia"/>
                <w:color w:val="000000"/>
                <w:w w:val="22"/>
                <w:shd w:val="solid" w:color="000000" w:fill="000000"/>
                <w:fitText w:val="100" w:id="-1500862464"/>
                <w14:textFill>
                  <w14:solidFill>
                    <w14:srgbClr w14:val="000000">
                      <w14:alpha w14:val="100000"/>
                    </w14:srgbClr>
                  </w14:solidFill>
                </w14:textFill>
              </w:rPr>
              <w:t xml:space="preserve">　</w:t>
            </w:r>
            <w:r w:rsidRPr="007012DA">
              <w:rPr>
                <w:color w:val="000000"/>
                <w:w w:val="22"/>
                <w:shd w:val="solid" w:color="000000" w:fill="000000"/>
                <w:fitText w:val="100" w:id="-1500862464"/>
                <w14:textFill>
                  <w14:solidFill>
                    <w14:srgbClr w14:val="000000">
                      <w14:alpha w14:val="100000"/>
                    </w14:srgbClr>
                  </w14:solidFill>
                </w14:textFill>
              </w:rPr>
              <w:t>|</w:t>
            </w:r>
            <w:r w:rsidRPr="007012DA">
              <w:rPr>
                <w:rFonts w:hint="eastAsia"/>
                <w:color w:val="000000"/>
                <w:spacing w:val="3"/>
                <w:w w:val="22"/>
                <w:shd w:val="solid" w:color="000000" w:fill="000000"/>
                <w:fitText w:val="100" w:id="-1500862464"/>
                <w14:textFill>
                  <w14:solidFill>
                    <w14:srgbClr w14:val="000000">
                      <w14:alpha w14:val="100000"/>
                    </w14:srgbClr>
                  </w14:solidFill>
                </w14:textFill>
              </w:rPr>
              <w:t xml:space="preserve">　</w:t>
            </w:r>
            <w:r w:rsidR="00E524A4" w:rsidRPr="00E524A4">
              <w:rPr>
                <w:vertAlign w:val="superscript"/>
              </w:rPr>
              <w:t>1</w:t>
            </w:r>
          </w:p>
        </w:tc>
        <w:tc>
          <w:tcPr>
            <w:tcW w:w="553" w:type="pct"/>
            <w:tcBorders>
              <w:top w:val="single" w:sz="4" w:space="0" w:color="auto"/>
              <w:left w:val="single" w:sz="4" w:space="0" w:color="auto"/>
              <w:bottom w:val="single" w:sz="4" w:space="0" w:color="auto"/>
              <w:right w:val="single" w:sz="4" w:space="0" w:color="auto"/>
            </w:tcBorders>
            <w:hideMark/>
          </w:tcPr>
          <w:p w14:paraId="041743B1" w14:textId="4D21F6E0" w:rsidR="006542F6" w:rsidRPr="00E524A4" w:rsidRDefault="007012DA">
            <w:pPr>
              <w:pStyle w:val="TableText0"/>
              <w:jc w:val="center"/>
              <w:rPr>
                <w:color w:val="000000"/>
                <w:highlight w:val="yellow"/>
              </w:rPr>
            </w:pPr>
            <w:r w:rsidRPr="007012DA">
              <w:rPr>
                <w:rFonts w:hint="eastAsia"/>
                <w:color w:val="000000"/>
                <w:w w:val="24"/>
                <w:shd w:val="solid" w:color="000000" w:fill="000000"/>
                <w:fitText w:val="110" w:id="-1500862463"/>
                <w14:textFill>
                  <w14:solidFill>
                    <w14:srgbClr w14:val="000000">
                      <w14:alpha w14:val="100000"/>
                    </w14:srgbClr>
                  </w14:solidFill>
                </w14:textFill>
              </w:rPr>
              <w:t xml:space="preserve">　</w:t>
            </w:r>
            <w:r w:rsidRPr="007012DA">
              <w:rPr>
                <w:color w:val="000000"/>
                <w:w w:val="24"/>
                <w:shd w:val="solid" w:color="000000" w:fill="000000"/>
                <w:fitText w:val="110" w:id="-1500862463"/>
                <w14:textFill>
                  <w14:solidFill>
                    <w14:srgbClr w14:val="000000">
                      <w14:alpha w14:val="100000"/>
                    </w14:srgbClr>
                  </w14:solidFill>
                </w14:textFill>
              </w:rPr>
              <w:t>|</w:t>
            </w:r>
            <w:r w:rsidRPr="007012DA">
              <w:rPr>
                <w:rFonts w:hint="eastAsia"/>
                <w:color w:val="000000"/>
                <w:spacing w:val="6"/>
                <w:w w:val="24"/>
                <w:shd w:val="solid" w:color="000000" w:fill="000000"/>
                <w:fitText w:val="110" w:id="-1500862463"/>
                <w14:textFill>
                  <w14:solidFill>
                    <w14:srgbClr w14:val="000000">
                      <w14:alpha w14:val="100000"/>
                    </w14:srgbClr>
                  </w14:solidFill>
                </w14:textFill>
              </w:rPr>
              <w:t xml:space="preserve">　</w:t>
            </w:r>
            <w:r w:rsidR="00E524A4" w:rsidRPr="00E524A4">
              <w:rPr>
                <w:vertAlign w:val="superscript"/>
              </w:rPr>
              <w:t>1</w:t>
            </w:r>
          </w:p>
        </w:tc>
        <w:tc>
          <w:tcPr>
            <w:tcW w:w="556" w:type="pct"/>
            <w:tcBorders>
              <w:top w:val="single" w:sz="4" w:space="0" w:color="auto"/>
              <w:left w:val="single" w:sz="4" w:space="0" w:color="auto"/>
              <w:bottom w:val="single" w:sz="4" w:space="0" w:color="auto"/>
              <w:right w:val="single" w:sz="4" w:space="0" w:color="auto"/>
            </w:tcBorders>
            <w:hideMark/>
          </w:tcPr>
          <w:p w14:paraId="0B8C8863" w14:textId="6C0CBB9D" w:rsidR="006542F6" w:rsidRPr="00E524A4" w:rsidRDefault="007012DA">
            <w:pPr>
              <w:pStyle w:val="TableText0"/>
              <w:jc w:val="center"/>
              <w:rPr>
                <w:color w:val="000000"/>
                <w:highlight w:val="yellow"/>
              </w:rPr>
            </w:pPr>
            <w:r w:rsidRPr="007012DA">
              <w:rPr>
                <w:rFonts w:hint="eastAsia"/>
                <w:color w:val="000000"/>
                <w:w w:val="22"/>
                <w:shd w:val="solid" w:color="000000" w:fill="000000"/>
                <w:fitText w:val="100" w:id="-1500862462"/>
                <w14:textFill>
                  <w14:solidFill>
                    <w14:srgbClr w14:val="000000">
                      <w14:alpha w14:val="100000"/>
                    </w14:srgbClr>
                  </w14:solidFill>
                </w14:textFill>
              </w:rPr>
              <w:t xml:space="preserve">　</w:t>
            </w:r>
            <w:r w:rsidRPr="007012DA">
              <w:rPr>
                <w:color w:val="000000"/>
                <w:w w:val="22"/>
                <w:shd w:val="solid" w:color="000000" w:fill="000000"/>
                <w:fitText w:val="100" w:id="-1500862462"/>
                <w14:textFill>
                  <w14:solidFill>
                    <w14:srgbClr w14:val="000000">
                      <w14:alpha w14:val="100000"/>
                    </w14:srgbClr>
                  </w14:solidFill>
                </w14:textFill>
              </w:rPr>
              <w:t>|</w:t>
            </w:r>
            <w:r w:rsidRPr="007012DA">
              <w:rPr>
                <w:rFonts w:hint="eastAsia"/>
                <w:color w:val="000000"/>
                <w:spacing w:val="3"/>
                <w:w w:val="22"/>
                <w:shd w:val="solid" w:color="000000" w:fill="000000"/>
                <w:fitText w:val="100" w:id="-1500862462"/>
                <w14:textFill>
                  <w14:solidFill>
                    <w14:srgbClr w14:val="000000">
                      <w14:alpha w14:val="100000"/>
                    </w14:srgbClr>
                  </w14:solidFill>
                </w14:textFill>
              </w:rPr>
              <w:t xml:space="preserve">　</w:t>
            </w:r>
            <w:r w:rsidR="00E524A4" w:rsidRPr="00E524A4">
              <w:rPr>
                <w:vertAlign w:val="superscript"/>
              </w:rPr>
              <w:t>1</w:t>
            </w:r>
          </w:p>
        </w:tc>
        <w:tc>
          <w:tcPr>
            <w:tcW w:w="556" w:type="pct"/>
            <w:tcBorders>
              <w:top w:val="single" w:sz="4" w:space="0" w:color="auto"/>
              <w:left w:val="single" w:sz="4" w:space="0" w:color="auto"/>
              <w:bottom w:val="single" w:sz="4" w:space="0" w:color="auto"/>
              <w:right w:val="single" w:sz="4" w:space="0" w:color="auto"/>
            </w:tcBorders>
            <w:hideMark/>
          </w:tcPr>
          <w:p w14:paraId="29590273" w14:textId="4C0DDAF0" w:rsidR="006542F6" w:rsidRPr="00E524A4" w:rsidRDefault="007012DA">
            <w:pPr>
              <w:pStyle w:val="TableText0"/>
              <w:jc w:val="center"/>
              <w:rPr>
                <w:color w:val="000000"/>
                <w:highlight w:val="yellow"/>
              </w:rPr>
            </w:pPr>
            <w:r w:rsidRPr="007012DA">
              <w:rPr>
                <w:rFonts w:hint="eastAsia"/>
                <w:color w:val="000000"/>
                <w:w w:val="22"/>
                <w:shd w:val="solid" w:color="000000" w:fill="000000"/>
                <w:fitText w:val="100" w:id="-1500862461"/>
                <w14:textFill>
                  <w14:solidFill>
                    <w14:srgbClr w14:val="000000">
                      <w14:alpha w14:val="100000"/>
                    </w14:srgbClr>
                  </w14:solidFill>
                </w14:textFill>
              </w:rPr>
              <w:t xml:space="preserve">　</w:t>
            </w:r>
            <w:r w:rsidRPr="007012DA">
              <w:rPr>
                <w:color w:val="000000"/>
                <w:w w:val="22"/>
                <w:shd w:val="solid" w:color="000000" w:fill="000000"/>
                <w:fitText w:val="100" w:id="-1500862461"/>
                <w14:textFill>
                  <w14:solidFill>
                    <w14:srgbClr w14:val="000000">
                      <w14:alpha w14:val="100000"/>
                    </w14:srgbClr>
                  </w14:solidFill>
                </w14:textFill>
              </w:rPr>
              <w:t>|</w:t>
            </w:r>
            <w:r w:rsidRPr="007012DA">
              <w:rPr>
                <w:rFonts w:hint="eastAsia"/>
                <w:color w:val="000000"/>
                <w:spacing w:val="3"/>
                <w:w w:val="22"/>
                <w:shd w:val="solid" w:color="000000" w:fill="000000"/>
                <w:fitText w:val="100" w:id="-1500862461"/>
                <w14:textFill>
                  <w14:solidFill>
                    <w14:srgbClr w14:val="000000">
                      <w14:alpha w14:val="100000"/>
                    </w14:srgbClr>
                  </w14:solidFill>
                </w14:textFill>
              </w:rPr>
              <w:t xml:space="preserve">　</w:t>
            </w:r>
            <w:r w:rsidR="00E524A4" w:rsidRPr="00E524A4">
              <w:rPr>
                <w:vertAlign w:val="superscript"/>
              </w:rPr>
              <w:t>1</w:t>
            </w:r>
          </w:p>
        </w:tc>
        <w:tc>
          <w:tcPr>
            <w:tcW w:w="556" w:type="pct"/>
            <w:tcBorders>
              <w:top w:val="single" w:sz="4" w:space="0" w:color="auto"/>
              <w:left w:val="single" w:sz="4" w:space="0" w:color="auto"/>
              <w:bottom w:val="single" w:sz="4" w:space="0" w:color="auto"/>
              <w:right w:val="single" w:sz="4" w:space="0" w:color="auto"/>
            </w:tcBorders>
            <w:hideMark/>
          </w:tcPr>
          <w:p w14:paraId="56BFD05D" w14:textId="51D231AC" w:rsidR="006542F6" w:rsidRPr="00E524A4" w:rsidRDefault="007012DA">
            <w:pPr>
              <w:pStyle w:val="TableText0"/>
              <w:jc w:val="center"/>
              <w:rPr>
                <w:color w:val="000000"/>
                <w:highlight w:val="yellow"/>
              </w:rPr>
            </w:pPr>
            <w:r w:rsidRPr="007012DA">
              <w:rPr>
                <w:rFonts w:hint="eastAsia"/>
                <w:color w:val="000000"/>
                <w:w w:val="22"/>
                <w:shd w:val="solid" w:color="000000" w:fill="000000"/>
                <w:fitText w:val="100" w:id="-1500862460"/>
                <w14:textFill>
                  <w14:solidFill>
                    <w14:srgbClr w14:val="000000">
                      <w14:alpha w14:val="100000"/>
                    </w14:srgbClr>
                  </w14:solidFill>
                </w14:textFill>
              </w:rPr>
              <w:t xml:space="preserve">　</w:t>
            </w:r>
            <w:r w:rsidRPr="007012DA">
              <w:rPr>
                <w:color w:val="000000"/>
                <w:w w:val="22"/>
                <w:shd w:val="solid" w:color="000000" w:fill="000000"/>
                <w:fitText w:val="100" w:id="-1500862460"/>
                <w14:textFill>
                  <w14:solidFill>
                    <w14:srgbClr w14:val="000000">
                      <w14:alpha w14:val="100000"/>
                    </w14:srgbClr>
                  </w14:solidFill>
                </w14:textFill>
              </w:rPr>
              <w:t>|</w:t>
            </w:r>
            <w:r w:rsidRPr="007012DA">
              <w:rPr>
                <w:rFonts w:hint="eastAsia"/>
                <w:color w:val="000000"/>
                <w:spacing w:val="3"/>
                <w:w w:val="22"/>
                <w:shd w:val="solid" w:color="000000" w:fill="000000"/>
                <w:fitText w:val="100" w:id="-1500862460"/>
                <w14:textFill>
                  <w14:solidFill>
                    <w14:srgbClr w14:val="000000">
                      <w14:alpha w14:val="100000"/>
                    </w14:srgbClr>
                  </w14:solidFill>
                </w14:textFill>
              </w:rPr>
              <w:t xml:space="preserve">　</w:t>
            </w:r>
            <w:r w:rsidR="00E524A4" w:rsidRPr="00E524A4">
              <w:rPr>
                <w:vertAlign w:val="superscript"/>
              </w:rPr>
              <w:t>1</w:t>
            </w:r>
          </w:p>
        </w:tc>
        <w:tc>
          <w:tcPr>
            <w:tcW w:w="558" w:type="pct"/>
            <w:tcBorders>
              <w:top w:val="single" w:sz="4" w:space="0" w:color="auto"/>
              <w:left w:val="single" w:sz="4" w:space="0" w:color="auto"/>
              <w:bottom w:val="single" w:sz="4" w:space="0" w:color="auto"/>
              <w:right w:val="single" w:sz="4" w:space="0" w:color="auto"/>
            </w:tcBorders>
            <w:hideMark/>
          </w:tcPr>
          <w:p w14:paraId="17A970C8" w14:textId="0D0C1412" w:rsidR="006542F6" w:rsidRPr="00E524A4" w:rsidRDefault="007012DA">
            <w:pPr>
              <w:pStyle w:val="TableText0"/>
              <w:jc w:val="center"/>
              <w:rPr>
                <w:color w:val="000000"/>
                <w:highlight w:val="yellow"/>
              </w:rPr>
            </w:pPr>
            <w:r w:rsidRPr="007012DA">
              <w:rPr>
                <w:rFonts w:hint="eastAsia"/>
                <w:color w:val="000000"/>
                <w:w w:val="20"/>
                <w:shd w:val="solid" w:color="000000" w:fill="000000"/>
                <w:fitText w:val="90" w:id="-1500862459"/>
                <w14:textFill>
                  <w14:solidFill>
                    <w14:srgbClr w14:val="000000">
                      <w14:alpha w14:val="100000"/>
                    </w14:srgbClr>
                  </w14:solidFill>
                </w14:textFill>
              </w:rPr>
              <w:t xml:space="preserve">　</w:t>
            </w:r>
            <w:r w:rsidRPr="007012DA">
              <w:rPr>
                <w:color w:val="000000"/>
                <w:w w:val="20"/>
                <w:shd w:val="solid" w:color="000000" w:fill="000000"/>
                <w:fitText w:val="90" w:id="-1500862459"/>
                <w14:textFill>
                  <w14:solidFill>
                    <w14:srgbClr w14:val="000000">
                      <w14:alpha w14:val="100000"/>
                    </w14:srgbClr>
                  </w14:solidFill>
                </w14:textFill>
              </w:rPr>
              <w:t>|</w:t>
            </w:r>
            <w:r w:rsidRPr="007012DA">
              <w:rPr>
                <w:rFonts w:hint="eastAsia"/>
                <w:color w:val="000000"/>
                <w:spacing w:val="3"/>
                <w:w w:val="20"/>
                <w:shd w:val="solid" w:color="000000" w:fill="000000"/>
                <w:fitText w:val="90" w:id="-1500862459"/>
                <w14:textFill>
                  <w14:solidFill>
                    <w14:srgbClr w14:val="000000">
                      <w14:alpha w14:val="100000"/>
                    </w14:srgbClr>
                  </w14:solidFill>
                </w14:textFill>
              </w:rPr>
              <w:t xml:space="preserve">　</w:t>
            </w:r>
            <w:r w:rsidR="00E524A4" w:rsidRPr="00E524A4">
              <w:rPr>
                <w:vertAlign w:val="superscript"/>
              </w:rPr>
              <w:t>1</w:t>
            </w:r>
          </w:p>
        </w:tc>
      </w:tr>
      <w:tr w:rsidR="006542F6" w:rsidRPr="00842260" w14:paraId="4333E6B4"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0A54DBB8" w14:textId="77777777" w:rsidR="006542F6" w:rsidRPr="00842260" w:rsidRDefault="006542F6">
            <w:pPr>
              <w:pStyle w:val="TableText0"/>
              <w:rPr>
                <w:rFonts w:ascii="Times" w:hAnsi="Times"/>
              </w:rPr>
            </w:pPr>
            <w:r w:rsidRPr="00842260">
              <w:t xml:space="preserve">Number of scripts </w:t>
            </w:r>
            <w:proofErr w:type="spellStart"/>
            <w:r w:rsidRPr="00842260">
              <w:t>dispensed</w:t>
            </w:r>
            <w:r w:rsidRPr="00842260">
              <w:rPr>
                <w:vertAlign w:val="superscript"/>
              </w:rPr>
              <w:t>b</w:t>
            </w:r>
            <w:proofErr w:type="spellEnd"/>
          </w:p>
        </w:tc>
        <w:tc>
          <w:tcPr>
            <w:tcW w:w="556" w:type="pct"/>
            <w:tcBorders>
              <w:top w:val="single" w:sz="4" w:space="0" w:color="auto"/>
              <w:left w:val="single" w:sz="4" w:space="0" w:color="auto"/>
              <w:bottom w:val="single" w:sz="4" w:space="0" w:color="auto"/>
              <w:right w:val="single" w:sz="4" w:space="0" w:color="auto"/>
            </w:tcBorders>
            <w:hideMark/>
          </w:tcPr>
          <w:p w14:paraId="747DCA61" w14:textId="0BDFE09D" w:rsidR="006542F6" w:rsidRPr="00E524A4" w:rsidRDefault="007012DA">
            <w:pPr>
              <w:pStyle w:val="TableText0"/>
              <w:jc w:val="center"/>
              <w:rPr>
                <w:color w:val="000000"/>
                <w:highlight w:val="yellow"/>
              </w:rPr>
            </w:pPr>
            <w:r w:rsidRPr="007012DA">
              <w:rPr>
                <w:color w:val="000000"/>
                <w:spacing w:val="46"/>
                <w:shd w:val="solid" w:color="000000" w:fill="000000"/>
                <w:fitText w:val="310" w:id="-1500862458"/>
                <w14:textFill>
                  <w14:solidFill>
                    <w14:srgbClr w14:val="000000">
                      <w14:alpha w14:val="100000"/>
                    </w14:srgbClr>
                  </w14:solidFill>
                </w14:textFill>
              </w:rPr>
              <w:t>|||</w:t>
            </w:r>
            <w:r w:rsidRPr="007012DA">
              <w:rPr>
                <w:color w:val="000000"/>
                <w:spacing w:val="2"/>
                <w:shd w:val="solid" w:color="000000" w:fill="000000"/>
                <w:fitText w:val="310" w:id="-1500862458"/>
                <w14:textFill>
                  <w14:solidFill>
                    <w14:srgbClr w14:val="000000">
                      <w14:alpha w14:val="100000"/>
                    </w14:srgbClr>
                  </w14:solidFill>
                </w14:textFill>
              </w:rPr>
              <w:t>|</w:t>
            </w:r>
            <w:r w:rsidR="00E524A4">
              <w:rPr>
                <w:vertAlign w:val="superscript"/>
              </w:rPr>
              <w:t>2</w:t>
            </w:r>
            <w:r w:rsidRPr="007012DA">
              <w:rPr>
                <w:color w:val="000000"/>
                <w:spacing w:val="174"/>
                <w:shd w:val="solid" w:color="000000" w:fill="000000"/>
                <w:fitText w:val="260" w:id="-1500862457"/>
                <w14:textFill>
                  <w14:solidFill>
                    <w14:srgbClr w14:val="000000">
                      <w14:alpha w14:val="100000"/>
                    </w14:srgbClr>
                  </w14:solidFill>
                </w14:textFill>
              </w:rPr>
              <w:t>|</w:t>
            </w:r>
            <w:r w:rsidRPr="007012DA">
              <w:rPr>
                <w:color w:val="000000"/>
                <w:spacing w:val="1"/>
                <w:shd w:val="solid" w:color="000000" w:fill="000000"/>
                <w:fitText w:val="260" w:id="-1500862457"/>
                <w14:textFill>
                  <w14:solidFill>
                    <w14:srgbClr w14:val="000000">
                      <w14:alpha w14:val="100000"/>
                    </w14:srgbClr>
                  </w14:solidFill>
                </w14:textFill>
              </w:rPr>
              <w:t>|</w:t>
            </w:r>
          </w:p>
        </w:tc>
        <w:tc>
          <w:tcPr>
            <w:tcW w:w="553" w:type="pct"/>
            <w:tcBorders>
              <w:top w:val="single" w:sz="4" w:space="0" w:color="auto"/>
              <w:left w:val="single" w:sz="4" w:space="0" w:color="auto"/>
              <w:bottom w:val="single" w:sz="4" w:space="0" w:color="auto"/>
              <w:right w:val="single" w:sz="4" w:space="0" w:color="auto"/>
            </w:tcBorders>
            <w:hideMark/>
          </w:tcPr>
          <w:p w14:paraId="18C9CF58" w14:textId="049245A6" w:rsidR="006542F6" w:rsidRPr="00E524A4" w:rsidRDefault="007012DA">
            <w:pPr>
              <w:pStyle w:val="TableText0"/>
              <w:jc w:val="center"/>
              <w:rPr>
                <w:color w:val="000000"/>
                <w:highlight w:val="yellow"/>
              </w:rPr>
            </w:pPr>
            <w:r w:rsidRPr="007012DA">
              <w:rPr>
                <w:color w:val="000000"/>
                <w:spacing w:val="49"/>
                <w:shd w:val="solid" w:color="000000" w:fill="000000"/>
                <w:fitText w:val="320" w:id="-1500862456"/>
                <w14:textFill>
                  <w14:solidFill>
                    <w14:srgbClr w14:val="000000">
                      <w14:alpha w14:val="100000"/>
                    </w14:srgbClr>
                  </w14:solidFill>
                </w14:textFill>
              </w:rPr>
              <w:t>|||</w:t>
            </w:r>
            <w:r w:rsidRPr="007012DA">
              <w:rPr>
                <w:color w:val="000000"/>
                <w:spacing w:val="3"/>
                <w:shd w:val="solid" w:color="000000" w:fill="000000"/>
                <w:fitText w:val="320" w:id="-1500862456"/>
                <w14:textFill>
                  <w14:solidFill>
                    <w14:srgbClr w14:val="000000">
                      <w14:alpha w14:val="100000"/>
                    </w14:srgbClr>
                  </w14:solidFill>
                </w14:textFill>
              </w:rPr>
              <w:t>|</w:t>
            </w:r>
            <w:r w:rsidR="00E524A4">
              <w:rPr>
                <w:vertAlign w:val="superscript"/>
              </w:rPr>
              <w:t>5</w:t>
            </w:r>
            <w:r w:rsidRPr="007012DA">
              <w:rPr>
                <w:color w:val="000000"/>
                <w:spacing w:val="184"/>
                <w:shd w:val="solid" w:color="000000" w:fill="000000"/>
                <w:fitText w:val="270" w:id="-1500862455"/>
                <w14:textFill>
                  <w14:solidFill>
                    <w14:srgbClr w14:val="000000">
                      <w14:alpha w14:val="100000"/>
                    </w14:srgbClr>
                  </w14:solidFill>
                </w14:textFill>
              </w:rPr>
              <w:t>|</w:t>
            </w:r>
            <w:r w:rsidRPr="007012DA">
              <w:rPr>
                <w:color w:val="000000"/>
                <w:spacing w:val="1"/>
                <w:shd w:val="solid" w:color="000000" w:fill="000000"/>
                <w:fitText w:val="270" w:id="-1500862455"/>
                <w14:textFill>
                  <w14:solidFill>
                    <w14:srgbClr w14:val="000000">
                      <w14:alpha w14:val="100000"/>
                    </w14:srgbClr>
                  </w14:solidFill>
                </w14:textFill>
              </w:rPr>
              <w:t>|</w:t>
            </w:r>
          </w:p>
        </w:tc>
        <w:tc>
          <w:tcPr>
            <w:tcW w:w="556" w:type="pct"/>
            <w:tcBorders>
              <w:top w:val="single" w:sz="4" w:space="0" w:color="auto"/>
              <w:left w:val="single" w:sz="4" w:space="0" w:color="auto"/>
              <w:bottom w:val="single" w:sz="4" w:space="0" w:color="auto"/>
              <w:right w:val="single" w:sz="4" w:space="0" w:color="auto"/>
            </w:tcBorders>
            <w:hideMark/>
          </w:tcPr>
          <w:p w14:paraId="11243039" w14:textId="66A43606" w:rsidR="006542F6" w:rsidRPr="00E524A4" w:rsidRDefault="007012DA">
            <w:pPr>
              <w:pStyle w:val="TableText0"/>
              <w:jc w:val="center"/>
              <w:rPr>
                <w:color w:val="000000"/>
                <w:highlight w:val="yellow"/>
              </w:rPr>
            </w:pPr>
            <w:r w:rsidRPr="007012DA">
              <w:rPr>
                <w:rFonts w:hint="eastAsia"/>
                <w:color w:val="000000"/>
                <w:w w:val="22"/>
                <w:shd w:val="solid" w:color="000000" w:fill="000000"/>
                <w:fitText w:val="100" w:id="-1500862454"/>
                <w14:textFill>
                  <w14:solidFill>
                    <w14:srgbClr w14:val="000000">
                      <w14:alpha w14:val="100000"/>
                    </w14:srgbClr>
                  </w14:solidFill>
                </w14:textFill>
              </w:rPr>
              <w:t xml:space="preserve">　</w:t>
            </w:r>
            <w:r w:rsidRPr="007012DA">
              <w:rPr>
                <w:color w:val="000000"/>
                <w:w w:val="22"/>
                <w:shd w:val="solid" w:color="000000" w:fill="000000"/>
                <w:fitText w:val="100" w:id="-1500862454"/>
                <w14:textFill>
                  <w14:solidFill>
                    <w14:srgbClr w14:val="000000">
                      <w14:alpha w14:val="100000"/>
                    </w14:srgbClr>
                  </w14:solidFill>
                </w14:textFill>
              </w:rPr>
              <w:t>|</w:t>
            </w:r>
            <w:r w:rsidRPr="007012DA">
              <w:rPr>
                <w:rFonts w:hint="eastAsia"/>
                <w:color w:val="000000"/>
                <w:spacing w:val="3"/>
                <w:w w:val="22"/>
                <w:shd w:val="solid" w:color="000000" w:fill="000000"/>
                <w:fitText w:val="100" w:id="-1500862454"/>
                <w14:textFill>
                  <w14:solidFill>
                    <w14:srgbClr w14:val="000000">
                      <w14:alpha w14:val="100000"/>
                    </w14:srgbClr>
                  </w14:solidFill>
                </w14:textFill>
              </w:rPr>
              <w:t xml:space="preserve">　</w:t>
            </w:r>
            <w:r w:rsidR="00C035EB">
              <w:rPr>
                <w:vertAlign w:val="superscript"/>
              </w:rPr>
              <w:t>7</w:t>
            </w:r>
          </w:p>
        </w:tc>
        <w:tc>
          <w:tcPr>
            <w:tcW w:w="556" w:type="pct"/>
            <w:tcBorders>
              <w:top w:val="single" w:sz="4" w:space="0" w:color="auto"/>
              <w:left w:val="single" w:sz="4" w:space="0" w:color="auto"/>
              <w:bottom w:val="single" w:sz="4" w:space="0" w:color="auto"/>
              <w:right w:val="single" w:sz="4" w:space="0" w:color="auto"/>
            </w:tcBorders>
            <w:hideMark/>
          </w:tcPr>
          <w:p w14:paraId="345AB899" w14:textId="2DC2E63D" w:rsidR="006542F6" w:rsidRPr="00E524A4" w:rsidRDefault="007012DA">
            <w:pPr>
              <w:pStyle w:val="TableText0"/>
              <w:jc w:val="center"/>
              <w:rPr>
                <w:color w:val="000000"/>
                <w:highlight w:val="yellow"/>
              </w:rPr>
            </w:pPr>
            <w:r w:rsidRPr="007012DA">
              <w:rPr>
                <w:color w:val="000000"/>
                <w:spacing w:val="46"/>
                <w:shd w:val="solid" w:color="000000" w:fill="000000"/>
                <w:fitText w:val="310" w:id="-1500862453"/>
                <w14:textFill>
                  <w14:solidFill>
                    <w14:srgbClr w14:val="000000">
                      <w14:alpha w14:val="100000"/>
                    </w14:srgbClr>
                  </w14:solidFill>
                </w14:textFill>
              </w:rPr>
              <w:t>|||</w:t>
            </w:r>
            <w:r w:rsidRPr="007012DA">
              <w:rPr>
                <w:color w:val="000000"/>
                <w:spacing w:val="2"/>
                <w:shd w:val="solid" w:color="000000" w:fill="000000"/>
                <w:fitText w:val="310" w:id="-1500862453"/>
                <w14:textFill>
                  <w14:solidFill>
                    <w14:srgbClr w14:val="000000">
                      <w14:alpha w14:val="100000"/>
                    </w14:srgbClr>
                  </w14:solidFill>
                </w14:textFill>
              </w:rPr>
              <w:t>|</w:t>
            </w:r>
            <w:r w:rsidR="00C035EB">
              <w:rPr>
                <w:vertAlign w:val="superscript"/>
              </w:rPr>
              <w:t>7</w:t>
            </w:r>
            <w:r w:rsidRPr="007012DA">
              <w:rPr>
                <w:color w:val="000000"/>
                <w:spacing w:val="174"/>
                <w:shd w:val="solid" w:color="000000" w:fill="000000"/>
                <w:fitText w:val="260" w:id="-1500862452"/>
                <w14:textFill>
                  <w14:solidFill>
                    <w14:srgbClr w14:val="000000">
                      <w14:alpha w14:val="100000"/>
                    </w14:srgbClr>
                  </w14:solidFill>
                </w14:textFill>
              </w:rPr>
              <w:t>|</w:t>
            </w:r>
            <w:r w:rsidRPr="007012DA">
              <w:rPr>
                <w:color w:val="000000"/>
                <w:spacing w:val="1"/>
                <w:shd w:val="solid" w:color="000000" w:fill="000000"/>
                <w:fitText w:val="260" w:id="-1500862452"/>
                <w14:textFill>
                  <w14:solidFill>
                    <w14:srgbClr w14:val="000000">
                      <w14:alpha w14:val="100000"/>
                    </w14:srgbClr>
                  </w14:solidFill>
                </w14:textFill>
              </w:rPr>
              <w:t>|</w:t>
            </w:r>
          </w:p>
        </w:tc>
        <w:tc>
          <w:tcPr>
            <w:tcW w:w="556" w:type="pct"/>
            <w:tcBorders>
              <w:top w:val="single" w:sz="4" w:space="0" w:color="auto"/>
              <w:left w:val="single" w:sz="4" w:space="0" w:color="auto"/>
              <w:bottom w:val="single" w:sz="4" w:space="0" w:color="auto"/>
              <w:right w:val="single" w:sz="4" w:space="0" w:color="auto"/>
            </w:tcBorders>
            <w:hideMark/>
          </w:tcPr>
          <w:p w14:paraId="1768A0C6" w14:textId="6A3DDD97" w:rsidR="006542F6" w:rsidRPr="00E524A4" w:rsidRDefault="007012DA">
            <w:pPr>
              <w:pStyle w:val="TableText0"/>
              <w:jc w:val="center"/>
              <w:rPr>
                <w:color w:val="000000"/>
                <w:highlight w:val="yellow"/>
              </w:rPr>
            </w:pPr>
            <w:r w:rsidRPr="007012DA">
              <w:rPr>
                <w:color w:val="000000"/>
                <w:spacing w:val="46"/>
                <w:shd w:val="solid" w:color="000000" w:fill="000000"/>
                <w:fitText w:val="310" w:id="-1500862451"/>
                <w14:textFill>
                  <w14:solidFill>
                    <w14:srgbClr w14:val="000000">
                      <w14:alpha w14:val="100000"/>
                    </w14:srgbClr>
                  </w14:solidFill>
                </w14:textFill>
              </w:rPr>
              <w:t>|||</w:t>
            </w:r>
            <w:r w:rsidRPr="007012DA">
              <w:rPr>
                <w:color w:val="000000"/>
                <w:spacing w:val="2"/>
                <w:shd w:val="solid" w:color="000000" w:fill="000000"/>
                <w:fitText w:val="310" w:id="-1500862451"/>
                <w14:textFill>
                  <w14:solidFill>
                    <w14:srgbClr w14:val="000000">
                      <w14:alpha w14:val="100000"/>
                    </w14:srgbClr>
                  </w14:solidFill>
                </w14:textFill>
              </w:rPr>
              <w:t>|</w:t>
            </w:r>
            <w:r w:rsidR="00C035EB">
              <w:rPr>
                <w:vertAlign w:val="superscript"/>
              </w:rPr>
              <w:t>7</w:t>
            </w:r>
            <w:r w:rsidRPr="007012DA">
              <w:rPr>
                <w:color w:val="000000"/>
                <w:spacing w:val="174"/>
                <w:shd w:val="solid" w:color="000000" w:fill="000000"/>
                <w:fitText w:val="260" w:id="-1500862450"/>
                <w14:textFill>
                  <w14:solidFill>
                    <w14:srgbClr w14:val="000000">
                      <w14:alpha w14:val="100000"/>
                    </w14:srgbClr>
                  </w14:solidFill>
                </w14:textFill>
              </w:rPr>
              <w:t>|</w:t>
            </w:r>
            <w:r w:rsidRPr="007012DA">
              <w:rPr>
                <w:color w:val="000000"/>
                <w:spacing w:val="1"/>
                <w:shd w:val="solid" w:color="000000" w:fill="000000"/>
                <w:fitText w:val="260" w:id="-1500862450"/>
                <w14:textFill>
                  <w14:solidFill>
                    <w14:srgbClr w14:val="000000">
                      <w14:alpha w14:val="100000"/>
                    </w14:srgbClr>
                  </w14:solidFill>
                </w14:textFill>
              </w:rPr>
              <w:t>|</w:t>
            </w:r>
          </w:p>
        </w:tc>
        <w:tc>
          <w:tcPr>
            <w:tcW w:w="558" w:type="pct"/>
            <w:tcBorders>
              <w:top w:val="single" w:sz="4" w:space="0" w:color="auto"/>
              <w:left w:val="single" w:sz="4" w:space="0" w:color="auto"/>
              <w:bottom w:val="single" w:sz="4" w:space="0" w:color="auto"/>
              <w:right w:val="single" w:sz="4" w:space="0" w:color="auto"/>
            </w:tcBorders>
            <w:hideMark/>
          </w:tcPr>
          <w:p w14:paraId="23EC8195" w14:textId="5284DE81" w:rsidR="006542F6" w:rsidRPr="00E524A4" w:rsidRDefault="007012DA">
            <w:pPr>
              <w:pStyle w:val="TableText0"/>
              <w:jc w:val="center"/>
              <w:rPr>
                <w:color w:val="000000"/>
                <w:highlight w:val="yellow"/>
              </w:rPr>
            </w:pPr>
            <w:r w:rsidRPr="007012DA">
              <w:rPr>
                <w:color w:val="000000"/>
                <w:spacing w:val="49"/>
                <w:shd w:val="solid" w:color="000000" w:fill="000000"/>
                <w:fitText w:val="320" w:id="-1500862449"/>
                <w14:textFill>
                  <w14:solidFill>
                    <w14:srgbClr w14:val="000000">
                      <w14:alpha w14:val="100000"/>
                    </w14:srgbClr>
                  </w14:solidFill>
                </w14:textFill>
              </w:rPr>
              <w:t>|||</w:t>
            </w:r>
            <w:r w:rsidRPr="007012DA">
              <w:rPr>
                <w:color w:val="000000"/>
                <w:spacing w:val="3"/>
                <w:shd w:val="solid" w:color="000000" w:fill="000000"/>
                <w:fitText w:val="320" w:id="-1500862449"/>
                <w14:textFill>
                  <w14:solidFill>
                    <w14:srgbClr w14:val="000000">
                      <w14:alpha w14:val="100000"/>
                    </w14:srgbClr>
                  </w14:solidFill>
                </w14:textFill>
              </w:rPr>
              <w:t>|</w:t>
            </w:r>
            <w:r w:rsidR="00C035EB">
              <w:rPr>
                <w:vertAlign w:val="superscript"/>
              </w:rPr>
              <w:t>7</w:t>
            </w:r>
            <w:r w:rsidRPr="007012DA">
              <w:rPr>
                <w:color w:val="000000"/>
                <w:spacing w:val="164"/>
                <w:shd w:val="solid" w:color="000000" w:fill="000000"/>
                <w:fitText w:val="250" w:id="-1500862448"/>
                <w14:textFill>
                  <w14:solidFill>
                    <w14:srgbClr w14:val="000000">
                      <w14:alpha w14:val="100000"/>
                    </w14:srgbClr>
                  </w14:solidFill>
                </w14:textFill>
              </w:rPr>
              <w:t>|</w:t>
            </w:r>
            <w:r w:rsidRPr="007012DA">
              <w:rPr>
                <w:color w:val="000000"/>
                <w:spacing w:val="1"/>
                <w:shd w:val="solid" w:color="000000" w:fill="000000"/>
                <w:fitText w:val="250" w:id="-1500862448"/>
                <w14:textFill>
                  <w14:solidFill>
                    <w14:srgbClr w14:val="000000">
                      <w14:alpha w14:val="100000"/>
                    </w14:srgbClr>
                  </w14:solidFill>
                </w14:textFill>
              </w:rPr>
              <w:t>|</w:t>
            </w:r>
          </w:p>
        </w:tc>
      </w:tr>
      <w:tr w:rsidR="006542F6" w:rsidRPr="00842260" w14:paraId="0FB20E84" w14:textId="77777777" w:rsidTr="004638F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9265C5C" w14:textId="77777777" w:rsidR="006542F6" w:rsidRPr="00842260" w:rsidRDefault="006542F6">
            <w:pPr>
              <w:pStyle w:val="In-tableHeading"/>
              <w:rPr>
                <w:lang w:val="en-AU"/>
              </w:rPr>
            </w:pPr>
            <w:r w:rsidRPr="00842260">
              <w:rPr>
                <w:lang w:val="en-AU"/>
              </w:rPr>
              <w:t xml:space="preserve">Estimated financial implications of </w:t>
            </w:r>
            <w:proofErr w:type="spellStart"/>
            <w:r w:rsidRPr="00842260">
              <w:rPr>
                <w:lang w:val="en-AU"/>
              </w:rPr>
              <w:t>abemaciclib</w:t>
            </w:r>
            <w:proofErr w:type="spellEnd"/>
          </w:p>
        </w:tc>
      </w:tr>
      <w:tr w:rsidR="006542F6" w:rsidRPr="00842260" w14:paraId="7A2CDA9A"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3CE3904E" w14:textId="200012FD" w:rsidR="006542F6" w:rsidRPr="00842260" w:rsidRDefault="006542F6">
            <w:pPr>
              <w:pStyle w:val="TableText0"/>
              <w:rPr>
                <w:sz w:val="19"/>
                <w:szCs w:val="19"/>
              </w:rPr>
            </w:pPr>
            <w:r w:rsidRPr="00842260">
              <w:rPr>
                <w:sz w:val="19"/>
                <w:szCs w:val="19"/>
              </w:rPr>
              <w:t>Cost to PBS/RPBS less copayments</w:t>
            </w:r>
            <w:r w:rsidR="00E524A4">
              <w:rPr>
                <w:sz w:val="19"/>
                <w:szCs w:val="19"/>
              </w:rPr>
              <w:t xml:space="preserv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0123DC94" w14:textId="3FB3B541"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E524A4">
              <w:rPr>
                <w:vertAlign w:val="superscript"/>
              </w:rPr>
              <w:t>3</w:t>
            </w:r>
          </w:p>
        </w:tc>
        <w:tc>
          <w:tcPr>
            <w:tcW w:w="553" w:type="pct"/>
            <w:tcBorders>
              <w:top w:val="single" w:sz="4" w:space="0" w:color="auto"/>
              <w:left w:val="single" w:sz="4" w:space="0" w:color="auto"/>
              <w:bottom w:val="single" w:sz="4" w:space="0" w:color="auto"/>
              <w:right w:val="single" w:sz="4" w:space="0" w:color="auto"/>
            </w:tcBorders>
            <w:vAlign w:val="center"/>
            <w:hideMark/>
          </w:tcPr>
          <w:p w14:paraId="57D1BDE1" w14:textId="25A3D5B6"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E524A4">
              <w:rPr>
                <w:vertAlign w:val="superscript"/>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246E4FB6" w14:textId="52277068"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36F4B86F" w14:textId="14658CDD"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c>
          <w:tcPr>
            <w:tcW w:w="556" w:type="pct"/>
            <w:tcBorders>
              <w:top w:val="single" w:sz="4" w:space="0" w:color="auto"/>
              <w:left w:val="single" w:sz="4" w:space="0" w:color="auto"/>
              <w:bottom w:val="single" w:sz="4" w:space="0" w:color="auto"/>
              <w:right w:val="single" w:sz="4" w:space="0" w:color="auto"/>
            </w:tcBorders>
            <w:vAlign w:val="center"/>
            <w:hideMark/>
          </w:tcPr>
          <w:p w14:paraId="65544075" w14:textId="54AD6B9D"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c>
          <w:tcPr>
            <w:tcW w:w="558" w:type="pct"/>
            <w:tcBorders>
              <w:top w:val="single" w:sz="4" w:space="0" w:color="auto"/>
              <w:left w:val="single" w:sz="4" w:space="0" w:color="auto"/>
              <w:bottom w:val="single" w:sz="4" w:space="0" w:color="auto"/>
              <w:right w:val="single" w:sz="4" w:space="0" w:color="auto"/>
            </w:tcBorders>
            <w:vAlign w:val="center"/>
            <w:hideMark/>
          </w:tcPr>
          <w:p w14:paraId="6C39A2F1" w14:textId="21B4B954"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r>
      <w:tr w:rsidR="006542F6" w:rsidRPr="00842260" w14:paraId="031268C3" w14:textId="77777777" w:rsidTr="004638F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5CB4B3F" w14:textId="77777777" w:rsidR="006542F6" w:rsidRPr="00842260" w:rsidRDefault="006542F6">
            <w:pPr>
              <w:pStyle w:val="TableText0"/>
              <w:rPr>
                <w:b/>
              </w:rPr>
            </w:pPr>
            <w:r w:rsidRPr="00842260">
              <w:rPr>
                <w:b/>
              </w:rPr>
              <w:t>Estimated financial implications for other medicines</w:t>
            </w:r>
          </w:p>
        </w:tc>
      </w:tr>
      <w:tr w:rsidR="006542F6" w:rsidRPr="00842260" w14:paraId="6227F7C7"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7449AF25" w14:textId="10B328E5" w:rsidR="006542F6" w:rsidRPr="00842260" w:rsidRDefault="006542F6">
            <w:pPr>
              <w:pStyle w:val="TableText0"/>
              <w:rPr>
                <w:sz w:val="19"/>
                <w:szCs w:val="19"/>
              </w:rPr>
            </w:pPr>
            <w:r w:rsidRPr="00842260">
              <w:rPr>
                <w:sz w:val="19"/>
                <w:szCs w:val="19"/>
              </w:rPr>
              <w:t>Cost to PBS/RPBS less copayments</w:t>
            </w:r>
            <w:r w:rsidR="00E524A4">
              <w:rPr>
                <w:sz w:val="19"/>
                <w:szCs w:val="19"/>
              </w:rPr>
              <w:t xml:space="preserv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49D10206" w14:textId="53EC4E36"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3" w:type="pct"/>
            <w:tcBorders>
              <w:top w:val="single" w:sz="4" w:space="0" w:color="auto"/>
              <w:left w:val="single" w:sz="4" w:space="0" w:color="auto"/>
              <w:bottom w:val="single" w:sz="4" w:space="0" w:color="auto"/>
              <w:right w:val="single" w:sz="4" w:space="0" w:color="auto"/>
            </w:tcBorders>
            <w:vAlign w:val="center"/>
            <w:hideMark/>
          </w:tcPr>
          <w:p w14:paraId="72477A04" w14:textId="3169AB15"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3B20E37D" w14:textId="6AD25007"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77C40BF2" w14:textId="385AA2BD"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370B4571" w14:textId="463DCB00"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8" w:type="pct"/>
            <w:tcBorders>
              <w:top w:val="single" w:sz="4" w:space="0" w:color="auto"/>
              <w:left w:val="single" w:sz="4" w:space="0" w:color="auto"/>
              <w:bottom w:val="single" w:sz="4" w:space="0" w:color="auto"/>
              <w:right w:val="single" w:sz="4" w:space="0" w:color="auto"/>
            </w:tcBorders>
            <w:vAlign w:val="center"/>
            <w:hideMark/>
          </w:tcPr>
          <w:p w14:paraId="4673C3B6" w14:textId="49A5EE84"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r>
      <w:tr w:rsidR="006542F6" w:rsidRPr="00842260" w14:paraId="2F59E109" w14:textId="77777777" w:rsidTr="004638F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2598541" w14:textId="77777777" w:rsidR="006542F6" w:rsidRPr="00842260" w:rsidRDefault="006542F6">
            <w:pPr>
              <w:pStyle w:val="In-tableHeading"/>
              <w:rPr>
                <w:lang w:val="en-AU"/>
              </w:rPr>
            </w:pPr>
            <w:r w:rsidRPr="00842260">
              <w:rPr>
                <w:lang w:val="en-AU"/>
              </w:rPr>
              <w:t>Net financial implications</w:t>
            </w:r>
          </w:p>
        </w:tc>
      </w:tr>
      <w:tr w:rsidR="006542F6" w:rsidRPr="00842260" w14:paraId="08BFCEC4"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261AE89E" w14:textId="03B559DD" w:rsidR="006542F6" w:rsidRPr="00842260" w:rsidRDefault="006542F6">
            <w:pPr>
              <w:pStyle w:val="TableText0"/>
              <w:rPr>
                <w:sz w:val="19"/>
                <w:szCs w:val="19"/>
              </w:rPr>
            </w:pPr>
            <w:r w:rsidRPr="00842260">
              <w:rPr>
                <w:sz w:val="19"/>
                <w:szCs w:val="19"/>
              </w:rPr>
              <w:t>Net cost to PBS/RPBS</w:t>
            </w:r>
            <w:r w:rsidR="00E524A4">
              <w:rPr>
                <w:sz w:val="19"/>
                <w:szCs w:val="19"/>
              </w:rPr>
              <w:t xml:space="preserv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715AC0C6" w14:textId="1288B8A2"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E524A4">
              <w:rPr>
                <w:vertAlign w:val="superscript"/>
              </w:rPr>
              <w:t>3</w:t>
            </w:r>
          </w:p>
        </w:tc>
        <w:tc>
          <w:tcPr>
            <w:tcW w:w="553" w:type="pct"/>
            <w:tcBorders>
              <w:top w:val="single" w:sz="4" w:space="0" w:color="auto"/>
              <w:left w:val="single" w:sz="4" w:space="0" w:color="auto"/>
              <w:bottom w:val="single" w:sz="4" w:space="0" w:color="auto"/>
              <w:right w:val="single" w:sz="4" w:space="0" w:color="auto"/>
            </w:tcBorders>
            <w:vAlign w:val="center"/>
            <w:hideMark/>
          </w:tcPr>
          <w:p w14:paraId="41A261CB" w14:textId="61359721"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0D8E77F3" w14:textId="59189BEA"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2D9C5888" w14:textId="069B523A"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c>
          <w:tcPr>
            <w:tcW w:w="556" w:type="pct"/>
            <w:tcBorders>
              <w:top w:val="single" w:sz="4" w:space="0" w:color="auto"/>
              <w:left w:val="single" w:sz="4" w:space="0" w:color="auto"/>
              <w:bottom w:val="single" w:sz="4" w:space="0" w:color="auto"/>
              <w:right w:val="single" w:sz="4" w:space="0" w:color="auto"/>
            </w:tcBorders>
            <w:vAlign w:val="center"/>
            <w:hideMark/>
          </w:tcPr>
          <w:p w14:paraId="61FD162C" w14:textId="6D433F15"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c>
          <w:tcPr>
            <w:tcW w:w="558" w:type="pct"/>
            <w:tcBorders>
              <w:top w:val="single" w:sz="4" w:space="0" w:color="auto"/>
              <w:left w:val="single" w:sz="4" w:space="0" w:color="auto"/>
              <w:bottom w:val="single" w:sz="4" w:space="0" w:color="auto"/>
              <w:right w:val="single" w:sz="4" w:space="0" w:color="auto"/>
            </w:tcBorders>
            <w:vAlign w:val="center"/>
            <w:hideMark/>
          </w:tcPr>
          <w:p w14:paraId="45487BBD" w14:textId="31D8439F"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r>
      <w:tr w:rsidR="006542F6" w:rsidRPr="00842260" w14:paraId="71BA1629"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416BE528" w14:textId="6DC9BDF1" w:rsidR="006542F6" w:rsidRPr="00842260" w:rsidRDefault="006542F6">
            <w:pPr>
              <w:pStyle w:val="TableText0"/>
              <w:rPr>
                <w:rFonts w:ascii="Times" w:hAnsi="Times"/>
              </w:rPr>
            </w:pPr>
            <w:r w:rsidRPr="00842260">
              <w:rPr>
                <w:sz w:val="19"/>
                <w:szCs w:val="19"/>
              </w:rPr>
              <w:t>Net cost to MBS</w:t>
            </w:r>
            <w:r w:rsidR="00E524A4">
              <w:rPr>
                <w:sz w:val="19"/>
                <w:szCs w:val="19"/>
              </w:rPr>
              <w:t xml:space="preserv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634312F6" w14:textId="081152A9"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3" w:type="pct"/>
            <w:tcBorders>
              <w:top w:val="single" w:sz="4" w:space="0" w:color="auto"/>
              <w:left w:val="single" w:sz="4" w:space="0" w:color="auto"/>
              <w:bottom w:val="single" w:sz="4" w:space="0" w:color="auto"/>
              <w:right w:val="single" w:sz="4" w:space="0" w:color="auto"/>
            </w:tcBorders>
            <w:vAlign w:val="center"/>
            <w:hideMark/>
          </w:tcPr>
          <w:p w14:paraId="1F3B42A2" w14:textId="177E65FD"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3F77FD78" w14:textId="38F9772B"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7943BC68" w14:textId="794674EB"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369FDD7D" w14:textId="15D8C74B"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c>
          <w:tcPr>
            <w:tcW w:w="558" w:type="pct"/>
            <w:tcBorders>
              <w:top w:val="single" w:sz="4" w:space="0" w:color="auto"/>
              <w:left w:val="single" w:sz="4" w:space="0" w:color="auto"/>
              <w:bottom w:val="single" w:sz="4" w:space="0" w:color="auto"/>
              <w:right w:val="single" w:sz="4" w:space="0" w:color="auto"/>
            </w:tcBorders>
            <w:vAlign w:val="center"/>
            <w:hideMark/>
          </w:tcPr>
          <w:p w14:paraId="2E00DA0E" w14:textId="5226786A" w:rsidR="006542F6" w:rsidRPr="00E524A4" w:rsidRDefault="007012DA">
            <w:pPr>
              <w:pStyle w:val="TableText0"/>
              <w:jc w:val="right"/>
              <w:rPr>
                <w:highlight w:val="yellow"/>
              </w:rPr>
            </w:pPr>
            <w:r w:rsidRPr="007012DA">
              <w:rPr>
                <w:color w:val="000000"/>
                <w:shd w:val="solid" w:color="000000" w:fill="000000"/>
                <w14:textFill>
                  <w14:solidFill>
                    <w14:srgbClr w14:val="000000">
                      <w14:alpha w14:val="100000"/>
                    </w14:srgbClr>
                  </w14:solidFill>
                </w14:textFill>
              </w:rPr>
              <w:t>|</w:t>
            </w:r>
            <w:r w:rsidR="00E524A4">
              <w:rPr>
                <w:vertAlign w:val="superscript"/>
              </w:rPr>
              <w:t>4</w:t>
            </w:r>
          </w:p>
        </w:tc>
      </w:tr>
      <w:tr w:rsidR="006542F6" w:rsidRPr="00842260" w14:paraId="39D6796C" w14:textId="77777777" w:rsidTr="004638FD">
        <w:tc>
          <w:tcPr>
            <w:tcW w:w="1665" w:type="pct"/>
            <w:tcBorders>
              <w:top w:val="single" w:sz="4" w:space="0" w:color="auto"/>
              <w:left w:val="single" w:sz="4" w:space="0" w:color="auto"/>
              <w:bottom w:val="single" w:sz="4" w:space="0" w:color="auto"/>
              <w:right w:val="single" w:sz="4" w:space="0" w:color="auto"/>
            </w:tcBorders>
            <w:vAlign w:val="center"/>
            <w:hideMark/>
          </w:tcPr>
          <w:p w14:paraId="0AF12340" w14:textId="1189C0C9" w:rsidR="006542F6" w:rsidRPr="00842260" w:rsidRDefault="006542F6">
            <w:pPr>
              <w:pStyle w:val="TableText0"/>
              <w:rPr>
                <w:sz w:val="19"/>
                <w:szCs w:val="19"/>
              </w:rPr>
            </w:pPr>
            <w:r w:rsidRPr="00842260">
              <w:rPr>
                <w:sz w:val="19"/>
                <w:szCs w:val="19"/>
              </w:rPr>
              <w:t>Net cost to PBS/RPBS/MBS</w:t>
            </w:r>
            <w:r w:rsidR="00E524A4">
              <w:rPr>
                <w:sz w:val="19"/>
                <w:szCs w:val="19"/>
              </w:rPr>
              <w:t xml:space="preserv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5FE20792" w14:textId="061544D5"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E524A4">
              <w:rPr>
                <w:vertAlign w:val="superscript"/>
              </w:rPr>
              <w:t>3</w:t>
            </w:r>
          </w:p>
        </w:tc>
        <w:tc>
          <w:tcPr>
            <w:tcW w:w="553" w:type="pct"/>
            <w:tcBorders>
              <w:top w:val="single" w:sz="4" w:space="0" w:color="auto"/>
              <w:left w:val="single" w:sz="4" w:space="0" w:color="auto"/>
              <w:bottom w:val="single" w:sz="4" w:space="0" w:color="auto"/>
              <w:right w:val="single" w:sz="4" w:space="0" w:color="auto"/>
            </w:tcBorders>
            <w:vAlign w:val="center"/>
            <w:hideMark/>
          </w:tcPr>
          <w:p w14:paraId="7D494427" w14:textId="6F785BD7"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7EC87D62" w14:textId="0B54D12E"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6C7F041F" w14:textId="3B1A08C2"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c>
          <w:tcPr>
            <w:tcW w:w="556" w:type="pct"/>
            <w:tcBorders>
              <w:top w:val="single" w:sz="4" w:space="0" w:color="auto"/>
              <w:left w:val="single" w:sz="4" w:space="0" w:color="auto"/>
              <w:bottom w:val="single" w:sz="4" w:space="0" w:color="auto"/>
              <w:right w:val="single" w:sz="4" w:space="0" w:color="auto"/>
            </w:tcBorders>
            <w:vAlign w:val="center"/>
            <w:hideMark/>
          </w:tcPr>
          <w:p w14:paraId="5FCE0C46" w14:textId="0C881ED9"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c>
          <w:tcPr>
            <w:tcW w:w="558" w:type="pct"/>
            <w:tcBorders>
              <w:top w:val="single" w:sz="4" w:space="0" w:color="auto"/>
              <w:left w:val="single" w:sz="4" w:space="0" w:color="auto"/>
              <w:bottom w:val="single" w:sz="4" w:space="0" w:color="auto"/>
              <w:right w:val="single" w:sz="4" w:space="0" w:color="auto"/>
            </w:tcBorders>
            <w:vAlign w:val="center"/>
            <w:hideMark/>
          </w:tcPr>
          <w:p w14:paraId="7EB9D2BC" w14:textId="1E491F29" w:rsidR="006542F6" w:rsidRPr="00E524A4" w:rsidRDefault="007012DA">
            <w:pPr>
              <w:pStyle w:val="TableText0"/>
              <w:jc w:val="right"/>
              <w:rPr>
                <w:highlight w:val="yellow"/>
              </w:rPr>
            </w:pPr>
            <w:r w:rsidRPr="007012DA">
              <w:rPr>
                <w:bCs w:val="0"/>
                <w:color w:val="000000"/>
                <w:szCs w:val="20"/>
                <w:shd w:val="solid" w:color="000000" w:fill="000000"/>
                <w14:textFill>
                  <w14:solidFill>
                    <w14:srgbClr w14:val="000000">
                      <w14:alpha w14:val="100000"/>
                    </w14:srgbClr>
                  </w14:solidFill>
                </w14:textFill>
              </w:rPr>
              <w:t>|</w:t>
            </w:r>
            <w:r w:rsidR="00C035EB">
              <w:rPr>
                <w:vertAlign w:val="superscript"/>
              </w:rPr>
              <w:t>8</w:t>
            </w:r>
          </w:p>
        </w:tc>
      </w:tr>
    </w:tbl>
    <w:p w14:paraId="73FCF946" w14:textId="77777777" w:rsidR="006542F6" w:rsidRPr="00842260" w:rsidRDefault="006542F6" w:rsidP="006542F6">
      <w:pPr>
        <w:pStyle w:val="TableFigureFooter"/>
        <w:rPr>
          <w:rStyle w:val="CommentReference"/>
        </w:rPr>
      </w:pPr>
      <w:r w:rsidRPr="00842260">
        <w:t xml:space="preserve">Source: Table 4-2, p236, Table 4-3, p237 and Table 4-4, p238 of the submission; “A7.1_Cost and utilisation model </w:t>
      </w:r>
      <w:proofErr w:type="spellStart"/>
      <w:r w:rsidRPr="00842260">
        <w:t>abemaciclib</w:t>
      </w:r>
      <w:proofErr w:type="spellEnd"/>
      <w:r w:rsidRPr="00842260">
        <w:t xml:space="preserve"> EBC” Excel workbook.</w:t>
      </w:r>
    </w:p>
    <w:p w14:paraId="4AF3F8DA" w14:textId="77777777" w:rsidR="006542F6" w:rsidRPr="00842260" w:rsidRDefault="006542F6" w:rsidP="006542F6">
      <w:pPr>
        <w:pStyle w:val="TableFigureFooter"/>
      </w:pPr>
      <w:r w:rsidRPr="00842260">
        <w:rPr>
          <w:vertAlign w:val="superscript"/>
        </w:rPr>
        <w:t xml:space="preserve">a </w:t>
      </w:r>
      <w:r w:rsidRPr="00842260">
        <w:t xml:space="preserve">From Year 2, the number of treated patients includes patients who initiate </w:t>
      </w:r>
      <w:proofErr w:type="spellStart"/>
      <w:r w:rsidRPr="00842260">
        <w:t>abemaciclib</w:t>
      </w:r>
      <w:proofErr w:type="spellEnd"/>
      <w:r w:rsidRPr="00842260">
        <w:t xml:space="preserve"> therapy in the previous year and </w:t>
      </w:r>
      <w:proofErr w:type="gramStart"/>
      <w:r w:rsidRPr="00842260">
        <w:t>continue on</w:t>
      </w:r>
      <w:proofErr w:type="gramEnd"/>
      <w:r w:rsidRPr="00842260">
        <w:t xml:space="preserve"> their second year of treatment.</w:t>
      </w:r>
    </w:p>
    <w:p w14:paraId="0C9E97F1" w14:textId="2D281DB5" w:rsidR="006542F6" w:rsidRDefault="006542F6" w:rsidP="006542F6">
      <w:pPr>
        <w:pStyle w:val="TableFigureFooter"/>
      </w:pPr>
      <w:r w:rsidRPr="00842260">
        <w:rPr>
          <w:vertAlign w:val="superscript"/>
        </w:rPr>
        <w:t xml:space="preserve">b </w:t>
      </w:r>
      <w:r w:rsidRPr="00842260">
        <w:t>13.04 (=365.25/28) scripts per year per treated patient</w:t>
      </w:r>
    </w:p>
    <w:p w14:paraId="19481845" w14:textId="77777777" w:rsidR="00E524A4" w:rsidRPr="00E524A4" w:rsidRDefault="00E524A4" w:rsidP="00E524A4">
      <w:pPr>
        <w:pStyle w:val="TableFigureFooter"/>
        <w:rPr>
          <w:i/>
        </w:rPr>
      </w:pPr>
      <w:r w:rsidRPr="00E524A4">
        <w:rPr>
          <w:i/>
        </w:rPr>
        <w:t xml:space="preserve">The redacted values correspond to the following ranges: </w:t>
      </w:r>
    </w:p>
    <w:p w14:paraId="7DD7C3E3" w14:textId="74AF8AC4" w:rsidR="00E524A4" w:rsidRPr="00E524A4" w:rsidRDefault="00E524A4" w:rsidP="00E524A4">
      <w:pPr>
        <w:pStyle w:val="TableFigureFooter"/>
        <w:rPr>
          <w:i/>
        </w:rPr>
      </w:pPr>
      <w:r w:rsidRPr="00E524A4">
        <w:rPr>
          <w:i/>
          <w:vertAlign w:val="superscript"/>
        </w:rPr>
        <w:t>1</w:t>
      </w:r>
      <w:r w:rsidRPr="00E524A4">
        <w:rPr>
          <w:i/>
        </w:rPr>
        <w:t xml:space="preserve"> </w:t>
      </w:r>
      <w:r w:rsidR="00C035EB" w:rsidRPr="00C035EB">
        <w:rPr>
          <w:i/>
        </w:rPr>
        <w:t>500 to &lt; 5,000</w:t>
      </w:r>
    </w:p>
    <w:p w14:paraId="5982DDD7" w14:textId="3EBA96EA" w:rsidR="00E524A4" w:rsidRPr="00E524A4" w:rsidRDefault="00E524A4" w:rsidP="00E524A4">
      <w:pPr>
        <w:pStyle w:val="TableFigureFooter"/>
        <w:rPr>
          <w:i/>
        </w:rPr>
      </w:pPr>
      <w:r w:rsidRPr="00E524A4">
        <w:rPr>
          <w:i/>
          <w:vertAlign w:val="superscript"/>
        </w:rPr>
        <w:t>2</w:t>
      </w:r>
      <w:r w:rsidRPr="00E524A4">
        <w:rPr>
          <w:i/>
        </w:rPr>
        <w:t xml:space="preserve"> </w:t>
      </w:r>
      <w:r w:rsidR="00C035EB" w:rsidRPr="00C035EB">
        <w:rPr>
          <w:i/>
        </w:rPr>
        <w:t>10,000 to &lt; 20,000</w:t>
      </w:r>
    </w:p>
    <w:p w14:paraId="0C855D0C" w14:textId="300DA75B" w:rsidR="00E524A4" w:rsidRPr="00E524A4" w:rsidRDefault="00E524A4" w:rsidP="00E524A4">
      <w:pPr>
        <w:pStyle w:val="TableFigureFooter"/>
        <w:rPr>
          <w:i/>
        </w:rPr>
      </w:pPr>
      <w:r w:rsidRPr="00E524A4">
        <w:rPr>
          <w:i/>
          <w:vertAlign w:val="superscript"/>
        </w:rPr>
        <w:t>3</w:t>
      </w:r>
      <w:r w:rsidRPr="00E524A4">
        <w:rPr>
          <w:i/>
        </w:rPr>
        <w:t xml:space="preserve"> </w:t>
      </w:r>
      <w:r w:rsidR="00C035EB" w:rsidRPr="00C035EB">
        <w:rPr>
          <w:i/>
        </w:rPr>
        <w:t>$20 million to &lt; $30 million</w:t>
      </w:r>
    </w:p>
    <w:p w14:paraId="734F43F6" w14:textId="693B6F96" w:rsidR="00E524A4" w:rsidRPr="00E524A4" w:rsidRDefault="00E524A4" w:rsidP="00E524A4">
      <w:pPr>
        <w:pStyle w:val="TableFigureFooter"/>
        <w:rPr>
          <w:i/>
        </w:rPr>
      </w:pPr>
      <w:r w:rsidRPr="00E524A4">
        <w:rPr>
          <w:i/>
          <w:vertAlign w:val="superscript"/>
        </w:rPr>
        <w:t>4</w:t>
      </w:r>
      <w:r w:rsidRPr="00E524A4">
        <w:rPr>
          <w:i/>
        </w:rPr>
        <w:t xml:space="preserve"> </w:t>
      </w:r>
      <w:r w:rsidR="00C035EB" w:rsidRPr="00C035EB">
        <w:rPr>
          <w:i/>
        </w:rPr>
        <w:t>$0 to &lt; $10 million</w:t>
      </w:r>
    </w:p>
    <w:p w14:paraId="2843FDC7" w14:textId="77777777" w:rsidR="00C035EB" w:rsidRPr="00C035EB" w:rsidRDefault="00E524A4" w:rsidP="00C035EB">
      <w:pPr>
        <w:pStyle w:val="TableFigureFooter"/>
        <w:rPr>
          <w:i/>
        </w:rPr>
      </w:pPr>
      <w:r w:rsidRPr="00E524A4">
        <w:rPr>
          <w:i/>
          <w:vertAlign w:val="superscript"/>
        </w:rPr>
        <w:t>5</w:t>
      </w:r>
      <w:r w:rsidRPr="00E524A4">
        <w:rPr>
          <w:i/>
        </w:rPr>
        <w:t xml:space="preserve"> </w:t>
      </w:r>
      <w:r w:rsidR="00C035EB" w:rsidRPr="00C035EB">
        <w:rPr>
          <w:i/>
        </w:rPr>
        <w:t>30,000 to &lt; 40,000</w:t>
      </w:r>
    </w:p>
    <w:p w14:paraId="6DA3D814" w14:textId="1FFAF396" w:rsidR="00E524A4" w:rsidRPr="00E524A4" w:rsidRDefault="00E524A4" w:rsidP="00E524A4">
      <w:pPr>
        <w:pStyle w:val="TableFigureFooter"/>
        <w:rPr>
          <w:i/>
        </w:rPr>
      </w:pPr>
      <w:r w:rsidRPr="00E524A4">
        <w:rPr>
          <w:i/>
          <w:vertAlign w:val="superscript"/>
        </w:rPr>
        <w:t>6</w:t>
      </w:r>
      <w:r w:rsidRPr="00E524A4">
        <w:rPr>
          <w:i/>
        </w:rPr>
        <w:t xml:space="preserve"> </w:t>
      </w:r>
      <w:r w:rsidR="00C035EB" w:rsidRPr="00C035EB">
        <w:rPr>
          <w:i/>
        </w:rPr>
        <w:t>$60 million to &lt; $70 million</w:t>
      </w:r>
    </w:p>
    <w:p w14:paraId="77086CF0" w14:textId="7A97175B" w:rsidR="00E524A4" w:rsidRDefault="00E524A4" w:rsidP="006542F6">
      <w:pPr>
        <w:pStyle w:val="TableFigureFooter"/>
        <w:rPr>
          <w:i/>
        </w:rPr>
      </w:pPr>
      <w:r>
        <w:rPr>
          <w:i/>
          <w:vertAlign w:val="superscript"/>
        </w:rPr>
        <w:t>7</w:t>
      </w:r>
      <w:r w:rsidRPr="00E524A4">
        <w:rPr>
          <w:i/>
        </w:rPr>
        <w:t xml:space="preserve"> </w:t>
      </w:r>
      <w:r w:rsidR="00C035EB" w:rsidRPr="00C035EB">
        <w:rPr>
          <w:i/>
        </w:rPr>
        <w:t>40,000 to &lt; 50,000</w:t>
      </w:r>
    </w:p>
    <w:p w14:paraId="40C54A9F" w14:textId="01701DA2" w:rsidR="00E524A4" w:rsidRPr="00E524A4" w:rsidRDefault="00E524A4" w:rsidP="00E524A4">
      <w:pPr>
        <w:pStyle w:val="TableFigureFooter"/>
        <w:rPr>
          <w:i/>
        </w:rPr>
      </w:pPr>
      <w:r>
        <w:rPr>
          <w:i/>
          <w:vertAlign w:val="superscript"/>
        </w:rPr>
        <w:t>8</w:t>
      </w:r>
      <w:r w:rsidRPr="00E524A4">
        <w:rPr>
          <w:i/>
        </w:rPr>
        <w:t xml:space="preserve"> </w:t>
      </w:r>
      <w:r w:rsidR="00C035EB" w:rsidRPr="00C035EB">
        <w:rPr>
          <w:i/>
        </w:rPr>
        <w:t>$70 million to &lt; $80 million</w:t>
      </w:r>
    </w:p>
    <w:p w14:paraId="3B37BCBC" w14:textId="5698FDE1" w:rsidR="006542F6" w:rsidRPr="00842260" w:rsidRDefault="006542F6" w:rsidP="006542F6">
      <w:pPr>
        <w:pStyle w:val="3-BodyText"/>
        <w:snapToGrid w:val="0"/>
      </w:pPr>
      <w:r w:rsidRPr="00842260">
        <w:t xml:space="preserve">The total cost to the PBS/RPBS of listing </w:t>
      </w:r>
      <w:proofErr w:type="spellStart"/>
      <w:r w:rsidRPr="00842260">
        <w:t>abemaciclib</w:t>
      </w:r>
      <w:proofErr w:type="spellEnd"/>
      <w:r w:rsidRPr="00842260">
        <w:t xml:space="preserve"> was estimated to be </w:t>
      </w:r>
      <w:r w:rsidR="00C035EB" w:rsidRPr="00C035EB">
        <w:t>$70 million to &lt; $80 million</w:t>
      </w:r>
      <w:r w:rsidR="00C035EB" w:rsidRPr="00C035EB" w:rsidDel="00C035EB">
        <w:t xml:space="preserve"> </w:t>
      </w:r>
      <w:r w:rsidRPr="00842260">
        <w:t xml:space="preserve">in Year 6, and a total of </w:t>
      </w:r>
      <w:r w:rsidR="00C035EB" w:rsidRPr="00C035EB">
        <w:t>$300 million to &lt; $400 </w:t>
      </w:r>
      <w:r w:rsidRPr="00842260">
        <w:t>million in the first 6 years of listing</w:t>
      </w:r>
      <w:r w:rsidRPr="00842260">
        <w:rPr>
          <w:color w:val="3366FF"/>
        </w:rPr>
        <w:t xml:space="preserve">. </w:t>
      </w:r>
    </w:p>
    <w:p w14:paraId="64505D60" w14:textId="27D40110" w:rsidR="006542F6" w:rsidRPr="00E70C24" w:rsidRDefault="00871B7A" w:rsidP="006542F6">
      <w:pPr>
        <w:pStyle w:val="3-BodyText"/>
        <w:snapToGrid w:val="0"/>
      </w:pPr>
      <w:r w:rsidRPr="00842260">
        <w:t>The evaluation considered that t</w:t>
      </w:r>
      <w:r w:rsidR="006542F6" w:rsidRPr="00842260">
        <w:t xml:space="preserve">he main areas of uncertainty in estimating the number of the patients likely to </w:t>
      </w:r>
      <w:r w:rsidR="006542F6" w:rsidRPr="00E70C24">
        <w:t xml:space="preserve">initiate </w:t>
      </w:r>
      <w:proofErr w:type="spellStart"/>
      <w:r w:rsidR="006542F6" w:rsidRPr="00E70C24">
        <w:t>abemaciclib</w:t>
      </w:r>
      <w:proofErr w:type="spellEnd"/>
      <w:r w:rsidR="006542F6" w:rsidRPr="00E70C24">
        <w:t xml:space="preserve"> therapy were: </w:t>
      </w:r>
    </w:p>
    <w:p w14:paraId="7A1B06FC" w14:textId="324C392E" w:rsidR="006542F6" w:rsidRPr="00E70C24" w:rsidRDefault="006542F6" w:rsidP="006542F6">
      <w:pPr>
        <w:pStyle w:val="3-BodyText"/>
        <w:numPr>
          <w:ilvl w:val="1"/>
          <w:numId w:val="30"/>
        </w:numPr>
        <w:snapToGrid w:val="0"/>
        <w:ind w:left="1418" w:hanging="425"/>
      </w:pPr>
      <w:r w:rsidRPr="00E70C24">
        <w:t>The proportion of lymph node positive patients</w:t>
      </w:r>
      <w:r w:rsidR="00357F5A" w:rsidRPr="00E70C24">
        <w:t xml:space="preserve"> (24.6%)</w:t>
      </w:r>
      <w:r w:rsidRPr="00E70C24">
        <w:t xml:space="preserve"> and the proportion of patients with early breast cancer at high risk of recurrence</w:t>
      </w:r>
      <w:r w:rsidR="00357F5A" w:rsidRPr="00E70C24">
        <w:t xml:space="preserve"> (48.8%)</w:t>
      </w:r>
      <w:r w:rsidRPr="00E70C24">
        <w:t>. The submission stated that both estimates were obtained from a commissioned analysis from the Surveillance, Epidemiology, and End Results (SEER)</w:t>
      </w:r>
      <w:r w:rsidR="00357F5A" w:rsidRPr="00E70C24">
        <w:t xml:space="preserve"> Program</w:t>
      </w:r>
      <w:r w:rsidRPr="00E70C24">
        <w:t xml:space="preserve">, </w:t>
      </w:r>
      <w:r w:rsidR="00E70C24" w:rsidRPr="00E70C24">
        <w:t>and the full report was provided with the PSCR.</w:t>
      </w:r>
    </w:p>
    <w:p w14:paraId="79E7ECF3" w14:textId="79B31094" w:rsidR="006542F6" w:rsidRPr="00842260" w:rsidRDefault="006542F6" w:rsidP="006542F6">
      <w:pPr>
        <w:pStyle w:val="3-BodyText"/>
        <w:numPr>
          <w:ilvl w:val="1"/>
          <w:numId w:val="30"/>
        </w:numPr>
        <w:snapToGrid w:val="0"/>
        <w:ind w:left="1418" w:hanging="425"/>
      </w:pPr>
      <w:r w:rsidRPr="00E70C24">
        <w:t xml:space="preserve">The uptake of </w:t>
      </w:r>
      <w:proofErr w:type="spellStart"/>
      <w:r w:rsidRPr="00E70C24">
        <w:t>abemaciclib</w:t>
      </w:r>
      <w:proofErr w:type="spellEnd"/>
      <w:r w:rsidR="00357F5A" w:rsidRPr="00E70C24">
        <w:t xml:space="preserve"> (</w:t>
      </w:r>
      <w:proofErr w:type="gramStart"/>
      <w:r w:rsidR="007012DA" w:rsidRPr="00791C44">
        <w:rPr>
          <w:color w:val="000000"/>
          <w:w w:val="15"/>
          <w:shd w:val="solid" w:color="000000" w:fill="000000"/>
          <w:fitText w:val="-20" w:id="-1500862464"/>
          <w14:textFill>
            <w14:solidFill>
              <w14:srgbClr w14:val="000000">
                <w14:alpha w14:val="100000"/>
              </w14:srgbClr>
            </w14:solidFill>
          </w14:textFill>
        </w:rPr>
        <w:t xml:space="preserve">|  </w:t>
      </w:r>
      <w:r w:rsidR="007012DA" w:rsidRPr="00791C44">
        <w:rPr>
          <w:color w:val="000000"/>
          <w:spacing w:val="-69"/>
          <w:w w:val="15"/>
          <w:shd w:val="solid" w:color="000000" w:fill="000000"/>
          <w:fitText w:val="-20" w:id="-1500862464"/>
          <w14:textFill>
            <w14:solidFill>
              <w14:srgbClr w14:val="000000">
                <w14:alpha w14:val="100000"/>
              </w14:srgbClr>
            </w14:solidFill>
          </w14:textFill>
        </w:rPr>
        <w:t>|</w:t>
      </w:r>
      <w:proofErr w:type="gramEnd"/>
      <w:r w:rsidR="00357F5A" w:rsidRPr="00E70C24">
        <w:t xml:space="preserve">% in Year 1, increasing to </w:t>
      </w:r>
      <w:r w:rsidR="007012DA" w:rsidRPr="00791C44">
        <w:rPr>
          <w:color w:val="000000"/>
          <w:w w:val="15"/>
          <w:shd w:val="solid" w:color="000000" w:fill="000000"/>
          <w:fitText w:val="-20" w:id="-1500862463"/>
          <w14:textFill>
            <w14:solidFill>
              <w14:srgbClr w14:val="000000">
                <w14:alpha w14:val="100000"/>
              </w14:srgbClr>
            </w14:solidFill>
          </w14:textFill>
        </w:rPr>
        <w:t xml:space="preserve">|  </w:t>
      </w:r>
      <w:r w:rsidR="007012DA" w:rsidRPr="00791C44">
        <w:rPr>
          <w:color w:val="000000"/>
          <w:spacing w:val="-69"/>
          <w:w w:val="15"/>
          <w:shd w:val="solid" w:color="000000" w:fill="000000"/>
          <w:fitText w:val="-20" w:id="-1500862463"/>
          <w14:textFill>
            <w14:solidFill>
              <w14:srgbClr w14:val="000000">
                <w14:alpha w14:val="100000"/>
              </w14:srgbClr>
            </w14:solidFill>
          </w14:textFill>
        </w:rPr>
        <w:t>|</w:t>
      </w:r>
      <w:r w:rsidR="00357F5A" w:rsidRPr="00E70C24">
        <w:t>% in Years 3-6)</w:t>
      </w:r>
      <w:r w:rsidRPr="00E70C24">
        <w:t xml:space="preserve">. This was estimated </w:t>
      </w:r>
      <w:proofErr w:type="gramStart"/>
      <w:r w:rsidRPr="00E70C24">
        <w:t>on the basis of</w:t>
      </w:r>
      <w:proofErr w:type="gramEnd"/>
      <w:r w:rsidRPr="00E70C24">
        <w:t xml:space="preserve"> previous PBAC advice on the uptake of T-DM1 as adjuvant therapy of patients with HER2+ early breast cancer with residual disease following HER2-targeted neoadjuvant therapy that included trastuzumab and </w:t>
      </w:r>
      <w:proofErr w:type="spellStart"/>
      <w:r w:rsidRPr="00E70C24">
        <w:t>taxane</w:t>
      </w:r>
      <w:proofErr w:type="spellEnd"/>
      <w:r w:rsidRPr="00E70C24">
        <w:t>-based chemotherapy (Trastuzumab emtansine PSD, November 2019 PBAC meeting). The applicability of the assumed uptake of</w:t>
      </w:r>
      <w:r w:rsidRPr="00842260">
        <w:t xml:space="preserve"> T-DM1 to the </w:t>
      </w:r>
      <w:proofErr w:type="spellStart"/>
      <w:r w:rsidRPr="00842260">
        <w:t>abemaciclib</w:t>
      </w:r>
      <w:proofErr w:type="spellEnd"/>
      <w:r w:rsidRPr="00842260">
        <w:t xml:space="preserve"> submission is uncertain, as the T-DM1 financial analysis took a modified market share approach and the uptake rate assumed in the analysis was effectively a substitution rate of adjuvant T-DM1 in patients who would otherwise receive</w:t>
      </w:r>
      <w:r w:rsidR="00871B7A" w:rsidRPr="00842260">
        <w:t xml:space="preserve"> adjuvant</w:t>
      </w:r>
      <w:r w:rsidR="00357F5A" w:rsidRPr="00842260">
        <w:t xml:space="preserve"> intravenous or subcutaneous</w:t>
      </w:r>
      <w:r w:rsidR="00871B7A" w:rsidRPr="00842260">
        <w:t xml:space="preserve"> trastuzum</w:t>
      </w:r>
      <w:r w:rsidR="00357F5A" w:rsidRPr="00842260">
        <w:t>ab</w:t>
      </w:r>
      <w:r w:rsidR="00871B7A" w:rsidRPr="00842260">
        <w:t>.</w:t>
      </w:r>
      <w:r w:rsidRPr="00842260">
        <w:t xml:space="preserve"> </w:t>
      </w:r>
      <w:r w:rsidR="00871B7A" w:rsidRPr="00842260">
        <w:t>In contrast,</w:t>
      </w:r>
      <w:r w:rsidRPr="00842260">
        <w:t xml:space="preserve"> the </w:t>
      </w:r>
      <w:proofErr w:type="spellStart"/>
      <w:r w:rsidRPr="00842260">
        <w:t>abemaciclib</w:t>
      </w:r>
      <w:proofErr w:type="spellEnd"/>
      <w:r w:rsidRPr="00842260">
        <w:t xml:space="preserve"> financial analysis took an </w:t>
      </w:r>
      <w:r w:rsidRPr="00842260">
        <w:lastRenderedPageBreak/>
        <w:t xml:space="preserve">epidemiological approach and the estimated uptake of </w:t>
      </w:r>
      <w:proofErr w:type="spellStart"/>
      <w:r w:rsidRPr="00842260">
        <w:t>abemaciclib</w:t>
      </w:r>
      <w:proofErr w:type="spellEnd"/>
      <w:r w:rsidRPr="00842260">
        <w:t xml:space="preserve"> was related to all eligible patients with HR+/HER2- early breast cancer with high risk of recurrence. </w:t>
      </w:r>
      <w:r w:rsidR="00357F5A" w:rsidRPr="00842260">
        <w:t>Further</w:t>
      </w:r>
      <w:r w:rsidRPr="00842260">
        <w:t xml:space="preserve">, the inferior safety profile of </w:t>
      </w:r>
      <w:proofErr w:type="spellStart"/>
      <w:r w:rsidRPr="00842260">
        <w:t>abemaciclib</w:t>
      </w:r>
      <w:proofErr w:type="spellEnd"/>
      <w:r w:rsidRPr="00842260">
        <w:t xml:space="preserve"> plus ET, in comparison with ET alone, might affect the uptake of </w:t>
      </w:r>
      <w:proofErr w:type="spellStart"/>
      <w:r w:rsidRPr="00842260">
        <w:t>abemaciclib</w:t>
      </w:r>
      <w:proofErr w:type="spellEnd"/>
      <w:r w:rsidRPr="00842260">
        <w:t xml:space="preserve"> in clinical practice. </w:t>
      </w:r>
      <w:r w:rsidR="00BF71A0" w:rsidRPr="00842260">
        <w:t xml:space="preserve">The pre-PBAC response argued that </w:t>
      </w:r>
      <w:r w:rsidR="00357F5A" w:rsidRPr="00842260">
        <w:t>the target</w:t>
      </w:r>
      <w:r w:rsidR="00BF71A0" w:rsidRPr="00842260">
        <w:t xml:space="preserve"> patient population would likely adopt a treatment with a positive efficacy and safety profile to improve the likelihood of a </w:t>
      </w:r>
      <w:proofErr w:type="gramStart"/>
      <w:r w:rsidR="00BF71A0" w:rsidRPr="00842260">
        <w:t>cure</w:t>
      </w:r>
      <w:r w:rsidR="00357F5A" w:rsidRPr="00842260">
        <w:t>,</w:t>
      </w:r>
      <w:r w:rsidR="00BF71A0" w:rsidRPr="00842260">
        <w:t xml:space="preserve"> and</w:t>
      </w:r>
      <w:proofErr w:type="gramEnd"/>
      <w:r w:rsidR="00BF71A0" w:rsidRPr="00842260">
        <w:t xml:space="preserve"> maintained the uptake rates assumed in the submission.</w:t>
      </w:r>
    </w:p>
    <w:p w14:paraId="57148391" w14:textId="7900B4F9" w:rsidR="006542F6" w:rsidRPr="00842260" w:rsidRDefault="006542F6" w:rsidP="006542F6">
      <w:pPr>
        <w:pStyle w:val="3-BodyText"/>
        <w:snapToGrid w:val="0"/>
      </w:pPr>
      <w:r w:rsidRPr="00842260">
        <w:t>The financial analysis assumed that all patients would receive the maximum treatment duration as specified in the requested PBS re</w:t>
      </w:r>
      <w:r w:rsidR="00871B7A" w:rsidRPr="00842260">
        <w:t>striction (</w:t>
      </w:r>
      <w:proofErr w:type="gramStart"/>
      <w:r w:rsidR="00871B7A" w:rsidRPr="00842260">
        <w:t>i.e.</w:t>
      </w:r>
      <w:proofErr w:type="gramEnd"/>
      <w:r w:rsidR="00871B7A" w:rsidRPr="00842260">
        <w:t xml:space="preserve"> 2 years), with</w:t>
      </w:r>
      <w:r w:rsidRPr="00842260">
        <w:t xml:space="preserve"> 100% compliance. </w:t>
      </w:r>
      <w:r w:rsidR="00D95E1C" w:rsidRPr="00842260">
        <w:t>The evaluation considered that this</w:t>
      </w:r>
      <w:r w:rsidRPr="00842260">
        <w:t xml:space="preserve"> has resulted in an overestimate of the net financial implications to the PBS/RPBS </w:t>
      </w:r>
      <w:r w:rsidR="00D95E1C" w:rsidRPr="00842260">
        <w:t>with</w:t>
      </w:r>
      <w:r w:rsidRPr="00842260">
        <w:t xml:space="preserve"> the proposed listing of </w:t>
      </w:r>
      <w:proofErr w:type="spellStart"/>
      <w:r w:rsidRPr="00842260">
        <w:t>abemaciclib</w:t>
      </w:r>
      <w:proofErr w:type="spellEnd"/>
      <w:r w:rsidRPr="00842260">
        <w:t>. If the average treatment duration modelled in the economic evaluation (19.4 months) is applied, the net PBS/RPBS cost over t</w:t>
      </w:r>
      <w:r w:rsidR="00992EEE" w:rsidRPr="00842260">
        <w:t>he first 6 years of listing would</w:t>
      </w:r>
      <w:r w:rsidRPr="00842260">
        <w:t xml:space="preserve"> reduce by 17.2% from the submission’s estimate (</w:t>
      </w:r>
      <w:r w:rsidRPr="00826D76">
        <w:t>from $</w:t>
      </w:r>
      <w:r w:rsidR="00826D76">
        <w:t>300 million to &lt; $400 million to $300 million to &lt; $400 million</w:t>
      </w:r>
      <w:r w:rsidRPr="00826D76">
        <w:t xml:space="preserve">). </w:t>
      </w:r>
      <w:r w:rsidR="002A03D6" w:rsidRPr="00826D76">
        <w:t xml:space="preserve">The pre-PBAC </w:t>
      </w:r>
      <w:proofErr w:type="gramStart"/>
      <w:r w:rsidR="002A03D6" w:rsidRPr="00826D76">
        <w:t xml:space="preserve">response </w:t>
      </w:r>
      <w:r w:rsidR="00C67121" w:rsidRPr="00826D76">
        <w:t>maintained</w:t>
      </w:r>
      <w:proofErr w:type="gramEnd"/>
      <w:r w:rsidR="00C67121" w:rsidRPr="00842260">
        <w:t xml:space="preserve"> support for an </w:t>
      </w:r>
      <w:proofErr w:type="spellStart"/>
      <w:r w:rsidR="002A03D6" w:rsidRPr="00842260">
        <w:t>abemaciclib</w:t>
      </w:r>
      <w:proofErr w:type="spellEnd"/>
      <w:r w:rsidR="002A03D6" w:rsidRPr="00842260">
        <w:t xml:space="preserve"> treatment duration of 2 years</w:t>
      </w:r>
      <w:r w:rsidR="00BB2A0A" w:rsidRPr="00842260">
        <w:t xml:space="preserve"> </w:t>
      </w:r>
      <w:r w:rsidR="002A03D6" w:rsidRPr="00842260">
        <w:t xml:space="preserve">and stated </w:t>
      </w:r>
      <w:r w:rsidR="00BB2A0A" w:rsidRPr="00842260">
        <w:t>that this</w:t>
      </w:r>
      <w:r w:rsidR="00C67121" w:rsidRPr="00842260">
        <w:t xml:space="preserve"> assumption </w:t>
      </w:r>
      <w:r w:rsidR="00BB2A0A" w:rsidRPr="00842260">
        <w:t>was</w:t>
      </w:r>
      <w:r w:rsidR="00C67121" w:rsidRPr="00842260">
        <w:t xml:space="preserve"> based on data </w:t>
      </w:r>
      <w:r w:rsidR="005E1BA4" w:rsidRPr="00842260">
        <w:t xml:space="preserve">reported </w:t>
      </w:r>
      <w:r w:rsidR="002A03D6" w:rsidRPr="00842260">
        <w:t xml:space="preserve">at the most recent </w:t>
      </w:r>
      <w:r w:rsidR="005E1BA4" w:rsidRPr="00842260">
        <w:t>data</w:t>
      </w:r>
      <w:r w:rsidR="00B13626">
        <w:t xml:space="preserve"> </w:t>
      </w:r>
      <w:r w:rsidR="005E1BA4" w:rsidRPr="00842260">
        <w:t>cut</w:t>
      </w:r>
      <w:r w:rsidR="002A03D6" w:rsidRPr="00842260">
        <w:t xml:space="preserve"> </w:t>
      </w:r>
      <w:r w:rsidR="002A03D6" w:rsidRPr="00057BE9">
        <w:t>(</w:t>
      </w:r>
      <w:r w:rsidR="00C67121" w:rsidRPr="00057BE9">
        <w:t xml:space="preserve">median treatment duration = </w:t>
      </w:r>
      <w:r w:rsidR="002A03D6" w:rsidRPr="00057BE9">
        <w:t>102.71 weeks</w:t>
      </w:r>
      <w:r w:rsidR="005E1BA4" w:rsidRPr="00057BE9">
        <w:t>; April 2021</w:t>
      </w:r>
      <w:r w:rsidR="002A03D6" w:rsidRPr="00057BE9">
        <w:t xml:space="preserve">). </w:t>
      </w:r>
      <w:r w:rsidR="00BB2A0A" w:rsidRPr="00057BE9">
        <w:t>The pre-PBAC response st</w:t>
      </w:r>
      <w:r w:rsidR="00BB2A0A" w:rsidRPr="00842260">
        <w:t>ated</w:t>
      </w:r>
      <w:r w:rsidR="00992EEE" w:rsidRPr="00842260">
        <w:t xml:space="preserve"> </w:t>
      </w:r>
      <w:r w:rsidR="00BB2A0A" w:rsidRPr="00842260">
        <w:t>that treatment compliance of 100% was also reasonable, based on data reported for the overall safety population (</w:t>
      </w:r>
      <w:r w:rsidR="006812D3" w:rsidRPr="00842260">
        <w:t>April 2021</w:t>
      </w:r>
      <w:r w:rsidR="00BB2A0A" w:rsidRPr="00842260">
        <w:t xml:space="preserve"> data </w:t>
      </w:r>
      <w:proofErr w:type="spellStart"/>
      <w:r w:rsidR="00BB2A0A" w:rsidRPr="00842260">
        <w:t>cutoff</w:t>
      </w:r>
      <w:proofErr w:type="spellEnd"/>
      <w:r w:rsidR="00BB2A0A" w:rsidRPr="00842260">
        <w:t>).</w:t>
      </w:r>
    </w:p>
    <w:p w14:paraId="57B7C94F" w14:textId="59F69FD7" w:rsidR="001874DA" w:rsidRPr="00842260" w:rsidRDefault="006542F6" w:rsidP="001874DA">
      <w:pPr>
        <w:pStyle w:val="3-BodyText"/>
        <w:snapToGrid w:val="0"/>
      </w:pPr>
      <w:r w:rsidRPr="00842260">
        <w:t xml:space="preserve">No additional costs for the management of AEs were </w:t>
      </w:r>
      <w:proofErr w:type="gramStart"/>
      <w:r w:rsidRPr="00842260">
        <w:t>taken into account</w:t>
      </w:r>
      <w:proofErr w:type="gramEnd"/>
      <w:r w:rsidRPr="00842260">
        <w:t xml:space="preserve"> in the financial estimates. The safety results from the pivotal trial, </w:t>
      </w:r>
      <w:proofErr w:type="spellStart"/>
      <w:r w:rsidRPr="00842260">
        <w:t>monarchE</w:t>
      </w:r>
      <w:proofErr w:type="spellEnd"/>
      <w:r w:rsidRPr="00842260">
        <w:t xml:space="preserve">, indicated that </w:t>
      </w:r>
      <w:proofErr w:type="spellStart"/>
      <w:r w:rsidRPr="00842260">
        <w:t>abemaciclib</w:t>
      </w:r>
      <w:proofErr w:type="spellEnd"/>
      <w:r w:rsidRPr="00842260">
        <w:t xml:space="preserve"> in combination with ET was associated with an increased risk of diarrhoea AEs, both of any grade and of Grade 3-5, compared with ET alone. Loperamide is the </w:t>
      </w:r>
      <w:proofErr w:type="gramStart"/>
      <w:r w:rsidRPr="00842260">
        <w:t>most commonly used</w:t>
      </w:r>
      <w:proofErr w:type="gramEnd"/>
      <w:r w:rsidRPr="00842260">
        <w:t xml:space="preserve"> treatment for diarrhoea. The submission argued that, as the PBS patient co-payment exceeds the retail price of loperamide, patients are more likely to buy loperamide as an over-the-counter medication if required. In addition, the sponsor has a scheme which supplies loperamide to clinicians for patients at no cost. Patients with Grade </w:t>
      </w:r>
      <w:r w:rsidRPr="00842260">
        <w:rPr>
          <w:rFonts w:cstheme="minorHAnsi"/>
        </w:rPr>
        <w:t>≥</w:t>
      </w:r>
      <w:r w:rsidRPr="00842260">
        <w:t xml:space="preserve">3 diarrhoea might need more intensive treatment than loperamide. Apart from diarrhoea, the incidence of Grade ≥ 3 neutropenia, leukopenia and lymphopenia was also higher in patients receiving </w:t>
      </w:r>
      <w:proofErr w:type="spellStart"/>
      <w:r w:rsidRPr="00842260">
        <w:t>abemaciclib</w:t>
      </w:r>
      <w:proofErr w:type="spellEnd"/>
      <w:r w:rsidRPr="00842260">
        <w:t xml:space="preserve"> + ET than those in the comparator ET arm of Trial </w:t>
      </w:r>
      <w:proofErr w:type="spellStart"/>
      <w:r w:rsidRPr="00842260">
        <w:t>monarchE</w:t>
      </w:r>
      <w:proofErr w:type="spellEnd"/>
      <w:r w:rsidRPr="00842260">
        <w:t xml:space="preserve"> (</w:t>
      </w:r>
      <w:r w:rsidRPr="00842260">
        <w:fldChar w:fldCharType="begin"/>
      </w:r>
      <w:r w:rsidRPr="00842260">
        <w:instrText xml:space="preserve"> REF _Ref92792254 \h  \* MERGEFORMAT </w:instrText>
      </w:r>
      <w:r w:rsidRPr="00842260">
        <w:fldChar w:fldCharType="separate"/>
      </w:r>
      <w:r w:rsidR="00053218" w:rsidRPr="00053218">
        <w:rPr>
          <w:rFonts w:eastAsiaTheme="majorEastAsia"/>
        </w:rPr>
        <w:t>Table 5</w:t>
      </w:r>
      <w:r w:rsidRPr="00842260">
        <w:fldChar w:fldCharType="end"/>
      </w:r>
      <w:r w:rsidRPr="00842260">
        <w:t xml:space="preserve">). The removal of costs associated with management of these AEs, </w:t>
      </w:r>
      <w:proofErr w:type="gramStart"/>
      <w:r w:rsidRPr="00842260">
        <w:t>e.g.</w:t>
      </w:r>
      <w:proofErr w:type="gramEnd"/>
      <w:r w:rsidRPr="00842260">
        <w:t xml:space="preserve"> filgrastim and full blood count, would result in an underestimate of the net PBS/RPBS costs and the MBS costs due to the listing of </w:t>
      </w:r>
      <w:proofErr w:type="spellStart"/>
      <w:r w:rsidRPr="00842260">
        <w:t>abemaciclib</w:t>
      </w:r>
      <w:proofErr w:type="spellEnd"/>
      <w:r w:rsidRPr="00842260">
        <w:t>.</w:t>
      </w:r>
    </w:p>
    <w:p w14:paraId="55716814" w14:textId="17D1F095" w:rsidR="00873D81" w:rsidRPr="00842260" w:rsidRDefault="00A61C11" w:rsidP="0055379C">
      <w:pPr>
        <w:pStyle w:val="3-BodyText"/>
        <w:snapToGrid w:val="0"/>
        <w:rPr>
          <w:iCs/>
        </w:rPr>
      </w:pPr>
      <w:r w:rsidRPr="00842260">
        <w:t xml:space="preserve">The </w:t>
      </w:r>
      <w:r w:rsidR="0055379C" w:rsidRPr="00842260">
        <w:t>DUSC</w:t>
      </w:r>
      <w:r w:rsidR="00B82743" w:rsidRPr="00842260">
        <w:t xml:space="preserve"> agreed with the evaluation that </w:t>
      </w:r>
      <w:r w:rsidR="0055379C" w:rsidRPr="00842260">
        <w:t>the</w:t>
      </w:r>
      <w:r w:rsidRPr="00842260">
        <w:t xml:space="preserve"> financial</w:t>
      </w:r>
      <w:r w:rsidR="0055379C" w:rsidRPr="00842260">
        <w:t xml:space="preserve"> estimates presented in the submission </w:t>
      </w:r>
      <w:r w:rsidRPr="00842260">
        <w:t>were</w:t>
      </w:r>
      <w:r w:rsidR="0055379C" w:rsidRPr="00842260">
        <w:t xml:space="preserve"> overestimated. </w:t>
      </w:r>
      <w:r w:rsidR="00357F5A" w:rsidRPr="00842260">
        <w:t>The DUSC</w:t>
      </w:r>
      <w:r w:rsidR="00B82743" w:rsidRPr="00842260">
        <w:t xml:space="preserve"> </w:t>
      </w:r>
      <w:r w:rsidR="00D95E1C" w:rsidRPr="00842260">
        <w:t>considered</w:t>
      </w:r>
      <w:r w:rsidR="00357F5A" w:rsidRPr="00842260">
        <w:t xml:space="preserve"> that</w:t>
      </w:r>
      <w:r w:rsidR="00873D81" w:rsidRPr="00842260">
        <w:t>:</w:t>
      </w:r>
      <w:r w:rsidR="00357F5A" w:rsidRPr="00842260">
        <w:t xml:space="preserve"> </w:t>
      </w:r>
    </w:p>
    <w:p w14:paraId="674FE63B" w14:textId="21E18C38" w:rsidR="00357F5A" w:rsidRPr="00842260" w:rsidRDefault="00873D81" w:rsidP="00873D81">
      <w:pPr>
        <w:pStyle w:val="3-BodyText"/>
        <w:numPr>
          <w:ilvl w:val="0"/>
          <w:numId w:val="10"/>
        </w:numPr>
        <w:snapToGrid w:val="0"/>
        <w:ind w:left="1276"/>
        <w:rPr>
          <w:iCs/>
        </w:rPr>
      </w:pPr>
      <w:r w:rsidRPr="00E70C24">
        <w:t>An uptake</w:t>
      </w:r>
      <w:r w:rsidR="00357F5A" w:rsidRPr="00E70C24">
        <w:t xml:space="preserve"> ra</w:t>
      </w:r>
      <w:r w:rsidRPr="00E70C24">
        <w:t>te</w:t>
      </w:r>
      <w:r w:rsidR="00357F5A" w:rsidRPr="00E70C24">
        <w:t xml:space="preserve"> of </w:t>
      </w:r>
      <w:proofErr w:type="gramStart"/>
      <w:r w:rsidR="00363CDF" w:rsidRPr="00791C44">
        <w:rPr>
          <w:color w:val="000000"/>
          <w:w w:val="15"/>
          <w:shd w:val="solid" w:color="000000" w:fill="000000"/>
          <w:fitText w:val="-20" w:id="-1495654912"/>
          <w14:textFill>
            <w14:solidFill>
              <w14:srgbClr w14:val="000000">
                <w14:alpha w14:val="100000"/>
              </w14:srgbClr>
            </w14:solidFill>
          </w14:textFill>
        </w:rPr>
        <w:t xml:space="preserve">|  </w:t>
      </w:r>
      <w:r w:rsidR="00363CDF" w:rsidRPr="00791C44">
        <w:rPr>
          <w:color w:val="000000"/>
          <w:spacing w:val="-69"/>
          <w:w w:val="15"/>
          <w:shd w:val="solid" w:color="000000" w:fill="000000"/>
          <w:fitText w:val="-20" w:id="-1495654912"/>
          <w14:textFill>
            <w14:solidFill>
              <w14:srgbClr w14:val="000000">
                <w14:alpha w14:val="100000"/>
              </w14:srgbClr>
            </w14:solidFill>
          </w14:textFill>
        </w:rPr>
        <w:t>|</w:t>
      </w:r>
      <w:proofErr w:type="gramEnd"/>
      <w:r w:rsidR="00357F5A" w:rsidRPr="00E70C24">
        <w:t xml:space="preserve">% in </w:t>
      </w:r>
      <w:r w:rsidRPr="00E70C24">
        <w:t>Y</w:t>
      </w:r>
      <w:r w:rsidR="00357F5A" w:rsidRPr="00E70C24">
        <w:t xml:space="preserve">ear 1 </w:t>
      </w:r>
      <w:r w:rsidR="00D95E1C" w:rsidRPr="00E70C24">
        <w:t>increasing</w:t>
      </w:r>
      <w:r w:rsidR="00357F5A" w:rsidRPr="00E70C24">
        <w:t xml:space="preserve"> to </w:t>
      </w:r>
      <w:r w:rsidR="007012DA" w:rsidRPr="00791C44">
        <w:rPr>
          <w:color w:val="000000"/>
          <w:w w:val="15"/>
          <w:shd w:val="solid" w:color="000000" w:fill="000000"/>
          <w:fitText w:val="-20" w:id="-1500862462"/>
          <w14:textFill>
            <w14:solidFill>
              <w14:srgbClr w14:val="000000">
                <w14:alpha w14:val="100000"/>
              </w14:srgbClr>
            </w14:solidFill>
          </w14:textFill>
        </w:rPr>
        <w:t xml:space="preserve">|  </w:t>
      </w:r>
      <w:r w:rsidR="007012DA" w:rsidRPr="00791C44">
        <w:rPr>
          <w:color w:val="000000"/>
          <w:spacing w:val="-69"/>
          <w:w w:val="15"/>
          <w:shd w:val="solid" w:color="000000" w:fill="000000"/>
          <w:fitText w:val="-20" w:id="-1500862462"/>
          <w14:textFill>
            <w14:solidFill>
              <w14:srgbClr w14:val="000000">
                <w14:alpha w14:val="100000"/>
              </w14:srgbClr>
            </w14:solidFill>
          </w14:textFill>
        </w:rPr>
        <w:t>|</w:t>
      </w:r>
      <w:r w:rsidR="00357F5A" w:rsidRPr="00E70C24">
        <w:t>–</w:t>
      </w:r>
      <w:r w:rsidR="007012DA" w:rsidRPr="00791C44">
        <w:rPr>
          <w:color w:val="000000"/>
          <w:w w:val="15"/>
          <w:shd w:val="solid" w:color="000000" w:fill="000000"/>
          <w:fitText w:val="-20" w:id="-1500862461"/>
          <w14:textFill>
            <w14:solidFill>
              <w14:srgbClr w14:val="000000">
                <w14:alpha w14:val="100000"/>
              </w14:srgbClr>
            </w14:solidFill>
          </w14:textFill>
        </w:rPr>
        <w:t xml:space="preserve">|  </w:t>
      </w:r>
      <w:r w:rsidR="007012DA" w:rsidRPr="00791C44">
        <w:rPr>
          <w:color w:val="000000"/>
          <w:spacing w:val="-69"/>
          <w:w w:val="15"/>
          <w:shd w:val="solid" w:color="000000" w:fill="000000"/>
          <w:fitText w:val="-20" w:id="-1500862461"/>
          <w14:textFill>
            <w14:solidFill>
              <w14:srgbClr w14:val="000000">
                <w14:alpha w14:val="100000"/>
              </w14:srgbClr>
            </w14:solidFill>
          </w14:textFill>
        </w:rPr>
        <w:t>|</w:t>
      </w:r>
      <w:r w:rsidR="00357F5A" w:rsidRPr="00E70C24">
        <w:t xml:space="preserve">% by </w:t>
      </w:r>
      <w:r w:rsidRPr="00E70C24">
        <w:t>Y</w:t>
      </w:r>
      <w:r w:rsidR="00357F5A" w:rsidRPr="00E70C24">
        <w:t>ear 6</w:t>
      </w:r>
      <w:r w:rsidR="00357F5A" w:rsidRPr="00842260">
        <w:t xml:space="preserve"> would be more appropriate</w:t>
      </w:r>
      <w:r w:rsidRPr="00842260">
        <w:t xml:space="preserve"> than the submission estimate of </w:t>
      </w:r>
      <w:r w:rsidR="00363CDF" w:rsidRPr="00791C44">
        <w:rPr>
          <w:color w:val="000000"/>
          <w:w w:val="15"/>
          <w:shd w:val="solid" w:color="000000" w:fill="000000"/>
          <w:fitText w:val="-20" w:id="-1495654911"/>
          <w14:textFill>
            <w14:solidFill>
              <w14:srgbClr w14:val="000000">
                <w14:alpha w14:val="100000"/>
              </w14:srgbClr>
            </w14:solidFill>
          </w14:textFill>
        </w:rPr>
        <w:t xml:space="preserve">|  </w:t>
      </w:r>
      <w:r w:rsidR="00363CDF" w:rsidRPr="00791C44">
        <w:rPr>
          <w:color w:val="000000"/>
          <w:spacing w:val="-69"/>
          <w:w w:val="15"/>
          <w:shd w:val="solid" w:color="000000" w:fill="000000"/>
          <w:fitText w:val="-20" w:id="-1495654911"/>
          <w14:textFill>
            <w14:solidFill>
              <w14:srgbClr w14:val="000000">
                <w14:alpha w14:val="100000"/>
              </w14:srgbClr>
            </w14:solidFill>
          </w14:textFill>
        </w:rPr>
        <w:t>|</w:t>
      </w:r>
      <w:r w:rsidRPr="00842260">
        <w:t xml:space="preserve">% in Year 1 increasing to </w:t>
      </w:r>
      <w:r w:rsidR="00363CDF" w:rsidRPr="00791C44">
        <w:rPr>
          <w:color w:val="000000"/>
          <w:w w:val="15"/>
          <w:shd w:val="solid" w:color="000000" w:fill="000000"/>
          <w:fitText w:val="-20" w:id="-1495654910"/>
          <w14:textFill>
            <w14:solidFill>
              <w14:srgbClr w14:val="000000">
                <w14:alpha w14:val="100000"/>
              </w14:srgbClr>
            </w14:solidFill>
          </w14:textFill>
        </w:rPr>
        <w:t xml:space="preserve">|  </w:t>
      </w:r>
      <w:r w:rsidR="00363CDF" w:rsidRPr="00791C44">
        <w:rPr>
          <w:color w:val="000000"/>
          <w:spacing w:val="-69"/>
          <w:w w:val="15"/>
          <w:shd w:val="solid" w:color="000000" w:fill="000000"/>
          <w:fitText w:val="-20" w:id="-1495654910"/>
          <w14:textFill>
            <w14:solidFill>
              <w14:srgbClr w14:val="000000">
                <w14:alpha w14:val="100000"/>
              </w14:srgbClr>
            </w14:solidFill>
          </w14:textFill>
        </w:rPr>
        <w:t>|</w:t>
      </w:r>
      <w:r w:rsidRPr="00842260">
        <w:t xml:space="preserve">% in Years </w:t>
      </w:r>
      <w:r w:rsidRPr="00842260">
        <w:lastRenderedPageBreak/>
        <w:t xml:space="preserve">3-6, as </w:t>
      </w:r>
      <w:r w:rsidR="00363CDF" w:rsidRPr="00791C44">
        <w:rPr>
          <w:color w:val="000000"/>
          <w:w w:val="15"/>
          <w:shd w:val="solid" w:color="000000" w:fill="000000"/>
          <w:fitText w:val="-20" w:id="-1495654909"/>
          <w14:textFill>
            <w14:solidFill>
              <w14:srgbClr w14:val="000000">
                <w14:alpha w14:val="100000"/>
              </w14:srgbClr>
            </w14:solidFill>
          </w14:textFill>
        </w:rPr>
        <w:t xml:space="preserve">|  </w:t>
      </w:r>
      <w:r w:rsidR="00363CDF" w:rsidRPr="00791C44">
        <w:rPr>
          <w:color w:val="000000"/>
          <w:spacing w:val="-69"/>
          <w:w w:val="15"/>
          <w:shd w:val="solid" w:color="000000" w:fill="000000"/>
          <w:fitText w:val="-20" w:id="-1495654909"/>
          <w14:textFill>
            <w14:solidFill>
              <w14:srgbClr w14:val="000000">
                <w14:alpha w14:val="100000"/>
              </w14:srgbClr>
            </w14:solidFill>
          </w14:textFill>
        </w:rPr>
        <w:t>|</w:t>
      </w:r>
      <w:r w:rsidRPr="00842260">
        <w:t xml:space="preserve">% of patients using </w:t>
      </w:r>
      <w:proofErr w:type="spellStart"/>
      <w:r w:rsidRPr="00842260">
        <w:t>abemaciclib</w:t>
      </w:r>
      <w:proofErr w:type="spellEnd"/>
      <w:r w:rsidRPr="00842260">
        <w:t xml:space="preserve"> by Year 3 would be unlikely in an older/frailer patient population;</w:t>
      </w:r>
    </w:p>
    <w:p w14:paraId="3D076557" w14:textId="4700BD2B" w:rsidR="00873D81" w:rsidRPr="00842260" w:rsidRDefault="00D95E1C" w:rsidP="00873D81">
      <w:pPr>
        <w:pStyle w:val="3-BodyText"/>
        <w:numPr>
          <w:ilvl w:val="0"/>
          <w:numId w:val="10"/>
        </w:numPr>
        <w:snapToGrid w:val="0"/>
        <w:ind w:left="1276"/>
        <w:rPr>
          <w:iCs/>
        </w:rPr>
      </w:pPr>
      <w:r w:rsidRPr="00842260">
        <w:rPr>
          <w:iCs/>
        </w:rPr>
        <w:t xml:space="preserve">The duration of therapy should be reduced from 24 months due to toxicity and </w:t>
      </w:r>
      <w:r w:rsidRPr="00842260">
        <w:t>average treatment duration modelled in the economic evaluation was 19.4 months.</w:t>
      </w:r>
    </w:p>
    <w:p w14:paraId="4EF65A4B" w14:textId="2238DCAA" w:rsidR="00D95E1C" w:rsidRPr="00842260" w:rsidRDefault="00D95E1C" w:rsidP="00B82743">
      <w:pPr>
        <w:pStyle w:val="3-BodyText"/>
        <w:numPr>
          <w:ilvl w:val="0"/>
          <w:numId w:val="10"/>
        </w:numPr>
        <w:snapToGrid w:val="0"/>
        <w:ind w:left="1276"/>
        <w:rPr>
          <w:iCs/>
        </w:rPr>
      </w:pPr>
      <w:r w:rsidRPr="00842260">
        <w:t xml:space="preserve">Compliance should be reduced from 100% to reflect use in real world populations as opposed to the </w:t>
      </w:r>
      <w:proofErr w:type="spellStart"/>
      <w:r w:rsidRPr="00842260">
        <w:t>monarchE</w:t>
      </w:r>
      <w:proofErr w:type="spellEnd"/>
      <w:r w:rsidRPr="00842260">
        <w:t xml:space="preserve"> trial population.</w:t>
      </w:r>
    </w:p>
    <w:p w14:paraId="7A762B5D" w14:textId="5EA80ACB" w:rsidR="00B82743" w:rsidRPr="00842260" w:rsidRDefault="00B82743" w:rsidP="00B82743">
      <w:pPr>
        <w:pStyle w:val="3-BodyText"/>
        <w:numPr>
          <w:ilvl w:val="0"/>
          <w:numId w:val="10"/>
        </w:numPr>
        <w:snapToGrid w:val="0"/>
        <w:ind w:left="1276"/>
        <w:rPr>
          <w:iCs/>
        </w:rPr>
      </w:pPr>
      <w:r w:rsidRPr="00842260">
        <w:t xml:space="preserve">The </w:t>
      </w:r>
      <w:r w:rsidRPr="00842260">
        <w:rPr>
          <w:iCs/>
        </w:rPr>
        <w:t xml:space="preserve">costs associated with managing AEs associated with the treatment of </w:t>
      </w:r>
      <w:proofErr w:type="spellStart"/>
      <w:r w:rsidRPr="00842260">
        <w:rPr>
          <w:iCs/>
        </w:rPr>
        <w:t>abemaciclib</w:t>
      </w:r>
      <w:proofErr w:type="spellEnd"/>
      <w:r w:rsidRPr="00842260">
        <w:rPr>
          <w:iCs/>
        </w:rPr>
        <w:t xml:space="preserve"> should be added to the net cost to the PBS/RPBS and MBS.</w:t>
      </w:r>
    </w:p>
    <w:p w14:paraId="02549F82" w14:textId="28C29751" w:rsidR="00EB0A18" w:rsidRPr="00842260" w:rsidRDefault="001874DA" w:rsidP="0055379C">
      <w:pPr>
        <w:pStyle w:val="3-BodyText"/>
        <w:snapToGrid w:val="0"/>
        <w:rPr>
          <w:iCs/>
        </w:rPr>
      </w:pPr>
      <w:r w:rsidRPr="00842260">
        <w:rPr>
          <w:iCs/>
        </w:rPr>
        <w:t>The DUSC advised that changes to the inputs and structure of the model used to derive the utilisation and financial estimates should be considered. These included a reduction to the uptake</w:t>
      </w:r>
      <w:r w:rsidR="00C8541E" w:rsidRPr="00842260">
        <w:rPr>
          <w:iCs/>
        </w:rPr>
        <w:t xml:space="preserve"> and compliance</w:t>
      </w:r>
      <w:r w:rsidRPr="00842260">
        <w:rPr>
          <w:iCs/>
        </w:rPr>
        <w:t xml:space="preserve"> rate</w:t>
      </w:r>
      <w:r w:rsidR="00C8541E" w:rsidRPr="00842260">
        <w:rPr>
          <w:iCs/>
        </w:rPr>
        <w:t>s</w:t>
      </w:r>
      <w:r w:rsidRPr="00842260">
        <w:rPr>
          <w:iCs/>
        </w:rPr>
        <w:t xml:space="preserve"> and </w:t>
      </w:r>
      <w:r w:rsidR="00C8541E" w:rsidRPr="00842260">
        <w:rPr>
          <w:iCs/>
        </w:rPr>
        <w:t xml:space="preserve">the </w:t>
      </w:r>
      <w:r w:rsidRPr="00842260">
        <w:rPr>
          <w:iCs/>
        </w:rPr>
        <w:t>duration of therapy</w:t>
      </w:r>
      <w:r w:rsidR="00B82743" w:rsidRPr="00842260">
        <w:rPr>
          <w:iCs/>
        </w:rPr>
        <w:t xml:space="preserve"> discussed in </w:t>
      </w:r>
      <w:r w:rsidR="004638FD" w:rsidRPr="00842260">
        <w:rPr>
          <w:iCs/>
        </w:rPr>
        <w:t>paragraph 6.58</w:t>
      </w:r>
      <w:r w:rsidR="00B82743" w:rsidRPr="00842260">
        <w:rPr>
          <w:iCs/>
        </w:rPr>
        <w:t>,</w:t>
      </w:r>
      <w:r w:rsidRPr="00842260">
        <w:rPr>
          <w:iCs/>
        </w:rPr>
        <w:t xml:space="preserve"> and </w:t>
      </w:r>
      <w:r w:rsidR="00C8541E" w:rsidRPr="00842260">
        <w:rPr>
          <w:iCs/>
        </w:rPr>
        <w:t xml:space="preserve">a review of the </w:t>
      </w:r>
      <w:r w:rsidRPr="00842260">
        <w:rPr>
          <w:iCs/>
        </w:rPr>
        <w:t xml:space="preserve">costs used for metastatic recurrence and </w:t>
      </w:r>
      <w:r w:rsidR="000040E2" w:rsidRPr="00842260">
        <w:rPr>
          <w:iCs/>
        </w:rPr>
        <w:t>AEs</w:t>
      </w:r>
      <w:r w:rsidR="00EB0A18" w:rsidRPr="00842260">
        <w:rPr>
          <w:iCs/>
        </w:rPr>
        <w:t>.</w:t>
      </w:r>
    </w:p>
    <w:p w14:paraId="01FEE06E" w14:textId="3D34E8B1" w:rsidR="00302A13" w:rsidRPr="00842260" w:rsidRDefault="00302A13" w:rsidP="00302A13">
      <w:pPr>
        <w:pStyle w:val="4-SubsectionHeading"/>
      </w:pPr>
      <w:r w:rsidRPr="00842260">
        <w:t>Quality Use of Medicines</w:t>
      </w:r>
      <w:bookmarkEnd w:id="64"/>
      <w:bookmarkEnd w:id="65"/>
      <w:bookmarkEnd w:id="66"/>
    </w:p>
    <w:p w14:paraId="29F47C2F" w14:textId="77777777" w:rsidR="00302A13" w:rsidRPr="00842260" w:rsidRDefault="00302A13" w:rsidP="00302A13">
      <w:pPr>
        <w:pStyle w:val="3-BodyText"/>
      </w:pPr>
      <w:r w:rsidRPr="00842260">
        <w:t xml:space="preserve">The submission outlined </w:t>
      </w:r>
      <w:proofErr w:type="gramStart"/>
      <w:r w:rsidRPr="00842260">
        <w:t>a number of</w:t>
      </w:r>
      <w:proofErr w:type="gramEnd"/>
      <w:r w:rsidRPr="00842260">
        <w:t xml:space="preserve"> educational activities to promote the safe and effective use of medicines in the treatment of early breast cancer with a high risk of recurrence, and the appropriate use of </w:t>
      </w:r>
      <w:proofErr w:type="spellStart"/>
      <w:r w:rsidRPr="00842260">
        <w:t>abemaciclib</w:t>
      </w:r>
      <w:proofErr w:type="spellEnd"/>
      <w:r w:rsidRPr="00842260">
        <w:t xml:space="preserve"> in combination with ET in accordance with the registered indication and the proposed PBS listing. </w:t>
      </w:r>
    </w:p>
    <w:p w14:paraId="76EFA223" w14:textId="14356802" w:rsidR="00A62805" w:rsidRPr="00842260" w:rsidRDefault="00302A13" w:rsidP="00A62805">
      <w:pPr>
        <w:pStyle w:val="3-BodyText"/>
      </w:pPr>
      <w:r w:rsidRPr="00842260">
        <w:t xml:space="preserve">The submission indicated that there are no additional safety concerns that require risk minimisation activities for </w:t>
      </w:r>
      <w:proofErr w:type="spellStart"/>
      <w:r w:rsidRPr="00842260">
        <w:t>abemaciclib</w:t>
      </w:r>
      <w:proofErr w:type="spellEnd"/>
      <w:r w:rsidRPr="00842260">
        <w:t xml:space="preserve"> in Australia other than those already discussed in the European Union Risk Management Plan. </w:t>
      </w:r>
      <w:r w:rsidRPr="00842260">
        <w:rPr>
          <w:iCs/>
        </w:rPr>
        <w:t>Routine risk minimisation measures via appropriate</w:t>
      </w:r>
      <w:r w:rsidRPr="00842260">
        <w:t xml:space="preserve"> wording in the Australian Product Information and the Consumer Medicines Information were considered sufficient</w:t>
      </w:r>
      <w:r w:rsidR="001F0AB5" w:rsidRPr="00842260">
        <w:t xml:space="preserve"> by the submission</w:t>
      </w:r>
      <w:r w:rsidRPr="00842260">
        <w:t>. The effectiveness of routine risk minimisation activities is determined from routine pharmacovigilance where AE reports are reviewed on an ongoing basis.</w:t>
      </w:r>
      <w:bookmarkEnd w:id="67"/>
      <w:bookmarkEnd w:id="68"/>
      <w:r w:rsidRPr="00842260">
        <w:t xml:space="preserve"> </w:t>
      </w:r>
      <w:bookmarkEnd w:id="69"/>
    </w:p>
    <w:p w14:paraId="5AD8E413" w14:textId="107E6ED9" w:rsidR="00BB46C7" w:rsidRPr="00842260" w:rsidRDefault="00BB46C7" w:rsidP="00A62805">
      <w:pPr>
        <w:pStyle w:val="3-BodyText"/>
      </w:pPr>
      <w:r w:rsidRPr="00842260">
        <w:t xml:space="preserve">The DUSC considered that there was uncertainty around the potential for harm due to a lack of longer-term data and noted that there </w:t>
      </w:r>
      <w:r w:rsidR="001D6F8B" w:rsidRPr="00842260">
        <w:t>may be</w:t>
      </w:r>
      <w:r w:rsidRPr="00842260">
        <w:t xml:space="preserve"> substantial risks associated with </w:t>
      </w:r>
      <w:proofErr w:type="spellStart"/>
      <w:r w:rsidRPr="00842260">
        <w:t>abemaciclib</w:t>
      </w:r>
      <w:proofErr w:type="spellEnd"/>
      <w:r w:rsidR="0024538D" w:rsidRPr="00842260">
        <w:t xml:space="preserve"> treatment</w:t>
      </w:r>
      <w:r w:rsidRPr="00842260">
        <w:t>.</w:t>
      </w:r>
    </w:p>
    <w:p w14:paraId="3450E117" w14:textId="341BE48A" w:rsidR="00B77C99" w:rsidRPr="00842260" w:rsidRDefault="00B77C99" w:rsidP="00D66E62">
      <w:pPr>
        <w:pStyle w:val="3-BodyText"/>
        <w:numPr>
          <w:ilvl w:val="0"/>
          <w:numId w:val="0"/>
        </w:numPr>
        <w:ind w:left="720"/>
        <w:rPr>
          <w:i/>
          <w:iCs/>
        </w:rPr>
      </w:pPr>
      <w:r w:rsidRPr="00842260">
        <w:rPr>
          <w:i/>
          <w:iCs/>
        </w:rPr>
        <w:t>For more detail on PBAC’s view, see section 7 PBAC outcome.</w:t>
      </w:r>
    </w:p>
    <w:p w14:paraId="72553A43" w14:textId="77777777" w:rsidR="00324D8A" w:rsidRPr="00842260" w:rsidRDefault="00324D8A" w:rsidP="00343D8D">
      <w:pPr>
        <w:pStyle w:val="2-SectionHeading"/>
        <w:numPr>
          <w:ilvl w:val="0"/>
          <w:numId w:val="1"/>
        </w:numPr>
      </w:pPr>
      <w:bookmarkStart w:id="72" w:name="_Hlk76381249"/>
      <w:bookmarkStart w:id="73" w:name="_Hlk76377955"/>
      <w:r w:rsidRPr="00842260">
        <w:t>PBAC Outcome</w:t>
      </w:r>
    </w:p>
    <w:p w14:paraId="625DFD25" w14:textId="2857A6EE" w:rsidR="00D4690E" w:rsidRPr="00D477F3" w:rsidRDefault="00324D8A" w:rsidP="003F1D84">
      <w:pPr>
        <w:pStyle w:val="3-BodyText"/>
      </w:pPr>
      <w:r w:rsidRPr="00842260">
        <w:t>The PBAC did not recommen</w:t>
      </w:r>
      <w:r w:rsidR="00F648BE" w:rsidRPr="00842260">
        <w:t>d</w:t>
      </w:r>
      <w:r w:rsidR="00D4690E" w:rsidRPr="00842260">
        <w:t xml:space="preserve"> </w:t>
      </w:r>
      <w:proofErr w:type="spellStart"/>
      <w:r w:rsidR="00D4690E" w:rsidRPr="00842260">
        <w:t>abemaciclib</w:t>
      </w:r>
      <w:proofErr w:type="spellEnd"/>
      <w:r w:rsidR="00D4690E" w:rsidRPr="00842260">
        <w:t xml:space="preserve"> in combination with endocrine therapy (ET) for the treatment of patients with hormone receptor positive (HR+) and human epidermal growth factor receptor 2 negative (HER2-), lymph node positive, invasive, resected, early breast cancer at high risk of recurrence. The PBAC considered it was likely that </w:t>
      </w:r>
      <w:proofErr w:type="spellStart"/>
      <w:r w:rsidR="00D4690E" w:rsidRPr="00842260">
        <w:t>abemaciclib</w:t>
      </w:r>
      <w:proofErr w:type="spellEnd"/>
      <w:r w:rsidR="00D4690E" w:rsidRPr="00842260">
        <w:t xml:space="preserve"> </w:t>
      </w:r>
      <w:r w:rsidR="003F1D84" w:rsidRPr="00842260">
        <w:t xml:space="preserve">in combination with ET </w:t>
      </w:r>
      <w:r w:rsidR="00D4690E" w:rsidRPr="00842260">
        <w:t>provided clinical benefit over the comparator but the magnitude of benefit</w:t>
      </w:r>
      <w:r w:rsidR="003F1D84" w:rsidRPr="00842260">
        <w:t xml:space="preserve"> </w:t>
      </w:r>
      <w:r w:rsidR="000C17B7" w:rsidRPr="00842260">
        <w:t>past the observed</w:t>
      </w:r>
      <w:r w:rsidR="00787C3D" w:rsidRPr="00842260">
        <w:t xml:space="preserve"> </w:t>
      </w:r>
      <w:r w:rsidR="000C17B7" w:rsidRPr="00842260">
        <w:t>period</w:t>
      </w:r>
      <w:r w:rsidR="00D4690E" w:rsidRPr="00842260">
        <w:t xml:space="preserve"> was uncertain. </w:t>
      </w:r>
      <w:r w:rsidR="000C17B7" w:rsidRPr="00842260">
        <w:t>T</w:t>
      </w:r>
      <w:r w:rsidR="003F1D84" w:rsidRPr="00842260">
        <w:t xml:space="preserve">he </w:t>
      </w:r>
      <w:r w:rsidR="00D4690E" w:rsidRPr="00842260">
        <w:t>PBAC</w:t>
      </w:r>
      <w:r w:rsidR="003F1D84" w:rsidRPr="00842260">
        <w:t xml:space="preserve"> considered that the cost-effectiveness model was not a good basis</w:t>
      </w:r>
      <w:r w:rsidR="00787C3D" w:rsidRPr="00842260">
        <w:t xml:space="preserve"> for decision </w:t>
      </w:r>
      <w:r w:rsidR="00787C3D" w:rsidRPr="00842260">
        <w:lastRenderedPageBreak/>
        <w:t>making particularly due to the uncertain extrapolation of clinical benefit</w:t>
      </w:r>
      <w:r w:rsidR="00B70DB3" w:rsidRPr="00842260">
        <w:t xml:space="preserve"> associated with </w:t>
      </w:r>
      <w:proofErr w:type="spellStart"/>
      <w:r w:rsidR="00B70DB3" w:rsidRPr="00842260">
        <w:t>abemaciclib</w:t>
      </w:r>
      <w:proofErr w:type="spellEnd"/>
      <w:r w:rsidR="00787C3D" w:rsidRPr="00842260">
        <w:t xml:space="preserve"> over </w:t>
      </w:r>
      <w:r w:rsidR="00787C3D" w:rsidRPr="00D477F3">
        <w:t>the comparator</w:t>
      </w:r>
      <w:r w:rsidR="007C745E" w:rsidRPr="00D477F3">
        <w:t>.</w:t>
      </w:r>
    </w:p>
    <w:p w14:paraId="20382164" w14:textId="5B03D689" w:rsidR="005904EC" w:rsidRPr="00D477F3" w:rsidRDefault="005904EC" w:rsidP="00324D8A">
      <w:pPr>
        <w:widowControl w:val="0"/>
        <w:numPr>
          <w:ilvl w:val="1"/>
          <w:numId w:val="1"/>
        </w:numPr>
        <w:spacing w:after="120"/>
        <w:rPr>
          <w:rFonts w:asciiTheme="minorHAnsi" w:hAnsiTheme="minorHAnsi"/>
          <w:snapToGrid w:val="0"/>
        </w:rPr>
      </w:pPr>
      <w:r w:rsidRPr="00D477F3">
        <w:rPr>
          <w:rFonts w:asciiTheme="minorHAnsi" w:hAnsiTheme="minorHAnsi"/>
          <w:snapToGrid w:val="0"/>
        </w:rPr>
        <w:t xml:space="preserve">The PBAC noted that the TGA Delegate deferred approval of registration of </w:t>
      </w:r>
      <w:proofErr w:type="spellStart"/>
      <w:r w:rsidRPr="00D477F3">
        <w:rPr>
          <w:rFonts w:asciiTheme="minorHAnsi" w:hAnsiTheme="minorHAnsi"/>
          <w:snapToGrid w:val="0"/>
        </w:rPr>
        <w:t>abemaciclib</w:t>
      </w:r>
      <w:proofErr w:type="spellEnd"/>
      <w:r w:rsidRPr="00D477F3">
        <w:rPr>
          <w:rFonts w:asciiTheme="minorHAnsi" w:hAnsiTheme="minorHAnsi"/>
          <w:snapToGrid w:val="0"/>
        </w:rPr>
        <w:t xml:space="preserve"> for the proposed TGA indication, subject to ACM advice. </w:t>
      </w:r>
      <w:r w:rsidRPr="00D477F3">
        <w:t>The ACM advised that there were insufficient data to make a recommendation on the overall risk benefit balance and expressed interest in the provision of the next release of OS data</w:t>
      </w:r>
      <w:r w:rsidR="00E20E86" w:rsidRPr="00D477F3">
        <w:t>.</w:t>
      </w:r>
    </w:p>
    <w:p w14:paraId="4AA91C04" w14:textId="1868654A" w:rsidR="00324D8A" w:rsidRPr="00842260" w:rsidRDefault="00940F22" w:rsidP="00324D8A">
      <w:pPr>
        <w:widowControl w:val="0"/>
        <w:numPr>
          <w:ilvl w:val="1"/>
          <w:numId w:val="1"/>
        </w:numPr>
        <w:spacing w:after="120"/>
        <w:rPr>
          <w:rFonts w:asciiTheme="minorHAnsi" w:hAnsiTheme="minorHAnsi"/>
          <w:snapToGrid w:val="0"/>
        </w:rPr>
      </w:pPr>
      <w:r w:rsidRPr="00842260">
        <w:rPr>
          <w:rFonts w:asciiTheme="minorHAnsi" w:hAnsiTheme="minorHAnsi"/>
          <w:snapToGrid w:val="0"/>
        </w:rPr>
        <w:t xml:space="preserve">The PBAC noted the consumer comments </w:t>
      </w:r>
      <w:r w:rsidR="008E2ADA" w:rsidRPr="00842260">
        <w:rPr>
          <w:rFonts w:asciiTheme="minorHAnsi" w:hAnsiTheme="minorHAnsi"/>
          <w:snapToGrid w:val="0"/>
        </w:rPr>
        <w:t>highlight</w:t>
      </w:r>
      <w:r w:rsidR="006C2084" w:rsidRPr="00842260">
        <w:rPr>
          <w:rFonts w:asciiTheme="minorHAnsi" w:hAnsiTheme="minorHAnsi"/>
          <w:snapToGrid w:val="0"/>
        </w:rPr>
        <w:t>ing</w:t>
      </w:r>
      <w:r w:rsidR="008E2ADA" w:rsidRPr="00842260">
        <w:rPr>
          <w:rFonts w:asciiTheme="minorHAnsi" w:hAnsiTheme="minorHAnsi"/>
          <w:snapToGrid w:val="0"/>
        </w:rPr>
        <w:t xml:space="preserve"> the psycho-social benefits </w:t>
      </w:r>
      <w:r w:rsidR="006C2084" w:rsidRPr="00842260">
        <w:rPr>
          <w:rFonts w:asciiTheme="minorHAnsi" w:hAnsiTheme="minorHAnsi"/>
          <w:snapToGrid w:val="0"/>
        </w:rPr>
        <w:t>associated with</w:t>
      </w:r>
      <w:r w:rsidR="008E2ADA" w:rsidRPr="00842260">
        <w:rPr>
          <w:rFonts w:asciiTheme="minorHAnsi" w:hAnsiTheme="minorHAnsi"/>
          <w:snapToGrid w:val="0"/>
        </w:rPr>
        <w:t xml:space="preserve"> </w:t>
      </w:r>
      <w:r w:rsidR="009132CC" w:rsidRPr="00842260">
        <w:rPr>
          <w:rFonts w:asciiTheme="minorHAnsi" w:hAnsiTheme="minorHAnsi"/>
          <w:snapToGrid w:val="0"/>
        </w:rPr>
        <w:t>effective new therapies</w:t>
      </w:r>
      <w:r w:rsidR="006C2084" w:rsidRPr="00842260">
        <w:rPr>
          <w:rFonts w:asciiTheme="minorHAnsi" w:hAnsiTheme="minorHAnsi"/>
          <w:snapToGrid w:val="0"/>
        </w:rPr>
        <w:t xml:space="preserve"> </w:t>
      </w:r>
      <w:r w:rsidR="009132CC" w:rsidRPr="00842260">
        <w:rPr>
          <w:rFonts w:asciiTheme="minorHAnsi" w:hAnsiTheme="minorHAnsi"/>
          <w:snapToGrid w:val="0"/>
        </w:rPr>
        <w:t>for</w:t>
      </w:r>
      <w:r w:rsidR="006C2084" w:rsidRPr="00842260">
        <w:rPr>
          <w:rFonts w:asciiTheme="minorHAnsi" w:hAnsiTheme="minorHAnsi"/>
          <w:snapToGrid w:val="0"/>
        </w:rPr>
        <w:t xml:space="preserve"> patients </w:t>
      </w:r>
      <w:r w:rsidR="00695CF3" w:rsidRPr="00842260">
        <w:rPr>
          <w:rFonts w:asciiTheme="minorHAnsi" w:hAnsiTheme="minorHAnsi"/>
          <w:snapToGrid w:val="0"/>
        </w:rPr>
        <w:t xml:space="preserve">diagnosed </w:t>
      </w:r>
      <w:r w:rsidR="006C2084" w:rsidRPr="00842260">
        <w:rPr>
          <w:rFonts w:asciiTheme="minorHAnsi" w:hAnsiTheme="minorHAnsi"/>
          <w:snapToGrid w:val="0"/>
        </w:rPr>
        <w:t xml:space="preserve">with early breast cancer </w:t>
      </w:r>
      <w:r w:rsidR="00695CF3" w:rsidRPr="00842260">
        <w:rPr>
          <w:rFonts w:asciiTheme="minorHAnsi" w:hAnsiTheme="minorHAnsi"/>
          <w:snapToGrid w:val="0"/>
        </w:rPr>
        <w:t xml:space="preserve">and the </w:t>
      </w:r>
      <w:proofErr w:type="gramStart"/>
      <w:r w:rsidR="00695CF3" w:rsidRPr="00842260">
        <w:rPr>
          <w:rFonts w:asciiTheme="minorHAnsi" w:hAnsiTheme="minorHAnsi"/>
          <w:snapToGrid w:val="0"/>
        </w:rPr>
        <w:t>quality of life</w:t>
      </w:r>
      <w:proofErr w:type="gramEnd"/>
      <w:r w:rsidR="00695CF3" w:rsidRPr="00842260">
        <w:rPr>
          <w:rFonts w:asciiTheme="minorHAnsi" w:hAnsiTheme="minorHAnsi"/>
          <w:snapToGrid w:val="0"/>
        </w:rPr>
        <w:t xml:space="preserve"> benefits gained</w:t>
      </w:r>
      <w:r w:rsidR="006C2084" w:rsidRPr="00842260">
        <w:rPr>
          <w:rFonts w:asciiTheme="minorHAnsi" w:hAnsiTheme="minorHAnsi"/>
          <w:snapToGrid w:val="0"/>
        </w:rPr>
        <w:t xml:space="preserve"> by</w:t>
      </w:r>
      <w:r w:rsidR="008E2ADA" w:rsidRPr="00842260">
        <w:rPr>
          <w:rFonts w:asciiTheme="minorHAnsi" w:hAnsiTheme="minorHAnsi"/>
          <w:snapToGrid w:val="0"/>
        </w:rPr>
        <w:t xml:space="preserve"> reduc</w:t>
      </w:r>
      <w:r w:rsidR="006C2084" w:rsidRPr="00842260">
        <w:rPr>
          <w:rFonts w:asciiTheme="minorHAnsi" w:hAnsiTheme="minorHAnsi"/>
          <w:snapToGrid w:val="0"/>
        </w:rPr>
        <w:t>ing the</w:t>
      </w:r>
      <w:r w:rsidR="008E2ADA" w:rsidRPr="00842260">
        <w:rPr>
          <w:rFonts w:asciiTheme="minorHAnsi" w:hAnsiTheme="minorHAnsi"/>
          <w:snapToGrid w:val="0"/>
        </w:rPr>
        <w:t xml:space="preserve"> </w:t>
      </w:r>
      <w:r w:rsidR="009132CC" w:rsidRPr="00842260">
        <w:rPr>
          <w:rFonts w:asciiTheme="minorHAnsi" w:hAnsiTheme="minorHAnsi"/>
          <w:snapToGrid w:val="0"/>
        </w:rPr>
        <w:t xml:space="preserve">burden associated with the </w:t>
      </w:r>
      <w:r w:rsidR="008E2ADA" w:rsidRPr="00842260">
        <w:rPr>
          <w:rFonts w:asciiTheme="minorHAnsi" w:hAnsiTheme="minorHAnsi"/>
          <w:snapToGrid w:val="0"/>
        </w:rPr>
        <w:t xml:space="preserve">fear of cancer recurrence. </w:t>
      </w:r>
      <w:r w:rsidRPr="00842260">
        <w:rPr>
          <w:rFonts w:asciiTheme="minorHAnsi" w:hAnsiTheme="minorHAnsi"/>
          <w:snapToGrid w:val="0"/>
        </w:rPr>
        <w:t xml:space="preserve">The PBAC noted the comments provided in the sponsor hearing </w:t>
      </w:r>
      <w:r w:rsidR="006C2084" w:rsidRPr="00842260">
        <w:rPr>
          <w:rFonts w:asciiTheme="minorHAnsi" w:hAnsiTheme="minorHAnsi"/>
          <w:snapToGrid w:val="0"/>
        </w:rPr>
        <w:t>highlight</w:t>
      </w:r>
      <w:r w:rsidR="009132CC" w:rsidRPr="00842260">
        <w:rPr>
          <w:rFonts w:asciiTheme="minorHAnsi" w:hAnsiTheme="minorHAnsi"/>
          <w:snapToGrid w:val="0"/>
        </w:rPr>
        <w:t>ing</w:t>
      </w:r>
      <w:r w:rsidR="006C2084" w:rsidRPr="00842260">
        <w:rPr>
          <w:rFonts w:asciiTheme="minorHAnsi" w:hAnsiTheme="minorHAnsi"/>
          <w:snapToGrid w:val="0"/>
        </w:rPr>
        <w:t xml:space="preserve"> the importance of managing side effects through early dosing adjustments.</w:t>
      </w:r>
      <w:r w:rsidRPr="00842260">
        <w:rPr>
          <w:rFonts w:asciiTheme="minorHAnsi" w:hAnsiTheme="minorHAnsi"/>
          <w:snapToGrid w:val="0"/>
        </w:rPr>
        <w:t xml:space="preserve"> </w:t>
      </w:r>
    </w:p>
    <w:p w14:paraId="5B69A1C7" w14:textId="6CBDA49C" w:rsidR="00B9174E" w:rsidRPr="00842260" w:rsidRDefault="00B9174E" w:rsidP="007135AB">
      <w:pPr>
        <w:widowControl w:val="0"/>
        <w:numPr>
          <w:ilvl w:val="1"/>
          <w:numId w:val="1"/>
        </w:numPr>
        <w:spacing w:after="120"/>
        <w:rPr>
          <w:rFonts w:asciiTheme="minorHAnsi" w:hAnsiTheme="minorHAnsi"/>
          <w:snapToGrid w:val="0"/>
        </w:rPr>
      </w:pPr>
      <w:r w:rsidRPr="00842260">
        <w:rPr>
          <w:rFonts w:asciiTheme="minorHAnsi" w:hAnsiTheme="minorHAnsi"/>
          <w:snapToGrid w:val="0"/>
        </w:rPr>
        <w:t xml:space="preserve">The PBAC noted </w:t>
      </w:r>
      <w:r w:rsidR="00C5374E" w:rsidRPr="00842260">
        <w:rPr>
          <w:rFonts w:asciiTheme="minorHAnsi" w:hAnsiTheme="minorHAnsi"/>
          <w:snapToGrid w:val="0"/>
        </w:rPr>
        <w:t xml:space="preserve">that there is a high clinical need for </w:t>
      </w:r>
      <w:r w:rsidR="007135AB" w:rsidRPr="00842260">
        <w:rPr>
          <w:rFonts w:asciiTheme="minorHAnsi" w:hAnsiTheme="minorHAnsi"/>
          <w:snapToGrid w:val="0"/>
        </w:rPr>
        <w:t>reduc</w:t>
      </w:r>
      <w:r w:rsidR="00F74549" w:rsidRPr="00842260">
        <w:rPr>
          <w:rFonts w:asciiTheme="minorHAnsi" w:hAnsiTheme="minorHAnsi"/>
          <w:snapToGrid w:val="0"/>
        </w:rPr>
        <w:t>ing</w:t>
      </w:r>
      <w:r w:rsidR="007135AB" w:rsidRPr="00842260">
        <w:rPr>
          <w:rFonts w:asciiTheme="minorHAnsi" w:hAnsiTheme="minorHAnsi"/>
          <w:snapToGrid w:val="0"/>
        </w:rPr>
        <w:t xml:space="preserve"> the risk of recurrence for patients diagnosed with early breast cancer and noted </w:t>
      </w:r>
      <w:r w:rsidRPr="00842260">
        <w:rPr>
          <w:rFonts w:asciiTheme="minorHAnsi" w:hAnsiTheme="minorHAnsi"/>
          <w:snapToGrid w:val="0"/>
        </w:rPr>
        <w:t>that</w:t>
      </w:r>
      <w:r w:rsidR="007135AB" w:rsidRPr="00842260">
        <w:rPr>
          <w:rFonts w:asciiTheme="minorHAnsi" w:hAnsiTheme="minorHAnsi"/>
          <w:snapToGrid w:val="0"/>
        </w:rPr>
        <w:t xml:space="preserve"> </w:t>
      </w:r>
      <w:proofErr w:type="spellStart"/>
      <w:r w:rsidR="007135AB" w:rsidRPr="00842260">
        <w:rPr>
          <w:rFonts w:asciiTheme="minorHAnsi" w:hAnsiTheme="minorHAnsi"/>
          <w:snapToGrid w:val="0"/>
        </w:rPr>
        <w:t>abemaciclib</w:t>
      </w:r>
      <w:proofErr w:type="spellEnd"/>
      <w:r w:rsidR="007135AB" w:rsidRPr="00842260">
        <w:rPr>
          <w:rFonts w:asciiTheme="minorHAnsi" w:hAnsiTheme="minorHAnsi"/>
          <w:snapToGrid w:val="0"/>
        </w:rPr>
        <w:t xml:space="preserve"> treatment </w:t>
      </w:r>
      <w:r w:rsidR="00C5374E" w:rsidRPr="00842260">
        <w:rPr>
          <w:rFonts w:asciiTheme="minorHAnsi" w:hAnsiTheme="minorHAnsi"/>
          <w:snapToGrid w:val="0"/>
        </w:rPr>
        <w:t>can</w:t>
      </w:r>
      <w:r w:rsidR="007135AB" w:rsidRPr="00842260">
        <w:rPr>
          <w:rFonts w:asciiTheme="minorHAnsi" w:hAnsiTheme="minorHAnsi"/>
          <w:snapToGrid w:val="0"/>
        </w:rPr>
        <w:t xml:space="preserve"> be administered during the</w:t>
      </w:r>
      <w:r w:rsidRPr="00842260">
        <w:rPr>
          <w:rFonts w:asciiTheme="minorHAnsi" w:hAnsiTheme="minorHAnsi"/>
          <w:snapToGrid w:val="0"/>
        </w:rPr>
        <w:t xml:space="preserve"> peak </w:t>
      </w:r>
      <w:r w:rsidR="007135AB" w:rsidRPr="00842260">
        <w:rPr>
          <w:rFonts w:asciiTheme="minorHAnsi" w:hAnsiTheme="minorHAnsi"/>
          <w:snapToGrid w:val="0"/>
        </w:rPr>
        <w:t xml:space="preserve">risk of </w:t>
      </w:r>
      <w:r w:rsidRPr="00842260">
        <w:rPr>
          <w:rFonts w:asciiTheme="minorHAnsi" w:hAnsiTheme="minorHAnsi"/>
          <w:snapToGrid w:val="0"/>
        </w:rPr>
        <w:t xml:space="preserve">recurrence after </w:t>
      </w:r>
      <w:r w:rsidR="007135AB" w:rsidRPr="00842260">
        <w:rPr>
          <w:rFonts w:asciiTheme="minorHAnsi" w:hAnsiTheme="minorHAnsi"/>
          <w:snapToGrid w:val="0"/>
        </w:rPr>
        <w:t xml:space="preserve">a </w:t>
      </w:r>
      <w:r w:rsidRPr="00842260">
        <w:rPr>
          <w:rFonts w:asciiTheme="minorHAnsi" w:hAnsiTheme="minorHAnsi"/>
          <w:snapToGrid w:val="0"/>
        </w:rPr>
        <w:t>primary diagnosis of breast cancer</w:t>
      </w:r>
      <w:r w:rsidR="007135AB" w:rsidRPr="00842260">
        <w:rPr>
          <w:rFonts w:asciiTheme="minorHAnsi" w:hAnsiTheme="minorHAnsi"/>
          <w:snapToGrid w:val="0"/>
        </w:rPr>
        <w:t xml:space="preserve"> (</w:t>
      </w:r>
      <w:r w:rsidRPr="00842260">
        <w:rPr>
          <w:rFonts w:asciiTheme="minorHAnsi" w:hAnsiTheme="minorHAnsi"/>
          <w:snapToGrid w:val="0"/>
        </w:rPr>
        <w:t>first 2–4 years</w:t>
      </w:r>
      <w:r w:rsidR="007135AB" w:rsidRPr="00842260">
        <w:rPr>
          <w:rFonts w:asciiTheme="minorHAnsi" w:hAnsiTheme="minorHAnsi"/>
          <w:snapToGrid w:val="0"/>
        </w:rPr>
        <w:t>). The PBAC noted that recurrences are often distant metastases and</w:t>
      </w:r>
      <w:r w:rsidR="00B67A24" w:rsidRPr="00842260">
        <w:rPr>
          <w:rFonts w:asciiTheme="minorHAnsi" w:hAnsiTheme="minorHAnsi"/>
          <w:snapToGrid w:val="0"/>
        </w:rPr>
        <w:t xml:space="preserve"> are</w:t>
      </w:r>
      <w:r w:rsidR="007135AB" w:rsidRPr="00842260">
        <w:rPr>
          <w:rFonts w:asciiTheme="minorHAnsi" w:hAnsiTheme="minorHAnsi"/>
          <w:snapToGrid w:val="0"/>
        </w:rPr>
        <w:t xml:space="preserve"> incurable.</w:t>
      </w:r>
      <w:r w:rsidR="0083200D" w:rsidRPr="00842260">
        <w:rPr>
          <w:rFonts w:asciiTheme="minorHAnsi" w:hAnsiTheme="minorHAnsi"/>
          <w:snapToGrid w:val="0"/>
        </w:rPr>
        <w:t xml:space="preserve"> </w:t>
      </w:r>
    </w:p>
    <w:p w14:paraId="70ED17F7" w14:textId="698BA75C" w:rsidR="0083200D" w:rsidRPr="00842260" w:rsidRDefault="0083200D" w:rsidP="007135AB">
      <w:pPr>
        <w:widowControl w:val="0"/>
        <w:numPr>
          <w:ilvl w:val="1"/>
          <w:numId w:val="1"/>
        </w:numPr>
        <w:spacing w:after="120"/>
        <w:rPr>
          <w:rFonts w:asciiTheme="minorHAnsi" w:hAnsiTheme="minorHAnsi"/>
          <w:snapToGrid w:val="0"/>
        </w:rPr>
      </w:pPr>
      <w:r w:rsidRPr="00842260">
        <w:rPr>
          <w:rFonts w:asciiTheme="minorHAnsi" w:hAnsiTheme="minorHAnsi"/>
          <w:snapToGrid w:val="0"/>
        </w:rPr>
        <w:t xml:space="preserve">The PBAC considered that </w:t>
      </w:r>
      <w:proofErr w:type="spellStart"/>
      <w:r w:rsidRPr="00842260">
        <w:rPr>
          <w:rFonts w:asciiTheme="minorHAnsi" w:hAnsiTheme="minorHAnsi"/>
          <w:snapToGrid w:val="0"/>
        </w:rPr>
        <w:t>abemaciclib</w:t>
      </w:r>
      <w:proofErr w:type="spellEnd"/>
      <w:r w:rsidRPr="00842260">
        <w:rPr>
          <w:rFonts w:asciiTheme="minorHAnsi" w:hAnsiTheme="minorHAnsi"/>
          <w:snapToGrid w:val="0"/>
        </w:rPr>
        <w:t xml:space="preserve"> treatment in early breast cancer may lead to partial replacement of </w:t>
      </w:r>
      <w:r w:rsidR="009162AC" w:rsidRPr="00842260">
        <w:rPr>
          <w:rFonts w:asciiTheme="minorHAnsi" w:hAnsiTheme="minorHAnsi"/>
          <w:snapToGrid w:val="0"/>
        </w:rPr>
        <w:t xml:space="preserve">treatment with </w:t>
      </w:r>
      <w:r w:rsidRPr="00842260">
        <w:rPr>
          <w:rFonts w:asciiTheme="minorHAnsi" w:hAnsiTheme="minorHAnsi"/>
          <w:snapToGrid w:val="0"/>
        </w:rPr>
        <w:t xml:space="preserve">CDK4/6 inhibitors in combination with </w:t>
      </w:r>
      <w:proofErr w:type="spellStart"/>
      <w:r w:rsidRPr="00842260">
        <w:rPr>
          <w:rFonts w:asciiTheme="minorHAnsi" w:hAnsiTheme="minorHAnsi"/>
          <w:snapToGrid w:val="0"/>
        </w:rPr>
        <w:t>fulvestrant</w:t>
      </w:r>
      <w:proofErr w:type="spellEnd"/>
      <w:r w:rsidRPr="00842260">
        <w:rPr>
          <w:rFonts w:asciiTheme="minorHAnsi" w:hAnsiTheme="minorHAnsi"/>
          <w:snapToGrid w:val="0"/>
        </w:rPr>
        <w:t xml:space="preserve"> in later stages of disease, potentially leading to a reduc</w:t>
      </w:r>
      <w:r w:rsidR="009162AC" w:rsidRPr="00842260">
        <w:rPr>
          <w:rFonts w:asciiTheme="minorHAnsi" w:hAnsiTheme="minorHAnsi"/>
          <w:snapToGrid w:val="0"/>
        </w:rPr>
        <w:t>tion</w:t>
      </w:r>
      <w:r w:rsidRPr="00842260">
        <w:rPr>
          <w:rFonts w:asciiTheme="minorHAnsi" w:hAnsiTheme="minorHAnsi"/>
          <w:snapToGrid w:val="0"/>
        </w:rPr>
        <w:t xml:space="preserve"> in future treatment options.</w:t>
      </w:r>
    </w:p>
    <w:p w14:paraId="443F144F" w14:textId="5025289E" w:rsidR="000E31A4" w:rsidRPr="00842260" w:rsidRDefault="003B44A4" w:rsidP="00596F61">
      <w:pPr>
        <w:pStyle w:val="3-BodyText"/>
        <w:rPr>
          <w:iCs/>
        </w:rPr>
      </w:pPr>
      <w:r w:rsidRPr="00842260">
        <w:t xml:space="preserve">The PBAC agreed with the suggestions and additions to the restriction proposed by the Secretariat. The PBAC considered that containing the use of </w:t>
      </w:r>
      <w:proofErr w:type="spellStart"/>
      <w:r w:rsidRPr="00842260">
        <w:t>abemaciclib</w:t>
      </w:r>
      <w:proofErr w:type="spellEnd"/>
      <w:r w:rsidRPr="00842260">
        <w:t xml:space="preserve"> </w:t>
      </w:r>
      <w:r w:rsidR="008517BD" w:rsidRPr="00842260">
        <w:t>to</w:t>
      </w:r>
      <w:r w:rsidRPr="00842260">
        <w:t xml:space="preserve"> patients at highest risk of recurrence </w:t>
      </w:r>
      <w:r w:rsidR="008517BD" w:rsidRPr="00842260">
        <w:t>would be</w:t>
      </w:r>
      <w:r w:rsidRPr="00842260">
        <w:t xml:space="preserve"> important to maintain a risk benefit balance</w:t>
      </w:r>
      <w:r w:rsidR="00B67A24" w:rsidRPr="00842260">
        <w:t xml:space="preserve"> and prevent </w:t>
      </w:r>
      <w:r w:rsidR="00B67A24" w:rsidRPr="00842260">
        <w:rPr>
          <w:rFonts w:ascii="Calibri" w:hAnsi="Calibri"/>
          <w:bCs/>
          <w:iCs/>
        </w:rPr>
        <w:t>use in lower risk patients who are unlikely to benefit</w:t>
      </w:r>
      <w:r w:rsidRPr="00842260">
        <w:t>.</w:t>
      </w:r>
      <w:r w:rsidR="00573EF4" w:rsidRPr="00842260">
        <w:t xml:space="preserve"> The PBAC noted the</w:t>
      </w:r>
      <w:r w:rsidR="00407DD2" w:rsidRPr="00842260">
        <w:t xml:space="preserve"> requested grandfather restriction for </w:t>
      </w:r>
      <w:proofErr w:type="gramStart"/>
      <w:r w:rsidR="00407DD2" w:rsidRPr="00842260">
        <w:t>a</w:t>
      </w:r>
      <w:r w:rsidR="00573EF4" w:rsidRPr="00842260">
        <w:t xml:space="preserve"> large number of</w:t>
      </w:r>
      <w:proofErr w:type="gramEnd"/>
      <w:r w:rsidR="00573EF4" w:rsidRPr="00842260">
        <w:t xml:space="preserve"> </w:t>
      </w:r>
      <w:r w:rsidR="00573EF4" w:rsidRPr="004A0C75">
        <w:t>patients</w:t>
      </w:r>
      <w:r w:rsidR="00407DD2" w:rsidRPr="004A0C75">
        <w:t xml:space="preserve"> (500) that</w:t>
      </w:r>
      <w:r w:rsidR="00407DD2" w:rsidRPr="00842260">
        <w:t xml:space="preserve"> will be enrolled in a patient familiarisation program.</w:t>
      </w:r>
    </w:p>
    <w:p w14:paraId="6F2FB3CC" w14:textId="292C1BA5" w:rsidR="00B9174E" w:rsidRPr="00842260" w:rsidRDefault="00B9174E" w:rsidP="0003781E">
      <w:pPr>
        <w:widowControl w:val="0"/>
        <w:numPr>
          <w:ilvl w:val="1"/>
          <w:numId w:val="1"/>
        </w:numPr>
        <w:spacing w:after="120"/>
        <w:rPr>
          <w:rFonts w:asciiTheme="minorHAnsi" w:hAnsiTheme="minorHAnsi"/>
          <w:snapToGrid w:val="0"/>
        </w:rPr>
      </w:pPr>
      <w:r w:rsidRPr="00842260">
        <w:rPr>
          <w:rFonts w:asciiTheme="minorHAnsi" w:hAnsiTheme="minorHAnsi"/>
          <w:snapToGrid w:val="0"/>
        </w:rPr>
        <w:t>The PBAC considered the nominated comparator of</w:t>
      </w:r>
      <w:r w:rsidR="00573EF4" w:rsidRPr="00842260">
        <w:rPr>
          <w:rFonts w:asciiTheme="minorHAnsi" w:hAnsiTheme="minorHAnsi"/>
          <w:snapToGrid w:val="0"/>
        </w:rPr>
        <w:t xml:space="preserve"> single agent</w:t>
      </w:r>
      <w:r w:rsidRPr="00842260">
        <w:rPr>
          <w:rFonts w:asciiTheme="minorHAnsi" w:hAnsiTheme="minorHAnsi"/>
          <w:snapToGrid w:val="0"/>
        </w:rPr>
        <w:t xml:space="preserve"> ET alone</w:t>
      </w:r>
      <w:r w:rsidR="00FE654D" w:rsidRPr="00842260">
        <w:rPr>
          <w:rFonts w:asciiTheme="minorHAnsi" w:hAnsiTheme="minorHAnsi"/>
          <w:snapToGrid w:val="0"/>
        </w:rPr>
        <w:t>,</w:t>
      </w:r>
      <w:r w:rsidR="00573EF4" w:rsidRPr="00842260">
        <w:rPr>
          <w:rFonts w:asciiTheme="minorHAnsi" w:hAnsiTheme="minorHAnsi"/>
          <w:snapToGrid w:val="0"/>
        </w:rPr>
        <w:t xml:space="preserve"> as standard of care</w:t>
      </w:r>
      <w:r w:rsidR="00FE654D" w:rsidRPr="00842260">
        <w:rPr>
          <w:rFonts w:asciiTheme="minorHAnsi" w:hAnsiTheme="minorHAnsi"/>
          <w:snapToGrid w:val="0"/>
        </w:rPr>
        <w:t>,</w:t>
      </w:r>
      <w:r w:rsidRPr="00842260">
        <w:rPr>
          <w:rFonts w:asciiTheme="minorHAnsi" w:hAnsiTheme="minorHAnsi"/>
          <w:snapToGrid w:val="0"/>
        </w:rPr>
        <w:t xml:space="preserve"> was appropriate.</w:t>
      </w:r>
      <w:r w:rsidR="00550C0C" w:rsidRPr="00842260">
        <w:rPr>
          <w:rFonts w:asciiTheme="minorHAnsi" w:hAnsiTheme="minorHAnsi"/>
          <w:snapToGrid w:val="0"/>
        </w:rPr>
        <w:t xml:space="preserve"> </w:t>
      </w:r>
    </w:p>
    <w:p w14:paraId="25675958" w14:textId="29F92DF2" w:rsidR="00970AF7" w:rsidRPr="00842260" w:rsidRDefault="002B1CCB" w:rsidP="001B6449">
      <w:pPr>
        <w:widowControl w:val="0"/>
        <w:numPr>
          <w:ilvl w:val="1"/>
          <w:numId w:val="1"/>
        </w:numPr>
        <w:spacing w:after="120"/>
        <w:rPr>
          <w:rFonts w:asciiTheme="minorHAnsi" w:hAnsiTheme="minorHAnsi"/>
          <w:snapToGrid w:val="0"/>
        </w:rPr>
      </w:pPr>
      <w:bookmarkStart w:id="74" w:name="_Hlk104479024"/>
      <w:r w:rsidRPr="00842260">
        <w:rPr>
          <w:rFonts w:asciiTheme="minorHAnsi" w:hAnsiTheme="minorHAnsi"/>
          <w:snapToGrid w:val="0"/>
        </w:rPr>
        <w:t xml:space="preserve">The PBAC was satisfied that </w:t>
      </w:r>
      <w:proofErr w:type="spellStart"/>
      <w:r w:rsidRPr="00842260">
        <w:rPr>
          <w:rFonts w:asciiTheme="minorHAnsi" w:hAnsiTheme="minorHAnsi"/>
          <w:snapToGrid w:val="0"/>
        </w:rPr>
        <w:t>abemaciclib</w:t>
      </w:r>
      <w:proofErr w:type="spellEnd"/>
      <w:r w:rsidRPr="00842260">
        <w:rPr>
          <w:rFonts w:asciiTheme="minorHAnsi" w:hAnsiTheme="minorHAnsi"/>
          <w:snapToGrid w:val="0"/>
        </w:rPr>
        <w:t xml:space="preserve"> in combination with ET was both statistically and clinically superior to the nominated comparator in</w:t>
      </w:r>
      <w:r w:rsidR="004126BD" w:rsidRPr="00842260">
        <w:rPr>
          <w:rFonts w:asciiTheme="minorHAnsi" w:hAnsiTheme="minorHAnsi"/>
          <w:snapToGrid w:val="0"/>
        </w:rPr>
        <w:t xml:space="preserve"> improving</w:t>
      </w:r>
      <w:r w:rsidRPr="00842260">
        <w:rPr>
          <w:rFonts w:asciiTheme="minorHAnsi" w:hAnsiTheme="minorHAnsi"/>
          <w:snapToGrid w:val="0"/>
        </w:rPr>
        <w:t xml:space="preserve"> IDFS</w:t>
      </w:r>
      <w:r w:rsidR="001B6449" w:rsidRPr="00842260">
        <w:rPr>
          <w:rFonts w:asciiTheme="minorHAnsi" w:hAnsiTheme="minorHAnsi"/>
          <w:snapToGrid w:val="0"/>
        </w:rPr>
        <w:t xml:space="preserve"> and DRFS</w:t>
      </w:r>
      <w:bookmarkEnd w:id="74"/>
      <w:r w:rsidRPr="00842260">
        <w:rPr>
          <w:rFonts w:asciiTheme="minorHAnsi" w:hAnsiTheme="minorHAnsi"/>
          <w:snapToGrid w:val="0"/>
        </w:rPr>
        <w:t xml:space="preserve">. </w:t>
      </w:r>
      <w:bookmarkStart w:id="75" w:name="_Hlk100671485"/>
      <w:r w:rsidR="00BD29F2" w:rsidRPr="00842260">
        <w:rPr>
          <w:rFonts w:asciiTheme="minorHAnsi" w:hAnsiTheme="minorHAnsi"/>
          <w:snapToGrid w:val="0"/>
        </w:rPr>
        <w:t xml:space="preserve">While acknowledging that the IDFS benefit appeared modest and was smaller compared to agents seen previously, </w:t>
      </w:r>
      <w:r w:rsidR="00BD29F2" w:rsidRPr="00842260">
        <w:t>t</w:t>
      </w:r>
      <w:r w:rsidR="000E4F42" w:rsidRPr="00842260">
        <w:t>he PBAC considered a 3.5% absolute differ</w:t>
      </w:r>
      <w:r w:rsidR="00BD29F2" w:rsidRPr="00842260">
        <w:t>ence</w:t>
      </w:r>
      <w:r w:rsidR="000E4F42" w:rsidRPr="00842260">
        <w:t xml:space="preserve"> </w:t>
      </w:r>
      <w:r w:rsidR="00063642" w:rsidRPr="00842260">
        <w:t xml:space="preserve">may be </w:t>
      </w:r>
      <w:r w:rsidR="000E4F42" w:rsidRPr="00842260">
        <w:t xml:space="preserve">clinically meaningful </w:t>
      </w:r>
      <w:r w:rsidR="00D82B64" w:rsidRPr="00842260">
        <w:t>in</w:t>
      </w:r>
      <w:r w:rsidR="000E4F42" w:rsidRPr="00842260">
        <w:t xml:space="preserve"> the adjuvant setting where the goal is cure.</w:t>
      </w:r>
      <w:r w:rsidR="001B6449" w:rsidRPr="00842260">
        <w:rPr>
          <w:rFonts w:asciiTheme="minorHAnsi" w:hAnsiTheme="minorHAnsi"/>
          <w:snapToGrid w:val="0"/>
        </w:rPr>
        <w:t xml:space="preserve"> </w:t>
      </w:r>
      <w:r w:rsidR="00141468" w:rsidRPr="00842260">
        <w:rPr>
          <w:rFonts w:asciiTheme="minorHAnsi" w:hAnsiTheme="minorHAnsi"/>
          <w:snapToGrid w:val="0"/>
        </w:rPr>
        <w:t>The PBAC</w:t>
      </w:r>
      <w:r w:rsidR="00FF71E8" w:rsidRPr="00842260">
        <w:t xml:space="preserve"> considered </w:t>
      </w:r>
      <w:r w:rsidR="001B6449" w:rsidRPr="00842260">
        <w:t xml:space="preserve">that </w:t>
      </w:r>
      <w:r w:rsidR="00FE654D" w:rsidRPr="00842260">
        <w:rPr>
          <w:iCs/>
        </w:rPr>
        <w:t xml:space="preserve">IDFS </w:t>
      </w:r>
      <w:r w:rsidR="00E66B91" w:rsidRPr="00842260">
        <w:rPr>
          <w:iCs/>
        </w:rPr>
        <w:t>being</w:t>
      </w:r>
      <w:r w:rsidR="00FE654D" w:rsidRPr="00842260">
        <w:rPr>
          <w:iCs/>
        </w:rPr>
        <w:t xml:space="preserve"> employed as</w:t>
      </w:r>
      <w:r w:rsidR="001B6449" w:rsidRPr="00842260">
        <w:rPr>
          <w:iCs/>
        </w:rPr>
        <w:t xml:space="preserve"> a surrogate for OS</w:t>
      </w:r>
      <w:r w:rsidR="00407DD2" w:rsidRPr="00842260">
        <w:t xml:space="preserve"> </w:t>
      </w:r>
      <w:r w:rsidR="00E66B91" w:rsidRPr="00842260">
        <w:t>was</w:t>
      </w:r>
      <w:r w:rsidR="00FF71E8" w:rsidRPr="00842260">
        <w:t xml:space="preserve"> </w:t>
      </w:r>
      <w:r w:rsidR="00A43051" w:rsidRPr="00842260">
        <w:t>uncertain</w:t>
      </w:r>
      <w:r w:rsidR="00F03E66" w:rsidRPr="00842260">
        <w:t xml:space="preserve"> but </w:t>
      </w:r>
      <w:r w:rsidR="00063642" w:rsidRPr="00842260">
        <w:t xml:space="preserve">generally </w:t>
      </w:r>
      <w:r w:rsidR="00F03E66" w:rsidRPr="00842260">
        <w:t>plausible</w:t>
      </w:r>
      <w:r w:rsidR="00FF71E8" w:rsidRPr="00842260">
        <w:rPr>
          <w:rFonts w:asciiTheme="minorHAnsi" w:hAnsiTheme="minorHAnsi"/>
          <w:snapToGrid w:val="0"/>
        </w:rPr>
        <w:t xml:space="preserve">. </w:t>
      </w:r>
      <w:r w:rsidR="00063642" w:rsidRPr="00842260">
        <w:rPr>
          <w:rFonts w:asciiTheme="minorHAnsi" w:hAnsiTheme="minorHAnsi"/>
          <w:snapToGrid w:val="0"/>
        </w:rPr>
        <w:t>However, t</w:t>
      </w:r>
      <w:r w:rsidR="00FF71E8" w:rsidRPr="00842260">
        <w:rPr>
          <w:rFonts w:asciiTheme="minorHAnsi" w:hAnsiTheme="minorHAnsi"/>
          <w:snapToGrid w:val="0"/>
        </w:rPr>
        <w:t>he PBAC noted the</w:t>
      </w:r>
      <w:r w:rsidR="00141468" w:rsidRPr="00842260">
        <w:rPr>
          <w:rFonts w:asciiTheme="minorHAnsi" w:hAnsiTheme="minorHAnsi"/>
          <w:snapToGrid w:val="0"/>
        </w:rPr>
        <w:t xml:space="preserve"> </w:t>
      </w:r>
      <w:r w:rsidR="009C11F2" w:rsidRPr="00842260">
        <w:rPr>
          <w:rFonts w:asciiTheme="minorHAnsi" w:hAnsiTheme="minorHAnsi"/>
          <w:snapToGrid w:val="0"/>
        </w:rPr>
        <w:t xml:space="preserve">relationship between </w:t>
      </w:r>
      <w:proofErr w:type="gramStart"/>
      <w:r w:rsidR="009C11F2" w:rsidRPr="00842260">
        <w:rPr>
          <w:rFonts w:asciiTheme="minorHAnsi" w:hAnsiTheme="minorHAnsi"/>
          <w:snapToGrid w:val="0"/>
        </w:rPr>
        <w:t>IDFS</w:t>
      </w:r>
      <w:proofErr w:type="gramEnd"/>
      <w:r w:rsidR="009C11F2" w:rsidRPr="00842260">
        <w:rPr>
          <w:rFonts w:asciiTheme="minorHAnsi" w:hAnsiTheme="minorHAnsi"/>
          <w:snapToGrid w:val="0"/>
        </w:rPr>
        <w:t xml:space="preserve"> and OS is uncertain for </w:t>
      </w:r>
      <w:proofErr w:type="spellStart"/>
      <w:r w:rsidR="009C11F2" w:rsidRPr="00842260">
        <w:rPr>
          <w:rFonts w:asciiTheme="minorHAnsi" w:hAnsiTheme="minorHAnsi"/>
          <w:snapToGrid w:val="0"/>
        </w:rPr>
        <w:t>abemaciclib</w:t>
      </w:r>
      <w:proofErr w:type="spellEnd"/>
      <w:r w:rsidR="009C11F2" w:rsidRPr="00842260">
        <w:rPr>
          <w:rFonts w:asciiTheme="minorHAnsi" w:hAnsiTheme="minorHAnsi"/>
          <w:snapToGrid w:val="0"/>
        </w:rPr>
        <w:t xml:space="preserve">, given the </w:t>
      </w:r>
      <w:r w:rsidR="00141468" w:rsidRPr="00842260">
        <w:t xml:space="preserve">OS data were immature and no difference in OS was observed at the most recent data </w:t>
      </w:r>
      <w:proofErr w:type="spellStart"/>
      <w:r w:rsidR="00141468" w:rsidRPr="00842260">
        <w:t>cutoff</w:t>
      </w:r>
      <w:proofErr w:type="spellEnd"/>
      <w:r w:rsidR="009C11F2" w:rsidRPr="00842260">
        <w:t xml:space="preserve">. The PBAC considered </w:t>
      </w:r>
      <w:r w:rsidR="000E4F42" w:rsidRPr="00842260">
        <w:t xml:space="preserve">that </w:t>
      </w:r>
      <w:r w:rsidR="00167283" w:rsidRPr="00842260">
        <w:t>longer-term</w:t>
      </w:r>
      <w:r w:rsidR="006755FE" w:rsidRPr="00842260">
        <w:t xml:space="preserve"> OS</w:t>
      </w:r>
      <w:r w:rsidR="00167283" w:rsidRPr="00842260">
        <w:t xml:space="preserve"> data </w:t>
      </w:r>
      <w:r w:rsidR="006755FE" w:rsidRPr="00842260">
        <w:t>would be informative</w:t>
      </w:r>
      <w:r w:rsidR="00F65281" w:rsidRPr="00842260">
        <w:t xml:space="preserve">. </w:t>
      </w:r>
      <w:bookmarkEnd w:id="75"/>
      <w:r w:rsidR="00F65281" w:rsidRPr="00842260">
        <w:t>The PBAC</w:t>
      </w:r>
      <w:r w:rsidR="00407DD2" w:rsidRPr="00842260">
        <w:t xml:space="preserve"> noted</w:t>
      </w:r>
      <w:r w:rsidR="009030EE" w:rsidRPr="00842260">
        <w:t xml:space="preserve"> that patients</w:t>
      </w:r>
      <w:r w:rsidR="00F13AF7" w:rsidRPr="00842260">
        <w:t xml:space="preserve"> in the </w:t>
      </w:r>
      <w:proofErr w:type="spellStart"/>
      <w:r w:rsidR="00F13AF7" w:rsidRPr="00842260">
        <w:t>monarchE</w:t>
      </w:r>
      <w:proofErr w:type="spellEnd"/>
      <w:r w:rsidR="00F13AF7" w:rsidRPr="00842260">
        <w:t xml:space="preserve"> trial</w:t>
      </w:r>
      <w:r w:rsidR="009030EE" w:rsidRPr="00842260">
        <w:t xml:space="preserve"> who develop metastatic disease may receive a CDK4/6 inhibitor as part of their </w:t>
      </w:r>
      <w:r w:rsidR="00F13AF7" w:rsidRPr="00842260">
        <w:lastRenderedPageBreak/>
        <w:t>first line metastatic treatment</w:t>
      </w:r>
      <w:r w:rsidR="00407DD2" w:rsidRPr="00842260">
        <w:t xml:space="preserve">, which may extend their life </w:t>
      </w:r>
      <w:r w:rsidR="009B48C1" w:rsidRPr="00842260">
        <w:t>following</w:t>
      </w:r>
      <w:r w:rsidR="00407DD2" w:rsidRPr="00842260">
        <w:t xml:space="preserve"> progression to metastatic disease.</w:t>
      </w:r>
      <w:r w:rsidR="000E4F42" w:rsidRPr="00842260">
        <w:t xml:space="preserve"> </w:t>
      </w:r>
      <w:r w:rsidR="0051473B" w:rsidRPr="00842260">
        <w:rPr>
          <w:rFonts w:asciiTheme="minorHAnsi" w:hAnsiTheme="minorHAnsi"/>
          <w:snapToGrid w:val="0"/>
        </w:rPr>
        <w:t>Overall, the PBAC considered that a claim of superior efficacy was uncertain but supportable.</w:t>
      </w:r>
    </w:p>
    <w:p w14:paraId="32BA3F70" w14:textId="66D4CD3B" w:rsidR="00FF71E8" w:rsidRPr="00842260" w:rsidRDefault="00FF71E8" w:rsidP="00082385">
      <w:pPr>
        <w:numPr>
          <w:ilvl w:val="1"/>
          <w:numId w:val="1"/>
        </w:numPr>
        <w:spacing w:after="120"/>
        <w:rPr>
          <w:rFonts w:asciiTheme="minorHAnsi" w:hAnsiTheme="minorHAnsi"/>
          <w:snapToGrid w:val="0"/>
        </w:rPr>
      </w:pPr>
      <w:r w:rsidRPr="00842260">
        <w:rPr>
          <w:rFonts w:asciiTheme="minorHAnsi" w:hAnsiTheme="minorHAnsi"/>
          <w:snapToGrid w:val="0"/>
        </w:rPr>
        <w:t xml:space="preserve">The PBAC </w:t>
      </w:r>
      <w:r w:rsidR="00721A7F" w:rsidRPr="00842260">
        <w:rPr>
          <w:rFonts w:asciiTheme="minorHAnsi" w:hAnsiTheme="minorHAnsi"/>
          <w:snapToGrid w:val="0"/>
        </w:rPr>
        <w:t>considered that a claim of inferior</w:t>
      </w:r>
      <w:r w:rsidR="00E33C7F" w:rsidRPr="00842260">
        <w:rPr>
          <w:rFonts w:asciiTheme="minorHAnsi" w:hAnsiTheme="minorHAnsi"/>
          <w:snapToGrid w:val="0"/>
        </w:rPr>
        <w:t xml:space="preserve"> but manageable</w:t>
      </w:r>
      <w:r w:rsidR="00721A7F" w:rsidRPr="00842260">
        <w:rPr>
          <w:rFonts w:asciiTheme="minorHAnsi" w:hAnsiTheme="minorHAnsi"/>
          <w:snapToGrid w:val="0"/>
        </w:rPr>
        <w:t xml:space="preserve"> safety</w:t>
      </w:r>
      <w:r w:rsidR="00E33C7F" w:rsidRPr="00842260">
        <w:rPr>
          <w:rFonts w:asciiTheme="minorHAnsi" w:hAnsiTheme="minorHAnsi"/>
          <w:snapToGrid w:val="0"/>
        </w:rPr>
        <w:t xml:space="preserve"> was</w:t>
      </w:r>
      <w:r w:rsidR="00721A7F" w:rsidRPr="00842260">
        <w:rPr>
          <w:rFonts w:asciiTheme="minorHAnsi" w:hAnsiTheme="minorHAnsi"/>
          <w:snapToGrid w:val="0"/>
        </w:rPr>
        <w:t xml:space="preserve"> reasonable. The PBAC noted the relatively high </w:t>
      </w:r>
      <w:r w:rsidR="009813A6" w:rsidRPr="00842260">
        <w:rPr>
          <w:rFonts w:asciiTheme="minorHAnsi" w:hAnsiTheme="minorHAnsi"/>
          <w:snapToGrid w:val="0"/>
        </w:rPr>
        <w:t>percentage</w:t>
      </w:r>
      <w:r w:rsidR="00721A7F" w:rsidRPr="00842260">
        <w:rPr>
          <w:rFonts w:asciiTheme="minorHAnsi" w:hAnsiTheme="minorHAnsi"/>
          <w:snapToGrid w:val="0"/>
        </w:rPr>
        <w:t xml:space="preserve"> of patients who discontinued </w:t>
      </w:r>
      <w:proofErr w:type="spellStart"/>
      <w:r w:rsidR="00721A7F" w:rsidRPr="00842260">
        <w:rPr>
          <w:rFonts w:asciiTheme="minorHAnsi" w:hAnsiTheme="minorHAnsi"/>
          <w:snapToGrid w:val="0"/>
        </w:rPr>
        <w:t>abemaciclib</w:t>
      </w:r>
      <w:proofErr w:type="spellEnd"/>
      <w:r w:rsidR="00721A7F" w:rsidRPr="00842260">
        <w:rPr>
          <w:rFonts w:asciiTheme="minorHAnsi" w:hAnsiTheme="minorHAnsi"/>
          <w:snapToGrid w:val="0"/>
        </w:rPr>
        <w:t xml:space="preserve"> due to an AE (18.5%) and </w:t>
      </w:r>
      <w:r w:rsidR="009813A6" w:rsidRPr="00842260">
        <w:rPr>
          <w:rFonts w:asciiTheme="minorHAnsi" w:hAnsiTheme="minorHAnsi"/>
          <w:snapToGrid w:val="0"/>
        </w:rPr>
        <w:t xml:space="preserve">grade </w:t>
      </w:r>
      <w:r w:rsidR="009813A6" w:rsidRPr="00842260">
        <w:rPr>
          <w:rFonts w:asciiTheme="minorHAnsi" w:hAnsiTheme="minorHAnsi" w:cstheme="minorHAnsi"/>
          <w:snapToGrid w:val="0"/>
        </w:rPr>
        <w:t>≥</w:t>
      </w:r>
      <w:r w:rsidR="009813A6" w:rsidRPr="00842260">
        <w:rPr>
          <w:rFonts w:asciiTheme="minorHAnsi" w:hAnsiTheme="minorHAnsi"/>
          <w:snapToGrid w:val="0"/>
        </w:rPr>
        <w:t xml:space="preserve">3 treatment emergent adverse events were 33% higher </w:t>
      </w:r>
      <w:r w:rsidR="00392A91" w:rsidRPr="00842260">
        <w:rPr>
          <w:rFonts w:asciiTheme="minorHAnsi" w:hAnsiTheme="minorHAnsi"/>
          <w:snapToGrid w:val="0"/>
        </w:rPr>
        <w:t>in</w:t>
      </w:r>
      <w:r w:rsidR="009813A6" w:rsidRPr="00842260">
        <w:rPr>
          <w:rFonts w:asciiTheme="minorHAnsi" w:hAnsiTheme="minorHAnsi"/>
          <w:snapToGrid w:val="0"/>
        </w:rPr>
        <w:t xml:space="preserve"> </w:t>
      </w:r>
      <w:proofErr w:type="spellStart"/>
      <w:r w:rsidR="009813A6" w:rsidRPr="00842260">
        <w:rPr>
          <w:rFonts w:asciiTheme="minorHAnsi" w:hAnsiTheme="minorHAnsi"/>
          <w:snapToGrid w:val="0"/>
        </w:rPr>
        <w:t>abemaciclib</w:t>
      </w:r>
      <w:proofErr w:type="spellEnd"/>
      <w:r w:rsidR="009813A6" w:rsidRPr="00842260">
        <w:rPr>
          <w:rFonts w:asciiTheme="minorHAnsi" w:hAnsiTheme="minorHAnsi"/>
          <w:snapToGrid w:val="0"/>
        </w:rPr>
        <w:t xml:space="preserve"> patients compared with ET alone.</w:t>
      </w:r>
      <w:r w:rsidR="00392A91" w:rsidRPr="00842260">
        <w:rPr>
          <w:rFonts w:asciiTheme="minorHAnsi" w:hAnsiTheme="minorHAnsi"/>
          <w:snapToGrid w:val="0"/>
        </w:rPr>
        <w:t xml:space="preserve"> </w:t>
      </w:r>
      <w:r w:rsidR="002A0ED1" w:rsidRPr="00842260">
        <w:rPr>
          <w:rFonts w:asciiTheme="minorHAnsi" w:hAnsiTheme="minorHAnsi"/>
          <w:snapToGrid w:val="0"/>
        </w:rPr>
        <w:t>However, t</w:t>
      </w:r>
      <w:r w:rsidR="00392A91" w:rsidRPr="00842260">
        <w:rPr>
          <w:rFonts w:asciiTheme="minorHAnsi" w:hAnsiTheme="minorHAnsi"/>
          <w:snapToGrid w:val="0"/>
        </w:rPr>
        <w:t xml:space="preserve">he PBAC considered that there was unlikely to be new QUM issues given </w:t>
      </w:r>
      <w:proofErr w:type="spellStart"/>
      <w:r w:rsidR="00392A91" w:rsidRPr="00842260">
        <w:rPr>
          <w:rFonts w:asciiTheme="minorHAnsi" w:hAnsiTheme="minorHAnsi"/>
          <w:snapToGrid w:val="0"/>
        </w:rPr>
        <w:t>abemaciclib</w:t>
      </w:r>
      <w:proofErr w:type="spellEnd"/>
      <w:r w:rsidR="00392A91" w:rsidRPr="00842260">
        <w:rPr>
          <w:rFonts w:asciiTheme="minorHAnsi" w:hAnsiTheme="minorHAnsi"/>
          <w:snapToGrid w:val="0"/>
        </w:rPr>
        <w:t xml:space="preserve"> is an existing therapy with a known safety profile and agreed </w:t>
      </w:r>
      <w:r w:rsidR="00267708" w:rsidRPr="00842260">
        <w:rPr>
          <w:rFonts w:asciiTheme="minorHAnsi" w:hAnsiTheme="minorHAnsi"/>
          <w:snapToGrid w:val="0"/>
        </w:rPr>
        <w:t xml:space="preserve">with the submission that the adverse events associated with adjuvant </w:t>
      </w:r>
      <w:proofErr w:type="spellStart"/>
      <w:r w:rsidR="00267708" w:rsidRPr="00842260">
        <w:rPr>
          <w:rFonts w:asciiTheme="minorHAnsi" w:hAnsiTheme="minorHAnsi"/>
          <w:snapToGrid w:val="0"/>
        </w:rPr>
        <w:t>abemaciclib</w:t>
      </w:r>
      <w:proofErr w:type="spellEnd"/>
      <w:r w:rsidR="00392A91" w:rsidRPr="00842260">
        <w:rPr>
          <w:rFonts w:asciiTheme="minorHAnsi" w:hAnsiTheme="minorHAnsi"/>
          <w:snapToGrid w:val="0"/>
        </w:rPr>
        <w:t xml:space="preserve"> </w:t>
      </w:r>
      <w:r w:rsidR="00267708" w:rsidRPr="00842260">
        <w:rPr>
          <w:rFonts w:asciiTheme="minorHAnsi" w:hAnsiTheme="minorHAnsi"/>
          <w:snapToGrid w:val="0"/>
        </w:rPr>
        <w:t>could be</w:t>
      </w:r>
      <w:r w:rsidR="00BD29F2" w:rsidRPr="00842260">
        <w:rPr>
          <w:rFonts w:asciiTheme="minorHAnsi" w:hAnsiTheme="minorHAnsi"/>
          <w:snapToGrid w:val="0"/>
        </w:rPr>
        <w:t xml:space="preserve"> monitored and</w:t>
      </w:r>
      <w:r w:rsidR="00267708" w:rsidRPr="00842260">
        <w:rPr>
          <w:rFonts w:asciiTheme="minorHAnsi" w:hAnsiTheme="minorHAnsi"/>
          <w:snapToGrid w:val="0"/>
        </w:rPr>
        <w:t xml:space="preserve"> managed with </w:t>
      </w:r>
      <w:r w:rsidR="00392A91" w:rsidRPr="00842260">
        <w:rPr>
          <w:rFonts w:asciiTheme="minorHAnsi" w:hAnsiTheme="minorHAnsi"/>
          <w:snapToGrid w:val="0"/>
        </w:rPr>
        <w:t>dose modifications.</w:t>
      </w:r>
    </w:p>
    <w:p w14:paraId="110D1A29" w14:textId="3D4A3676" w:rsidR="007B55FC" w:rsidRPr="00842260" w:rsidRDefault="007B55FC" w:rsidP="00FF71E8">
      <w:pPr>
        <w:widowControl w:val="0"/>
        <w:numPr>
          <w:ilvl w:val="1"/>
          <w:numId w:val="1"/>
        </w:numPr>
        <w:spacing w:after="120"/>
        <w:rPr>
          <w:rFonts w:asciiTheme="minorHAnsi" w:hAnsiTheme="minorHAnsi"/>
          <w:snapToGrid w:val="0"/>
        </w:rPr>
      </w:pPr>
      <w:r w:rsidRPr="00842260">
        <w:rPr>
          <w:rFonts w:asciiTheme="minorHAnsi" w:hAnsiTheme="minorHAnsi"/>
          <w:snapToGrid w:val="0"/>
        </w:rPr>
        <w:t xml:space="preserve">The PBAC noted the base case ICER presented </w:t>
      </w:r>
      <w:r w:rsidR="00FB4A2F" w:rsidRPr="00842260">
        <w:rPr>
          <w:rFonts w:asciiTheme="minorHAnsi" w:hAnsiTheme="minorHAnsi"/>
          <w:snapToGrid w:val="0"/>
        </w:rPr>
        <w:t>in the submission was revised during</w:t>
      </w:r>
      <w:r w:rsidRPr="00842260">
        <w:rPr>
          <w:rFonts w:asciiTheme="minorHAnsi" w:hAnsiTheme="minorHAnsi"/>
          <w:snapToGrid w:val="0"/>
        </w:rPr>
        <w:t xml:space="preserve"> the evaluation (revised ICER = </w:t>
      </w:r>
      <w:r w:rsidR="00E05EBA" w:rsidRPr="00E05EBA">
        <w:rPr>
          <w:rFonts w:asciiTheme="minorHAnsi" w:hAnsiTheme="minorHAnsi"/>
          <w:snapToGrid w:val="0"/>
        </w:rPr>
        <w:t>$15,000 to &lt; $25,000</w:t>
      </w:r>
      <w:r w:rsidR="00E05EBA">
        <w:rPr>
          <w:rFonts w:asciiTheme="minorHAnsi" w:hAnsiTheme="minorHAnsi"/>
          <w:snapToGrid w:val="0"/>
        </w:rPr>
        <w:t xml:space="preserve"> </w:t>
      </w:r>
      <w:r w:rsidRPr="00842260">
        <w:rPr>
          <w:rFonts w:asciiTheme="minorHAnsi" w:hAnsiTheme="minorHAnsi"/>
          <w:snapToGrid w:val="0"/>
        </w:rPr>
        <w:t>per QALY)</w:t>
      </w:r>
      <w:r w:rsidR="00B076E3" w:rsidRPr="00842260">
        <w:rPr>
          <w:rFonts w:asciiTheme="minorHAnsi" w:hAnsiTheme="minorHAnsi"/>
          <w:snapToGrid w:val="0"/>
        </w:rPr>
        <w:t xml:space="preserve"> and agreed with the</w:t>
      </w:r>
      <w:r w:rsidR="00FB4A2F" w:rsidRPr="00842260">
        <w:rPr>
          <w:rFonts w:asciiTheme="minorHAnsi" w:hAnsiTheme="minorHAnsi"/>
          <w:snapToGrid w:val="0"/>
        </w:rPr>
        <w:t>se</w:t>
      </w:r>
      <w:r w:rsidR="00B076E3" w:rsidRPr="00842260">
        <w:rPr>
          <w:rFonts w:asciiTheme="minorHAnsi" w:hAnsiTheme="minorHAnsi"/>
          <w:snapToGrid w:val="0"/>
        </w:rPr>
        <w:t xml:space="preserve"> correc</w:t>
      </w:r>
      <w:r w:rsidR="00FB4A2F" w:rsidRPr="00842260">
        <w:rPr>
          <w:rFonts w:asciiTheme="minorHAnsi" w:hAnsiTheme="minorHAnsi"/>
          <w:snapToGrid w:val="0"/>
        </w:rPr>
        <w:t>tions</w:t>
      </w:r>
      <w:r w:rsidRPr="00842260">
        <w:rPr>
          <w:rFonts w:asciiTheme="minorHAnsi" w:hAnsiTheme="minorHAnsi"/>
          <w:snapToGrid w:val="0"/>
        </w:rPr>
        <w:t>. The PBAC considered this ICER to be highly uncertain, with the economic model sensitive to the duration of treatment effect, time horizon, extrapolation of IDFS, calibration of outcomes in</w:t>
      </w:r>
      <w:r w:rsidR="00B076E3" w:rsidRPr="00842260">
        <w:rPr>
          <w:rFonts w:asciiTheme="minorHAnsi" w:hAnsiTheme="minorHAnsi"/>
          <w:snapToGrid w:val="0"/>
        </w:rPr>
        <w:t xml:space="preserve"> endocrine-sensitive metastatic breast cancer</w:t>
      </w:r>
      <w:r w:rsidRPr="00842260">
        <w:rPr>
          <w:rFonts w:asciiTheme="minorHAnsi" w:hAnsiTheme="minorHAnsi"/>
          <w:snapToGrid w:val="0"/>
        </w:rPr>
        <w:t xml:space="preserve">, and the proportion of recurrences that are non-metastatic. </w:t>
      </w:r>
    </w:p>
    <w:p w14:paraId="091379DA" w14:textId="31A5B303" w:rsidR="003F5743" w:rsidRPr="00842260" w:rsidRDefault="00DE0B73" w:rsidP="004F60A5">
      <w:pPr>
        <w:widowControl w:val="0"/>
        <w:numPr>
          <w:ilvl w:val="1"/>
          <w:numId w:val="1"/>
        </w:numPr>
        <w:spacing w:after="120"/>
      </w:pPr>
      <w:r w:rsidRPr="00842260">
        <w:rPr>
          <w:iCs/>
        </w:rPr>
        <w:t xml:space="preserve">The PBAC noted that the ICER was sensitive to </w:t>
      </w:r>
      <w:proofErr w:type="gramStart"/>
      <w:r w:rsidRPr="00842260">
        <w:rPr>
          <w:iCs/>
        </w:rPr>
        <w:t>a number of</w:t>
      </w:r>
      <w:proofErr w:type="gramEnd"/>
      <w:r w:rsidRPr="00842260">
        <w:rPr>
          <w:iCs/>
        </w:rPr>
        <w:t xml:space="preserve"> model inputs and assumptions. </w:t>
      </w:r>
      <w:r w:rsidR="00B8729E" w:rsidRPr="00842260">
        <w:rPr>
          <w:iCs/>
        </w:rPr>
        <w:t xml:space="preserve">The submission assumed that a treatment effect of </w:t>
      </w:r>
      <w:proofErr w:type="spellStart"/>
      <w:r w:rsidR="00B8729E" w:rsidRPr="00842260">
        <w:rPr>
          <w:iCs/>
        </w:rPr>
        <w:t>abemaciclib</w:t>
      </w:r>
      <w:proofErr w:type="spellEnd"/>
      <w:r w:rsidR="00B8729E" w:rsidRPr="00842260">
        <w:rPr>
          <w:iCs/>
        </w:rPr>
        <w:t xml:space="preserve"> on IDFS would continue beyond the observed data (treatment duration was a maximum of two years)</w:t>
      </w:r>
      <w:r w:rsidRPr="00842260">
        <w:rPr>
          <w:iCs/>
        </w:rPr>
        <w:t>.</w:t>
      </w:r>
      <w:r w:rsidR="00B8729E" w:rsidRPr="00842260">
        <w:rPr>
          <w:iCs/>
        </w:rPr>
        <w:t xml:space="preserve"> </w:t>
      </w:r>
      <w:r w:rsidRPr="00842260">
        <w:rPr>
          <w:iCs/>
        </w:rPr>
        <w:t>T</w:t>
      </w:r>
      <w:r w:rsidR="00B8729E" w:rsidRPr="00842260">
        <w:rPr>
          <w:iCs/>
        </w:rPr>
        <w:t xml:space="preserve">he PBAC </w:t>
      </w:r>
      <w:r w:rsidR="00C4007B" w:rsidRPr="00842260">
        <w:rPr>
          <w:iCs/>
        </w:rPr>
        <w:t>considered</w:t>
      </w:r>
      <w:r w:rsidR="00B8729E" w:rsidRPr="00842260">
        <w:rPr>
          <w:iCs/>
        </w:rPr>
        <w:t xml:space="preserve"> that </w:t>
      </w:r>
      <w:r w:rsidR="000017DD" w:rsidRPr="00842260">
        <w:rPr>
          <w:iCs/>
        </w:rPr>
        <w:t>the presented assumption for treatment effect duration</w:t>
      </w:r>
      <w:r w:rsidRPr="00842260">
        <w:rPr>
          <w:iCs/>
        </w:rPr>
        <w:t xml:space="preserve"> (until Year 8, with a waning of this effect modelled until Year 38)</w:t>
      </w:r>
      <w:r w:rsidR="000017DD" w:rsidRPr="00842260">
        <w:rPr>
          <w:iCs/>
        </w:rPr>
        <w:t xml:space="preserve"> was </w:t>
      </w:r>
      <w:r w:rsidR="00555D65" w:rsidRPr="00842260">
        <w:rPr>
          <w:iCs/>
        </w:rPr>
        <w:t>highly</w:t>
      </w:r>
      <w:r w:rsidR="000017DD" w:rsidRPr="00842260">
        <w:rPr>
          <w:iCs/>
        </w:rPr>
        <w:t xml:space="preserve"> optimistic and</w:t>
      </w:r>
      <w:r w:rsidR="00674DE3" w:rsidRPr="00842260">
        <w:rPr>
          <w:iCs/>
        </w:rPr>
        <w:t xml:space="preserve"> not well justified</w:t>
      </w:r>
      <w:r w:rsidR="00C4007B" w:rsidRPr="00842260">
        <w:rPr>
          <w:iCs/>
        </w:rPr>
        <w:t xml:space="preserve">. The PBAC </w:t>
      </w:r>
      <w:r w:rsidR="00B8729E" w:rsidRPr="00842260">
        <w:rPr>
          <w:iCs/>
        </w:rPr>
        <w:t xml:space="preserve">noted the ICER </w:t>
      </w:r>
      <w:r w:rsidR="00674DE3" w:rsidRPr="00842260">
        <w:rPr>
          <w:iCs/>
        </w:rPr>
        <w:t xml:space="preserve">is highly sensitive </w:t>
      </w:r>
      <w:r w:rsidR="00B8729E" w:rsidRPr="00842260">
        <w:rPr>
          <w:iCs/>
        </w:rPr>
        <w:t>to changes in this assumption and the year at which waning is assumed to commence</w:t>
      </w:r>
      <w:r w:rsidRPr="00842260">
        <w:rPr>
          <w:iCs/>
        </w:rPr>
        <w:t>,</w:t>
      </w:r>
      <w:r w:rsidR="000017DD" w:rsidRPr="00842260">
        <w:rPr>
          <w:iCs/>
        </w:rPr>
        <w:t xml:space="preserve"> and assuming no</w:t>
      </w:r>
      <w:r w:rsidR="00555D65" w:rsidRPr="00842260">
        <w:rPr>
          <w:iCs/>
        </w:rPr>
        <w:t xml:space="preserve"> treatment</w:t>
      </w:r>
      <w:r w:rsidR="000017DD" w:rsidRPr="00842260">
        <w:rPr>
          <w:iCs/>
        </w:rPr>
        <w:t xml:space="preserve"> effect beyond the observed period </w:t>
      </w:r>
      <w:r w:rsidR="00CA1AC3" w:rsidRPr="00842260">
        <w:rPr>
          <w:iCs/>
        </w:rPr>
        <w:t>resulted in</w:t>
      </w:r>
      <w:r w:rsidR="000017DD" w:rsidRPr="00842260">
        <w:rPr>
          <w:iCs/>
        </w:rPr>
        <w:t xml:space="preserve"> an ICER of </w:t>
      </w:r>
      <w:r w:rsidR="00E05EBA" w:rsidRPr="00E05EBA">
        <w:rPr>
          <w:iCs/>
        </w:rPr>
        <w:t>$355,000 to &lt; $455,000</w:t>
      </w:r>
      <w:r w:rsidR="00E05EBA">
        <w:rPr>
          <w:iCs/>
        </w:rPr>
        <w:t xml:space="preserve"> </w:t>
      </w:r>
      <w:r w:rsidR="000017DD" w:rsidRPr="00842260">
        <w:rPr>
          <w:iCs/>
        </w:rPr>
        <w:t>per QALY.</w:t>
      </w:r>
      <w:r w:rsidR="00D756F9" w:rsidRPr="00842260">
        <w:rPr>
          <w:iCs/>
        </w:rPr>
        <w:t xml:space="preserve"> The PBAC advised that a more conservative assumption regarding treatment effect duration</w:t>
      </w:r>
      <w:r w:rsidRPr="00842260">
        <w:rPr>
          <w:iCs/>
        </w:rPr>
        <w:t xml:space="preserve"> should</w:t>
      </w:r>
      <w:r w:rsidR="00D756F9" w:rsidRPr="00842260">
        <w:rPr>
          <w:iCs/>
        </w:rPr>
        <w:t xml:space="preserve"> be considered.</w:t>
      </w:r>
      <w:r w:rsidRPr="00842260">
        <w:rPr>
          <w:rFonts w:asciiTheme="minorHAnsi" w:hAnsiTheme="minorHAnsi"/>
          <w:snapToGrid w:val="0"/>
        </w:rPr>
        <w:t xml:space="preserve"> </w:t>
      </w:r>
      <w:r w:rsidR="007E0D8E" w:rsidRPr="00842260">
        <w:rPr>
          <w:iCs/>
        </w:rPr>
        <w:t xml:space="preserve">The PBAC </w:t>
      </w:r>
      <w:r w:rsidR="00EF5B8F" w:rsidRPr="00842260">
        <w:rPr>
          <w:iCs/>
        </w:rPr>
        <w:t>agreed with the ESC that a time horizon of 40 years was not reasonable due to the average age of diagnosis (61.4 years) and the uncertain extrapolation of IDFS</w:t>
      </w:r>
      <w:r w:rsidR="00A225DA" w:rsidRPr="00842260">
        <w:rPr>
          <w:iCs/>
        </w:rPr>
        <w:t xml:space="preserve">. Thus, it </w:t>
      </w:r>
      <w:r w:rsidR="00F12FDB" w:rsidRPr="00842260">
        <w:rPr>
          <w:iCs/>
        </w:rPr>
        <w:t>advised that</w:t>
      </w:r>
      <w:r w:rsidR="007E0D8E" w:rsidRPr="00842260">
        <w:rPr>
          <w:iCs/>
        </w:rPr>
        <w:t xml:space="preserve"> </w:t>
      </w:r>
      <w:r w:rsidR="00A225DA" w:rsidRPr="00842260">
        <w:rPr>
          <w:iCs/>
        </w:rPr>
        <w:t xml:space="preserve">a </w:t>
      </w:r>
      <w:r w:rsidR="007E0D8E" w:rsidRPr="00842260">
        <w:rPr>
          <w:iCs/>
        </w:rPr>
        <w:t>20</w:t>
      </w:r>
      <w:r w:rsidR="00A225DA" w:rsidRPr="00842260">
        <w:rPr>
          <w:iCs/>
        </w:rPr>
        <w:t>-</w:t>
      </w:r>
      <w:r w:rsidR="007E0D8E" w:rsidRPr="00842260">
        <w:rPr>
          <w:iCs/>
        </w:rPr>
        <w:t>year</w:t>
      </w:r>
      <w:r w:rsidR="00A225DA" w:rsidRPr="00842260">
        <w:rPr>
          <w:iCs/>
        </w:rPr>
        <w:t xml:space="preserve"> time horizon</w:t>
      </w:r>
      <w:r w:rsidR="00F12FDB" w:rsidRPr="00842260">
        <w:rPr>
          <w:iCs/>
        </w:rPr>
        <w:t xml:space="preserve"> was</w:t>
      </w:r>
      <w:r w:rsidR="00A225DA" w:rsidRPr="00842260">
        <w:rPr>
          <w:iCs/>
        </w:rPr>
        <w:t xml:space="preserve"> </w:t>
      </w:r>
      <w:r w:rsidR="00357AE4" w:rsidRPr="00842260">
        <w:rPr>
          <w:iCs/>
        </w:rPr>
        <w:t xml:space="preserve">more </w:t>
      </w:r>
      <w:r w:rsidR="00F12FDB" w:rsidRPr="00842260">
        <w:rPr>
          <w:iCs/>
        </w:rPr>
        <w:t>reasonable.</w:t>
      </w:r>
      <w:r w:rsidRPr="00842260">
        <w:rPr>
          <w:iCs/>
        </w:rPr>
        <w:t xml:space="preserve"> </w:t>
      </w:r>
      <w:r w:rsidR="000D4611" w:rsidRPr="00842260">
        <w:rPr>
          <w:iCs/>
        </w:rPr>
        <w:t>The PBAC noted that at the time of the latest data cut, a small percentage of patients (10.0%) had experienced an IDFS event</w:t>
      </w:r>
      <w:r w:rsidR="008F72A7" w:rsidRPr="00842260">
        <w:rPr>
          <w:iCs/>
        </w:rPr>
        <w:t xml:space="preserve">. It considered that due to the low number of observed events, </w:t>
      </w:r>
      <w:r w:rsidR="000D4611" w:rsidRPr="00842260">
        <w:rPr>
          <w:iCs/>
        </w:rPr>
        <w:t>the</w:t>
      </w:r>
      <w:r w:rsidR="008F72A7" w:rsidRPr="00842260">
        <w:rPr>
          <w:iCs/>
        </w:rPr>
        <w:t xml:space="preserve"> </w:t>
      </w:r>
      <w:r w:rsidR="000D4611" w:rsidRPr="00842260">
        <w:rPr>
          <w:iCs/>
        </w:rPr>
        <w:t>extrapolation</w:t>
      </w:r>
      <w:r w:rsidRPr="00842260">
        <w:rPr>
          <w:iCs/>
        </w:rPr>
        <w:t xml:space="preserve"> (</w:t>
      </w:r>
      <w:r w:rsidRPr="00842260">
        <w:t xml:space="preserve">a </w:t>
      </w:r>
      <w:proofErr w:type="gramStart"/>
      <w:r w:rsidRPr="00842260">
        <w:t>jointly-fitted</w:t>
      </w:r>
      <w:proofErr w:type="gramEnd"/>
      <w:r w:rsidRPr="00842260">
        <w:t xml:space="preserve"> Weibull parametric model</w:t>
      </w:r>
      <w:r w:rsidRPr="00842260">
        <w:rPr>
          <w:iCs/>
        </w:rPr>
        <w:t>)</w:t>
      </w:r>
      <w:r w:rsidR="008F72A7" w:rsidRPr="00842260">
        <w:rPr>
          <w:iCs/>
        </w:rPr>
        <w:t xml:space="preserve"> was highly uncertain</w:t>
      </w:r>
      <w:r w:rsidR="004F60A5" w:rsidRPr="00842260">
        <w:rPr>
          <w:iCs/>
        </w:rPr>
        <w:t xml:space="preserve"> and </w:t>
      </w:r>
      <w:r w:rsidR="00D756F9" w:rsidRPr="00842260">
        <w:t>did not address a reduction in risk profile relative to time since diagnosis.</w:t>
      </w:r>
    </w:p>
    <w:p w14:paraId="4FD1A267" w14:textId="1C7BB653" w:rsidR="004F60A5" w:rsidRPr="00842260" w:rsidRDefault="00B417AF" w:rsidP="00FB4A2F">
      <w:pPr>
        <w:widowControl w:val="0"/>
        <w:numPr>
          <w:ilvl w:val="1"/>
          <w:numId w:val="1"/>
        </w:numPr>
        <w:spacing w:after="120"/>
        <w:rPr>
          <w:rFonts w:asciiTheme="minorHAnsi" w:hAnsiTheme="minorHAnsi"/>
          <w:snapToGrid w:val="0"/>
        </w:rPr>
      </w:pPr>
      <w:r w:rsidRPr="00842260">
        <w:t>The</w:t>
      </w:r>
      <w:r w:rsidR="00E30EF3" w:rsidRPr="00842260">
        <w:t xml:space="preserve"> economic model</w:t>
      </w:r>
      <w:r w:rsidRPr="00842260">
        <w:t xml:space="preserve"> applied </w:t>
      </w:r>
      <w:r w:rsidR="00E30EF3" w:rsidRPr="00842260">
        <w:t>one-off costs and QALYs</w:t>
      </w:r>
      <w:r w:rsidRPr="00842260">
        <w:t xml:space="preserve"> </w:t>
      </w:r>
      <w:r w:rsidR="00E30EF3" w:rsidRPr="00842260">
        <w:t xml:space="preserve">on transition to </w:t>
      </w:r>
      <w:r w:rsidRPr="00842260">
        <w:t>metastatic</w:t>
      </w:r>
      <w:r w:rsidR="00E30EF3" w:rsidRPr="00842260">
        <w:t xml:space="preserve"> disease</w:t>
      </w:r>
      <w:r w:rsidRPr="00842260">
        <w:t xml:space="preserve"> </w:t>
      </w:r>
      <w:r w:rsidR="00E30EF3" w:rsidRPr="00842260">
        <w:t>health states</w:t>
      </w:r>
      <w:r w:rsidRPr="00842260">
        <w:t xml:space="preserve">. These were based on estimates from cost-effectiveness analyses of </w:t>
      </w:r>
      <w:proofErr w:type="spellStart"/>
      <w:r w:rsidRPr="00842260">
        <w:t>abemaciclib</w:t>
      </w:r>
      <w:proofErr w:type="spellEnd"/>
      <w:r w:rsidRPr="00842260">
        <w:t xml:space="preserve"> in the metastatic setting</w:t>
      </w:r>
      <w:r w:rsidR="00A225DA" w:rsidRPr="00842260">
        <w:t xml:space="preserve"> and</w:t>
      </w:r>
      <w:r w:rsidRPr="00842260">
        <w:t xml:space="preserve"> on the MONARCH-2 and MONARCH-3</w:t>
      </w:r>
      <w:r w:rsidR="00A225DA" w:rsidRPr="00842260">
        <w:t xml:space="preserve"> clinical</w:t>
      </w:r>
      <w:r w:rsidRPr="00842260">
        <w:t xml:space="preserve"> trials. </w:t>
      </w:r>
      <w:r w:rsidR="001B7904" w:rsidRPr="00842260">
        <w:t xml:space="preserve">The PBAC considered that transitivity issues were likely to exist between the </w:t>
      </w:r>
      <w:proofErr w:type="spellStart"/>
      <w:r w:rsidR="001B7904" w:rsidRPr="00842260">
        <w:t>monarchE</w:t>
      </w:r>
      <w:proofErr w:type="spellEnd"/>
      <w:r w:rsidR="001B7904" w:rsidRPr="00842260">
        <w:t xml:space="preserve"> trial and the metastatic MONARCH-2 and MONARCH-3 trials</w:t>
      </w:r>
      <w:r w:rsidR="00FB4A2F" w:rsidRPr="00842260">
        <w:t xml:space="preserve">, and that </w:t>
      </w:r>
      <w:r w:rsidR="002A5242" w:rsidRPr="00842260">
        <w:t>this introduced further uncertainty</w:t>
      </w:r>
      <w:r w:rsidR="00CB6678" w:rsidRPr="00842260">
        <w:t>. The PBAC</w:t>
      </w:r>
      <w:r w:rsidR="00FB4A2F" w:rsidRPr="00842260">
        <w:t xml:space="preserve"> also</w:t>
      </w:r>
      <w:r w:rsidR="00CB6678" w:rsidRPr="00842260">
        <w:t xml:space="preserve"> noted that the economic model assumed </w:t>
      </w:r>
      <w:proofErr w:type="spellStart"/>
      <w:r w:rsidR="00317555" w:rsidRPr="00842260">
        <w:t>abemaciclib</w:t>
      </w:r>
      <w:proofErr w:type="spellEnd"/>
      <w:r w:rsidR="00317555" w:rsidRPr="00842260">
        <w:t xml:space="preserve"> </w:t>
      </w:r>
      <w:r w:rsidR="00CB6678" w:rsidRPr="00842260">
        <w:t xml:space="preserve">patients </w:t>
      </w:r>
      <w:r w:rsidR="00843E6E" w:rsidRPr="00842260">
        <w:t>do</w:t>
      </w:r>
      <w:r w:rsidR="00CB6678" w:rsidRPr="00842260">
        <w:t xml:space="preserve"> not receive a CDK4/6 inhibitor after metastatic recurrence and</w:t>
      </w:r>
      <w:r w:rsidR="00CB6678" w:rsidRPr="00842260">
        <w:rPr>
          <w:iCs/>
        </w:rPr>
        <w:t xml:space="preserve"> applied costs and outcomes </w:t>
      </w:r>
      <w:r w:rsidR="00317555" w:rsidRPr="00842260">
        <w:rPr>
          <w:iCs/>
        </w:rPr>
        <w:t xml:space="preserve">to the ET alone patients </w:t>
      </w:r>
      <w:r w:rsidR="00CB6678" w:rsidRPr="00842260">
        <w:rPr>
          <w:iCs/>
        </w:rPr>
        <w:t xml:space="preserve">that </w:t>
      </w:r>
      <w:r w:rsidR="00CB6678" w:rsidRPr="00842260">
        <w:rPr>
          <w:iCs/>
        </w:rPr>
        <w:lastRenderedPageBreak/>
        <w:t>do reflect the accepted cost-effectiveness of CDK4/6 inhibitor treatments.</w:t>
      </w:r>
      <w:r w:rsidR="007716EF" w:rsidRPr="00842260">
        <w:rPr>
          <w:iCs/>
        </w:rPr>
        <w:t xml:space="preserve"> </w:t>
      </w:r>
      <w:r w:rsidR="00317555" w:rsidRPr="00842260">
        <w:rPr>
          <w:iCs/>
        </w:rPr>
        <w:t xml:space="preserve">It advised that </w:t>
      </w:r>
      <w:r w:rsidR="00FB4A2F" w:rsidRPr="00842260">
        <w:rPr>
          <w:iCs/>
        </w:rPr>
        <w:t xml:space="preserve">the </w:t>
      </w:r>
      <w:r w:rsidR="00317555" w:rsidRPr="00842260">
        <w:rPr>
          <w:iCs/>
        </w:rPr>
        <w:t>assum</w:t>
      </w:r>
      <w:r w:rsidR="00FB4A2F" w:rsidRPr="00842260">
        <w:rPr>
          <w:iCs/>
        </w:rPr>
        <w:t>ption that</w:t>
      </w:r>
      <w:r w:rsidR="00317555" w:rsidRPr="00842260">
        <w:rPr>
          <w:iCs/>
        </w:rPr>
        <w:t xml:space="preserve"> </w:t>
      </w:r>
      <w:r w:rsidR="007716EF" w:rsidRPr="00842260">
        <w:t>CDK4/6 inhibitor treatment</w:t>
      </w:r>
      <w:r w:rsidR="00317555" w:rsidRPr="00842260">
        <w:t xml:space="preserve"> in this setting </w:t>
      </w:r>
      <w:r w:rsidR="00FB4A2F" w:rsidRPr="00842260">
        <w:t>would</w:t>
      </w:r>
      <w:r w:rsidR="00317555" w:rsidRPr="00842260">
        <w:t xml:space="preserve"> not </w:t>
      </w:r>
      <w:r w:rsidR="00FB4A2F" w:rsidRPr="00842260">
        <w:t xml:space="preserve">be </w:t>
      </w:r>
      <w:r w:rsidR="00317555" w:rsidRPr="00842260">
        <w:t>cost-effective</w:t>
      </w:r>
      <w:r w:rsidR="007716EF" w:rsidRPr="00842260">
        <w:t xml:space="preserve"> was not appropriate</w:t>
      </w:r>
      <w:r w:rsidR="00317555" w:rsidRPr="00842260">
        <w:t xml:space="preserve"> and favoured the </w:t>
      </w:r>
      <w:proofErr w:type="spellStart"/>
      <w:r w:rsidR="00317555" w:rsidRPr="00842260">
        <w:t>abemaciclib</w:t>
      </w:r>
      <w:proofErr w:type="spellEnd"/>
      <w:r w:rsidR="00317555" w:rsidRPr="00842260">
        <w:t xml:space="preserve"> arm in the economic model</w:t>
      </w:r>
      <w:r w:rsidR="007716EF" w:rsidRPr="00842260">
        <w:t>.</w:t>
      </w:r>
      <w:r w:rsidR="004F60A5" w:rsidRPr="00842260">
        <w:t xml:space="preserve"> </w:t>
      </w:r>
      <w:r w:rsidR="004F60A5" w:rsidRPr="00842260">
        <w:rPr>
          <w:iCs/>
        </w:rPr>
        <w:t xml:space="preserve">The PBAC also considered that some CDK4/6 inhibitor use would be likely post adjuvant </w:t>
      </w:r>
      <w:proofErr w:type="spellStart"/>
      <w:r w:rsidR="004F60A5" w:rsidRPr="00842260">
        <w:rPr>
          <w:iCs/>
        </w:rPr>
        <w:t>abemaciclib</w:t>
      </w:r>
      <w:proofErr w:type="spellEnd"/>
      <w:r w:rsidR="004F60A5" w:rsidRPr="00842260">
        <w:rPr>
          <w:iCs/>
        </w:rPr>
        <w:t xml:space="preserve"> treatment.</w:t>
      </w:r>
      <w:r w:rsidR="007716EF" w:rsidRPr="00842260">
        <w:t xml:space="preserve"> </w:t>
      </w:r>
    </w:p>
    <w:p w14:paraId="221E57DE" w14:textId="5340AF83" w:rsidR="001D27B5" w:rsidRPr="00842260" w:rsidRDefault="004F60A5" w:rsidP="00FB4A2F">
      <w:pPr>
        <w:widowControl w:val="0"/>
        <w:numPr>
          <w:ilvl w:val="1"/>
          <w:numId w:val="1"/>
        </w:numPr>
        <w:spacing w:after="120"/>
        <w:rPr>
          <w:rFonts w:asciiTheme="minorHAnsi" w:hAnsiTheme="minorHAnsi"/>
          <w:snapToGrid w:val="0"/>
        </w:rPr>
      </w:pPr>
      <w:r w:rsidRPr="00842260">
        <w:t>Overall, the PBAC considered the model was not a reliable basis for decision making. T</w:t>
      </w:r>
      <w:r w:rsidR="00357AE4" w:rsidRPr="00842260">
        <w:t xml:space="preserve">he </w:t>
      </w:r>
      <w:r w:rsidR="001D27B5" w:rsidRPr="00842260">
        <w:t xml:space="preserve">PBAC noted that </w:t>
      </w:r>
      <w:proofErr w:type="spellStart"/>
      <w:r w:rsidR="001D27B5" w:rsidRPr="00842260">
        <w:t>abemaciclib</w:t>
      </w:r>
      <w:proofErr w:type="spellEnd"/>
      <w:r w:rsidR="001D27B5" w:rsidRPr="00842260">
        <w:t xml:space="preserve"> treatment in the revised economic model avoided metastatic recurrence in 8% of patients</w:t>
      </w:r>
      <w:r w:rsidRPr="00842260">
        <w:t xml:space="preserve"> compared with a difference of 3% observed in the trial,</w:t>
      </w:r>
      <w:r w:rsidR="001D27B5" w:rsidRPr="00842260">
        <w:t xml:space="preserve"> and </w:t>
      </w:r>
      <w:r w:rsidRPr="00842260">
        <w:t>that</w:t>
      </w:r>
      <w:r w:rsidR="007B6768" w:rsidRPr="00842260">
        <w:t xml:space="preserve"> over the 40-year time horizon</w:t>
      </w:r>
      <w:r w:rsidR="001D27B5" w:rsidRPr="00842260">
        <w:t xml:space="preserve"> there were 25.8 life years gained per metastatic recurrence avoided</w:t>
      </w:r>
      <w:r w:rsidR="00394039" w:rsidRPr="00842260">
        <w:t xml:space="preserve"> and 38.0 life years gained per recurrence avoided.</w:t>
      </w:r>
      <w:r w:rsidR="001D27B5" w:rsidRPr="00842260">
        <w:t xml:space="preserve"> The PBAC </w:t>
      </w:r>
      <w:r w:rsidR="00FB4A2F" w:rsidRPr="00842260">
        <w:t>considered</w:t>
      </w:r>
      <w:r w:rsidR="00394039" w:rsidRPr="00842260">
        <w:t xml:space="preserve"> </w:t>
      </w:r>
      <w:r w:rsidR="001D27B5" w:rsidRPr="00842260">
        <w:t>these estimates to be implausibly high.</w:t>
      </w:r>
    </w:p>
    <w:p w14:paraId="54D22792" w14:textId="3CD1477E" w:rsidR="00843E6E" w:rsidRPr="00842260" w:rsidRDefault="00262225" w:rsidP="004D4CF7">
      <w:pPr>
        <w:widowControl w:val="0"/>
        <w:numPr>
          <w:ilvl w:val="1"/>
          <w:numId w:val="1"/>
        </w:numPr>
        <w:spacing w:after="120"/>
        <w:rPr>
          <w:rFonts w:asciiTheme="minorHAnsi" w:hAnsiTheme="minorHAnsi"/>
          <w:snapToGrid w:val="0"/>
        </w:rPr>
      </w:pPr>
      <w:r w:rsidRPr="00842260">
        <w:rPr>
          <w:rFonts w:asciiTheme="minorHAnsi" w:hAnsiTheme="minorHAnsi"/>
          <w:snapToGrid w:val="0"/>
        </w:rPr>
        <w:t xml:space="preserve">The PBAC </w:t>
      </w:r>
      <w:r w:rsidR="009057B9" w:rsidRPr="00842260">
        <w:rPr>
          <w:rFonts w:asciiTheme="minorHAnsi" w:hAnsiTheme="minorHAnsi"/>
          <w:snapToGrid w:val="0"/>
        </w:rPr>
        <w:t>considered the financial estimate</w:t>
      </w:r>
      <w:r w:rsidR="000E1E67" w:rsidRPr="00842260">
        <w:rPr>
          <w:rFonts w:asciiTheme="minorHAnsi" w:hAnsiTheme="minorHAnsi"/>
          <w:snapToGrid w:val="0"/>
        </w:rPr>
        <w:t>s</w:t>
      </w:r>
      <w:r w:rsidR="009057B9" w:rsidRPr="00842260">
        <w:rPr>
          <w:rFonts w:asciiTheme="minorHAnsi" w:hAnsiTheme="minorHAnsi"/>
          <w:snapToGrid w:val="0"/>
        </w:rPr>
        <w:t xml:space="preserve"> presented in the submission were overestimated. </w:t>
      </w:r>
      <w:r w:rsidR="000E1E67" w:rsidRPr="00842260">
        <w:rPr>
          <w:rFonts w:asciiTheme="minorHAnsi" w:hAnsiTheme="minorHAnsi"/>
          <w:snapToGrid w:val="0"/>
        </w:rPr>
        <w:t xml:space="preserve">The PBAC </w:t>
      </w:r>
      <w:r w:rsidR="007C2AE1" w:rsidRPr="00842260">
        <w:rPr>
          <w:rFonts w:asciiTheme="minorHAnsi" w:hAnsiTheme="minorHAnsi"/>
          <w:snapToGrid w:val="0"/>
        </w:rPr>
        <w:t>noted</w:t>
      </w:r>
      <w:r w:rsidR="000E1E67" w:rsidRPr="00842260">
        <w:rPr>
          <w:rFonts w:asciiTheme="minorHAnsi" w:hAnsiTheme="minorHAnsi"/>
          <w:snapToGrid w:val="0"/>
        </w:rPr>
        <w:t xml:space="preserve"> the points </w:t>
      </w:r>
      <w:r w:rsidR="009B48C1" w:rsidRPr="00842260">
        <w:rPr>
          <w:rFonts w:asciiTheme="minorHAnsi" w:hAnsiTheme="minorHAnsi"/>
          <w:snapToGrid w:val="0"/>
        </w:rPr>
        <w:t>raised</w:t>
      </w:r>
      <w:r w:rsidR="000E1E67" w:rsidRPr="00842260">
        <w:rPr>
          <w:rFonts w:asciiTheme="minorHAnsi" w:hAnsiTheme="minorHAnsi"/>
          <w:snapToGrid w:val="0"/>
        </w:rPr>
        <w:t xml:space="preserve"> by DUSC and </w:t>
      </w:r>
      <w:r w:rsidR="00843E6E" w:rsidRPr="00842260">
        <w:rPr>
          <w:rFonts w:asciiTheme="minorHAnsi" w:hAnsiTheme="minorHAnsi"/>
          <w:snapToGrid w:val="0"/>
        </w:rPr>
        <w:t>advised</w:t>
      </w:r>
      <w:r w:rsidR="000E1E67" w:rsidRPr="00842260">
        <w:rPr>
          <w:rFonts w:asciiTheme="minorHAnsi" w:hAnsiTheme="minorHAnsi"/>
          <w:snapToGrid w:val="0"/>
        </w:rPr>
        <w:t xml:space="preserve"> that a reduction to the assumed</w:t>
      </w:r>
      <w:r w:rsidR="000E1E67" w:rsidRPr="00842260">
        <w:rPr>
          <w:iCs/>
        </w:rPr>
        <w:t xml:space="preserve"> uptake and compliance rates and duration of therapy </w:t>
      </w:r>
      <w:r w:rsidR="004D4CF7" w:rsidRPr="00842260">
        <w:rPr>
          <w:iCs/>
        </w:rPr>
        <w:t>should</w:t>
      </w:r>
      <w:r w:rsidR="00274E06" w:rsidRPr="00842260">
        <w:rPr>
          <w:iCs/>
        </w:rPr>
        <w:t xml:space="preserve"> be considered. The PBAC agreed with DUSC that </w:t>
      </w:r>
      <w:r w:rsidR="000E1E67" w:rsidRPr="00842260">
        <w:rPr>
          <w:iCs/>
        </w:rPr>
        <w:t>a review of the costs used for metastatic recurrence and AEs</w:t>
      </w:r>
      <w:r w:rsidR="004D4CF7" w:rsidRPr="00842260">
        <w:rPr>
          <w:iCs/>
        </w:rPr>
        <w:t xml:space="preserve"> should</w:t>
      </w:r>
      <w:r w:rsidR="000E1E67" w:rsidRPr="00842260">
        <w:rPr>
          <w:iCs/>
        </w:rPr>
        <w:t xml:space="preserve"> </w:t>
      </w:r>
      <w:r w:rsidR="00274E06" w:rsidRPr="00842260">
        <w:rPr>
          <w:iCs/>
        </w:rPr>
        <w:t xml:space="preserve">also </w:t>
      </w:r>
      <w:r w:rsidR="00843E6E" w:rsidRPr="00842260">
        <w:rPr>
          <w:iCs/>
        </w:rPr>
        <w:t>be considered</w:t>
      </w:r>
      <w:r w:rsidR="000E1E67" w:rsidRPr="00842260">
        <w:rPr>
          <w:iCs/>
        </w:rPr>
        <w:t xml:space="preserve">. </w:t>
      </w:r>
      <w:r w:rsidR="003D2CAE" w:rsidRPr="00842260">
        <w:rPr>
          <w:iCs/>
        </w:rPr>
        <w:t>The PBAC</w:t>
      </w:r>
      <w:r w:rsidR="0050590B" w:rsidRPr="00842260">
        <w:rPr>
          <w:iCs/>
        </w:rPr>
        <w:t xml:space="preserve"> </w:t>
      </w:r>
      <w:r w:rsidR="004D4CF7" w:rsidRPr="00842260">
        <w:rPr>
          <w:iCs/>
        </w:rPr>
        <w:t>noted</w:t>
      </w:r>
      <w:r w:rsidR="003D2CAE" w:rsidRPr="00842260">
        <w:rPr>
          <w:iCs/>
        </w:rPr>
        <w:t xml:space="preserve"> there was significant risk in use outside the proposed restriction to patients with lower risk of recurrence than seen in the </w:t>
      </w:r>
      <w:proofErr w:type="spellStart"/>
      <w:r w:rsidR="003D2CAE" w:rsidRPr="00842260">
        <w:t>monarchE</w:t>
      </w:r>
      <w:proofErr w:type="spellEnd"/>
      <w:r w:rsidR="003D2CAE" w:rsidRPr="00842260">
        <w:t xml:space="preserve"> trial</w:t>
      </w:r>
      <w:r w:rsidR="0050590B" w:rsidRPr="00842260">
        <w:t>.</w:t>
      </w:r>
    </w:p>
    <w:p w14:paraId="6CA6057F" w14:textId="3DFDC166" w:rsidR="00324D8A" w:rsidRPr="00842260" w:rsidRDefault="00324D8A" w:rsidP="00FA7FD1">
      <w:pPr>
        <w:widowControl w:val="0"/>
        <w:numPr>
          <w:ilvl w:val="1"/>
          <w:numId w:val="1"/>
        </w:numPr>
        <w:spacing w:after="120"/>
        <w:rPr>
          <w:rFonts w:asciiTheme="minorHAnsi" w:hAnsiTheme="minorHAnsi"/>
          <w:bCs/>
          <w:snapToGrid w:val="0"/>
        </w:rPr>
      </w:pPr>
      <w:r w:rsidRPr="00842260">
        <w:rPr>
          <w:rFonts w:asciiTheme="minorHAnsi" w:hAnsiTheme="minorHAnsi"/>
          <w:bCs/>
          <w:snapToGrid w:val="0"/>
        </w:rPr>
        <w:t xml:space="preserve">The PBAC considered a resubmission for </w:t>
      </w:r>
      <w:proofErr w:type="spellStart"/>
      <w:r w:rsidR="00FA7FD1" w:rsidRPr="00842260">
        <w:rPr>
          <w:rFonts w:asciiTheme="minorHAnsi" w:hAnsiTheme="minorHAnsi"/>
          <w:bCs/>
          <w:snapToGrid w:val="0"/>
        </w:rPr>
        <w:t>abemaciclib</w:t>
      </w:r>
      <w:proofErr w:type="spellEnd"/>
      <w:r w:rsidRPr="00842260">
        <w:rPr>
          <w:rFonts w:asciiTheme="minorHAnsi" w:hAnsiTheme="minorHAnsi"/>
          <w:bCs/>
          <w:snapToGrid w:val="0"/>
        </w:rPr>
        <w:t xml:space="preserve"> should address the following issues:</w:t>
      </w:r>
    </w:p>
    <w:p w14:paraId="3928F756" w14:textId="5609C07A" w:rsidR="00A17792" w:rsidRPr="00842260" w:rsidRDefault="008F05D1" w:rsidP="00F1027D">
      <w:pPr>
        <w:pStyle w:val="ListParagraph"/>
        <w:widowControl w:val="0"/>
        <w:numPr>
          <w:ilvl w:val="0"/>
          <w:numId w:val="10"/>
        </w:numPr>
        <w:ind w:left="1134"/>
        <w:rPr>
          <w:bCs/>
        </w:rPr>
      </w:pPr>
      <w:r w:rsidRPr="00842260">
        <w:rPr>
          <w:bCs/>
        </w:rPr>
        <w:t xml:space="preserve">The uncertainty regarding the difference in </w:t>
      </w:r>
      <w:r w:rsidRPr="00842260">
        <w:t xml:space="preserve">IDFS and the implications of this on </w:t>
      </w:r>
      <w:proofErr w:type="gramStart"/>
      <w:r w:rsidRPr="00842260">
        <w:t>OS;</w:t>
      </w:r>
      <w:proofErr w:type="gramEnd"/>
    </w:p>
    <w:p w14:paraId="3739EECE" w14:textId="7BA5A418" w:rsidR="00F1027D" w:rsidRPr="00842260" w:rsidRDefault="00082385" w:rsidP="00F1027D">
      <w:pPr>
        <w:pStyle w:val="ListParagraph"/>
        <w:widowControl w:val="0"/>
        <w:numPr>
          <w:ilvl w:val="0"/>
          <w:numId w:val="10"/>
        </w:numPr>
        <w:ind w:left="1134"/>
        <w:rPr>
          <w:bCs/>
        </w:rPr>
      </w:pPr>
      <w:r w:rsidRPr="00842260">
        <w:rPr>
          <w:bCs/>
        </w:rPr>
        <w:t>R</w:t>
      </w:r>
      <w:r w:rsidR="00897DF2" w:rsidRPr="00842260">
        <w:rPr>
          <w:bCs/>
        </w:rPr>
        <w:t xml:space="preserve">evise the economic model </w:t>
      </w:r>
      <w:r w:rsidR="00A17792" w:rsidRPr="00842260">
        <w:rPr>
          <w:bCs/>
        </w:rPr>
        <w:t>to address the issues noted</w:t>
      </w:r>
      <w:r w:rsidR="002D5C63" w:rsidRPr="00842260">
        <w:rPr>
          <w:bCs/>
        </w:rPr>
        <w:t xml:space="preserve"> in paragraphs 7.10–</w:t>
      </w:r>
      <w:r w:rsidR="00897DF2" w:rsidRPr="00842260">
        <w:rPr>
          <w:bCs/>
        </w:rPr>
        <w:t>7.1</w:t>
      </w:r>
      <w:r w:rsidR="002D5C63" w:rsidRPr="00842260">
        <w:rPr>
          <w:bCs/>
        </w:rPr>
        <w:t>3 and Section </w:t>
      </w:r>
      <w:r w:rsidR="00A17792" w:rsidRPr="00842260">
        <w:rPr>
          <w:bCs/>
        </w:rPr>
        <w:t>6</w:t>
      </w:r>
      <w:r w:rsidR="008B2CFC" w:rsidRPr="00842260">
        <w:rPr>
          <w:bCs/>
        </w:rPr>
        <w:t>; and</w:t>
      </w:r>
    </w:p>
    <w:p w14:paraId="29AA3E9C" w14:textId="1B9DEE81" w:rsidR="00F1027D" w:rsidRPr="00842260" w:rsidRDefault="00082385" w:rsidP="008B2CFC">
      <w:pPr>
        <w:pStyle w:val="ListParagraph"/>
        <w:widowControl w:val="0"/>
        <w:numPr>
          <w:ilvl w:val="0"/>
          <w:numId w:val="10"/>
        </w:numPr>
        <w:ind w:left="1134"/>
        <w:rPr>
          <w:bCs/>
        </w:rPr>
      </w:pPr>
      <w:r w:rsidRPr="00842260">
        <w:t>P</w:t>
      </w:r>
      <w:r w:rsidR="008B2CFC" w:rsidRPr="00842260">
        <w:t>resent revised financial estimates consistent with the DUSC advice.</w:t>
      </w:r>
    </w:p>
    <w:p w14:paraId="4DD8BFBD" w14:textId="7C1AC95D" w:rsidR="00324D8A" w:rsidRPr="00842260" w:rsidRDefault="00324D8A" w:rsidP="00F1027D">
      <w:pPr>
        <w:widowControl w:val="0"/>
        <w:numPr>
          <w:ilvl w:val="1"/>
          <w:numId w:val="1"/>
        </w:numPr>
        <w:spacing w:after="120"/>
        <w:rPr>
          <w:rFonts w:asciiTheme="minorHAnsi" w:hAnsiTheme="minorHAnsi"/>
          <w:bCs/>
          <w:snapToGrid w:val="0"/>
        </w:rPr>
      </w:pPr>
      <w:r w:rsidRPr="00842260">
        <w:rPr>
          <w:rFonts w:asciiTheme="minorHAnsi" w:hAnsiTheme="minorHAnsi"/>
          <w:bCs/>
          <w:snapToGrid w:val="0"/>
        </w:rPr>
        <w:t>The resubmission may be lodged at any future standard due date for PBAC submissions using the standard re-entry pathway.</w:t>
      </w:r>
    </w:p>
    <w:p w14:paraId="46B242F7" w14:textId="76980AC4" w:rsidR="00B6733D" w:rsidRPr="00842260" w:rsidRDefault="00F1027D" w:rsidP="00F1027D">
      <w:pPr>
        <w:widowControl w:val="0"/>
        <w:numPr>
          <w:ilvl w:val="1"/>
          <w:numId w:val="1"/>
        </w:numPr>
        <w:spacing w:after="120"/>
        <w:rPr>
          <w:rFonts w:asciiTheme="minorHAnsi" w:hAnsiTheme="minorHAnsi"/>
          <w:bCs/>
          <w:snapToGrid w:val="0"/>
        </w:rPr>
      </w:pPr>
      <w:r w:rsidRPr="00842260">
        <w:rPr>
          <w:rFonts w:asciiTheme="minorHAnsi" w:hAnsiTheme="minorHAnsi"/>
          <w:bCs/>
          <w:snapToGrid w:val="0"/>
        </w:rPr>
        <w:t>The PBAC noted that this submission is eligible for an Independent Review.</w:t>
      </w:r>
    </w:p>
    <w:p w14:paraId="04C27AA3" w14:textId="77777777" w:rsidR="00324D8A" w:rsidRPr="00842260" w:rsidRDefault="00324D8A" w:rsidP="00324D8A">
      <w:pPr>
        <w:spacing w:before="240"/>
        <w:rPr>
          <w:rFonts w:asciiTheme="minorHAnsi" w:hAnsiTheme="minorHAnsi"/>
          <w:b/>
          <w:bCs/>
          <w:snapToGrid w:val="0"/>
        </w:rPr>
      </w:pPr>
      <w:r w:rsidRPr="00842260">
        <w:rPr>
          <w:rFonts w:asciiTheme="minorHAnsi" w:hAnsiTheme="minorHAnsi"/>
          <w:b/>
          <w:bCs/>
          <w:snapToGrid w:val="0"/>
        </w:rPr>
        <w:t>Outcome:</w:t>
      </w:r>
    </w:p>
    <w:p w14:paraId="33E77E75" w14:textId="48135AD1" w:rsidR="00324D8A" w:rsidRPr="00842260" w:rsidRDefault="00B6733D" w:rsidP="00324D8A">
      <w:pPr>
        <w:rPr>
          <w:rFonts w:asciiTheme="minorHAnsi" w:hAnsiTheme="minorHAnsi"/>
          <w:bCs/>
          <w:snapToGrid w:val="0"/>
        </w:rPr>
      </w:pPr>
      <w:r w:rsidRPr="00842260">
        <w:rPr>
          <w:rFonts w:asciiTheme="minorHAnsi" w:hAnsiTheme="minorHAnsi"/>
          <w:bCs/>
          <w:snapToGrid w:val="0"/>
        </w:rPr>
        <w:t>Not recommended</w:t>
      </w:r>
    </w:p>
    <w:bookmarkEnd w:id="72"/>
    <w:bookmarkEnd w:id="73"/>
    <w:p w14:paraId="35A835DB" w14:textId="3B5440C3" w:rsidR="00E4613F" w:rsidRPr="00E4613F" w:rsidRDefault="00E4613F" w:rsidP="00E4613F">
      <w:pPr>
        <w:pStyle w:val="2-SectionHeading"/>
        <w:rPr>
          <w:bCs/>
          <w:lang w:val="en-GB"/>
        </w:rPr>
      </w:pPr>
      <w:r w:rsidRPr="00E4613F">
        <w:t>Context for Decision</w:t>
      </w:r>
    </w:p>
    <w:p w14:paraId="1126EBCD" w14:textId="77777777" w:rsidR="00E4613F" w:rsidRPr="00E4613F" w:rsidRDefault="00E4613F" w:rsidP="00E4613F">
      <w:pPr>
        <w:pStyle w:val="3-BodyText"/>
        <w:numPr>
          <w:ilvl w:val="0"/>
          <w:numId w:val="0"/>
        </w:numPr>
        <w:ind w:left="720"/>
        <w:rPr>
          <w:lang w:val="en-GB"/>
        </w:rPr>
      </w:pPr>
      <w:r w:rsidRPr="00E4613F">
        <w:rPr>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E4613F">
        <w:rPr>
          <w:lang w:val="en-GB"/>
        </w:rPr>
        <w:lastRenderedPageBreak/>
        <w:t>through the PBS. The PBAC welcomes applications containing new information at any time.</w:t>
      </w:r>
    </w:p>
    <w:p w14:paraId="1D30D7C3" w14:textId="34C64D3D" w:rsidR="00E4613F" w:rsidRPr="00E4613F" w:rsidRDefault="00E4613F" w:rsidP="00E4613F">
      <w:pPr>
        <w:pStyle w:val="2-SectionHeading"/>
      </w:pPr>
      <w:r w:rsidRPr="00E4613F">
        <w:t>Sponsor’s Comment</w:t>
      </w:r>
    </w:p>
    <w:p w14:paraId="1A4F07F9" w14:textId="77777777" w:rsidR="00E4613F" w:rsidRPr="00E4613F" w:rsidRDefault="00E4613F" w:rsidP="00E4613F">
      <w:pPr>
        <w:pStyle w:val="3-BodyText"/>
        <w:numPr>
          <w:ilvl w:val="0"/>
          <w:numId w:val="0"/>
        </w:numPr>
        <w:ind w:left="720"/>
      </w:pPr>
      <w:r w:rsidRPr="00E4613F">
        <w:t>The sponsor had no comment.</w:t>
      </w:r>
    </w:p>
    <w:p w14:paraId="204943A0" w14:textId="77777777" w:rsidR="00B46944" w:rsidRPr="00842260" w:rsidRDefault="00B46944" w:rsidP="00E05EBA">
      <w:pPr>
        <w:jc w:val="left"/>
        <w:rPr>
          <w:b/>
          <w:caps/>
          <w:sz w:val="32"/>
        </w:rPr>
      </w:pPr>
    </w:p>
    <w:sectPr w:rsidR="00B46944" w:rsidRPr="00842260" w:rsidSect="00967FF2">
      <w:headerReference w:type="default" r:id="rId16"/>
      <w:footerReference w:type="defaul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8608C" w14:textId="77777777" w:rsidR="00B910F0" w:rsidRDefault="00B910F0" w:rsidP="00124A51">
      <w:r>
        <w:separator/>
      </w:r>
    </w:p>
    <w:p w14:paraId="279CD033" w14:textId="77777777" w:rsidR="00B910F0" w:rsidRDefault="00B910F0"/>
  </w:endnote>
  <w:endnote w:type="continuationSeparator" w:id="0">
    <w:p w14:paraId="08C5624B" w14:textId="77777777" w:rsidR="00B910F0" w:rsidRDefault="00B910F0" w:rsidP="00124A51">
      <w:r>
        <w:continuationSeparator/>
      </w:r>
    </w:p>
    <w:p w14:paraId="17589584" w14:textId="77777777" w:rsidR="00B910F0" w:rsidRDefault="00B9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20000287" w:usb1="00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Georgia Pro Cond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DDCE" w14:textId="77777777" w:rsidR="00B910F0" w:rsidRDefault="00B910F0" w:rsidP="00A53C58">
    <w:pPr>
      <w:pStyle w:val="Footer"/>
      <w:keepNext/>
      <w:ind w:left="360"/>
      <w:jc w:val="center"/>
    </w:pPr>
    <w:bookmarkStart w:id="76" w:name="_Hlk76375156"/>
  </w:p>
  <w:p w14:paraId="14BDDF6B" w14:textId="3406331D" w:rsidR="00B910F0" w:rsidRPr="00A53C58" w:rsidRDefault="00B910F0" w:rsidP="00A53C58">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noProof/>
      </w:rPr>
      <w:t>36</w:t>
    </w:r>
    <w:r w:rsidRPr="00836F75">
      <w:rPr>
        <w:b/>
        <w:noProof/>
      </w:rPr>
      <w:fldChar w:fldCharType="end"/>
    </w:r>
    <w:bookmarkEnd w:id="7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A19BC" w14:textId="77777777" w:rsidR="00B910F0" w:rsidRDefault="00B910F0" w:rsidP="00124A51">
      <w:r>
        <w:separator/>
      </w:r>
    </w:p>
    <w:p w14:paraId="1EEA04A9" w14:textId="77777777" w:rsidR="00B910F0" w:rsidRDefault="00B910F0"/>
  </w:footnote>
  <w:footnote w:type="continuationSeparator" w:id="0">
    <w:p w14:paraId="25459B28" w14:textId="77777777" w:rsidR="00B910F0" w:rsidRDefault="00B910F0" w:rsidP="00124A51">
      <w:r>
        <w:continuationSeparator/>
      </w:r>
    </w:p>
    <w:p w14:paraId="7A5E1E73" w14:textId="77777777" w:rsidR="00B910F0" w:rsidRDefault="00B910F0"/>
  </w:footnote>
  <w:footnote w:id="1">
    <w:p w14:paraId="1A669B43" w14:textId="44F64C96" w:rsidR="00B910F0" w:rsidRDefault="00B910F0" w:rsidP="00173D19">
      <w:pPr>
        <w:pStyle w:val="FootnoteText"/>
        <w:jc w:val="left"/>
      </w:pPr>
      <w:r>
        <w:rPr>
          <w:rStyle w:val="FootnoteReference"/>
        </w:rPr>
        <w:footnoteRef/>
      </w:r>
      <w:r>
        <w:t>A</w:t>
      </w:r>
      <w:r w:rsidRPr="00215A1D">
        <w:t xml:space="preserve">IHW. </w:t>
      </w:r>
      <w:r w:rsidRPr="00984A41">
        <w:t>Cancer in Australia</w:t>
      </w:r>
      <w:r w:rsidRPr="00215A1D">
        <w:t>. 2019 [cited 2021 2 December]; Available from: https://www.aihw.gov.au/getmedia/8c9fcf52-0055-41a0-96d9-f81b0feb98cf/aih</w:t>
      </w:r>
      <w:r>
        <w:t>w-can-123.pdf.aspx?inline=true.</w:t>
      </w:r>
    </w:p>
  </w:footnote>
  <w:footnote w:id="2">
    <w:p w14:paraId="1198C23D" w14:textId="37E4FDD2" w:rsidR="00B910F0" w:rsidRDefault="00B910F0">
      <w:pPr>
        <w:pStyle w:val="FootnoteText"/>
      </w:pPr>
      <w:r>
        <w:rPr>
          <w:rStyle w:val="FootnoteReference"/>
        </w:rPr>
        <w:footnoteRef/>
      </w:r>
      <w:r>
        <w:t xml:space="preserve"> </w:t>
      </w:r>
      <w:r w:rsidRPr="00215A1D">
        <w:t xml:space="preserve">American Cancer Society. </w:t>
      </w:r>
      <w:r w:rsidRPr="00984A41">
        <w:t>Breast Cancer Facts &amp; Figures 2019-2000</w:t>
      </w:r>
      <w:r w:rsidRPr="00215A1D">
        <w:t>. 2019 [cited 15 February 2021; Available from: https://www.cancer.org/cancer/breast-cancer/understanding-a-breast-cancer-diagnosis/bre</w:t>
      </w:r>
      <w:r>
        <w:t>ast-cancer-survival-rates.html.</w:t>
      </w:r>
    </w:p>
  </w:footnote>
  <w:footnote w:id="3">
    <w:p w14:paraId="0F2C80C1" w14:textId="10FAF159" w:rsidR="00B910F0" w:rsidRPr="00215A1D" w:rsidRDefault="00B910F0" w:rsidP="00215A1D">
      <w:pPr>
        <w:pStyle w:val="FootnoteText"/>
      </w:pPr>
      <w:r>
        <w:rPr>
          <w:rStyle w:val="FootnoteReference"/>
        </w:rPr>
        <w:footnoteRef/>
      </w:r>
      <w:r>
        <w:t xml:space="preserve"> </w:t>
      </w:r>
      <w:r w:rsidRPr="00215A1D">
        <w:t xml:space="preserve">Gerber, B., M. Freund, and T. Reimer, </w:t>
      </w:r>
      <w:r w:rsidRPr="00D07FEB">
        <w:rPr>
          <w:iCs/>
        </w:rPr>
        <w:t>Recurrent breast cancer: treatment strategies for maintaining and prolonging good quality of life</w:t>
      </w:r>
      <w:r w:rsidRPr="00984A41">
        <w:t>.</w:t>
      </w:r>
      <w:r w:rsidRPr="00215A1D">
        <w:t xml:space="preserve"> </w:t>
      </w:r>
      <w:proofErr w:type="spellStart"/>
      <w:r w:rsidRPr="00984A41">
        <w:rPr>
          <w:iCs/>
        </w:rPr>
        <w:t>Dtsch</w:t>
      </w:r>
      <w:proofErr w:type="spellEnd"/>
      <w:r w:rsidRPr="00984A41">
        <w:rPr>
          <w:iCs/>
        </w:rPr>
        <w:t xml:space="preserve"> </w:t>
      </w:r>
      <w:proofErr w:type="spellStart"/>
      <w:r w:rsidRPr="00984A41">
        <w:rPr>
          <w:iCs/>
        </w:rPr>
        <w:t>Arztebl</w:t>
      </w:r>
      <w:proofErr w:type="spellEnd"/>
      <w:r w:rsidRPr="00984A41">
        <w:rPr>
          <w:iCs/>
        </w:rPr>
        <w:t xml:space="preserve"> Int</w:t>
      </w:r>
      <w:r w:rsidRPr="00D07FEB">
        <w:t xml:space="preserve">, 2010. </w:t>
      </w:r>
      <w:r w:rsidRPr="00D07FEB">
        <w:rPr>
          <w:bCs/>
        </w:rPr>
        <w:t>107</w:t>
      </w:r>
      <w:r w:rsidRPr="00D07FEB">
        <w:t>(6): p. 85-</w:t>
      </w:r>
      <w:r w:rsidRPr="00215A1D">
        <w:t>91.</w:t>
      </w:r>
    </w:p>
    <w:p w14:paraId="5E29D7E8" w14:textId="4A78D746" w:rsidR="00B910F0" w:rsidRDefault="00B910F0">
      <w:pPr>
        <w:pStyle w:val="FootnoteText"/>
      </w:pPr>
      <w:r w:rsidRPr="00215A1D">
        <w:t xml:space="preserve">O'Shaughnessy, J., </w:t>
      </w:r>
      <w:r w:rsidRPr="00D07FEB">
        <w:rPr>
          <w:iCs/>
        </w:rPr>
        <w:t>Extending survival with chemotherapy in metastatic breast cancer</w:t>
      </w:r>
      <w:r w:rsidRPr="00984A41">
        <w:t>.</w:t>
      </w:r>
      <w:r w:rsidRPr="00215A1D">
        <w:t xml:space="preserve"> </w:t>
      </w:r>
      <w:r w:rsidRPr="00984A41">
        <w:rPr>
          <w:iCs/>
        </w:rPr>
        <w:t>Oncologist</w:t>
      </w:r>
      <w:r w:rsidRPr="00215A1D">
        <w:t xml:space="preserve">, 2005. </w:t>
      </w:r>
      <w:r w:rsidRPr="00D07FEB">
        <w:rPr>
          <w:bCs/>
        </w:rPr>
        <w:t>10 Suppl 3</w:t>
      </w:r>
      <w:r>
        <w:t>: p. 20-9.</w:t>
      </w:r>
    </w:p>
  </w:footnote>
  <w:footnote w:id="4">
    <w:p w14:paraId="0454DAC0" w14:textId="7D309006" w:rsidR="00B910F0" w:rsidRDefault="00B910F0">
      <w:pPr>
        <w:pStyle w:val="FootnoteText"/>
      </w:pPr>
      <w:r>
        <w:rPr>
          <w:rStyle w:val="FootnoteReference"/>
        </w:rPr>
        <w:footnoteRef/>
      </w:r>
      <w:r>
        <w:t xml:space="preserve"> </w:t>
      </w:r>
      <w:proofErr w:type="spellStart"/>
      <w:r w:rsidRPr="00276546">
        <w:t>Cherny</w:t>
      </w:r>
      <w:proofErr w:type="spellEnd"/>
      <w:r w:rsidRPr="00276546">
        <w:t xml:space="preserve"> NI, Dafni U, Bogaerts J, et al: ESMO-Magnitude of Clinical Benefit Scale version 1.1. Annals of Oncology 28:2340-2366, 2017</w:t>
      </w:r>
      <w:r>
        <w:t>.</w:t>
      </w:r>
    </w:p>
  </w:footnote>
  <w:footnote w:id="5">
    <w:p w14:paraId="3832205B" w14:textId="2A5AF19B" w:rsidR="00B910F0" w:rsidRDefault="00B910F0">
      <w:pPr>
        <w:pStyle w:val="FootnoteText"/>
      </w:pPr>
      <w:r>
        <w:rPr>
          <w:rStyle w:val="FootnoteReference"/>
        </w:rPr>
        <w:footnoteRef/>
      </w:r>
      <w:r>
        <w:t xml:space="preserve"> </w:t>
      </w:r>
      <w:r w:rsidRPr="00720AAB">
        <w:rPr>
          <w:rFonts w:ascii="Arial" w:hAnsi="Arial"/>
          <w:i/>
          <w:iCs/>
        </w:rPr>
        <w:t xml:space="preserve">Note that the results presented in Paragraph 6.9 are derived from post-hoc analyses conducted by the applicant during the evaluation/ by the ESC/ PBAC specifically for the purposes of informing the PBAC consideration. These analyses were not part of the pre-specified statistical plan for the </w:t>
      </w:r>
      <w:proofErr w:type="spellStart"/>
      <w:r w:rsidRPr="00720AAB">
        <w:rPr>
          <w:rFonts w:ascii="Arial" w:hAnsi="Arial"/>
          <w:i/>
          <w:iCs/>
        </w:rPr>
        <w:t>monarchE</w:t>
      </w:r>
      <w:proofErr w:type="spellEnd"/>
      <w:r w:rsidRPr="00720AAB">
        <w:rPr>
          <w:rFonts w:ascii="Arial" w:hAnsi="Arial"/>
          <w:i/>
          <w:iCs/>
        </w:rPr>
        <w:t xml:space="preserve"> study. Interpretation of the results and their application should be limited to seeking to understand the basis for the PBAC outcome and should not be used for any other purpose.</w:t>
      </w:r>
    </w:p>
  </w:footnote>
  <w:footnote w:id="6">
    <w:p w14:paraId="2B4B3402" w14:textId="77777777" w:rsidR="00B910F0" w:rsidRPr="00AC4E45" w:rsidRDefault="00B910F0" w:rsidP="00794CC2">
      <w:pPr>
        <w:pStyle w:val="FootnoteText"/>
        <w:rPr>
          <w:lang w:val="en-US"/>
        </w:rPr>
      </w:pPr>
      <w:r>
        <w:rPr>
          <w:rStyle w:val="FootnoteReference"/>
        </w:rPr>
        <w:footnoteRef/>
      </w:r>
      <w:r>
        <w:t xml:space="preserve"> </w:t>
      </w:r>
      <w:r w:rsidRPr="00AC4E45">
        <w:t xml:space="preserve">Smith I, Yardley D, Burris H, De Boer R, </w:t>
      </w:r>
      <w:proofErr w:type="spellStart"/>
      <w:r w:rsidRPr="00AC4E45">
        <w:t>Amadori</w:t>
      </w:r>
      <w:proofErr w:type="spellEnd"/>
      <w:r w:rsidRPr="00AC4E45">
        <w:t xml:space="preserve"> D, McIntyre K, et al. Comparative Efficacy and Safety of Adjuvant Letrozole Versus Anastrozole in Postmenopausal Patients With Hormone Receptor-Positive, Node-Positive Early Breast Cancer: Final Results of the Randomized Phase III </w:t>
      </w:r>
      <w:proofErr w:type="spellStart"/>
      <w:r w:rsidRPr="00AC4E45">
        <w:t>Femara</w:t>
      </w:r>
      <w:proofErr w:type="spellEnd"/>
      <w:r w:rsidRPr="00AC4E45">
        <w:t xml:space="preserve"> Versus Anastrozole Clinical Evaluation (FACE) Trial. J Clin Oncol. 2017 Apr 1;35(10):1041-8.</w:t>
      </w:r>
    </w:p>
  </w:footnote>
  <w:footnote w:id="7">
    <w:p w14:paraId="5A401FC6" w14:textId="23BE2A19" w:rsidR="00B910F0" w:rsidRPr="006E7D91" w:rsidRDefault="00B910F0">
      <w:pPr>
        <w:pStyle w:val="FootnoteText"/>
        <w:rPr>
          <w:lang w:val="en-US"/>
        </w:rPr>
      </w:pPr>
      <w:r>
        <w:rPr>
          <w:rStyle w:val="FootnoteReference"/>
        </w:rPr>
        <w:footnoteRef/>
      </w:r>
      <w:r>
        <w:t xml:space="preserve"> </w:t>
      </w:r>
      <w:r w:rsidRPr="00AC4E45">
        <w:t xml:space="preserve">Pan H, Gray R, </w:t>
      </w:r>
      <w:proofErr w:type="spellStart"/>
      <w:r w:rsidRPr="00AC4E45">
        <w:t>Braybrooke</w:t>
      </w:r>
      <w:proofErr w:type="spellEnd"/>
      <w:r w:rsidRPr="00AC4E45">
        <w:t xml:space="preserve"> J, Davies C, Taylor C, </w:t>
      </w:r>
      <w:proofErr w:type="spellStart"/>
      <w:r w:rsidRPr="00AC4E45">
        <w:t>McGale</w:t>
      </w:r>
      <w:proofErr w:type="spellEnd"/>
      <w:r w:rsidRPr="00AC4E45">
        <w:t xml:space="preserve"> P, et al. 20-Year Risks of Breast-Cancer Recurrence after Stopping Endocrine Therapy at 5 Years. N </w:t>
      </w:r>
      <w:proofErr w:type="spellStart"/>
      <w:r w:rsidRPr="00AC4E45">
        <w:t>Engl</w:t>
      </w:r>
      <w:proofErr w:type="spellEnd"/>
      <w:r w:rsidRPr="00AC4E45">
        <w:t xml:space="preserve"> J Med. 2017 Nov 9;377(19):1836-46.</w:t>
      </w:r>
    </w:p>
  </w:footnote>
  <w:footnote w:id="8">
    <w:p w14:paraId="6C2B36DA" w14:textId="6560530C" w:rsidR="00B910F0" w:rsidRPr="00AC4E45" w:rsidRDefault="00B910F0">
      <w:pPr>
        <w:pStyle w:val="FootnoteText"/>
        <w:rPr>
          <w:lang w:val="en-US"/>
        </w:rPr>
      </w:pPr>
      <w:r>
        <w:rPr>
          <w:rStyle w:val="FootnoteReference"/>
        </w:rPr>
        <w:footnoteRef/>
      </w:r>
      <w:r>
        <w:t xml:space="preserve"> </w:t>
      </w:r>
      <w:proofErr w:type="spellStart"/>
      <w:r w:rsidRPr="00AC4E45">
        <w:t>Cuzick</w:t>
      </w:r>
      <w:proofErr w:type="spellEnd"/>
      <w:r w:rsidRPr="00AC4E45">
        <w:t xml:space="preserve"> J, </w:t>
      </w:r>
      <w:proofErr w:type="spellStart"/>
      <w:r w:rsidRPr="00AC4E45">
        <w:t>Sasieni</w:t>
      </w:r>
      <w:proofErr w:type="spellEnd"/>
      <w:r w:rsidRPr="00AC4E45">
        <w:t xml:space="preserve"> P, Howell A. Should aromatase inhibitors be used as initial adjuvant treatment or sequenced after tamoxifen? Br J Cancer. 2006 Feb 27;94(4):460-4.</w:t>
      </w:r>
    </w:p>
  </w:footnote>
  <w:footnote w:id="9">
    <w:p w14:paraId="6BC68EB3" w14:textId="440731BE" w:rsidR="00B910F0" w:rsidRPr="00AC4E45" w:rsidRDefault="00B910F0">
      <w:pPr>
        <w:pStyle w:val="FootnoteText"/>
        <w:rPr>
          <w:lang w:val="en-US"/>
        </w:rPr>
      </w:pPr>
      <w:r>
        <w:rPr>
          <w:rStyle w:val="FootnoteReference"/>
        </w:rPr>
        <w:footnoteRef/>
      </w:r>
      <w:r>
        <w:t xml:space="preserve"> </w:t>
      </w:r>
      <w:r w:rsidRPr="00AC4E45">
        <w:t xml:space="preserve">Finn RS, Crown JP, Lang I, Boer K, </w:t>
      </w:r>
      <w:proofErr w:type="spellStart"/>
      <w:r w:rsidRPr="00AC4E45">
        <w:t>Bondarenko</w:t>
      </w:r>
      <w:proofErr w:type="spellEnd"/>
      <w:r w:rsidRPr="00AC4E45">
        <w:t xml:space="preserve"> IM, </w:t>
      </w:r>
      <w:proofErr w:type="spellStart"/>
      <w:r w:rsidRPr="00AC4E45">
        <w:t>Kulyk</w:t>
      </w:r>
      <w:proofErr w:type="spellEnd"/>
      <w:r w:rsidRPr="00AC4E45">
        <w:t xml:space="preserve"> SO, et al. The cyclin-dependent kinase 4/6 inhibitor </w:t>
      </w:r>
      <w:proofErr w:type="spellStart"/>
      <w:r w:rsidRPr="00AC4E45">
        <w:t>palbociclib</w:t>
      </w:r>
      <w:proofErr w:type="spellEnd"/>
      <w:r w:rsidRPr="00AC4E45">
        <w:t xml:space="preserve"> in combination with letrozole versus letrozole alone as first-line treatment of oestrogen receptor-positive, HER2-negative, advanced breast cancer (PALOMA-1/TRIO-18): a randomised phase 2 study. Lancet Oncol. 2015 Jan;16(1):25-35.</w:t>
      </w:r>
    </w:p>
  </w:footnote>
  <w:footnote w:id="10">
    <w:p w14:paraId="7B4ABBE6" w14:textId="77777777" w:rsidR="00B910F0" w:rsidRPr="006E7D91" w:rsidRDefault="00B910F0" w:rsidP="007407C4">
      <w:pPr>
        <w:pStyle w:val="FootnoteText"/>
        <w:rPr>
          <w:lang w:val="en-US"/>
        </w:rPr>
      </w:pPr>
      <w:r>
        <w:rPr>
          <w:rStyle w:val="FootnoteReference"/>
        </w:rPr>
        <w:footnoteRef/>
      </w:r>
      <w:r>
        <w:t xml:space="preserve"> </w:t>
      </w:r>
      <w:r w:rsidRPr="00AC4E45">
        <w:t xml:space="preserve">Pan H, Gray R, </w:t>
      </w:r>
      <w:proofErr w:type="spellStart"/>
      <w:r w:rsidRPr="00AC4E45">
        <w:t>Braybrooke</w:t>
      </w:r>
      <w:proofErr w:type="spellEnd"/>
      <w:r w:rsidRPr="00AC4E45">
        <w:t xml:space="preserve"> J, Davies C, Taylor C, </w:t>
      </w:r>
      <w:proofErr w:type="spellStart"/>
      <w:r w:rsidRPr="00AC4E45">
        <w:t>McGale</w:t>
      </w:r>
      <w:proofErr w:type="spellEnd"/>
      <w:r w:rsidRPr="00AC4E45">
        <w:t xml:space="preserve"> P, et al. 20-Year Risks of Breast-Cancer Recurrence after Stopping Endocrine Therapy at 5 Years. N </w:t>
      </w:r>
      <w:proofErr w:type="spellStart"/>
      <w:r w:rsidRPr="00AC4E45">
        <w:t>Engl</w:t>
      </w:r>
      <w:proofErr w:type="spellEnd"/>
      <w:r w:rsidRPr="00AC4E45">
        <w:t xml:space="preserve"> J Med. 2017 Nov 9;377(19):1836-46.</w:t>
      </w:r>
    </w:p>
  </w:footnote>
  <w:footnote w:id="11">
    <w:p w14:paraId="4208383A" w14:textId="737DABCF" w:rsidR="00B910F0" w:rsidRPr="00BA7154" w:rsidRDefault="00B910F0">
      <w:pPr>
        <w:pStyle w:val="FootnoteText"/>
        <w:rPr>
          <w:lang w:val="en-US"/>
        </w:rPr>
      </w:pPr>
      <w:r>
        <w:rPr>
          <w:rStyle w:val="FootnoteReference"/>
        </w:rPr>
        <w:footnoteRef/>
      </w:r>
      <w:r>
        <w:t xml:space="preserve"> </w:t>
      </w:r>
      <w:r>
        <w:rPr>
          <w:lang w:val="en-US"/>
        </w:rPr>
        <w:t>The financial analysis assumed that 48.8% of patients with node-positive early breast cancer would be considered high risk. If the risk of recurrence in early breast cancer generally is 30%, then the maximum recurrence rate in the high-risk group would be approximately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99980" w14:textId="4F15D488" w:rsidR="00B910F0" w:rsidRPr="00056684" w:rsidRDefault="00B910F0" w:rsidP="00A53C58">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p w14:paraId="4AE6CE35" w14:textId="77777777" w:rsidR="00B910F0" w:rsidRDefault="00B910F0" w:rsidP="00A53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5A0F4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C000D8"/>
    <w:multiLevelType w:val="hybridMultilevel"/>
    <w:tmpl w:val="F84E7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077"/>
    <w:multiLevelType w:val="hybridMultilevel"/>
    <w:tmpl w:val="0FA21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B49AD"/>
    <w:multiLevelType w:val="hybridMultilevel"/>
    <w:tmpl w:val="6108E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E6032E"/>
    <w:multiLevelType w:val="hybridMultilevel"/>
    <w:tmpl w:val="94F2B08C"/>
    <w:lvl w:ilvl="0" w:tplc="EF1476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182E08"/>
    <w:multiLevelType w:val="hybridMultilevel"/>
    <w:tmpl w:val="357AD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37FAD"/>
    <w:multiLevelType w:val="multilevel"/>
    <w:tmpl w:val="AF86572C"/>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930F05"/>
    <w:multiLevelType w:val="hybridMultilevel"/>
    <w:tmpl w:val="DBFE22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A2FED"/>
    <w:multiLevelType w:val="hybridMultilevel"/>
    <w:tmpl w:val="708C2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41218"/>
    <w:multiLevelType w:val="hybridMultilevel"/>
    <w:tmpl w:val="BB380BB8"/>
    <w:lvl w:ilvl="0" w:tplc="F58A6ABC">
      <w:start w:val="1"/>
      <w:numFmt w:val="bullet"/>
      <w:lvlText w:val="•"/>
      <w:lvlJc w:val="left"/>
      <w:pPr>
        <w:tabs>
          <w:tab w:val="num" w:pos="720"/>
        </w:tabs>
        <w:ind w:left="720" w:hanging="360"/>
      </w:pPr>
      <w:rPr>
        <w:rFonts w:ascii="Arial" w:hAnsi="Arial" w:hint="default"/>
      </w:rPr>
    </w:lvl>
    <w:lvl w:ilvl="1" w:tplc="2D5A5B7C" w:tentative="1">
      <w:start w:val="1"/>
      <w:numFmt w:val="bullet"/>
      <w:lvlText w:val="•"/>
      <w:lvlJc w:val="left"/>
      <w:pPr>
        <w:tabs>
          <w:tab w:val="num" w:pos="1440"/>
        </w:tabs>
        <w:ind w:left="1440" w:hanging="360"/>
      </w:pPr>
      <w:rPr>
        <w:rFonts w:ascii="Arial" w:hAnsi="Arial" w:hint="default"/>
      </w:rPr>
    </w:lvl>
    <w:lvl w:ilvl="2" w:tplc="FEA80A20" w:tentative="1">
      <w:start w:val="1"/>
      <w:numFmt w:val="bullet"/>
      <w:lvlText w:val="•"/>
      <w:lvlJc w:val="left"/>
      <w:pPr>
        <w:tabs>
          <w:tab w:val="num" w:pos="2160"/>
        </w:tabs>
        <w:ind w:left="2160" w:hanging="360"/>
      </w:pPr>
      <w:rPr>
        <w:rFonts w:ascii="Arial" w:hAnsi="Arial" w:hint="default"/>
      </w:rPr>
    </w:lvl>
    <w:lvl w:ilvl="3" w:tplc="D21E825C" w:tentative="1">
      <w:start w:val="1"/>
      <w:numFmt w:val="bullet"/>
      <w:lvlText w:val="•"/>
      <w:lvlJc w:val="left"/>
      <w:pPr>
        <w:tabs>
          <w:tab w:val="num" w:pos="2880"/>
        </w:tabs>
        <w:ind w:left="2880" w:hanging="360"/>
      </w:pPr>
      <w:rPr>
        <w:rFonts w:ascii="Arial" w:hAnsi="Arial" w:hint="default"/>
      </w:rPr>
    </w:lvl>
    <w:lvl w:ilvl="4" w:tplc="9566DC6E" w:tentative="1">
      <w:start w:val="1"/>
      <w:numFmt w:val="bullet"/>
      <w:lvlText w:val="•"/>
      <w:lvlJc w:val="left"/>
      <w:pPr>
        <w:tabs>
          <w:tab w:val="num" w:pos="3600"/>
        </w:tabs>
        <w:ind w:left="3600" w:hanging="360"/>
      </w:pPr>
      <w:rPr>
        <w:rFonts w:ascii="Arial" w:hAnsi="Arial" w:hint="default"/>
      </w:rPr>
    </w:lvl>
    <w:lvl w:ilvl="5" w:tplc="284E874E" w:tentative="1">
      <w:start w:val="1"/>
      <w:numFmt w:val="bullet"/>
      <w:lvlText w:val="•"/>
      <w:lvlJc w:val="left"/>
      <w:pPr>
        <w:tabs>
          <w:tab w:val="num" w:pos="4320"/>
        </w:tabs>
        <w:ind w:left="4320" w:hanging="360"/>
      </w:pPr>
      <w:rPr>
        <w:rFonts w:ascii="Arial" w:hAnsi="Arial" w:hint="default"/>
      </w:rPr>
    </w:lvl>
    <w:lvl w:ilvl="6" w:tplc="1CE83CC6" w:tentative="1">
      <w:start w:val="1"/>
      <w:numFmt w:val="bullet"/>
      <w:lvlText w:val="•"/>
      <w:lvlJc w:val="left"/>
      <w:pPr>
        <w:tabs>
          <w:tab w:val="num" w:pos="5040"/>
        </w:tabs>
        <w:ind w:left="5040" w:hanging="360"/>
      </w:pPr>
      <w:rPr>
        <w:rFonts w:ascii="Arial" w:hAnsi="Arial" w:hint="default"/>
      </w:rPr>
    </w:lvl>
    <w:lvl w:ilvl="7" w:tplc="EB1A0398" w:tentative="1">
      <w:start w:val="1"/>
      <w:numFmt w:val="bullet"/>
      <w:lvlText w:val="•"/>
      <w:lvlJc w:val="left"/>
      <w:pPr>
        <w:tabs>
          <w:tab w:val="num" w:pos="5760"/>
        </w:tabs>
        <w:ind w:left="5760" w:hanging="360"/>
      </w:pPr>
      <w:rPr>
        <w:rFonts w:ascii="Arial" w:hAnsi="Arial" w:hint="default"/>
      </w:rPr>
    </w:lvl>
    <w:lvl w:ilvl="8" w:tplc="2B4C6D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EE399A"/>
    <w:multiLevelType w:val="hybridMultilevel"/>
    <w:tmpl w:val="2DA2FB1C"/>
    <w:lvl w:ilvl="0" w:tplc="19E86308">
      <w:start w:val="1"/>
      <w:numFmt w:val="bullet"/>
      <w:lvlText w:val="•"/>
      <w:lvlJc w:val="left"/>
      <w:pPr>
        <w:tabs>
          <w:tab w:val="num" w:pos="720"/>
        </w:tabs>
        <w:ind w:left="720" w:hanging="360"/>
      </w:pPr>
      <w:rPr>
        <w:rFonts w:ascii="Arial" w:hAnsi="Arial" w:hint="default"/>
      </w:rPr>
    </w:lvl>
    <w:lvl w:ilvl="1" w:tplc="BF024540">
      <w:start w:val="142"/>
      <w:numFmt w:val="bullet"/>
      <w:lvlText w:val="•"/>
      <w:lvlJc w:val="left"/>
      <w:pPr>
        <w:tabs>
          <w:tab w:val="num" w:pos="1440"/>
        </w:tabs>
        <w:ind w:left="1440" w:hanging="360"/>
      </w:pPr>
      <w:rPr>
        <w:rFonts w:ascii="Arial" w:hAnsi="Arial" w:hint="default"/>
      </w:rPr>
    </w:lvl>
    <w:lvl w:ilvl="2" w:tplc="2A2ADE40" w:tentative="1">
      <w:start w:val="1"/>
      <w:numFmt w:val="bullet"/>
      <w:lvlText w:val="•"/>
      <w:lvlJc w:val="left"/>
      <w:pPr>
        <w:tabs>
          <w:tab w:val="num" w:pos="2160"/>
        </w:tabs>
        <w:ind w:left="2160" w:hanging="360"/>
      </w:pPr>
      <w:rPr>
        <w:rFonts w:ascii="Arial" w:hAnsi="Arial" w:hint="default"/>
      </w:rPr>
    </w:lvl>
    <w:lvl w:ilvl="3" w:tplc="D8F23B04" w:tentative="1">
      <w:start w:val="1"/>
      <w:numFmt w:val="bullet"/>
      <w:lvlText w:val="•"/>
      <w:lvlJc w:val="left"/>
      <w:pPr>
        <w:tabs>
          <w:tab w:val="num" w:pos="2880"/>
        </w:tabs>
        <w:ind w:left="2880" w:hanging="360"/>
      </w:pPr>
      <w:rPr>
        <w:rFonts w:ascii="Arial" w:hAnsi="Arial" w:hint="default"/>
      </w:rPr>
    </w:lvl>
    <w:lvl w:ilvl="4" w:tplc="51FA3E70" w:tentative="1">
      <w:start w:val="1"/>
      <w:numFmt w:val="bullet"/>
      <w:lvlText w:val="•"/>
      <w:lvlJc w:val="left"/>
      <w:pPr>
        <w:tabs>
          <w:tab w:val="num" w:pos="3600"/>
        </w:tabs>
        <w:ind w:left="3600" w:hanging="360"/>
      </w:pPr>
      <w:rPr>
        <w:rFonts w:ascii="Arial" w:hAnsi="Arial" w:hint="default"/>
      </w:rPr>
    </w:lvl>
    <w:lvl w:ilvl="5" w:tplc="A89C1BD0" w:tentative="1">
      <w:start w:val="1"/>
      <w:numFmt w:val="bullet"/>
      <w:lvlText w:val="•"/>
      <w:lvlJc w:val="left"/>
      <w:pPr>
        <w:tabs>
          <w:tab w:val="num" w:pos="4320"/>
        </w:tabs>
        <w:ind w:left="4320" w:hanging="360"/>
      </w:pPr>
      <w:rPr>
        <w:rFonts w:ascii="Arial" w:hAnsi="Arial" w:hint="default"/>
      </w:rPr>
    </w:lvl>
    <w:lvl w:ilvl="6" w:tplc="4C6632DA" w:tentative="1">
      <w:start w:val="1"/>
      <w:numFmt w:val="bullet"/>
      <w:lvlText w:val="•"/>
      <w:lvlJc w:val="left"/>
      <w:pPr>
        <w:tabs>
          <w:tab w:val="num" w:pos="5040"/>
        </w:tabs>
        <w:ind w:left="5040" w:hanging="360"/>
      </w:pPr>
      <w:rPr>
        <w:rFonts w:ascii="Arial" w:hAnsi="Arial" w:hint="default"/>
      </w:rPr>
    </w:lvl>
    <w:lvl w:ilvl="7" w:tplc="4864A0FA" w:tentative="1">
      <w:start w:val="1"/>
      <w:numFmt w:val="bullet"/>
      <w:lvlText w:val="•"/>
      <w:lvlJc w:val="left"/>
      <w:pPr>
        <w:tabs>
          <w:tab w:val="num" w:pos="5760"/>
        </w:tabs>
        <w:ind w:left="5760" w:hanging="360"/>
      </w:pPr>
      <w:rPr>
        <w:rFonts w:ascii="Arial" w:hAnsi="Arial" w:hint="default"/>
      </w:rPr>
    </w:lvl>
    <w:lvl w:ilvl="8" w:tplc="3F6A2F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76300F"/>
    <w:multiLevelType w:val="hybridMultilevel"/>
    <w:tmpl w:val="60E8F83C"/>
    <w:lvl w:ilvl="0" w:tplc="0246780A">
      <w:start w:val="1"/>
      <w:numFmt w:val="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22" w15:restartNumberingAfterBreak="0">
    <w:nsid w:val="5A872B15"/>
    <w:multiLevelType w:val="hybridMultilevel"/>
    <w:tmpl w:val="F678F0C2"/>
    <w:lvl w:ilvl="0" w:tplc="7F1E10C6">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28E2AC6"/>
    <w:multiLevelType w:val="hybridMultilevel"/>
    <w:tmpl w:val="852C8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1F5076"/>
    <w:multiLevelType w:val="hybridMultilevel"/>
    <w:tmpl w:val="85EC49CC"/>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7D814F5"/>
    <w:multiLevelType w:val="hybridMultilevel"/>
    <w:tmpl w:val="4440D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DE73AD"/>
    <w:multiLevelType w:val="hybridMultilevel"/>
    <w:tmpl w:val="27403804"/>
    <w:lvl w:ilvl="0" w:tplc="0C090011">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A504101"/>
    <w:multiLevelType w:val="hybridMultilevel"/>
    <w:tmpl w:val="10781C50"/>
    <w:lvl w:ilvl="0" w:tplc="72F81CC2">
      <w:start w:val="1"/>
      <w:numFmt w:val="bullet"/>
      <w:lvlText w:val="•"/>
      <w:lvlJc w:val="left"/>
      <w:pPr>
        <w:tabs>
          <w:tab w:val="num" w:pos="720"/>
        </w:tabs>
        <w:ind w:left="720" w:hanging="360"/>
      </w:pPr>
      <w:rPr>
        <w:rFonts w:ascii="Arial" w:hAnsi="Arial" w:hint="default"/>
      </w:rPr>
    </w:lvl>
    <w:lvl w:ilvl="1" w:tplc="B65A18E2" w:tentative="1">
      <w:start w:val="1"/>
      <w:numFmt w:val="bullet"/>
      <w:lvlText w:val="•"/>
      <w:lvlJc w:val="left"/>
      <w:pPr>
        <w:tabs>
          <w:tab w:val="num" w:pos="1440"/>
        </w:tabs>
        <w:ind w:left="1440" w:hanging="360"/>
      </w:pPr>
      <w:rPr>
        <w:rFonts w:ascii="Arial" w:hAnsi="Arial" w:hint="default"/>
      </w:rPr>
    </w:lvl>
    <w:lvl w:ilvl="2" w:tplc="1F904EEA" w:tentative="1">
      <w:start w:val="1"/>
      <w:numFmt w:val="bullet"/>
      <w:lvlText w:val="•"/>
      <w:lvlJc w:val="left"/>
      <w:pPr>
        <w:tabs>
          <w:tab w:val="num" w:pos="2160"/>
        </w:tabs>
        <w:ind w:left="2160" w:hanging="360"/>
      </w:pPr>
      <w:rPr>
        <w:rFonts w:ascii="Arial" w:hAnsi="Arial" w:hint="default"/>
      </w:rPr>
    </w:lvl>
    <w:lvl w:ilvl="3" w:tplc="D820D322" w:tentative="1">
      <w:start w:val="1"/>
      <w:numFmt w:val="bullet"/>
      <w:lvlText w:val="•"/>
      <w:lvlJc w:val="left"/>
      <w:pPr>
        <w:tabs>
          <w:tab w:val="num" w:pos="2880"/>
        </w:tabs>
        <w:ind w:left="2880" w:hanging="360"/>
      </w:pPr>
      <w:rPr>
        <w:rFonts w:ascii="Arial" w:hAnsi="Arial" w:hint="default"/>
      </w:rPr>
    </w:lvl>
    <w:lvl w:ilvl="4" w:tplc="50344350" w:tentative="1">
      <w:start w:val="1"/>
      <w:numFmt w:val="bullet"/>
      <w:lvlText w:val="•"/>
      <w:lvlJc w:val="left"/>
      <w:pPr>
        <w:tabs>
          <w:tab w:val="num" w:pos="3600"/>
        </w:tabs>
        <w:ind w:left="3600" w:hanging="360"/>
      </w:pPr>
      <w:rPr>
        <w:rFonts w:ascii="Arial" w:hAnsi="Arial" w:hint="default"/>
      </w:rPr>
    </w:lvl>
    <w:lvl w:ilvl="5" w:tplc="C902E2FC" w:tentative="1">
      <w:start w:val="1"/>
      <w:numFmt w:val="bullet"/>
      <w:lvlText w:val="•"/>
      <w:lvlJc w:val="left"/>
      <w:pPr>
        <w:tabs>
          <w:tab w:val="num" w:pos="4320"/>
        </w:tabs>
        <w:ind w:left="4320" w:hanging="360"/>
      </w:pPr>
      <w:rPr>
        <w:rFonts w:ascii="Arial" w:hAnsi="Arial" w:hint="default"/>
      </w:rPr>
    </w:lvl>
    <w:lvl w:ilvl="6" w:tplc="59243DC0" w:tentative="1">
      <w:start w:val="1"/>
      <w:numFmt w:val="bullet"/>
      <w:lvlText w:val="•"/>
      <w:lvlJc w:val="left"/>
      <w:pPr>
        <w:tabs>
          <w:tab w:val="num" w:pos="5040"/>
        </w:tabs>
        <w:ind w:left="5040" w:hanging="360"/>
      </w:pPr>
      <w:rPr>
        <w:rFonts w:ascii="Arial" w:hAnsi="Arial" w:hint="default"/>
      </w:rPr>
    </w:lvl>
    <w:lvl w:ilvl="7" w:tplc="7C4A91A0" w:tentative="1">
      <w:start w:val="1"/>
      <w:numFmt w:val="bullet"/>
      <w:lvlText w:val="•"/>
      <w:lvlJc w:val="left"/>
      <w:pPr>
        <w:tabs>
          <w:tab w:val="num" w:pos="5760"/>
        </w:tabs>
        <w:ind w:left="5760" w:hanging="360"/>
      </w:pPr>
      <w:rPr>
        <w:rFonts w:ascii="Arial" w:hAnsi="Arial" w:hint="default"/>
      </w:rPr>
    </w:lvl>
    <w:lvl w:ilvl="8" w:tplc="33768F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DA7278"/>
    <w:multiLevelType w:val="hybridMultilevel"/>
    <w:tmpl w:val="4ED6F1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421636"/>
    <w:multiLevelType w:val="hybridMultilevel"/>
    <w:tmpl w:val="965E2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830002"/>
    <w:multiLevelType w:val="hybridMultilevel"/>
    <w:tmpl w:val="E74858B2"/>
    <w:lvl w:ilvl="0" w:tplc="DC0AEA28">
      <w:start w:val="1"/>
      <w:numFmt w:val="decimal"/>
      <w:pStyle w:val="Table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BF5BB2"/>
    <w:multiLevelType w:val="hybridMultilevel"/>
    <w:tmpl w:val="0FA21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B457C5"/>
    <w:multiLevelType w:val="hybridMultilevel"/>
    <w:tmpl w:val="2A50C3E8"/>
    <w:lvl w:ilvl="0" w:tplc="E8AA7912">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5"/>
  </w:num>
  <w:num w:numId="2">
    <w:abstractNumId w:val="15"/>
  </w:num>
  <w:num w:numId="3">
    <w:abstractNumId w:val="17"/>
  </w:num>
  <w:num w:numId="4">
    <w:abstractNumId w:val="0"/>
  </w:num>
  <w:num w:numId="5">
    <w:abstractNumId w:val="35"/>
  </w:num>
  <w:num w:numId="6">
    <w:abstractNumId w:val="7"/>
  </w:num>
  <w:num w:numId="7">
    <w:abstractNumId w:val="14"/>
  </w:num>
  <w:num w:numId="8">
    <w:abstractNumId w:val="33"/>
  </w:num>
  <w:num w:numId="9">
    <w:abstractNumId w:val="22"/>
  </w:num>
  <w:num w:numId="10">
    <w:abstractNumId w:val="24"/>
  </w:num>
  <w:num w:numId="11">
    <w:abstractNumId w:val="16"/>
  </w:num>
  <w:num w:numId="12">
    <w:abstractNumId w:val="31"/>
  </w:num>
  <w:num w:numId="13">
    <w:abstractNumId w:val="28"/>
  </w:num>
  <w:num w:numId="14">
    <w:abstractNumId w:val="26"/>
  </w:num>
  <w:num w:numId="15">
    <w:abstractNumId w:val="3"/>
  </w:num>
  <w:num w:numId="16">
    <w:abstractNumId w:val="5"/>
  </w:num>
  <w:num w:numId="17">
    <w:abstractNumId w:val="13"/>
  </w:num>
  <w:num w:numId="18">
    <w:abstractNumId w:val="34"/>
  </w:num>
  <w:num w:numId="19">
    <w:abstractNumId w:val="18"/>
  </w:num>
  <w:num w:numId="20">
    <w:abstractNumId w:val="35"/>
  </w:num>
  <w:num w:numId="21">
    <w:abstractNumId w:val="35"/>
  </w:num>
  <w:num w:numId="22">
    <w:abstractNumId w:val="30"/>
  </w:num>
  <w:num w:numId="23">
    <w:abstractNumId w:val="2"/>
  </w:num>
  <w:num w:numId="24">
    <w:abstractNumId w:val="36"/>
  </w:num>
  <w:num w:numId="25">
    <w:abstractNumId w:val="19"/>
  </w:num>
  <w:num w:numId="26">
    <w:abstractNumId w:val="29"/>
  </w:num>
  <w:num w:numId="27">
    <w:abstractNumId w:val="35"/>
  </w:num>
  <w:num w:numId="28">
    <w:abstractNumId w:val="35"/>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0"/>
  </w:num>
  <w:num w:numId="33">
    <w:abstractNumId w:val="20"/>
  </w:num>
  <w:num w:numId="34">
    <w:abstractNumId w:val="4"/>
  </w:num>
  <w:num w:numId="35">
    <w:abstractNumId w:val="1"/>
  </w:num>
  <w:num w:numId="36">
    <w:abstractNumId w:val="9"/>
  </w:num>
  <w:num w:numId="37">
    <w:abstractNumId w:val="12"/>
  </w:num>
  <w:num w:numId="38">
    <w:abstractNumId w:val="8"/>
  </w:num>
  <w:num w:numId="3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5"/>
  </w:num>
  <w:num w:numId="42">
    <w:abstractNumId w:val="35"/>
  </w:num>
  <w:num w:numId="43">
    <w:abstractNumId w:val="35"/>
  </w:num>
  <w:num w:numId="44">
    <w:abstractNumId w:val="35"/>
  </w:num>
  <w:num w:numId="45">
    <w:abstractNumId w:val="27"/>
  </w:num>
  <w:num w:numId="46">
    <w:abstractNumId w:val="35"/>
  </w:num>
  <w:num w:numId="47">
    <w:abstractNumId w:val="21"/>
  </w:num>
  <w:num w:numId="48">
    <w:abstractNumId w:val="21"/>
  </w:num>
  <w:num w:numId="4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exxaf5bx0prpes9pfp2daed2fda2txaw5z&quot;&gt;Abemaciclib commentary library.enl&lt;record-ids&gt;&lt;item&gt;1&lt;/item&gt;&lt;item&gt;2&lt;/item&gt;&lt;item&gt;3&lt;/item&gt;&lt;item&gt;4&lt;/item&gt;&lt;item&gt;5&lt;/item&gt;&lt;item&gt;6&lt;/item&gt;&lt;item&gt;7&lt;/item&gt;&lt;item&gt;10&lt;/item&gt;&lt;item&gt;11&lt;/item&gt;&lt;item&gt;12&lt;/item&gt;&lt;item&gt;15&lt;/item&gt;&lt;item&gt;16&lt;/item&gt;&lt;item&gt;17&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1&lt;/item&gt;&lt;item&gt;42&lt;/item&gt;&lt;item&gt;43&lt;/item&gt;&lt;item&gt;44&lt;/item&gt;&lt;/record-ids&gt;&lt;/item&gt;&lt;/Libraries&gt;"/>
  </w:docVars>
  <w:rsids>
    <w:rsidRoot w:val="00E65E79"/>
    <w:rsid w:val="00000790"/>
    <w:rsid w:val="0000110B"/>
    <w:rsid w:val="000017DD"/>
    <w:rsid w:val="00001A73"/>
    <w:rsid w:val="00002661"/>
    <w:rsid w:val="000027BC"/>
    <w:rsid w:val="000028D9"/>
    <w:rsid w:val="00003499"/>
    <w:rsid w:val="000039B7"/>
    <w:rsid w:val="000040E2"/>
    <w:rsid w:val="000049F8"/>
    <w:rsid w:val="0000590E"/>
    <w:rsid w:val="0000639A"/>
    <w:rsid w:val="00006983"/>
    <w:rsid w:val="00006CC8"/>
    <w:rsid w:val="0000751F"/>
    <w:rsid w:val="00007CF5"/>
    <w:rsid w:val="000110DA"/>
    <w:rsid w:val="00011D32"/>
    <w:rsid w:val="00011EBE"/>
    <w:rsid w:val="00012C3A"/>
    <w:rsid w:val="00012F97"/>
    <w:rsid w:val="00013247"/>
    <w:rsid w:val="00013B2F"/>
    <w:rsid w:val="000140EF"/>
    <w:rsid w:val="0001493E"/>
    <w:rsid w:val="00015886"/>
    <w:rsid w:val="00015BDC"/>
    <w:rsid w:val="000162EF"/>
    <w:rsid w:val="00016B71"/>
    <w:rsid w:val="000207C9"/>
    <w:rsid w:val="0002141E"/>
    <w:rsid w:val="0002225F"/>
    <w:rsid w:val="00023151"/>
    <w:rsid w:val="00023763"/>
    <w:rsid w:val="00024818"/>
    <w:rsid w:val="00025A32"/>
    <w:rsid w:val="0002682C"/>
    <w:rsid w:val="00026BDE"/>
    <w:rsid w:val="000274B8"/>
    <w:rsid w:val="00030247"/>
    <w:rsid w:val="00030485"/>
    <w:rsid w:val="00030579"/>
    <w:rsid w:val="00030933"/>
    <w:rsid w:val="00032126"/>
    <w:rsid w:val="00032C23"/>
    <w:rsid w:val="00032F6B"/>
    <w:rsid w:val="00033863"/>
    <w:rsid w:val="00034340"/>
    <w:rsid w:val="00034DEC"/>
    <w:rsid w:val="000353AA"/>
    <w:rsid w:val="00035DC0"/>
    <w:rsid w:val="00036489"/>
    <w:rsid w:val="00036829"/>
    <w:rsid w:val="0003781E"/>
    <w:rsid w:val="00037864"/>
    <w:rsid w:val="00037E02"/>
    <w:rsid w:val="00040229"/>
    <w:rsid w:val="00040895"/>
    <w:rsid w:val="00040FA2"/>
    <w:rsid w:val="000435EE"/>
    <w:rsid w:val="00043C37"/>
    <w:rsid w:val="00045017"/>
    <w:rsid w:val="000451E0"/>
    <w:rsid w:val="00045A2B"/>
    <w:rsid w:val="00046849"/>
    <w:rsid w:val="0004698F"/>
    <w:rsid w:val="00050302"/>
    <w:rsid w:val="0005052F"/>
    <w:rsid w:val="00050A94"/>
    <w:rsid w:val="00050CE4"/>
    <w:rsid w:val="00052CD7"/>
    <w:rsid w:val="00053218"/>
    <w:rsid w:val="00053576"/>
    <w:rsid w:val="000539D0"/>
    <w:rsid w:val="00053DF1"/>
    <w:rsid w:val="00054621"/>
    <w:rsid w:val="000546D7"/>
    <w:rsid w:val="000549E7"/>
    <w:rsid w:val="00054A36"/>
    <w:rsid w:val="00055E95"/>
    <w:rsid w:val="00056ECF"/>
    <w:rsid w:val="0005712A"/>
    <w:rsid w:val="00057650"/>
    <w:rsid w:val="00057883"/>
    <w:rsid w:val="00057BE9"/>
    <w:rsid w:val="000604DF"/>
    <w:rsid w:val="000610C4"/>
    <w:rsid w:val="0006269E"/>
    <w:rsid w:val="00062995"/>
    <w:rsid w:val="00062AC1"/>
    <w:rsid w:val="00063642"/>
    <w:rsid w:val="00063AD8"/>
    <w:rsid w:val="000647CA"/>
    <w:rsid w:val="0006532B"/>
    <w:rsid w:val="000653B5"/>
    <w:rsid w:val="0006541A"/>
    <w:rsid w:val="0006545B"/>
    <w:rsid w:val="00065FF7"/>
    <w:rsid w:val="000660A6"/>
    <w:rsid w:val="00066360"/>
    <w:rsid w:val="00066AF8"/>
    <w:rsid w:val="0007092A"/>
    <w:rsid w:val="00070945"/>
    <w:rsid w:val="00070E1F"/>
    <w:rsid w:val="00071248"/>
    <w:rsid w:val="00071499"/>
    <w:rsid w:val="00071690"/>
    <w:rsid w:val="000720B9"/>
    <w:rsid w:val="00072966"/>
    <w:rsid w:val="000737F7"/>
    <w:rsid w:val="000746CD"/>
    <w:rsid w:val="00074710"/>
    <w:rsid w:val="00074B97"/>
    <w:rsid w:val="00074DC7"/>
    <w:rsid w:val="00074DEC"/>
    <w:rsid w:val="0007551C"/>
    <w:rsid w:val="00075F6C"/>
    <w:rsid w:val="0007672F"/>
    <w:rsid w:val="00076B54"/>
    <w:rsid w:val="000774F0"/>
    <w:rsid w:val="00077A2F"/>
    <w:rsid w:val="000803BA"/>
    <w:rsid w:val="00080725"/>
    <w:rsid w:val="00080909"/>
    <w:rsid w:val="000812CA"/>
    <w:rsid w:val="0008181D"/>
    <w:rsid w:val="00081E63"/>
    <w:rsid w:val="00082385"/>
    <w:rsid w:val="0008258D"/>
    <w:rsid w:val="00082C73"/>
    <w:rsid w:val="00083E99"/>
    <w:rsid w:val="00084CF3"/>
    <w:rsid w:val="00084DC6"/>
    <w:rsid w:val="00084FA8"/>
    <w:rsid w:val="000854CA"/>
    <w:rsid w:val="000856C5"/>
    <w:rsid w:val="00085C31"/>
    <w:rsid w:val="000902D9"/>
    <w:rsid w:val="000907B2"/>
    <w:rsid w:val="000909A9"/>
    <w:rsid w:val="00090C7E"/>
    <w:rsid w:val="00090E68"/>
    <w:rsid w:val="000910E0"/>
    <w:rsid w:val="00091DE8"/>
    <w:rsid w:val="00092600"/>
    <w:rsid w:val="0009262B"/>
    <w:rsid w:val="000931C7"/>
    <w:rsid w:val="0009330D"/>
    <w:rsid w:val="00093310"/>
    <w:rsid w:val="00093F8E"/>
    <w:rsid w:val="0009445C"/>
    <w:rsid w:val="000944ED"/>
    <w:rsid w:val="00095200"/>
    <w:rsid w:val="00095FE5"/>
    <w:rsid w:val="00096280"/>
    <w:rsid w:val="00096284"/>
    <w:rsid w:val="00096571"/>
    <w:rsid w:val="000A1BC0"/>
    <w:rsid w:val="000A23EE"/>
    <w:rsid w:val="000A2E4A"/>
    <w:rsid w:val="000A3144"/>
    <w:rsid w:val="000A3179"/>
    <w:rsid w:val="000A3F07"/>
    <w:rsid w:val="000A463A"/>
    <w:rsid w:val="000A4A19"/>
    <w:rsid w:val="000A4EE8"/>
    <w:rsid w:val="000A6039"/>
    <w:rsid w:val="000A6342"/>
    <w:rsid w:val="000A6393"/>
    <w:rsid w:val="000A7453"/>
    <w:rsid w:val="000A7D08"/>
    <w:rsid w:val="000B0121"/>
    <w:rsid w:val="000B0670"/>
    <w:rsid w:val="000B0C39"/>
    <w:rsid w:val="000B0E75"/>
    <w:rsid w:val="000B2374"/>
    <w:rsid w:val="000B2941"/>
    <w:rsid w:val="000B2B00"/>
    <w:rsid w:val="000B2DCB"/>
    <w:rsid w:val="000B366F"/>
    <w:rsid w:val="000B3B81"/>
    <w:rsid w:val="000B40CB"/>
    <w:rsid w:val="000B5CE0"/>
    <w:rsid w:val="000B61BC"/>
    <w:rsid w:val="000B691E"/>
    <w:rsid w:val="000B6CAC"/>
    <w:rsid w:val="000B7612"/>
    <w:rsid w:val="000B7847"/>
    <w:rsid w:val="000B78AE"/>
    <w:rsid w:val="000C02F0"/>
    <w:rsid w:val="000C03D5"/>
    <w:rsid w:val="000C03ED"/>
    <w:rsid w:val="000C17B7"/>
    <w:rsid w:val="000C1956"/>
    <w:rsid w:val="000C2FF2"/>
    <w:rsid w:val="000C3DF9"/>
    <w:rsid w:val="000C48FE"/>
    <w:rsid w:val="000C578F"/>
    <w:rsid w:val="000C6349"/>
    <w:rsid w:val="000C6505"/>
    <w:rsid w:val="000C6713"/>
    <w:rsid w:val="000C6B0E"/>
    <w:rsid w:val="000C6D93"/>
    <w:rsid w:val="000C7CA3"/>
    <w:rsid w:val="000D069E"/>
    <w:rsid w:val="000D125B"/>
    <w:rsid w:val="000D1BFC"/>
    <w:rsid w:val="000D1D5D"/>
    <w:rsid w:val="000D254C"/>
    <w:rsid w:val="000D281A"/>
    <w:rsid w:val="000D2848"/>
    <w:rsid w:val="000D2CE5"/>
    <w:rsid w:val="000D2D21"/>
    <w:rsid w:val="000D2D9F"/>
    <w:rsid w:val="000D326A"/>
    <w:rsid w:val="000D39FF"/>
    <w:rsid w:val="000D4611"/>
    <w:rsid w:val="000D4D13"/>
    <w:rsid w:val="000D51FB"/>
    <w:rsid w:val="000D55E7"/>
    <w:rsid w:val="000D570D"/>
    <w:rsid w:val="000D57E3"/>
    <w:rsid w:val="000D61CA"/>
    <w:rsid w:val="000D6D7F"/>
    <w:rsid w:val="000E0640"/>
    <w:rsid w:val="000E135D"/>
    <w:rsid w:val="000E1E67"/>
    <w:rsid w:val="000E31A4"/>
    <w:rsid w:val="000E321E"/>
    <w:rsid w:val="000E4F42"/>
    <w:rsid w:val="000E573E"/>
    <w:rsid w:val="000E5822"/>
    <w:rsid w:val="000E5B19"/>
    <w:rsid w:val="000E685C"/>
    <w:rsid w:val="000E687C"/>
    <w:rsid w:val="000E720E"/>
    <w:rsid w:val="000E7367"/>
    <w:rsid w:val="000E7E89"/>
    <w:rsid w:val="000F00BA"/>
    <w:rsid w:val="000F1B2F"/>
    <w:rsid w:val="000F316A"/>
    <w:rsid w:val="000F38D2"/>
    <w:rsid w:val="000F3C74"/>
    <w:rsid w:val="000F4129"/>
    <w:rsid w:val="000F4BB8"/>
    <w:rsid w:val="000F4FA9"/>
    <w:rsid w:val="000F53FB"/>
    <w:rsid w:val="000F551F"/>
    <w:rsid w:val="000F618C"/>
    <w:rsid w:val="000F7127"/>
    <w:rsid w:val="000F771F"/>
    <w:rsid w:val="000F7A44"/>
    <w:rsid w:val="000F7B54"/>
    <w:rsid w:val="00100E7C"/>
    <w:rsid w:val="00100F8A"/>
    <w:rsid w:val="00103803"/>
    <w:rsid w:val="00104237"/>
    <w:rsid w:val="0010452E"/>
    <w:rsid w:val="00105AE2"/>
    <w:rsid w:val="001060C6"/>
    <w:rsid w:val="00106B80"/>
    <w:rsid w:val="001071A4"/>
    <w:rsid w:val="00107D44"/>
    <w:rsid w:val="0011032E"/>
    <w:rsid w:val="00111DF8"/>
    <w:rsid w:val="00112CC9"/>
    <w:rsid w:val="00112D3C"/>
    <w:rsid w:val="0011348B"/>
    <w:rsid w:val="0011553E"/>
    <w:rsid w:val="00115982"/>
    <w:rsid w:val="00115A9A"/>
    <w:rsid w:val="00115D94"/>
    <w:rsid w:val="00116C53"/>
    <w:rsid w:val="00117D65"/>
    <w:rsid w:val="00120DA3"/>
    <w:rsid w:val="00120E60"/>
    <w:rsid w:val="00121799"/>
    <w:rsid w:val="001222FC"/>
    <w:rsid w:val="00123305"/>
    <w:rsid w:val="00123411"/>
    <w:rsid w:val="00123902"/>
    <w:rsid w:val="00124062"/>
    <w:rsid w:val="00124A51"/>
    <w:rsid w:val="001255C7"/>
    <w:rsid w:val="00125C44"/>
    <w:rsid w:val="00126621"/>
    <w:rsid w:val="00126B1D"/>
    <w:rsid w:val="001276D7"/>
    <w:rsid w:val="001276F8"/>
    <w:rsid w:val="001301E9"/>
    <w:rsid w:val="0013075E"/>
    <w:rsid w:val="00130F4C"/>
    <w:rsid w:val="001312D9"/>
    <w:rsid w:val="00131D82"/>
    <w:rsid w:val="00132B22"/>
    <w:rsid w:val="00133D36"/>
    <w:rsid w:val="00134130"/>
    <w:rsid w:val="00136230"/>
    <w:rsid w:val="0013725A"/>
    <w:rsid w:val="0013750C"/>
    <w:rsid w:val="00137645"/>
    <w:rsid w:val="00137BE9"/>
    <w:rsid w:val="00137EC6"/>
    <w:rsid w:val="0014015A"/>
    <w:rsid w:val="00140CDB"/>
    <w:rsid w:val="00140E99"/>
    <w:rsid w:val="00141468"/>
    <w:rsid w:val="00142530"/>
    <w:rsid w:val="00142983"/>
    <w:rsid w:val="00143471"/>
    <w:rsid w:val="001435DE"/>
    <w:rsid w:val="00143643"/>
    <w:rsid w:val="00143A50"/>
    <w:rsid w:val="00143D77"/>
    <w:rsid w:val="00143F67"/>
    <w:rsid w:val="0014549B"/>
    <w:rsid w:val="00145540"/>
    <w:rsid w:val="001456B0"/>
    <w:rsid w:val="00150144"/>
    <w:rsid w:val="00151D44"/>
    <w:rsid w:val="00151F9E"/>
    <w:rsid w:val="001532F0"/>
    <w:rsid w:val="00155083"/>
    <w:rsid w:val="00155659"/>
    <w:rsid w:val="00156F8F"/>
    <w:rsid w:val="00157130"/>
    <w:rsid w:val="001576B1"/>
    <w:rsid w:val="0016047B"/>
    <w:rsid w:val="00160A4C"/>
    <w:rsid w:val="00162020"/>
    <w:rsid w:val="00162913"/>
    <w:rsid w:val="001638B9"/>
    <w:rsid w:val="00163EFF"/>
    <w:rsid w:val="00163F66"/>
    <w:rsid w:val="001660BB"/>
    <w:rsid w:val="001661FB"/>
    <w:rsid w:val="001671A0"/>
    <w:rsid w:val="00167283"/>
    <w:rsid w:val="0016767F"/>
    <w:rsid w:val="00167C6A"/>
    <w:rsid w:val="00170F1D"/>
    <w:rsid w:val="00171B00"/>
    <w:rsid w:val="00171EEA"/>
    <w:rsid w:val="00172AA1"/>
    <w:rsid w:val="00173565"/>
    <w:rsid w:val="00173B07"/>
    <w:rsid w:val="00173D19"/>
    <w:rsid w:val="00174FFA"/>
    <w:rsid w:val="001751FA"/>
    <w:rsid w:val="0017557E"/>
    <w:rsid w:val="001759CD"/>
    <w:rsid w:val="00175CA9"/>
    <w:rsid w:val="0017654F"/>
    <w:rsid w:val="001765C5"/>
    <w:rsid w:val="001806AB"/>
    <w:rsid w:val="00180CAD"/>
    <w:rsid w:val="00181D9C"/>
    <w:rsid w:val="0018211C"/>
    <w:rsid w:val="00182EBA"/>
    <w:rsid w:val="00183066"/>
    <w:rsid w:val="00184941"/>
    <w:rsid w:val="00184B0E"/>
    <w:rsid w:val="00185A54"/>
    <w:rsid w:val="00186114"/>
    <w:rsid w:val="001867F8"/>
    <w:rsid w:val="001873A4"/>
    <w:rsid w:val="001874DA"/>
    <w:rsid w:val="0018752F"/>
    <w:rsid w:val="001875E3"/>
    <w:rsid w:val="00187A41"/>
    <w:rsid w:val="00190248"/>
    <w:rsid w:val="00190744"/>
    <w:rsid w:val="00192B18"/>
    <w:rsid w:val="00192F9B"/>
    <w:rsid w:val="00193647"/>
    <w:rsid w:val="00193838"/>
    <w:rsid w:val="00194AD8"/>
    <w:rsid w:val="00195168"/>
    <w:rsid w:val="00195222"/>
    <w:rsid w:val="00195278"/>
    <w:rsid w:val="0019531D"/>
    <w:rsid w:val="001954F2"/>
    <w:rsid w:val="00195AB6"/>
    <w:rsid w:val="00195EDB"/>
    <w:rsid w:val="001975D8"/>
    <w:rsid w:val="00197F4E"/>
    <w:rsid w:val="001A171F"/>
    <w:rsid w:val="001A178E"/>
    <w:rsid w:val="001A1B4F"/>
    <w:rsid w:val="001A1DFD"/>
    <w:rsid w:val="001A24D0"/>
    <w:rsid w:val="001A33B0"/>
    <w:rsid w:val="001A43FA"/>
    <w:rsid w:val="001A448E"/>
    <w:rsid w:val="001A47C5"/>
    <w:rsid w:val="001A5169"/>
    <w:rsid w:val="001A57B4"/>
    <w:rsid w:val="001A59FB"/>
    <w:rsid w:val="001A5E9E"/>
    <w:rsid w:val="001A6354"/>
    <w:rsid w:val="001A6366"/>
    <w:rsid w:val="001A7AE8"/>
    <w:rsid w:val="001B0A75"/>
    <w:rsid w:val="001B204E"/>
    <w:rsid w:val="001B2372"/>
    <w:rsid w:val="001B3443"/>
    <w:rsid w:val="001B3498"/>
    <w:rsid w:val="001B4D20"/>
    <w:rsid w:val="001B6199"/>
    <w:rsid w:val="001B6449"/>
    <w:rsid w:val="001B6D76"/>
    <w:rsid w:val="001B7904"/>
    <w:rsid w:val="001C0101"/>
    <w:rsid w:val="001C249E"/>
    <w:rsid w:val="001C29C5"/>
    <w:rsid w:val="001C2A9B"/>
    <w:rsid w:val="001C4299"/>
    <w:rsid w:val="001C4874"/>
    <w:rsid w:val="001C5F94"/>
    <w:rsid w:val="001C61FE"/>
    <w:rsid w:val="001C6E3A"/>
    <w:rsid w:val="001C6E66"/>
    <w:rsid w:val="001D1100"/>
    <w:rsid w:val="001D1391"/>
    <w:rsid w:val="001D139A"/>
    <w:rsid w:val="001D1DE9"/>
    <w:rsid w:val="001D25D7"/>
    <w:rsid w:val="001D27B5"/>
    <w:rsid w:val="001D3796"/>
    <w:rsid w:val="001D40BC"/>
    <w:rsid w:val="001D40D8"/>
    <w:rsid w:val="001D44AB"/>
    <w:rsid w:val="001D50B2"/>
    <w:rsid w:val="001D563E"/>
    <w:rsid w:val="001D58C1"/>
    <w:rsid w:val="001D5EEB"/>
    <w:rsid w:val="001D61D7"/>
    <w:rsid w:val="001D6D9F"/>
    <w:rsid w:val="001D6F8B"/>
    <w:rsid w:val="001D7645"/>
    <w:rsid w:val="001E0241"/>
    <w:rsid w:val="001E1574"/>
    <w:rsid w:val="001E1E86"/>
    <w:rsid w:val="001E238E"/>
    <w:rsid w:val="001E2483"/>
    <w:rsid w:val="001E2B1E"/>
    <w:rsid w:val="001E2CFF"/>
    <w:rsid w:val="001E2E46"/>
    <w:rsid w:val="001E2F24"/>
    <w:rsid w:val="001E3076"/>
    <w:rsid w:val="001E30D4"/>
    <w:rsid w:val="001E32F4"/>
    <w:rsid w:val="001E34DF"/>
    <w:rsid w:val="001E3636"/>
    <w:rsid w:val="001E52EB"/>
    <w:rsid w:val="001E61D2"/>
    <w:rsid w:val="001E740C"/>
    <w:rsid w:val="001F0AB5"/>
    <w:rsid w:val="001F1235"/>
    <w:rsid w:val="001F15E7"/>
    <w:rsid w:val="001F1CB3"/>
    <w:rsid w:val="001F1FCC"/>
    <w:rsid w:val="001F2793"/>
    <w:rsid w:val="001F2A7F"/>
    <w:rsid w:val="001F2EEE"/>
    <w:rsid w:val="001F38B5"/>
    <w:rsid w:val="001F4081"/>
    <w:rsid w:val="001F72BF"/>
    <w:rsid w:val="001F7361"/>
    <w:rsid w:val="00200CC7"/>
    <w:rsid w:val="002011B0"/>
    <w:rsid w:val="0020234A"/>
    <w:rsid w:val="00202D46"/>
    <w:rsid w:val="00203181"/>
    <w:rsid w:val="00203783"/>
    <w:rsid w:val="0020384D"/>
    <w:rsid w:val="0020385F"/>
    <w:rsid w:val="00203BCF"/>
    <w:rsid w:val="00205100"/>
    <w:rsid w:val="002068A0"/>
    <w:rsid w:val="00206C27"/>
    <w:rsid w:val="00207021"/>
    <w:rsid w:val="0020732F"/>
    <w:rsid w:val="002075BF"/>
    <w:rsid w:val="00207993"/>
    <w:rsid w:val="00207D00"/>
    <w:rsid w:val="0021009D"/>
    <w:rsid w:val="002105C1"/>
    <w:rsid w:val="002108BF"/>
    <w:rsid w:val="00211508"/>
    <w:rsid w:val="00212D03"/>
    <w:rsid w:val="00213B3B"/>
    <w:rsid w:val="00213EF5"/>
    <w:rsid w:val="0021494A"/>
    <w:rsid w:val="00214CAA"/>
    <w:rsid w:val="0021538C"/>
    <w:rsid w:val="00215A1D"/>
    <w:rsid w:val="00216BF5"/>
    <w:rsid w:val="00216E67"/>
    <w:rsid w:val="00217E46"/>
    <w:rsid w:val="0022120A"/>
    <w:rsid w:val="00221890"/>
    <w:rsid w:val="00221BE0"/>
    <w:rsid w:val="00221FDB"/>
    <w:rsid w:val="002224B0"/>
    <w:rsid w:val="00222D66"/>
    <w:rsid w:val="002234F3"/>
    <w:rsid w:val="00223526"/>
    <w:rsid w:val="00223B49"/>
    <w:rsid w:val="00223D5A"/>
    <w:rsid w:val="00224032"/>
    <w:rsid w:val="0022415A"/>
    <w:rsid w:val="00224D53"/>
    <w:rsid w:val="00224DD4"/>
    <w:rsid w:val="002263CB"/>
    <w:rsid w:val="002278A0"/>
    <w:rsid w:val="002307C7"/>
    <w:rsid w:val="00230953"/>
    <w:rsid w:val="002309CC"/>
    <w:rsid w:val="00231963"/>
    <w:rsid w:val="0023209F"/>
    <w:rsid w:val="002338D0"/>
    <w:rsid w:val="00233C01"/>
    <w:rsid w:val="0023413C"/>
    <w:rsid w:val="002346F0"/>
    <w:rsid w:val="0023516D"/>
    <w:rsid w:val="00235544"/>
    <w:rsid w:val="00235959"/>
    <w:rsid w:val="00235A52"/>
    <w:rsid w:val="002361F1"/>
    <w:rsid w:val="0023629D"/>
    <w:rsid w:val="00237255"/>
    <w:rsid w:val="0023745A"/>
    <w:rsid w:val="00241BCD"/>
    <w:rsid w:val="002424AF"/>
    <w:rsid w:val="0024345C"/>
    <w:rsid w:val="002439DC"/>
    <w:rsid w:val="002441D2"/>
    <w:rsid w:val="00244DC8"/>
    <w:rsid w:val="00245235"/>
    <w:rsid w:val="0024538D"/>
    <w:rsid w:val="002458BA"/>
    <w:rsid w:val="00245CE9"/>
    <w:rsid w:val="0024636C"/>
    <w:rsid w:val="00246B7C"/>
    <w:rsid w:val="00247925"/>
    <w:rsid w:val="0025018C"/>
    <w:rsid w:val="00251006"/>
    <w:rsid w:val="00251D74"/>
    <w:rsid w:val="00251D7B"/>
    <w:rsid w:val="002524D5"/>
    <w:rsid w:val="00252BEC"/>
    <w:rsid w:val="002534D2"/>
    <w:rsid w:val="00253B1D"/>
    <w:rsid w:val="00254685"/>
    <w:rsid w:val="00254C19"/>
    <w:rsid w:val="00254DCF"/>
    <w:rsid w:val="0025534B"/>
    <w:rsid w:val="00255BB7"/>
    <w:rsid w:val="00256AB1"/>
    <w:rsid w:val="00257541"/>
    <w:rsid w:val="00257A39"/>
    <w:rsid w:val="00257AC4"/>
    <w:rsid w:val="00257CAC"/>
    <w:rsid w:val="00260518"/>
    <w:rsid w:val="00260910"/>
    <w:rsid w:val="002613B3"/>
    <w:rsid w:val="00261EEF"/>
    <w:rsid w:val="00262225"/>
    <w:rsid w:val="00262A1A"/>
    <w:rsid w:val="00262A87"/>
    <w:rsid w:val="00262DE0"/>
    <w:rsid w:val="0026416D"/>
    <w:rsid w:val="00264417"/>
    <w:rsid w:val="00264A19"/>
    <w:rsid w:val="00264D26"/>
    <w:rsid w:val="002652D4"/>
    <w:rsid w:val="00266D03"/>
    <w:rsid w:val="00267083"/>
    <w:rsid w:val="00267642"/>
    <w:rsid w:val="00267708"/>
    <w:rsid w:val="00267AEA"/>
    <w:rsid w:val="002700E6"/>
    <w:rsid w:val="002704C6"/>
    <w:rsid w:val="00270F75"/>
    <w:rsid w:val="002728D1"/>
    <w:rsid w:val="0027294B"/>
    <w:rsid w:val="00273EB4"/>
    <w:rsid w:val="00274682"/>
    <w:rsid w:val="00274E06"/>
    <w:rsid w:val="00275592"/>
    <w:rsid w:val="002758B9"/>
    <w:rsid w:val="00275C5A"/>
    <w:rsid w:val="0027608A"/>
    <w:rsid w:val="00276124"/>
    <w:rsid w:val="00276546"/>
    <w:rsid w:val="00276699"/>
    <w:rsid w:val="00281014"/>
    <w:rsid w:val="002827F4"/>
    <w:rsid w:val="002834F1"/>
    <w:rsid w:val="00283EA7"/>
    <w:rsid w:val="00284601"/>
    <w:rsid w:val="00285383"/>
    <w:rsid w:val="0028665D"/>
    <w:rsid w:val="00286A63"/>
    <w:rsid w:val="002875C4"/>
    <w:rsid w:val="00287ED5"/>
    <w:rsid w:val="002910DF"/>
    <w:rsid w:val="00291CA8"/>
    <w:rsid w:val="00292E61"/>
    <w:rsid w:val="00293B77"/>
    <w:rsid w:val="00294A7C"/>
    <w:rsid w:val="0029661D"/>
    <w:rsid w:val="002972F8"/>
    <w:rsid w:val="0029789C"/>
    <w:rsid w:val="00297E64"/>
    <w:rsid w:val="002A03D6"/>
    <w:rsid w:val="002A0ED1"/>
    <w:rsid w:val="002A14AB"/>
    <w:rsid w:val="002A252B"/>
    <w:rsid w:val="002A26F0"/>
    <w:rsid w:val="002A2ADE"/>
    <w:rsid w:val="002A2B0E"/>
    <w:rsid w:val="002A2BA9"/>
    <w:rsid w:val="002A2F50"/>
    <w:rsid w:val="002A304E"/>
    <w:rsid w:val="002A3943"/>
    <w:rsid w:val="002A3E4D"/>
    <w:rsid w:val="002A425D"/>
    <w:rsid w:val="002A42E5"/>
    <w:rsid w:val="002A4F6E"/>
    <w:rsid w:val="002A5242"/>
    <w:rsid w:val="002A5FF9"/>
    <w:rsid w:val="002A7128"/>
    <w:rsid w:val="002A7ED7"/>
    <w:rsid w:val="002B0564"/>
    <w:rsid w:val="002B05A1"/>
    <w:rsid w:val="002B05BE"/>
    <w:rsid w:val="002B09A4"/>
    <w:rsid w:val="002B0C17"/>
    <w:rsid w:val="002B1781"/>
    <w:rsid w:val="002B1C1F"/>
    <w:rsid w:val="002B1CCB"/>
    <w:rsid w:val="002B26B7"/>
    <w:rsid w:val="002B37B8"/>
    <w:rsid w:val="002B432F"/>
    <w:rsid w:val="002B45FB"/>
    <w:rsid w:val="002B4609"/>
    <w:rsid w:val="002B62B3"/>
    <w:rsid w:val="002B6754"/>
    <w:rsid w:val="002B6CCE"/>
    <w:rsid w:val="002B7208"/>
    <w:rsid w:val="002C2510"/>
    <w:rsid w:val="002C2775"/>
    <w:rsid w:val="002C27C1"/>
    <w:rsid w:val="002C28B9"/>
    <w:rsid w:val="002C2CB5"/>
    <w:rsid w:val="002C3238"/>
    <w:rsid w:val="002C3679"/>
    <w:rsid w:val="002C4D0D"/>
    <w:rsid w:val="002C5099"/>
    <w:rsid w:val="002C5889"/>
    <w:rsid w:val="002C6F31"/>
    <w:rsid w:val="002C71CE"/>
    <w:rsid w:val="002D08F8"/>
    <w:rsid w:val="002D0D96"/>
    <w:rsid w:val="002D2146"/>
    <w:rsid w:val="002D3E10"/>
    <w:rsid w:val="002D48F7"/>
    <w:rsid w:val="002D4AC0"/>
    <w:rsid w:val="002D577C"/>
    <w:rsid w:val="002D5C63"/>
    <w:rsid w:val="002D60A8"/>
    <w:rsid w:val="002D7317"/>
    <w:rsid w:val="002D7B29"/>
    <w:rsid w:val="002E0888"/>
    <w:rsid w:val="002E1071"/>
    <w:rsid w:val="002E15B9"/>
    <w:rsid w:val="002E2158"/>
    <w:rsid w:val="002E22AE"/>
    <w:rsid w:val="002E4627"/>
    <w:rsid w:val="002E4F02"/>
    <w:rsid w:val="002E502C"/>
    <w:rsid w:val="002E6092"/>
    <w:rsid w:val="002E6487"/>
    <w:rsid w:val="002E656F"/>
    <w:rsid w:val="002E6D61"/>
    <w:rsid w:val="002E6E97"/>
    <w:rsid w:val="002E7722"/>
    <w:rsid w:val="002E7C73"/>
    <w:rsid w:val="002F0747"/>
    <w:rsid w:val="002F07BA"/>
    <w:rsid w:val="002F0DA9"/>
    <w:rsid w:val="002F1014"/>
    <w:rsid w:val="002F16A9"/>
    <w:rsid w:val="002F20CD"/>
    <w:rsid w:val="002F32CA"/>
    <w:rsid w:val="002F5D57"/>
    <w:rsid w:val="002F643C"/>
    <w:rsid w:val="002F71C0"/>
    <w:rsid w:val="002F740D"/>
    <w:rsid w:val="002F74F1"/>
    <w:rsid w:val="002F757B"/>
    <w:rsid w:val="0030017D"/>
    <w:rsid w:val="0030053D"/>
    <w:rsid w:val="00300B2F"/>
    <w:rsid w:val="00301017"/>
    <w:rsid w:val="0030155F"/>
    <w:rsid w:val="0030177D"/>
    <w:rsid w:val="00301948"/>
    <w:rsid w:val="00302A13"/>
    <w:rsid w:val="0030587B"/>
    <w:rsid w:val="00306ABF"/>
    <w:rsid w:val="00306D98"/>
    <w:rsid w:val="00306F54"/>
    <w:rsid w:val="00307191"/>
    <w:rsid w:val="0030786C"/>
    <w:rsid w:val="0031031A"/>
    <w:rsid w:val="003107CF"/>
    <w:rsid w:val="00310981"/>
    <w:rsid w:val="00311D05"/>
    <w:rsid w:val="003124D9"/>
    <w:rsid w:val="00312594"/>
    <w:rsid w:val="003127B1"/>
    <w:rsid w:val="00312AFA"/>
    <w:rsid w:val="00312D18"/>
    <w:rsid w:val="00315498"/>
    <w:rsid w:val="0031556E"/>
    <w:rsid w:val="00316474"/>
    <w:rsid w:val="00317555"/>
    <w:rsid w:val="00322107"/>
    <w:rsid w:val="00322355"/>
    <w:rsid w:val="00322846"/>
    <w:rsid w:val="0032321A"/>
    <w:rsid w:val="003233E4"/>
    <w:rsid w:val="00323416"/>
    <w:rsid w:val="00324D8A"/>
    <w:rsid w:val="0032649C"/>
    <w:rsid w:val="00326DA7"/>
    <w:rsid w:val="003270E4"/>
    <w:rsid w:val="00327548"/>
    <w:rsid w:val="00327794"/>
    <w:rsid w:val="00327B8D"/>
    <w:rsid w:val="00330083"/>
    <w:rsid w:val="00330B36"/>
    <w:rsid w:val="00330DAA"/>
    <w:rsid w:val="00330F5C"/>
    <w:rsid w:val="00332084"/>
    <w:rsid w:val="00333103"/>
    <w:rsid w:val="00335718"/>
    <w:rsid w:val="003362B2"/>
    <w:rsid w:val="003366C9"/>
    <w:rsid w:val="00336F88"/>
    <w:rsid w:val="003371B0"/>
    <w:rsid w:val="003372F7"/>
    <w:rsid w:val="00337855"/>
    <w:rsid w:val="00337B8E"/>
    <w:rsid w:val="00340DF1"/>
    <w:rsid w:val="00340EF3"/>
    <w:rsid w:val="00341208"/>
    <w:rsid w:val="00343203"/>
    <w:rsid w:val="0034379D"/>
    <w:rsid w:val="00343BCC"/>
    <w:rsid w:val="00343D8D"/>
    <w:rsid w:val="00344AF1"/>
    <w:rsid w:val="00344F0B"/>
    <w:rsid w:val="003452B1"/>
    <w:rsid w:val="00345E05"/>
    <w:rsid w:val="00346BA2"/>
    <w:rsid w:val="00347463"/>
    <w:rsid w:val="0034756F"/>
    <w:rsid w:val="00347672"/>
    <w:rsid w:val="0035073D"/>
    <w:rsid w:val="00350B9A"/>
    <w:rsid w:val="003517F9"/>
    <w:rsid w:val="00351BA9"/>
    <w:rsid w:val="00352259"/>
    <w:rsid w:val="00354F64"/>
    <w:rsid w:val="003550A9"/>
    <w:rsid w:val="0035620E"/>
    <w:rsid w:val="003567BD"/>
    <w:rsid w:val="00357372"/>
    <w:rsid w:val="00357AE4"/>
    <w:rsid w:val="00357F5A"/>
    <w:rsid w:val="0036007C"/>
    <w:rsid w:val="00360345"/>
    <w:rsid w:val="00360BC4"/>
    <w:rsid w:val="00361A05"/>
    <w:rsid w:val="003624C4"/>
    <w:rsid w:val="00363B00"/>
    <w:rsid w:val="00363CDF"/>
    <w:rsid w:val="003654AC"/>
    <w:rsid w:val="00366015"/>
    <w:rsid w:val="00370DBC"/>
    <w:rsid w:val="00370FAC"/>
    <w:rsid w:val="003710CF"/>
    <w:rsid w:val="003715F3"/>
    <w:rsid w:val="00371BD6"/>
    <w:rsid w:val="0037276C"/>
    <w:rsid w:val="0037358A"/>
    <w:rsid w:val="003740F6"/>
    <w:rsid w:val="0037416D"/>
    <w:rsid w:val="003747AD"/>
    <w:rsid w:val="0037490C"/>
    <w:rsid w:val="003750F6"/>
    <w:rsid w:val="00375F75"/>
    <w:rsid w:val="003760FC"/>
    <w:rsid w:val="003761C5"/>
    <w:rsid w:val="003766EB"/>
    <w:rsid w:val="00377D87"/>
    <w:rsid w:val="00381269"/>
    <w:rsid w:val="003812C1"/>
    <w:rsid w:val="003819C1"/>
    <w:rsid w:val="00382A5B"/>
    <w:rsid w:val="0038365C"/>
    <w:rsid w:val="0038369B"/>
    <w:rsid w:val="00383822"/>
    <w:rsid w:val="00383B78"/>
    <w:rsid w:val="00385A9D"/>
    <w:rsid w:val="00386B86"/>
    <w:rsid w:val="0038709E"/>
    <w:rsid w:val="00387745"/>
    <w:rsid w:val="003902B1"/>
    <w:rsid w:val="00390457"/>
    <w:rsid w:val="0039056D"/>
    <w:rsid w:val="0039179C"/>
    <w:rsid w:val="003929BF"/>
    <w:rsid w:val="00392A91"/>
    <w:rsid w:val="00394039"/>
    <w:rsid w:val="00394859"/>
    <w:rsid w:val="00394C4E"/>
    <w:rsid w:val="003954C8"/>
    <w:rsid w:val="00395583"/>
    <w:rsid w:val="00396896"/>
    <w:rsid w:val="003969BF"/>
    <w:rsid w:val="00396FD0"/>
    <w:rsid w:val="003A10ED"/>
    <w:rsid w:val="003A11C1"/>
    <w:rsid w:val="003A1A7A"/>
    <w:rsid w:val="003A2392"/>
    <w:rsid w:val="003A2831"/>
    <w:rsid w:val="003A3AD2"/>
    <w:rsid w:val="003A3CB6"/>
    <w:rsid w:val="003A3ED1"/>
    <w:rsid w:val="003A44DB"/>
    <w:rsid w:val="003A4E68"/>
    <w:rsid w:val="003A5D10"/>
    <w:rsid w:val="003A6B60"/>
    <w:rsid w:val="003A6E07"/>
    <w:rsid w:val="003A7F4F"/>
    <w:rsid w:val="003B019B"/>
    <w:rsid w:val="003B035B"/>
    <w:rsid w:val="003B0840"/>
    <w:rsid w:val="003B179C"/>
    <w:rsid w:val="003B3971"/>
    <w:rsid w:val="003B44A4"/>
    <w:rsid w:val="003B4EB3"/>
    <w:rsid w:val="003B55D1"/>
    <w:rsid w:val="003B5B61"/>
    <w:rsid w:val="003B68D6"/>
    <w:rsid w:val="003B76D2"/>
    <w:rsid w:val="003C07A7"/>
    <w:rsid w:val="003C1654"/>
    <w:rsid w:val="003C1748"/>
    <w:rsid w:val="003C1F62"/>
    <w:rsid w:val="003C42EF"/>
    <w:rsid w:val="003C5542"/>
    <w:rsid w:val="003C6A34"/>
    <w:rsid w:val="003C7186"/>
    <w:rsid w:val="003C7D19"/>
    <w:rsid w:val="003C7D2F"/>
    <w:rsid w:val="003D0CE3"/>
    <w:rsid w:val="003D1454"/>
    <w:rsid w:val="003D1828"/>
    <w:rsid w:val="003D1DE4"/>
    <w:rsid w:val="003D1E9A"/>
    <w:rsid w:val="003D2422"/>
    <w:rsid w:val="003D2CAE"/>
    <w:rsid w:val="003D39A1"/>
    <w:rsid w:val="003D3B14"/>
    <w:rsid w:val="003D3FBF"/>
    <w:rsid w:val="003D499B"/>
    <w:rsid w:val="003D4A30"/>
    <w:rsid w:val="003D6DD1"/>
    <w:rsid w:val="003D72FE"/>
    <w:rsid w:val="003D735D"/>
    <w:rsid w:val="003D7452"/>
    <w:rsid w:val="003D79BB"/>
    <w:rsid w:val="003D7A10"/>
    <w:rsid w:val="003D7C98"/>
    <w:rsid w:val="003D7D9D"/>
    <w:rsid w:val="003E0543"/>
    <w:rsid w:val="003E0C55"/>
    <w:rsid w:val="003E1126"/>
    <w:rsid w:val="003E2EAC"/>
    <w:rsid w:val="003E6958"/>
    <w:rsid w:val="003E6AD7"/>
    <w:rsid w:val="003E6E5B"/>
    <w:rsid w:val="003E749E"/>
    <w:rsid w:val="003E7E7D"/>
    <w:rsid w:val="003F08ED"/>
    <w:rsid w:val="003F15DF"/>
    <w:rsid w:val="003F1D84"/>
    <w:rsid w:val="003F3BF0"/>
    <w:rsid w:val="003F4156"/>
    <w:rsid w:val="003F4D22"/>
    <w:rsid w:val="003F5743"/>
    <w:rsid w:val="003F5ADF"/>
    <w:rsid w:val="003F69D0"/>
    <w:rsid w:val="00400B29"/>
    <w:rsid w:val="00402662"/>
    <w:rsid w:val="004029A1"/>
    <w:rsid w:val="0040388A"/>
    <w:rsid w:val="00403FC8"/>
    <w:rsid w:val="00404779"/>
    <w:rsid w:val="0040504B"/>
    <w:rsid w:val="004059F4"/>
    <w:rsid w:val="0040608E"/>
    <w:rsid w:val="00406522"/>
    <w:rsid w:val="004073FF"/>
    <w:rsid w:val="00407585"/>
    <w:rsid w:val="00407DD2"/>
    <w:rsid w:val="00407FE5"/>
    <w:rsid w:val="004101B0"/>
    <w:rsid w:val="00410326"/>
    <w:rsid w:val="00410708"/>
    <w:rsid w:val="00410E6E"/>
    <w:rsid w:val="00410EC7"/>
    <w:rsid w:val="0041100A"/>
    <w:rsid w:val="004117B9"/>
    <w:rsid w:val="00411B39"/>
    <w:rsid w:val="00411BB3"/>
    <w:rsid w:val="00411DF7"/>
    <w:rsid w:val="00412374"/>
    <w:rsid w:val="004126BD"/>
    <w:rsid w:val="004127A7"/>
    <w:rsid w:val="00412B91"/>
    <w:rsid w:val="00413A1E"/>
    <w:rsid w:val="00414476"/>
    <w:rsid w:val="00414C2E"/>
    <w:rsid w:val="004151CF"/>
    <w:rsid w:val="00415E08"/>
    <w:rsid w:val="00416364"/>
    <w:rsid w:val="00416D21"/>
    <w:rsid w:val="0042047F"/>
    <w:rsid w:val="00420AA6"/>
    <w:rsid w:val="00420B9F"/>
    <w:rsid w:val="0042192C"/>
    <w:rsid w:val="00421AF9"/>
    <w:rsid w:val="00422260"/>
    <w:rsid w:val="00422BF3"/>
    <w:rsid w:val="00423E88"/>
    <w:rsid w:val="0042413F"/>
    <w:rsid w:val="00424EBB"/>
    <w:rsid w:val="00424FCD"/>
    <w:rsid w:val="004256B4"/>
    <w:rsid w:val="004262A2"/>
    <w:rsid w:val="00426952"/>
    <w:rsid w:val="00427275"/>
    <w:rsid w:val="00430438"/>
    <w:rsid w:val="00430C26"/>
    <w:rsid w:val="004314A3"/>
    <w:rsid w:val="004319F8"/>
    <w:rsid w:val="00431A14"/>
    <w:rsid w:val="00431E55"/>
    <w:rsid w:val="0043205F"/>
    <w:rsid w:val="004321F6"/>
    <w:rsid w:val="00433044"/>
    <w:rsid w:val="00434088"/>
    <w:rsid w:val="00434E5C"/>
    <w:rsid w:val="00435B01"/>
    <w:rsid w:val="00436885"/>
    <w:rsid w:val="00436F3E"/>
    <w:rsid w:val="00436FF9"/>
    <w:rsid w:val="004375B9"/>
    <w:rsid w:val="0043764E"/>
    <w:rsid w:val="004405A7"/>
    <w:rsid w:val="00440959"/>
    <w:rsid w:val="00441A2B"/>
    <w:rsid w:val="004428D0"/>
    <w:rsid w:val="004431D0"/>
    <w:rsid w:val="004439C7"/>
    <w:rsid w:val="00444185"/>
    <w:rsid w:val="004443A7"/>
    <w:rsid w:val="0044442C"/>
    <w:rsid w:val="0044483A"/>
    <w:rsid w:val="0044565B"/>
    <w:rsid w:val="00445941"/>
    <w:rsid w:val="00446376"/>
    <w:rsid w:val="004464EB"/>
    <w:rsid w:val="00447D26"/>
    <w:rsid w:val="00447DFC"/>
    <w:rsid w:val="00451C36"/>
    <w:rsid w:val="00452C62"/>
    <w:rsid w:val="00455D45"/>
    <w:rsid w:val="004560D3"/>
    <w:rsid w:val="00456F13"/>
    <w:rsid w:val="0046062D"/>
    <w:rsid w:val="00461428"/>
    <w:rsid w:val="00461B41"/>
    <w:rsid w:val="00461B58"/>
    <w:rsid w:val="00461BA4"/>
    <w:rsid w:val="004628FF"/>
    <w:rsid w:val="004638FD"/>
    <w:rsid w:val="00464595"/>
    <w:rsid w:val="00464862"/>
    <w:rsid w:val="00464975"/>
    <w:rsid w:val="00464EBF"/>
    <w:rsid w:val="00465895"/>
    <w:rsid w:val="004658B5"/>
    <w:rsid w:val="00465EDD"/>
    <w:rsid w:val="00466705"/>
    <w:rsid w:val="00470A79"/>
    <w:rsid w:val="00470D6F"/>
    <w:rsid w:val="004715E9"/>
    <w:rsid w:val="00471EA5"/>
    <w:rsid w:val="00472A79"/>
    <w:rsid w:val="00472AFA"/>
    <w:rsid w:val="00473735"/>
    <w:rsid w:val="00473A81"/>
    <w:rsid w:val="00473F19"/>
    <w:rsid w:val="0047569E"/>
    <w:rsid w:val="00475E22"/>
    <w:rsid w:val="00476800"/>
    <w:rsid w:val="0048088E"/>
    <w:rsid w:val="00480CD5"/>
    <w:rsid w:val="00480F2B"/>
    <w:rsid w:val="004812E2"/>
    <w:rsid w:val="004815A4"/>
    <w:rsid w:val="00482720"/>
    <w:rsid w:val="00482AF4"/>
    <w:rsid w:val="00482CF9"/>
    <w:rsid w:val="004835E7"/>
    <w:rsid w:val="00483A5A"/>
    <w:rsid w:val="00483AD9"/>
    <w:rsid w:val="00484856"/>
    <w:rsid w:val="00485EDB"/>
    <w:rsid w:val="00485FFE"/>
    <w:rsid w:val="004863BA"/>
    <w:rsid w:val="004867E2"/>
    <w:rsid w:val="00490272"/>
    <w:rsid w:val="00490B17"/>
    <w:rsid w:val="00491B3A"/>
    <w:rsid w:val="00492191"/>
    <w:rsid w:val="00492CFD"/>
    <w:rsid w:val="00494207"/>
    <w:rsid w:val="00494AC1"/>
    <w:rsid w:val="00494DD5"/>
    <w:rsid w:val="00495077"/>
    <w:rsid w:val="004962D2"/>
    <w:rsid w:val="004966A1"/>
    <w:rsid w:val="00497236"/>
    <w:rsid w:val="00497307"/>
    <w:rsid w:val="004A06FE"/>
    <w:rsid w:val="004A0C75"/>
    <w:rsid w:val="004A0DA1"/>
    <w:rsid w:val="004A13D6"/>
    <w:rsid w:val="004A32F5"/>
    <w:rsid w:val="004A3934"/>
    <w:rsid w:val="004A52E9"/>
    <w:rsid w:val="004A5365"/>
    <w:rsid w:val="004A6040"/>
    <w:rsid w:val="004A6597"/>
    <w:rsid w:val="004A700E"/>
    <w:rsid w:val="004A7848"/>
    <w:rsid w:val="004A7A8E"/>
    <w:rsid w:val="004B0AC3"/>
    <w:rsid w:val="004B0B5C"/>
    <w:rsid w:val="004B0BEE"/>
    <w:rsid w:val="004B1270"/>
    <w:rsid w:val="004B1CB4"/>
    <w:rsid w:val="004B257F"/>
    <w:rsid w:val="004B2F18"/>
    <w:rsid w:val="004B3454"/>
    <w:rsid w:val="004B3DDB"/>
    <w:rsid w:val="004B44FD"/>
    <w:rsid w:val="004B4586"/>
    <w:rsid w:val="004B4851"/>
    <w:rsid w:val="004B568F"/>
    <w:rsid w:val="004B5CFC"/>
    <w:rsid w:val="004B6F27"/>
    <w:rsid w:val="004B6F79"/>
    <w:rsid w:val="004B774D"/>
    <w:rsid w:val="004C1632"/>
    <w:rsid w:val="004C2365"/>
    <w:rsid w:val="004C4113"/>
    <w:rsid w:val="004C490A"/>
    <w:rsid w:val="004C4AED"/>
    <w:rsid w:val="004C5522"/>
    <w:rsid w:val="004C5535"/>
    <w:rsid w:val="004C55D2"/>
    <w:rsid w:val="004D07FD"/>
    <w:rsid w:val="004D0B5A"/>
    <w:rsid w:val="004D2C2D"/>
    <w:rsid w:val="004D3061"/>
    <w:rsid w:val="004D3081"/>
    <w:rsid w:val="004D310C"/>
    <w:rsid w:val="004D36DE"/>
    <w:rsid w:val="004D4CF7"/>
    <w:rsid w:val="004D6653"/>
    <w:rsid w:val="004D69B5"/>
    <w:rsid w:val="004D6F11"/>
    <w:rsid w:val="004D7227"/>
    <w:rsid w:val="004D7BFC"/>
    <w:rsid w:val="004E0690"/>
    <w:rsid w:val="004E0A87"/>
    <w:rsid w:val="004E0E7F"/>
    <w:rsid w:val="004E0EB8"/>
    <w:rsid w:val="004E151E"/>
    <w:rsid w:val="004E18E9"/>
    <w:rsid w:val="004E26CA"/>
    <w:rsid w:val="004E2ADC"/>
    <w:rsid w:val="004E2BB6"/>
    <w:rsid w:val="004E3CF8"/>
    <w:rsid w:val="004E43B2"/>
    <w:rsid w:val="004E4C94"/>
    <w:rsid w:val="004E5B4A"/>
    <w:rsid w:val="004E76CE"/>
    <w:rsid w:val="004F111A"/>
    <w:rsid w:val="004F184A"/>
    <w:rsid w:val="004F1D02"/>
    <w:rsid w:val="004F215C"/>
    <w:rsid w:val="004F2679"/>
    <w:rsid w:val="004F2F21"/>
    <w:rsid w:val="004F3DE5"/>
    <w:rsid w:val="004F60A5"/>
    <w:rsid w:val="004F64A9"/>
    <w:rsid w:val="004F6913"/>
    <w:rsid w:val="004F700A"/>
    <w:rsid w:val="004F7865"/>
    <w:rsid w:val="0050000E"/>
    <w:rsid w:val="0050174E"/>
    <w:rsid w:val="00501854"/>
    <w:rsid w:val="0050219B"/>
    <w:rsid w:val="005029D4"/>
    <w:rsid w:val="00503464"/>
    <w:rsid w:val="005039CE"/>
    <w:rsid w:val="00503F17"/>
    <w:rsid w:val="00504B95"/>
    <w:rsid w:val="00504E65"/>
    <w:rsid w:val="0050590B"/>
    <w:rsid w:val="00506011"/>
    <w:rsid w:val="00506928"/>
    <w:rsid w:val="00506D44"/>
    <w:rsid w:val="005077EF"/>
    <w:rsid w:val="00507FCD"/>
    <w:rsid w:val="00511AD5"/>
    <w:rsid w:val="00511AE6"/>
    <w:rsid w:val="00511DC7"/>
    <w:rsid w:val="005121D7"/>
    <w:rsid w:val="005125AC"/>
    <w:rsid w:val="00512F40"/>
    <w:rsid w:val="005136B1"/>
    <w:rsid w:val="0051370D"/>
    <w:rsid w:val="0051375F"/>
    <w:rsid w:val="00513DC7"/>
    <w:rsid w:val="005142C5"/>
    <w:rsid w:val="0051473B"/>
    <w:rsid w:val="0051501B"/>
    <w:rsid w:val="005152B5"/>
    <w:rsid w:val="00515FAA"/>
    <w:rsid w:val="00516E97"/>
    <w:rsid w:val="005170DE"/>
    <w:rsid w:val="0052123C"/>
    <w:rsid w:val="00521319"/>
    <w:rsid w:val="00521328"/>
    <w:rsid w:val="00522010"/>
    <w:rsid w:val="00522BC8"/>
    <w:rsid w:val="00523060"/>
    <w:rsid w:val="0052380A"/>
    <w:rsid w:val="00523B5F"/>
    <w:rsid w:val="00523C28"/>
    <w:rsid w:val="00524AC7"/>
    <w:rsid w:val="00530311"/>
    <w:rsid w:val="00530402"/>
    <w:rsid w:val="0053176B"/>
    <w:rsid w:val="005327DD"/>
    <w:rsid w:val="00533F56"/>
    <w:rsid w:val="0053529A"/>
    <w:rsid w:val="005360A8"/>
    <w:rsid w:val="00536C99"/>
    <w:rsid w:val="00536F42"/>
    <w:rsid w:val="00537182"/>
    <w:rsid w:val="00537D20"/>
    <w:rsid w:val="0054194E"/>
    <w:rsid w:val="005419E9"/>
    <w:rsid w:val="00541EDD"/>
    <w:rsid w:val="00542126"/>
    <w:rsid w:val="00542743"/>
    <w:rsid w:val="00542B79"/>
    <w:rsid w:val="00542C2D"/>
    <w:rsid w:val="00542DCA"/>
    <w:rsid w:val="00542FD1"/>
    <w:rsid w:val="00543BF9"/>
    <w:rsid w:val="00544559"/>
    <w:rsid w:val="005457D0"/>
    <w:rsid w:val="0054693E"/>
    <w:rsid w:val="00546A6F"/>
    <w:rsid w:val="005478BD"/>
    <w:rsid w:val="005479E3"/>
    <w:rsid w:val="00550C0C"/>
    <w:rsid w:val="0055174D"/>
    <w:rsid w:val="00551934"/>
    <w:rsid w:val="00551985"/>
    <w:rsid w:val="00551A5E"/>
    <w:rsid w:val="005525F3"/>
    <w:rsid w:val="00552BD3"/>
    <w:rsid w:val="0055314C"/>
    <w:rsid w:val="005532A0"/>
    <w:rsid w:val="00553684"/>
    <w:rsid w:val="0055379C"/>
    <w:rsid w:val="00554A5C"/>
    <w:rsid w:val="00555109"/>
    <w:rsid w:val="00555D65"/>
    <w:rsid w:val="00556B35"/>
    <w:rsid w:val="005572F1"/>
    <w:rsid w:val="0055741A"/>
    <w:rsid w:val="00557D60"/>
    <w:rsid w:val="00560782"/>
    <w:rsid w:val="005611B7"/>
    <w:rsid w:val="005618D4"/>
    <w:rsid w:val="00562D11"/>
    <w:rsid w:val="005638FA"/>
    <w:rsid w:val="00563AB8"/>
    <w:rsid w:val="00563BFB"/>
    <w:rsid w:val="00564F4E"/>
    <w:rsid w:val="0056500B"/>
    <w:rsid w:val="005656FD"/>
    <w:rsid w:val="00565DF0"/>
    <w:rsid w:val="0056696F"/>
    <w:rsid w:val="00567AD3"/>
    <w:rsid w:val="00571632"/>
    <w:rsid w:val="00571AC0"/>
    <w:rsid w:val="00571E4F"/>
    <w:rsid w:val="00572269"/>
    <w:rsid w:val="0057244A"/>
    <w:rsid w:val="0057296A"/>
    <w:rsid w:val="00572F26"/>
    <w:rsid w:val="0057313C"/>
    <w:rsid w:val="00573ED2"/>
    <w:rsid w:val="00573EF4"/>
    <w:rsid w:val="005744D1"/>
    <w:rsid w:val="005748EC"/>
    <w:rsid w:val="00574998"/>
    <w:rsid w:val="005750C5"/>
    <w:rsid w:val="005752DE"/>
    <w:rsid w:val="00575D8D"/>
    <w:rsid w:val="005765ED"/>
    <w:rsid w:val="005768A1"/>
    <w:rsid w:val="00576972"/>
    <w:rsid w:val="00577796"/>
    <w:rsid w:val="00577861"/>
    <w:rsid w:val="00577C7C"/>
    <w:rsid w:val="00580D8F"/>
    <w:rsid w:val="0058113F"/>
    <w:rsid w:val="00581CEA"/>
    <w:rsid w:val="00583039"/>
    <w:rsid w:val="00583699"/>
    <w:rsid w:val="00583847"/>
    <w:rsid w:val="00583BCF"/>
    <w:rsid w:val="00585CDD"/>
    <w:rsid w:val="005860A0"/>
    <w:rsid w:val="00586A59"/>
    <w:rsid w:val="00587058"/>
    <w:rsid w:val="005904EC"/>
    <w:rsid w:val="00591579"/>
    <w:rsid w:val="00591957"/>
    <w:rsid w:val="00591A02"/>
    <w:rsid w:val="00591C02"/>
    <w:rsid w:val="00592E30"/>
    <w:rsid w:val="00593C52"/>
    <w:rsid w:val="00593D01"/>
    <w:rsid w:val="00594717"/>
    <w:rsid w:val="00596F61"/>
    <w:rsid w:val="00597B3B"/>
    <w:rsid w:val="00597BF9"/>
    <w:rsid w:val="005A309A"/>
    <w:rsid w:val="005A373D"/>
    <w:rsid w:val="005B0B58"/>
    <w:rsid w:val="005B0D9A"/>
    <w:rsid w:val="005B24F5"/>
    <w:rsid w:val="005B288B"/>
    <w:rsid w:val="005B294C"/>
    <w:rsid w:val="005B2C4E"/>
    <w:rsid w:val="005B3BA2"/>
    <w:rsid w:val="005B4984"/>
    <w:rsid w:val="005B4B8B"/>
    <w:rsid w:val="005B4E53"/>
    <w:rsid w:val="005B5116"/>
    <w:rsid w:val="005B5857"/>
    <w:rsid w:val="005B58F3"/>
    <w:rsid w:val="005B77B1"/>
    <w:rsid w:val="005B7ADD"/>
    <w:rsid w:val="005C0182"/>
    <w:rsid w:val="005C198E"/>
    <w:rsid w:val="005C1B83"/>
    <w:rsid w:val="005C1DFE"/>
    <w:rsid w:val="005C25FF"/>
    <w:rsid w:val="005C280C"/>
    <w:rsid w:val="005C2D55"/>
    <w:rsid w:val="005C346B"/>
    <w:rsid w:val="005C401C"/>
    <w:rsid w:val="005C718C"/>
    <w:rsid w:val="005C7644"/>
    <w:rsid w:val="005D044D"/>
    <w:rsid w:val="005D0ABD"/>
    <w:rsid w:val="005D18AB"/>
    <w:rsid w:val="005D18AD"/>
    <w:rsid w:val="005D26B4"/>
    <w:rsid w:val="005D27F0"/>
    <w:rsid w:val="005D2982"/>
    <w:rsid w:val="005D3F80"/>
    <w:rsid w:val="005D4583"/>
    <w:rsid w:val="005E05AF"/>
    <w:rsid w:val="005E0AC8"/>
    <w:rsid w:val="005E0E1E"/>
    <w:rsid w:val="005E1A27"/>
    <w:rsid w:val="005E1BA4"/>
    <w:rsid w:val="005E225A"/>
    <w:rsid w:val="005E3FDA"/>
    <w:rsid w:val="005E530B"/>
    <w:rsid w:val="005E5BB7"/>
    <w:rsid w:val="005E6CBC"/>
    <w:rsid w:val="005E6F8E"/>
    <w:rsid w:val="005E72AF"/>
    <w:rsid w:val="005E72FF"/>
    <w:rsid w:val="005E73C0"/>
    <w:rsid w:val="005F16FD"/>
    <w:rsid w:val="005F2706"/>
    <w:rsid w:val="005F35C8"/>
    <w:rsid w:val="005F405D"/>
    <w:rsid w:val="005F56A2"/>
    <w:rsid w:val="005F5B58"/>
    <w:rsid w:val="005F6804"/>
    <w:rsid w:val="005F68BD"/>
    <w:rsid w:val="005F6A8F"/>
    <w:rsid w:val="005F6BB7"/>
    <w:rsid w:val="005F6E28"/>
    <w:rsid w:val="005F71D2"/>
    <w:rsid w:val="005F7588"/>
    <w:rsid w:val="00600530"/>
    <w:rsid w:val="006009EF"/>
    <w:rsid w:val="00600A43"/>
    <w:rsid w:val="00600B11"/>
    <w:rsid w:val="00600DF3"/>
    <w:rsid w:val="00603DB9"/>
    <w:rsid w:val="006042C8"/>
    <w:rsid w:val="0060540F"/>
    <w:rsid w:val="00606FBA"/>
    <w:rsid w:val="00607669"/>
    <w:rsid w:val="006076F4"/>
    <w:rsid w:val="006077B1"/>
    <w:rsid w:val="006079BD"/>
    <w:rsid w:val="00607AFD"/>
    <w:rsid w:val="00610EDC"/>
    <w:rsid w:val="00611D56"/>
    <w:rsid w:val="00612516"/>
    <w:rsid w:val="00612F97"/>
    <w:rsid w:val="0061345D"/>
    <w:rsid w:val="00613D03"/>
    <w:rsid w:val="006141B3"/>
    <w:rsid w:val="00614907"/>
    <w:rsid w:val="0061549B"/>
    <w:rsid w:val="00616802"/>
    <w:rsid w:val="00617687"/>
    <w:rsid w:val="00617AC6"/>
    <w:rsid w:val="00617E12"/>
    <w:rsid w:val="00620952"/>
    <w:rsid w:val="00620C25"/>
    <w:rsid w:val="00621477"/>
    <w:rsid w:val="00621ADA"/>
    <w:rsid w:val="006226F4"/>
    <w:rsid w:val="0062289A"/>
    <w:rsid w:val="006229CF"/>
    <w:rsid w:val="006233C1"/>
    <w:rsid w:val="00623D92"/>
    <w:rsid w:val="00623F7B"/>
    <w:rsid w:val="006243E1"/>
    <w:rsid w:val="00626178"/>
    <w:rsid w:val="00627088"/>
    <w:rsid w:val="00630262"/>
    <w:rsid w:val="006304B9"/>
    <w:rsid w:val="0063158F"/>
    <w:rsid w:val="00631D6B"/>
    <w:rsid w:val="00631E82"/>
    <w:rsid w:val="00632183"/>
    <w:rsid w:val="006330A1"/>
    <w:rsid w:val="006333B9"/>
    <w:rsid w:val="0063479F"/>
    <w:rsid w:val="00634C69"/>
    <w:rsid w:val="00635328"/>
    <w:rsid w:val="006353F0"/>
    <w:rsid w:val="006357B5"/>
    <w:rsid w:val="006359AB"/>
    <w:rsid w:val="0063609E"/>
    <w:rsid w:val="00636146"/>
    <w:rsid w:val="006364A1"/>
    <w:rsid w:val="0063678E"/>
    <w:rsid w:val="00637547"/>
    <w:rsid w:val="00637BFD"/>
    <w:rsid w:val="00640D9E"/>
    <w:rsid w:val="00641BC1"/>
    <w:rsid w:val="00641C4E"/>
    <w:rsid w:val="00641FB3"/>
    <w:rsid w:val="006438FD"/>
    <w:rsid w:val="0064434C"/>
    <w:rsid w:val="0064465A"/>
    <w:rsid w:val="00644897"/>
    <w:rsid w:val="00644F73"/>
    <w:rsid w:val="00645551"/>
    <w:rsid w:val="00645B7A"/>
    <w:rsid w:val="00646021"/>
    <w:rsid w:val="00646359"/>
    <w:rsid w:val="0064679D"/>
    <w:rsid w:val="006467B8"/>
    <w:rsid w:val="006471CC"/>
    <w:rsid w:val="00647A29"/>
    <w:rsid w:val="0065079F"/>
    <w:rsid w:val="00652182"/>
    <w:rsid w:val="00652A28"/>
    <w:rsid w:val="0065371C"/>
    <w:rsid w:val="0065379F"/>
    <w:rsid w:val="006542F6"/>
    <w:rsid w:val="006550FE"/>
    <w:rsid w:val="00655880"/>
    <w:rsid w:val="00656188"/>
    <w:rsid w:val="00656483"/>
    <w:rsid w:val="0065715A"/>
    <w:rsid w:val="006575C7"/>
    <w:rsid w:val="00657F44"/>
    <w:rsid w:val="00660925"/>
    <w:rsid w:val="00660B0D"/>
    <w:rsid w:val="00660FC5"/>
    <w:rsid w:val="006610F1"/>
    <w:rsid w:val="00661669"/>
    <w:rsid w:val="00661C6B"/>
    <w:rsid w:val="00662979"/>
    <w:rsid w:val="00662B02"/>
    <w:rsid w:val="00663434"/>
    <w:rsid w:val="00664834"/>
    <w:rsid w:val="00664A57"/>
    <w:rsid w:val="00665D30"/>
    <w:rsid w:val="0066678F"/>
    <w:rsid w:val="00667A5D"/>
    <w:rsid w:val="00671004"/>
    <w:rsid w:val="0067165F"/>
    <w:rsid w:val="00672646"/>
    <w:rsid w:val="00673167"/>
    <w:rsid w:val="00674DE3"/>
    <w:rsid w:val="00674E42"/>
    <w:rsid w:val="00674F0B"/>
    <w:rsid w:val="00675187"/>
    <w:rsid w:val="006753AB"/>
    <w:rsid w:val="006755FE"/>
    <w:rsid w:val="00676207"/>
    <w:rsid w:val="00677174"/>
    <w:rsid w:val="00677926"/>
    <w:rsid w:val="00681263"/>
    <w:rsid w:val="006812D3"/>
    <w:rsid w:val="006813F8"/>
    <w:rsid w:val="00682112"/>
    <w:rsid w:val="00682BA6"/>
    <w:rsid w:val="00685093"/>
    <w:rsid w:val="00686957"/>
    <w:rsid w:val="0068707C"/>
    <w:rsid w:val="006872BA"/>
    <w:rsid w:val="00690795"/>
    <w:rsid w:val="00691648"/>
    <w:rsid w:val="006917D7"/>
    <w:rsid w:val="006936AD"/>
    <w:rsid w:val="00693B22"/>
    <w:rsid w:val="00693E4A"/>
    <w:rsid w:val="006940A2"/>
    <w:rsid w:val="0069434C"/>
    <w:rsid w:val="00694A28"/>
    <w:rsid w:val="00694D6A"/>
    <w:rsid w:val="00694F44"/>
    <w:rsid w:val="0069574C"/>
    <w:rsid w:val="00695CF3"/>
    <w:rsid w:val="00696081"/>
    <w:rsid w:val="006966FA"/>
    <w:rsid w:val="00696F51"/>
    <w:rsid w:val="0069785C"/>
    <w:rsid w:val="006979A5"/>
    <w:rsid w:val="006A2F4A"/>
    <w:rsid w:val="006A33D9"/>
    <w:rsid w:val="006A369A"/>
    <w:rsid w:val="006A3902"/>
    <w:rsid w:val="006A4898"/>
    <w:rsid w:val="006A49ED"/>
    <w:rsid w:val="006A53BE"/>
    <w:rsid w:val="006A5643"/>
    <w:rsid w:val="006A6B99"/>
    <w:rsid w:val="006A7488"/>
    <w:rsid w:val="006A7E5F"/>
    <w:rsid w:val="006B0014"/>
    <w:rsid w:val="006B0421"/>
    <w:rsid w:val="006B0EF4"/>
    <w:rsid w:val="006B0F5D"/>
    <w:rsid w:val="006B135B"/>
    <w:rsid w:val="006B24C2"/>
    <w:rsid w:val="006B2547"/>
    <w:rsid w:val="006B261B"/>
    <w:rsid w:val="006B2C61"/>
    <w:rsid w:val="006B2C90"/>
    <w:rsid w:val="006B3150"/>
    <w:rsid w:val="006B32E5"/>
    <w:rsid w:val="006B35E6"/>
    <w:rsid w:val="006B39B7"/>
    <w:rsid w:val="006B465A"/>
    <w:rsid w:val="006B49EA"/>
    <w:rsid w:val="006B5052"/>
    <w:rsid w:val="006B6DD0"/>
    <w:rsid w:val="006C0399"/>
    <w:rsid w:val="006C0919"/>
    <w:rsid w:val="006C1DC8"/>
    <w:rsid w:val="006C2084"/>
    <w:rsid w:val="006C21BB"/>
    <w:rsid w:val="006C2A8E"/>
    <w:rsid w:val="006C2C15"/>
    <w:rsid w:val="006C3255"/>
    <w:rsid w:val="006C380C"/>
    <w:rsid w:val="006C3F26"/>
    <w:rsid w:val="006C5D6E"/>
    <w:rsid w:val="006C7B1E"/>
    <w:rsid w:val="006C7BAA"/>
    <w:rsid w:val="006D010E"/>
    <w:rsid w:val="006D0D17"/>
    <w:rsid w:val="006D123A"/>
    <w:rsid w:val="006D179A"/>
    <w:rsid w:val="006D2F21"/>
    <w:rsid w:val="006D3C7D"/>
    <w:rsid w:val="006D4659"/>
    <w:rsid w:val="006D467A"/>
    <w:rsid w:val="006D5357"/>
    <w:rsid w:val="006D5C6E"/>
    <w:rsid w:val="006D5C7B"/>
    <w:rsid w:val="006D5D5F"/>
    <w:rsid w:val="006D60B4"/>
    <w:rsid w:val="006D6157"/>
    <w:rsid w:val="006D65B7"/>
    <w:rsid w:val="006D68FB"/>
    <w:rsid w:val="006E1E99"/>
    <w:rsid w:val="006E2868"/>
    <w:rsid w:val="006E4873"/>
    <w:rsid w:val="006E4A43"/>
    <w:rsid w:val="006E6168"/>
    <w:rsid w:val="006E7295"/>
    <w:rsid w:val="006E7B9F"/>
    <w:rsid w:val="006E7D91"/>
    <w:rsid w:val="006F040F"/>
    <w:rsid w:val="006F05E8"/>
    <w:rsid w:val="006F306C"/>
    <w:rsid w:val="006F53D7"/>
    <w:rsid w:val="006F57B9"/>
    <w:rsid w:val="006F62BF"/>
    <w:rsid w:val="006F63A5"/>
    <w:rsid w:val="006F6A8A"/>
    <w:rsid w:val="006F7094"/>
    <w:rsid w:val="007012DA"/>
    <w:rsid w:val="0070142B"/>
    <w:rsid w:val="0070276E"/>
    <w:rsid w:val="00702F8F"/>
    <w:rsid w:val="00703E9D"/>
    <w:rsid w:val="007041E1"/>
    <w:rsid w:val="00704791"/>
    <w:rsid w:val="007079FC"/>
    <w:rsid w:val="0071066E"/>
    <w:rsid w:val="00711A36"/>
    <w:rsid w:val="00711CE8"/>
    <w:rsid w:val="00712EB3"/>
    <w:rsid w:val="007135AB"/>
    <w:rsid w:val="00713800"/>
    <w:rsid w:val="00714A47"/>
    <w:rsid w:val="00714C26"/>
    <w:rsid w:val="0071529C"/>
    <w:rsid w:val="0071531E"/>
    <w:rsid w:val="007154BE"/>
    <w:rsid w:val="007170DA"/>
    <w:rsid w:val="007172AD"/>
    <w:rsid w:val="00720801"/>
    <w:rsid w:val="00720AAB"/>
    <w:rsid w:val="00721A7F"/>
    <w:rsid w:val="007220AE"/>
    <w:rsid w:val="00722729"/>
    <w:rsid w:val="00722786"/>
    <w:rsid w:val="00722B1B"/>
    <w:rsid w:val="0072311E"/>
    <w:rsid w:val="007236E2"/>
    <w:rsid w:val="007237E1"/>
    <w:rsid w:val="0072402E"/>
    <w:rsid w:val="0072416F"/>
    <w:rsid w:val="00725495"/>
    <w:rsid w:val="00726852"/>
    <w:rsid w:val="00726F7B"/>
    <w:rsid w:val="00727982"/>
    <w:rsid w:val="00727C94"/>
    <w:rsid w:val="00730748"/>
    <w:rsid w:val="0073076F"/>
    <w:rsid w:val="00731B0A"/>
    <w:rsid w:val="00731EAE"/>
    <w:rsid w:val="00732DA4"/>
    <w:rsid w:val="00733073"/>
    <w:rsid w:val="00733CBC"/>
    <w:rsid w:val="00733E64"/>
    <w:rsid w:val="007345C6"/>
    <w:rsid w:val="00735033"/>
    <w:rsid w:val="00735328"/>
    <w:rsid w:val="007364F8"/>
    <w:rsid w:val="0073664B"/>
    <w:rsid w:val="0073685B"/>
    <w:rsid w:val="007407C4"/>
    <w:rsid w:val="00740942"/>
    <w:rsid w:val="007410A8"/>
    <w:rsid w:val="00743157"/>
    <w:rsid w:val="007449BF"/>
    <w:rsid w:val="00744FED"/>
    <w:rsid w:val="00746BC0"/>
    <w:rsid w:val="00750BAC"/>
    <w:rsid w:val="007510B4"/>
    <w:rsid w:val="0075187D"/>
    <w:rsid w:val="00752142"/>
    <w:rsid w:val="007523F9"/>
    <w:rsid w:val="0075357E"/>
    <w:rsid w:val="007535F5"/>
    <w:rsid w:val="00753B81"/>
    <w:rsid w:val="0075621E"/>
    <w:rsid w:val="007573E8"/>
    <w:rsid w:val="0075749F"/>
    <w:rsid w:val="00760C4E"/>
    <w:rsid w:val="00760F9E"/>
    <w:rsid w:val="00761878"/>
    <w:rsid w:val="007627BE"/>
    <w:rsid w:val="00763079"/>
    <w:rsid w:val="00764444"/>
    <w:rsid w:val="00764F03"/>
    <w:rsid w:val="00764F25"/>
    <w:rsid w:val="007659ED"/>
    <w:rsid w:val="00765B1A"/>
    <w:rsid w:val="00770077"/>
    <w:rsid w:val="0077097E"/>
    <w:rsid w:val="007716EF"/>
    <w:rsid w:val="007729B6"/>
    <w:rsid w:val="00773B1B"/>
    <w:rsid w:val="007746FA"/>
    <w:rsid w:val="00774AF1"/>
    <w:rsid w:val="00775CC6"/>
    <w:rsid w:val="00775DCF"/>
    <w:rsid w:val="00776488"/>
    <w:rsid w:val="00777335"/>
    <w:rsid w:val="00780000"/>
    <w:rsid w:val="007816FF"/>
    <w:rsid w:val="0078282A"/>
    <w:rsid w:val="00782D27"/>
    <w:rsid w:val="007843F2"/>
    <w:rsid w:val="00784B45"/>
    <w:rsid w:val="00785A9F"/>
    <w:rsid w:val="00785FFA"/>
    <w:rsid w:val="007864F9"/>
    <w:rsid w:val="0078733E"/>
    <w:rsid w:val="00787C3D"/>
    <w:rsid w:val="00790AA8"/>
    <w:rsid w:val="00791C27"/>
    <w:rsid w:val="00791C44"/>
    <w:rsid w:val="007925DF"/>
    <w:rsid w:val="00792A51"/>
    <w:rsid w:val="00792FE7"/>
    <w:rsid w:val="0079328D"/>
    <w:rsid w:val="00794CC2"/>
    <w:rsid w:val="0079656A"/>
    <w:rsid w:val="007975CB"/>
    <w:rsid w:val="007A08AA"/>
    <w:rsid w:val="007A0A12"/>
    <w:rsid w:val="007A0A8F"/>
    <w:rsid w:val="007A132D"/>
    <w:rsid w:val="007A1345"/>
    <w:rsid w:val="007A29E1"/>
    <w:rsid w:val="007A2D4A"/>
    <w:rsid w:val="007A2DDB"/>
    <w:rsid w:val="007A3261"/>
    <w:rsid w:val="007A3922"/>
    <w:rsid w:val="007A3B4E"/>
    <w:rsid w:val="007A419D"/>
    <w:rsid w:val="007A428E"/>
    <w:rsid w:val="007A5EB0"/>
    <w:rsid w:val="007A70BA"/>
    <w:rsid w:val="007B0D68"/>
    <w:rsid w:val="007B0FA6"/>
    <w:rsid w:val="007B251D"/>
    <w:rsid w:val="007B38C3"/>
    <w:rsid w:val="007B3DCC"/>
    <w:rsid w:val="007B41A0"/>
    <w:rsid w:val="007B4899"/>
    <w:rsid w:val="007B4F58"/>
    <w:rsid w:val="007B528D"/>
    <w:rsid w:val="007B55FC"/>
    <w:rsid w:val="007B60BC"/>
    <w:rsid w:val="007B63CA"/>
    <w:rsid w:val="007B6768"/>
    <w:rsid w:val="007B760A"/>
    <w:rsid w:val="007B77D1"/>
    <w:rsid w:val="007B785A"/>
    <w:rsid w:val="007B7A17"/>
    <w:rsid w:val="007C07C7"/>
    <w:rsid w:val="007C196D"/>
    <w:rsid w:val="007C1CD9"/>
    <w:rsid w:val="007C1E09"/>
    <w:rsid w:val="007C2AE1"/>
    <w:rsid w:val="007C2DB9"/>
    <w:rsid w:val="007C3162"/>
    <w:rsid w:val="007C32EF"/>
    <w:rsid w:val="007C33C7"/>
    <w:rsid w:val="007C352E"/>
    <w:rsid w:val="007C361D"/>
    <w:rsid w:val="007C3CF3"/>
    <w:rsid w:val="007C3E7C"/>
    <w:rsid w:val="007C3F58"/>
    <w:rsid w:val="007C4B84"/>
    <w:rsid w:val="007C50C5"/>
    <w:rsid w:val="007C50D9"/>
    <w:rsid w:val="007C6240"/>
    <w:rsid w:val="007C69E5"/>
    <w:rsid w:val="007C7087"/>
    <w:rsid w:val="007C70FF"/>
    <w:rsid w:val="007C745E"/>
    <w:rsid w:val="007C7C25"/>
    <w:rsid w:val="007C7C49"/>
    <w:rsid w:val="007D004F"/>
    <w:rsid w:val="007D0B38"/>
    <w:rsid w:val="007D0C84"/>
    <w:rsid w:val="007D118D"/>
    <w:rsid w:val="007D2202"/>
    <w:rsid w:val="007D4FDB"/>
    <w:rsid w:val="007D5440"/>
    <w:rsid w:val="007D681D"/>
    <w:rsid w:val="007D69EB"/>
    <w:rsid w:val="007D7CD3"/>
    <w:rsid w:val="007D7EBB"/>
    <w:rsid w:val="007E0D8E"/>
    <w:rsid w:val="007E0DD8"/>
    <w:rsid w:val="007E128F"/>
    <w:rsid w:val="007E36B9"/>
    <w:rsid w:val="007E48CA"/>
    <w:rsid w:val="007E4C74"/>
    <w:rsid w:val="007E527D"/>
    <w:rsid w:val="007E5781"/>
    <w:rsid w:val="007E6A75"/>
    <w:rsid w:val="007E6FE0"/>
    <w:rsid w:val="007F04EE"/>
    <w:rsid w:val="007F1017"/>
    <w:rsid w:val="007F1E6A"/>
    <w:rsid w:val="007F2D2C"/>
    <w:rsid w:val="007F45D8"/>
    <w:rsid w:val="007F4A3F"/>
    <w:rsid w:val="007F4A61"/>
    <w:rsid w:val="007F4ABC"/>
    <w:rsid w:val="007F5255"/>
    <w:rsid w:val="007F56CC"/>
    <w:rsid w:val="007F61C2"/>
    <w:rsid w:val="007F66A6"/>
    <w:rsid w:val="007F6C6A"/>
    <w:rsid w:val="007F7085"/>
    <w:rsid w:val="007F7418"/>
    <w:rsid w:val="007F758F"/>
    <w:rsid w:val="008004AA"/>
    <w:rsid w:val="0080079C"/>
    <w:rsid w:val="00802235"/>
    <w:rsid w:val="0080261C"/>
    <w:rsid w:val="008035CC"/>
    <w:rsid w:val="0080375C"/>
    <w:rsid w:val="00805142"/>
    <w:rsid w:val="00805E7C"/>
    <w:rsid w:val="00805FCE"/>
    <w:rsid w:val="00806E76"/>
    <w:rsid w:val="00807A8B"/>
    <w:rsid w:val="00807D01"/>
    <w:rsid w:val="00810853"/>
    <w:rsid w:val="00810AB9"/>
    <w:rsid w:val="00811383"/>
    <w:rsid w:val="00812149"/>
    <w:rsid w:val="00812566"/>
    <w:rsid w:val="00812CAC"/>
    <w:rsid w:val="00813625"/>
    <w:rsid w:val="0081376E"/>
    <w:rsid w:val="008144F2"/>
    <w:rsid w:val="00814EA4"/>
    <w:rsid w:val="008151E5"/>
    <w:rsid w:val="00816361"/>
    <w:rsid w:val="008166EF"/>
    <w:rsid w:val="00816FEF"/>
    <w:rsid w:val="0081717D"/>
    <w:rsid w:val="00820A8C"/>
    <w:rsid w:val="008215FB"/>
    <w:rsid w:val="008216BC"/>
    <w:rsid w:val="00821C8E"/>
    <w:rsid w:val="00821E69"/>
    <w:rsid w:val="00822D72"/>
    <w:rsid w:val="00823174"/>
    <w:rsid w:val="0082338A"/>
    <w:rsid w:val="00825751"/>
    <w:rsid w:val="00825CB1"/>
    <w:rsid w:val="008262F4"/>
    <w:rsid w:val="008264EB"/>
    <w:rsid w:val="008264F2"/>
    <w:rsid w:val="00826AE1"/>
    <w:rsid w:val="00826D76"/>
    <w:rsid w:val="00830CF5"/>
    <w:rsid w:val="00831D79"/>
    <w:rsid w:val="0083200D"/>
    <w:rsid w:val="00832419"/>
    <w:rsid w:val="0083242B"/>
    <w:rsid w:val="008325B0"/>
    <w:rsid w:val="0083333E"/>
    <w:rsid w:val="0083345B"/>
    <w:rsid w:val="00833707"/>
    <w:rsid w:val="00833B05"/>
    <w:rsid w:val="00833E6F"/>
    <w:rsid w:val="00835360"/>
    <w:rsid w:val="008362B4"/>
    <w:rsid w:val="008374DD"/>
    <w:rsid w:val="0083757B"/>
    <w:rsid w:val="00840CA2"/>
    <w:rsid w:val="00840CF4"/>
    <w:rsid w:val="00842260"/>
    <w:rsid w:val="00842C73"/>
    <w:rsid w:val="008431CF"/>
    <w:rsid w:val="0084374F"/>
    <w:rsid w:val="00843E6E"/>
    <w:rsid w:val="0084441E"/>
    <w:rsid w:val="0084458E"/>
    <w:rsid w:val="00844A22"/>
    <w:rsid w:val="00847703"/>
    <w:rsid w:val="00847A92"/>
    <w:rsid w:val="00847DF5"/>
    <w:rsid w:val="008517BD"/>
    <w:rsid w:val="00851A3C"/>
    <w:rsid w:val="00852F34"/>
    <w:rsid w:val="0085309D"/>
    <w:rsid w:val="0085405D"/>
    <w:rsid w:val="0085420B"/>
    <w:rsid w:val="00856897"/>
    <w:rsid w:val="00856E9A"/>
    <w:rsid w:val="00857636"/>
    <w:rsid w:val="008606C5"/>
    <w:rsid w:val="0086075D"/>
    <w:rsid w:val="00862502"/>
    <w:rsid w:val="00862849"/>
    <w:rsid w:val="00862CC1"/>
    <w:rsid w:val="008639BA"/>
    <w:rsid w:val="008660D4"/>
    <w:rsid w:val="00866CFF"/>
    <w:rsid w:val="00867E45"/>
    <w:rsid w:val="00870016"/>
    <w:rsid w:val="00870B4A"/>
    <w:rsid w:val="00871293"/>
    <w:rsid w:val="00871B7A"/>
    <w:rsid w:val="00871FA9"/>
    <w:rsid w:val="008720AE"/>
    <w:rsid w:val="008722F4"/>
    <w:rsid w:val="008728E9"/>
    <w:rsid w:val="00872C37"/>
    <w:rsid w:val="00873701"/>
    <w:rsid w:val="00873D81"/>
    <w:rsid w:val="008746BE"/>
    <w:rsid w:val="0087475A"/>
    <w:rsid w:val="00875913"/>
    <w:rsid w:val="00875ACC"/>
    <w:rsid w:val="00876DAF"/>
    <w:rsid w:val="008809C1"/>
    <w:rsid w:val="00881929"/>
    <w:rsid w:val="00881B0A"/>
    <w:rsid w:val="00881E71"/>
    <w:rsid w:val="00882739"/>
    <w:rsid w:val="00882874"/>
    <w:rsid w:val="00882E3C"/>
    <w:rsid w:val="00883787"/>
    <w:rsid w:val="00884C24"/>
    <w:rsid w:val="00884D2B"/>
    <w:rsid w:val="008855E4"/>
    <w:rsid w:val="00885D90"/>
    <w:rsid w:val="00886CD2"/>
    <w:rsid w:val="008874D2"/>
    <w:rsid w:val="008907E3"/>
    <w:rsid w:val="00890808"/>
    <w:rsid w:val="00890FC3"/>
    <w:rsid w:val="0089159B"/>
    <w:rsid w:val="00891E6F"/>
    <w:rsid w:val="00892500"/>
    <w:rsid w:val="0089275D"/>
    <w:rsid w:val="00892A36"/>
    <w:rsid w:val="00892AB8"/>
    <w:rsid w:val="00893239"/>
    <w:rsid w:val="00894489"/>
    <w:rsid w:val="008954C6"/>
    <w:rsid w:val="008963A5"/>
    <w:rsid w:val="0089652B"/>
    <w:rsid w:val="00896D5D"/>
    <w:rsid w:val="00897D1F"/>
    <w:rsid w:val="00897DF2"/>
    <w:rsid w:val="008A04E9"/>
    <w:rsid w:val="008A0C0B"/>
    <w:rsid w:val="008A0D00"/>
    <w:rsid w:val="008A3363"/>
    <w:rsid w:val="008A3371"/>
    <w:rsid w:val="008A3C3E"/>
    <w:rsid w:val="008A3F3C"/>
    <w:rsid w:val="008A5975"/>
    <w:rsid w:val="008A5F45"/>
    <w:rsid w:val="008A5FC5"/>
    <w:rsid w:val="008A6356"/>
    <w:rsid w:val="008A79DE"/>
    <w:rsid w:val="008B1757"/>
    <w:rsid w:val="008B2CFC"/>
    <w:rsid w:val="008B300E"/>
    <w:rsid w:val="008B354C"/>
    <w:rsid w:val="008B3C27"/>
    <w:rsid w:val="008B4D83"/>
    <w:rsid w:val="008B53A7"/>
    <w:rsid w:val="008B731C"/>
    <w:rsid w:val="008B7992"/>
    <w:rsid w:val="008B7D7E"/>
    <w:rsid w:val="008B7EB4"/>
    <w:rsid w:val="008C0FD4"/>
    <w:rsid w:val="008C123B"/>
    <w:rsid w:val="008C2893"/>
    <w:rsid w:val="008C32B4"/>
    <w:rsid w:val="008C3917"/>
    <w:rsid w:val="008C454A"/>
    <w:rsid w:val="008C5610"/>
    <w:rsid w:val="008C5739"/>
    <w:rsid w:val="008C5FE0"/>
    <w:rsid w:val="008C6BE0"/>
    <w:rsid w:val="008C7826"/>
    <w:rsid w:val="008C7ECB"/>
    <w:rsid w:val="008D1040"/>
    <w:rsid w:val="008D11CE"/>
    <w:rsid w:val="008D3B86"/>
    <w:rsid w:val="008D4755"/>
    <w:rsid w:val="008D498A"/>
    <w:rsid w:val="008D4C3D"/>
    <w:rsid w:val="008D50DB"/>
    <w:rsid w:val="008D6484"/>
    <w:rsid w:val="008D700B"/>
    <w:rsid w:val="008D73FF"/>
    <w:rsid w:val="008D743C"/>
    <w:rsid w:val="008D7D26"/>
    <w:rsid w:val="008E0D3C"/>
    <w:rsid w:val="008E1B9E"/>
    <w:rsid w:val="008E23BC"/>
    <w:rsid w:val="008E2ADA"/>
    <w:rsid w:val="008E3247"/>
    <w:rsid w:val="008E40FB"/>
    <w:rsid w:val="008E4681"/>
    <w:rsid w:val="008E4B74"/>
    <w:rsid w:val="008E4F63"/>
    <w:rsid w:val="008E52FD"/>
    <w:rsid w:val="008E55AB"/>
    <w:rsid w:val="008E5AAD"/>
    <w:rsid w:val="008E66E5"/>
    <w:rsid w:val="008E6FA2"/>
    <w:rsid w:val="008E79A1"/>
    <w:rsid w:val="008E7F65"/>
    <w:rsid w:val="008F0552"/>
    <w:rsid w:val="008F05D1"/>
    <w:rsid w:val="008F11F7"/>
    <w:rsid w:val="008F120A"/>
    <w:rsid w:val="008F13E3"/>
    <w:rsid w:val="008F158A"/>
    <w:rsid w:val="008F1D7B"/>
    <w:rsid w:val="008F27E0"/>
    <w:rsid w:val="008F2998"/>
    <w:rsid w:val="008F2A8C"/>
    <w:rsid w:val="008F3918"/>
    <w:rsid w:val="008F48EB"/>
    <w:rsid w:val="008F4F0B"/>
    <w:rsid w:val="008F6141"/>
    <w:rsid w:val="008F683A"/>
    <w:rsid w:val="008F72A7"/>
    <w:rsid w:val="00902B82"/>
    <w:rsid w:val="009030EE"/>
    <w:rsid w:val="009046C4"/>
    <w:rsid w:val="00904C30"/>
    <w:rsid w:val="009057B9"/>
    <w:rsid w:val="009062A5"/>
    <w:rsid w:val="00907A62"/>
    <w:rsid w:val="0091081A"/>
    <w:rsid w:val="00910FA7"/>
    <w:rsid w:val="00911272"/>
    <w:rsid w:val="00912012"/>
    <w:rsid w:val="009132CC"/>
    <w:rsid w:val="009135D6"/>
    <w:rsid w:val="00913959"/>
    <w:rsid w:val="00914C77"/>
    <w:rsid w:val="009162AC"/>
    <w:rsid w:val="00916332"/>
    <w:rsid w:val="00916A6B"/>
    <w:rsid w:val="009178A8"/>
    <w:rsid w:val="00920344"/>
    <w:rsid w:val="0092076F"/>
    <w:rsid w:val="009208D6"/>
    <w:rsid w:val="00921ACB"/>
    <w:rsid w:val="00922363"/>
    <w:rsid w:val="00922D78"/>
    <w:rsid w:val="0092369B"/>
    <w:rsid w:val="00923E14"/>
    <w:rsid w:val="00924531"/>
    <w:rsid w:val="009246E6"/>
    <w:rsid w:val="00924D0E"/>
    <w:rsid w:val="00924F8C"/>
    <w:rsid w:val="00925355"/>
    <w:rsid w:val="009254FD"/>
    <w:rsid w:val="00925670"/>
    <w:rsid w:val="00925EF8"/>
    <w:rsid w:val="00926C6C"/>
    <w:rsid w:val="0092739D"/>
    <w:rsid w:val="00931219"/>
    <w:rsid w:val="009330F6"/>
    <w:rsid w:val="00933B5C"/>
    <w:rsid w:val="00933C7D"/>
    <w:rsid w:val="00934988"/>
    <w:rsid w:val="009352AF"/>
    <w:rsid w:val="00935A9C"/>
    <w:rsid w:val="00937089"/>
    <w:rsid w:val="009375A8"/>
    <w:rsid w:val="00937D4E"/>
    <w:rsid w:val="00940F22"/>
    <w:rsid w:val="0094154B"/>
    <w:rsid w:val="0094263C"/>
    <w:rsid w:val="00943BD3"/>
    <w:rsid w:val="00944BE9"/>
    <w:rsid w:val="00944F8A"/>
    <w:rsid w:val="00945EC6"/>
    <w:rsid w:val="009465AC"/>
    <w:rsid w:val="009471E6"/>
    <w:rsid w:val="009510A2"/>
    <w:rsid w:val="009511D7"/>
    <w:rsid w:val="00953257"/>
    <w:rsid w:val="00953593"/>
    <w:rsid w:val="0095474C"/>
    <w:rsid w:val="00955DEB"/>
    <w:rsid w:val="009562D1"/>
    <w:rsid w:val="00960513"/>
    <w:rsid w:val="009624FA"/>
    <w:rsid w:val="00962CB9"/>
    <w:rsid w:val="009639B7"/>
    <w:rsid w:val="00964312"/>
    <w:rsid w:val="00964C30"/>
    <w:rsid w:val="009655A5"/>
    <w:rsid w:val="00965B8A"/>
    <w:rsid w:val="00966FFA"/>
    <w:rsid w:val="00967FF2"/>
    <w:rsid w:val="0097071F"/>
    <w:rsid w:val="00970A37"/>
    <w:rsid w:val="00970AF7"/>
    <w:rsid w:val="00970D01"/>
    <w:rsid w:val="009717AC"/>
    <w:rsid w:val="00971A95"/>
    <w:rsid w:val="00971F9C"/>
    <w:rsid w:val="009738D7"/>
    <w:rsid w:val="00974524"/>
    <w:rsid w:val="009751C1"/>
    <w:rsid w:val="009801A6"/>
    <w:rsid w:val="009811F1"/>
    <w:rsid w:val="009813A6"/>
    <w:rsid w:val="00981E27"/>
    <w:rsid w:val="00982AE8"/>
    <w:rsid w:val="00983E57"/>
    <w:rsid w:val="00984726"/>
    <w:rsid w:val="00984854"/>
    <w:rsid w:val="00984A41"/>
    <w:rsid w:val="00985139"/>
    <w:rsid w:val="00985DE2"/>
    <w:rsid w:val="00985E5A"/>
    <w:rsid w:val="009863FC"/>
    <w:rsid w:val="0098675D"/>
    <w:rsid w:val="00991464"/>
    <w:rsid w:val="00991813"/>
    <w:rsid w:val="00991FEA"/>
    <w:rsid w:val="00992238"/>
    <w:rsid w:val="009926E0"/>
    <w:rsid w:val="00992ED5"/>
    <w:rsid w:val="00992EEE"/>
    <w:rsid w:val="00993425"/>
    <w:rsid w:val="00993E0A"/>
    <w:rsid w:val="0099451E"/>
    <w:rsid w:val="00994696"/>
    <w:rsid w:val="00994869"/>
    <w:rsid w:val="00995191"/>
    <w:rsid w:val="009952FB"/>
    <w:rsid w:val="0099571C"/>
    <w:rsid w:val="00995E43"/>
    <w:rsid w:val="00996B1A"/>
    <w:rsid w:val="009A04FC"/>
    <w:rsid w:val="009A1F6F"/>
    <w:rsid w:val="009A2DCC"/>
    <w:rsid w:val="009A3204"/>
    <w:rsid w:val="009A5ABC"/>
    <w:rsid w:val="009A7F10"/>
    <w:rsid w:val="009B190B"/>
    <w:rsid w:val="009B3E26"/>
    <w:rsid w:val="009B3F08"/>
    <w:rsid w:val="009B4235"/>
    <w:rsid w:val="009B48C1"/>
    <w:rsid w:val="009B4996"/>
    <w:rsid w:val="009B6067"/>
    <w:rsid w:val="009B7238"/>
    <w:rsid w:val="009C077F"/>
    <w:rsid w:val="009C11F2"/>
    <w:rsid w:val="009C120F"/>
    <w:rsid w:val="009C1AB1"/>
    <w:rsid w:val="009C1CA2"/>
    <w:rsid w:val="009C3706"/>
    <w:rsid w:val="009C3A3A"/>
    <w:rsid w:val="009C578C"/>
    <w:rsid w:val="009C580C"/>
    <w:rsid w:val="009C5EF1"/>
    <w:rsid w:val="009C5F1C"/>
    <w:rsid w:val="009C6B3C"/>
    <w:rsid w:val="009C6CEA"/>
    <w:rsid w:val="009C773D"/>
    <w:rsid w:val="009C7B85"/>
    <w:rsid w:val="009D0254"/>
    <w:rsid w:val="009D08B0"/>
    <w:rsid w:val="009D1A64"/>
    <w:rsid w:val="009D1AB1"/>
    <w:rsid w:val="009D1B96"/>
    <w:rsid w:val="009D4088"/>
    <w:rsid w:val="009D5B91"/>
    <w:rsid w:val="009D67B4"/>
    <w:rsid w:val="009D6839"/>
    <w:rsid w:val="009D6CFE"/>
    <w:rsid w:val="009D7606"/>
    <w:rsid w:val="009D792E"/>
    <w:rsid w:val="009E0D45"/>
    <w:rsid w:val="009E0DFE"/>
    <w:rsid w:val="009E21D7"/>
    <w:rsid w:val="009E31F6"/>
    <w:rsid w:val="009E32B7"/>
    <w:rsid w:val="009E36D5"/>
    <w:rsid w:val="009E3A6F"/>
    <w:rsid w:val="009E3BCA"/>
    <w:rsid w:val="009E45CB"/>
    <w:rsid w:val="009E4C07"/>
    <w:rsid w:val="009E4E97"/>
    <w:rsid w:val="009E4F06"/>
    <w:rsid w:val="009E51ED"/>
    <w:rsid w:val="009E598D"/>
    <w:rsid w:val="009E59AB"/>
    <w:rsid w:val="009E709C"/>
    <w:rsid w:val="009F0DC0"/>
    <w:rsid w:val="009F1411"/>
    <w:rsid w:val="009F17B4"/>
    <w:rsid w:val="009F1C0A"/>
    <w:rsid w:val="009F266C"/>
    <w:rsid w:val="009F2CC7"/>
    <w:rsid w:val="009F301F"/>
    <w:rsid w:val="009F5B3E"/>
    <w:rsid w:val="009F6506"/>
    <w:rsid w:val="009F6886"/>
    <w:rsid w:val="009F71E6"/>
    <w:rsid w:val="009F7724"/>
    <w:rsid w:val="009F7B93"/>
    <w:rsid w:val="00A00DFB"/>
    <w:rsid w:val="00A01184"/>
    <w:rsid w:val="00A0175E"/>
    <w:rsid w:val="00A01E1D"/>
    <w:rsid w:val="00A03503"/>
    <w:rsid w:val="00A037C2"/>
    <w:rsid w:val="00A0393C"/>
    <w:rsid w:val="00A03A0E"/>
    <w:rsid w:val="00A03D43"/>
    <w:rsid w:val="00A04380"/>
    <w:rsid w:val="00A05472"/>
    <w:rsid w:val="00A05C32"/>
    <w:rsid w:val="00A0653F"/>
    <w:rsid w:val="00A11418"/>
    <w:rsid w:val="00A11470"/>
    <w:rsid w:val="00A11CD0"/>
    <w:rsid w:val="00A1224E"/>
    <w:rsid w:val="00A124E7"/>
    <w:rsid w:val="00A12D5A"/>
    <w:rsid w:val="00A13948"/>
    <w:rsid w:val="00A14578"/>
    <w:rsid w:val="00A149A1"/>
    <w:rsid w:val="00A1555B"/>
    <w:rsid w:val="00A155C5"/>
    <w:rsid w:val="00A165B0"/>
    <w:rsid w:val="00A16AD8"/>
    <w:rsid w:val="00A17792"/>
    <w:rsid w:val="00A17E79"/>
    <w:rsid w:val="00A205B1"/>
    <w:rsid w:val="00A21216"/>
    <w:rsid w:val="00A21C95"/>
    <w:rsid w:val="00A21CF3"/>
    <w:rsid w:val="00A225DA"/>
    <w:rsid w:val="00A2267C"/>
    <w:rsid w:val="00A22DFC"/>
    <w:rsid w:val="00A23F28"/>
    <w:rsid w:val="00A24813"/>
    <w:rsid w:val="00A24DF1"/>
    <w:rsid w:val="00A25413"/>
    <w:rsid w:val="00A25805"/>
    <w:rsid w:val="00A25826"/>
    <w:rsid w:val="00A26713"/>
    <w:rsid w:val="00A26853"/>
    <w:rsid w:val="00A26E63"/>
    <w:rsid w:val="00A27AEC"/>
    <w:rsid w:val="00A30FB9"/>
    <w:rsid w:val="00A316BB"/>
    <w:rsid w:val="00A31B37"/>
    <w:rsid w:val="00A31C5F"/>
    <w:rsid w:val="00A320DB"/>
    <w:rsid w:val="00A32934"/>
    <w:rsid w:val="00A32B89"/>
    <w:rsid w:val="00A32C12"/>
    <w:rsid w:val="00A33BDC"/>
    <w:rsid w:val="00A34437"/>
    <w:rsid w:val="00A3497F"/>
    <w:rsid w:val="00A35D16"/>
    <w:rsid w:val="00A3643B"/>
    <w:rsid w:val="00A379DF"/>
    <w:rsid w:val="00A37BCD"/>
    <w:rsid w:val="00A37CFF"/>
    <w:rsid w:val="00A40BCC"/>
    <w:rsid w:val="00A40F19"/>
    <w:rsid w:val="00A41247"/>
    <w:rsid w:val="00A41596"/>
    <w:rsid w:val="00A41689"/>
    <w:rsid w:val="00A41771"/>
    <w:rsid w:val="00A41B74"/>
    <w:rsid w:val="00A42592"/>
    <w:rsid w:val="00A43051"/>
    <w:rsid w:val="00A43419"/>
    <w:rsid w:val="00A4383E"/>
    <w:rsid w:val="00A43BE4"/>
    <w:rsid w:val="00A43C59"/>
    <w:rsid w:val="00A45257"/>
    <w:rsid w:val="00A4587A"/>
    <w:rsid w:val="00A46960"/>
    <w:rsid w:val="00A47411"/>
    <w:rsid w:val="00A478E7"/>
    <w:rsid w:val="00A50ECD"/>
    <w:rsid w:val="00A518F3"/>
    <w:rsid w:val="00A52729"/>
    <w:rsid w:val="00A53675"/>
    <w:rsid w:val="00A53C58"/>
    <w:rsid w:val="00A56220"/>
    <w:rsid w:val="00A564D7"/>
    <w:rsid w:val="00A56B6A"/>
    <w:rsid w:val="00A5728E"/>
    <w:rsid w:val="00A578DC"/>
    <w:rsid w:val="00A57D56"/>
    <w:rsid w:val="00A60ECC"/>
    <w:rsid w:val="00A6133C"/>
    <w:rsid w:val="00A61450"/>
    <w:rsid w:val="00A61B5F"/>
    <w:rsid w:val="00A61C11"/>
    <w:rsid w:val="00A61DB2"/>
    <w:rsid w:val="00A6252C"/>
    <w:rsid w:val="00A62805"/>
    <w:rsid w:val="00A63DAF"/>
    <w:rsid w:val="00A63F9B"/>
    <w:rsid w:val="00A640E2"/>
    <w:rsid w:val="00A64D65"/>
    <w:rsid w:val="00A650D7"/>
    <w:rsid w:val="00A65374"/>
    <w:rsid w:val="00A6642E"/>
    <w:rsid w:val="00A669B8"/>
    <w:rsid w:val="00A66D43"/>
    <w:rsid w:val="00A6725B"/>
    <w:rsid w:val="00A705D6"/>
    <w:rsid w:val="00A70605"/>
    <w:rsid w:val="00A70AD5"/>
    <w:rsid w:val="00A715FF"/>
    <w:rsid w:val="00A71607"/>
    <w:rsid w:val="00A71F03"/>
    <w:rsid w:val="00A72840"/>
    <w:rsid w:val="00A72EE6"/>
    <w:rsid w:val="00A73134"/>
    <w:rsid w:val="00A76001"/>
    <w:rsid w:val="00A77066"/>
    <w:rsid w:val="00A772F9"/>
    <w:rsid w:val="00A777B2"/>
    <w:rsid w:val="00A77B8B"/>
    <w:rsid w:val="00A77D22"/>
    <w:rsid w:val="00A81409"/>
    <w:rsid w:val="00A825D4"/>
    <w:rsid w:val="00A828F6"/>
    <w:rsid w:val="00A82B73"/>
    <w:rsid w:val="00A82D80"/>
    <w:rsid w:val="00A83B30"/>
    <w:rsid w:val="00A8546A"/>
    <w:rsid w:val="00A85F6E"/>
    <w:rsid w:val="00A8638E"/>
    <w:rsid w:val="00A86806"/>
    <w:rsid w:val="00A86E8B"/>
    <w:rsid w:val="00A87164"/>
    <w:rsid w:val="00A87466"/>
    <w:rsid w:val="00A90FB4"/>
    <w:rsid w:val="00A91552"/>
    <w:rsid w:val="00A92210"/>
    <w:rsid w:val="00A922BA"/>
    <w:rsid w:val="00A93072"/>
    <w:rsid w:val="00A93343"/>
    <w:rsid w:val="00A938BD"/>
    <w:rsid w:val="00A93953"/>
    <w:rsid w:val="00A93C74"/>
    <w:rsid w:val="00A957D5"/>
    <w:rsid w:val="00A959D8"/>
    <w:rsid w:val="00A95C3F"/>
    <w:rsid w:val="00A96119"/>
    <w:rsid w:val="00A9632E"/>
    <w:rsid w:val="00A96584"/>
    <w:rsid w:val="00A9697C"/>
    <w:rsid w:val="00A973D8"/>
    <w:rsid w:val="00AA03D7"/>
    <w:rsid w:val="00AA113D"/>
    <w:rsid w:val="00AA11F2"/>
    <w:rsid w:val="00AA141D"/>
    <w:rsid w:val="00AA18EC"/>
    <w:rsid w:val="00AA1C34"/>
    <w:rsid w:val="00AA28AA"/>
    <w:rsid w:val="00AA2A1D"/>
    <w:rsid w:val="00AA395C"/>
    <w:rsid w:val="00AA3B9F"/>
    <w:rsid w:val="00AA50A0"/>
    <w:rsid w:val="00AA6000"/>
    <w:rsid w:val="00AA6499"/>
    <w:rsid w:val="00AA69B8"/>
    <w:rsid w:val="00AA6B5E"/>
    <w:rsid w:val="00AA6BD5"/>
    <w:rsid w:val="00AA6BD8"/>
    <w:rsid w:val="00AA6C7D"/>
    <w:rsid w:val="00AA7FD6"/>
    <w:rsid w:val="00AB042A"/>
    <w:rsid w:val="00AB19EF"/>
    <w:rsid w:val="00AB1DF0"/>
    <w:rsid w:val="00AB2005"/>
    <w:rsid w:val="00AB2135"/>
    <w:rsid w:val="00AB2250"/>
    <w:rsid w:val="00AB2B80"/>
    <w:rsid w:val="00AB2D34"/>
    <w:rsid w:val="00AB2F92"/>
    <w:rsid w:val="00AB3430"/>
    <w:rsid w:val="00AB37B9"/>
    <w:rsid w:val="00AB4984"/>
    <w:rsid w:val="00AB4AD1"/>
    <w:rsid w:val="00AB5E07"/>
    <w:rsid w:val="00AB6A02"/>
    <w:rsid w:val="00AB7528"/>
    <w:rsid w:val="00AB7A2A"/>
    <w:rsid w:val="00AB7CFA"/>
    <w:rsid w:val="00AC0B30"/>
    <w:rsid w:val="00AC0D19"/>
    <w:rsid w:val="00AC2472"/>
    <w:rsid w:val="00AC2546"/>
    <w:rsid w:val="00AC45BC"/>
    <w:rsid w:val="00AC4E45"/>
    <w:rsid w:val="00AC556B"/>
    <w:rsid w:val="00AC5B48"/>
    <w:rsid w:val="00AC7B76"/>
    <w:rsid w:val="00AD0107"/>
    <w:rsid w:val="00AD1450"/>
    <w:rsid w:val="00AD1494"/>
    <w:rsid w:val="00AD2411"/>
    <w:rsid w:val="00AD3CA3"/>
    <w:rsid w:val="00AD4521"/>
    <w:rsid w:val="00AD6502"/>
    <w:rsid w:val="00AD6C0E"/>
    <w:rsid w:val="00AD7661"/>
    <w:rsid w:val="00AD78BE"/>
    <w:rsid w:val="00AD7A1B"/>
    <w:rsid w:val="00AE0695"/>
    <w:rsid w:val="00AE14DA"/>
    <w:rsid w:val="00AE17EA"/>
    <w:rsid w:val="00AE1F04"/>
    <w:rsid w:val="00AE29AA"/>
    <w:rsid w:val="00AE3E7E"/>
    <w:rsid w:val="00AE7165"/>
    <w:rsid w:val="00AE7C1A"/>
    <w:rsid w:val="00AF1315"/>
    <w:rsid w:val="00AF19BF"/>
    <w:rsid w:val="00AF2DC3"/>
    <w:rsid w:val="00AF512A"/>
    <w:rsid w:val="00AF62E3"/>
    <w:rsid w:val="00AF7886"/>
    <w:rsid w:val="00B012A7"/>
    <w:rsid w:val="00B01BCA"/>
    <w:rsid w:val="00B01FAA"/>
    <w:rsid w:val="00B03048"/>
    <w:rsid w:val="00B033E5"/>
    <w:rsid w:val="00B03A63"/>
    <w:rsid w:val="00B03BD6"/>
    <w:rsid w:val="00B059E7"/>
    <w:rsid w:val="00B075CA"/>
    <w:rsid w:val="00B076E3"/>
    <w:rsid w:val="00B112CD"/>
    <w:rsid w:val="00B11A35"/>
    <w:rsid w:val="00B11AF2"/>
    <w:rsid w:val="00B11C65"/>
    <w:rsid w:val="00B12E1C"/>
    <w:rsid w:val="00B12F2F"/>
    <w:rsid w:val="00B1347F"/>
    <w:rsid w:val="00B13626"/>
    <w:rsid w:val="00B137C2"/>
    <w:rsid w:val="00B15D72"/>
    <w:rsid w:val="00B16E66"/>
    <w:rsid w:val="00B17AB4"/>
    <w:rsid w:val="00B201A4"/>
    <w:rsid w:val="00B201D1"/>
    <w:rsid w:val="00B209A0"/>
    <w:rsid w:val="00B213A6"/>
    <w:rsid w:val="00B21632"/>
    <w:rsid w:val="00B21D06"/>
    <w:rsid w:val="00B228AA"/>
    <w:rsid w:val="00B235B0"/>
    <w:rsid w:val="00B23FA1"/>
    <w:rsid w:val="00B24DF6"/>
    <w:rsid w:val="00B2560B"/>
    <w:rsid w:val="00B25BC8"/>
    <w:rsid w:val="00B2682F"/>
    <w:rsid w:val="00B271CB"/>
    <w:rsid w:val="00B2760D"/>
    <w:rsid w:val="00B27CEE"/>
    <w:rsid w:val="00B30617"/>
    <w:rsid w:val="00B31B59"/>
    <w:rsid w:val="00B341BF"/>
    <w:rsid w:val="00B34FE2"/>
    <w:rsid w:val="00B35166"/>
    <w:rsid w:val="00B357D8"/>
    <w:rsid w:val="00B360F4"/>
    <w:rsid w:val="00B36A00"/>
    <w:rsid w:val="00B36DD0"/>
    <w:rsid w:val="00B370FB"/>
    <w:rsid w:val="00B377D9"/>
    <w:rsid w:val="00B37BFC"/>
    <w:rsid w:val="00B37D0E"/>
    <w:rsid w:val="00B402E2"/>
    <w:rsid w:val="00B40358"/>
    <w:rsid w:val="00B41614"/>
    <w:rsid w:val="00B417AF"/>
    <w:rsid w:val="00B41A21"/>
    <w:rsid w:val="00B42851"/>
    <w:rsid w:val="00B42F80"/>
    <w:rsid w:val="00B435CB"/>
    <w:rsid w:val="00B439E2"/>
    <w:rsid w:val="00B440FA"/>
    <w:rsid w:val="00B44E7E"/>
    <w:rsid w:val="00B45515"/>
    <w:rsid w:val="00B45E18"/>
    <w:rsid w:val="00B466AE"/>
    <w:rsid w:val="00B46944"/>
    <w:rsid w:val="00B50099"/>
    <w:rsid w:val="00B505C8"/>
    <w:rsid w:val="00B50ADE"/>
    <w:rsid w:val="00B50DB8"/>
    <w:rsid w:val="00B52B53"/>
    <w:rsid w:val="00B5309D"/>
    <w:rsid w:val="00B53654"/>
    <w:rsid w:val="00B53905"/>
    <w:rsid w:val="00B53D8C"/>
    <w:rsid w:val="00B54B5B"/>
    <w:rsid w:val="00B5562E"/>
    <w:rsid w:val="00B55965"/>
    <w:rsid w:val="00B55D65"/>
    <w:rsid w:val="00B561A1"/>
    <w:rsid w:val="00B563AA"/>
    <w:rsid w:val="00B56949"/>
    <w:rsid w:val="00B56B38"/>
    <w:rsid w:val="00B57000"/>
    <w:rsid w:val="00B57969"/>
    <w:rsid w:val="00B57BC1"/>
    <w:rsid w:val="00B605B3"/>
    <w:rsid w:val="00B60939"/>
    <w:rsid w:val="00B60AFD"/>
    <w:rsid w:val="00B61DD2"/>
    <w:rsid w:val="00B62384"/>
    <w:rsid w:val="00B62715"/>
    <w:rsid w:val="00B62BAE"/>
    <w:rsid w:val="00B65611"/>
    <w:rsid w:val="00B659C5"/>
    <w:rsid w:val="00B66052"/>
    <w:rsid w:val="00B6649F"/>
    <w:rsid w:val="00B6733D"/>
    <w:rsid w:val="00B67A24"/>
    <w:rsid w:val="00B67F90"/>
    <w:rsid w:val="00B7011B"/>
    <w:rsid w:val="00B70718"/>
    <w:rsid w:val="00B70DB3"/>
    <w:rsid w:val="00B70E8E"/>
    <w:rsid w:val="00B72665"/>
    <w:rsid w:val="00B72AA6"/>
    <w:rsid w:val="00B72CD3"/>
    <w:rsid w:val="00B73EF0"/>
    <w:rsid w:val="00B743D9"/>
    <w:rsid w:val="00B7674F"/>
    <w:rsid w:val="00B76C92"/>
    <w:rsid w:val="00B77C99"/>
    <w:rsid w:val="00B80B12"/>
    <w:rsid w:val="00B80C83"/>
    <w:rsid w:val="00B80CC9"/>
    <w:rsid w:val="00B80DA3"/>
    <w:rsid w:val="00B810A6"/>
    <w:rsid w:val="00B8188F"/>
    <w:rsid w:val="00B818A4"/>
    <w:rsid w:val="00B82743"/>
    <w:rsid w:val="00B8337E"/>
    <w:rsid w:val="00B83ADC"/>
    <w:rsid w:val="00B83DB6"/>
    <w:rsid w:val="00B83E3C"/>
    <w:rsid w:val="00B84117"/>
    <w:rsid w:val="00B84AE0"/>
    <w:rsid w:val="00B84D02"/>
    <w:rsid w:val="00B858F0"/>
    <w:rsid w:val="00B85AA2"/>
    <w:rsid w:val="00B8649C"/>
    <w:rsid w:val="00B8674C"/>
    <w:rsid w:val="00B8695D"/>
    <w:rsid w:val="00B8729E"/>
    <w:rsid w:val="00B87F0A"/>
    <w:rsid w:val="00B901A2"/>
    <w:rsid w:val="00B910F0"/>
    <w:rsid w:val="00B91214"/>
    <w:rsid w:val="00B91371"/>
    <w:rsid w:val="00B9174E"/>
    <w:rsid w:val="00B92913"/>
    <w:rsid w:val="00B92D0B"/>
    <w:rsid w:val="00B937E9"/>
    <w:rsid w:val="00B9416F"/>
    <w:rsid w:val="00B941C1"/>
    <w:rsid w:val="00B947C9"/>
    <w:rsid w:val="00B94945"/>
    <w:rsid w:val="00B94DD6"/>
    <w:rsid w:val="00B953AA"/>
    <w:rsid w:val="00B957AC"/>
    <w:rsid w:val="00B96E2A"/>
    <w:rsid w:val="00B9721B"/>
    <w:rsid w:val="00B97539"/>
    <w:rsid w:val="00B97C75"/>
    <w:rsid w:val="00BA0606"/>
    <w:rsid w:val="00BA18A3"/>
    <w:rsid w:val="00BA1E2F"/>
    <w:rsid w:val="00BA2309"/>
    <w:rsid w:val="00BA2B2E"/>
    <w:rsid w:val="00BA322D"/>
    <w:rsid w:val="00BA3546"/>
    <w:rsid w:val="00BA39F4"/>
    <w:rsid w:val="00BA4B28"/>
    <w:rsid w:val="00BA5357"/>
    <w:rsid w:val="00BA63FA"/>
    <w:rsid w:val="00BA7154"/>
    <w:rsid w:val="00BA735A"/>
    <w:rsid w:val="00BA7B61"/>
    <w:rsid w:val="00BB00B3"/>
    <w:rsid w:val="00BB0136"/>
    <w:rsid w:val="00BB0B84"/>
    <w:rsid w:val="00BB0BDD"/>
    <w:rsid w:val="00BB176C"/>
    <w:rsid w:val="00BB25FD"/>
    <w:rsid w:val="00BB2A0A"/>
    <w:rsid w:val="00BB2A6B"/>
    <w:rsid w:val="00BB2A73"/>
    <w:rsid w:val="00BB38A9"/>
    <w:rsid w:val="00BB3A45"/>
    <w:rsid w:val="00BB46C7"/>
    <w:rsid w:val="00BB4ACC"/>
    <w:rsid w:val="00BB6544"/>
    <w:rsid w:val="00BB703E"/>
    <w:rsid w:val="00BB732D"/>
    <w:rsid w:val="00BB7405"/>
    <w:rsid w:val="00BB7D27"/>
    <w:rsid w:val="00BC0733"/>
    <w:rsid w:val="00BC2D8D"/>
    <w:rsid w:val="00BC3631"/>
    <w:rsid w:val="00BC4319"/>
    <w:rsid w:val="00BC44E1"/>
    <w:rsid w:val="00BC591F"/>
    <w:rsid w:val="00BC5AFF"/>
    <w:rsid w:val="00BC6C67"/>
    <w:rsid w:val="00BC7BFA"/>
    <w:rsid w:val="00BC7D6D"/>
    <w:rsid w:val="00BD0AA4"/>
    <w:rsid w:val="00BD1AE1"/>
    <w:rsid w:val="00BD2108"/>
    <w:rsid w:val="00BD29F2"/>
    <w:rsid w:val="00BD3607"/>
    <w:rsid w:val="00BD42B0"/>
    <w:rsid w:val="00BD43C8"/>
    <w:rsid w:val="00BD61A0"/>
    <w:rsid w:val="00BD689C"/>
    <w:rsid w:val="00BD68A3"/>
    <w:rsid w:val="00BD6938"/>
    <w:rsid w:val="00BD69F8"/>
    <w:rsid w:val="00BD6CF3"/>
    <w:rsid w:val="00BD7523"/>
    <w:rsid w:val="00BD7F57"/>
    <w:rsid w:val="00BE04B3"/>
    <w:rsid w:val="00BE093B"/>
    <w:rsid w:val="00BE0ECA"/>
    <w:rsid w:val="00BE187A"/>
    <w:rsid w:val="00BE1E74"/>
    <w:rsid w:val="00BE200E"/>
    <w:rsid w:val="00BE2180"/>
    <w:rsid w:val="00BE21F2"/>
    <w:rsid w:val="00BE3C12"/>
    <w:rsid w:val="00BE4275"/>
    <w:rsid w:val="00BE4787"/>
    <w:rsid w:val="00BE58A2"/>
    <w:rsid w:val="00BE5ACB"/>
    <w:rsid w:val="00BE672D"/>
    <w:rsid w:val="00BE6A47"/>
    <w:rsid w:val="00BE6A90"/>
    <w:rsid w:val="00BF06AE"/>
    <w:rsid w:val="00BF0BE7"/>
    <w:rsid w:val="00BF0F95"/>
    <w:rsid w:val="00BF17B6"/>
    <w:rsid w:val="00BF2433"/>
    <w:rsid w:val="00BF2489"/>
    <w:rsid w:val="00BF3919"/>
    <w:rsid w:val="00BF3AE5"/>
    <w:rsid w:val="00BF4BAD"/>
    <w:rsid w:val="00BF596F"/>
    <w:rsid w:val="00BF6018"/>
    <w:rsid w:val="00BF61C9"/>
    <w:rsid w:val="00BF670F"/>
    <w:rsid w:val="00BF6C94"/>
    <w:rsid w:val="00BF6EE2"/>
    <w:rsid w:val="00BF71A0"/>
    <w:rsid w:val="00C00424"/>
    <w:rsid w:val="00C0138A"/>
    <w:rsid w:val="00C013D6"/>
    <w:rsid w:val="00C02384"/>
    <w:rsid w:val="00C035EB"/>
    <w:rsid w:val="00C038D9"/>
    <w:rsid w:val="00C043AB"/>
    <w:rsid w:val="00C0441E"/>
    <w:rsid w:val="00C0506B"/>
    <w:rsid w:val="00C06FC8"/>
    <w:rsid w:val="00C10948"/>
    <w:rsid w:val="00C1179F"/>
    <w:rsid w:val="00C12A83"/>
    <w:rsid w:val="00C12C14"/>
    <w:rsid w:val="00C12D92"/>
    <w:rsid w:val="00C1303A"/>
    <w:rsid w:val="00C13FEB"/>
    <w:rsid w:val="00C15620"/>
    <w:rsid w:val="00C15997"/>
    <w:rsid w:val="00C15F04"/>
    <w:rsid w:val="00C16DB2"/>
    <w:rsid w:val="00C179B3"/>
    <w:rsid w:val="00C17E3F"/>
    <w:rsid w:val="00C200AA"/>
    <w:rsid w:val="00C20898"/>
    <w:rsid w:val="00C20923"/>
    <w:rsid w:val="00C20D6B"/>
    <w:rsid w:val="00C20E9C"/>
    <w:rsid w:val="00C213DD"/>
    <w:rsid w:val="00C21FDC"/>
    <w:rsid w:val="00C237ED"/>
    <w:rsid w:val="00C23948"/>
    <w:rsid w:val="00C240CE"/>
    <w:rsid w:val="00C24632"/>
    <w:rsid w:val="00C25418"/>
    <w:rsid w:val="00C25D9C"/>
    <w:rsid w:val="00C2778B"/>
    <w:rsid w:val="00C27D01"/>
    <w:rsid w:val="00C30839"/>
    <w:rsid w:val="00C31649"/>
    <w:rsid w:val="00C32691"/>
    <w:rsid w:val="00C32C64"/>
    <w:rsid w:val="00C33789"/>
    <w:rsid w:val="00C33A58"/>
    <w:rsid w:val="00C33AFD"/>
    <w:rsid w:val="00C33D42"/>
    <w:rsid w:val="00C33DC6"/>
    <w:rsid w:val="00C341E2"/>
    <w:rsid w:val="00C3434C"/>
    <w:rsid w:val="00C4007B"/>
    <w:rsid w:val="00C40385"/>
    <w:rsid w:val="00C40973"/>
    <w:rsid w:val="00C41768"/>
    <w:rsid w:val="00C422F3"/>
    <w:rsid w:val="00C43851"/>
    <w:rsid w:val="00C43DD6"/>
    <w:rsid w:val="00C440FD"/>
    <w:rsid w:val="00C46348"/>
    <w:rsid w:val="00C46A95"/>
    <w:rsid w:val="00C46AE1"/>
    <w:rsid w:val="00C471D4"/>
    <w:rsid w:val="00C475AA"/>
    <w:rsid w:val="00C50183"/>
    <w:rsid w:val="00C523AA"/>
    <w:rsid w:val="00C5374E"/>
    <w:rsid w:val="00C53C15"/>
    <w:rsid w:val="00C53C98"/>
    <w:rsid w:val="00C54863"/>
    <w:rsid w:val="00C54FCD"/>
    <w:rsid w:val="00C55D89"/>
    <w:rsid w:val="00C569EC"/>
    <w:rsid w:val="00C56FCF"/>
    <w:rsid w:val="00C57B6C"/>
    <w:rsid w:val="00C60F7D"/>
    <w:rsid w:val="00C6241C"/>
    <w:rsid w:val="00C628A6"/>
    <w:rsid w:val="00C64188"/>
    <w:rsid w:val="00C6433D"/>
    <w:rsid w:val="00C64344"/>
    <w:rsid w:val="00C64D1F"/>
    <w:rsid w:val="00C65108"/>
    <w:rsid w:val="00C65576"/>
    <w:rsid w:val="00C66165"/>
    <w:rsid w:val="00C67121"/>
    <w:rsid w:val="00C676D4"/>
    <w:rsid w:val="00C70101"/>
    <w:rsid w:val="00C7060A"/>
    <w:rsid w:val="00C7151A"/>
    <w:rsid w:val="00C717E3"/>
    <w:rsid w:val="00C71F60"/>
    <w:rsid w:val="00C72241"/>
    <w:rsid w:val="00C72FAF"/>
    <w:rsid w:val="00C7333E"/>
    <w:rsid w:val="00C74637"/>
    <w:rsid w:val="00C7505A"/>
    <w:rsid w:val="00C750C8"/>
    <w:rsid w:val="00C753E3"/>
    <w:rsid w:val="00C7560F"/>
    <w:rsid w:val="00C76887"/>
    <w:rsid w:val="00C8062B"/>
    <w:rsid w:val="00C80A0E"/>
    <w:rsid w:val="00C81C23"/>
    <w:rsid w:val="00C8213F"/>
    <w:rsid w:val="00C822B6"/>
    <w:rsid w:val="00C82B5C"/>
    <w:rsid w:val="00C8499B"/>
    <w:rsid w:val="00C85154"/>
    <w:rsid w:val="00C8541E"/>
    <w:rsid w:val="00C86096"/>
    <w:rsid w:val="00C86E57"/>
    <w:rsid w:val="00C8797A"/>
    <w:rsid w:val="00C87D0A"/>
    <w:rsid w:val="00C9005D"/>
    <w:rsid w:val="00C900B8"/>
    <w:rsid w:val="00C90351"/>
    <w:rsid w:val="00C90A60"/>
    <w:rsid w:val="00C90B7B"/>
    <w:rsid w:val="00C90C71"/>
    <w:rsid w:val="00C91981"/>
    <w:rsid w:val="00C91FD1"/>
    <w:rsid w:val="00C931CF"/>
    <w:rsid w:val="00C938CF"/>
    <w:rsid w:val="00C94053"/>
    <w:rsid w:val="00C95D7F"/>
    <w:rsid w:val="00C960E0"/>
    <w:rsid w:val="00C9624D"/>
    <w:rsid w:val="00C96920"/>
    <w:rsid w:val="00C96984"/>
    <w:rsid w:val="00C969DA"/>
    <w:rsid w:val="00C97FEF"/>
    <w:rsid w:val="00CA087E"/>
    <w:rsid w:val="00CA0BD5"/>
    <w:rsid w:val="00CA0F25"/>
    <w:rsid w:val="00CA1718"/>
    <w:rsid w:val="00CA1AC3"/>
    <w:rsid w:val="00CA2C77"/>
    <w:rsid w:val="00CA444F"/>
    <w:rsid w:val="00CA4EBF"/>
    <w:rsid w:val="00CA5245"/>
    <w:rsid w:val="00CA610A"/>
    <w:rsid w:val="00CA68A8"/>
    <w:rsid w:val="00CA6EF2"/>
    <w:rsid w:val="00CA71F4"/>
    <w:rsid w:val="00CA73AF"/>
    <w:rsid w:val="00CA7B09"/>
    <w:rsid w:val="00CB0630"/>
    <w:rsid w:val="00CB12A5"/>
    <w:rsid w:val="00CB1CAC"/>
    <w:rsid w:val="00CB208D"/>
    <w:rsid w:val="00CB2F2A"/>
    <w:rsid w:val="00CB37FE"/>
    <w:rsid w:val="00CB39D9"/>
    <w:rsid w:val="00CB3F44"/>
    <w:rsid w:val="00CB51BF"/>
    <w:rsid w:val="00CB5394"/>
    <w:rsid w:val="00CB5404"/>
    <w:rsid w:val="00CB5410"/>
    <w:rsid w:val="00CB5B1A"/>
    <w:rsid w:val="00CB5BD0"/>
    <w:rsid w:val="00CB6678"/>
    <w:rsid w:val="00CB6B22"/>
    <w:rsid w:val="00CB6F26"/>
    <w:rsid w:val="00CB7EC9"/>
    <w:rsid w:val="00CB7F5F"/>
    <w:rsid w:val="00CC1B39"/>
    <w:rsid w:val="00CC1B83"/>
    <w:rsid w:val="00CC35EA"/>
    <w:rsid w:val="00CC3848"/>
    <w:rsid w:val="00CC45EF"/>
    <w:rsid w:val="00CC625E"/>
    <w:rsid w:val="00CC6DBC"/>
    <w:rsid w:val="00CC7EBB"/>
    <w:rsid w:val="00CD0144"/>
    <w:rsid w:val="00CD06B8"/>
    <w:rsid w:val="00CD0A5D"/>
    <w:rsid w:val="00CD108F"/>
    <w:rsid w:val="00CD16F8"/>
    <w:rsid w:val="00CD25E6"/>
    <w:rsid w:val="00CD3F27"/>
    <w:rsid w:val="00CD3F77"/>
    <w:rsid w:val="00CD45C7"/>
    <w:rsid w:val="00CD4B94"/>
    <w:rsid w:val="00CD4E7A"/>
    <w:rsid w:val="00CD6ADC"/>
    <w:rsid w:val="00CD7193"/>
    <w:rsid w:val="00CE0B5F"/>
    <w:rsid w:val="00CE16BA"/>
    <w:rsid w:val="00CE1F29"/>
    <w:rsid w:val="00CE1FAE"/>
    <w:rsid w:val="00CE38C8"/>
    <w:rsid w:val="00CE4172"/>
    <w:rsid w:val="00CE43D8"/>
    <w:rsid w:val="00CE4473"/>
    <w:rsid w:val="00CE555A"/>
    <w:rsid w:val="00CE5F4D"/>
    <w:rsid w:val="00CE6274"/>
    <w:rsid w:val="00CE6DF1"/>
    <w:rsid w:val="00CE6EEE"/>
    <w:rsid w:val="00CE73B7"/>
    <w:rsid w:val="00CE77B6"/>
    <w:rsid w:val="00CF12EE"/>
    <w:rsid w:val="00CF1C49"/>
    <w:rsid w:val="00CF21A0"/>
    <w:rsid w:val="00CF2B8D"/>
    <w:rsid w:val="00CF2D3C"/>
    <w:rsid w:val="00CF456B"/>
    <w:rsid w:val="00CF5A22"/>
    <w:rsid w:val="00CF5CBA"/>
    <w:rsid w:val="00CF5FC5"/>
    <w:rsid w:val="00CF6D64"/>
    <w:rsid w:val="00D01591"/>
    <w:rsid w:val="00D01D7A"/>
    <w:rsid w:val="00D01E82"/>
    <w:rsid w:val="00D01F62"/>
    <w:rsid w:val="00D025C5"/>
    <w:rsid w:val="00D0262E"/>
    <w:rsid w:val="00D029E7"/>
    <w:rsid w:val="00D04821"/>
    <w:rsid w:val="00D057C3"/>
    <w:rsid w:val="00D05E3D"/>
    <w:rsid w:val="00D06139"/>
    <w:rsid w:val="00D06730"/>
    <w:rsid w:val="00D07FEB"/>
    <w:rsid w:val="00D110BD"/>
    <w:rsid w:val="00D1111A"/>
    <w:rsid w:val="00D13675"/>
    <w:rsid w:val="00D13983"/>
    <w:rsid w:val="00D141E1"/>
    <w:rsid w:val="00D14931"/>
    <w:rsid w:val="00D15314"/>
    <w:rsid w:val="00D16798"/>
    <w:rsid w:val="00D16DFA"/>
    <w:rsid w:val="00D17041"/>
    <w:rsid w:val="00D17474"/>
    <w:rsid w:val="00D17D6C"/>
    <w:rsid w:val="00D209B8"/>
    <w:rsid w:val="00D2155B"/>
    <w:rsid w:val="00D2321F"/>
    <w:rsid w:val="00D23B94"/>
    <w:rsid w:val="00D23D11"/>
    <w:rsid w:val="00D23F02"/>
    <w:rsid w:val="00D244B6"/>
    <w:rsid w:val="00D24F1A"/>
    <w:rsid w:val="00D25D75"/>
    <w:rsid w:val="00D2754B"/>
    <w:rsid w:val="00D2754D"/>
    <w:rsid w:val="00D27B27"/>
    <w:rsid w:val="00D309C7"/>
    <w:rsid w:val="00D31695"/>
    <w:rsid w:val="00D32343"/>
    <w:rsid w:val="00D3262A"/>
    <w:rsid w:val="00D32789"/>
    <w:rsid w:val="00D33BE9"/>
    <w:rsid w:val="00D33C3F"/>
    <w:rsid w:val="00D33E01"/>
    <w:rsid w:val="00D33F93"/>
    <w:rsid w:val="00D347AD"/>
    <w:rsid w:val="00D34A0E"/>
    <w:rsid w:val="00D35585"/>
    <w:rsid w:val="00D356AC"/>
    <w:rsid w:val="00D357FF"/>
    <w:rsid w:val="00D368EE"/>
    <w:rsid w:val="00D3765A"/>
    <w:rsid w:val="00D403D0"/>
    <w:rsid w:val="00D40996"/>
    <w:rsid w:val="00D424C7"/>
    <w:rsid w:val="00D42FE2"/>
    <w:rsid w:val="00D43B2A"/>
    <w:rsid w:val="00D43D83"/>
    <w:rsid w:val="00D44A2F"/>
    <w:rsid w:val="00D45159"/>
    <w:rsid w:val="00D4544E"/>
    <w:rsid w:val="00D45919"/>
    <w:rsid w:val="00D46202"/>
    <w:rsid w:val="00D4635E"/>
    <w:rsid w:val="00D4690E"/>
    <w:rsid w:val="00D46AE2"/>
    <w:rsid w:val="00D47575"/>
    <w:rsid w:val="00D477F3"/>
    <w:rsid w:val="00D47DDF"/>
    <w:rsid w:val="00D50620"/>
    <w:rsid w:val="00D51E57"/>
    <w:rsid w:val="00D5243B"/>
    <w:rsid w:val="00D52C41"/>
    <w:rsid w:val="00D533EC"/>
    <w:rsid w:val="00D5388D"/>
    <w:rsid w:val="00D54B39"/>
    <w:rsid w:val="00D56266"/>
    <w:rsid w:val="00D56737"/>
    <w:rsid w:val="00D56A95"/>
    <w:rsid w:val="00D60509"/>
    <w:rsid w:val="00D619EA"/>
    <w:rsid w:val="00D61BA6"/>
    <w:rsid w:val="00D61BE1"/>
    <w:rsid w:val="00D62081"/>
    <w:rsid w:val="00D62111"/>
    <w:rsid w:val="00D62492"/>
    <w:rsid w:val="00D63E06"/>
    <w:rsid w:val="00D63F2A"/>
    <w:rsid w:val="00D645A8"/>
    <w:rsid w:val="00D64A95"/>
    <w:rsid w:val="00D64BEE"/>
    <w:rsid w:val="00D658EF"/>
    <w:rsid w:val="00D659E2"/>
    <w:rsid w:val="00D65AEA"/>
    <w:rsid w:val="00D66E62"/>
    <w:rsid w:val="00D67B13"/>
    <w:rsid w:val="00D70D3B"/>
    <w:rsid w:val="00D70F16"/>
    <w:rsid w:val="00D711A9"/>
    <w:rsid w:val="00D72EC3"/>
    <w:rsid w:val="00D72F57"/>
    <w:rsid w:val="00D73229"/>
    <w:rsid w:val="00D737E5"/>
    <w:rsid w:val="00D738FB"/>
    <w:rsid w:val="00D7393E"/>
    <w:rsid w:val="00D756F9"/>
    <w:rsid w:val="00D75969"/>
    <w:rsid w:val="00D75E55"/>
    <w:rsid w:val="00D76A44"/>
    <w:rsid w:val="00D7728D"/>
    <w:rsid w:val="00D802FE"/>
    <w:rsid w:val="00D815EF"/>
    <w:rsid w:val="00D81F26"/>
    <w:rsid w:val="00D8291E"/>
    <w:rsid w:val="00D82B64"/>
    <w:rsid w:val="00D846A5"/>
    <w:rsid w:val="00D84E2F"/>
    <w:rsid w:val="00D85AA0"/>
    <w:rsid w:val="00D85CBA"/>
    <w:rsid w:val="00D86231"/>
    <w:rsid w:val="00D86286"/>
    <w:rsid w:val="00D86512"/>
    <w:rsid w:val="00D86F8D"/>
    <w:rsid w:val="00D8722B"/>
    <w:rsid w:val="00D87F3B"/>
    <w:rsid w:val="00D9169B"/>
    <w:rsid w:val="00D91743"/>
    <w:rsid w:val="00D91923"/>
    <w:rsid w:val="00D91F31"/>
    <w:rsid w:val="00D92EB0"/>
    <w:rsid w:val="00D9365E"/>
    <w:rsid w:val="00D93753"/>
    <w:rsid w:val="00D93E15"/>
    <w:rsid w:val="00D95E1C"/>
    <w:rsid w:val="00D96438"/>
    <w:rsid w:val="00D96D4F"/>
    <w:rsid w:val="00D97DDA"/>
    <w:rsid w:val="00DA0F62"/>
    <w:rsid w:val="00DA1F87"/>
    <w:rsid w:val="00DA2594"/>
    <w:rsid w:val="00DA2B28"/>
    <w:rsid w:val="00DA3167"/>
    <w:rsid w:val="00DA4DC3"/>
    <w:rsid w:val="00DA5038"/>
    <w:rsid w:val="00DA5C1A"/>
    <w:rsid w:val="00DA5DAB"/>
    <w:rsid w:val="00DA5DEA"/>
    <w:rsid w:val="00DA6167"/>
    <w:rsid w:val="00DA701D"/>
    <w:rsid w:val="00DA7085"/>
    <w:rsid w:val="00DA7129"/>
    <w:rsid w:val="00DA77A5"/>
    <w:rsid w:val="00DB171D"/>
    <w:rsid w:val="00DB1FF5"/>
    <w:rsid w:val="00DB2402"/>
    <w:rsid w:val="00DB278A"/>
    <w:rsid w:val="00DB29DE"/>
    <w:rsid w:val="00DB341C"/>
    <w:rsid w:val="00DB3420"/>
    <w:rsid w:val="00DB35C8"/>
    <w:rsid w:val="00DB3DBF"/>
    <w:rsid w:val="00DB425D"/>
    <w:rsid w:val="00DB484F"/>
    <w:rsid w:val="00DB580B"/>
    <w:rsid w:val="00DB7494"/>
    <w:rsid w:val="00DC00FC"/>
    <w:rsid w:val="00DC04F6"/>
    <w:rsid w:val="00DC0690"/>
    <w:rsid w:val="00DC1D65"/>
    <w:rsid w:val="00DC1ED5"/>
    <w:rsid w:val="00DC2202"/>
    <w:rsid w:val="00DC2907"/>
    <w:rsid w:val="00DC357C"/>
    <w:rsid w:val="00DC3C57"/>
    <w:rsid w:val="00DC5501"/>
    <w:rsid w:val="00DC6468"/>
    <w:rsid w:val="00DC664E"/>
    <w:rsid w:val="00DC6E36"/>
    <w:rsid w:val="00DC7154"/>
    <w:rsid w:val="00DC7E8A"/>
    <w:rsid w:val="00DD0134"/>
    <w:rsid w:val="00DD0F78"/>
    <w:rsid w:val="00DD1027"/>
    <w:rsid w:val="00DD1152"/>
    <w:rsid w:val="00DD22A9"/>
    <w:rsid w:val="00DD273C"/>
    <w:rsid w:val="00DD28E4"/>
    <w:rsid w:val="00DD2CA1"/>
    <w:rsid w:val="00DD3980"/>
    <w:rsid w:val="00DD3F28"/>
    <w:rsid w:val="00DD4537"/>
    <w:rsid w:val="00DD4E15"/>
    <w:rsid w:val="00DD5019"/>
    <w:rsid w:val="00DD520A"/>
    <w:rsid w:val="00DD63ED"/>
    <w:rsid w:val="00DD6700"/>
    <w:rsid w:val="00DE0201"/>
    <w:rsid w:val="00DE05B1"/>
    <w:rsid w:val="00DE0B73"/>
    <w:rsid w:val="00DE2304"/>
    <w:rsid w:val="00DE3138"/>
    <w:rsid w:val="00DE345E"/>
    <w:rsid w:val="00DE37F8"/>
    <w:rsid w:val="00DE46AE"/>
    <w:rsid w:val="00DE4E19"/>
    <w:rsid w:val="00DE4FCB"/>
    <w:rsid w:val="00DE5D07"/>
    <w:rsid w:val="00DE69EC"/>
    <w:rsid w:val="00DE72A7"/>
    <w:rsid w:val="00DE7832"/>
    <w:rsid w:val="00DE7E65"/>
    <w:rsid w:val="00DE7EC7"/>
    <w:rsid w:val="00DF18FC"/>
    <w:rsid w:val="00DF2569"/>
    <w:rsid w:val="00DF2636"/>
    <w:rsid w:val="00DF2B3E"/>
    <w:rsid w:val="00DF399F"/>
    <w:rsid w:val="00DF5D2B"/>
    <w:rsid w:val="00DF5D7C"/>
    <w:rsid w:val="00DF7265"/>
    <w:rsid w:val="00DF75D5"/>
    <w:rsid w:val="00DF7A28"/>
    <w:rsid w:val="00DF7DFC"/>
    <w:rsid w:val="00DF7E3C"/>
    <w:rsid w:val="00E00E8E"/>
    <w:rsid w:val="00E01C5E"/>
    <w:rsid w:val="00E0229A"/>
    <w:rsid w:val="00E02D27"/>
    <w:rsid w:val="00E03FDB"/>
    <w:rsid w:val="00E04B8C"/>
    <w:rsid w:val="00E0526E"/>
    <w:rsid w:val="00E05630"/>
    <w:rsid w:val="00E05D90"/>
    <w:rsid w:val="00E05EBA"/>
    <w:rsid w:val="00E06084"/>
    <w:rsid w:val="00E06B1D"/>
    <w:rsid w:val="00E06DBB"/>
    <w:rsid w:val="00E10149"/>
    <w:rsid w:val="00E1035D"/>
    <w:rsid w:val="00E11340"/>
    <w:rsid w:val="00E122A1"/>
    <w:rsid w:val="00E1252F"/>
    <w:rsid w:val="00E13AF4"/>
    <w:rsid w:val="00E14E49"/>
    <w:rsid w:val="00E15483"/>
    <w:rsid w:val="00E156F4"/>
    <w:rsid w:val="00E15C7B"/>
    <w:rsid w:val="00E1614D"/>
    <w:rsid w:val="00E16372"/>
    <w:rsid w:val="00E165E9"/>
    <w:rsid w:val="00E16B08"/>
    <w:rsid w:val="00E16F4D"/>
    <w:rsid w:val="00E17A21"/>
    <w:rsid w:val="00E20318"/>
    <w:rsid w:val="00E20E4D"/>
    <w:rsid w:val="00E20E86"/>
    <w:rsid w:val="00E20ED6"/>
    <w:rsid w:val="00E21358"/>
    <w:rsid w:val="00E2249B"/>
    <w:rsid w:val="00E22A0D"/>
    <w:rsid w:val="00E23E8B"/>
    <w:rsid w:val="00E23FA6"/>
    <w:rsid w:val="00E244F6"/>
    <w:rsid w:val="00E26177"/>
    <w:rsid w:val="00E26B27"/>
    <w:rsid w:val="00E2771E"/>
    <w:rsid w:val="00E303C0"/>
    <w:rsid w:val="00E30654"/>
    <w:rsid w:val="00E30EF3"/>
    <w:rsid w:val="00E311EF"/>
    <w:rsid w:val="00E32180"/>
    <w:rsid w:val="00E33A66"/>
    <w:rsid w:val="00E33C7F"/>
    <w:rsid w:val="00E34948"/>
    <w:rsid w:val="00E351D7"/>
    <w:rsid w:val="00E35369"/>
    <w:rsid w:val="00E37569"/>
    <w:rsid w:val="00E37A3C"/>
    <w:rsid w:val="00E401B2"/>
    <w:rsid w:val="00E40879"/>
    <w:rsid w:val="00E41E30"/>
    <w:rsid w:val="00E422C8"/>
    <w:rsid w:val="00E42542"/>
    <w:rsid w:val="00E42F73"/>
    <w:rsid w:val="00E43D70"/>
    <w:rsid w:val="00E43F59"/>
    <w:rsid w:val="00E44183"/>
    <w:rsid w:val="00E4599E"/>
    <w:rsid w:val="00E4613F"/>
    <w:rsid w:val="00E466F3"/>
    <w:rsid w:val="00E46D40"/>
    <w:rsid w:val="00E46FB8"/>
    <w:rsid w:val="00E47A12"/>
    <w:rsid w:val="00E47B2C"/>
    <w:rsid w:val="00E50F33"/>
    <w:rsid w:val="00E51560"/>
    <w:rsid w:val="00E51A2D"/>
    <w:rsid w:val="00E524A4"/>
    <w:rsid w:val="00E5313C"/>
    <w:rsid w:val="00E53FC8"/>
    <w:rsid w:val="00E54347"/>
    <w:rsid w:val="00E55424"/>
    <w:rsid w:val="00E55915"/>
    <w:rsid w:val="00E5598C"/>
    <w:rsid w:val="00E55BB5"/>
    <w:rsid w:val="00E56507"/>
    <w:rsid w:val="00E61D72"/>
    <w:rsid w:val="00E65170"/>
    <w:rsid w:val="00E65E79"/>
    <w:rsid w:val="00E66377"/>
    <w:rsid w:val="00E66B91"/>
    <w:rsid w:val="00E66BA2"/>
    <w:rsid w:val="00E66C68"/>
    <w:rsid w:val="00E67416"/>
    <w:rsid w:val="00E7059B"/>
    <w:rsid w:val="00E70C24"/>
    <w:rsid w:val="00E718B6"/>
    <w:rsid w:val="00E723BA"/>
    <w:rsid w:val="00E72C8C"/>
    <w:rsid w:val="00E73581"/>
    <w:rsid w:val="00E73ADD"/>
    <w:rsid w:val="00E75658"/>
    <w:rsid w:val="00E767E4"/>
    <w:rsid w:val="00E773C2"/>
    <w:rsid w:val="00E8162B"/>
    <w:rsid w:val="00E81C12"/>
    <w:rsid w:val="00E81EB8"/>
    <w:rsid w:val="00E823E5"/>
    <w:rsid w:val="00E82EF0"/>
    <w:rsid w:val="00E831C3"/>
    <w:rsid w:val="00E833F7"/>
    <w:rsid w:val="00E83908"/>
    <w:rsid w:val="00E83BDF"/>
    <w:rsid w:val="00E845B5"/>
    <w:rsid w:val="00E86A86"/>
    <w:rsid w:val="00E87A1D"/>
    <w:rsid w:val="00E903B6"/>
    <w:rsid w:val="00E9094A"/>
    <w:rsid w:val="00E90A18"/>
    <w:rsid w:val="00E90A7D"/>
    <w:rsid w:val="00E9159D"/>
    <w:rsid w:val="00E91D35"/>
    <w:rsid w:val="00E926A5"/>
    <w:rsid w:val="00E92751"/>
    <w:rsid w:val="00E933B3"/>
    <w:rsid w:val="00E95A16"/>
    <w:rsid w:val="00E95DA1"/>
    <w:rsid w:val="00E96A96"/>
    <w:rsid w:val="00E96E31"/>
    <w:rsid w:val="00EA17C3"/>
    <w:rsid w:val="00EA1F62"/>
    <w:rsid w:val="00EA2591"/>
    <w:rsid w:val="00EA2CAA"/>
    <w:rsid w:val="00EA3864"/>
    <w:rsid w:val="00EA5136"/>
    <w:rsid w:val="00EA6EBB"/>
    <w:rsid w:val="00EA7385"/>
    <w:rsid w:val="00EA738B"/>
    <w:rsid w:val="00EA7CA0"/>
    <w:rsid w:val="00EA7F1C"/>
    <w:rsid w:val="00EB00AF"/>
    <w:rsid w:val="00EB0A18"/>
    <w:rsid w:val="00EB1267"/>
    <w:rsid w:val="00EB15B6"/>
    <w:rsid w:val="00EB1995"/>
    <w:rsid w:val="00EB1B1D"/>
    <w:rsid w:val="00EB36F3"/>
    <w:rsid w:val="00EB38CA"/>
    <w:rsid w:val="00EB3D06"/>
    <w:rsid w:val="00EB4916"/>
    <w:rsid w:val="00EB5229"/>
    <w:rsid w:val="00EB7DB1"/>
    <w:rsid w:val="00EC0043"/>
    <w:rsid w:val="00EC00C9"/>
    <w:rsid w:val="00EC0DD9"/>
    <w:rsid w:val="00EC18AC"/>
    <w:rsid w:val="00EC1EBD"/>
    <w:rsid w:val="00EC2480"/>
    <w:rsid w:val="00EC2649"/>
    <w:rsid w:val="00EC31ED"/>
    <w:rsid w:val="00EC3A02"/>
    <w:rsid w:val="00EC49F6"/>
    <w:rsid w:val="00EC5836"/>
    <w:rsid w:val="00EC58CF"/>
    <w:rsid w:val="00EC688C"/>
    <w:rsid w:val="00EC7195"/>
    <w:rsid w:val="00EC7B8A"/>
    <w:rsid w:val="00ED2929"/>
    <w:rsid w:val="00ED356E"/>
    <w:rsid w:val="00ED4289"/>
    <w:rsid w:val="00ED489B"/>
    <w:rsid w:val="00ED4A9E"/>
    <w:rsid w:val="00ED57EA"/>
    <w:rsid w:val="00ED5878"/>
    <w:rsid w:val="00ED5A8C"/>
    <w:rsid w:val="00ED5BD4"/>
    <w:rsid w:val="00ED6D46"/>
    <w:rsid w:val="00EE06C7"/>
    <w:rsid w:val="00EE07D3"/>
    <w:rsid w:val="00EE0BC2"/>
    <w:rsid w:val="00EE1996"/>
    <w:rsid w:val="00EE1A5B"/>
    <w:rsid w:val="00EE1C01"/>
    <w:rsid w:val="00EE22AF"/>
    <w:rsid w:val="00EE234F"/>
    <w:rsid w:val="00EE3294"/>
    <w:rsid w:val="00EE3A44"/>
    <w:rsid w:val="00EE3C84"/>
    <w:rsid w:val="00EE7435"/>
    <w:rsid w:val="00EE7DEA"/>
    <w:rsid w:val="00EF0171"/>
    <w:rsid w:val="00EF03C0"/>
    <w:rsid w:val="00EF1B25"/>
    <w:rsid w:val="00EF1DA0"/>
    <w:rsid w:val="00EF2A75"/>
    <w:rsid w:val="00EF3AC5"/>
    <w:rsid w:val="00EF4747"/>
    <w:rsid w:val="00EF4B2C"/>
    <w:rsid w:val="00EF4B40"/>
    <w:rsid w:val="00EF4BF8"/>
    <w:rsid w:val="00EF53BC"/>
    <w:rsid w:val="00EF59B3"/>
    <w:rsid w:val="00EF5B8F"/>
    <w:rsid w:val="00EF6BEB"/>
    <w:rsid w:val="00EF6F05"/>
    <w:rsid w:val="00F00355"/>
    <w:rsid w:val="00F00CE7"/>
    <w:rsid w:val="00F01B37"/>
    <w:rsid w:val="00F021EC"/>
    <w:rsid w:val="00F02253"/>
    <w:rsid w:val="00F03C2E"/>
    <w:rsid w:val="00F03E66"/>
    <w:rsid w:val="00F04A66"/>
    <w:rsid w:val="00F04B4B"/>
    <w:rsid w:val="00F0516C"/>
    <w:rsid w:val="00F06790"/>
    <w:rsid w:val="00F067A2"/>
    <w:rsid w:val="00F0696C"/>
    <w:rsid w:val="00F07199"/>
    <w:rsid w:val="00F0722A"/>
    <w:rsid w:val="00F07B39"/>
    <w:rsid w:val="00F07B9E"/>
    <w:rsid w:val="00F07C3B"/>
    <w:rsid w:val="00F1027D"/>
    <w:rsid w:val="00F102D0"/>
    <w:rsid w:val="00F1064B"/>
    <w:rsid w:val="00F1116F"/>
    <w:rsid w:val="00F11BC9"/>
    <w:rsid w:val="00F11BDC"/>
    <w:rsid w:val="00F1263A"/>
    <w:rsid w:val="00F12FDB"/>
    <w:rsid w:val="00F138FE"/>
    <w:rsid w:val="00F13AF7"/>
    <w:rsid w:val="00F144F2"/>
    <w:rsid w:val="00F14A4A"/>
    <w:rsid w:val="00F15B77"/>
    <w:rsid w:val="00F16940"/>
    <w:rsid w:val="00F209D0"/>
    <w:rsid w:val="00F20EF1"/>
    <w:rsid w:val="00F21DA8"/>
    <w:rsid w:val="00F222AB"/>
    <w:rsid w:val="00F232D6"/>
    <w:rsid w:val="00F24837"/>
    <w:rsid w:val="00F24AD5"/>
    <w:rsid w:val="00F2575F"/>
    <w:rsid w:val="00F26DC8"/>
    <w:rsid w:val="00F27565"/>
    <w:rsid w:val="00F310D4"/>
    <w:rsid w:val="00F317FC"/>
    <w:rsid w:val="00F31D5A"/>
    <w:rsid w:val="00F33975"/>
    <w:rsid w:val="00F33DE9"/>
    <w:rsid w:val="00F34425"/>
    <w:rsid w:val="00F353CF"/>
    <w:rsid w:val="00F354D2"/>
    <w:rsid w:val="00F3575E"/>
    <w:rsid w:val="00F35E6D"/>
    <w:rsid w:val="00F3619A"/>
    <w:rsid w:val="00F36BDB"/>
    <w:rsid w:val="00F40849"/>
    <w:rsid w:val="00F40AAA"/>
    <w:rsid w:val="00F40BA7"/>
    <w:rsid w:val="00F40F9D"/>
    <w:rsid w:val="00F41ACD"/>
    <w:rsid w:val="00F436CA"/>
    <w:rsid w:val="00F45244"/>
    <w:rsid w:val="00F452D8"/>
    <w:rsid w:val="00F4675A"/>
    <w:rsid w:val="00F46897"/>
    <w:rsid w:val="00F46CB6"/>
    <w:rsid w:val="00F4756D"/>
    <w:rsid w:val="00F47DE8"/>
    <w:rsid w:val="00F50104"/>
    <w:rsid w:val="00F51783"/>
    <w:rsid w:val="00F520F3"/>
    <w:rsid w:val="00F534D0"/>
    <w:rsid w:val="00F542BA"/>
    <w:rsid w:val="00F542C1"/>
    <w:rsid w:val="00F54584"/>
    <w:rsid w:val="00F55E73"/>
    <w:rsid w:val="00F55EDA"/>
    <w:rsid w:val="00F56C80"/>
    <w:rsid w:val="00F56DCB"/>
    <w:rsid w:val="00F5755B"/>
    <w:rsid w:val="00F60092"/>
    <w:rsid w:val="00F61C18"/>
    <w:rsid w:val="00F627BF"/>
    <w:rsid w:val="00F639FC"/>
    <w:rsid w:val="00F648BE"/>
    <w:rsid w:val="00F64A6A"/>
    <w:rsid w:val="00F65281"/>
    <w:rsid w:val="00F65F4B"/>
    <w:rsid w:val="00F661D2"/>
    <w:rsid w:val="00F67A69"/>
    <w:rsid w:val="00F701F3"/>
    <w:rsid w:val="00F7060A"/>
    <w:rsid w:val="00F70BFF"/>
    <w:rsid w:val="00F70C9D"/>
    <w:rsid w:val="00F72709"/>
    <w:rsid w:val="00F73362"/>
    <w:rsid w:val="00F74549"/>
    <w:rsid w:val="00F74CD9"/>
    <w:rsid w:val="00F75B33"/>
    <w:rsid w:val="00F77681"/>
    <w:rsid w:val="00F77F07"/>
    <w:rsid w:val="00F80A7B"/>
    <w:rsid w:val="00F80E5D"/>
    <w:rsid w:val="00F811F9"/>
    <w:rsid w:val="00F81E78"/>
    <w:rsid w:val="00F847C1"/>
    <w:rsid w:val="00F84FA6"/>
    <w:rsid w:val="00F851CE"/>
    <w:rsid w:val="00F854E7"/>
    <w:rsid w:val="00F85B7F"/>
    <w:rsid w:val="00F8629A"/>
    <w:rsid w:val="00F87312"/>
    <w:rsid w:val="00F90151"/>
    <w:rsid w:val="00F90722"/>
    <w:rsid w:val="00F90A69"/>
    <w:rsid w:val="00F91219"/>
    <w:rsid w:val="00F92444"/>
    <w:rsid w:val="00F9393E"/>
    <w:rsid w:val="00F95AB4"/>
    <w:rsid w:val="00F96269"/>
    <w:rsid w:val="00F96FD0"/>
    <w:rsid w:val="00F97A78"/>
    <w:rsid w:val="00FA022E"/>
    <w:rsid w:val="00FA0B20"/>
    <w:rsid w:val="00FA24E7"/>
    <w:rsid w:val="00FA3267"/>
    <w:rsid w:val="00FA3484"/>
    <w:rsid w:val="00FA38CA"/>
    <w:rsid w:val="00FA3C3D"/>
    <w:rsid w:val="00FA3C6A"/>
    <w:rsid w:val="00FA450C"/>
    <w:rsid w:val="00FA5BF7"/>
    <w:rsid w:val="00FA5EE6"/>
    <w:rsid w:val="00FA6B7D"/>
    <w:rsid w:val="00FA7956"/>
    <w:rsid w:val="00FA7DB5"/>
    <w:rsid w:val="00FA7FD1"/>
    <w:rsid w:val="00FB1D4A"/>
    <w:rsid w:val="00FB272B"/>
    <w:rsid w:val="00FB2E07"/>
    <w:rsid w:val="00FB2FCB"/>
    <w:rsid w:val="00FB4A2F"/>
    <w:rsid w:val="00FB67AC"/>
    <w:rsid w:val="00FB7C55"/>
    <w:rsid w:val="00FB7DE7"/>
    <w:rsid w:val="00FC0673"/>
    <w:rsid w:val="00FC07CD"/>
    <w:rsid w:val="00FC1074"/>
    <w:rsid w:val="00FC1093"/>
    <w:rsid w:val="00FC1619"/>
    <w:rsid w:val="00FC1884"/>
    <w:rsid w:val="00FC1A0F"/>
    <w:rsid w:val="00FC2173"/>
    <w:rsid w:val="00FC2ED9"/>
    <w:rsid w:val="00FC371D"/>
    <w:rsid w:val="00FC47EC"/>
    <w:rsid w:val="00FC5686"/>
    <w:rsid w:val="00FC5D1A"/>
    <w:rsid w:val="00FC5F0B"/>
    <w:rsid w:val="00FC7821"/>
    <w:rsid w:val="00FC78FC"/>
    <w:rsid w:val="00FC7B3E"/>
    <w:rsid w:val="00FC7EEB"/>
    <w:rsid w:val="00FD0CF3"/>
    <w:rsid w:val="00FD1673"/>
    <w:rsid w:val="00FD2100"/>
    <w:rsid w:val="00FD436C"/>
    <w:rsid w:val="00FD446D"/>
    <w:rsid w:val="00FD4C67"/>
    <w:rsid w:val="00FD4F2C"/>
    <w:rsid w:val="00FD6394"/>
    <w:rsid w:val="00FD6A95"/>
    <w:rsid w:val="00FE0034"/>
    <w:rsid w:val="00FE04C1"/>
    <w:rsid w:val="00FE050C"/>
    <w:rsid w:val="00FE0D4F"/>
    <w:rsid w:val="00FE0E6C"/>
    <w:rsid w:val="00FE19E4"/>
    <w:rsid w:val="00FE1CDC"/>
    <w:rsid w:val="00FE2623"/>
    <w:rsid w:val="00FE306A"/>
    <w:rsid w:val="00FE34E0"/>
    <w:rsid w:val="00FE37A6"/>
    <w:rsid w:val="00FE419D"/>
    <w:rsid w:val="00FE49D7"/>
    <w:rsid w:val="00FE5822"/>
    <w:rsid w:val="00FE5917"/>
    <w:rsid w:val="00FE6474"/>
    <w:rsid w:val="00FE654D"/>
    <w:rsid w:val="00FE670A"/>
    <w:rsid w:val="00FE70C3"/>
    <w:rsid w:val="00FE7199"/>
    <w:rsid w:val="00FE74F6"/>
    <w:rsid w:val="00FF1160"/>
    <w:rsid w:val="00FF168E"/>
    <w:rsid w:val="00FF1EE0"/>
    <w:rsid w:val="00FF2AD9"/>
    <w:rsid w:val="00FF359F"/>
    <w:rsid w:val="00FF3DCF"/>
    <w:rsid w:val="00FF42FB"/>
    <w:rsid w:val="00FF4481"/>
    <w:rsid w:val="00FF48CC"/>
    <w:rsid w:val="00FF492C"/>
    <w:rsid w:val="00FF4A21"/>
    <w:rsid w:val="00FF5AA3"/>
    <w:rsid w:val="00FF5AD8"/>
    <w:rsid w:val="00FF6674"/>
    <w:rsid w:val="00FF6CC4"/>
    <w:rsid w:val="00FF7064"/>
    <w:rsid w:val="00FF71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238"/>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1. Bullet Blank,Bullet1,Bulleted - 2,Bullets Points,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1. Bullet Blank Char,Bullet1 Char,Bulleted - 2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Summary Table,MSD Table Grid,PBAC table,HTAtableplain,new style,RTI AMCP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E3CF8"/>
    <w:pPr>
      <w:keepNext/>
      <w:ind w:left="720" w:hanging="720"/>
      <w:outlineLvl w:val="0"/>
    </w:pPr>
    <w:rPr>
      <w:rFonts w:ascii="Calibri" w:eastAsiaTheme="majorEastAsia" w:hAnsi="Calibri" w:cstheme="majorBidi"/>
      <w:b/>
      <w:spacing w:val="5"/>
      <w:kern w:val="28"/>
      <w:sz w:val="36"/>
      <w:szCs w:val="36"/>
    </w:rPr>
  </w:style>
  <w:style w:type="character" w:customStyle="1" w:styleId="1-MainHeadingChar">
    <w:name w:val="1-Main Heading Char"/>
    <w:basedOn w:val="DefaultParagraphFont"/>
    <w:link w:val="1-MainHeading"/>
    <w:rsid w:val="004E3CF8"/>
    <w:rPr>
      <w:rFonts w:ascii="Calibri" w:eastAsiaTheme="majorEastAsia" w:hAnsi="Calibr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CaptionFootnoteChar">
    <w:name w:val="Caption Footnote Char"/>
    <w:basedOn w:val="DefaultParagraphFont"/>
    <w:link w:val="CaptionFootnote"/>
    <w:rsid w:val="006A5643"/>
    <w:rPr>
      <w:rFonts w:ascii="Calibri" w:hAnsi="Calibri"/>
      <w:bCs/>
      <w:sz w:val="16"/>
      <w:szCs w:val="18"/>
    </w:rPr>
  </w:style>
  <w:style w:type="paragraph" w:customStyle="1" w:styleId="CaptionFootnote">
    <w:name w:val="Caption Footnote"/>
    <w:basedOn w:val="Caption"/>
    <w:link w:val="CaptionFootnoteChar"/>
    <w:qFormat/>
    <w:rsid w:val="006A5643"/>
    <w:pPr>
      <w:widowControl w:val="0"/>
      <w:spacing w:after="0"/>
      <w:jc w:val="left"/>
    </w:pPr>
    <w:rPr>
      <w:rFonts w:cs="Times New Roman"/>
      <w:b w:val="0"/>
      <w:color w:val="auto"/>
      <w:sz w:val="16"/>
    </w:rPr>
  </w:style>
  <w:style w:type="paragraph" w:styleId="FootnoteText">
    <w:name w:val="footnote text"/>
    <w:basedOn w:val="Normal"/>
    <w:link w:val="FootnoteTextChar"/>
    <w:unhideWhenUsed/>
    <w:rsid w:val="00030247"/>
    <w:rPr>
      <w:sz w:val="20"/>
      <w:szCs w:val="20"/>
    </w:rPr>
  </w:style>
  <w:style w:type="character" w:customStyle="1" w:styleId="FootnoteTextChar">
    <w:name w:val="Footnote Text Char"/>
    <w:basedOn w:val="DefaultParagraphFont"/>
    <w:link w:val="FootnoteText"/>
    <w:rsid w:val="00030247"/>
    <w:rPr>
      <w:rFonts w:ascii="Calibri" w:hAnsi="Calibri" w:cs="Arial"/>
    </w:rPr>
  </w:style>
  <w:style w:type="character" w:styleId="FootnoteReference">
    <w:name w:val="footnote reference"/>
    <w:basedOn w:val="DefaultParagraphFont"/>
    <w:semiHidden/>
    <w:unhideWhenUsed/>
    <w:rsid w:val="00030247"/>
    <w:rPr>
      <w:vertAlign w:val="superscript"/>
    </w:rPr>
  </w:style>
  <w:style w:type="paragraph" w:customStyle="1" w:styleId="EndNoteBibliography">
    <w:name w:val="EndNote Bibliography"/>
    <w:basedOn w:val="Normal"/>
    <w:link w:val="EndNoteBibliographyChar"/>
    <w:rsid w:val="00984726"/>
    <w:pPr>
      <w:spacing w:after="200"/>
      <w:jc w:val="left"/>
    </w:pPr>
    <w:rPr>
      <w:rFonts w:eastAsiaTheme="majorEastAsia" w:cs="Calibri"/>
      <w:noProof/>
      <w:sz w:val="22"/>
      <w:szCs w:val="22"/>
      <w:lang w:val="en-US" w:eastAsia="en-US" w:bidi="en-US"/>
    </w:rPr>
  </w:style>
  <w:style w:type="character" w:customStyle="1" w:styleId="EndNoteBibliographyChar">
    <w:name w:val="EndNote Bibliography Char"/>
    <w:basedOn w:val="DefaultParagraphFont"/>
    <w:link w:val="EndNoteBibliography"/>
    <w:rsid w:val="00984726"/>
    <w:rPr>
      <w:rFonts w:ascii="Calibri" w:eastAsiaTheme="majorEastAsia" w:hAnsi="Calibri" w:cs="Calibri"/>
      <w:noProof/>
      <w:sz w:val="22"/>
      <w:szCs w:val="22"/>
      <w:lang w:val="en-US" w:eastAsia="en-US" w:bidi="en-US"/>
    </w:rPr>
  </w:style>
  <w:style w:type="paragraph" w:customStyle="1" w:styleId="Table">
    <w:name w:val="Table"/>
    <w:basedOn w:val="Normal"/>
    <w:link w:val="TableChar"/>
    <w:qFormat/>
    <w:rsid w:val="00AA69B8"/>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AA69B8"/>
    <w:rPr>
      <w:rFonts w:ascii="Calibri" w:eastAsiaTheme="majorEastAsia" w:hAnsi="Calibri" w:cstheme="majorBidi"/>
      <w:szCs w:val="22"/>
      <w:lang w:eastAsia="en-US" w:bidi="en-US"/>
    </w:rPr>
  </w:style>
  <w:style w:type="paragraph" w:styleId="DocumentMap">
    <w:name w:val="Document Map"/>
    <w:basedOn w:val="Normal"/>
    <w:link w:val="DocumentMapChar"/>
    <w:uiPriority w:val="99"/>
    <w:semiHidden/>
    <w:unhideWhenUsed/>
    <w:rsid w:val="00AA69B8"/>
    <w:pPr>
      <w:jc w:val="left"/>
    </w:pPr>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uiPriority w:val="99"/>
    <w:semiHidden/>
    <w:rsid w:val="00AA69B8"/>
    <w:rPr>
      <w:rFonts w:ascii="Tahoma" w:eastAsiaTheme="majorEastAsia" w:hAnsi="Tahoma" w:cs="Tahoma"/>
      <w:sz w:val="16"/>
      <w:szCs w:val="16"/>
      <w:lang w:eastAsia="en-US" w:bidi="en-US"/>
    </w:rPr>
  </w:style>
  <w:style w:type="paragraph" w:customStyle="1" w:styleId="TableLeft">
    <w:name w:val="Table Left"/>
    <w:basedOn w:val="Normal"/>
    <w:link w:val="TableLeftChar"/>
    <w:uiPriority w:val="99"/>
    <w:qFormat/>
    <w:rsid w:val="0032321A"/>
    <w:pPr>
      <w:jc w:val="left"/>
    </w:pPr>
    <w:rPr>
      <w:rFonts w:ascii="Proxima Nova" w:eastAsiaTheme="majorEastAsia" w:hAnsi="Proxima Nova" w:cstheme="majorBidi"/>
      <w:sz w:val="20"/>
      <w:szCs w:val="22"/>
      <w:lang w:eastAsia="en-US" w:bidi="en-US"/>
    </w:rPr>
  </w:style>
  <w:style w:type="character" w:customStyle="1" w:styleId="TableLeftChar">
    <w:name w:val="Table Left Char"/>
    <w:basedOn w:val="DefaultParagraphFont"/>
    <w:link w:val="TableLeft"/>
    <w:uiPriority w:val="99"/>
    <w:locked/>
    <w:rsid w:val="0032321A"/>
    <w:rPr>
      <w:rFonts w:ascii="Proxima Nova" w:eastAsiaTheme="majorEastAsia" w:hAnsi="Proxima Nova" w:cstheme="majorBidi"/>
      <w:szCs w:val="22"/>
      <w:lang w:eastAsia="en-US" w:bidi="en-US"/>
    </w:rPr>
  </w:style>
  <w:style w:type="character" w:customStyle="1" w:styleId="SmallSuperscript">
    <w:name w:val="Small Superscript"/>
    <w:basedOn w:val="DefaultParagraphFont"/>
    <w:uiPriority w:val="1"/>
    <w:qFormat/>
    <w:rsid w:val="003B68D6"/>
    <w:rPr>
      <w:rFonts w:ascii="Calibri" w:hAnsi="Calibri"/>
      <w:b w:val="0"/>
      <w:sz w:val="20"/>
      <w:vertAlign w:val="superscript"/>
    </w:rPr>
  </w:style>
  <w:style w:type="paragraph" w:customStyle="1" w:styleId="TableNumbers">
    <w:name w:val="Table Numbers"/>
    <w:basedOn w:val="Normal"/>
    <w:uiPriority w:val="3"/>
    <w:qFormat/>
    <w:rsid w:val="00175CA9"/>
    <w:pPr>
      <w:numPr>
        <w:numId w:val="8"/>
      </w:numPr>
      <w:ind w:left="170" w:hanging="170"/>
      <w:jc w:val="left"/>
    </w:pPr>
    <w:rPr>
      <w:rFonts w:eastAsiaTheme="majorEastAsia" w:cstheme="majorBidi"/>
      <w:sz w:val="20"/>
      <w:szCs w:val="22"/>
      <w:lang w:eastAsia="en-US" w:bidi="en-US"/>
    </w:rPr>
  </w:style>
  <w:style w:type="paragraph" w:customStyle="1" w:styleId="TableParagraph">
    <w:name w:val="Table Paragraph"/>
    <w:basedOn w:val="Normal"/>
    <w:uiPriority w:val="1"/>
    <w:qFormat/>
    <w:rsid w:val="00175CA9"/>
    <w:pPr>
      <w:widowControl w:val="0"/>
      <w:autoSpaceDE w:val="0"/>
      <w:autoSpaceDN w:val="0"/>
      <w:jc w:val="left"/>
    </w:pPr>
    <w:rPr>
      <w:rFonts w:ascii="Times New Roman" w:hAnsi="Times New Roman" w:cs="Times New Roman"/>
      <w:sz w:val="22"/>
      <w:szCs w:val="22"/>
      <w:lang w:val="en-US" w:eastAsia="en-US"/>
    </w:rPr>
  </w:style>
  <w:style w:type="table" w:customStyle="1" w:styleId="newstyle1">
    <w:name w:val="new style1"/>
    <w:basedOn w:val="TableNormal"/>
    <w:next w:val="TableGrid"/>
    <w:uiPriority w:val="39"/>
    <w:rsid w:val="00A61DB2"/>
    <w:rPr>
      <w:rFonts w:ascii="Candara" w:hAnsi="Candara"/>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pages">
    <w:name w:val="article-header__pages"/>
    <w:basedOn w:val="DefaultParagraphFont"/>
    <w:rsid w:val="00A01E1D"/>
  </w:style>
  <w:style w:type="character" w:customStyle="1" w:styleId="article-headerdate">
    <w:name w:val="article-header__date"/>
    <w:basedOn w:val="DefaultParagraphFont"/>
    <w:rsid w:val="00A01E1D"/>
  </w:style>
  <w:style w:type="paragraph" w:customStyle="1" w:styleId="TableCentre">
    <w:name w:val="Table Centre"/>
    <w:basedOn w:val="Table"/>
    <w:qFormat/>
    <w:rsid w:val="00790AA8"/>
    <w:pPr>
      <w:jc w:val="center"/>
    </w:pPr>
  </w:style>
  <w:style w:type="table" w:customStyle="1" w:styleId="Summarybox1">
    <w:name w:val="Summary box1"/>
    <w:basedOn w:val="TableNormal"/>
    <w:next w:val="TableGrid"/>
    <w:uiPriority w:val="59"/>
    <w:rsid w:val="0080261C"/>
    <w:rPr>
      <w:rFonts w:asciiTheme="minorHAnsi" w:eastAsia="MS Mincho"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1">
    <w:name w:val="Submission standard1"/>
    <w:basedOn w:val="TableNormal"/>
    <w:uiPriority w:val="99"/>
    <w:qFormat/>
    <w:rsid w:val="00790AA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eorgia Pro Cond Light" w:hAnsi="Georgia Pro Cond Light" w:cstheme="majorBidi"/>
        <w:b/>
        <w:sz w:val="20"/>
      </w:rPr>
      <w:tblPr/>
      <w:tcPr>
        <w:shd w:val="clear" w:color="auto" w:fill="BFBFBF" w:themeFill="background1" w:themeFillShade="BF"/>
      </w:tcPr>
    </w:tblStylePr>
  </w:style>
  <w:style w:type="paragraph" w:styleId="Bibliography">
    <w:name w:val="Bibliography"/>
    <w:basedOn w:val="Normal"/>
    <w:next w:val="Normal"/>
    <w:uiPriority w:val="37"/>
    <w:unhideWhenUsed/>
    <w:rsid w:val="00790AA8"/>
    <w:pPr>
      <w:spacing w:after="200" w:line="276" w:lineRule="auto"/>
      <w:jc w:val="left"/>
    </w:pPr>
    <w:rPr>
      <w:rFonts w:eastAsiaTheme="majorEastAsia" w:cstheme="majorBidi"/>
      <w:szCs w:val="22"/>
      <w:lang w:eastAsia="en-US" w:bidi="en-US"/>
    </w:rPr>
  </w:style>
  <w:style w:type="character" w:styleId="Strong">
    <w:name w:val="Strong"/>
    <w:basedOn w:val="DefaultParagraphFont"/>
    <w:uiPriority w:val="22"/>
    <w:qFormat/>
    <w:rsid w:val="000D6D7F"/>
    <w:rPr>
      <w:b/>
      <w:bCs/>
    </w:rPr>
  </w:style>
  <w:style w:type="paragraph" w:customStyle="1" w:styleId="EndNoteBibliographyTitle">
    <w:name w:val="EndNote Bibliography Title"/>
    <w:basedOn w:val="Normal"/>
    <w:link w:val="EndNoteBibliographyTitleChar"/>
    <w:rsid w:val="005B3BA2"/>
    <w:pPr>
      <w:jc w:val="center"/>
    </w:pPr>
    <w:rPr>
      <w:rFonts w:cs="Calibri"/>
      <w:noProof/>
      <w:sz w:val="22"/>
    </w:rPr>
  </w:style>
  <w:style w:type="character" w:customStyle="1" w:styleId="EndNoteBibliographyTitleChar">
    <w:name w:val="EndNote Bibliography Title Char"/>
    <w:basedOn w:val="DefaultParagraphFont"/>
    <w:link w:val="EndNoteBibliographyTitle"/>
    <w:rsid w:val="005B3BA2"/>
    <w:rPr>
      <w:rFonts w:ascii="Calibri" w:hAnsi="Calibri" w:cs="Calibri"/>
      <w:noProof/>
      <w:sz w:val="22"/>
      <w:szCs w:val="24"/>
    </w:rPr>
  </w:style>
  <w:style w:type="paragraph" w:customStyle="1" w:styleId="bullet">
    <w:name w:val="bullet"/>
    <w:basedOn w:val="ListParagraph"/>
    <w:qFormat/>
    <w:rsid w:val="00DD1027"/>
    <w:pPr>
      <w:numPr>
        <w:numId w:val="14"/>
      </w:numPr>
    </w:pPr>
    <w:rPr>
      <w:rFonts w:ascii="Calibri" w:hAnsi="Calibri" w:cstheme="minorBidi"/>
      <w:i/>
      <w:snapToGrid/>
      <w:sz w:val="22"/>
      <w:szCs w:val="22"/>
      <w:lang w:eastAsia="en-US"/>
    </w:rPr>
  </w:style>
  <w:style w:type="table" w:customStyle="1" w:styleId="RTIAMCPTable1">
    <w:name w:val="RTI AMCP Table1"/>
    <w:basedOn w:val="TableNormal"/>
    <w:next w:val="TableGrid"/>
    <w:uiPriority w:val="39"/>
    <w:rsid w:val="001D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53C58"/>
    <w:rPr>
      <w:rFonts w:ascii="Calibri" w:hAnsi="Calibri" w:cs="Arial"/>
      <w:b/>
      <w:caps/>
      <w:sz w:val="32"/>
      <w:szCs w:val="24"/>
    </w:rPr>
  </w:style>
  <w:style w:type="paragraph" w:styleId="EndnoteText">
    <w:name w:val="endnote text"/>
    <w:basedOn w:val="Normal"/>
    <w:link w:val="EndnoteTextChar"/>
    <w:semiHidden/>
    <w:unhideWhenUsed/>
    <w:rsid w:val="00276546"/>
    <w:rPr>
      <w:sz w:val="20"/>
      <w:szCs w:val="20"/>
    </w:rPr>
  </w:style>
  <w:style w:type="character" w:customStyle="1" w:styleId="EndnoteTextChar">
    <w:name w:val="Endnote Text Char"/>
    <w:basedOn w:val="DefaultParagraphFont"/>
    <w:link w:val="EndnoteText"/>
    <w:semiHidden/>
    <w:rsid w:val="00276546"/>
    <w:rPr>
      <w:rFonts w:ascii="Calibri" w:hAnsi="Calibri" w:cs="Arial"/>
    </w:rPr>
  </w:style>
  <w:style w:type="character" w:styleId="EndnoteReference">
    <w:name w:val="endnote reference"/>
    <w:basedOn w:val="DefaultParagraphFont"/>
    <w:semiHidden/>
    <w:unhideWhenUsed/>
    <w:rsid w:val="00276546"/>
    <w:rPr>
      <w:vertAlign w:val="superscript"/>
    </w:rPr>
  </w:style>
  <w:style w:type="paragraph" w:customStyle="1" w:styleId="ExecSumBodyText">
    <w:name w:val="Exec Sum Body Text"/>
    <w:basedOn w:val="Normal"/>
    <w:link w:val="ExecSumBodyTextChar"/>
    <w:uiPriority w:val="99"/>
    <w:qFormat/>
    <w:rsid w:val="009B7238"/>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9B7238"/>
    <w:rPr>
      <w:rFonts w:asciiTheme="minorHAnsi" w:hAnsiTheme="minorHAnsi" w:cs="Arial"/>
      <w:snapToGrid w:val="0"/>
      <w:sz w:val="24"/>
      <w:szCs w:val="24"/>
    </w:rPr>
  </w:style>
  <w:style w:type="paragraph" w:customStyle="1" w:styleId="ListBulletlvl3">
    <w:name w:val="List Bullet lvl 3"/>
    <w:basedOn w:val="ListBullet"/>
    <w:uiPriority w:val="99"/>
    <w:qFormat/>
    <w:rsid w:val="00100E7C"/>
    <w:pPr>
      <w:numPr>
        <w:ilvl w:val="2"/>
        <w:numId w:val="47"/>
      </w:numPr>
      <w:spacing w:after="120"/>
      <w:ind w:left="1077" w:hanging="357"/>
      <w:contextualSpacing w:val="0"/>
      <w:jc w:val="left"/>
    </w:pPr>
    <w:rPr>
      <w:rFonts w:eastAsia="Calibri" w:cs="Times New Roman"/>
      <w:sz w:val="22"/>
      <w:szCs w:val="22"/>
      <w:lang w:eastAsia="en-US"/>
    </w:rPr>
  </w:style>
  <w:style w:type="paragraph" w:customStyle="1" w:styleId="ListBulletlvl4">
    <w:name w:val="List Bullet lvl 4"/>
    <w:basedOn w:val="ListBullet"/>
    <w:uiPriority w:val="99"/>
    <w:qFormat/>
    <w:rsid w:val="00100E7C"/>
    <w:pPr>
      <w:numPr>
        <w:ilvl w:val="3"/>
        <w:numId w:val="47"/>
      </w:numPr>
      <w:spacing w:after="120"/>
      <w:contextualSpacing w:val="0"/>
      <w:jc w:val="left"/>
    </w:pPr>
    <w:rPr>
      <w:rFonts w:eastAsia="Calibri" w:cs="Times New Roman"/>
      <w:sz w:val="22"/>
      <w:szCs w:val="22"/>
      <w:lang w:eastAsia="en-US"/>
    </w:rPr>
  </w:style>
  <w:style w:type="paragraph" w:customStyle="1" w:styleId="ListBulletlvl5">
    <w:name w:val="List Bullet lvl 5"/>
    <w:basedOn w:val="ListBullet"/>
    <w:uiPriority w:val="99"/>
    <w:qFormat/>
    <w:rsid w:val="00100E7C"/>
    <w:pPr>
      <w:numPr>
        <w:ilvl w:val="4"/>
        <w:numId w:val="47"/>
      </w:numPr>
      <w:spacing w:after="120"/>
      <w:contextualSpacing w:val="0"/>
      <w:jc w:val="left"/>
    </w:pPr>
    <w:rPr>
      <w:rFonts w:eastAsia="Calibri" w:cs="Times New Roman"/>
      <w:sz w:val="22"/>
      <w:szCs w:val="22"/>
      <w:lang w:eastAsia="en-US"/>
    </w:rPr>
  </w:style>
  <w:style w:type="paragraph" w:customStyle="1" w:styleId="ListBulletlvl6">
    <w:name w:val="List Bullet lvl 6"/>
    <w:basedOn w:val="ListBullet"/>
    <w:uiPriority w:val="99"/>
    <w:qFormat/>
    <w:rsid w:val="00100E7C"/>
    <w:pPr>
      <w:numPr>
        <w:ilvl w:val="5"/>
        <w:numId w:val="47"/>
      </w:numPr>
      <w:spacing w:after="120"/>
      <w:contextualSpacing w:val="0"/>
      <w:jc w:val="left"/>
    </w:pPr>
    <w:rPr>
      <w:rFonts w:eastAsia="Calibri" w:cs="Times New Roman"/>
      <w:sz w:val="22"/>
      <w:szCs w:val="22"/>
      <w:lang w:eastAsia="en-US"/>
    </w:rPr>
  </w:style>
  <w:style w:type="paragraph" w:customStyle="1" w:styleId="ListBulletlvl7">
    <w:name w:val="List Bullet lvl 7"/>
    <w:basedOn w:val="ListBullet"/>
    <w:uiPriority w:val="99"/>
    <w:qFormat/>
    <w:rsid w:val="00100E7C"/>
    <w:pPr>
      <w:numPr>
        <w:ilvl w:val="6"/>
        <w:numId w:val="47"/>
      </w:numPr>
      <w:spacing w:after="120"/>
      <w:contextualSpacing w:val="0"/>
      <w:jc w:val="left"/>
    </w:pPr>
    <w:rPr>
      <w:rFonts w:eastAsia="Calibri" w:cs="Times New Roman"/>
      <w:sz w:val="22"/>
      <w:szCs w:val="22"/>
      <w:lang w:eastAsia="en-US"/>
    </w:rPr>
  </w:style>
  <w:style w:type="paragraph" w:customStyle="1" w:styleId="ListBulletlvl8">
    <w:name w:val="List Bullet lvl 8"/>
    <w:basedOn w:val="ListBullet"/>
    <w:uiPriority w:val="99"/>
    <w:qFormat/>
    <w:rsid w:val="00100E7C"/>
    <w:pPr>
      <w:numPr>
        <w:ilvl w:val="7"/>
        <w:numId w:val="47"/>
      </w:numPr>
      <w:spacing w:after="120"/>
      <w:contextualSpacing w:val="0"/>
      <w:jc w:val="left"/>
    </w:pPr>
    <w:rPr>
      <w:rFonts w:eastAsia="Calibri" w:cs="Times New Roman"/>
      <w:sz w:val="22"/>
      <w:szCs w:val="22"/>
      <w:lang w:eastAsia="en-US"/>
    </w:rPr>
  </w:style>
  <w:style w:type="paragraph" w:customStyle="1" w:styleId="ListBulletlvl9">
    <w:name w:val="List Bullet lvl 9"/>
    <w:basedOn w:val="ListBullet"/>
    <w:uiPriority w:val="99"/>
    <w:qFormat/>
    <w:rsid w:val="00100E7C"/>
    <w:pPr>
      <w:numPr>
        <w:ilvl w:val="8"/>
        <w:numId w:val="47"/>
      </w:numPr>
      <w:spacing w:after="120"/>
      <w:contextualSpacing w:val="0"/>
      <w:jc w:val="left"/>
    </w:pPr>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8972">
      <w:bodyDiv w:val="1"/>
      <w:marLeft w:val="0"/>
      <w:marRight w:val="0"/>
      <w:marTop w:val="0"/>
      <w:marBottom w:val="0"/>
      <w:divBdr>
        <w:top w:val="none" w:sz="0" w:space="0" w:color="auto"/>
        <w:left w:val="none" w:sz="0" w:space="0" w:color="auto"/>
        <w:bottom w:val="none" w:sz="0" w:space="0" w:color="auto"/>
        <w:right w:val="none" w:sz="0" w:space="0" w:color="auto"/>
      </w:divBdr>
    </w:div>
    <w:div w:id="7320767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8354223">
      <w:bodyDiv w:val="1"/>
      <w:marLeft w:val="0"/>
      <w:marRight w:val="0"/>
      <w:marTop w:val="0"/>
      <w:marBottom w:val="0"/>
      <w:divBdr>
        <w:top w:val="none" w:sz="0" w:space="0" w:color="auto"/>
        <w:left w:val="none" w:sz="0" w:space="0" w:color="auto"/>
        <w:bottom w:val="none" w:sz="0" w:space="0" w:color="auto"/>
        <w:right w:val="none" w:sz="0" w:space="0" w:color="auto"/>
      </w:divBdr>
    </w:div>
    <w:div w:id="191112136">
      <w:bodyDiv w:val="1"/>
      <w:marLeft w:val="0"/>
      <w:marRight w:val="0"/>
      <w:marTop w:val="0"/>
      <w:marBottom w:val="0"/>
      <w:divBdr>
        <w:top w:val="none" w:sz="0" w:space="0" w:color="auto"/>
        <w:left w:val="none" w:sz="0" w:space="0" w:color="auto"/>
        <w:bottom w:val="none" w:sz="0" w:space="0" w:color="auto"/>
        <w:right w:val="none" w:sz="0" w:space="0" w:color="auto"/>
      </w:divBdr>
      <w:divsChild>
        <w:div w:id="1672103804">
          <w:marLeft w:val="0"/>
          <w:marRight w:val="0"/>
          <w:marTop w:val="0"/>
          <w:marBottom w:val="0"/>
          <w:divBdr>
            <w:top w:val="none" w:sz="0" w:space="0" w:color="auto"/>
            <w:left w:val="none" w:sz="0" w:space="0" w:color="auto"/>
            <w:bottom w:val="none" w:sz="0" w:space="0" w:color="auto"/>
            <w:right w:val="none" w:sz="0" w:space="0" w:color="auto"/>
          </w:divBdr>
          <w:divsChild>
            <w:div w:id="11456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48158">
      <w:bodyDiv w:val="1"/>
      <w:marLeft w:val="0"/>
      <w:marRight w:val="0"/>
      <w:marTop w:val="0"/>
      <w:marBottom w:val="0"/>
      <w:divBdr>
        <w:top w:val="none" w:sz="0" w:space="0" w:color="auto"/>
        <w:left w:val="none" w:sz="0" w:space="0" w:color="auto"/>
        <w:bottom w:val="none" w:sz="0" w:space="0" w:color="auto"/>
        <w:right w:val="none" w:sz="0" w:space="0" w:color="auto"/>
      </w:divBdr>
      <w:divsChild>
        <w:div w:id="1726293078">
          <w:marLeft w:val="0"/>
          <w:marRight w:val="0"/>
          <w:marTop w:val="0"/>
          <w:marBottom w:val="0"/>
          <w:divBdr>
            <w:top w:val="none" w:sz="0" w:space="0" w:color="auto"/>
            <w:left w:val="none" w:sz="0" w:space="0" w:color="auto"/>
            <w:bottom w:val="none" w:sz="0" w:space="0" w:color="auto"/>
            <w:right w:val="none" w:sz="0" w:space="0" w:color="auto"/>
          </w:divBdr>
          <w:divsChild>
            <w:div w:id="1414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9970491">
      <w:bodyDiv w:val="1"/>
      <w:marLeft w:val="0"/>
      <w:marRight w:val="0"/>
      <w:marTop w:val="0"/>
      <w:marBottom w:val="0"/>
      <w:divBdr>
        <w:top w:val="none" w:sz="0" w:space="0" w:color="auto"/>
        <w:left w:val="none" w:sz="0" w:space="0" w:color="auto"/>
        <w:bottom w:val="none" w:sz="0" w:space="0" w:color="auto"/>
        <w:right w:val="none" w:sz="0" w:space="0" w:color="auto"/>
      </w:divBdr>
    </w:div>
    <w:div w:id="648168285">
      <w:bodyDiv w:val="1"/>
      <w:marLeft w:val="0"/>
      <w:marRight w:val="0"/>
      <w:marTop w:val="0"/>
      <w:marBottom w:val="0"/>
      <w:divBdr>
        <w:top w:val="none" w:sz="0" w:space="0" w:color="auto"/>
        <w:left w:val="none" w:sz="0" w:space="0" w:color="auto"/>
        <w:bottom w:val="none" w:sz="0" w:space="0" w:color="auto"/>
        <w:right w:val="none" w:sz="0" w:space="0" w:color="auto"/>
      </w:divBdr>
    </w:div>
    <w:div w:id="77216950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639">
      <w:bodyDiv w:val="1"/>
      <w:marLeft w:val="0"/>
      <w:marRight w:val="0"/>
      <w:marTop w:val="0"/>
      <w:marBottom w:val="0"/>
      <w:divBdr>
        <w:top w:val="none" w:sz="0" w:space="0" w:color="auto"/>
        <w:left w:val="none" w:sz="0" w:space="0" w:color="auto"/>
        <w:bottom w:val="none" w:sz="0" w:space="0" w:color="auto"/>
        <w:right w:val="none" w:sz="0" w:space="0" w:color="auto"/>
      </w:divBdr>
    </w:div>
    <w:div w:id="1328434730">
      <w:bodyDiv w:val="1"/>
      <w:marLeft w:val="0"/>
      <w:marRight w:val="0"/>
      <w:marTop w:val="0"/>
      <w:marBottom w:val="0"/>
      <w:divBdr>
        <w:top w:val="none" w:sz="0" w:space="0" w:color="auto"/>
        <w:left w:val="none" w:sz="0" w:space="0" w:color="auto"/>
        <w:bottom w:val="none" w:sz="0" w:space="0" w:color="auto"/>
        <w:right w:val="none" w:sz="0" w:space="0" w:color="auto"/>
      </w:divBdr>
    </w:div>
    <w:div w:id="1570116024">
      <w:bodyDiv w:val="1"/>
      <w:marLeft w:val="0"/>
      <w:marRight w:val="0"/>
      <w:marTop w:val="0"/>
      <w:marBottom w:val="0"/>
      <w:divBdr>
        <w:top w:val="none" w:sz="0" w:space="0" w:color="auto"/>
        <w:left w:val="none" w:sz="0" w:space="0" w:color="auto"/>
        <w:bottom w:val="none" w:sz="0" w:space="0" w:color="auto"/>
        <w:right w:val="none" w:sz="0" w:space="0" w:color="auto"/>
      </w:divBdr>
    </w:div>
    <w:div w:id="1763837073">
      <w:bodyDiv w:val="1"/>
      <w:marLeft w:val="0"/>
      <w:marRight w:val="0"/>
      <w:marTop w:val="0"/>
      <w:marBottom w:val="0"/>
      <w:divBdr>
        <w:top w:val="none" w:sz="0" w:space="0" w:color="auto"/>
        <w:left w:val="none" w:sz="0" w:space="0" w:color="auto"/>
        <w:bottom w:val="none" w:sz="0" w:space="0" w:color="auto"/>
        <w:right w:val="none" w:sz="0" w:space="0" w:color="auto"/>
      </w:divBdr>
    </w:div>
    <w:div w:id="1865511669">
      <w:bodyDiv w:val="1"/>
      <w:marLeft w:val="0"/>
      <w:marRight w:val="0"/>
      <w:marTop w:val="0"/>
      <w:marBottom w:val="0"/>
      <w:divBdr>
        <w:top w:val="none" w:sz="0" w:space="0" w:color="auto"/>
        <w:left w:val="none" w:sz="0" w:space="0" w:color="auto"/>
        <w:bottom w:val="none" w:sz="0" w:space="0" w:color="auto"/>
        <w:right w:val="none" w:sz="0" w:space="0" w:color="auto"/>
      </w:divBdr>
    </w:div>
    <w:div w:id="18702162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110973">
      <w:bodyDiv w:val="1"/>
      <w:marLeft w:val="0"/>
      <w:marRight w:val="0"/>
      <w:marTop w:val="0"/>
      <w:marBottom w:val="0"/>
      <w:divBdr>
        <w:top w:val="none" w:sz="0" w:space="0" w:color="auto"/>
        <w:left w:val="none" w:sz="0" w:space="0" w:color="auto"/>
        <w:bottom w:val="none" w:sz="0" w:space="0" w:color="auto"/>
        <w:right w:val="none" w:sz="0" w:space="0" w:color="auto"/>
      </w:divBdr>
      <w:divsChild>
        <w:div w:id="1139540004">
          <w:marLeft w:val="360"/>
          <w:marRight w:val="0"/>
          <w:marTop w:val="0"/>
          <w:marBottom w:val="0"/>
          <w:divBdr>
            <w:top w:val="none" w:sz="0" w:space="0" w:color="auto"/>
            <w:left w:val="none" w:sz="0" w:space="0" w:color="auto"/>
            <w:bottom w:val="none" w:sz="0" w:space="0" w:color="auto"/>
            <w:right w:val="none" w:sz="0" w:space="0" w:color="auto"/>
          </w:divBdr>
        </w:div>
      </w:divsChild>
    </w:div>
    <w:div w:id="1987274451">
      <w:bodyDiv w:val="1"/>
      <w:marLeft w:val="0"/>
      <w:marRight w:val="0"/>
      <w:marTop w:val="0"/>
      <w:marBottom w:val="0"/>
      <w:divBdr>
        <w:top w:val="none" w:sz="0" w:space="0" w:color="auto"/>
        <w:left w:val="none" w:sz="0" w:space="0" w:color="auto"/>
        <w:bottom w:val="none" w:sz="0" w:space="0" w:color="auto"/>
        <w:right w:val="none" w:sz="0" w:space="0" w:color="auto"/>
      </w:divBdr>
    </w:div>
    <w:div w:id="1987586298">
      <w:bodyDiv w:val="1"/>
      <w:marLeft w:val="0"/>
      <w:marRight w:val="0"/>
      <w:marTop w:val="0"/>
      <w:marBottom w:val="0"/>
      <w:divBdr>
        <w:top w:val="none" w:sz="0" w:space="0" w:color="auto"/>
        <w:left w:val="none" w:sz="0" w:space="0" w:color="auto"/>
        <w:bottom w:val="none" w:sz="0" w:space="0" w:color="auto"/>
        <w:right w:val="none" w:sz="0" w:space="0" w:color="auto"/>
      </w:divBdr>
      <w:divsChild>
        <w:div w:id="1364751325">
          <w:marLeft w:val="360"/>
          <w:marRight w:val="0"/>
          <w:marTop w:val="0"/>
          <w:marBottom w:val="0"/>
          <w:divBdr>
            <w:top w:val="none" w:sz="0" w:space="0" w:color="auto"/>
            <w:left w:val="none" w:sz="0" w:space="0" w:color="auto"/>
            <w:bottom w:val="none" w:sz="0" w:space="0" w:color="auto"/>
            <w:right w:val="none" w:sz="0" w:space="0" w:color="auto"/>
          </w:divBdr>
        </w:div>
        <w:div w:id="1438912861">
          <w:marLeft w:val="360"/>
          <w:marRight w:val="0"/>
          <w:marTop w:val="0"/>
          <w:marBottom w:val="0"/>
          <w:divBdr>
            <w:top w:val="none" w:sz="0" w:space="0" w:color="auto"/>
            <w:left w:val="none" w:sz="0" w:space="0" w:color="auto"/>
            <w:bottom w:val="none" w:sz="0" w:space="0" w:color="auto"/>
            <w:right w:val="none" w:sz="0" w:space="0" w:color="auto"/>
          </w:divBdr>
        </w:div>
        <w:div w:id="1503666983">
          <w:marLeft w:val="1080"/>
          <w:marRight w:val="0"/>
          <w:marTop w:val="0"/>
          <w:marBottom w:val="0"/>
          <w:divBdr>
            <w:top w:val="none" w:sz="0" w:space="0" w:color="auto"/>
            <w:left w:val="none" w:sz="0" w:space="0" w:color="auto"/>
            <w:bottom w:val="none" w:sz="0" w:space="0" w:color="auto"/>
            <w:right w:val="none" w:sz="0" w:space="0" w:color="auto"/>
          </w:divBdr>
        </w:div>
        <w:div w:id="409500152">
          <w:marLeft w:val="1080"/>
          <w:marRight w:val="0"/>
          <w:marTop w:val="0"/>
          <w:marBottom w:val="0"/>
          <w:divBdr>
            <w:top w:val="none" w:sz="0" w:space="0" w:color="auto"/>
            <w:left w:val="none" w:sz="0" w:space="0" w:color="auto"/>
            <w:bottom w:val="none" w:sz="0" w:space="0" w:color="auto"/>
            <w:right w:val="none" w:sz="0" w:space="0" w:color="auto"/>
          </w:divBdr>
        </w:div>
        <w:div w:id="1239363595">
          <w:marLeft w:val="1080"/>
          <w:marRight w:val="0"/>
          <w:marTop w:val="0"/>
          <w:marBottom w:val="0"/>
          <w:divBdr>
            <w:top w:val="none" w:sz="0" w:space="0" w:color="auto"/>
            <w:left w:val="none" w:sz="0" w:space="0" w:color="auto"/>
            <w:bottom w:val="none" w:sz="0" w:space="0" w:color="auto"/>
            <w:right w:val="none" w:sz="0" w:space="0" w:color="auto"/>
          </w:divBdr>
        </w:div>
        <w:div w:id="1500465490">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AD07A-AFDA-451B-9CD6-837D30DF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15582</Words>
  <Characters>85558</Characters>
  <Application>Microsoft Office Word</Application>
  <DocSecurity>0</DocSecurity>
  <Lines>712</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2022-07-12T01:02:00Z</dcterms:created>
  <dcterms:modified xsi:type="dcterms:W3CDTF">2022-07-12T01:02:00Z</dcterms:modified>
</cp:coreProperties>
</file>